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45FC" w14:textId="4E93408A" w:rsidR="007713AF" w:rsidRPr="006453D9" w:rsidRDefault="007713AF" w:rsidP="007713AF">
      <w:pPr>
        <w:pStyle w:val="MDPI11articletype"/>
      </w:pPr>
      <w:r w:rsidRPr="006453D9">
        <w:t>Article</w:t>
      </w:r>
    </w:p>
    <w:p w14:paraId="7357DCEF" w14:textId="327FB6C4" w:rsidR="00505488" w:rsidRDefault="00505488" w:rsidP="00505488">
      <w:pPr>
        <w:pStyle w:val="MDPI12title"/>
      </w:pPr>
      <w:r>
        <w:t xml:space="preserve">Barriers to compliance with national guidelines </w:t>
      </w:r>
      <w:r w:rsidR="003C33E3">
        <w:t xml:space="preserve">among children </w:t>
      </w:r>
      <w:r w:rsidR="002541B5">
        <w:t xml:space="preserve">hospitalized </w:t>
      </w:r>
      <w:r w:rsidR="003C33E3">
        <w:t xml:space="preserve">with </w:t>
      </w:r>
      <w:r>
        <w:t xml:space="preserve">community-acquired pneumonia in Vietnam and </w:t>
      </w:r>
      <w:r w:rsidR="003C33E3">
        <w:t>the implications</w:t>
      </w:r>
    </w:p>
    <w:p w14:paraId="0DBF2399" w14:textId="7EA4533F" w:rsidR="00505488" w:rsidRPr="00A55BB6" w:rsidRDefault="00505488" w:rsidP="00A55BB6">
      <w:pPr>
        <w:pStyle w:val="MDPI13authornames"/>
      </w:pPr>
      <w:r>
        <w:t xml:space="preserve">Thuy Nguyen </w:t>
      </w:r>
      <w:proofErr w:type="spellStart"/>
      <w:r>
        <w:t>Thi</w:t>
      </w:r>
      <w:proofErr w:type="spellEnd"/>
      <w:r>
        <w:t xml:space="preserve"> Phuong</w:t>
      </w:r>
      <w:r w:rsidRPr="00505488">
        <w:rPr>
          <w:vertAlign w:val="superscript"/>
        </w:rPr>
        <w:t>1</w:t>
      </w:r>
      <w:r>
        <w:t xml:space="preserve">*, Huong Vu </w:t>
      </w:r>
      <w:proofErr w:type="spellStart"/>
      <w:r>
        <w:t>Thi</w:t>
      </w:r>
      <w:proofErr w:type="spellEnd"/>
      <w:r>
        <w:t xml:space="preserve"> Thu</w:t>
      </w:r>
      <w:r w:rsidR="00434115">
        <w:rPr>
          <w:vertAlign w:val="superscript"/>
        </w:rPr>
        <w:t>2</w:t>
      </w:r>
      <w:r>
        <w:t>, Anh Hoang Minh</w:t>
      </w:r>
      <w:r w:rsidR="00434115" w:rsidRPr="00505488">
        <w:rPr>
          <w:vertAlign w:val="superscript"/>
        </w:rPr>
        <w:t>1</w:t>
      </w:r>
      <w:r>
        <w:t xml:space="preserve">, </w:t>
      </w:r>
      <w:proofErr w:type="gramStart"/>
      <w:r>
        <w:t>An</w:t>
      </w:r>
      <w:proofErr w:type="gramEnd"/>
      <w:r>
        <w:t xml:space="preserve"> </w:t>
      </w:r>
      <w:r w:rsidR="00192888">
        <w:t>Ho</w:t>
      </w:r>
      <w:r>
        <w:t xml:space="preserve"> Minh</w:t>
      </w:r>
      <w:r w:rsidR="00434115" w:rsidRPr="00505488">
        <w:rPr>
          <w:vertAlign w:val="superscript"/>
        </w:rPr>
        <w:t>1</w:t>
      </w:r>
      <w:r>
        <w:t xml:space="preserve">, Israel </w:t>
      </w:r>
      <w:proofErr w:type="spellStart"/>
      <w:r w:rsidR="007A4620">
        <w:t>Abebrese</w:t>
      </w:r>
      <w:proofErr w:type="spellEnd"/>
      <w:r w:rsidR="007A4620">
        <w:t xml:space="preserve"> </w:t>
      </w:r>
      <w:r>
        <w:t>Sefah</w:t>
      </w:r>
      <w:r w:rsidR="00DD185B" w:rsidRPr="00445DA1">
        <w:rPr>
          <w:vertAlign w:val="superscript"/>
        </w:rPr>
        <w:t>3</w:t>
      </w:r>
      <w:r>
        <w:t>, Brian Godman</w:t>
      </w:r>
      <w:r w:rsidR="00DD185B" w:rsidRPr="00445DA1">
        <w:rPr>
          <w:vertAlign w:val="superscript"/>
        </w:rPr>
        <w:t>4,5,6</w:t>
      </w:r>
      <w:r>
        <w:t>*, Johanna C Meyer</w:t>
      </w:r>
      <w:r w:rsidR="00DD185B" w:rsidRPr="00445DA1">
        <w:rPr>
          <w:vertAlign w:val="superscript"/>
        </w:rPr>
        <w:t>4,7</w:t>
      </w:r>
    </w:p>
    <w:tbl>
      <w:tblPr>
        <w:tblpPr w:leftFromText="198" w:rightFromText="198" w:vertAnchor="page" w:horzAnchor="margin" w:tblpY="11461"/>
        <w:tblW w:w="2410" w:type="dxa"/>
        <w:tblLayout w:type="fixed"/>
        <w:tblCellMar>
          <w:left w:w="0" w:type="dxa"/>
          <w:right w:w="0" w:type="dxa"/>
        </w:tblCellMar>
        <w:tblLook w:val="04A0" w:firstRow="1" w:lastRow="0" w:firstColumn="1" w:lastColumn="0" w:noHBand="0" w:noVBand="1"/>
      </w:tblPr>
      <w:tblGrid>
        <w:gridCol w:w="2410"/>
      </w:tblGrid>
      <w:tr w:rsidR="00750AF3" w:rsidRPr="00750AF3" w14:paraId="2EDC4D0F" w14:textId="77777777" w:rsidTr="00E23C33">
        <w:tc>
          <w:tcPr>
            <w:tcW w:w="2410" w:type="dxa"/>
            <w:shd w:val="clear" w:color="auto" w:fill="auto"/>
          </w:tcPr>
          <w:p w14:paraId="4356FE30" w14:textId="77777777" w:rsidR="00B93DA7" w:rsidRPr="00A23FDF" w:rsidRDefault="00B93DA7" w:rsidP="00E23C33">
            <w:pPr>
              <w:pStyle w:val="MDPI15academiceditor"/>
              <w:spacing w:before="0" w:after="120"/>
              <w:rPr>
                <w:color w:val="auto"/>
              </w:rPr>
            </w:pPr>
            <w:r w:rsidRPr="00A23FDF">
              <w:rPr>
                <w:color w:val="auto"/>
              </w:rPr>
              <w:t xml:space="preserve">Academic Editor: </w:t>
            </w:r>
            <w:proofErr w:type="spellStart"/>
            <w:r w:rsidRPr="00A23FDF">
              <w:rPr>
                <w:color w:val="auto"/>
              </w:rPr>
              <w:t>Firstname</w:t>
            </w:r>
            <w:proofErr w:type="spellEnd"/>
            <w:r w:rsidRPr="00A23FDF">
              <w:rPr>
                <w:color w:val="auto"/>
              </w:rPr>
              <w:t xml:space="preserve"> Lastname</w:t>
            </w:r>
          </w:p>
          <w:p w14:paraId="7B6258BB" w14:textId="77777777" w:rsidR="00B93DA7" w:rsidRPr="00A23FDF" w:rsidRDefault="00B93DA7" w:rsidP="00E23C33">
            <w:pPr>
              <w:pStyle w:val="MDPI14history"/>
              <w:spacing w:before="120"/>
              <w:rPr>
                <w:color w:val="auto"/>
              </w:rPr>
            </w:pPr>
            <w:r w:rsidRPr="00A23FDF">
              <w:rPr>
                <w:color w:val="auto"/>
              </w:rPr>
              <w:t>Received: date</w:t>
            </w:r>
          </w:p>
          <w:p w14:paraId="06F2F11A" w14:textId="77777777" w:rsidR="00B93DA7" w:rsidRPr="00A23FDF" w:rsidRDefault="00B93DA7" w:rsidP="00E23C33">
            <w:pPr>
              <w:pStyle w:val="MDPI14history"/>
              <w:rPr>
                <w:color w:val="auto"/>
              </w:rPr>
            </w:pPr>
            <w:r w:rsidRPr="00A23FDF">
              <w:rPr>
                <w:color w:val="auto"/>
              </w:rPr>
              <w:t>Revised: date</w:t>
            </w:r>
          </w:p>
          <w:p w14:paraId="31182CF7" w14:textId="77777777" w:rsidR="00B93DA7" w:rsidRPr="00A23FDF" w:rsidRDefault="00B93DA7" w:rsidP="00E23C33">
            <w:pPr>
              <w:pStyle w:val="MDPI14history"/>
              <w:rPr>
                <w:color w:val="auto"/>
              </w:rPr>
            </w:pPr>
            <w:r w:rsidRPr="00A23FDF">
              <w:rPr>
                <w:color w:val="auto"/>
              </w:rPr>
              <w:t>Accepted: date</w:t>
            </w:r>
          </w:p>
          <w:p w14:paraId="0781D441" w14:textId="77777777" w:rsidR="00B93DA7" w:rsidRPr="00A23FDF" w:rsidRDefault="00B93DA7" w:rsidP="00E23C33">
            <w:pPr>
              <w:pStyle w:val="MDPI14history"/>
              <w:spacing w:after="120"/>
              <w:rPr>
                <w:color w:val="auto"/>
              </w:rPr>
            </w:pPr>
            <w:r w:rsidRPr="00A23FDF">
              <w:rPr>
                <w:color w:val="auto"/>
              </w:rPr>
              <w:t>Published: date</w:t>
            </w:r>
          </w:p>
          <w:p w14:paraId="1AB870E5" w14:textId="77777777" w:rsidR="00B93DA7" w:rsidRPr="00750AF3" w:rsidRDefault="00B93DA7" w:rsidP="00E23C33">
            <w:pPr>
              <w:pStyle w:val="MDPI61citation"/>
              <w:rPr>
                <w:lang w:bidi="en-US"/>
              </w:rPr>
            </w:pPr>
            <w:r w:rsidRPr="00750AF3">
              <w:rPr>
                <w:b/>
                <w:lang w:bidi="en-US"/>
              </w:rPr>
              <w:t xml:space="preserve">Citation: </w:t>
            </w:r>
            <w:r w:rsidRPr="00750AF3">
              <w:rPr>
                <w:lang w:bidi="en-US"/>
              </w:rPr>
              <w:t>To be added by editorial staff during production.</w:t>
            </w:r>
          </w:p>
          <w:p w14:paraId="30CFCC45" w14:textId="77777777" w:rsidR="00B93DA7" w:rsidRPr="00A23FDF" w:rsidRDefault="00B93DA7" w:rsidP="00E23C33">
            <w:pPr>
              <w:pStyle w:val="MDPI72copyright"/>
              <w:rPr>
                <w:rFonts w:eastAsia="DengXian"/>
                <w:color w:val="auto"/>
                <w:lang w:bidi="en-US"/>
              </w:rPr>
            </w:pPr>
            <w:r w:rsidRPr="00A23FDF">
              <w:rPr>
                <w:rFonts w:eastAsia="DengXian"/>
                <w:b/>
                <w:color w:val="auto"/>
                <w:lang w:bidi="en-US"/>
              </w:rPr>
              <w:t>Copyright:</w:t>
            </w:r>
            <w:r w:rsidRPr="00A23FDF">
              <w:rPr>
                <w:rFonts w:eastAsia="DengXian"/>
                <w:color w:val="auto"/>
                <w:lang w:bidi="en-US"/>
              </w:rPr>
              <w:t xml:space="preserve"> © 2025 by the authors. Submitted for possible open access publication under the terms and conditions of the Creative Commons Attribution (CC BY) license (https://creativecommons.org/licenses/by/4.0/).</w:t>
            </w:r>
          </w:p>
        </w:tc>
      </w:tr>
    </w:tbl>
    <w:p w14:paraId="2FB5B90E" w14:textId="011A96E5" w:rsidR="00F673F4" w:rsidRPr="00A23FDF" w:rsidRDefault="00851BEB" w:rsidP="00F673F4">
      <w:pPr>
        <w:pStyle w:val="MDPI16affiliation"/>
        <w:rPr>
          <w:color w:val="auto"/>
          <w:lang w:val="en-GB"/>
        </w:rPr>
      </w:pPr>
      <w:r w:rsidRPr="00A23FDF">
        <w:rPr>
          <w:color w:val="auto"/>
          <w:vertAlign w:val="superscript"/>
        </w:rPr>
        <w:t>1</w:t>
      </w:r>
      <w:r w:rsidR="007713AF" w:rsidRPr="00A23FDF">
        <w:rPr>
          <w:color w:val="auto"/>
        </w:rPr>
        <w:tab/>
      </w:r>
      <w:r w:rsidR="00192888">
        <w:rPr>
          <w:color w:val="auto"/>
          <w:lang w:val="en-GB"/>
        </w:rPr>
        <w:t>Facu</w:t>
      </w:r>
      <w:r w:rsidR="000C24E0">
        <w:rPr>
          <w:color w:val="auto"/>
          <w:lang w:val="en-GB"/>
        </w:rPr>
        <w:t>l</w:t>
      </w:r>
      <w:r w:rsidR="00192888">
        <w:rPr>
          <w:color w:val="auto"/>
          <w:lang w:val="en-GB"/>
        </w:rPr>
        <w:t>ty</w:t>
      </w:r>
      <w:r w:rsidR="00192888" w:rsidRPr="00A23FDF">
        <w:rPr>
          <w:color w:val="auto"/>
          <w:lang w:val="en-GB"/>
        </w:rPr>
        <w:t xml:space="preserve"> </w:t>
      </w:r>
      <w:r w:rsidR="00F673F4" w:rsidRPr="00A23FDF">
        <w:rPr>
          <w:color w:val="auto"/>
          <w:lang w:val="en-GB"/>
        </w:rPr>
        <w:t>of Pharmaceutical Management and Economics, Hanoi University of Pharmacy,</w:t>
      </w:r>
    </w:p>
    <w:p w14:paraId="5484F1B2" w14:textId="741B7E2B" w:rsidR="007713AF" w:rsidRPr="00A23FDF" w:rsidRDefault="00F673F4" w:rsidP="000B6C48">
      <w:pPr>
        <w:pStyle w:val="MDPI16affiliation"/>
        <w:rPr>
          <w:color w:val="auto"/>
          <w:lang w:val="en-GB"/>
        </w:rPr>
      </w:pPr>
      <w:r w:rsidRPr="00A23FDF">
        <w:rPr>
          <w:color w:val="auto"/>
          <w:lang w:val="en-GB"/>
        </w:rPr>
        <w:t xml:space="preserve">Hanoi City 10000, Vietnam. Email: </w:t>
      </w:r>
      <w:hyperlink r:id="rId8" w:history="1">
        <w:r w:rsidRPr="00A23FDF">
          <w:rPr>
            <w:rStyle w:val="Hyperlink"/>
            <w:color w:val="auto"/>
            <w:u w:val="none"/>
            <w:lang w:val="en-GB"/>
          </w:rPr>
          <w:t>thuy_ntp@hup.edu.vn</w:t>
        </w:r>
      </w:hyperlink>
      <w:r w:rsidRPr="00A23FDF">
        <w:rPr>
          <w:color w:val="auto"/>
          <w:lang w:val="en-GB"/>
        </w:rPr>
        <w:t xml:space="preserve"> (T.N.T.P)</w:t>
      </w:r>
      <w:r w:rsidR="000B6C48" w:rsidRPr="00A23FDF">
        <w:rPr>
          <w:color w:val="auto"/>
          <w:lang w:val="en-GB"/>
        </w:rPr>
        <w:t xml:space="preserve">; </w:t>
      </w:r>
      <w:hyperlink r:id="rId9" w:history="1">
        <w:r w:rsidR="000B6C48" w:rsidRPr="00A23FDF">
          <w:rPr>
            <w:rStyle w:val="Hyperlink"/>
            <w:color w:val="auto"/>
            <w:u w:val="none"/>
            <w:lang w:val="en-GB"/>
          </w:rPr>
          <w:t>anh.hoangminh.rg@gmail.com</w:t>
        </w:r>
      </w:hyperlink>
      <w:r w:rsidR="000B6C48" w:rsidRPr="00A23FDF">
        <w:rPr>
          <w:color w:val="auto"/>
          <w:lang w:val="en-GB"/>
        </w:rPr>
        <w:t xml:space="preserve"> (</w:t>
      </w:r>
      <w:proofErr w:type="spellStart"/>
      <w:r w:rsidR="000B6C48" w:rsidRPr="00A23FDF">
        <w:rPr>
          <w:color w:val="auto"/>
          <w:lang w:val="en-GB"/>
        </w:rPr>
        <w:t>A.H</w:t>
      </w:r>
      <w:r w:rsidR="00862403">
        <w:rPr>
          <w:color w:val="auto"/>
          <w:lang w:val="en-GB"/>
        </w:rPr>
        <w:t>oa</w:t>
      </w:r>
      <w:r w:rsidR="000B6C48" w:rsidRPr="00A23FDF">
        <w:rPr>
          <w:color w:val="auto"/>
          <w:lang w:val="en-GB"/>
        </w:rPr>
        <w:t>.M</w:t>
      </w:r>
      <w:proofErr w:type="spellEnd"/>
      <w:r w:rsidR="000B6C48" w:rsidRPr="00A23FDF">
        <w:rPr>
          <w:color w:val="auto"/>
          <w:lang w:val="en-GB"/>
        </w:rPr>
        <w:t xml:space="preserve">); </w:t>
      </w:r>
      <w:hyperlink r:id="rId10" w:history="1">
        <w:r w:rsidR="000B6C48" w:rsidRPr="00A23FDF">
          <w:rPr>
            <w:rStyle w:val="Hyperlink"/>
            <w:color w:val="auto"/>
            <w:u w:val="none"/>
            <w:lang w:val="en-GB"/>
          </w:rPr>
          <w:t>hominhan1604@gmail.com</w:t>
        </w:r>
      </w:hyperlink>
      <w:r w:rsidR="000B6C48" w:rsidRPr="00A23FDF">
        <w:rPr>
          <w:color w:val="auto"/>
          <w:lang w:val="en-GB"/>
        </w:rPr>
        <w:t xml:space="preserve"> (A.</w:t>
      </w:r>
      <w:r w:rsidR="00862403">
        <w:rPr>
          <w:color w:val="auto"/>
          <w:lang w:val="en-GB"/>
        </w:rPr>
        <w:t>H</w:t>
      </w:r>
      <w:r w:rsidR="000B6C48" w:rsidRPr="00A23FDF">
        <w:rPr>
          <w:color w:val="auto"/>
          <w:lang w:val="en-GB"/>
        </w:rPr>
        <w:t xml:space="preserve">.M); </w:t>
      </w:r>
    </w:p>
    <w:p w14:paraId="0A05B09A" w14:textId="75FCAEA5" w:rsidR="00027156" w:rsidRPr="00A23FDF" w:rsidRDefault="007713AF" w:rsidP="00DD185B">
      <w:pPr>
        <w:pStyle w:val="MDPI16affiliation"/>
        <w:rPr>
          <w:color w:val="auto"/>
          <w:lang w:val="en-GB"/>
        </w:rPr>
      </w:pPr>
      <w:r w:rsidRPr="00A23FDF">
        <w:rPr>
          <w:color w:val="auto"/>
          <w:vertAlign w:val="superscript"/>
        </w:rPr>
        <w:t>2</w:t>
      </w:r>
      <w:r w:rsidRPr="00A23FDF">
        <w:rPr>
          <w:color w:val="auto"/>
        </w:rPr>
        <w:tab/>
      </w:r>
      <w:r w:rsidR="00434115" w:rsidRPr="00A23FDF">
        <w:rPr>
          <w:color w:val="auto"/>
        </w:rPr>
        <w:t>E Hospital, Hanoi City 10000, Vietnam</w:t>
      </w:r>
      <w:r w:rsidR="00DD185B" w:rsidRPr="00A23FDF">
        <w:rPr>
          <w:color w:val="auto"/>
        </w:rPr>
        <w:t xml:space="preserve">. </w:t>
      </w:r>
      <w:r w:rsidR="00027156" w:rsidRPr="00A23FDF">
        <w:rPr>
          <w:color w:val="auto"/>
          <w:lang w:val="en-GB"/>
        </w:rPr>
        <w:t xml:space="preserve">Email: </w:t>
      </w:r>
      <w:r w:rsidR="00DD185B" w:rsidRPr="00A23FDF">
        <w:rPr>
          <w:color w:val="auto"/>
        </w:rPr>
        <w:t xml:space="preserve">Email: </w:t>
      </w:r>
      <w:hyperlink r:id="rId11" w:history="1">
        <w:r w:rsidR="00CB24E1" w:rsidRPr="00A23FDF">
          <w:rPr>
            <w:rStyle w:val="Hyperlink"/>
            <w:color w:val="auto"/>
            <w:u w:val="none"/>
          </w:rPr>
          <w:t>vtthuongbve@gmail.com</w:t>
        </w:r>
      </w:hyperlink>
    </w:p>
    <w:p w14:paraId="37B6E834" w14:textId="74206F35" w:rsidR="00DD185B" w:rsidRPr="00A23FDF" w:rsidRDefault="00DD185B" w:rsidP="00027156">
      <w:pPr>
        <w:pStyle w:val="MDPI16affiliation"/>
        <w:rPr>
          <w:color w:val="auto"/>
        </w:rPr>
      </w:pPr>
      <w:r w:rsidRPr="00A23FDF">
        <w:rPr>
          <w:color w:val="auto"/>
          <w:vertAlign w:val="superscript"/>
        </w:rPr>
        <w:t>3</w:t>
      </w:r>
      <w:r w:rsidRPr="00A23FDF">
        <w:rPr>
          <w:color w:val="auto"/>
          <w:szCs w:val="16"/>
        </w:rPr>
        <w:t>School</w:t>
      </w:r>
      <w:r w:rsidRPr="00A23FDF">
        <w:rPr>
          <w:color w:val="auto"/>
          <w:spacing w:val="26"/>
          <w:szCs w:val="16"/>
        </w:rPr>
        <w:t xml:space="preserve"> </w:t>
      </w:r>
      <w:r w:rsidRPr="00A23FDF">
        <w:rPr>
          <w:color w:val="auto"/>
          <w:szCs w:val="16"/>
        </w:rPr>
        <w:t>of</w:t>
      </w:r>
      <w:r w:rsidRPr="00A23FDF">
        <w:rPr>
          <w:color w:val="auto"/>
          <w:spacing w:val="26"/>
          <w:szCs w:val="16"/>
        </w:rPr>
        <w:t xml:space="preserve"> </w:t>
      </w:r>
      <w:r w:rsidRPr="00A23FDF">
        <w:rPr>
          <w:color w:val="auto"/>
          <w:szCs w:val="16"/>
        </w:rPr>
        <w:t>Pharmacy,</w:t>
      </w:r>
      <w:r w:rsidRPr="00A23FDF">
        <w:rPr>
          <w:color w:val="auto"/>
          <w:spacing w:val="26"/>
          <w:szCs w:val="16"/>
        </w:rPr>
        <w:t xml:space="preserve"> </w:t>
      </w:r>
      <w:r w:rsidRPr="00A23FDF">
        <w:rPr>
          <w:color w:val="auto"/>
          <w:szCs w:val="16"/>
        </w:rPr>
        <w:t>University</w:t>
      </w:r>
      <w:r w:rsidRPr="00A23FDF">
        <w:rPr>
          <w:color w:val="auto"/>
          <w:spacing w:val="26"/>
          <w:szCs w:val="16"/>
        </w:rPr>
        <w:t xml:space="preserve"> </w:t>
      </w:r>
      <w:r w:rsidRPr="00A23FDF">
        <w:rPr>
          <w:color w:val="auto"/>
          <w:szCs w:val="16"/>
        </w:rPr>
        <w:t>of</w:t>
      </w:r>
      <w:r w:rsidRPr="00A23FDF">
        <w:rPr>
          <w:color w:val="auto"/>
          <w:spacing w:val="25"/>
          <w:szCs w:val="16"/>
        </w:rPr>
        <w:t xml:space="preserve"> </w:t>
      </w:r>
      <w:r w:rsidRPr="00A23FDF">
        <w:rPr>
          <w:color w:val="auto"/>
          <w:szCs w:val="16"/>
        </w:rPr>
        <w:t>Health</w:t>
      </w:r>
      <w:r w:rsidRPr="00A23FDF">
        <w:rPr>
          <w:color w:val="auto"/>
          <w:spacing w:val="26"/>
          <w:szCs w:val="16"/>
        </w:rPr>
        <w:t xml:space="preserve"> </w:t>
      </w:r>
      <w:r w:rsidRPr="00A23FDF">
        <w:rPr>
          <w:color w:val="auto"/>
          <w:szCs w:val="16"/>
        </w:rPr>
        <w:t>and</w:t>
      </w:r>
      <w:r w:rsidRPr="00A23FDF">
        <w:rPr>
          <w:color w:val="auto"/>
          <w:spacing w:val="26"/>
          <w:szCs w:val="16"/>
        </w:rPr>
        <w:t xml:space="preserve"> </w:t>
      </w:r>
      <w:r w:rsidRPr="00A23FDF">
        <w:rPr>
          <w:color w:val="auto"/>
          <w:szCs w:val="16"/>
        </w:rPr>
        <w:t>Allied</w:t>
      </w:r>
      <w:r w:rsidRPr="00A23FDF">
        <w:rPr>
          <w:color w:val="auto"/>
          <w:spacing w:val="26"/>
          <w:szCs w:val="16"/>
        </w:rPr>
        <w:t xml:space="preserve"> </w:t>
      </w:r>
      <w:r w:rsidRPr="00A23FDF">
        <w:rPr>
          <w:color w:val="auto"/>
          <w:szCs w:val="16"/>
        </w:rPr>
        <w:t>Sciences,</w:t>
      </w:r>
      <w:r w:rsidRPr="00A23FDF">
        <w:rPr>
          <w:color w:val="auto"/>
          <w:spacing w:val="26"/>
          <w:szCs w:val="16"/>
        </w:rPr>
        <w:t xml:space="preserve"> </w:t>
      </w:r>
      <w:r w:rsidRPr="00A23FDF">
        <w:rPr>
          <w:color w:val="auto"/>
          <w:szCs w:val="16"/>
        </w:rPr>
        <w:t>Volta</w:t>
      </w:r>
      <w:r w:rsidRPr="00A23FDF">
        <w:rPr>
          <w:color w:val="auto"/>
          <w:spacing w:val="25"/>
          <w:szCs w:val="16"/>
        </w:rPr>
        <w:t xml:space="preserve"> </w:t>
      </w:r>
      <w:r w:rsidRPr="00A23FDF">
        <w:rPr>
          <w:color w:val="auto"/>
          <w:szCs w:val="16"/>
        </w:rPr>
        <w:t>Region,</w:t>
      </w:r>
      <w:r w:rsidRPr="00A23FDF">
        <w:rPr>
          <w:color w:val="auto"/>
          <w:spacing w:val="26"/>
          <w:szCs w:val="16"/>
        </w:rPr>
        <w:t xml:space="preserve"> </w:t>
      </w:r>
      <w:r w:rsidRPr="00A23FDF">
        <w:rPr>
          <w:color w:val="auto"/>
          <w:szCs w:val="16"/>
        </w:rPr>
        <w:t>Ho</w:t>
      </w:r>
      <w:r w:rsidRPr="00A23FDF">
        <w:rPr>
          <w:color w:val="auto"/>
          <w:spacing w:val="26"/>
          <w:szCs w:val="16"/>
        </w:rPr>
        <w:t xml:space="preserve"> </w:t>
      </w:r>
      <w:r w:rsidRPr="00A23FDF">
        <w:rPr>
          <w:color w:val="auto"/>
          <w:szCs w:val="16"/>
        </w:rPr>
        <w:t>PMB</w:t>
      </w:r>
      <w:r w:rsidRPr="00A23FDF">
        <w:rPr>
          <w:color w:val="auto"/>
          <w:spacing w:val="26"/>
          <w:szCs w:val="16"/>
        </w:rPr>
        <w:t xml:space="preserve"> </w:t>
      </w:r>
      <w:r w:rsidRPr="00A23FDF">
        <w:rPr>
          <w:color w:val="auto"/>
          <w:szCs w:val="16"/>
        </w:rPr>
        <w:t>31,</w:t>
      </w:r>
      <w:r w:rsidRPr="00A23FDF">
        <w:rPr>
          <w:color w:val="auto"/>
          <w:spacing w:val="26"/>
          <w:szCs w:val="16"/>
        </w:rPr>
        <w:t xml:space="preserve"> </w:t>
      </w:r>
      <w:r w:rsidRPr="00A23FDF">
        <w:rPr>
          <w:color w:val="auto"/>
          <w:spacing w:val="-2"/>
          <w:szCs w:val="16"/>
        </w:rPr>
        <w:t xml:space="preserve">Ghana. </w:t>
      </w:r>
      <w:r w:rsidRPr="00A23FDF">
        <w:rPr>
          <w:color w:val="auto"/>
          <w:szCs w:val="16"/>
        </w:rPr>
        <w:t>Email:</w:t>
      </w:r>
      <w:r w:rsidRPr="00A23FDF">
        <w:rPr>
          <w:color w:val="auto"/>
          <w:spacing w:val="-1"/>
          <w:szCs w:val="16"/>
        </w:rPr>
        <w:t xml:space="preserve"> </w:t>
      </w:r>
      <w:hyperlink r:id="rId12">
        <w:r w:rsidRPr="00A23FDF">
          <w:rPr>
            <w:color w:val="auto"/>
            <w:szCs w:val="16"/>
          </w:rPr>
          <w:t>isefah@uhas.edu.gh</w:t>
        </w:r>
      </w:hyperlink>
      <w:r w:rsidRPr="00A23FDF">
        <w:rPr>
          <w:color w:val="auto"/>
          <w:spacing w:val="-1"/>
          <w:szCs w:val="16"/>
        </w:rPr>
        <w:t xml:space="preserve"> </w:t>
      </w:r>
      <w:r w:rsidRPr="00A23FDF">
        <w:rPr>
          <w:color w:val="auto"/>
          <w:szCs w:val="16"/>
        </w:rPr>
        <w:t>(IAS)</w:t>
      </w:r>
    </w:p>
    <w:p w14:paraId="756C2B4D" w14:textId="53CC0004" w:rsidR="00DD185B" w:rsidRPr="00A23FDF" w:rsidRDefault="00DD185B" w:rsidP="00DD185B">
      <w:pPr>
        <w:pStyle w:val="MDPI16affiliation"/>
        <w:rPr>
          <w:color w:val="auto"/>
          <w:lang w:val="en-ZA"/>
        </w:rPr>
      </w:pPr>
      <w:r w:rsidRPr="00A23FDF">
        <w:rPr>
          <w:color w:val="auto"/>
          <w:vertAlign w:val="superscript"/>
        </w:rPr>
        <w:t>4</w:t>
      </w:r>
      <w:r w:rsidRPr="00A23FDF">
        <w:rPr>
          <w:color w:val="auto"/>
        </w:rPr>
        <w:t xml:space="preserve">Department of Public Health Pharmacy and Management, School of Pharmacy, </w:t>
      </w:r>
      <w:proofErr w:type="spellStart"/>
      <w:r w:rsidRPr="00A23FDF">
        <w:rPr>
          <w:color w:val="auto"/>
        </w:rPr>
        <w:t>Sefako</w:t>
      </w:r>
      <w:proofErr w:type="spellEnd"/>
      <w:r w:rsidRPr="00A23FDF">
        <w:rPr>
          <w:color w:val="auto"/>
        </w:rPr>
        <w:t xml:space="preserve"> Makgatho Health Sciences University, Ga-Rankuwa, 0208, South Africa. Email: </w:t>
      </w:r>
      <w:hyperlink r:id="rId13" w:history="1">
        <w:r w:rsidRPr="00A23FDF">
          <w:rPr>
            <w:rStyle w:val="Hyperlink"/>
            <w:color w:val="auto"/>
            <w:u w:val="none"/>
            <w:lang w:val="en-ZA"/>
          </w:rPr>
          <w:t>brian.godman@smu.ac.za</w:t>
        </w:r>
      </w:hyperlink>
      <w:r w:rsidRPr="00A23FDF">
        <w:rPr>
          <w:color w:val="auto"/>
        </w:rPr>
        <w:t xml:space="preserve"> (BG)</w:t>
      </w:r>
      <w:r w:rsidRPr="00A23FDF">
        <w:rPr>
          <w:color w:val="auto"/>
          <w:lang w:val="en-ZA"/>
        </w:rPr>
        <w:t xml:space="preserve">; </w:t>
      </w:r>
      <w:hyperlink r:id="rId14" w:history="1">
        <w:r w:rsidRPr="00A23FDF">
          <w:rPr>
            <w:rStyle w:val="Hyperlink"/>
            <w:color w:val="auto"/>
            <w:u w:val="none"/>
          </w:rPr>
          <w:t>Hannelie.meyer@smu.ac.za</w:t>
        </w:r>
      </w:hyperlink>
      <w:r w:rsidRPr="00A23FDF">
        <w:rPr>
          <w:color w:val="auto"/>
        </w:rPr>
        <w:t xml:space="preserve"> (JCM); </w:t>
      </w:r>
      <w:r w:rsidRPr="00A23FDF">
        <w:rPr>
          <w:color w:val="auto"/>
          <w:lang w:val="en-ZA"/>
        </w:rPr>
        <w:t xml:space="preserve">ORCID Number: 0000-0001-6539-6972 (BG); </w:t>
      </w:r>
      <w:r w:rsidRPr="00A23FDF">
        <w:rPr>
          <w:color w:val="auto"/>
        </w:rPr>
        <w:t>0000-0003-0462-5713 (JCM)</w:t>
      </w:r>
    </w:p>
    <w:p w14:paraId="51C6208F" w14:textId="491FAF68" w:rsidR="00DD185B" w:rsidRPr="00A23FDF" w:rsidRDefault="00DD185B" w:rsidP="00DD185B">
      <w:pPr>
        <w:pStyle w:val="MDPI16affiliation"/>
        <w:rPr>
          <w:color w:val="auto"/>
        </w:rPr>
      </w:pPr>
      <w:r w:rsidRPr="00A23FDF">
        <w:rPr>
          <w:color w:val="auto"/>
          <w:vertAlign w:val="superscript"/>
        </w:rPr>
        <w:t>5</w:t>
      </w:r>
      <w:r w:rsidRPr="00A23FDF">
        <w:rPr>
          <w:color w:val="auto"/>
        </w:rPr>
        <w:t xml:space="preserve">Strathclyde Institute of Pharmacy and Biomedical Sciences, University of Strathclyde, Glasgow G4 0RE, UK. Email: </w:t>
      </w:r>
      <w:hyperlink r:id="rId15" w:history="1">
        <w:r w:rsidRPr="00A23FDF">
          <w:rPr>
            <w:rStyle w:val="Hyperlink"/>
            <w:color w:val="auto"/>
            <w:u w:val="none"/>
          </w:rPr>
          <w:t>Brian.Godman@strath.ac.uk</w:t>
        </w:r>
      </w:hyperlink>
    </w:p>
    <w:p w14:paraId="38DBE3E5" w14:textId="1EE5C484" w:rsidR="00DD185B" w:rsidRPr="00A23FDF" w:rsidRDefault="00DD185B" w:rsidP="00DD185B">
      <w:pPr>
        <w:pStyle w:val="MDPI16affiliation"/>
        <w:rPr>
          <w:color w:val="auto"/>
        </w:rPr>
      </w:pPr>
      <w:r w:rsidRPr="00A23FDF">
        <w:rPr>
          <w:color w:val="auto"/>
          <w:vertAlign w:val="superscript"/>
        </w:rPr>
        <w:t>6</w:t>
      </w:r>
      <w:r w:rsidRPr="00A23FDF">
        <w:rPr>
          <w:color w:val="auto"/>
        </w:rPr>
        <w:t>Antibiotic Policy Group, City St. George’s, University of London, London SW17 0RE, UK</w:t>
      </w:r>
    </w:p>
    <w:p w14:paraId="37A7A0F9" w14:textId="4D0C5A44" w:rsidR="00DD185B" w:rsidRPr="00A23FDF" w:rsidRDefault="00DD185B" w:rsidP="00445DA1">
      <w:pPr>
        <w:pStyle w:val="MDPI16affiliation"/>
        <w:ind w:left="2608" w:firstLine="0"/>
        <w:rPr>
          <w:color w:val="auto"/>
        </w:rPr>
      </w:pPr>
      <w:r w:rsidRPr="00A23FDF">
        <w:rPr>
          <w:color w:val="auto"/>
          <w:vertAlign w:val="superscript"/>
        </w:rPr>
        <w:t>7</w:t>
      </w:r>
      <w:r w:rsidRPr="00A23FDF">
        <w:rPr>
          <w:color w:val="auto"/>
        </w:rPr>
        <w:t xml:space="preserve">South African Vaccination and </w:t>
      </w:r>
      <w:proofErr w:type="spellStart"/>
      <w:r w:rsidRPr="00A23FDF">
        <w:rPr>
          <w:color w:val="auto"/>
        </w:rPr>
        <w:t>Immunisation</w:t>
      </w:r>
      <w:proofErr w:type="spellEnd"/>
      <w:r w:rsidRPr="00A23FDF">
        <w:rPr>
          <w:color w:val="auto"/>
        </w:rPr>
        <w:t xml:space="preserve"> Centre, </w:t>
      </w:r>
      <w:proofErr w:type="spellStart"/>
      <w:r w:rsidRPr="00A23FDF">
        <w:rPr>
          <w:color w:val="auto"/>
        </w:rPr>
        <w:t>Sefako</w:t>
      </w:r>
      <w:proofErr w:type="spellEnd"/>
      <w:r w:rsidRPr="00A23FDF">
        <w:rPr>
          <w:color w:val="auto"/>
        </w:rPr>
        <w:t xml:space="preserve"> Makgatho Health Sciences University, Ga-Rankuwa, 0208, South Africa; hannelie.meyer@smu.ac.za</w:t>
      </w:r>
    </w:p>
    <w:p w14:paraId="73B778AD" w14:textId="0627507B" w:rsidR="00027156" w:rsidRPr="00A23FDF" w:rsidRDefault="007713AF" w:rsidP="00F673F4">
      <w:pPr>
        <w:pStyle w:val="MDPI16affiliation"/>
        <w:rPr>
          <w:color w:val="auto"/>
        </w:rPr>
      </w:pPr>
      <w:r w:rsidRPr="00A23FDF">
        <w:rPr>
          <w:b/>
          <w:color w:val="auto"/>
        </w:rPr>
        <w:t>*</w:t>
      </w:r>
      <w:r w:rsidRPr="00A23FDF">
        <w:rPr>
          <w:color w:val="auto"/>
        </w:rPr>
        <w:tab/>
        <w:t xml:space="preserve">Correspondence: </w:t>
      </w:r>
      <w:hyperlink r:id="rId16" w:history="1">
        <w:r w:rsidR="00203C67" w:rsidRPr="00A23FDF">
          <w:rPr>
            <w:rStyle w:val="Hyperlink"/>
            <w:color w:val="auto"/>
            <w:u w:val="none"/>
            <w:lang w:val="en-GB"/>
          </w:rPr>
          <w:t>thuy_ntp@hup.edu.vn</w:t>
        </w:r>
      </w:hyperlink>
      <w:r w:rsidR="00027156" w:rsidRPr="00A23FDF">
        <w:rPr>
          <w:color w:val="auto"/>
          <w:lang w:val="en-GB"/>
        </w:rPr>
        <w:t xml:space="preserve"> (T.N.T.P); brian.godman@smu.ac.za (B.G.)</w:t>
      </w:r>
    </w:p>
    <w:p w14:paraId="6559747C" w14:textId="2C69327C" w:rsidR="003A5237" w:rsidRPr="00681243" w:rsidRDefault="00166B96" w:rsidP="00D764F8">
      <w:pPr>
        <w:pStyle w:val="MDPI17abstract"/>
        <w:rPr>
          <w:color w:val="auto"/>
          <w:szCs w:val="20"/>
        </w:rPr>
      </w:pPr>
      <w:r w:rsidRPr="00517440">
        <w:rPr>
          <w:b/>
          <w:szCs w:val="18"/>
        </w:rPr>
        <w:t xml:space="preserve">Abstract: </w:t>
      </w:r>
      <w:r w:rsidR="003A5237" w:rsidRPr="003A5237">
        <w:rPr>
          <w:b/>
          <w:bCs/>
          <w:i/>
          <w:iCs/>
          <w:color w:val="auto"/>
          <w:szCs w:val="20"/>
        </w:rPr>
        <w:t>Background</w:t>
      </w:r>
      <w:r w:rsidR="003A5237" w:rsidRPr="003A5237">
        <w:rPr>
          <w:color w:val="auto"/>
          <w:szCs w:val="20"/>
        </w:rPr>
        <w:t xml:space="preserve">: </w:t>
      </w:r>
      <w:bookmarkStart w:id="0" w:name="_Hlk197924652"/>
      <w:r w:rsidR="003A5237" w:rsidRPr="006003A3">
        <w:rPr>
          <w:color w:val="auto"/>
          <w:szCs w:val="20"/>
        </w:rPr>
        <w:t>Community-acquired p</w:t>
      </w:r>
      <w:r w:rsidR="003A5237" w:rsidRPr="006003A3">
        <w:rPr>
          <w:color w:val="auto"/>
          <w:szCs w:val="20"/>
          <w:lang w:val="vi-VN"/>
        </w:rPr>
        <w:t>neumonia</w:t>
      </w:r>
      <w:r w:rsidR="003A5237" w:rsidRPr="006003A3">
        <w:rPr>
          <w:color w:val="auto"/>
          <w:szCs w:val="20"/>
        </w:rPr>
        <w:t xml:space="preserve"> (CAP) </w:t>
      </w:r>
      <w:r w:rsidR="003A5237" w:rsidRPr="006003A3">
        <w:rPr>
          <w:color w:val="auto"/>
          <w:szCs w:val="20"/>
          <w:lang w:val="vi-VN"/>
        </w:rPr>
        <w:t>is the leading cause of death in infants aged 1-59 months</w:t>
      </w:r>
      <w:r w:rsidR="003A5237" w:rsidRPr="006003A3">
        <w:rPr>
          <w:szCs w:val="20"/>
        </w:rPr>
        <w:t>. Concurrent with this</w:t>
      </w:r>
      <w:r w:rsidR="00445DA1" w:rsidRPr="006003A3">
        <w:rPr>
          <w:szCs w:val="20"/>
        </w:rPr>
        <w:t>,</w:t>
      </w:r>
      <w:r w:rsidR="003A5237" w:rsidRPr="006003A3">
        <w:rPr>
          <w:szCs w:val="20"/>
        </w:rPr>
        <w:t xml:space="preserve"> </w:t>
      </w:r>
      <w:r w:rsidR="00445DA1" w:rsidRPr="006003A3">
        <w:rPr>
          <w:szCs w:val="20"/>
        </w:rPr>
        <w:t xml:space="preserve">there </w:t>
      </w:r>
      <w:r w:rsidR="003A5237" w:rsidRPr="006003A3">
        <w:rPr>
          <w:szCs w:val="20"/>
        </w:rPr>
        <w:t xml:space="preserve">is a need to prescribe antibiotics wisely in Vietnam due to concerns with </w:t>
      </w:r>
      <w:r w:rsidR="00B32C60" w:rsidRPr="006003A3">
        <w:rPr>
          <w:szCs w:val="20"/>
        </w:rPr>
        <w:t xml:space="preserve">rising </w:t>
      </w:r>
      <w:r w:rsidR="003A5237" w:rsidRPr="006003A3">
        <w:rPr>
          <w:szCs w:val="20"/>
        </w:rPr>
        <w:t xml:space="preserve">antimicrobial resistance </w:t>
      </w:r>
      <w:r w:rsidR="00445DA1" w:rsidRPr="006003A3">
        <w:rPr>
          <w:szCs w:val="20"/>
        </w:rPr>
        <w:t>(AMR)</w:t>
      </w:r>
      <w:r w:rsidR="003A5237" w:rsidRPr="006003A3">
        <w:rPr>
          <w:szCs w:val="20"/>
        </w:rPr>
        <w:t xml:space="preserve">. Consequently, an urgent need to treat patients according to agreed guidelines. </w:t>
      </w:r>
      <w:r w:rsidR="003A5237" w:rsidRPr="006003A3">
        <w:rPr>
          <w:color w:val="auto"/>
          <w:szCs w:val="20"/>
          <w:lang w:val="vi-VN"/>
        </w:rPr>
        <w:t>Th</w:t>
      </w:r>
      <w:r w:rsidR="003A5237" w:rsidRPr="006003A3">
        <w:rPr>
          <w:szCs w:val="20"/>
        </w:rPr>
        <w:t>e aim of</w:t>
      </w:r>
      <w:r w:rsidR="003A5237" w:rsidRPr="006003A3">
        <w:rPr>
          <w:color w:val="auto"/>
          <w:szCs w:val="20"/>
          <w:lang w:val="vi-VN"/>
        </w:rPr>
        <w:t xml:space="preserve"> </w:t>
      </w:r>
      <w:r w:rsidR="003A5237" w:rsidRPr="006003A3">
        <w:rPr>
          <w:szCs w:val="20"/>
        </w:rPr>
        <w:t xml:space="preserve">this study was </w:t>
      </w:r>
      <w:r w:rsidR="003A5237" w:rsidRPr="006003A3">
        <w:rPr>
          <w:color w:val="auto"/>
          <w:szCs w:val="20"/>
          <w:lang w:val="vi-VN"/>
        </w:rPr>
        <w:t xml:space="preserve">to investigate </w:t>
      </w:r>
      <w:r w:rsidR="003A5237" w:rsidRPr="006003A3">
        <w:rPr>
          <w:szCs w:val="20"/>
        </w:rPr>
        <w:t>current management of</w:t>
      </w:r>
      <w:r w:rsidR="003A5237" w:rsidRPr="006003A3">
        <w:rPr>
          <w:color w:val="auto"/>
          <w:szCs w:val="20"/>
          <w:lang w:val="vi-VN"/>
        </w:rPr>
        <w:t xml:space="preserve">  infants under five years old</w:t>
      </w:r>
      <w:r w:rsidR="003A5237" w:rsidRPr="006003A3">
        <w:rPr>
          <w:szCs w:val="20"/>
        </w:rPr>
        <w:t xml:space="preserve"> with CAP in Vietnam as well as </w:t>
      </w:r>
      <w:r w:rsidR="003A5237" w:rsidRPr="006003A3">
        <w:rPr>
          <w:color w:val="auto"/>
          <w:szCs w:val="20"/>
          <w:lang w:val="vi-VN"/>
        </w:rPr>
        <w:t xml:space="preserve">identify </w:t>
      </w:r>
      <w:r w:rsidR="003A5237" w:rsidRPr="006003A3">
        <w:rPr>
          <w:szCs w:val="20"/>
        </w:rPr>
        <w:t xml:space="preserve">possible </w:t>
      </w:r>
      <w:r w:rsidR="003A5237" w:rsidRPr="006003A3">
        <w:rPr>
          <w:color w:val="auto"/>
          <w:szCs w:val="20"/>
          <w:lang w:val="vi-VN"/>
        </w:rPr>
        <w:t xml:space="preserve">obstacles to adhering to national guidelines. </w:t>
      </w:r>
      <w:r w:rsidR="003A5237" w:rsidRPr="006003A3">
        <w:rPr>
          <w:szCs w:val="20"/>
        </w:rPr>
        <w:t xml:space="preserve"> </w:t>
      </w:r>
      <w:r w:rsidR="003A5237" w:rsidRPr="006003A3">
        <w:rPr>
          <w:b/>
          <w:bCs/>
          <w:i/>
          <w:iCs/>
          <w:color w:val="auto"/>
          <w:szCs w:val="20"/>
        </w:rPr>
        <w:t>Method</w:t>
      </w:r>
      <w:r w:rsidR="003A5237" w:rsidRPr="006003A3">
        <w:rPr>
          <w:b/>
          <w:bCs/>
          <w:i/>
          <w:iCs/>
          <w:szCs w:val="20"/>
        </w:rPr>
        <w:t>s</w:t>
      </w:r>
      <w:r w:rsidR="003A5237" w:rsidRPr="006003A3">
        <w:rPr>
          <w:color w:val="auto"/>
          <w:szCs w:val="20"/>
        </w:rPr>
        <w:t xml:space="preserve">: </w:t>
      </w:r>
      <w:r w:rsidR="003A5237" w:rsidRPr="006003A3">
        <w:rPr>
          <w:szCs w:val="20"/>
        </w:rPr>
        <w:t xml:space="preserve">A </w:t>
      </w:r>
      <w:r w:rsidR="003A5237" w:rsidRPr="006003A3">
        <w:rPr>
          <w:color w:val="auto"/>
          <w:szCs w:val="20"/>
        </w:rPr>
        <w:t>mixed</w:t>
      </w:r>
      <w:r w:rsidR="003A5237" w:rsidRPr="006003A3">
        <w:rPr>
          <w:szCs w:val="20"/>
        </w:rPr>
        <w:t>-</w:t>
      </w:r>
      <w:r w:rsidR="003A5237" w:rsidRPr="006003A3">
        <w:rPr>
          <w:color w:val="auto"/>
          <w:szCs w:val="20"/>
        </w:rPr>
        <w:t>method</w:t>
      </w:r>
      <w:r w:rsidR="003A5237" w:rsidRPr="006003A3">
        <w:rPr>
          <w:szCs w:val="20"/>
        </w:rPr>
        <w:t xml:space="preserve"> approach was used incorporating</w:t>
      </w:r>
      <w:r w:rsidR="003A5237" w:rsidRPr="006003A3">
        <w:rPr>
          <w:color w:val="auto"/>
          <w:szCs w:val="20"/>
          <w:lang w:val="vi-VN"/>
        </w:rPr>
        <w:t xml:space="preserve"> both quantitative and qualitative data analysis</w:t>
      </w:r>
      <w:r w:rsidR="003A5237" w:rsidRPr="006003A3">
        <w:rPr>
          <w:szCs w:val="20"/>
        </w:rPr>
        <w:t xml:space="preserve"> in a leading hospital </w:t>
      </w:r>
      <w:r w:rsidR="00B32C60" w:rsidRPr="006003A3">
        <w:rPr>
          <w:szCs w:val="20"/>
        </w:rPr>
        <w:t>in Vietnam</w:t>
      </w:r>
      <w:r w:rsidR="00B6301D">
        <w:rPr>
          <w:szCs w:val="20"/>
        </w:rPr>
        <w:t>, which</w:t>
      </w:r>
      <w:r w:rsidR="00B32C60" w:rsidRPr="006003A3">
        <w:rPr>
          <w:szCs w:val="20"/>
        </w:rPr>
        <w:t xml:space="preserve"> </w:t>
      </w:r>
      <w:r w:rsidR="003A5237" w:rsidRPr="006003A3">
        <w:rPr>
          <w:szCs w:val="20"/>
        </w:rPr>
        <w:t>influenc</w:t>
      </w:r>
      <w:r w:rsidR="00B6301D">
        <w:rPr>
          <w:szCs w:val="20"/>
        </w:rPr>
        <w:t>es</w:t>
      </w:r>
      <w:r w:rsidR="003A5237" w:rsidRPr="006003A3">
        <w:rPr>
          <w:szCs w:val="20"/>
        </w:rPr>
        <w:t xml:space="preserve"> others</w:t>
      </w:r>
      <w:r w:rsidR="003A5237" w:rsidRPr="006003A3">
        <w:rPr>
          <w:color w:val="auto"/>
          <w:szCs w:val="20"/>
        </w:rPr>
        <w:t xml:space="preserve">. </w:t>
      </w:r>
      <w:r w:rsidR="003A5237" w:rsidRPr="006003A3">
        <w:rPr>
          <w:szCs w:val="20"/>
        </w:rPr>
        <w:t>D</w:t>
      </w:r>
      <w:r w:rsidR="003A5237" w:rsidRPr="006003A3">
        <w:rPr>
          <w:color w:val="auto"/>
          <w:szCs w:val="20"/>
        </w:rPr>
        <w:t xml:space="preserve">ata from 108 pediatric patient records </w:t>
      </w:r>
      <w:r w:rsidR="003A5237" w:rsidRPr="006003A3">
        <w:rPr>
          <w:szCs w:val="20"/>
        </w:rPr>
        <w:t xml:space="preserve">were collected and </w:t>
      </w:r>
      <w:r w:rsidR="00C57F0D" w:rsidRPr="006003A3">
        <w:rPr>
          <w:szCs w:val="20"/>
        </w:rPr>
        <w:t>analyzed</w:t>
      </w:r>
      <w:r w:rsidR="003A5237" w:rsidRPr="006003A3">
        <w:rPr>
          <w:szCs w:val="20"/>
        </w:rPr>
        <w:t xml:space="preserve">. </w:t>
      </w:r>
      <w:r w:rsidR="00B32C60" w:rsidRPr="006003A3">
        <w:rPr>
          <w:szCs w:val="20"/>
        </w:rPr>
        <w:t>Subsequently</w:t>
      </w:r>
      <w:r w:rsidR="003A5237" w:rsidRPr="006003A3">
        <w:rPr>
          <w:szCs w:val="20"/>
        </w:rPr>
        <w:t xml:space="preserve">, </w:t>
      </w:r>
      <w:r w:rsidR="003A5237" w:rsidRPr="006003A3">
        <w:rPr>
          <w:color w:val="auto"/>
          <w:szCs w:val="20"/>
        </w:rPr>
        <w:t xml:space="preserve">in-depth interviews </w:t>
      </w:r>
      <w:r w:rsidR="003A5237" w:rsidRPr="006003A3">
        <w:rPr>
          <w:szCs w:val="20"/>
        </w:rPr>
        <w:t xml:space="preserve">were conducted </w:t>
      </w:r>
      <w:r w:rsidR="003A5237" w:rsidRPr="006003A3">
        <w:rPr>
          <w:color w:val="auto"/>
          <w:szCs w:val="20"/>
        </w:rPr>
        <w:t xml:space="preserve">with pediatric doctors </w:t>
      </w:r>
      <w:r w:rsidR="003A5237" w:rsidRPr="006003A3">
        <w:rPr>
          <w:szCs w:val="20"/>
        </w:rPr>
        <w:t>treating these patients to ascertain possible reasons for non-adherence to guidelines</w:t>
      </w:r>
      <w:r w:rsidR="003A5237" w:rsidRPr="006003A3">
        <w:rPr>
          <w:color w:val="auto"/>
          <w:szCs w:val="20"/>
        </w:rPr>
        <w:t xml:space="preserve">. </w:t>
      </w:r>
      <w:r w:rsidR="003A5237" w:rsidRPr="006003A3">
        <w:rPr>
          <w:szCs w:val="20"/>
        </w:rPr>
        <w:t xml:space="preserve"> </w:t>
      </w:r>
      <w:r w:rsidR="003A5237" w:rsidRPr="006003A3">
        <w:rPr>
          <w:b/>
          <w:bCs/>
          <w:i/>
          <w:iCs/>
          <w:color w:val="auto"/>
          <w:szCs w:val="20"/>
        </w:rPr>
        <w:t>Results</w:t>
      </w:r>
      <w:r w:rsidR="003A5237" w:rsidRPr="006003A3">
        <w:rPr>
          <w:i/>
          <w:iCs/>
          <w:color w:val="auto"/>
          <w:szCs w:val="20"/>
        </w:rPr>
        <w:t xml:space="preserve">: </w:t>
      </w:r>
      <w:r w:rsidR="003A5237" w:rsidRPr="006003A3">
        <w:rPr>
          <w:color w:val="auto"/>
          <w:szCs w:val="20"/>
          <w:lang w:val="vi-VN"/>
        </w:rPr>
        <w:t xml:space="preserve">The </w:t>
      </w:r>
      <w:r w:rsidR="003A5237" w:rsidRPr="006003A3">
        <w:rPr>
          <w:color w:val="auto"/>
          <w:szCs w:val="20"/>
        </w:rPr>
        <w:t>mean</w:t>
      </w:r>
      <w:r w:rsidR="003A5237" w:rsidRPr="006003A3">
        <w:rPr>
          <w:color w:val="auto"/>
          <w:szCs w:val="20"/>
          <w:lang w:val="vi-VN"/>
        </w:rPr>
        <w:t xml:space="preserve"> age of children diagnosed with </w:t>
      </w:r>
      <w:r w:rsidR="003A5237" w:rsidRPr="006003A3">
        <w:rPr>
          <w:szCs w:val="20"/>
        </w:rPr>
        <w:t>CAP</w:t>
      </w:r>
      <w:r w:rsidR="003A5237" w:rsidRPr="006003A3">
        <w:rPr>
          <w:color w:val="auto"/>
          <w:szCs w:val="20"/>
          <w:lang w:val="vi-VN"/>
        </w:rPr>
        <w:t xml:space="preserve"> was 27.94 ± 12.99 months,</w:t>
      </w:r>
      <w:r w:rsidR="003A5237" w:rsidRPr="006003A3">
        <w:rPr>
          <w:color w:val="auto"/>
          <w:szCs w:val="20"/>
        </w:rPr>
        <w:t xml:space="preserve"> </w:t>
      </w:r>
      <w:r w:rsidR="003A5237" w:rsidRPr="006003A3">
        <w:rPr>
          <w:szCs w:val="20"/>
        </w:rPr>
        <w:t xml:space="preserve">with </w:t>
      </w:r>
      <w:r w:rsidR="003A5237" w:rsidRPr="006003A3">
        <w:rPr>
          <w:color w:val="auto"/>
          <w:szCs w:val="20"/>
          <w:lang w:val="vi-VN"/>
        </w:rPr>
        <w:t>82.4%</w:t>
      </w:r>
      <w:r w:rsidR="003A5237" w:rsidRPr="006003A3">
        <w:rPr>
          <w:szCs w:val="20"/>
        </w:rPr>
        <w:t xml:space="preserve"> having</w:t>
      </w:r>
      <w:r w:rsidR="003A5237" w:rsidRPr="006003A3">
        <w:rPr>
          <w:color w:val="auto"/>
          <w:szCs w:val="20"/>
          <w:lang w:val="vi-VN"/>
        </w:rPr>
        <w:t xml:space="preserve"> non-severe </w:t>
      </w:r>
      <w:r w:rsidR="003A5237" w:rsidRPr="006003A3">
        <w:rPr>
          <w:szCs w:val="20"/>
        </w:rPr>
        <w:t>CAP</w:t>
      </w:r>
      <w:r w:rsidR="00C47491" w:rsidRPr="006003A3">
        <w:rPr>
          <w:szCs w:val="20"/>
        </w:rPr>
        <w:t xml:space="preserve"> and </w:t>
      </w:r>
      <w:r w:rsidR="003A5237" w:rsidRPr="006003A3">
        <w:rPr>
          <w:color w:val="auto"/>
          <w:szCs w:val="20"/>
          <w:lang w:val="vi-VN"/>
        </w:rPr>
        <w:t>41.7% of children ha</w:t>
      </w:r>
      <w:r w:rsidR="003A5237" w:rsidRPr="006003A3">
        <w:rPr>
          <w:color w:val="auto"/>
          <w:szCs w:val="20"/>
        </w:rPr>
        <w:t>d</w:t>
      </w:r>
      <w:r w:rsidR="003A5237" w:rsidRPr="006003A3">
        <w:rPr>
          <w:color w:val="auto"/>
          <w:szCs w:val="20"/>
          <w:lang w:val="vi-VN"/>
        </w:rPr>
        <w:t xml:space="preserve"> previously used antibiotics before </w:t>
      </w:r>
      <w:r w:rsidR="003A5237" w:rsidRPr="006003A3">
        <w:rPr>
          <w:color w:val="auto"/>
          <w:szCs w:val="20"/>
        </w:rPr>
        <w:t>hospitalization</w:t>
      </w:r>
      <w:r w:rsidR="003A5237" w:rsidRPr="006003A3">
        <w:rPr>
          <w:color w:val="auto"/>
          <w:szCs w:val="20"/>
          <w:lang w:val="vi-VN"/>
        </w:rPr>
        <w:t>.</w:t>
      </w:r>
      <w:r w:rsidR="00C47491" w:rsidRPr="006003A3">
        <w:rPr>
          <w:color w:val="auto"/>
          <w:szCs w:val="20"/>
        </w:rPr>
        <w:t xml:space="preserve"> The median length of hospital stay was 7 days. </w:t>
      </w:r>
      <w:r w:rsidR="00592AFC" w:rsidRPr="006003A3">
        <w:rPr>
          <w:szCs w:val="20"/>
        </w:rPr>
        <w:t>All children were prescribed antibiotics</w:t>
      </w:r>
      <w:r w:rsidR="003A5237" w:rsidRPr="006003A3">
        <w:rPr>
          <w:szCs w:val="20"/>
        </w:rPr>
        <w:t>,</w:t>
      </w:r>
      <w:r w:rsidR="003A5237" w:rsidRPr="006003A3">
        <w:rPr>
          <w:color w:val="auto"/>
          <w:szCs w:val="20"/>
          <w:lang w:val="vi-VN"/>
        </w:rPr>
        <w:t xml:space="preserve"> 91.</w:t>
      </w:r>
      <w:r w:rsidR="00FC5834" w:rsidRPr="006003A3">
        <w:rPr>
          <w:color w:val="auto"/>
          <w:szCs w:val="20"/>
          <w:lang w:val="en-GB"/>
        </w:rPr>
        <w:t>4</w:t>
      </w:r>
      <w:r w:rsidR="003A5237" w:rsidRPr="006003A3">
        <w:rPr>
          <w:color w:val="auto"/>
          <w:szCs w:val="20"/>
          <w:lang w:val="vi-VN"/>
        </w:rPr>
        <w:t xml:space="preserve">% of children received </w:t>
      </w:r>
      <w:r w:rsidR="00592AFC" w:rsidRPr="006003A3">
        <w:rPr>
          <w:color w:val="auto"/>
          <w:szCs w:val="20"/>
          <w:lang w:val="en-GB"/>
        </w:rPr>
        <w:t xml:space="preserve">these </w:t>
      </w:r>
      <w:r w:rsidR="009338FC" w:rsidRPr="006003A3">
        <w:rPr>
          <w:color w:val="auto"/>
          <w:szCs w:val="20"/>
          <w:lang w:val="en-GB"/>
        </w:rPr>
        <w:t>initially</w:t>
      </w:r>
      <w:r w:rsidR="003A5237" w:rsidRPr="006003A3">
        <w:rPr>
          <w:color w:val="auto"/>
          <w:szCs w:val="20"/>
          <w:lang w:val="vi-VN"/>
        </w:rPr>
        <w:t xml:space="preserve"> </w:t>
      </w:r>
      <w:r w:rsidR="009338FC" w:rsidRPr="006003A3">
        <w:rPr>
          <w:color w:val="auto"/>
          <w:szCs w:val="20"/>
          <w:lang w:val="en-GB"/>
        </w:rPr>
        <w:t>intravenously</w:t>
      </w:r>
      <w:r w:rsidR="003A5237" w:rsidRPr="006003A3">
        <w:rPr>
          <w:color w:val="auto"/>
          <w:szCs w:val="20"/>
          <w:lang w:val="vi-VN"/>
        </w:rPr>
        <w:t>, with</w:t>
      </w:r>
      <w:r w:rsidR="003A5237" w:rsidRPr="006003A3">
        <w:rPr>
          <w:color w:val="auto"/>
          <w:szCs w:val="20"/>
        </w:rPr>
        <w:t xml:space="preserve"> 3</w:t>
      </w:r>
      <w:r w:rsidR="003A5237" w:rsidRPr="006003A3">
        <w:rPr>
          <w:color w:val="auto"/>
          <w:szCs w:val="20"/>
          <w:vertAlign w:val="superscript"/>
        </w:rPr>
        <w:t xml:space="preserve">rd </w:t>
      </w:r>
      <w:r w:rsidR="003A5237" w:rsidRPr="006003A3">
        <w:rPr>
          <w:color w:val="auto"/>
          <w:szCs w:val="20"/>
        </w:rPr>
        <w:t>generation</w:t>
      </w:r>
      <w:r w:rsidR="003A5237" w:rsidRPr="006003A3">
        <w:rPr>
          <w:color w:val="auto"/>
          <w:szCs w:val="20"/>
          <w:lang w:val="vi-VN"/>
        </w:rPr>
        <w:t xml:space="preserve"> </w:t>
      </w:r>
      <w:r w:rsidR="003A5237" w:rsidRPr="006003A3">
        <w:rPr>
          <w:szCs w:val="20"/>
        </w:rPr>
        <w:t>c</w:t>
      </w:r>
      <w:r w:rsidR="003A5237" w:rsidRPr="006003A3">
        <w:rPr>
          <w:color w:val="auto"/>
          <w:szCs w:val="20"/>
          <w:lang w:val="vi-VN"/>
        </w:rPr>
        <w:t xml:space="preserve">ephalosporins </w:t>
      </w:r>
      <w:r w:rsidR="00244C09" w:rsidRPr="006003A3">
        <w:rPr>
          <w:color w:val="auto"/>
          <w:szCs w:val="20"/>
        </w:rPr>
        <w:t xml:space="preserve">being </w:t>
      </w:r>
      <w:r w:rsidR="003A5237" w:rsidRPr="006003A3">
        <w:rPr>
          <w:color w:val="auto"/>
          <w:szCs w:val="20"/>
          <w:lang w:val="vi-VN"/>
        </w:rPr>
        <w:t xml:space="preserve">the most </w:t>
      </w:r>
      <w:r w:rsidR="00244C09" w:rsidRPr="006003A3">
        <w:rPr>
          <w:color w:val="auto"/>
          <w:szCs w:val="20"/>
        </w:rPr>
        <w:t xml:space="preserve">(91.7%) </w:t>
      </w:r>
      <w:r w:rsidR="003A5237" w:rsidRPr="006003A3">
        <w:rPr>
          <w:szCs w:val="20"/>
        </w:rPr>
        <w:t>commonl</w:t>
      </w:r>
      <w:r w:rsidR="003A5237" w:rsidRPr="006003A3">
        <w:rPr>
          <w:color w:val="auto"/>
          <w:szCs w:val="20"/>
        </w:rPr>
        <w:t>y</w:t>
      </w:r>
      <w:r w:rsidR="00B32C60" w:rsidRPr="006003A3">
        <w:rPr>
          <w:color w:val="auto"/>
          <w:szCs w:val="20"/>
        </w:rPr>
        <w:t xml:space="preserve"> </w:t>
      </w:r>
      <w:r w:rsidR="003A5237" w:rsidRPr="006003A3">
        <w:rPr>
          <w:color w:val="auto"/>
          <w:szCs w:val="20"/>
        </w:rPr>
        <w:t>prescribed</w:t>
      </w:r>
      <w:r w:rsidR="00244C09" w:rsidRPr="006003A3">
        <w:rPr>
          <w:color w:val="auto"/>
          <w:szCs w:val="20"/>
        </w:rPr>
        <w:t>.</w:t>
      </w:r>
      <w:r w:rsidR="003A5237" w:rsidRPr="006003A3">
        <w:rPr>
          <w:color w:val="auto"/>
          <w:szCs w:val="20"/>
          <w:lang w:val="vi-VN"/>
        </w:rPr>
        <w:t xml:space="preserve"> </w:t>
      </w:r>
      <w:r w:rsidR="00BB2589" w:rsidRPr="006003A3">
        <w:rPr>
          <w:color w:val="auto"/>
          <w:szCs w:val="20"/>
        </w:rPr>
        <w:t>C</w:t>
      </w:r>
      <w:r w:rsidR="003A5237" w:rsidRPr="006003A3">
        <w:rPr>
          <w:color w:val="auto"/>
          <w:szCs w:val="20"/>
          <w:lang w:val="vi-VN"/>
        </w:rPr>
        <w:t>efoperazone/sulbactam was the most frequently prescribed (48.</w:t>
      </w:r>
      <w:r w:rsidR="00513EFB" w:rsidRPr="006003A3">
        <w:rPr>
          <w:color w:val="auto"/>
          <w:szCs w:val="20"/>
          <w:lang w:val="en-GB"/>
        </w:rPr>
        <w:t>2</w:t>
      </w:r>
      <w:r w:rsidR="003A5237" w:rsidRPr="006003A3">
        <w:rPr>
          <w:color w:val="auto"/>
          <w:szCs w:val="20"/>
          <w:lang w:val="vi-VN"/>
        </w:rPr>
        <w:t>%)</w:t>
      </w:r>
      <w:r w:rsidR="003A5237" w:rsidRPr="006003A3">
        <w:rPr>
          <w:color w:val="auto"/>
          <w:szCs w:val="20"/>
        </w:rPr>
        <w:t xml:space="preserve"> antibiotic</w:t>
      </w:r>
      <w:r w:rsidR="00D66135" w:rsidRPr="006003A3">
        <w:rPr>
          <w:color w:val="auto"/>
          <w:szCs w:val="20"/>
        </w:rPr>
        <w:t>. However, on</w:t>
      </w:r>
      <w:r w:rsidR="00C47491" w:rsidRPr="006003A3">
        <w:rPr>
          <w:color w:val="auto"/>
          <w:szCs w:val="20"/>
        </w:rPr>
        <w:t xml:space="preserve"> </w:t>
      </w:r>
      <w:r w:rsidR="00C47491" w:rsidRPr="006003A3">
        <w:rPr>
          <w:color w:val="auto"/>
          <w:szCs w:val="20"/>
          <w:lang w:val="vi-VN"/>
        </w:rPr>
        <w:t>96.</w:t>
      </w:r>
      <w:r w:rsidR="00C47491" w:rsidRPr="006003A3">
        <w:rPr>
          <w:color w:val="auto"/>
          <w:szCs w:val="20"/>
          <w:lang w:val="en-GB"/>
        </w:rPr>
        <w:t>1</w:t>
      </w:r>
      <w:r w:rsidR="00C47491" w:rsidRPr="006003A3">
        <w:rPr>
          <w:color w:val="auto"/>
          <w:szCs w:val="20"/>
          <w:lang w:val="vi-VN"/>
        </w:rPr>
        <w:t>%</w:t>
      </w:r>
      <w:r w:rsidR="00C47491" w:rsidRPr="006003A3">
        <w:rPr>
          <w:color w:val="auto"/>
          <w:szCs w:val="20"/>
        </w:rPr>
        <w:t xml:space="preserve"> </w:t>
      </w:r>
      <w:r w:rsidR="00D66135" w:rsidRPr="006003A3">
        <w:rPr>
          <w:color w:val="auto"/>
          <w:szCs w:val="20"/>
        </w:rPr>
        <w:t xml:space="preserve">of occasions </w:t>
      </w:r>
      <w:proofErr w:type="spellStart"/>
      <w:r w:rsidR="00C47491" w:rsidRPr="006003A3">
        <w:rPr>
          <w:color w:val="auto"/>
          <w:szCs w:val="20"/>
        </w:rPr>
        <w:t>cefoperazone</w:t>
      </w:r>
      <w:proofErr w:type="spellEnd"/>
      <w:r w:rsidR="00F249C2" w:rsidRPr="006003A3">
        <w:rPr>
          <w:color w:val="auto"/>
          <w:szCs w:val="20"/>
          <w:lang w:val="vi-VN"/>
        </w:rPr>
        <w:t>/sulbactam</w:t>
      </w:r>
      <w:r w:rsidR="00C47491" w:rsidRPr="006003A3">
        <w:rPr>
          <w:color w:val="auto"/>
          <w:szCs w:val="20"/>
          <w:lang w:val="vi-VN"/>
        </w:rPr>
        <w:t xml:space="preserve"> </w:t>
      </w:r>
      <w:r w:rsidR="00C47491" w:rsidRPr="006003A3">
        <w:rPr>
          <w:color w:val="auto"/>
          <w:szCs w:val="20"/>
          <w:lang w:val="en-GB"/>
        </w:rPr>
        <w:t>w</w:t>
      </w:r>
      <w:r w:rsidR="00F249C2">
        <w:rPr>
          <w:color w:val="auto"/>
          <w:szCs w:val="20"/>
          <w:lang w:val="en-GB"/>
        </w:rPr>
        <w:t>as</w:t>
      </w:r>
      <w:r w:rsidR="00C47491" w:rsidRPr="006003A3">
        <w:rPr>
          <w:color w:val="auto"/>
          <w:szCs w:val="20"/>
          <w:lang w:val="en-GB"/>
        </w:rPr>
        <w:t xml:space="preserve"> </w:t>
      </w:r>
      <w:r w:rsidR="00C47491" w:rsidRPr="006003A3">
        <w:rPr>
          <w:color w:val="auto"/>
          <w:szCs w:val="20"/>
        </w:rPr>
        <w:t>given</w:t>
      </w:r>
      <w:r w:rsidR="00C47491" w:rsidRPr="006003A3">
        <w:rPr>
          <w:color w:val="auto"/>
          <w:szCs w:val="20"/>
          <w:lang w:val="vi-VN"/>
        </w:rPr>
        <w:t xml:space="preserve"> </w:t>
      </w:r>
      <w:r w:rsidR="00C47491" w:rsidRPr="006003A3">
        <w:rPr>
          <w:color w:val="auto"/>
          <w:szCs w:val="20"/>
        </w:rPr>
        <w:t>at</w:t>
      </w:r>
      <w:r w:rsidR="00C47491" w:rsidRPr="006003A3">
        <w:rPr>
          <w:color w:val="auto"/>
          <w:szCs w:val="20"/>
          <w:lang w:val="vi-VN"/>
        </w:rPr>
        <w:t xml:space="preserve"> higher doses than</w:t>
      </w:r>
      <w:r w:rsidR="00C47491" w:rsidRPr="006003A3">
        <w:rPr>
          <w:color w:val="auto"/>
          <w:szCs w:val="20"/>
        </w:rPr>
        <w:t xml:space="preserve"> </w:t>
      </w:r>
      <w:r w:rsidR="00D66135" w:rsidRPr="006003A3">
        <w:rPr>
          <w:color w:val="auto"/>
          <w:szCs w:val="20"/>
        </w:rPr>
        <w:t xml:space="preserve">the label </w:t>
      </w:r>
      <w:r w:rsidR="00D3227E" w:rsidRPr="006003A3">
        <w:rPr>
          <w:color w:val="auto"/>
          <w:szCs w:val="20"/>
        </w:rPr>
        <w:t>instructions</w:t>
      </w:r>
      <w:r w:rsidR="00562C32" w:rsidRPr="006003A3">
        <w:rPr>
          <w:color w:val="auto"/>
          <w:szCs w:val="20"/>
        </w:rPr>
        <w:t xml:space="preserve">. Overall, </w:t>
      </w:r>
      <w:r w:rsidR="00BB2589" w:rsidRPr="006003A3">
        <w:rPr>
          <w:color w:val="auto"/>
          <w:szCs w:val="20"/>
        </w:rPr>
        <w:t xml:space="preserve">73.3% </w:t>
      </w:r>
      <w:r w:rsidR="00244C09" w:rsidRPr="006003A3">
        <w:rPr>
          <w:color w:val="auto"/>
          <w:szCs w:val="20"/>
        </w:rPr>
        <w:t xml:space="preserve">of antibiotics prescribed </w:t>
      </w:r>
      <w:r w:rsidR="00562C32" w:rsidRPr="006003A3">
        <w:rPr>
          <w:color w:val="auto"/>
          <w:szCs w:val="20"/>
        </w:rPr>
        <w:t xml:space="preserve">were </w:t>
      </w:r>
      <w:r w:rsidR="00244C09" w:rsidRPr="006003A3">
        <w:rPr>
          <w:color w:val="auto"/>
          <w:szCs w:val="20"/>
        </w:rPr>
        <w:t>‘</w:t>
      </w:r>
      <w:r w:rsidR="00BB2589" w:rsidRPr="006003A3">
        <w:rPr>
          <w:color w:val="auto"/>
          <w:szCs w:val="20"/>
        </w:rPr>
        <w:t>Watch</w:t>
      </w:r>
      <w:r w:rsidR="00244C09" w:rsidRPr="006003A3">
        <w:rPr>
          <w:color w:val="auto"/>
          <w:szCs w:val="20"/>
        </w:rPr>
        <w:t>’</w:t>
      </w:r>
      <w:r w:rsidR="00BB2589" w:rsidRPr="006003A3">
        <w:rPr>
          <w:color w:val="auto"/>
          <w:szCs w:val="20"/>
        </w:rPr>
        <w:t xml:space="preserve"> antibiotics</w:t>
      </w:r>
      <w:r w:rsidR="006003A3">
        <w:rPr>
          <w:color w:val="auto"/>
          <w:szCs w:val="20"/>
        </w:rPr>
        <w:t>.</w:t>
      </w:r>
      <w:r w:rsidR="003A5237" w:rsidRPr="006003A3">
        <w:rPr>
          <w:color w:val="auto"/>
          <w:szCs w:val="20"/>
          <w:lang w:val="vi-VN"/>
        </w:rPr>
        <w:t xml:space="preserve"> </w:t>
      </w:r>
      <w:r w:rsidR="003A5237" w:rsidRPr="006003A3">
        <w:rPr>
          <w:color w:val="auto"/>
          <w:szCs w:val="20"/>
        </w:rPr>
        <w:t xml:space="preserve">In addition, </w:t>
      </w:r>
      <w:r w:rsidR="00D764F8" w:rsidRPr="006003A3">
        <w:rPr>
          <w:color w:val="auto"/>
          <w:szCs w:val="20"/>
        </w:rPr>
        <w:t xml:space="preserve">the proportion of initial antibiotic regimens that </w:t>
      </w:r>
      <w:r w:rsidR="00244C09" w:rsidRPr="006003A3">
        <w:rPr>
          <w:color w:val="auto"/>
          <w:szCs w:val="20"/>
        </w:rPr>
        <w:t>were</w:t>
      </w:r>
      <w:r w:rsidR="003A5237" w:rsidRPr="006003A3">
        <w:rPr>
          <w:color w:val="auto"/>
          <w:szCs w:val="20"/>
        </w:rPr>
        <w:t xml:space="preserve"> consistent with </w:t>
      </w:r>
      <w:r w:rsidR="00B32C60" w:rsidRPr="006003A3">
        <w:rPr>
          <w:color w:val="auto"/>
          <w:szCs w:val="20"/>
        </w:rPr>
        <w:t xml:space="preserve">current </w:t>
      </w:r>
      <w:r w:rsidR="003A5237" w:rsidRPr="006003A3">
        <w:rPr>
          <w:color w:val="auto"/>
          <w:szCs w:val="20"/>
        </w:rPr>
        <w:t>national guidelines</w:t>
      </w:r>
      <w:r w:rsidR="00D764F8" w:rsidRPr="006003A3">
        <w:rPr>
          <w:color w:val="auto"/>
          <w:szCs w:val="20"/>
        </w:rPr>
        <w:t xml:space="preserve"> was only 4.63%</w:t>
      </w:r>
      <w:r w:rsidR="003A5237" w:rsidRPr="006003A3">
        <w:rPr>
          <w:color w:val="auto"/>
          <w:szCs w:val="20"/>
          <w:lang w:val="vi-VN"/>
        </w:rPr>
        <w:t>.</w:t>
      </w:r>
      <w:r w:rsidR="003A5237" w:rsidRPr="006003A3">
        <w:rPr>
          <w:color w:val="auto"/>
          <w:szCs w:val="20"/>
        </w:rPr>
        <w:t xml:space="preserve"> </w:t>
      </w:r>
      <w:r w:rsidR="003A5237" w:rsidRPr="006003A3">
        <w:rPr>
          <w:b/>
          <w:bCs/>
          <w:i/>
          <w:iCs/>
          <w:color w:val="auto"/>
          <w:szCs w:val="20"/>
        </w:rPr>
        <w:t>Conclusion</w:t>
      </w:r>
      <w:r w:rsidR="003A5237" w:rsidRPr="006003A3">
        <w:rPr>
          <w:color w:val="auto"/>
          <w:szCs w:val="20"/>
        </w:rPr>
        <w:t xml:space="preserve">: </w:t>
      </w:r>
      <w:r w:rsidR="00D3227E" w:rsidRPr="006003A3">
        <w:rPr>
          <w:color w:val="auto"/>
          <w:szCs w:val="20"/>
        </w:rPr>
        <w:t>The</w:t>
      </w:r>
      <w:r w:rsidR="00AD6F68" w:rsidRPr="006003A3">
        <w:rPr>
          <w:color w:val="auto"/>
          <w:szCs w:val="20"/>
        </w:rPr>
        <w:t>re were considerable concerns with low adherence rates to current guidelines alongside high rates of prescribing of</w:t>
      </w:r>
      <w:r w:rsidR="00D3227E" w:rsidRPr="006003A3">
        <w:rPr>
          <w:color w:val="auto"/>
          <w:szCs w:val="20"/>
        </w:rPr>
        <w:t xml:space="preserve"> </w:t>
      </w:r>
      <w:r w:rsidR="00AD6F68" w:rsidRPr="006003A3">
        <w:rPr>
          <w:color w:val="auto"/>
          <w:szCs w:val="20"/>
        </w:rPr>
        <w:t xml:space="preserve">injectable </w:t>
      </w:r>
      <w:r w:rsidR="00CF6C0B" w:rsidRPr="006003A3">
        <w:rPr>
          <w:color w:val="auto"/>
          <w:szCs w:val="20"/>
        </w:rPr>
        <w:t>3</w:t>
      </w:r>
      <w:r w:rsidR="00CF6C0B" w:rsidRPr="006003A3">
        <w:rPr>
          <w:color w:val="auto"/>
          <w:szCs w:val="20"/>
          <w:vertAlign w:val="superscript"/>
        </w:rPr>
        <w:t xml:space="preserve">rd </w:t>
      </w:r>
      <w:r w:rsidR="00CF6C0B" w:rsidRPr="006003A3">
        <w:rPr>
          <w:color w:val="auto"/>
          <w:szCs w:val="20"/>
        </w:rPr>
        <w:t>generation</w:t>
      </w:r>
      <w:r w:rsidR="00CF6C0B" w:rsidRPr="006003A3">
        <w:rPr>
          <w:color w:val="auto"/>
          <w:szCs w:val="20"/>
          <w:lang w:val="vi-VN"/>
        </w:rPr>
        <w:t xml:space="preserve"> </w:t>
      </w:r>
      <w:r w:rsidR="00CF6C0B" w:rsidRPr="006003A3">
        <w:rPr>
          <w:color w:val="auto"/>
          <w:szCs w:val="20"/>
        </w:rPr>
        <w:t>c</w:t>
      </w:r>
      <w:r w:rsidR="00CF6C0B" w:rsidRPr="006003A3">
        <w:rPr>
          <w:color w:val="auto"/>
          <w:szCs w:val="20"/>
          <w:lang w:val="vi-VN"/>
        </w:rPr>
        <w:t>ephalosporins</w:t>
      </w:r>
      <w:r w:rsidR="00CF6C0B" w:rsidRPr="006003A3">
        <w:rPr>
          <w:color w:val="auto"/>
          <w:szCs w:val="20"/>
        </w:rPr>
        <w:t xml:space="preserve"> </w:t>
      </w:r>
      <w:r w:rsidR="00D3227E" w:rsidRPr="006003A3">
        <w:rPr>
          <w:color w:val="auto"/>
          <w:szCs w:val="20"/>
        </w:rPr>
        <w:t xml:space="preserve">due to various internal and external barriers. </w:t>
      </w:r>
      <w:r w:rsidR="00AD6F68" w:rsidRPr="006003A3">
        <w:rPr>
          <w:color w:val="auto"/>
          <w:szCs w:val="20"/>
        </w:rPr>
        <w:t>A</w:t>
      </w:r>
      <w:r w:rsidR="003A5237" w:rsidRPr="006003A3">
        <w:rPr>
          <w:color w:val="auto"/>
          <w:szCs w:val="20"/>
        </w:rPr>
        <w:t xml:space="preserve">ntimicrobial stewardship programs </w:t>
      </w:r>
      <w:r w:rsidR="00B6301D">
        <w:rPr>
          <w:color w:val="auto"/>
          <w:szCs w:val="20"/>
        </w:rPr>
        <w:t>with updated</w:t>
      </w:r>
      <w:r w:rsidR="003A5237" w:rsidRPr="006003A3">
        <w:rPr>
          <w:color w:val="auto"/>
          <w:szCs w:val="20"/>
        </w:rPr>
        <w:t xml:space="preserve"> national guidelines are</w:t>
      </w:r>
      <w:r w:rsidR="00B32C60" w:rsidRPr="006003A3">
        <w:rPr>
          <w:color w:val="auto"/>
          <w:szCs w:val="20"/>
        </w:rPr>
        <w:t xml:space="preserve"> </w:t>
      </w:r>
      <w:r w:rsidR="00AD6F68" w:rsidRPr="006003A3">
        <w:rPr>
          <w:color w:val="auto"/>
          <w:szCs w:val="20"/>
        </w:rPr>
        <w:t xml:space="preserve">urgently </w:t>
      </w:r>
      <w:r w:rsidR="003A5237" w:rsidRPr="006003A3">
        <w:rPr>
          <w:color w:val="auto"/>
          <w:szCs w:val="20"/>
        </w:rPr>
        <w:t xml:space="preserve">needed in </w:t>
      </w:r>
      <w:r w:rsidR="007D2F53" w:rsidRPr="006003A3">
        <w:rPr>
          <w:color w:val="auto"/>
          <w:szCs w:val="20"/>
        </w:rPr>
        <w:t xml:space="preserve">Vietnamese </w:t>
      </w:r>
      <w:r w:rsidR="003A5237" w:rsidRPr="006003A3">
        <w:rPr>
          <w:color w:val="auto"/>
          <w:szCs w:val="20"/>
        </w:rPr>
        <w:t>hospitals to</w:t>
      </w:r>
      <w:r w:rsidR="003A5237" w:rsidRPr="006003A3">
        <w:rPr>
          <w:color w:val="auto"/>
          <w:szCs w:val="20"/>
          <w:lang w:val="vi-VN"/>
        </w:rPr>
        <w:t xml:space="preserve"> treat </w:t>
      </w:r>
      <w:r w:rsidR="003A5237" w:rsidRPr="006003A3">
        <w:rPr>
          <w:color w:val="auto"/>
          <w:szCs w:val="20"/>
        </w:rPr>
        <w:t xml:space="preserve">CAP </w:t>
      </w:r>
      <w:r w:rsidR="003A5237" w:rsidRPr="006003A3">
        <w:rPr>
          <w:color w:val="auto"/>
          <w:szCs w:val="20"/>
          <w:lang w:val="vi-VN"/>
        </w:rPr>
        <w:t xml:space="preserve">in children </w:t>
      </w:r>
      <w:r w:rsidR="00EA6AC3" w:rsidRPr="006003A3">
        <w:rPr>
          <w:color w:val="auto"/>
          <w:szCs w:val="20"/>
        </w:rPr>
        <w:t xml:space="preserve">as part of </w:t>
      </w:r>
      <w:r w:rsidR="00B6301D">
        <w:rPr>
          <w:color w:val="auto"/>
          <w:szCs w:val="20"/>
        </w:rPr>
        <w:t xml:space="preserve">ongoing </w:t>
      </w:r>
      <w:r w:rsidR="00EA6AC3" w:rsidRPr="006003A3">
        <w:rPr>
          <w:color w:val="auto"/>
          <w:szCs w:val="20"/>
        </w:rPr>
        <w:lastRenderedPageBreak/>
        <w:t>measures to reduce increasing</w:t>
      </w:r>
      <w:r w:rsidR="00EA6AC3" w:rsidRPr="006003A3">
        <w:rPr>
          <w:color w:val="auto"/>
          <w:szCs w:val="20"/>
          <w:lang w:val="vi-VN"/>
        </w:rPr>
        <w:t xml:space="preserve"> </w:t>
      </w:r>
      <w:r w:rsidR="003A5237" w:rsidRPr="006003A3">
        <w:rPr>
          <w:color w:val="auto"/>
          <w:szCs w:val="20"/>
        </w:rPr>
        <w:t>AMR</w:t>
      </w:r>
      <w:r w:rsidR="00EA6AC3" w:rsidRPr="006003A3">
        <w:rPr>
          <w:color w:val="auto"/>
          <w:szCs w:val="20"/>
        </w:rPr>
        <w:t xml:space="preserve"> rate</w:t>
      </w:r>
      <w:r w:rsidR="00B32C60" w:rsidRPr="006003A3">
        <w:rPr>
          <w:color w:val="auto"/>
          <w:szCs w:val="20"/>
        </w:rPr>
        <w:t>s</w:t>
      </w:r>
      <w:r w:rsidR="003A5237" w:rsidRPr="006003A3">
        <w:rPr>
          <w:color w:val="auto"/>
          <w:szCs w:val="20"/>
        </w:rPr>
        <w:t>. Such activities should also help improve antibiotic use in the community</w:t>
      </w:r>
      <w:r w:rsidR="008B7EE1" w:rsidRPr="006003A3">
        <w:rPr>
          <w:color w:val="auto"/>
          <w:szCs w:val="20"/>
        </w:rPr>
        <w:t xml:space="preserve"> following improved education of trainee </w:t>
      </w:r>
      <w:r w:rsidR="00342DB5" w:rsidRPr="006003A3">
        <w:rPr>
          <w:color w:val="auto"/>
          <w:szCs w:val="20"/>
        </w:rPr>
        <w:t xml:space="preserve">ambulatory care </w:t>
      </w:r>
      <w:r w:rsidR="008B7EE1" w:rsidRPr="006003A3">
        <w:rPr>
          <w:color w:val="auto"/>
          <w:szCs w:val="20"/>
        </w:rPr>
        <w:t>physicians regarding appropriate management of children with CAP</w:t>
      </w:r>
      <w:r w:rsidR="003A5237" w:rsidRPr="006003A3">
        <w:rPr>
          <w:color w:val="auto"/>
          <w:szCs w:val="20"/>
        </w:rPr>
        <w:t xml:space="preserve">. </w:t>
      </w:r>
      <w:bookmarkEnd w:id="0"/>
    </w:p>
    <w:p w14:paraId="62B970FE" w14:textId="49C224CA" w:rsidR="003A5237" w:rsidRDefault="007713AF" w:rsidP="003A5237">
      <w:pPr>
        <w:pStyle w:val="MDPI18keywords"/>
        <w:rPr>
          <w:color w:val="000000" w:themeColor="text1"/>
          <w:lang w:val="en-GB"/>
        </w:rPr>
      </w:pPr>
      <w:r w:rsidRPr="00517440">
        <w:rPr>
          <w:b/>
          <w:szCs w:val="18"/>
        </w:rPr>
        <w:t xml:space="preserve">Keywords: </w:t>
      </w:r>
      <w:r w:rsidR="003A5237" w:rsidRPr="003A5237">
        <w:rPr>
          <w:color w:val="000000" w:themeColor="text1"/>
        </w:rPr>
        <w:t>Community acquired p</w:t>
      </w:r>
      <w:r w:rsidR="003A5237" w:rsidRPr="003A5237">
        <w:rPr>
          <w:color w:val="000000" w:themeColor="text1"/>
          <w:lang w:val="vi-VN"/>
        </w:rPr>
        <w:t>neumonia</w:t>
      </w:r>
      <w:r w:rsidR="003A5237" w:rsidRPr="003A5237">
        <w:rPr>
          <w:color w:val="000000" w:themeColor="text1"/>
          <w:lang w:val="en-GB"/>
        </w:rPr>
        <w:t>;</w:t>
      </w:r>
      <w:r w:rsidR="003A5237" w:rsidRPr="003A5237">
        <w:rPr>
          <w:color w:val="000000" w:themeColor="text1"/>
          <w:lang w:val="vi-VN"/>
        </w:rPr>
        <w:t xml:space="preserve"> </w:t>
      </w:r>
      <w:r w:rsidR="003A5237" w:rsidRPr="003A5237">
        <w:rPr>
          <w:color w:val="000000" w:themeColor="text1"/>
          <w:lang w:val="en-GB"/>
        </w:rPr>
        <w:t xml:space="preserve">infants; </w:t>
      </w:r>
      <w:r w:rsidR="003A5237" w:rsidRPr="003A5237">
        <w:rPr>
          <w:color w:val="000000" w:themeColor="text1"/>
          <w:lang w:val="vi-VN"/>
        </w:rPr>
        <w:t>children</w:t>
      </w:r>
      <w:r w:rsidR="003A5237" w:rsidRPr="003A5237">
        <w:rPr>
          <w:color w:val="000000" w:themeColor="text1"/>
          <w:lang w:val="en-GB"/>
        </w:rPr>
        <w:t>;</w:t>
      </w:r>
      <w:r w:rsidR="003A5237" w:rsidRPr="003A5237">
        <w:rPr>
          <w:color w:val="000000" w:themeColor="text1"/>
          <w:lang w:val="vi-VN"/>
        </w:rPr>
        <w:t xml:space="preserve"> </w:t>
      </w:r>
      <w:r w:rsidR="003A5237" w:rsidRPr="003A5237">
        <w:rPr>
          <w:color w:val="000000" w:themeColor="text1"/>
        </w:rPr>
        <w:t>antibiotics</w:t>
      </w:r>
      <w:r w:rsidR="003A5237" w:rsidRPr="003A5237">
        <w:rPr>
          <w:color w:val="000000" w:themeColor="text1"/>
          <w:lang w:val="en-GB"/>
        </w:rPr>
        <w:t>;</w:t>
      </w:r>
      <w:r w:rsidR="003A5237" w:rsidRPr="003A5237">
        <w:rPr>
          <w:color w:val="000000" w:themeColor="text1"/>
        </w:rPr>
        <w:t xml:space="preserve"> </w:t>
      </w:r>
      <w:r w:rsidR="003A5237" w:rsidRPr="003A5237">
        <w:rPr>
          <w:color w:val="000000" w:themeColor="text1"/>
          <w:lang w:val="vi-VN"/>
        </w:rPr>
        <w:t>national guidelines</w:t>
      </w:r>
      <w:r w:rsidR="003A5237" w:rsidRPr="003A5237">
        <w:rPr>
          <w:color w:val="000000" w:themeColor="text1"/>
          <w:lang w:val="en-GB"/>
        </w:rPr>
        <w:t>; adhe</w:t>
      </w:r>
      <w:r w:rsidR="009641EE">
        <w:rPr>
          <w:color w:val="000000" w:themeColor="text1"/>
          <w:lang w:val="en-GB"/>
        </w:rPr>
        <w:t>re</w:t>
      </w:r>
      <w:r w:rsidR="003A5237" w:rsidRPr="003A5237">
        <w:rPr>
          <w:color w:val="000000" w:themeColor="text1"/>
          <w:lang w:val="en-GB"/>
        </w:rPr>
        <w:t>nce; antimicrobial stewardship; hospitals; Vietnam</w:t>
      </w:r>
    </w:p>
    <w:p w14:paraId="664D2D7D" w14:textId="77777777" w:rsidR="000523DB" w:rsidRDefault="000523DB" w:rsidP="000523DB">
      <w:pPr>
        <w:rPr>
          <w:lang w:val="en-GB" w:eastAsia="de-DE" w:bidi="en-US"/>
        </w:rPr>
      </w:pPr>
    </w:p>
    <w:p w14:paraId="54E89BA5" w14:textId="2C1B3156" w:rsidR="000523DB" w:rsidRPr="000523DB" w:rsidRDefault="000523DB" w:rsidP="000523DB">
      <w:pPr>
        <w:rPr>
          <w:lang w:val="en-GB" w:eastAsia="de-DE" w:bidi="en-US"/>
        </w:rPr>
      </w:pPr>
      <w:r>
        <w:rPr>
          <w:lang w:val="en-GB" w:eastAsia="de-DE" w:bidi="en-US"/>
        </w:rPr>
        <w:tab/>
      </w:r>
      <w:r>
        <w:rPr>
          <w:lang w:val="en-GB" w:eastAsia="de-DE" w:bidi="en-US"/>
        </w:rPr>
        <w:tab/>
      </w:r>
      <w:r>
        <w:rPr>
          <w:lang w:val="en-GB" w:eastAsia="de-DE" w:bidi="en-US"/>
        </w:rPr>
        <w:tab/>
      </w:r>
      <w:r>
        <w:rPr>
          <w:lang w:val="en-GB" w:eastAsia="de-DE" w:bidi="en-US"/>
        </w:rPr>
        <w:tab/>
      </w:r>
      <w:r>
        <w:rPr>
          <w:lang w:val="en-GB" w:eastAsia="de-DE" w:bidi="en-US"/>
        </w:rPr>
        <w:tab/>
        <w:t>(Accepted for publication Antibiotics)</w:t>
      </w:r>
    </w:p>
    <w:p w14:paraId="08848B37" w14:textId="77777777" w:rsidR="007713AF" w:rsidRPr="00517440" w:rsidRDefault="007713AF" w:rsidP="00517440">
      <w:pPr>
        <w:pStyle w:val="MDPI19line"/>
      </w:pPr>
    </w:p>
    <w:p w14:paraId="6391EAD3" w14:textId="06185C94" w:rsidR="00990F12" w:rsidRDefault="007713AF" w:rsidP="002B0588">
      <w:pPr>
        <w:pStyle w:val="MDPI21heading1"/>
      </w:pPr>
      <w:r w:rsidRPr="00517440">
        <w:t>1. Introduction</w:t>
      </w:r>
    </w:p>
    <w:p w14:paraId="18FE4920" w14:textId="5A047AE7" w:rsidR="00B32C60" w:rsidRDefault="00B32C60" w:rsidP="00B32C60">
      <w:pPr>
        <w:pStyle w:val="MDPI31text"/>
        <w:jc w:val="left"/>
        <w:rPr>
          <w:color w:val="202124"/>
          <w:lang w:val="en"/>
        </w:rPr>
      </w:pPr>
      <w:r>
        <w:rPr>
          <w:color w:val="202124"/>
          <w:lang w:val="en"/>
        </w:rPr>
        <w:t xml:space="preserve">Whilst the number of deaths in children under 5 years have been decreasing worldwide during the past 30 years, lower respiratory tract infections (LRTIs), including pneumonia, are still the most dominant causes of immediate death </w:t>
      </w:r>
      <w:r w:rsidR="003F21AC">
        <w:rPr>
          <w:color w:val="202124"/>
          <w:lang w:val="en"/>
        </w:rPr>
        <w:t>[1,2]</w:t>
      </w:r>
      <w:r>
        <w:rPr>
          <w:color w:val="202124"/>
          <w:lang w:val="en"/>
        </w:rPr>
        <w:t xml:space="preserve">. </w:t>
      </w:r>
    </w:p>
    <w:p w14:paraId="6E47FEC7" w14:textId="76A7D776" w:rsidR="00B32C60" w:rsidRPr="006003A3" w:rsidRDefault="00B32C60" w:rsidP="00B32C60">
      <w:pPr>
        <w:pStyle w:val="MDPI31text"/>
        <w:jc w:val="left"/>
        <w:rPr>
          <w:color w:val="auto"/>
          <w:lang w:val="en-GB"/>
        </w:rPr>
      </w:pPr>
      <w:r>
        <w:rPr>
          <w:color w:val="202124"/>
          <w:lang w:val="en"/>
        </w:rPr>
        <w:t xml:space="preserve">Among infants and </w:t>
      </w:r>
      <w:r w:rsidRPr="00DD12AC">
        <w:rPr>
          <w:color w:val="202124"/>
          <w:lang w:val="en"/>
        </w:rPr>
        <w:t xml:space="preserve">children aged </w:t>
      </w:r>
      <w:r>
        <w:rPr>
          <w:color w:val="202124"/>
          <w:lang w:val="en"/>
        </w:rPr>
        <w:t xml:space="preserve">between </w:t>
      </w:r>
      <w:r w:rsidRPr="00DD12AC">
        <w:rPr>
          <w:color w:val="202124"/>
          <w:lang w:val="en"/>
        </w:rPr>
        <w:t xml:space="preserve">1 </w:t>
      </w:r>
      <w:r>
        <w:rPr>
          <w:color w:val="202124"/>
          <w:lang w:val="en"/>
        </w:rPr>
        <w:t>and</w:t>
      </w:r>
      <w:r w:rsidRPr="00DD12AC">
        <w:rPr>
          <w:color w:val="202124"/>
          <w:lang w:val="en"/>
        </w:rPr>
        <w:t xml:space="preserve"> 59 months</w:t>
      </w:r>
      <w:r>
        <w:rPr>
          <w:color w:val="202124"/>
          <w:lang w:val="en"/>
        </w:rPr>
        <w:t xml:space="preserve">, community-acquired </w:t>
      </w:r>
      <w:r w:rsidRPr="006003A3">
        <w:rPr>
          <w:color w:val="auto"/>
          <w:lang w:val="en"/>
        </w:rPr>
        <w:t xml:space="preserve">pneumonia (CAP) is a leading cause of death at 15.5% of all deaths, second only to preterm birth complications globally </w:t>
      </w:r>
      <w:r w:rsidR="0014320C" w:rsidRPr="006003A3">
        <w:rPr>
          <w:color w:val="auto"/>
          <w:lang w:val="en"/>
        </w:rPr>
        <w:t>[2,3]</w:t>
      </w:r>
      <w:r w:rsidRPr="006003A3">
        <w:rPr>
          <w:color w:val="auto"/>
          <w:lang w:val="en"/>
        </w:rPr>
        <w:t xml:space="preserve">. This is particularly the case among infants and young children in LMICs, especially those in sub-Saharan Africa and Southern Asia </w:t>
      </w:r>
      <w:r w:rsidR="0014320C" w:rsidRPr="006003A3">
        <w:rPr>
          <w:color w:val="auto"/>
          <w:lang w:val="en"/>
        </w:rPr>
        <w:t>[2-5]</w:t>
      </w:r>
      <w:r w:rsidRPr="006003A3">
        <w:rPr>
          <w:color w:val="auto"/>
          <w:lang w:val="en"/>
        </w:rPr>
        <w:t xml:space="preserve">. High mortality rates need addressing as there is still considerable preventable morbidity and </w:t>
      </w:r>
      <w:r w:rsidRPr="006003A3">
        <w:rPr>
          <w:color w:val="auto"/>
          <w:lang w:val="en-GB"/>
        </w:rPr>
        <w:t xml:space="preserve">mortality from childhood pneumonia </w:t>
      </w:r>
      <w:r w:rsidR="00091E17">
        <w:rPr>
          <w:color w:val="auto"/>
          <w:lang w:val="en-GB"/>
        </w:rPr>
        <w:t>in</w:t>
      </w:r>
      <w:r w:rsidRPr="006003A3">
        <w:rPr>
          <w:color w:val="auto"/>
          <w:lang w:val="en-GB"/>
        </w:rPr>
        <w:t xml:space="preserve"> LMICs including Vietnam </w:t>
      </w:r>
      <w:r w:rsidR="0014320C" w:rsidRPr="006003A3">
        <w:rPr>
          <w:color w:val="auto"/>
          <w:lang w:val="en-GB"/>
        </w:rPr>
        <w:t>[3,6-8]</w:t>
      </w:r>
      <w:r w:rsidRPr="006003A3">
        <w:rPr>
          <w:color w:val="auto"/>
          <w:lang w:val="en-GB"/>
        </w:rPr>
        <w:t xml:space="preserve">. Overall, childhood CAP is still a substantial burden on healthcare systems in LMICs including Vietnam </w:t>
      </w:r>
      <w:r w:rsidR="0014320C" w:rsidRPr="006003A3">
        <w:rPr>
          <w:color w:val="auto"/>
          <w:lang w:val="en-GB"/>
        </w:rPr>
        <w:t>[4,8,9]</w:t>
      </w:r>
      <w:r w:rsidRPr="006003A3">
        <w:rPr>
          <w:color w:val="auto"/>
          <w:lang w:val="en-GB"/>
        </w:rPr>
        <w:t xml:space="preserve">. </w:t>
      </w:r>
    </w:p>
    <w:p w14:paraId="5B06144C" w14:textId="2001BD42" w:rsidR="00B32C60" w:rsidRPr="00682134" w:rsidRDefault="00DE0FF6" w:rsidP="00B32C60">
      <w:pPr>
        <w:pStyle w:val="MDPI31text"/>
        <w:jc w:val="left"/>
        <w:rPr>
          <w:color w:val="202124"/>
          <w:lang w:val="en"/>
        </w:rPr>
      </w:pPr>
      <w:r w:rsidRPr="006003A3">
        <w:rPr>
          <w:color w:val="auto"/>
          <w:lang w:val="en"/>
        </w:rPr>
        <w:t xml:space="preserve">Alongside this, there </w:t>
      </w:r>
      <w:r w:rsidR="00091E17">
        <w:rPr>
          <w:color w:val="auto"/>
          <w:lang w:val="en"/>
        </w:rPr>
        <w:t>is</w:t>
      </w:r>
      <w:r w:rsidRPr="006003A3">
        <w:rPr>
          <w:color w:val="auto"/>
          <w:lang w:val="en"/>
        </w:rPr>
        <w:t xml:space="preserve"> </w:t>
      </w:r>
      <w:r w:rsidR="00B32C60" w:rsidRPr="006003A3">
        <w:rPr>
          <w:color w:val="auto"/>
          <w:lang w:val="en"/>
        </w:rPr>
        <w:t>growing antimicrobial resistance (AMR) globally</w:t>
      </w:r>
      <w:r w:rsidRPr="006003A3">
        <w:rPr>
          <w:color w:val="auto"/>
          <w:lang w:val="en"/>
        </w:rPr>
        <w:t xml:space="preserve"> enhanced by considerable overuse of antibiotics, especially among LMICs, </w:t>
      </w:r>
      <w:r w:rsidR="00B32C60" w:rsidRPr="006003A3">
        <w:rPr>
          <w:color w:val="auto"/>
          <w:lang w:val="en"/>
        </w:rPr>
        <w:t>increasing morbidity and mortality</w:t>
      </w:r>
      <w:r w:rsidRPr="006003A3">
        <w:rPr>
          <w:color w:val="auto"/>
          <w:lang w:val="en"/>
        </w:rPr>
        <w:t xml:space="preserve"> from infectious diseases</w:t>
      </w:r>
      <w:r w:rsidR="006003A3">
        <w:rPr>
          <w:color w:val="auto"/>
          <w:lang w:val="en"/>
        </w:rPr>
        <w:t xml:space="preserve"> </w:t>
      </w:r>
      <w:r w:rsidR="0014320C" w:rsidRPr="006003A3">
        <w:rPr>
          <w:color w:val="auto"/>
          <w:lang w:val="en"/>
        </w:rPr>
        <w:t>[10-13]</w:t>
      </w:r>
      <w:r w:rsidR="00B32C60" w:rsidRPr="006003A3">
        <w:rPr>
          <w:color w:val="auto"/>
          <w:lang w:val="en"/>
        </w:rPr>
        <w:t xml:space="preserve">. Initiatives to address this public health concern include the WHO Global Action Plan to reduce AMR in 2015, subsequently translated into National Action Plans (NAPs) </w:t>
      </w:r>
      <w:r w:rsidR="0014320C" w:rsidRPr="006003A3">
        <w:rPr>
          <w:color w:val="auto"/>
          <w:lang w:val="en"/>
        </w:rPr>
        <w:t>[14,15]</w:t>
      </w:r>
      <w:r w:rsidR="00B32C60" w:rsidRPr="006003A3">
        <w:rPr>
          <w:color w:val="auto"/>
          <w:lang w:val="en"/>
        </w:rPr>
        <w:t xml:space="preserve">. This includes Vietnam, </w:t>
      </w:r>
      <w:r w:rsidR="00B32C60" w:rsidRPr="006003A3">
        <w:rPr>
          <w:color w:val="auto"/>
          <w:lang w:val="en-GB"/>
        </w:rPr>
        <w:t xml:space="preserve">which was the first country in the WHO Western Pacific Region to develop its NAP to combat AMR </w:t>
      </w:r>
      <w:r w:rsidR="0014320C" w:rsidRPr="006003A3">
        <w:rPr>
          <w:color w:val="auto"/>
          <w:lang w:val="en-GB"/>
        </w:rPr>
        <w:t>[16,17]</w:t>
      </w:r>
      <w:r w:rsidR="00B32C60" w:rsidRPr="006003A3">
        <w:rPr>
          <w:color w:val="auto"/>
          <w:lang w:val="en-GB"/>
        </w:rPr>
        <w:t xml:space="preserve">. Other WHO initiatives include </w:t>
      </w:r>
      <w:r w:rsidR="00224C5E" w:rsidRPr="006003A3">
        <w:rPr>
          <w:color w:val="auto"/>
          <w:lang w:val="en-GB"/>
        </w:rPr>
        <w:t xml:space="preserve">encouraging the </w:t>
      </w:r>
      <w:r w:rsidR="00B32C60" w:rsidRPr="006003A3">
        <w:rPr>
          <w:color w:val="auto"/>
          <w:lang w:val="en-GB"/>
        </w:rPr>
        <w:t>classif</w:t>
      </w:r>
      <w:r w:rsidR="00224C5E" w:rsidRPr="006003A3">
        <w:rPr>
          <w:color w:val="auto"/>
          <w:lang w:val="en-GB"/>
        </w:rPr>
        <w:t>ication of</w:t>
      </w:r>
      <w:r w:rsidR="00B32C60" w:rsidRPr="006003A3">
        <w:rPr>
          <w:color w:val="auto"/>
          <w:lang w:val="en-GB"/>
        </w:rPr>
        <w:t xml:space="preserve"> antibiotics into Access, Watch and Reserve (</w:t>
      </w:r>
      <w:proofErr w:type="spellStart"/>
      <w:r w:rsidR="00B32C60" w:rsidRPr="006003A3">
        <w:rPr>
          <w:color w:val="auto"/>
          <w:lang w:val="en-GB"/>
        </w:rPr>
        <w:t>AWaRe</w:t>
      </w:r>
      <w:proofErr w:type="spellEnd"/>
      <w:r w:rsidR="00B32C60" w:rsidRPr="006003A3">
        <w:rPr>
          <w:color w:val="auto"/>
          <w:lang w:val="en-GB"/>
        </w:rPr>
        <w:t xml:space="preserve">) groups depending on their resistance potential </w:t>
      </w:r>
      <w:r w:rsidR="00ED7BD4" w:rsidRPr="006003A3">
        <w:rPr>
          <w:color w:val="auto"/>
          <w:lang w:val="en-GB"/>
        </w:rPr>
        <w:t>[18,19]</w:t>
      </w:r>
      <w:r w:rsidR="00B32C60" w:rsidRPr="006003A3">
        <w:rPr>
          <w:color w:val="auto"/>
          <w:lang w:val="en-GB"/>
        </w:rPr>
        <w:t xml:space="preserve">, followed by the publication of the WHO </w:t>
      </w:r>
      <w:proofErr w:type="spellStart"/>
      <w:r w:rsidR="00B32C60" w:rsidRPr="006003A3">
        <w:rPr>
          <w:color w:val="auto"/>
          <w:lang w:val="en-GB"/>
        </w:rPr>
        <w:t>AWaRe</w:t>
      </w:r>
      <w:proofErr w:type="spellEnd"/>
      <w:r w:rsidR="00B32C60" w:rsidRPr="006003A3">
        <w:rPr>
          <w:color w:val="auto"/>
          <w:lang w:val="en-GB"/>
        </w:rPr>
        <w:t xml:space="preserve"> guidance in 2022 </w:t>
      </w:r>
      <w:r w:rsidR="00ED7BD4" w:rsidRPr="006003A3">
        <w:rPr>
          <w:color w:val="auto"/>
          <w:lang w:val="en-GB"/>
        </w:rPr>
        <w:t>[8,20</w:t>
      </w:r>
      <w:r w:rsidR="00224C5E" w:rsidRPr="006003A3">
        <w:rPr>
          <w:color w:val="auto"/>
          <w:lang w:val="en-GB"/>
        </w:rPr>
        <w:t>-22</w:t>
      </w:r>
      <w:r w:rsidR="00ED7BD4" w:rsidRPr="006003A3">
        <w:rPr>
          <w:color w:val="auto"/>
          <w:lang w:val="en-GB"/>
        </w:rPr>
        <w:t>]</w:t>
      </w:r>
      <w:r w:rsidR="00B32C60" w:rsidRPr="006003A3">
        <w:rPr>
          <w:color w:val="auto"/>
          <w:lang w:val="en-GB"/>
        </w:rPr>
        <w:t xml:space="preserve">. The emphasis is on encouraging the preferential prescribing of Access antibiotics where pertinent </w:t>
      </w:r>
      <w:r w:rsidR="00ED7BD4" w:rsidRPr="006003A3">
        <w:rPr>
          <w:color w:val="auto"/>
          <w:lang w:val="en-GB"/>
        </w:rPr>
        <w:t>[19,23]</w:t>
      </w:r>
      <w:r w:rsidR="00B32C60" w:rsidRPr="006003A3">
        <w:rPr>
          <w:color w:val="auto"/>
          <w:lang w:val="en-GB"/>
        </w:rPr>
        <w:t xml:space="preserve">, with the target </w:t>
      </w:r>
      <w:r w:rsidR="00B32C60">
        <w:rPr>
          <w:color w:val="202124"/>
          <w:lang w:val="en-GB"/>
        </w:rPr>
        <w:t xml:space="preserve">for Access antibiotics increased to 70% of total antibiotic consumption across sectors following the United Nations General Assembly (UN GA) for AMR in 2024 </w:t>
      </w:r>
      <w:r w:rsidR="00ED7BD4">
        <w:rPr>
          <w:color w:val="202124"/>
          <w:lang w:val="en-GB"/>
        </w:rPr>
        <w:t>[24]</w:t>
      </w:r>
      <w:r w:rsidR="00B32C60">
        <w:rPr>
          <w:color w:val="202124"/>
          <w:lang w:val="en-GB"/>
        </w:rPr>
        <w:t xml:space="preserve">.  </w:t>
      </w:r>
    </w:p>
    <w:p w14:paraId="13459921" w14:textId="4D46C8FE" w:rsidR="00B32C60" w:rsidRDefault="00B32C60" w:rsidP="00B32C60">
      <w:pPr>
        <w:pStyle w:val="MDPI31text"/>
        <w:jc w:val="left"/>
        <w:rPr>
          <w:color w:val="202124"/>
          <w:lang w:val="en"/>
        </w:rPr>
      </w:pPr>
      <w:r w:rsidRPr="006003A3">
        <w:rPr>
          <w:color w:val="202124"/>
          <w:lang w:val="en"/>
        </w:rPr>
        <w:t xml:space="preserve">Despite </w:t>
      </w:r>
      <w:r w:rsidRPr="006003A3">
        <w:rPr>
          <w:color w:val="202124"/>
          <w:lang w:val="en-GB"/>
        </w:rPr>
        <w:t>Vietnam being the first country in the WHO Western Pacific Region to develop its NAP to combat AMR</w:t>
      </w:r>
      <w:r w:rsidRPr="006003A3">
        <w:rPr>
          <w:color w:val="202124"/>
          <w:lang w:val="en"/>
        </w:rPr>
        <w:t>, there are concerns with its implementation</w:t>
      </w:r>
      <w:r w:rsidR="00E45BCF" w:rsidRPr="006003A3">
        <w:rPr>
          <w:color w:val="202124"/>
          <w:lang w:val="en"/>
        </w:rPr>
        <w:t xml:space="preserve"> </w:t>
      </w:r>
      <w:r w:rsidR="00E45BCF" w:rsidRPr="006003A3">
        <w:rPr>
          <w:color w:val="202124"/>
          <w:lang w:val="en-GB"/>
        </w:rPr>
        <w:t>[16,17]</w:t>
      </w:r>
      <w:r w:rsidRPr="006003A3">
        <w:rPr>
          <w:color w:val="202124"/>
          <w:lang w:val="en"/>
        </w:rPr>
        <w:t xml:space="preserve">. This includes continued overuse of antibiotics, especially those with appreciable resistance potential, exacerbating high rates of AMR </w:t>
      </w:r>
      <w:r w:rsidR="008C1106" w:rsidRPr="006003A3">
        <w:rPr>
          <w:color w:val="202124"/>
          <w:lang w:val="en"/>
        </w:rPr>
        <w:t>[25-31]</w:t>
      </w:r>
      <w:r w:rsidRPr="006003A3">
        <w:rPr>
          <w:color w:val="202124"/>
          <w:lang w:val="en"/>
        </w:rPr>
        <w:t xml:space="preserve">. Antibiotics from the WHO Watch list now account for 56% of total antibiotic use in Vietnam, </w:t>
      </w:r>
      <w:r w:rsidRPr="006003A3">
        <w:rPr>
          <w:color w:val="202124"/>
          <w:lang w:val="en-GB"/>
        </w:rPr>
        <w:t>highest among national hospitals ranging from 72.4% to 76.9% of total consumption</w:t>
      </w:r>
      <w:r w:rsidR="009C30AF" w:rsidRPr="006003A3">
        <w:rPr>
          <w:color w:val="202124"/>
          <w:lang w:val="en-GB"/>
        </w:rPr>
        <w:t xml:space="preserve"> </w:t>
      </w:r>
      <w:r w:rsidR="008C1106" w:rsidRPr="006003A3">
        <w:rPr>
          <w:color w:val="202124"/>
          <w:lang w:val="en-GB"/>
        </w:rPr>
        <w:t>[25,32]</w:t>
      </w:r>
      <w:r w:rsidRPr="006003A3">
        <w:rPr>
          <w:color w:val="202124"/>
          <w:lang w:val="en-GB"/>
        </w:rPr>
        <w:t>. Whilst we see high use of Watch antibiotics in other LMICs, this trend needs to be urgently addressed to attain UN GA</w:t>
      </w:r>
      <w:r w:rsidR="008C1106" w:rsidRPr="006003A3">
        <w:rPr>
          <w:color w:val="202124"/>
          <w:lang w:val="en-GB"/>
        </w:rPr>
        <w:t xml:space="preserve"> </w:t>
      </w:r>
      <w:r w:rsidRPr="006003A3">
        <w:rPr>
          <w:color w:val="202124"/>
          <w:lang w:val="en-GB"/>
        </w:rPr>
        <w:t xml:space="preserve">goals for increasing Access antibiotic consumption </w:t>
      </w:r>
      <w:r w:rsidR="008C1106" w:rsidRPr="006003A3">
        <w:rPr>
          <w:color w:val="202124"/>
          <w:lang w:val="en-GB"/>
        </w:rPr>
        <w:t>[23,24,32]</w:t>
      </w:r>
      <w:r w:rsidRPr="006003A3">
        <w:rPr>
          <w:color w:val="202124"/>
          <w:lang w:val="en-GB"/>
        </w:rPr>
        <w:t>.</w:t>
      </w:r>
      <w:r>
        <w:rPr>
          <w:color w:val="202124"/>
          <w:lang w:val="en-GB"/>
        </w:rPr>
        <w:t xml:space="preserve"> </w:t>
      </w:r>
      <w:r>
        <w:rPr>
          <w:color w:val="202124"/>
          <w:lang w:val="en"/>
        </w:rPr>
        <w:t xml:space="preserve"> </w:t>
      </w:r>
    </w:p>
    <w:p w14:paraId="70104194" w14:textId="2941FABB" w:rsidR="00B32C60" w:rsidRPr="00AA505C" w:rsidRDefault="008B7EE1" w:rsidP="00B32C60">
      <w:pPr>
        <w:pStyle w:val="MDPI31text"/>
        <w:jc w:val="left"/>
        <w:rPr>
          <w:color w:val="202124"/>
          <w:lang w:val="en"/>
        </w:rPr>
      </w:pPr>
      <w:r>
        <w:rPr>
          <w:color w:val="202124"/>
          <w:lang w:val="en"/>
        </w:rPr>
        <w:t>I</w:t>
      </w:r>
      <w:r w:rsidR="00B32C60" w:rsidRPr="004A7B30">
        <w:rPr>
          <w:color w:val="202124"/>
          <w:lang w:val="en"/>
        </w:rPr>
        <w:t>n their study regarding the management of children in Vietnamese hospitals with CAP, Tran et al</w:t>
      </w:r>
      <w:r w:rsidR="00B32C60">
        <w:rPr>
          <w:color w:val="202124"/>
          <w:lang w:val="en"/>
        </w:rPr>
        <w:t>.</w:t>
      </w:r>
      <w:r w:rsidR="00B32C60" w:rsidRPr="004A7B30">
        <w:rPr>
          <w:color w:val="202124"/>
          <w:lang w:val="en"/>
        </w:rPr>
        <w:t xml:space="preserve"> (</w:t>
      </w:r>
      <w:r w:rsidR="00B32C60" w:rsidRPr="006003A3">
        <w:rPr>
          <w:color w:val="202124"/>
          <w:lang w:val="en"/>
        </w:rPr>
        <w:t xml:space="preserve">2024) ascertained that </w:t>
      </w:r>
      <w:r w:rsidR="00B32C60" w:rsidRPr="006003A3">
        <w:rPr>
          <w:color w:val="202124"/>
          <w:lang w:val="en-GB"/>
        </w:rPr>
        <w:t xml:space="preserve">95% of children were treated with antibiotics, mostly with cephalosporins </w:t>
      </w:r>
      <w:r w:rsidR="008C1106" w:rsidRPr="006003A3">
        <w:rPr>
          <w:color w:val="202124"/>
          <w:lang w:val="en-GB"/>
        </w:rPr>
        <w:t>[5]</w:t>
      </w:r>
      <w:r w:rsidR="00B32C60" w:rsidRPr="006003A3">
        <w:rPr>
          <w:color w:val="202124"/>
          <w:lang w:val="en-GB"/>
        </w:rPr>
        <w:t xml:space="preserve">. There were also issues with the prolonged use of antibiotics, as </w:t>
      </w:r>
      <w:r w:rsidR="008C1106" w:rsidRPr="006003A3">
        <w:rPr>
          <w:color w:val="202124"/>
          <w:lang w:val="en-GB"/>
        </w:rPr>
        <w:t>long</w:t>
      </w:r>
      <w:r w:rsidR="00B32C60" w:rsidRPr="006003A3">
        <w:rPr>
          <w:color w:val="202124"/>
          <w:lang w:val="en-GB"/>
        </w:rPr>
        <w:t xml:space="preserve"> as 22 days in some children </w:t>
      </w:r>
      <w:r w:rsidR="008C1106" w:rsidRPr="006003A3">
        <w:rPr>
          <w:color w:val="202124"/>
          <w:lang w:val="en-GB"/>
        </w:rPr>
        <w:t>[5]</w:t>
      </w:r>
      <w:r w:rsidR="001A2BD3" w:rsidRPr="006003A3">
        <w:rPr>
          <w:color w:val="202124"/>
          <w:lang w:val="en-GB"/>
        </w:rPr>
        <w:t xml:space="preserve">, </w:t>
      </w:r>
      <w:r w:rsidR="00B32C60" w:rsidRPr="006003A3">
        <w:rPr>
          <w:color w:val="202124"/>
          <w:lang w:val="en-GB"/>
        </w:rPr>
        <w:t xml:space="preserve">with short courses, i.e., 3 to 5 days, increasingly advocated to reduce unnecessary </w:t>
      </w:r>
      <w:r w:rsidR="001A2BD3" w:rsidRPr="006003A3">
        <w:rPr>
          <w:color w:val="202124"/>
          <w:lang w:val="en-GB"/>
        </w:rPr>
        <w:t xml:space="preserve">antibiotic </w:t>
      </w:r>
      <w:r w:rsidR="00B32C60" w:rsidRPr="006003A3">
        <w:rPr>
          <w:color w:val="202124"/>
          <w:lang w:val="en-GB"/>
        </w:rPr>
        <w:t xml:space="preserve">prescribing unless children have severe pneumonia </w:t>
      </w:r>
      <w:r w:rsidR="00C53BA5" w:rsidRPr="006003A3">
        <w:rPr>
          <w:color w:val="202124"/>
          <w:lang w:val="en-GB"/>
        </w:rPr>
        <w:t>[33-36]</w:t>
      </w:r>
      <w:r w:rsidR="00B32C60" w:rsidRPr="006003A3">
        <w:rPr>
          <w:color w:val="202124"/>
          <w:lang w:val="en-GB"/>
        </w:rPr>
        <w:t xml:space="preserve">. Bacterial co-infections are also seen among hospitalised children with CAP in </w:t>
      </w:r>
      <w:r w:rsidR="001A2BD3" w:rsidRPr="006003A3">
        <w:rPr>
          <w:color w:val="202124"/>
          <w:lang w:val="en-GB"/>
        </w:rPr>
        <w:t xml:space="preserve">Vietnam and </w:t>
      </w:r>
      <w:r w:rsidR="00B32C60" w:rsidRPr="006003A3">
        <w:rPr>
          <w:color w:val="202124"/>
          <w:lang w:val="en-GB"/>
        </w:rPr>
        <w:t xml:space="preserve">other LMICs, especially those with severe pneumonia </w:t>
      </w:r>
      <w:r w:rsidR="00C53BA5" w:rsidRPr="006003A3">
        <w:rPr>
          <w:color w:val="202124"/>
          <w:lang w:val="en-GB"/>
        </w:rPr>
        <w:t>[</w:t>
      </w:r>
      <w:r w:rsidR="001A2BD3" w:rsidRPr="006003A3">
        <w:rPr>
          <w:color w:val="202124"/>
          <w:lang w:val="en-GB"/>
        </w:rPr>
        <w:t xml:space="preserve">5, </w:t>
      </w:r>
      <w:r w:rsidR="00C53BA5" w:rsidRPr="006003A3">
        <w:rPr>
          <w:color w:val="202124"/>
          <w:lang w:val="en-GB"/>
        </w:rPr>
        <w:t>7,37</w:t>
      </w:r>
      <w:r w:rsidR="000F086A" w:rsidRPr="006003A3">
        <w:rPr>
          <w:color w:val="202124"/>
          <w:lang w:val="en-GB"/>
        </w:rPr>
        <w:t>,</w:t>
      </w:r>
      <w:r w:rsidR="000F59C9" w:rsidRPr="006003A3">
        <w:rPr>
          <w:color w:val="202124"/>
          <w:lang w:val="en-GB"/>
        </w:rPr>
        <w:t>38</w:t>
      </w:r>
      <w:r w:rsidR="00C53BA5" w:rsidRPr="006003A3">
        <w:rPr>
          <w:color w:val="202124"/>
          <w:lang w:val="en-GB"/>
        </w:rPr>
        <w:t>]</w:t>
      </w:r>
      <w:r w:rsidR="00B32C60" w:rsidRPr="006003A3">
        <w:rPr>
          <w:color w:val="202124"/>
          <w:lang w:val="en-GB"/>
        </w:rPr>
        <w:t>, driving up antibiotic prescribing.</w:t>
      </w:r>
      <w:r w:rsidR="00B32C60" w:rsidRPr="004A7B30">
        <w:rPr>
          <w:color w:val="202124"/>
          <w:lang w:val="en-GB"/>
        </w:rPr>
        <w:t xml:space="preserve"> </w:t>
      </w:r>
    </w:p>
    <w:p w14:paraId="3AB0CC9E" w14:textId="3DD0C3B4" w:rsidR="00B32C60" w:rsidRPr="006003A3" w:rsidRDefault="00B32C60" w:rsidP="006003A3">
      <w:pPr>
        <w:pStyle w:val="MDPI31text"/>
        <w:jc w:val="left"/>
        <w:rPr>
          <w:color w:val="202124"/>
        </w:rPr>
      </w:pPr>
      <w:r w:rsidRPr="00095DE8">
        <w:rPr>
          <w:color w:val="202124"/>
          <w:lang w:val="en-GB"/>
        </w:rPr>
        <w:t xml:space="preserve">There </w:t>
      </w:r>
      <w:r>
        <w:rPr>
          <w:color w:val="202124"/>
          <w:lang w:val="en-GB"/>
        </w:rPr>
        <w:t xml:space="preserve">have also been </w:t>
      </w:r>
      <w:r w:rsidRPr="00095DE8">
        <w:rPr>
          <w:color w:val="202124"/>
          <w:lang w:val="en-GB"/>
        </w:rPr>
        <w:t xml:space="preserve">concerns </w:t>
      </w:r>
      <w:bookmarkStart w:id="1" w:name="_Hlk199661341"/>
      <w:r w:rsidRPr="00095DE8">
        <w:rPr>
          <w:color w:val="202124"/>
          <w:lang w:val="en-GB"/>
        </w:rPr>
        <w:t xml:space="preserve">with unnecessary and prolonged use of intravenous antibiotics among children with CAP </w:t>
      </w:r>
      <w:bookmarkStart w:id="2" w:name="_Hlk199147100"/>
      <w:r>
        <w:rPr>
          <w:color w:val="202124"/>
          <w:lang w:val="en-GB"/>
        </w:rPr>
        <w:t xml:space="preserve">in Vietnam </w:t>
      </w:r>
      <w:r w:rsidR="00101C20">
        <w:t>[26,3</w:t>
      </w:r>
      <w:r w:rsidR="000F59C9">
        <w:t>9</w:t>
      </w:r>
      <w:r w:rsidR="00101C20">
        <w:t>]</w:t>
      </w:r>
      <w:r>
        <w:t xml:space="preserve">, coupled with </w:t>
      </w:r>
      <w:bookmarkEnd w:id="2"/>
      <w:r>
        <w:rPr>
          <w:color w:val="202124"/>
          <w:lang w:val="en-GB"/>
        </w:rPr>
        <w:t>a lack of step-</w:t>
      </w:r>
      <w:r w:rsidRPr="006003A3">
        <w:rPr>
          <w:color w:val="202124"/>
          <w:lang w:val="en-GB"/>
        </w:rPr>
        <w:t xml:space="preserve">down care to oral antibiotics </w:t>
      </w:r>
      <w:r w:rsidR="00101C20" w:rsidRPr="006003A3">
        <w:rPr>
          <w:color w:val="202124"/>
          <w:lang w:val="en-GB"/>
        </w:rPr>
        <w:t>[3</w:t>
      </w:r>
      <w:r w:rsidR="000F59C9" w:rsidRPr="006003A3">
        <w:rPr>
          <w:color w:val="202124"/>
          <w:lang w:val="en-GB"/>
        </w:rPr>
        <w:t>9</w:t>
      </w:r>
      <w:r w:rsidR="00101C20" w:rsidRPr="006003A3">
        <w:rPr>
          <w:color w:val="202124"/>
          <w:lang w:val="en-GB"/>
        </w:rPr>
        <w:t>]</w:t>
      </w:r>
      <w:r w:rsidRPr="006003A3">
        <w:rPr>
          <w:color w:val="202124"/>
          <w:lang w:val="en-GB"/>
        </w:rPr>
        <w:t xml:space="preserve">. </w:t>
      </w:r>
      <w:bookmarkEnd w:id="1"/>
      <w:r w:rsidRPr="006003A3">
        <w:rPr>
          <w:color w:val="202124"/>
          <w:lang w:val="en-GB"/>
        </w:rPr>
        <w:t xml:space="preserve">Alongside this, generally high rates of prescribing of antibiotics for neonates and children admitted to a range of hospitals in Vietnam (Supplementary Table 1) </w:t>
      </w:r>
      <w:r w:rsidR="00101C20" w:rsidRPr="006003A3">
        <w:t>[</w:t>
      </w:r>
      <w:r w:rsidR="000F59C9" w:rsidRPr="006003A3">
        <w:t>40</w:t>
      </w:r>
      <w:r w:rsidR="00101C20" w:rsidRPr="006003A3">
        <w:t>-4</w:t>
      </w:r>
      <w:r w:rsidR="000F59C9" w:rsidRPr="006003A3">
        <w:t>2</w:t>
      </w:r>
      <w:r w:rsidR="00101C20" w:rsidRPr="006003A3">
        <w:t>]</w:t>
      </w:r>
      <w:r w:rsidRPr="006003A3">
        <w:rPr>
          <w:color w:val="202124"/>
          <w:lang w:val="en-GB"/>
        </w:rPr>
        <w:t xml:space="preserve">. This included neonates and children with pneumonia as well as severe pneumonia. There were also high levels of antibiotic use </w:t>
      </w:r>
      <w:r w:rsidR="005C2A8D">
        <w:rPr>
          <w:color w:val="202124"/>
          <w:lang w:val="en-GB"/>
        </w:rPr>
        <w:t xml:space="preserve">prior to hospital admission </w:t>
      </w:r>
      <w:r w:rsidRPr="006003A3">
        <w:rPr>
          <w:color w:val="202124"/>
          <w:lang w:val="en-GB"/>
        </w:rPr>
        <w:t xml:space="preserve">(Supplementary Table 1) </w:t>
      </w:r>
      <w:r w:rsidR="00101C20" w:rsidRPr="006003A3">
        <w:t>[</w:t>
      </w:r>
      <w:r w:rsidR="000F59C9" w:rsidRPr="006003A3">
        <w:t>40</w:t>
      </w:r>
      <w:r w:rsidR="00101C20" w:rsidRPr="006003A3">
        <w:t>-4</w:t>
      </w:r>
      <w:r w:rsidR="000F59C9" w:rsidRPr="006003A3">
        <w:t>2</w:t>
      </w:r>
      <w:r w:rsidR="00101C20" w:rsidRPr="006003A3">
        <w:t>]</w:t>
      </w:r>
      <w:r w:rsidRPr="006003A3">
        <w:rPr>
          <w:color w:val="202124"/>
          <w:lang w:val="en-GB"/>
        </w:rPr>
        <w:t xml:space="preserve">, similar to other LMICs </w:t>
      </w:r>
      <w:r w:rsidR="00101C20" w:rsidRPr="006003A3">
        <w:rPr>
          <w:color w:val="202124"/>
          <w:lang w:val="en-GB"/>
        </w:rPr>
        <w:t>[4</w:t>
      </w:r>
      <w:r w:rsidR="000F59C9" w:rsidRPr="006003A3">
        <w:rPr>
          <w:color w:val="202124"/>
          <w:lang w:val="en-GB"/>
        </w:rPr>
        <w:t>3</w:t>
      </w:r>
      <w:r w:rsidR="00101C20" w:rsidRPr="006003A3">
        <w:rPr>
          <w:color w:val="202124"/>
          <w:lang w:val="en-GB"/>
        </w:rPr>
        <w:t>,4</w:t>
      </w:r>
      <w:r w:rsidR="000F59C9" w:rsidRPr="006003A3">
        <w:rPr>
          <w:color w:val="202124"/>
          <w:lang w:val="en-GB"/>
        </w:rPr>
        <w:t>4</w:t>
      </w:r>
      <w:r w:rsidR="00101C20" w:rsidRPr="006003A3">
        <w:rPr>
          <w:color w:val="202124"/>
          <w:lang w:val="en-GB"/>
        </w:rPr>
        <w:t>]</w:t>
      </w:r>
      <w:r w:rsidR="000F086A" w:rsidRPr="006003A3">
        <w:rPr>
          <w:color w:val="202124"/>
          <w:lang w:val="en-GB"/>
        </w:rPr>
        <w:t xml:space="preserve">. This also impacts on antibiotic choices once hospitalised </w:t>
      </w:r>
      <w:r w:rsidR="005C2A8D">
        <w:rPr>
          <w:color w:val="202124"/>
          <w:lang w:val="en-GB"/>
        </w:rPr>
        <w:t>resulting in</w:t>
      </w:r>
      <w:r w:rsidR="000F086A" w:rsidRPr="006003A3">
        <w:rPr>
          <w:color w:val="202124"/>
          <w:lang w:val="en-GB"/>
        </w:rPr>
        <w:t xml:space="preserve"> </w:t>
      </w:r>
      <w:r w:rsidR="000F086A" w:rsidRPr="006003A3">
        <w:rPr>
          <w:color w:val="202124"/>
        </w:rPr>
        <w:t xml:space="preserve">high levels of empiric prescribing of antibiotics, including broad-spectrum antibiotics, among patients with CAP in Vietnam </w:t>
      </w:r>
      <w:r w:rsidR="000F086A" w:rsidRPr="006003A3">
        <w:t>[</w:t>
      </w:r>
      <w:r w:rsidR="000F59C9" w:rsidRPr="006003A3">
        <w:t>40</w:t>
      </w:r>
      <w:r w:rsidR="000F086A" w:rsidRPr="006003A3">
        <w:t>-4</w:t>
      </w:r>
      <w:r w:rsidR="000F59C9" w:rsidRPr="006003A3">
        <w:t>2</w:t>
      </w:r>
      <w:r w:rsidR="000F086A" w:rsidRPr="006003A3">
        <w:t>,</w:t>
      </w:r>
      <w:r w:rsidR="000F59C9" w:rsidRPr="006003A3">
        <w:t>4</w:t>
      </w:r>
      <w:r w:rsidR="000F086A" w:rsidRPr="006003A3">
        <w:t>5]</w:t>
      </w:r>
      <w:r w:rsidR="000F086A" w:rsidRPr="006003A3">
        <w:rPr>
          <w:color w:val="202124"/>
        </w:rPr>
        <w:t>.</w:t>
      </w:r>
      <w:r w:rsidR="004C4AF8" w:rsidRPr="006003A3">
        <w:rPr>
          <w:color w:val="202124"/>
        </w:rPr>
        <w:t xml:space="preserve"> The WHO </w:t>
      </w:r>
      <w:proofErr w:type="spellStart"/>
      <w:r w:rsidR="004C4AF8" w:rsidRPr="006003A3">
        <w:rPr>
          <w:color w:val="202124"/>
        </w:rPr>
        <w:t>AWaRe</w:t>
      </w:r>
      <w:proofErr w:type="spellEnd"/>
      <w:r w:rsidR="004C4AF8" w:rsidRPr="006003A3">
        <w:rPr>
          <w:color w:val="202124"/>
        </w:rPr>
        <w:t xml:space="preserve"> prescribing guidance book suggests simplifying treatment of hospitalized patients with CAP to narrow spectrum antibiotics where possible based on culture findings </w:t>
      </w:r>
      <w:r w:rsidR="005C2A8D">
        <w:rPr>
          <w:color w:val="202124"/>
        </w:rPr>
        <w:t xml:space="preserve">to reduce AMR </w:t>
      </w:r>
      <w:r w:rsidR="004C4AF8" w:rsidRPr="006003A3">
        <w:rPr>
          <w:color w:val="202124"/>
        </w:rPr>
        <w:t>[8,21].</w:t>
      </w:r>
      <w:r w:rsidR="004C4AF8">
        <w:rPr>
          <w:color w:val="202124"/>
        </w:rPr>
        <w:t xml:space="preserve">  </w:t>
      </w:r>
    </w:p>
    <w:p w14:paraId="2BA69AFF" w14:textId="14EEE27D" w:rsidR="00B32C60" w:rsidRDefault="00B32C60" w:rsidP="00B32C60">
      <w:pPr>
        <w:pStyle w:val="MDPI31text"/>
        <w:jc w:val="left"/>
        <w:rPr>
          <w:color w:val="202124"/>
          <w:lang w:val="en-GB"/>
        </w:rPr>
      </w:pPr>
      <w:r>
        <w:rPr>
          <w:color w:val="202124"/>
          <w:lang w:val="en-GB"/>
        </w:rPr>
        <w:t xml:space="preserve"> The urgent need to reduce excessive inappropriate prescribing of antibiotics among children with CAP in Vietnam is illustrated by current </w:t>
      </w:r>
      <w:r>
        <w:rPr>
          <w:color w:val="202124"/>
        </w:rPr>
        <w:t>high rates of m</w:t>
      </w:r>
      <w:r w:rsidRPr="000224C0">
        <w:rPr>
          <w:color w:val="202124"/>
        </w:rPr>
        <w:t xml:space="preserve">ulti-drug resistance </w:t>
      </w:r>
      <w:r>
        <w:rPr>
          <w:color w:val="202124"/>
        </w:rPr>
        <w:t xml:space="preserve">(MDR) to </w:t>
      </w:r>
      <w:r w:rsidRPr="000224C0">
        <w:rPr>
          <w:i/>
          <w:iCs/>
          <w:color w:val="202124"/>
        </w:rPr>
        <w:t>streptococcus pneumoniae</w:t>
      </w:r>
      <w:r w:rsidRPr="000224C0">
        <w:rPr>
          <w:color w:val="202124"/>
        </w:rPr>
        <w:t xml:space="preserve"> </w:t>
      </w:r>
      <w:r>
        <w:rPr>
          <w:color w:val="202124"/>
        </w:rPr>
        <w:t xml:space="preserve">in these patients. Resistance rates </w:t>
      </w:r>
      <w:r w:rsidRPr="000224C0">
        <w:rPr>
          <w:color w:val="202124"/>
        </w:rPr>
        <w:t>r</w:t>
      </w:r>
      <w:r>
        <w:rPr>
          <w:color w:val="202124"/>
        </w:rPr>
        <w:t>ose</w:t>
      </w:r>
      <w:r w:rsidRPr="000224C0">
        <w:rPr>
          <w:color w:val="202124"/>
        </w:rPr>
        <w:t xml:space="preserve"> from 31% to 80% </w:t>
      </w:r>
      <w:r>
        <w:rPr>
          <w:color w:val="202124"/>
        </w:rPr>
        <w:t xml:space="preserve">in a </w:t>
      </w:r>
      <w:r w:rsidRPr="000224C0">
        <w:rPr>
          <w:color w:val="202124"/>
        </w:rPr>
        <w:t>15-year study perio</w:t>
      </w:r>
      <w:r>
        <w:rPr>
          <w:color w:val="202124"/>
        </w:rPr>
        <w:t xml:space="preserve">d among children in rural Vietnam </w:t>
      </w:r>
      <w:r w:rsidR="00101C20">
        <w:rPr>
          <w:color w:val="202124"/>
        </w:rPr>
        <w:t>[4</w:t>
      </w:r>
      <w:r w:rsidR="007B15BC">
        <w:rPr>
          <w:color w:val="202124"/>
        </w:rPr>
        <w:t>6</w:t>
      </w:r>
      <w:r w:rsidR="00101C20">
        <w:rPr>
          <w:color w:val="202124"/>
        </w:rPr>
        <w:t>]</w:t>
      </w:r>
      <w:r>
        <w:rPr>
          <w:color w:val="202124"/>
        </w:rPr>
        <w:t>. Similarly, Dai et al</w:t>
      </w:r>
      <w:r w:rsidR="00101C20">
        <w:rPr>
          <w:color w:val="202124"/>
        </w:rPr>
        <w:t>.</w:t>
      </w:r>
      <w:r>
        <w:rPr>
          <w:color w:val="202124"/>
        </w:rPr>
        <w:t xml:space="preserve"> (2020) found high rates of MDR </w:t>
      </w:r>
      <w:r w:rsidRPr="00653E1D">
        <w:rPr>
          <w:i/>
          <w:iCs/>
          <w:color w:val="202124"/>
        </w:rPr>
        <w:t>pneumococci</w:t>
      </w:r>
      <w:r>
        <w:rPr>
          <w:color w:val="202124"/>
        </w:rPr>
        <w:t xml:space="preserve"> in the community among infants enrolled into </w:t>
      </w:r>
      <w:r w:rsidRPr="000316F3">
        <w:rPr>
          <w:color w:val="202124"/>
        </w:rPr>
        <w:t>a pneumococcal conjugate vaccine trial</w:t>
      </w:r>
      <w:r>
        <w:rPr>
          <w:color w:val="202124"/>
        </w:rPr>
        <w:t xml:space="preserve"> </w:t>
      </w:r>
      <w:r w:rsidR="00707D63">
        <w:rPr>
          <w:color w:val="202124"/>
        </w:rPr>
        <w:t>[4</w:t>
      </w:r>
      <w:r w:rsidR="007B15BC">
        <w:rPr>
          <w:color w:val="202124"/>
        </w:rPr>
        <w:t>7</w:t>
      </w:r>
      <w:r w:rsidR="00707D63">
        <w:rPr>
          <w:color w:val="202124"/>
        </w:rPr>
        <w:t>]</w:t>
      </w:r>
      <w:r>
        <w:rPr>
          <w:color w:val="202124"/>
        </w:rPr>
        <w:t>. Tran-Quang et al</w:t>
      </w:r>
      <w:r w:rsidR="008E0F57">
        <w:rPr>
          <w:color w:val="202124"/>
        </w:rPr>
        <w:t>.</w:t>
      </w:r>
      <w:r>
        <w:rPr>
          <w:color w:val="202124"/>
        </w:rPr>
        <w:t xml:space="preserve"> (2023) also found </w:t>
      </w:r>
      <w:r w:rsidRPr="00964D20">
        <w:rPr>
          <w:i/>
          <w:iCs/>
          <w:color w:val="202124"/>
          <w:lang w:val="en-GB"/>
        </w:rPr>
        <w:t xml:space="preserve">Streptococcus pneumoniae </w:t>
      </w:r>
      <w:r w:rsidRPr="00964D20">
        <w:rPr>
          <w:color w:val="202124"/>
          <w:lang w:val="en-GB"/>
        </w:rPr>
        <w:t xml:space="preserve">isolates </w:t>
      </w:r>
      <w:r>
        <w:rPr>
          <w:color w:val="202124"/>
          <w:lang w:val="en-GB"/>
        </w:rPr>
        <w:t xml:space="preserve">from children hospitalised in Vietnam with CAP </w:t>
      </w:r>
      <w:r w:rsidRPr="00964D20">
        <w:rPr>
          <w:color w:val="202124"/>
          <w:lang w:val="en-GB"/>
        </w:rPr>
        <w:t>were</w:t>
      </w:r>
      <w:r>
        <w:rPr>
          <w:color w:val="202124"/>
        </w:rPr>
        <w:t xml:space="preserve"> </w:t>
      </w:r>
      <w:r w:rsidRPr="00964D20">
        <w:rPr>
          <w:color w:val="202124"/>
          <w:lang w:val="en-GB"/>
        </w:rPr>
        <w:t>resistant to many antibiotics</w:t>
      </w:r>
      <w:r>
        <w:rPr>
          <w:color w:val="202124"/>
          <w:lang w:val="en-GB"/>
        </w:rPr>
        <w:t xml:space="preserve"> </w:t>
      </w:r>
      <w:r w:rsidR="008E0F57">
        <w:rPr>
          <w:color w:val="202124"/>
          <w:lang w:val="en-GB"/>
        </w:rPr>
        <w:t>[4</w:t>
      </w:r>
      <w:r w:rsidR="007B15BC">
        <w:rPr>
          <w:color w:val="202124"/>
          <w:lang w:val="en-GB"/>
        </w:rPr>
        <w:t>8</w:t>
      </w:r>
      <w:r w:rsidR="008E0F57">
        <w:rPr>
          <w:color w:val="202124"/>
          <w:lang w:val="en-GB"/>
        </w:rPr>
        <w:t>]</w:t>
      </w:r>
      <w:r w:rsidRPr="00964D20">
        <w:rPr>
          <w:color w:val="202124"/>
          <w:lang w:val="en-GB"/>
        </w:rPr>
        <w:t>.</w:t>
      </w:r>
      <w:r>
        <w:rPr>
          <w:color w:val="202124"/>
          <w:lang w:val="en-GB"/>
        </w:rPr>
        <w:t xml:space="preserve"> </w:t>
      </w:r>
    </w:p>
    <w:p w14:paraId="3194FB0F" w14:textId="16EEB3E4" w:rsidR="00B32C60" w:rsidRDefault="00B32C60" w:rsidP="00B32C60">
      <w:pPr>
        <w:pStyle w:val="MDPI31text"/>
        <w:jc w:val="left"/>
        <w:rPr>
          <w:color w:val="202124"/>
        </w:rPr>
      </w:pPr>
      <w:r>
        <w:rPr>
          <w:color w:val="202124"/>
        </w:rPr>
        <w:t xml:space="preserve">There are also concerns with </w:t>
      </w:r>
      <w:r w:rsidRPr="00A43987">
        <w:rPr>
          <w:color w:val="202124"/>
          <w:lang w:val="en-GB"/>
        </w:rPr>
        <w:t>increased resistance</w:t>
      </w:r>
      <w:r>
        <w:rPr>
          <w:color w:val="202124"/>
          <w:lang w:val="en-GB"/>
        </w:rPr>
        <w:t xml:space="preserve"> </w:t>
      </w:r>
      <w:r w:rsidRPr="00A43987">
        <w:rPr>
          <w:color w:val="202124"/>
          <w:lang w:val="en-GB"/>
        </w:rPr>
        <w:t xml:space="preserve">to </w:t>
      </w:r>
      <w:r>
        <w:rPr>
          <w:color w:val="202124"/>
          <w:lang w:val="en-GB"/>
        </w:rPr>
        <w:t>co-</w:t>
      </w:r>
      <w:r w:rsidRPr="00A43987">
        <w:rPr>
          <w:color w:val="202124"/>
          <w:lang w:val="en-GB"/>
        </w:rPr>
        <w:t>amoxic</w:t>
      </w:r>
      <w:r>
        <w:rPr>
          <w:color w:val="202124"/>
          <w:lang w:val="en-GB"/>
        </w:rPr>
        <w:t xml:space="preserve">lav and </w:t>
      </w:r>
      <w:r w:rsidRPr="00A43987">
        <w:rPr>
          <w:color w:val="202124"/>
          <w:lang w:val="en-GB"/>
        </w:rPr>
        <w:t>cefuroxime</w:t>
      </w:r>
      <w:r>
        <w:rPr>
          <w:color w:val="202124"/>
          <w:lang w:val="en-GB"/>
        </w:rPr>
        <w:t>, alongside increased resistance to</w:t>
      </w:r>
      <w:r>
        <w:rPr>
          <w:color w:val="202124"/>
        </w:rPr>
        <w:t xml:space="preserve"> </w:t>
      </w:r>
      <w:r w:rsidRPr="00E07087">
        <w:rPr>
          <w:i/>
          <w:iCs/>
          <w:color w:val="202124"/>
          <w:lang w:val="en-GB"/>
        </w:rPr>
        <w:t>mycoplasma pneumoniae</w:t>
      </w:r>
      <w:r>
        <w:rPr>
          <w:color w:val="202124"/>
          <w:lang w:val="en-GB"/>
        </w:rPr>
        <w:t xml:space="preserve">, among patients hospitalised with pneumonia in Vietnam </w:t>
      </w:r>
      <w:r w:rsidR="008E0F57">
        <w:rPr>
          <w:color w:val="202124"/>
          <w:lang w:val="en-GB"/>
        </w:rPr>
        <w:t>[4</w:t>
      </w:r>
      <w:r w:rsidR="004015DC">
        <w:rPr>
          <w:color w:val="202124"/>
          <w:lang w:val="en-GB"/>
        </w:rPr>
        <w:t>9</w:t>
      </w:r>
      <w:r w:rsidR="008E0F57">
        <w:rPr>
          <w:color w:val="202124"/>
          <w:lang w:val="en-GB"/>
        </w:rPr>
        <w:t>-5</w:t>
      </w:r>
      <w:r w:rsidR="004015DC">
        <w:rPr>
          <w:color w:val="202124"/>
          <w:lang w:val="en-GB"/>
        </w:rPr>
        <w:t>1</w:t>
      </w:r>
      <w:r w:rsidR="008E0F57">
        <w:rPr>
          <w:color w:val="202124"/>
          <w:lang w:val="en-GB"/>
        </w:rPr>
        <w:t>]</w:t>
      </w:r>
      <w:r>
        <w:rPr>
          <w:color w:val="202124"/>
          <w:lang w:val="en-GB"/>
        </w:rPr>
        <w:t xml:space="preserve">. </w:t>
      </w:r>
      <w:r>
        <w:rPr>
          <w:color w:val="202124"/>
        </w:rPr>
        <w:t xml:space="preserve">High levels of MDR strains have also been seen generally in patients with </w:t>
      </w:r>
      <w:r w:rsidR="008E0F57">
        <w:rPr>
          <w:color w:val="202124"/>
        </w:rPr>
        <w:t>lower respiratory tract infections (</w:t>
      </w:r>
      <w:r>
        <w:rPr>
          <w:color w:val="202124"/>
        </w:rPr>
        <w:t>LRTIs</w:t>
      </w:r>
      <w:r w:rsidR="008E0F57">
        <w:rPr>
          <w:color w:val="202124"/>
        </w:rPr>
        <w:t>)</w:t>
      </w:r>
      <w:r>
        <w:rPr>
          <w:color w:val="202124"/>
        </w:rPr>
        <w:t xml:space="preserve"> admitted to hospitals in Vietnam </w:t>
      </w:r>
      <w:r w:rsidR="00824A59">
        <w:rPr>
          <w:color w:val="202124"/>
        </w:rPr>
        <w:t>[5</w:t>
      </w:r>
      <w:r w:rsidR="004015DC">
        <w:rPr>
          <w:color w:val="202124"/>
        </w:rPr>
        <w:t>2</w:t>
      </w:r>
      <w:r w:rsidR="00824A59">
        <w:rPr>
          <w:color w:val="202124"/>
        </w:rPr>
        <w:t>]</w:t>
      </w:r>
      <w:r>
        <w:rPr>
          <w:color w:val="202124"/>
        </w:rPr>
        <w:t xml:space="preserve">. </w:t>
      </w:r>
      <w:r>
        <w:rPr>
          <w:color w:val="202124"/>
          <w:lang w:val="en-GB"/>
        </w:rPr>
        <w:t xml:space="preserve">MDR strains are a concern as these can lead to an increase in re-admission of patients with CAP in Vietnam unless patients are appropriately managed </w:t>
      </w:r>
      <w:r w:rsidR="00824A59">
        <w:rPr>
          <w:color w:val="202124"/>
          <w:lang w:val="en-GB"/>
        </w:rPr>
        <w:t>[5</w:t>
      </w:r>
      <w:r w:rsidR="004015DC">
        <w:rPr>
          <w:color w:val="202124"/>
          <w:lang w:val="en-GB"/>
        </w:rPr>
        <w:t>3</w:t>
      </w:r>
      <w:r w:rsidR="00824A59">
        <w:rPr>
          <w:color w:val="202124"/>
          <w:lang w:val="en-GB"/>
        </w:rPr>
        <w:t>]</w:t>
      </w:r>
      <w:r>
        <w:rPr>
          <w:color w:val="202124"/>
          <w:lang w:val="en-GB"/>
        </w:rPr>
        <w:t>. More recently, Tran et al</w:t>
      </w:r>
      <w:r w:rsidR="00824A59">
        <w:rPr>
          <w:color w:val="202124"/>
          <w:lang w:val="en-GB"/>
        </w:rPr>
        <w:t>.</w:t>
      </w:r>
      <w:r>
        <w:rPr>
          <w:color w:val="202124"/>
          <w:lang w:val="en-GB"/>
        </w:rPr>
        <w:t xml:space="preserve"> (2023) identified </w:t>
      </w:r>
      <w:r w:rsidRPr="00A07073">
        <w:rPr>
          <w:i/>
          <w:iCs/>
          <w:color w:val="202124"/>
          <w:lang w:val="en-GB"/>
        </w:rPr>
        <w:t>methicillin-resistant staphylococcus aureus</w:t>
      </w:r>
      <w:r w:rsidRPr="00A07073">
        <w:rPr>
          <w:color w:val="202124"/>
          <w:lang w:val="en-GB"/>
        </w:rPr>
        <w:t xml:space="preserve"> (MRSA) strains</w:t>
      </w:r>
      <w:r>
        <w:rPr>
          <w:color w:val="202124"/>
          <w:lang w:val="en-GB"/>
        </w:rPr>
        <w:t xml:space="preserve"> </w:t>
      </w:r>
      <w:r w:rsidRPr="00A07073">
        <w:rPr>
          <w:color w:val="202124"/>
          <w:lang w:val="en-GB"/>
        </w:rPr>
        <w:t>as the second leading cause of seve</w:t>
      </w:r>
      <w:r>
        <w:rPr>
          <w:color w:val="202124"/>
          <w:lang w:val="en-GB"/>
        </w:rPr>
        <w:t>r</w:t>
      </w:r>
      <w:r w:rsidRPr="00A07073">
        <w:rPr>
          <w:color w:val="202124"/>
          <w:lang w:val="en-GB"/>
        </w:rPr>
        <w:t>e CAP</w:t>
      </w:r>
      <w:r>
        <w:rPr>
          <w:color w:val="202124"/>
          <w:lang w:val="en-GB"/>
        </w:rPr>
        <w:t xml:space="preserve"> among children in Vietnam hospitalised with this condition </w:t>
      </w:r>
      <w:r w:rsidR="006C67A0">
        <w:rPr>
          <w:color w:val="202124"/>
          <w:lang w:val="en-GB"/>
        </w:rPr>
        <w:t>[53]</w:t>
      </w:r>
      <w:r>
        <w:rPr>
          <w:color w:val="202124"/>
          <w:lang w:val="en-GB"/>
        </w:rPr>
        <w:t xml:space="preserve">. Of concern as well is that </w:t>
      </w:r>
      <w:r w:rsidRPr="00A07073">
        <w:rPr>
          <w:color w:val="202124"/>
          <w:lang w:val="en-GB"/>
        </w:rPr>
        <w:t xml:space="preserve">MRSA isolates </w:t>
      </w:r>
      <w:r>
        <w:rPr>
          <w:color w:val="202124"/>
          <w:lang w:val="en-GB"/>
        </w:rPr>
        <w:t xml:space="preserve">in their study </w:t>
      </w:r>
      <w:r w:rsidRPr="00A07073">
        <w:rPr>
          <w:color w:val="202124"/>
          <w:lang w:val="en-GB"/>
        </w:rPr>
        <w:t>were completely resistant to penicillin</w:t>
      </w:r>
      <w:r>
        <w:rPr>
          <w:color w:val="202124"/>
          <w:lang w:val="en-GB"/>
        </w:rPr>
        <w:t xml:space="preserve"> (100%) as well as </w:t>
      </w:r>
      <w:r w:rsidRPr="00A07073">
        <w:rPr>
          <w:color w:val="202124"/>
          <w:lang w:val="en-GB"/>
        </w:rPr>
        <w:t xml:space="preserve">resistant to many </w:t>
      </w:r>
      <w:r>
        <w:rPr>
          <w:color w:val="202124"/>
          <w:lang w:val="en-GB"/>
        </w:rPr>
        <w:t xml:space="preserve">other </w:t>
      </w:r>
      <w:r w:rsidRPr="00A07073">
        <w:rPr>
          <w:color w:val="202124"/>
          <w:lang w:val="en-GB"/>
        </w:rPr>
        <w:t>antibiotics</w:t>
      </w:r>
      <w:r>
        <w:rPr>
          <w:color w:val="202124"/>
          <w:lang w:val="en-GB"/>
        </w:rPr>
        <w:t xml:space="preserve"> including </w:t>
      </w:r>
      <w:r w:rsidRPr="00A07073">
        <w:rPr>
          <w:color w:val="202124"/>
          <w:lang w:val="en-GB"/>
        </w:rPr>
        <w:t>clindamycin (84.4%)</w:t>
      </w:r>
      <w:r>
        <w:rPr>
          <w:color w:val="202124"/>
          <w:lang w:val="en-GB"/>
        </w:rPr>
        <w:t xml:space="preserve"> and </w:t>
      </w:r>
      <w:r w:rsidRPr="00A07073">
        <w:rPr>
          <w:color w:val="202124"/>
          <w:lang w:val="en-GB"/>
        </w:rPr>
        <w:t>erythromycin (78.1%)</w:t>
      </w:r>
      <w:r>
        <w:rPr>
          <w:color w:val="202124"/>
          <w:lang w:val="en-GB"/>
        </w:rPr>
        <w:t xml:space="preserve"> </w:t>
      </w:r>
      <w:r w:rsidR="006C67A0">
        <w:rPr>
          <w:color w:val="202124"/>
          <w:lang w:val="en-GB"/>
        </w:rPr>
        <w:t>[5</w:t>
      </w:r>
      <w:r w:rsidR="004015DC">
        <w:rPr>
          <w:color w:val="202124"/>
          <w:lang w:val="en-GB"/>
        </w:rPr>
        <w:t>4</w:t>
      </w:r>
      <w:r w:rsidR="006C67A0">
        <w:rPr>
          <w:color w:val="202124"/>
          <w:lang w:val="en-GB"/>
        </w:rPr>
        <w:t>]</w:t>
      </w:r>
      <w:r>
        <w:rPr>
          <w:color w:val="202124"/>
          <w:lang w:val="en-GB"/>
        </w:rPr>
        <w:t xml:space="preserve">. High levels of MRSA were also seen in the study of </w:t>
      </w:r>
      <w:r w:rsidRPr="00B210E0">
        <w:rPr>
          <w:color w:val="202124"/>
          <w:lang w:val="en-GB"/>
        </w:rPr>
        <w:t>Vo-Pham-Minh</w:t>
      </w:r>
      <w:r>
        <w:rPr>
          <w:color w:val="202124"/>
          <w:lang w:val="en-GB"/>
        </w:rPr>
        <w:t xml:space="preserve"> et al (2024) among patients hospitalised with CAP </w:t>
      </w:r>
      <w:r w:rsidR="00240AB1">
        <w:rPr>
          <w:color w:val="202124"/>
          <w:lang w:val="en-GB"/>
        </w:rPr>
        <w:t>[5</w:t>
      </w:r>
      <w:r w:rsidR="004015DC">
        <w:rPr>
          <w:color w:val="202124"/>
          <w:lang w:val="en-GB"/>
        </w:rPr>
        <w:t>5</w:t>
      </w:r>
      <w:r w:rsidR="00240AB1">
        <w:rPr>
          <w:color w:val="202124"/>
          <w:lang w:val="en-GB"/>
        </w:rPr>
        <w:t>]</w:t>
      </w:r>
      <w:r>
        <w:rPr>
          <w:color w:val="202124"/>
          <w:lang w:val="en-GB"/>
        </w:rPr>
        <w:t xml:space="preserve">. </w:t>
      </w:r>
    </w:p>
    <w:p w14:paraId="3B7040CC" w14:textId="39E36273" w:rsidR="00B32C60" w:rsidRDefault="00B32C60" w:rsidP="00B32C60">
      <w:pPr>
        <w:pStyle w:val="MDPI31text"/>
        <w:jc w:val="left"/>
        <w:rPr>
          <w:color w:val="202124"/>
          <w:lang w:val="en"/>
        </w:rPr>
      </w:pPr>
      <w:r w:rsidRPr="006003A3">
        <w:rPr>
          <w:color w:val="202124"/>
          <w:lang w:val="en"/>
        </w:rPr>
        <w:t xml:space="preserve">Antimicrobial stewardship programs (ASPs) have improved the use of antibiotics in hospitals across countries </w:t>
      </w:r>
      <w:r w:rsidR="00A32074" w:rsidRPr="006003A3">
        <w:rPr>
          <w:color w:val="202124"/>
          <w:lang w:val="en"/>
        </w:rPr>
        <w:t xml:space="preserve">helping to reduce AMR </w:t>
      </w:r>
      <w:r w:rsidR="00240AB1" w:rsidRPr="006003A3">
        <w:rPr>
          <w:color w:val="202124"/>
          <w:lang w:val="en"/>
        </w:rPr>
        <w:t>[5</w:t>
      </w:r>
      <w:r w:rsidR="004015DC" w:rsidRPr="006003A3">
        <w:rPr>
          <w:color w:val="202124"/>
          <w:lang w:val="en"/>
        </w:rPr>
        <w:t>6</w:t>
      </w:r>
      <w:r w:rsidR="00240AB1" w:rsidRPr="006003A3">
        <w:rPr>
          <w:color w:val="202124"/>
          <w:lang w:val="en"/>
        </w:rPr>
        <w:t>]</w:t>
      </w:r>
      <w:r w:rsidRPr="006003A3">
        <w:rPr>
          <w:color w:val="202124"/>
          <w:lang w:val="en"/>
        </w:rPr>
        <w:t xml:space="preserve">. However, there have been concerns that ASPs are more difficult to perform in LMICs due to personnel and financial issues, which includes Vietnam </w:t>
      </w:r>
      <w:r w:rsidR="0075131D" w:rsidRPr="006003A3">
        <w:rPr>
          <w:color w:val="202124"/>
          <w:lang w:val="en"/>
        </w:rPr>
        <w:t>[31,5</w:t>
      </w:r>
      <w:r w:rsidR="004015DC" w:rsidRPr="006003A3">
        <w:rPr>
          <w:color w:val="202124"/>
          <w:lang w:val="en"/>
        </w:rPr>
        <w:t>7</w:t>
      </w:r>
      <w:r w:rsidR="0075131D" w:rsidRPr="006003A3">
        <w:rPr>
          <w:color w:val="202124"/>
          <w:lang w:val="en"/>
        </w:rPr>
        <w:t>]</w:t>
      </w:r>
      <w:r w:rsidRPr="006003A3">
        <w:rPr>
          <w:color w:val="202124"/>
          <w:lang w:val="en"/>
        </w:rPr>
        <w:t>. This though is changing, and we are seeing multiple ASPs being performed across LMICs</w:t>
      </w:r>
      <w:r w:rsidR="00A32074" w:rsidRPr="006003A3">
        <w:rPr>
          <w:color w:val="202124"/>
          <w:lang w:val="en"/>
        </w:rPr>
        <w:t>, including Vietnam,</w:t>
      </w:r>
      <w:r w:rsidRPr="006003A3">
        <w:rPr>
          <w:color w:val="202124"/>
          <w:lang w:val="en"/>
        </w:rPr>
        <w:t xml:space="preserve"> to improve future antibiotic use </w:t>
      </w:r>
      <w:r w:rsidR="0075131D" w:rsidRPr="006003A3">
        <w:rPr>
          <w:color w:val="202124"/>
          <w:lang w:val="en"/>
        </w:rPr>
        <w:t>[12,5</w:t>
      </w:r>
      <w:r w:rsidR="004015DC" w:rsidRPr="006003A3">
        <w:rPr>
          <w:color w:val="202124"/>
          <w:lang w:val="en"/>
        </w:rPr>
        <w:t>8</w:t>
      </w:r>
      <w:r w:rsidR="0075131D" w:rsidRPr="006003A3">
        <w:rPr>
          <w:color w:val="202124"/>
          <w:lang w:val="en"/>
        </w:rPr>
        <w:t>-6</w:t>
      </w:r>
      <w:r w:rsidR="004015DC" w:rsidRPr="006003A3">
        <w:rPr>
          <w:color w:val="202124"/>
          <w:lang w:val="en"/>
        </w:rPr>
        <w:t>4</w:t>
      </w:r>
      <w:r w:rsidR="0075131D" w:rsidRPr="006003A3">
        <w:rPr>
          <w:color w:val="202124"/>
          <w:lang w:val="en"/>
        </w:rPr>
        <w:t>]</w:t>
      </w:r>
      <w:r w:rsidR="007D72DD">
        <w:rPr>
          <w:color w:val="202124"/>
          <w:lang w:val="en"/>
        </w:rPr>
        <w:t>. This</w:t>
      </w:r>
      <w:r w:rsidR="00A32074" w:rsidRPr="006003A3">
        <w:rPr>
          <w:color w:val="202124"/>
          <w:lang w:val="en"/>
        </w:rPr>
        <w:t xml:space="preserve"> includ</w:t>
      </w:r>
      <w:r w:rsidR="007D72DD">
        <w:rPr>
          <w:color w:val="202124"/>
          <w:lang w:val="en"/>
        </w:rPr>
        <w:t>es</w:t>
      </w:r>
      <w:r w:rsidR="00A32074" w:rsidRPr="006003A3">
        <w:rPr>
          <w:color w:val="202124"/>
          <w:lang w:val="en"/>
        </w:rPr>
        <w:t xml:space="preserve"> among </w:t>
      </w:r>
      <w:r w:rsidRPr="006003A3">
        <w:rPr>
          <w:color w:val="202124"/>
          <w:lang w:val="en"/>
        </w:rPr>
        <w:t>patients with acute respiratory tract infections and CAP</w:t>
      </w:r>
      <w:r w:rsidR="006003A3">
        <w:rPr>
          <w:color w:val="202124"/>
          <w:lang w:val="en"/>
        </w:rPr>
        <w:t xml:space="preserve"> </w:t>
      </w:r>
      <w:r w:rsidR="0075131D" w:rsidRPr="006003A3">
        <w:rPr>
          <w:color w:val="202124"/>
          <w:lang w:val="en"/>
        </w:rPr>
        <w:t>[6</w:t>
      </w:r>
      <w:r w:rsidR="004015DC" w:rsidRPr="006003A3">
        <w:rPr>
          <w:color w:val="202124"/>
          <w:lang w:val="en"/>
        </w:rPr>
        <w:t>2</w:t>
      </w:r>
      <w:r w:rsidR="0075131D" w:rsidRPr="006003A3">
        <w:rPr>
          <w:color w:val="202124"/>
          <w:lang w:val="en"/>
        </w:rPr>
        <w:t>-6</w:t>
      </w:r>
      <w:r w:rsidR="004015DC" w:rsidRPr="006003A3">
        <w:rPr>
          <w:color w:val="202124"/>
          <w:lang w:val="en"/>
        </w:rPr>
        <w:t>4</w:t>
      </w:r>
      <w:r w:rsidR="0075131D" w:rsidRPr="006003A3">
        <w:rPr>
          <w:color w:val="202124"/>
          <w:lang w:val="en"/>
        </w:rPr>
        <w:t>]</w:t>
      </w:r>
      <w:r w:rsidRPr="006003A3">
        <w:rPr>
          <w:color w:val="202124"/>
          <w:lang w:val="en"/>
        </w:rPr>
        <w:t>. Compliance with agreed guidelines</w:t>
      </w:r>
      <w:r w:rsidR="00A32074" w:rsidRPr="006003A3">
        <w:rPr>
          <w:color w:val="202124"/>
          <w:lang w:val="en"/>
        </w:rPr>
        <w:t>, including patients with CAP,</w:t>
      </w:r>
      <w:r w:rsidRPr="006003A3">
        <w:rPr>
          <w:color w:val="202124"/>
          <w:lang w:val="en"/>
        </w:rPr>
        <w:t xml:space="preserve"> is increasingly part of ASPs in LMICs</w:t>
      </w:r>
      <w:r w:rsidR="00A32074" w:rsidRPr="006003A3">
        <w:rPr>
          <w:color w:val="202124"/>
          <w:lang w:val="en"/>
        </w:rPr>
        <w:t xml:space="preserve"> to</w:t>
      </w:r>
      <w:r w:rsidRPr="006003A3">
        <w:rPr>
          <w:color w:val="202124"/>
          <w:lang w:val="en"/>
        </w:rPr>
        <w:t xml:space="preserve"> improve </w:t>
      </w:r>
      <w:r w:rsidR="007D72DD">
        <w:rPr>
          <w:color w:val="202124"/>
          <w:lang w:val="en"/>
        </w:rPr>
        <w:t xml:space="preserve">future </w:t>
      </w:r>
      <w:r w:rsidRPr="006003A3">
        <w:rPr>
          <w:color w:val="202124"/>
          <w:lang w:val="en"/>
        </w:rPr>
        <w:t>antibiotic</w:t>
      </w:r>
      <w:r w:rsidR="00A32074" w:rsidRPr="006003A3">
        <w:rPr>
          <w:color w:val="202124"/>
          <w:lang w:val="en"/>
        </w:rPr>
        <w:t xml:space="preserve"> use and the quality of care</w:t>
      </w:r>
      <w:r w:rsidRPr="006003A3">
        <w:rPr>
          <w:color w:val="202124"/>
          <w:lang w:val="en"/>
        </w:rPr>
        <w:t xml:space="preserve"> </w:t>
      </w:r>
      <w:r w:rsidR="00662616" w:rsidRPr="006003A3">
        <w:rPr>
          <w:color w:val="202124"/>
          <w:lang w:val="en"/>
        </w:rPr>
        <w:t>[5</w:t>
      </w:r>
      <w:r w:rsidR="004015DC" w:rsidRPr="006003A3">
        <w:rPr>
          <w:color w:val="202124"/>
          <w:lang w:val="en"/>
        </w:rPr>
        <w:t>8</w:t>
      </w:r>
      <w:r w:rsidR="00662616" w:rsidRPr="006003A3">
        <w:rPr>
          <w:color w:val="202124"/>
          <w:lang w:val="en"/>
        </w:rPr>
        <w:t>,6</w:t>
      </w:r>
      <w:r w:rsidR="004015DC" w:rsidRPr="006003A3">
        <w:rPr>
          <w:color w:val="202124"/>
          <w:lang w:val="en"/>
        </w:rPr>
        <w:t>5</w:t>
      </w:r>
      <w:r w:rsidR="00A32074" w:rsidRPr="006003A3">
        <w:rPr>
          <w:color w:val="202124"/>
          <w:lang w:val="en"/>
        </w:rPr>
        <w:t>-6</w:t>
      </w:r>
      <w:r w:rsidR="004015DC" w:rsidRPr="006003A3">
        <w:rPr>
          <w:color w:val="202124"/>
          <w:lang w:val="en"/>
        </w:rPr>
        <w:t>8</w:t>
      </w:r>
      <w:r w:rsidR="00662616" w:rsidRPr="006003A3">
        <w:rPr>
          <w:color w:val="202124"/>
          <w:lang w:val="en"/>
        </w:rPr>
        <w:t>]</w:t>
      </w:r>
      <w:r w:rsidRPr="006003A3">
        <w:rPr>
          <w:color w:val="202124"/>
          <w:lang w:val="en"/>
        </w:rPr>
        <w:t xml:space="preserve">. </w:t>
      </w:r>
      <w:r w:rsidR="004305E0" w:rsidRPr="006003A3">
        <w:rPr>
          <w:color w:val="202124"/>
          <w:lang w:val="en-GB"/>
        </w:rPr>
        <w:t xml:space="preserve">It is increasingly likely that quality targets for managing hospitalised patients with infectious diseases, including CAP, will be based on percentage adherence rates to prescribing recommendations, including within the WHO </w:t>
      </w:r>
      <w:proofErr w:type="spellStart"/>
      <w:r w:rsidR="004305E0" w:rsidRPr="006003A3">
        <w:rPr>
          <w:color w:val="202124"/>
          <w:lang w:val="en-GB"/>
        </w:rPr>
        <w:t>AWaRe</w:t>
      </w:r>
      <w:proofErr w:type="spellEnd"/>
      <w:r w:rsidR="004305E0" w:rsidRPr="006003A3">
        <w:rPr>
          <w:color w:val="202124"/>
          <w:lang w:val="en-GB"/>
        </w:rPr>
        <w:t xml:space="preserve"> </w:t>
      </w:r>
      <w:r w:rsidR="007D72DD">
        <w:rPr>
          <w:color w:val="202124"/>
          <w:lang w:val="en-GB"/>
        </w:rPr>
        <w:t xml:space="preserve">guidance </w:t>
      </w:r>
      <w:r w:rsidR="004305E0" w:rsidRPr="006003A3">
        <w:rPr>
          <w:color w:val="202124"/>
          <w:lang w:val="en-GB"/>
        </w:rPr>
        <w:t>book, to meet UN GA targets [8,20,21,24</w:t>
      </w:r>
      <w:r w:rsidR="004015DC" w:rsidRPr="006003A3">
        <w:rPr>
          <w:color w:val="202124"/>
          <w:lang w:val="en-GB"/>
        </w:rPr>
        <w:t>,69</w:t>
      </w:r>
      <w:r w:rsidR="004305E0" w:rsidRPr="006003A3">
        <w:rPr>
          <w:color w:val="202124"/>
          <w:lang w:val="en-GB"/>
        </w:rPr>
        <w:t>].</w:t>
      </w:r>
    </w:p>
    <w:p w14:paraId="5C729D7C" w14:textId="650EA5E8" w:rsidR="00B32C60" w:rsidRPr="004D0E10" w:rsidRDefault="00B32C60" w:rsidP="007045B0">
      <w:pPr>
        <w:pStyle w:val="MDPI31text"/>
        <w:jc w:val="left"/>
      </w:pPr>
      <w:r>
        <w:rPr>
          <w:lang w:val="en"/>
        </w:rPr>
        <w:t xml:space="preserve">In their study, </w:t>
      </w:r>
      <w:r w:rsidRPr="00710A9F">
        <w:rPr>
          <w:lang w:val="en-GB"/>
        </w:rPr>
        <w:t>Nguyen</w:t>
      </w:r>
      <w:r>
        <w:rPr>
          <w:lang w:val="en-GB"/>
        </w:rPr>
        <w:t xml:space="preserve"> et al. (2023) found there was a </w:t>
      </w:r>
      <w:r w:rsidRPr="00710A9F">
        <w:rPr>
          <w:lang w:val="en-GB"/>
        </w:rPr>
        <w:t xml:space="preserve">reduction in antibiotic use </w:t>
      </w:r>
      <w:r>
        <w:rPr>
          <w:lang w:val="en-GB"/>
        </w:rPr>
        <w:t xml:space="preserve">among </w:t>
      </w:r>
      <w:r w:rsidRPr="00710A9F">
        <w:rPr>
          <w:lang w:val="en-GB"/>
        </w:rPr>
        <w:t xml:space="preserve">young children </w:t>
      </w:r>
      <w:r>
        <w:rPr>
          <w:lang w:val="en-GB"/>
        </w:rPr>
        <w:t xml:space="preserve">hospitalised </w:t>
      </w:r>
      <w:r w:rsidRPr="00710A9F">
        <w:rPr>
          <w:lang w:val="en-GB"/>
        </w:rPr>
        <w:t>with respiratory infection</w:t>
      </w:r>
      <w:r>
        <w:rPr>
          <w:lang w:val="en-GB"/>
        </w:rPr>
        <w:t xml:space="preserve">s in Vietnam </w:t>
      </w:r>
      <w:r w:rsidRPr="00710A9F">
        <w:rPr>
          <w:lang w:val="en-GB"/>
        </w:rPr>
        <w:t>after physicia</w:t>
      </w:r>
      <w:r>
        <w:rPr>
          <w:lang w:val="en-GB"/>
        </w:rPr>
        <w:t xml:space="preserve">n </w:t>
      </w:r>
      <w:r w:rsidRPr="00710A9F">
        <w:rPr>
          <w:lang w:val="en-GB"/>
        </w:rPr>
        <w:t xml:space="preserve">training </w:t>
      </w:r>
      <w:r>
        <w:rPr>
          <w:lang w:val="en-GB"/>
        </w:rPr>
        <w:t xml:space="preserve">with </w:t>
      </w:r>
      <w:r w:rsidRPr="00710A9F">
        <w:rPr>
          <w:lang w:val="en-GB"/>
        </w:rPr>
        <w:t>evidence-based management algorithm</w:t>
      </w:r>
      <w:r>
        <w:rPr>
          <w:lang w:val="en-GB"/>
        </w:rPr>
        <w:t xml:space="preserve">s </w:t>
      </w:r>
      <w:r w:rsidR="00662616">
        <w:rPr>
          <w:lang w:val="en-GB"/>
        </w:rPr>
        <w:t>[70]</w:t>
      </w:r>
      <w:r>
        <w:rPr>
          <w:lang w:val="en-GB"/>
        </w:rPr>
        <w:t xml:space="preserve">. </w:t>
      </w:r>
      <w:r>
        <w:rPr>
          <w:lang w:val="en"/>
        </w:rPr>
        <w:t xml:space="preserve">This is important with concerns regarding the knowledge and </w:t>
      </w:r>
      <w:r w:rsidRPr="006003A3">
        <w:rPr>
          <w:lang w:val="en"/>
        </w:rPr>
        <w:t xml:space="preserve">implementation of ASPs among pediatricians and others in LMICs including Vietnam </w:t>
      </w:r>
      <w:r w:rsidR="00662616" w:rsidRPr="006003A3">
        <w:rPr>
          <w:lang w:val="en"/>
        </w:rPr>
        <w:t>[6</w:t>
      </w:r>
      <w:r w:rsidR="004015DC" w:rsidRPr="006003A3">
        <w:rPr>
          <w:lang w:val="en"/>
        </w:rPr>
        <w:t>4</w:t>
      </w:r>
      <w:r w:rsidR="00662616" w:rsidRPr="006003A3">
        <w:rPr>
          <w:lang w:val="en"/>
        </w:rPr>
        <w:t>,71,72]</w:t>
      </w:r>
      <w:r w:rsidR="00467004" w:rsidRPr="006003A3">
        <w:rPr>
          <w:lang w:val="en"/>
        </w:rPr>
        <w:t>, which have resulted in</w:t>
      </w:r>
      <w:r w:rsidRPr="006003A3">
        <w:rPr>
          <w:lang w:val="en"/>
        </w:rPr>
        <w:t xml:space="preserve"> requests for </w:t>
      </w:r>
      <w:r w:rsidRPr="006003A3">
        <w:rPr>
          <w:lang w:val="en-GB"/>
        </w:rPr>
        <w:t>AMS training and education</w:t>
      </w:r>
      <w:r w:rsidR="00467004" w:rsidRPr="006003A3">
        <w:rPr>
          <w:lang w:val="en-GB"/>
        </w:rPr>
        <w:t xml:space="preserve"> </w:t>
      </w:r>
      <w:r w:rsidRPr="006003A3">
        <w:rPr>
          <w:lang w:val="en-GB"/>
        </w:rPr>
        <w:t xml:space="preserve">among physicians in Vietnam </w:t>
      </w:r>
      <w:r w:rsidR="00662616" w:rsidRPr="006003A3">
        <w:rPr>
          <w:lang w:val="en-GB"/>
        </w:rPr>
        <w:t>[65]</w:t>
      </w:r>
      <w:r w:rsidRPr="006003A3">
        <w:rPr>
          <w:lang w:val="en-GB"/>
        </w:rPr>
        <w:t>.</w:t>
      </w:r>
      <w:r w:rsidR="007045B0" w:rsidRPr="006003A3">
        <w:rPr>
          <w:lang w:val="en-GB"/>
        </w:rPr>
        <w:t xml:space="preserve"> </w:t>
      </w:r>
      <w:r w:rsidRPr="006003A3">
        <w:rPr>
          <w:lang w:val="en-GB"/>
        </w:rPr>
        <w:t xml:space="preserve">Encouragingly, studies in Vietnam have shown there was greater confidence in </w:t>
      </w:r>
      <w:r w:rsidR="007D72DD">
        <w:rPr>
          <w:lang w:val="en-GB"/>
        </w:rPr>
        <w:t xml:space="preserve">the </w:t>
      </w:r>
      <w:r w:rsidRPr="006003A3">
        <w:rPr>
          <w:lang w:val="en-GB"/>
        </w:rPr>
        <w:t xml:space="preserve">prescribing antibiotics among physicians in tertiary hospitals in Vietnam with </w:t>
      </w:r>
      <w:r w:rsidR="007D72DD">
        <w:rPr>
          <w:lang w:val="en-GB"/>
        </w:rPr>
        <w:t xml:space="preserve">their additional training, with typically </w:t>
      </w:r>
      <w:r w:rsidRPr="006003A3">
        <w:rPr>
          <w:lang w:val="en-GB"/>
        </w:rPr>
        <w:t>positive attitudes towards</w:t>
      </w:r>
      <w:r>
        <w:rPr>
          <w:lang w:val="en-GB"/>
        </w:rPr>
        <w:t xml:space="preserve"> AMS </w:t>
      </w:r>
      <w:r w:rsidR="00662616">
        <w:rPr>
          <w:lang w:val="en-GB"/>
        </w:rPr>
        <w:t>[73]</w:t>
      </w:r>
      <w:r>
        <w:rPr>
          <w:lang w:val="en-GB"/>
        </w:rPr>
        <w:t xml:space="preserve">. </w:t>
      </w:r>
    </w:p>
    <w:p w14:paraId="341093E9" w14:textId="71C78D3B" w:rsidR="00B32C60" w:rsidRDefault="00B32C60" w:rsidP="00B32C60">
      <w:pPr>
        <w:pStyle w:val="MDPI31text"/>
        <w:jc w:val="left"/>
        <w:rPr>
          <w:color w:val="202124"/>
          <w:lang w:val="en-GB"/>
        </w:rPr>
      </w:pPr>
      <w:r w:rsidRPr="006003A3">
        <w:rPr>
          <w:color w:val="202124"/>
          <w:lang w:val="en-GB"/>
        </w:rPr>
        <w:t>There have also been cultural concerns and other challenges, including behavioural challenges, that need to be addressed for the successful implementation of ASPs in Vietnam</w:t>
      </w:r>
      <w:r w:rsidR="00D3204A" w:rsidRPr="006003A3">
        <w:rPr>
          <w:color w:val="202124"/>
          <w:lang w:val="en-GB"/>
        </w:rPr>
        <w:t>. This</w:t>
      </w:r>
      <w:r w:rsidRPr="006003A3">
        <w:rPr>
          <w:color w:val="202124"/>
          <w:lang w:val="en-GB"/>
        </w:rPr>
        <w:t xml:space="preserve"> includes improving the management of patients with CAP </w:t>
      </w:r>
      <w:r w:rsidR="004015DC" w:rsidRPr="006003A3">
        <w:rPr>
          <w:color w:val="202124"/>
          <w:lang w:val="en-GB"/>
        </w:rPr>
        <w:t>with increased adherence to guidelines</w:t>
      </w:r>
      <w:r w:rsidR="006003A3">
        <w:rPr>
          <w:color w:val="202124"/>
          <w:lang w:val="en-GB"/>
        </w:rPr>
        <w:t xml:space="preserve"> </w:t>
      </w:r>
      <w:r w:rsidR="00E818E9" w:rsidRPr="006003A3">
        <w:rPr>
          <w:color w:val="202124"/>
          <w:lang w:val="en-GB"/>
        </w:rPr>
        <w:t>[74]</w:t>
      </w:r>
      <w:r w:rsidRPr="006003A3">
        <w:rPr>
          <w:color w:val="202124"/>
          <w:lang w:val="en-GB"/>
        </w:rPr>
        <w:t xml:space="preserve">, similar to other LMICs </w:t>
      </w:r>
      <w:r w:rsidR="00D3204A" w:rsidRPr="006003A3">
        <w:rPr>
          <w:color w:val="202124"/>
          <w:lang w:val="en-GB"/>
        </w:rPr>
        <w:t>[75-78]</w:t>
      </w:r>
      <w:r w:rsidRPr="006003A3">
        <w:rPr>
          <w:color w:val="202124"/>
          <w:lang w:val="en-GB"/>
        </w:rPr>
        <w:t>. Ensuring hospital-based paediatricians prescribe antibiotics appropriately is important as they are training the prescribers of tomorrow</w:t>
      </w:r>
      <w:r w:rsidR="00AF4A53" w:rsidRPr="006003A3">
        <w:rPr>
          <w:color w:val="202124"/>
          <w:lang w:val="en-GB"/>
        </w:rPr>
        <w:t>,</w:t>
      </w:r>
      <w:r w:rsidRPr="006003A3">
        <w:rPr>
          <w:color w:val="202124"/>
          <w:lang w:val="en-GB"/>
        </w:rPr>
        <w:t xml:space="preserve"> including those treating neonates and children in the community </w:t>
      </w:r>
      <w:r w:rsidR="00AF4A53" w:rsidRPr="006003A3">
        <w:rPr>
          <w:color w:val="202124"/>
          <w:lang w:val="en-GB"/>
        </w:rPr>
        <w:t>[71]</w:t>
      </w:r>
      <w:r w:rsidRPr="006003A3">
        <w:rPr>
          <w:color w:val="202124"/>
          <w:lang w:val="en-GB"/>
        </w:rPr>
        <w:t>.</w:t>
      </w:r>
      <w:r>
        <w:rPr>
          <w:color w:val="202124"/>
          <w:lang w:val="en-GB"/>
        </w:rPr>
        <w:t xml:space="preserve"> </w:t>
      </w:r>
    </w:p>
    <w:p w14:paraId="7B0720C4" w14:textId="7E22744D" w:rsidR="00B32C60" w:rsidRDefault="00B32C60" w:rsidP="00B32C60">
      <w:pPr>
        <w:pStyle w:val="MDPI31text"/>
        <w:jc w:val="left"/>
        <w:rPr>
          <w:color w:val="202124"/>
          <w:lang w:val="en-GB"/>
        </w:rPr>
      </w:pPr>
      <w:r>
        <w:rPr>
          <w:color w:val="202124"/>
          <w:lang w:val="en-GB"/>
        </w:rPr>
        <w:t xml:space="preserve">    We wanted to build on earlier studies in Vietnam</w:t>
      </w:r>
      <w:r w:rsidR="00AF4A53">
        <w:rPr>
          <w:color w:val="202124"/>
          <w:lang w:val="en-GB"/>
        </w:rPr>
        <w:t xml:space="preserve"> </w:t>
      </w:r>
      <w:r>
        <w:rPr>
          <w:color w:val="202124"/>
          <w:lang w:val="en-GB"/>
        </w:rPr>
        <w:t xml:space="preserve">(Supplementary Table 1) demonstrating concerns with the management of CAP among young hospitalised children with CAP, especially antibiotic use. In addition, identify possible barriers to the increased use of national guidelines to improve the future care of young children with CAP in Vietnam. Box 1 gives details of the current recommendations for managing neonates and children hospitalised with CAP in Vietnam </w:t>
      </w:r>
      <w:r w:rsidR="00AF4A53">
        <w:rPr>
          <w:color w:val="202124"/>
          <w:lang w:val="en-GB"/>
        </w:rPr>
        <w:t>[80]</w:t>
      </w:r>
      <w:r>
        <w:rPr>
          <w:color w:val="202124"/>
          <w:lang w:val="en-GB"/>
        </w:rPr>
        <w:t>.</w:t>
      </w:r>
    </w:p>
    <w:p w14:paraId="5B80F836" w14:textId="77777777" w:rsidR="00B32C60" w:rsidRDefault="00B32C60" w:rsidP="00B32C60">
      <w:pPr>
        <w:pStyle w:val="MDPI31text"/>
        <w:jc w:val="left"/>
        <w:rPr>
          <w:color w:val="202124"/>
          <w:lang w:val="en-GB"/>
        </w:rPr>
      </w:pPr>
    </w:p>
    <w:p w14:paraId="7DBF16F1" w14:textId="77777777" w:rsidR="00B32C60" w:rsidRDefault="00B32C60" w:rsidP="00B32C60">
      <w:pPr>
        <w:pStyle w:val="MDPI31text"/>
        <w:rPr>
          <w:color w:val="202124"/>
          <w:lang w:val="en"/>
        </w:rPr>
      </w:pPr>
      <w:r>
        <w:rPr>
          <w:color w:val="202124"/>
          <w:lang w:val="en"/>
        </w:rPr>
        <w:t xml:space="preserve">Box 1 – Current guidelines for diagnosis and management of young children in Vietnam </w:t>
      </w:r>
    </w:p>
    <w:tbl>
      <w:tblPr>
        <w:tblStyle w:val="TableGrid"/>
        <w:tblW w:w="0" w:type="auto"/>
        <w:tblInd w:w="2608" w:type="dxa"/>
        <w:tblLook w:val="04A0" w:firstRow="1" w:lastRow="0" w:firstColumn="1" w:lastColumn="0" w:noHBand="0" w:noVBand="1"/>
      </w:tblPr>
      <w:tblGrid>
        <w:gridCol w:w="7848"/>
      </w:tblGrid>
      <w:tr w:rsidR="00B32C60" w14:paraId="23350DA1" w14:textId="77777777" w:rsidTr="005D67FA">
        <w:trPr>
          <w:trHeight w:val="852"/>
        </w:trPr>
        <w:tc>
          <w:tcPr>
            <w:tcW w:w="10456" w:type="dxa"/>
          </w:tcPr>
          <w:p w14:paraId="26E007E6" w14:textId="77777777" w:rsidR="00B32C60" w:rsidRPr="00FC5834" w:rsidRDefault="00B32C60" w:rsidP="00B32C60">
            <w:pPr>
              <w:pStyle w:val="MDPI31text"/>
              <w:numPr>
                <w:ilvl w:val="0"/>
                <w:numId w:val="27"/>
              </w:numPr>
              <w:rPr>
                <w:b/>
                <w:bCs/>
                <w:color w:val="202124"/>
                <w:lang w:val="en"/>
              </w:rPr>
            </w:pPr>
            <w:r w:rsidRPr="00FC5834">
              <w:rPr>
                <w:color w:val="202124"/>
              </w:rPr>
              <w:t>Amoxicillin is the first-line antibiotic of choice, with amoxicillin/clavulanic acid, cefuroxime, cefaclor, erythromycin and azithromycin listed as second-line alternatives</w:t>
            </w:r>
          </w:p>
          <w:p w14:paraId="7B9BCF34" w14:textId="77777777" w:rsidR="00B32C60" w:rsidRPr="00FC5834" w:rsidRDefault="00B32C60" w:rsidP="00B32C60">
            <w:pPr>
              <w:pStyle w:val="MDPI31text"/>
              <w:numPr>
                <w:ilvl w:val="0"/>
                <w:numId w:val="27"/>
              </w:numPr>
              <w:rPr>
                <w:b/>
                <w:bCs/>
                <w:color w:val="202124"/>
                <w:lang w:val="en"/>
              </w:rPr>
            </w:pPr>
            <w:r w:rsidRPr="00EA212F">
              <w:rPr>
                <w:color w:val="202124"/>
              </w:rPr>
              <w:t xml:space="preserve">For the treatment of severe pneumonia in children: Penicillin A with an aminoglycoside antibiotic. If initial treatments fail, </w:t>
            </w:r>
            <w:r w:rsidRPr="00213702">
              <w:rPr>
                <w:color w:val="202124"/>
              </w:rPr>
              <w:t>ceftriaxone</w:t>
            </w:r>
            <w:r w:rsidRPr="00EA212F">
              <w:rPr>
                <w:color w:val="202124"/>
              </w:rPr>
              <w:t xml:space="preserve"> or cefotaxime can be administered intravenously. </w:t>
            </w:r>
          </w:p>
          <w:p w14:paraId="2368F720" w14:textId="77777777" w:rsidR="00B32C60" w:rsidRPr="00FC5834" w:rsidRDefault="00B32C60" w:rsidP="00B32C60">
            <w:pPr>
              <w:pStyle w:val="MDPI31text"/>
              <w:numPr>
                <w:ilvl w:val="0"/>
                <w:numId w:val="27"/>
              </w:numPr>
              <w:rPr>
                <w:b/>
                <w:bCs/>
                <w:color w:val="202124"/>
                <w:lang w:val="en"/>
              </w:rPr>
            </w:pPr>
            <w:r w:rsidRPr="003A221B">
              <w:rPr>
                <w:color w:val="202124"/>
              </w:rPr>
              <w:t>Antibiotics are recommended for a minimum period of 5 days, with intravenous antibiotics reserved for children who experience pneumonia-related complication</w:t>
            </w:r>
            <w:r>
              <w:rPr>
                <w:color w:val="202124"/>
              </w:rPr>
              <w:t>s</w:t>
            </w:r>
            <w:r w:rsidRPr="003A221B">
              <w:rPr>
                <w:color w:val="202124"/>
              </w:rPr>
              <w:t xml:space="preserve"> (e.g. empyema) or </w:t>
            </w:r>
            <w:r>
              <w:rPr>
                <w:color w:val="202124"/>
              </w:rPr>
              <w:t xml:space="preserve">a </w:t>
            </w:r>
            <w:r w:rsidRPr="003A221B">
              <w:rPr>
                <w:color w:val="202124"/>
              </w:rPr>
              <w:t>poor response to oral antibiotics</w:t>
            </w:r>
            <w:r>
              <w:rPr>
                <w:color w:val="202124"/>
              </w:rPr>
              <w:t>.</w:t>
            </w:r>
          </w:p>
          <w:p w14:paraId="0CDD5C92" w14:textId="77777777" w:rsidR="00B32C60" w:rsidRPr="00A54F31" w:rsidRDefault="00B32C60" w:rsidP="00B32C60">
            <w:pPr>
              <w:pStyle w:val="MDPI31text"/>
              <w:numPr>
                <w:ilvl w:val="0"/>
                <w:numId w:val="27"/>
              </w:numPr>
              <w:rPr>
                <w:b/>
                <w:bCs/>
                <w:color w:val="202124"/>
                <w:lang w:val="en"/>
              </w:rPr>
            </w:pPr>
            <w:r w:rsidRPr="003A221B">
              <w:rPr>
                <w:color w:val="202124"/>
              </w:rPr>
              <w:t xml:space="preserve">Intravenous to oral step-down antibiotic is advised following adequate clinical recovery and once oral antibiotics </w:t>
            </w:r>
            <w:r>
              <w:rPr>
                <w:color w:val="202124"/>
              </w:rPr>
              <w:t xml:space="preserve">can be </w:t>
            </w:r>
            <w:r w:rsidRPr="003A221B">
              <w:rPr>
                <w:color w:val="202124"/>
              </w:rPr>
              <w:t>tolerated</w:t>
            </w:r>
          </w:p>
        </w:tc>
      </w:tr>
    </w:tbl>
    <w:p w14:paraId="4558A2FE" w14:textId="77777777" w:rsidR="00B32C60" w:rsidRDefault="00B32C60" w:rsidP="00B32C60">
      <w:pPr>
        <w:pStyle w:val="MDPI31text"/>
        <w:ind w:left="0" w:firstLine="0"/>
        <w:jc w:val="left"/>
        <w:rPr>
          <w:color w:val="202124"/>
          <w:lang w:val="en-GB"/>
        </w:rPr>
      </w:pPr>
    </w:p>
    <w:p w14:paraId="6A200E0A" w14:textId="0C8E7A54" w:rsidR="00CA1A56" w:rsidRDefault="00B32C60" w:rsidP="00B32C60">
      <w:pPr>
        <w:pStyle w:val="MDPI31text"/>
        <w:jc w:val="left"/>
        <w:rPr>
          <w:color w:val="202124"/>
          <w:lang w:val="en-GB"/>
        </w:rPr>
      </w:pPr>
      <w:r>
        <w:rPr>
          <w:color w:val="202124"/>
          <w:lang w:val="en-GB"/>
        </w:rPr>
        <w:t>Identifying barriers to improve compliance with national guidelines is seen as particularly important</w:t>
      </w:r>
      <w:r w:rsidR="00AF4A53">
        <w:rPr>
          <w:color w:val="202124"/>
          <w:lang w:val="en-GB"/>
        </w:rPr>
        <w:t>,</w:t>
      </w:r>
      <w:r>
        <w:rPr>
          <w:color w:val="202124"/>
          <w:lang w:val="en-GB"/>
        </w:rPr>
        <w:t xml:space="preserve"> with adherence to guidelines known to improve antibiotic use and outcomes in patients with CAP in LMICs </w:t>
      </w:r>
      <w:r w:rsidR="003069F6">
        <w:rPr>
          <w:color w:val="202124"/>
          <w:lang w:val="en-GB"/>
        </w:rPr>
        <w:t>[6</w:t>
      </w:r>
      <w:r w:rsidR="00CF35C1">
        <w:rPr>
          <w:color w:val="202124"/>
          <w:lang w:val="en-GB"/>
        </w:rPr>
        <w:t>7, 68,</w:t>
      </w:r>
      <w:r w:rsidR="003069F6">
        <w:rPr>
          <w:color w:val="202124"/>
          <w:lang w:val="en-GB"/>
        </w:rPr>
        <w:t>70,81]</w:t>
      </w:r>
      <w:r>
        <w:rPr>
          <w:color w:val="202124"/>
          <w:lang w:val="en-GB"/>
        </w:rPr>
        <w:t xml:space="preserve">. Consequently, it is critical to understand current prescribing patterns for CAP among infants and young children in Vietnam, alongside potential barriers to the increased use of agreed guidelines among leading paediatricians, to improve the rational use of antibiotics in this population </w:t>
      </w:r>
      <w:r w:rsidR="003069F6">
        <w:rPr>
          <w:color w:val="202124"/>
          <w:lang w:val="en-GB"/>
        </w:rPr>
        <w:t>[8</w:t>
      </w:r>
      <w:r w:rsidR="00CF35C1">
        <w:rPr>
          <w:color w:val="202124"/>
          <w:lang w:val="en-GB"/>
        </w:rPr>
        <w:t>2</w:t>
      </w:r>
      <w:r w:rsidR="003069F6">
        <w:rPr>
          <w:color w:val="202124"/>
          <w:lang w:val="en-GB"/>
        </w:rPr>
        <w:t>]</w:t>
      </w:r>
      <w:r>
        <w:rPr>
          <w:color w:val="202124"/>
          <w:lang w:val="en-GB"/>
        </w:rPr>
        <w:t xml:space="preserve">. These were the objectives of this study, with the findings used to provide future direction to all key stakeholder groups in Vietnam. </w:t>
      </w:r>
    </w:p>
    <w:p w14:paraId="2B416632" w14:textId="77777777" w:rsidR="007713AF" w:rsidRPr="00517440" w:rsidRDefault="003C4625" w:rsidP="00517440">
      <w:pPr>
        <w:pStyle w:val="MDPI21heading1"/>
      </w:pPr>
      <w:r w:rsidRPr="00517440">
        <w:t>2</w:t>
      </w:r>
      <w:r w:rsidR="007713AF" w:rsidRPr="00517440">
        <w:t>. Results</w:t>
      </w:r>
    </w:p>
    <w:p w14:paraId="5C6697F8" w14:textId="6D698834" w:rsidR="00A4108B" w:rsidRDefault="00A4108B" w:rsidP="00A4108B">
      <w:pPr>
        <w:pStyle w:val="MDPI31text"/>
      </w:pPr>
      <w:r w:rsidRPr="00DD12AC">
        <w:rPr>
          <w:lang w:val="vi-VN"/>
        </w:rPr>
        <w:t xml:space="preserve">Most </w:t>
      </w:r>
      <w:r w:rsidR="00A44880">
        <w:rPr>
          <w:lang w:val="en-GB"/>
        </w:rPr>
        <w:t xml:space="preserve">of the 108 </w:t>
      </w:r>
      <w:r w:rsidRPr="00DD12AC">
        <w:rPr>
          <w:lang w:val="vi-VN"/>
        </w:rPr>
        <w:t xml:space="preserve">children in the study </w:t>
      </w:r>
      <w:r>
        <w:rPr>
          <w:lang w:val="en-GB"/>
        </w:rPr>
        <w:t xml:space="preserve">population </w:t>
      </w:r>
      <w:r w:rsidRPr="00DD12AC">
        <w:rPr>
          <w:lang w:val="vi-VN"/>
        </w:rPr>
        <w:t>were</w:t>
      </w:r>
      <w:r w:rsidRPr="00DD12AC">
        <w:t xml:space="preserve"> in the age group &gt; 24 to 36 months, with more</w:t>
      </w:r>
      <w:r w:rsidRPr="00DD12AC">
        <w:rPr>
          <w:lang w:val="vi-VN"/>
        </w:rPr>
        <w:t xml:space="preserve"> </w:t>
      </w:r>
      <w:r w:rsidRPr="00DD12AC">
        <w:t xml:space="preserve">males </w:t>
      </w:r>
      <w:r w:rsidR="00B32C60">
        <w:t xml:space="preserve">(50.9%) </w:t>
      </w:r>
      <w:r w:rsidRPr="00DD12AC">
        <w:t>than females. Notably, 41.</w:t>
      </w:r>
      <w:r w:rsidR="00513EFB">
        <w:t>7</w:t>
      </w:r>
      <w:r w:rsidRPr="00DD12AC">
        <w:t xml:space="preserve">% of the children had a history of using antibiotics before hospitalization, with 7 </w:t>
      </w:r>
      <w:r w:rsidR="00CE3A5B">
        <w:t xml:space="preserve">(6.5%) </w:t>
      </w:r>
      <w:r w:rsidR="00A44880">
        <w:t xml:space="preserve">consuming </w:t>
      </w:r>
      <w:r w:rsidRPr="00DD12AC">
        <w:t xml:space="preserve">more than one kind of antibiotic </w:t>
      </w:r>
      <w:r w:rsidR="00196260">
        <w:t>before admission</w:t>
      </w:r>
      <w:r w:rsidR="00CD64D8">
        <w:t>,</w:t>
      </w:r>
      <w:r w:rsidR="00196260">
        <w:t xml:space="preserve"> </w:t>
      </w:r>
      <w:r w:rsidRPr="00DD12AC">
        <w:t xml:space="preserve">and </w:t>
      </w:r>
      <w:r w:rsidR="00A44880">
        <w:t xml:space="preserve">in </w:t>
      </w:r>
      <w:r w:rsidRPr="00DD12AC">
        <w:t xml:space="preserve">10 cases </w:t>
      </w:r>
      <w:r w:rsidR="00CE3A5B">
        <w:t xml:space="preserve">(9.3%) </w:t>
      </w:r>
      <w:r w:rsidRPr="00DD12AC">
        <w:t>using a third-generation cephalosporin</w:t>
      </w:r>
      <w:r w:rsidR="00196260">
        <w:t xml:space="preserve"> (Table 1)</w:t>
      </w:r>
      <w:r w:rsidRPr="00DD12AC">
        <w:t>.</w:t>
      </w:r>
    </w:p>
    <w:p w14:paraId="4136D291" w14:textId="77777777" w:rsidR="00044C4E" w:rsidRDefault="00044C4E" w:rsidP="00A4108B">
      <w:pPr>
        <w:pStyle w:val="MDPI31text"/>
      </w:pPr>
    </w:p>
    <w:p w14:paraId="69FA11B7" w14:textId="77777777" w:rsidR="000523DB" w:rsidRDefault="000523DB">
      <w:pPr>
        <w:spacing w:line="240" w:lineRule="auto"/>
        <w:jc w:val="left"/>
        <w:rPr>
          <w:b/>
        </w:rPr>
      </w:pPr>
      <w:r>
        <w:rPr>
          <w:b/>
        </w:rPr>
        <w:br w:type="page"/>
      </w:r>
    </w:p>
    <w:p w14:paraId="6354B7AC" w14:textId="3C537D48" w:rsidR="003778E4" w:rsidRPr="003778E4" w:rsidRDefault="003778E4" w:rsidP="000E03D8">
      <w:pPr>
        <w:spacing w:line="240" w:lineRule="auto"/>
        <w:ind w:left="510" w:firstLine="510"/>
        <w:jc w:val="left"/>
      </w:pPr>
      <w:r>
        <w:rPr>
          <w:b/>
        </w:rPr>
        <w:t xml:space="preserve">Table </w:t>
      </w:r>
      <w:r w:rsidR="00CD64D8">
        <w:rPr>
          <w:b/>
        </w:rPr>
        <w:t>1</w:t>
      </w:r>
      <w:r w:rsidRPr="00325902">
        <w:rPr>
          <w:b/>
        </w:rPr>
        <w:t>.</w:t>
      </w:r>
      <w:r w:rsidRPr="00325902">
        <w:t xml:space="preserve"> </w:t>
      </w:r>
      <w:r>
        <w:t>Characteristics of the study population, antibiotic use and outcomes (n=108)</w:t>
      </w:r>
    </w:p>
    <w:tbl>
      <w:tblPr>
        <w:tblStyle w:val="TableGrid"/>
        <w:tblW w:w="0" w:type="auto"/>
        <w:tblInd w:w="988" w:type="dxa"/>
        <w:tblLook w:val="04A0" w:firstRow="1" w:lastRow="0" w:firstColumn="1" w:lastColumn="0" w:noHBand="0" w:noVBand="1"/>
      </w:tblPr>
      <w:tblGrid>
        <w:gridCol w:w="2693"/>
        <w:gridCol w:w="2835"/>
        <w:gridCol w:w="1701"/>
        <w:gridCol w:w="2126"/>
      </w:tblGrid>
      <w:tr w:rsidR="003778E4" w:rsidRPr="00DD12AC" w14:paraId="425DBE40" w14:textId="77777777" w:rsidTr="00253582">
        <w:tc>
          <w:tcPr>
            <w:tcW w:w="5528" w:type="dxa"/>
            <w:gridSpan w:val="2"/>
            <w:shd w:val="clear" w:color="auto" w:fill="D0CECE" w:themeFill="background2" w:themeFillShade="E6"/>
            <w:vAlign w:val="center"/>
          </w:tcPr>
          <w:p w14:paraId="44171C13" w14:textId="77777777" w:rsidR="003778E4" w:rsidRPr="00DD12AC" w:rsidRDefault="003778E4" w:rsidP="00E23C33">
            <w:pPr>
              <w:spacing w:before="40" w:after="40" w:line="276" w:lineRule="auto"/>
              <w:rPr>
                <w:i/>
                <w:iCs/>
                <w:lang w:val="vi-VN"/>
              </w:rPr>
            </w:pPr>
            <w:r w:rsidRPr="00DD12AC">
              <w:rPr>
                <w:i/>
                <w:iCs/>
                <w:lang w:val="vi-VN"/>
              </w:rPr>
              <w:t>Characteristics</w:t>
            </w:r>
          </w:p>
        </w:tc>
        <w:tc>
          <w:tcPr>
            <w:tcW w:w="1701" w:type="dxa"/>
            <w:shd w:val="clear" w:color="auto" w:fill="D0CECE" w:themeFill="background2" w:themeFillShade="E6"/>
          </w:tcPr>
          <w:p w14:paraId="459CCF88" w14:textId="77777777" w:rsidR="003778E4" w:rsidRPr="00DD12AC" w:rsidRDefault="003778E4" w:rsidP="008B1A30">
            <w:pPr>
              <w:spacing w:before="40" w:after="40" w:line="276" w:lineRule="auto"/>
              <w:jc w:val="center"/>
              <w:rPr>
                <w:i/>
                <w:iCs/>
                <w:lang w:val="vi-VN"/>
              </w:rPr>
            </w:pPr>
            <w:r w:rsidRPr="00DD12AC">
              <w:rPr>
                <w:i/>
                <w:iCs/>
                <w:lang w:val="vi-VN"/>
              </w:rPr>
              <w:t>n</w:t>
            </w:r>
          </w:p>
        </w:tc>
        <w:tc>
          <w:tcPr>
            <w:tcW w:w="2126" w:type="dxa"/>
            <w:shd w:val="clear" w:color="auto" w:fill="D0CECE" w:themeFill="background2" w:themeFillShade="E6"/>
          </w:tcPr>
          <w:p w14:paraId="2BD26AF3" w14:textId="77777777" w:rsidR="003778E4" w:rsidRPr="00DD12AC" w:rsidRDefault="003778E4" w:rsidP="008B1A30">
            <w:pPr>
              <w:spacing w:before="40" w:after="40" w:line="276" w:lineRule="auto"/>
              <w:jc w:val="center"/>
              <w:rPr>
                <w:i/>
                <w:iCs/>
                <w:lang w:val="vi-VN"/>
              </w:rPr>
            </w:pPr>
            <w:r w:rsidRPr="00DD12AC">
              <w:rPr>
                <w:i/>
                <w:iCs/>
                <w:lang w:val="vi-VN"/>
              </w:rPr>
              <w:t>%</w:t>
            </w:r>
          </w:p>
        </w:tc>
      </w:tr>
      <w:tr w:rsidR="003778E4" w:rsidRPr="00DD12AC" w14:paraId="401CF59A" w14:textId="77777777" w:rsidTr="007D5387">
        <w:trPr>
          <w:trHeight w:val="569"/>
        </w:trPr>
        <w:tc>
          <w:tcPr>
            <w:tcW w:w="2693" w:type="dxa"/>
            <w:vAlign w:val="center"/>
          </w:tcPr>
          <w:p w14:paraId="3D36A4E5" w14:textId="77777777" w:rsidR="003778E4" w:rsidRPr="00DD12AC" w:rsidRDefault="003778E4" w:rsidP="00E23C33">
            <w:pPr>
              <w:spacing w:before="40" w:after="40" w:line="276" w:lineRule="auto"/>
            </w:pPr>
            <w:r w:rsidRPr="00DD12AC">
              <w:rPr>
                <w:lang w:val="vi-VN"/>
              </w:rPr>
              <w:t>Age</w:t>
            </w:r>
            <w:r w:rsidRPr="00DD12AC">
              <w:t xml:space="preserve"> (month</w:t>
            </w:r>
            <w:r>
              <w:t>s</w:t>
            </w:r>
            <w:r w:rsidRPr="00DD12AC">
              <w:t>)</w:t>
            </w:r>
          </w:p>
        </w:tc>
        <w:tc>
          <w:tcPr>
            <w:tcW w:w="6662" w:type="dxa"/>
            <w:gridSpan w:val="3"/>
            <w:vAlign w:val="center"/>
          </w:tcPr>
          <w:p w14:paraId="7460C971" w14:textId="60141ABD" w:rsidR="003778E4" w:rsidRPr="00DD12AC" w:rsidRDefault="003778E4" w:rsidP="00E23C33">
            <w:pPr>
              <w:spacing w:before="40" w:after="40" w:line="276" w:lineRule="auto"/>
              <w:rPr>
                <w:lang w:val="vi-VN"/>
              </w:rPr>
            </w:pPr>
            <w:r w:rsidRPr="00DD12AC">
              <w:rPr>
                <w:rFonts w:ascii="Calibri" w:hAnsi="Calibri" w:cs="Calibri"/>
                <w:lang w:val="vi-VN"/>
              </w:rPr>
              <w:t>﻿</w:t>
            </w:r>
            <w:r w:rsidRPr="00DD12AC">
              <w:rPr>
                <w:lang w:val="vi-VN"/>
              </w:rPr>
              <w:t>27</w:t>
            </w:r>
            <w:r>
              <w:rPr>
                <w:lang w:val="en-GB"/>
              </w:rPr>
              <w:t>.</w:t>
            </w:r>
            <w:r w:rsidRPr="00DD12AC">
              <w:rPr>
                <w:lang w:val="vi-VN"/>
              </w:rPr>
              <w:t>94 ± 12,99</w:t>
            </w:r>
          </w:p>
        </w:tc>
      </w:tr>
      <w:tr w:rsidR="003778E4" w:rsidRPr="00DD12AC" w14:paraId="16BC7848" w14:textId="77777777" w:rsidTr="007D5387">
        <w:tc>
          <w:tcPr>
            <w:tcW w:w="2693" w:type="dxa"/>
            <w:vMerge w:val="restart"/>
            <w:vAlign w:val="center"/>
          </w:tcPr>
          <w:p w14:paraId="3206F109" w14:textId="77777777" w:rsidR="003778E4" w:rsidRPr="00DD12AC" w:rsidRDefault="003778E4" w:rsidP="00E23C33">
            <w:pPr>
              <w:spacing w:before="40" w:after="40" w:line="276" w:lineRule="auto"/>
              <w:rPr>
                <w:lang w:val="vi-VN"/>
              </w:rPr>
            </w:pPr>
            <w:r w:rsidRPr="00DD12AC">
              <w:rPr>
                <w:lang w:val="vi-VN"/>
              </w:rPr>
              <w:t>Gender</w:t>
            </w:r>
          </w:p>
          <w:p w14:paraId="4F59A2D0" w14:textId="77777777" w:rsidR="003778E4" w:rsidRPr="00DD12AC" w:rsidRDefault="003778E4" w:rsidP="00E23C33">
            <w:pPr>
              <w:spacing w:before="40" w:after="40" w:line="276" w:lineRule="auto"/>
            </w:pPr>
            <w:r w:rsidRPr="00DD12AC">
              <w:t>(N= 108)</w:t>
            </w:r>
          </w:p>
        </w:tc>
        <w:tc>
          <w:tcPr>
            <w:tcW w:w="2835" w:type="dxa"/>
            <w:vAlign w:val="center"/>
          </w:tcPr>
          <w:p w14:paraId="3CC7D669" w14:textId="7E28ADF0" w:rsidR="003778E4" w:rsidRPr="00DD12AC" w:rsidRDefault="003778E4" w:rsidP="00253582">
            <w:pPr>
              <w:spacing w:before="40" w:after="40" w:line="276" w:lineRule="auto"/>
              <w:jc w:val="left"/>
            </w:pPr>
            <w:r w:rsidRPr="00DD12AC">
              <w:rPr>
                <w:lang w:val="vi-VN"/>
              </w:rPr>
              <w:t>Male</w:t>
            </w:r>
            <w:r w:rsidRPr="00DD12AC">
              <w:t xml:space="preserve"> (n,%)</w:t>
            </w:r>
          </w:p>
        </w:tc>
        <w:tc>
          <w:tcPr>
            <w:tcW w:w="1701" w:type="dxa"/>
          </w:tcPr>
          <w:p w14:paraId="5979539C" w14:textId="77777777" w:rsidR="003778E4" w:rsidRPr="00DD12AC" w:rsidRDefault="003778E4" w:rsidP="008B1A30">
            <w:pPr>
              <w:spacing w:before="40" w:after="40" w:line="276" w:lineRule="auto"/>
              <w:jc w:val="center"/>
              <w:rPr>
                <w:lang w:val="vi-VN"/>
              </w:rPr>
            </w:pPr>
            <w:r w:rsidRPr="00DD12AC">
              <w:rPr>
                <w:lang w:val="vi-VN"/>
              </w:rPr>
              <w:t>55</w:t>
            </w:r>
          </w:p>
        </w:tc>
        <w:tc>
          <w:tcPr>
            <w:tcW w:w="2126" w:type="dxa"/>
          </w:tcPr>
          <w:p w14:paraId="1E895CDE" w14:textId="391E7F83" w:rsidR="003778E4" w:rsidRPr="00901EB7" w:rsidRDefault="003778E4" w:rsidP="008B1A30">
            <w:pPr>
              <w:spacing w:before="40" w:after="40" w:line="276" w:lineRule="auto"/>
              <w:jc w:val="center"/>
            </w:pPr>
            <w:r w:rsidRPr="00DD12AC">
              <w:rPr>
                <w:lang w:val="vi-VN"/>
              </w:rPr>
              <w:t>50</w:t>
            </w:r>
            <w:r>
              <w:rPr>
                <w:lang w:val="en-GB"/>
              </w:rPr>
              <w:t>.</w:t>
            </w:r>
            <w:r w:rsidRPr="00DD12AC">
              <w:rPr>
                <w:lang w:val="vi-VN"/>
              </w:rPr>
              <w:t>9</w:t>
            </w:r>
          </w:p>
        </w:tc>
      </w:tr>
      <w:tr w:rsidR="003778E4" w:rsidRPr="00DD12AC" w14:paraId="04835469" w14:textId="77777777" w:rsidTr="007D5387">
        <w:tc>
          <w:tcPr>
            <w:tcW w:w="2693" w:type="dxa"/>
            <w:vMerge/>
            <w:vAlign w:val="center"/>
          </w:tcPr>
          <w:p w14:paraId="575F2E82" w14:textId="77777777" w:rsidR="003778E4" w:rsidRPr="00DD12AC" w:rsidRDefault="003778E4" w:rsidP="00E23C33">
            <w:pPr>
              <w:spacing w:before="40" w:after="40" w:line="276" w:lineRule="auto"/>
              <w:rPr>
                <w:lang w:val="vi-VN"/>
              </w:rPr>
            </w:pPr>
          </w:p>
        </w:tc>
        <w:tc>
          <w:tcPr>
            <w:tcW w:w="2835" w:type="dxa"/>
            <w:vAlign w:val="center"/>
          </w:tcPr>
          <w:p w14:paraId="79880E96" w14:textId="77777777" w:rsidR="003778E4" w:rsidRPr="00DD12AC" w:rsidRDefault="003778E4" w:rsidP="00253582">
            <w:pPr>
              <w:spacing w:before="40" w:after="40" w:line="276" w:lineRule="auto"/>
              <w:jc w:val="left"/>
            </w:pPr>
            <w:r w:rsidRPr="00DD12AC">
              <w:rPr>
                <w:lang w:val="vi-VN"/>
              </w:rPr>
              <w:t>Female</w:t>
            </w:r>
            <w:r w:rsidRPr="00DD12AC">
              <w:t xml:space="preserve"> (n,%)</w:t>
            </w:r>
          </w:p>
        </w:tc>
        <w:tc>
          <w:tcPr>
            <w:tcW w:w="1701" w:type="dxa"/>
          </w:tcPr>
          <w:p w14:paraId="73A476C4" w14:textId="77777777" w:rsidR="003778E4" w:rsidRPr="00DD12AC" w:rsidRDefault="003778E4" w:rsidP="008B1A30">
            <w:pPr>
              <w:spacing w:before="40" w:after="40" w:line="276" w:lineRule="auto"/>
              <w:jc w:val="center"/>
              <w:rPr>
                <w:lang w:val="vi-VN"/>
              </w:rPr>
            </w:pPr>
            <w:r w:rsidRPr="00DD12AC">
              <w:rPr>
                <w:lang w:val="vi-VN"/>
              </w:rPr>
              <w:t>53</w:t>
            </w:r>
          </w:p>
        </w:tc>
        <w:tc>
          <w:tcPr>
            <w:tcW w:w="2126" w:type="dxa"/>
          </w:tcPr>
          <w:p w14:paraId="076D3B29" w14:textId="03940751" w:rsidR="003778E4" w:rsidRPr="00901EB7" w:rsidRDefault="003778E4" w:rsidP="008B1A30">
            <w:pPr>
              <w:spacing w:before="40" w:after="40" w:line="276" w:lineRule="auto"/>
              <w:jc w:val="center"/>
            </w:pPr>
            <w:r w:rsidRPr="00DD12AC">
              <w:rPr>
                <w:lang w:val="vi-VN"/>
              </w:rPr>
              <w:t>49</w:t>
            </w:r>
            <w:r>
              <w:rPr>
                <w:lang w:val="en-GB"/>
              </w:rPr>
              <w:t>.</w:t>
            </w:r>
            <w:r w:rsidR="00901EB7">
              <w:rPr>
                <w:lang w:val="en-GB"/>
              </w:rPr>
              <w:t>1</w:t>
            </w:r>
          </w:p>
        </w:tc>
      </w:tr>
      <w:tr w:rsidR="003778E4" w:rsidRPr="00DD12AC" w14:paraId="5B55B270" w14:textId="77777777" w:rsidTr="00253582">
        <w:tc>
          <w:tcPr>
            <w:tcW w:w="9355" w:type="dxa"/>
            <w:gridSpan w:val="4"/>
            <w:shd w:val="clear" w:color="auto" w:fill="F2F2F2" w:themeFill="background1" w:themeFillShade="F2"/>
            <w:vAlign w:val="center"/>
          </w:tcPr>
          <w:p w14:paraId="3D4A02AE" w14:textId="6E0B8079" w:rsidR="003778E4" w:rsidRPr="000E03D8" w:rsidRDefault="003778E4" w:rsidP="00E23C33">
            <w:pPr>
              <w:spacing w:before="40" w:after="40" w:line="276" w:lineRule="auto"/>
              <w:rPr>
                <w:i/>
                <w:iCs/>
                <w:lang w:val="en-GB"/>
              </w:rPr>
            </w:pPr>
            <w:r w:rsidRPr="00DD12AC">
              <w:rPr>
                <w:i/>
                <w:iCs/>
                <w:lang w:val="vi-VN"/>
              </w:rPr>
              <w:t>Medical history</w:t>
            </w:r>
            <w:r w:rsidR="000E03D8">
              <w:rPr>
                <w:i/>
                <w:iCs/>
                <w:lang w:val="en-GB"/>
              </w:rPr>
              <w:t xml:space="preserve"> – antibiotic use</w:t>
            </w:r>
          </w:p>
        </w:tc>
      </w:tr>
      <w:tr w:rsidR="003778E4" w:rsidRPr="00DD12AC" w14:paraId="276EFC6E" w14:textId="77777777" w:rsidTr="007D5387">
        <w:tc>
          <w:tcPr>
            <w:tcW w:w="2693" w:type="dxa"/>
            <w:vMerge w:val="restart"/>
            <w:vAlign w:val="center"/>
          </w:tcPr>
          <w:p w14:paraId="01AB5BBE" w14:textId="77777777" w:rsidR="003778E4" w:rsidRPr="00DD12AC" w:rsidRDefault="003778E4" w:rsidP="00E23C33">
            <w:pPr>
              <w:spacing w:before="40" w:after="40" w:line="276" w:lineRule="auto"/>
              <w:rPr>
                <w:lang w:val="vi-VN"/>
              </w:rPr>
            </w:pPr>
            <w:r w:rsidRPr="00DD12AC">
              <w:rPr>
                <w:lang w:val="vi-VN"/>
              </w:rPr>
              <w:t>Antibiotics use</w:t>
            </w:r>
          </w:p>
          <w:p w14:paraId="25EB2E77" w14:textId="77777777" w:rsidR="003778E4" w:rsidRPr="00DD12AC" w:rsidRDefault="003778E4" w:rsidP="00E23C33">
            <w:pPr>
              <w:spacing w:before="40" w:after="40" w:line="276" w:lineRule="auto"/>
              <w:rPr>
                <w:lang w:val="vi-VN"/>
              </w:rPr>
            </w:pPr>
            <w:r w:rsidRPr="00DD12AC">
              <w:rPr>
                <w:lang w:val="vi-VN"/>
              </w:rPr>
              <w:t>pre-admission</w:t>
            </w:r>
          </w:p>
        </w:tc>
        <w:tc>
          <w:tcPr>
            <w:tcW w:w="2835" w:type="dxa"/>
            <w:vAlign w:val="center"/>
          </w:tcPr>
          <w:p w14:paraId="4A6245AD" w14:textId="77777777" w:rsidR="003778E4" w:rsidRPr="00DD12AC" w:rsidRDefault="003778E4" w:rsidP="00E23C33">
            <w:pPr>
              <w:spacing w:before="40" w:after="40" w:line="276" w:lineRule="auto"/>
              <w:rPr>
                <w:lang w:val="vi-VN"/>
              </w:rPr>
            </w:pPr>
            <w:r w:rsidRPr="00DD12AC">
              <w:rPr>
                <w:lang w:val="vi-VN"/>
              </w:rPr>
              <w:t>Yes</w:t>
            </w:r>
          </w:p>
        </w:tc>
        <w:tc>
          <w:tcPr>
            <w:tcW w:w="1701" w:type="dxa"/>
          </w:tcPr>
          <w:p w14:paraId="3717E267" w14:textId="77777777" w:rsidR="003778E4" w:rsidRPr="00DD12AC" w:rsidRDefault="003778E4" w:rsidP="008B1A30">
            <w:pPr>
              <w:spacing w:before="40" w:after="40" w:line="276" w:lineRule="auto"/>
              <w:jc w:val="center"/>
              <w:rPr>
                <w:lang w:val="vi-VN"/>
              </w:rPr>
            </w:pPr>
            <w:r w:rsidRPr="00DD12AC">
              <w:rPr>
                <w:lang w:val="vi-VN"/>
              </w:rPr>
              <w:t>45</w:t>
            </w:r>
          </w:p>
        </w:tc>
        <w:tc>
          <w:tcPr>
            <w:tcW w:w="2126" w:type="dxa"/>
          </w:tcPr>
          <w:p w14:paraId="2A555A1E" w14:textId="09E4A27F" w:rsidR="003778E4" w:rsidRPr="00901EB7" w:rsidRDefault="003778E4" w:rsidP="008B1A30">
            <w:pPr>
              <w:spacing w:before="40" w:after="40" w:line="276" w:lineRule="auto"/>
              <w:jc w:val="center"/>
            </w:pPr>
            <w:r w:rsidRPr="00DD12AC">
              <w:rPr>
                <w:lang w:val="vi-VN"/>
              </w:rPr>
              <w:t>41</w:t>
            </w:r>
            <w:r>
              <w:rPr>
                <w:lang w:val="vi-VN"/>
              </w:rPr>
              <w:t>.</w:t>
            </w:r>
            <w:r w:rsidR="00901EB7">
              <w:t>7</w:t>
            </w:r>
          </w:p>
        </w:tc>
      </w:tr>
      <w:tr w:rsidR="003778E4" w:rsidRPr="00DD12AC" w14:paraId="3035C6D9" w14:textId="77777777" w:rsidTr="007D5387">
        <w:tc>
          <w:tcPr>
            <w:tcW w:w="2693" w:type="dxa"/>
            <w:vMerge/>
            <w:vAlign w:val="center"/>
          </w:tcPr>
          <w:p w14:paraId="67D6BF08" w14:textId="77777777" w:rsidR="003778E4" w:rsidRPr="00DD12AC" w:rsidRDefault="003778E4" w:rsidP="00E23C33">
            <w:pPr>
              <w:spacing w:before="40" w:after="40" w:line="276" w:lineRule="auto"/>
              <w:rPr>
                <w:lang w:val="vi-VN"/>
              </w:rPr>
            </w:pPr>
          </w:p>
        </w:tc>
        <w:tc>
          <w:tcPr>
            <w:tcW w:w="2835" w:type="dxa"/>
            <w:vAlign w:val="center"/>
          </w:tcPr>
          <w:p w14:paraId="346B8327" w14:textId="77777777" w:rsidR="003778E4" w:rsidRPr="00DD12AC" w:rsidRDefault="003778E4" w:rsidP="00E23C33">
            <w:pPr>
              <w:spacing w:before="40" w:after="40" w:line="276" w:lineRule="auto"/>
              <w:rPr>
                <w:lang w:val="vi-VN"/>
              </w:rPr>
            </w:pPr>
            <w:r w:rsidRPr="00DD12AC">
              <w:rPr>
                <w:lang w:val="vi-VN"/>
              </w:rPr>
              <w:t>No</w:t>
            </w:r>
          </w:p>
        </w:tc>
        <w:tc>
          <w:tcPr>
            <w:tcW w:w="1701" w:type="dxa"/>
          </w:tcPr>
          <w:p w14:paraId="1B934291" w14:textId="77777777" w:rsidR="003778E4" w:rsidRPr="00DD12AC" w:rsidRDefault="003778E4" w:rsidP="008B1A30">
            <w:pPr>
              <w:spacing w:before="40" w:after="40" w:line="276" w:lineRule="auto"/>
              <w:jc w:val="center"/>
              <w:rPr>
                <w:lang w:val="vi-VN"/>
              </w:rPr>
            </w:pPr>
            <w:r w:rsidRPr="00DD12AC">
              <w:rPr>
                <w:lang w:val="vi-VN"/>
              </w:rPr>
              <w:t>55</w:t>
            </w:r>
          </w:p>
        </w:tc>
        <w:tc>
          <w:tcPr>
            <w:tcW w:w="2126" w:type="dxa"/>
          </w:tcPr>
          <w:p w14:paraId="7B6D6E84" w14:textId="233A867B" w:rsidR="003778E4" w:rsidRPr="00901EB7" w:rsidRDefault="003778E4" w:rsidP="008B1A30">
            <w:pPr>
              <w:spacing w:before="40" w:after="40" w:line="276" w:lineRule="auto"/>
              <w:jc w:val="center"/>
            </w:pPr>
            <w:r w:rsidRPr="00DD12AC">
              <w:rPr>
                <w:lang w:val="vi-VN"/>
              </w:rPr>
              <w:t>50</w:t>
            </w:r>
            <w:r>
              <w:rPr>
                <w:lang w:val="en-GB"/>
              </w:rPr>
              <w:t>.</w:t>
            </w:r>
            <w:r w:rsidRPr="00DD12AC">
              <w:rPr>
                <w:lang w:val="vi-VN"/>
              </w:rPr>
              <w:t>9</w:t>
            </w:r>
          </w:p>
        </w:tc>
      </w:tr>
      <w:tr w:rsidR="003778E4" w:rsidRPr="00DD12AC" w14:paraId="32EC686C" w14:textId="77777777" w:rsidTr="007D5387">
        <w:tc>
          <w:tcPr>
            <w:tcW w:w="2693" w:type="dxa"/>
            <w:vMerge/>
            <w:vAlign w:val="center"/>
          </w:tcPr>
          <w:p w14:paraId="1A1A4747" w14:textId="77777777" w:rsidR="003778E4" w:rsidRPr="00DD12AC" w:rsidRDefault="003778E4" w:rsidP="00E23C33">
            <w:pPr>
              <w:spacing w:before="40" w:after="40" w:line="276" w:lineRule="auto"/>
              <w:rPr>
                <w:lang w:val="vi-VN"/>
              </w:rPr>
            </w:pPr>
          </w:p>
        </w:tc>
        <w:tc>
          <w:tcPr>
            <w:tcW w:w="2835" w:type="dxa"/>
            <w:vAlign w:val="center"/>
          </w:tcPr>
          <w:p w14:paraId="7D2D3D77" w14:textId="77777777" w:rsidR="003778E4" w:rsidRPr="00DD12AC" w:rsidRDefault="003778E4" w:rsidP="00E23C33">
            <w:pPr>
              <w:spacing w:before="40" w:after="40" w:line="276" w:lineRule="auto"/>
              <w:rPr>
                <w:lang w:val="vi-VN"/>
              </w:rPr>
            </w:pPr>
            <w:r w:rsidRPr="00DD12AC">
              <w:rPr>
                <w:lang w:val="vi-VN"/>
              </w:rPr>
              <w:t>N/A</w:t>
            </w:r>
          </w:p>
        </w:tc>
        <w:tc>
          <w:tcPr>
            <w:tcW w:w="1701" w:type="dxa"/>
          </w:tcPr>
          <w:p w14:paraId="4B9BF3CB" w14:textId="77777777" w:rsidR="003778E4" w:rsidRPr="00DD12AC" w:rsidRDefault="003778E4" w:rsidP="008B1A30">
            <w:pPr>
              <w:spacing w:before="40" w:after="40" w:line="276" w:lineRule="auto"/>
              <w:jc w:val="center"/>
              <w:rPr>
                <w:lang w:val="vi-VN"/>
              </w:rPr>
            </w:pPr>
            <w:r w:rsidRPr="00DD12AC">
              <w:rPr>
                <w:lang w:val="vi-VN"/>
              </w:rPr>
              <w:t>8</w:t>
            </w:r>
          </w:p>
        </w:tc>
        <w:tc>
          <w:tcPr>
            <w:tcW w:w="2126" w:type="dxa"/>
          </w:tcPr>
          <w:p w14:paraId="38E48C70" w14:textId="2032757F" w:rsidR="003778E4" w:rsidRPr="00901EB7" w:rsidRDefault="00901EB7" w:rsidP="008B1A30">
            <w:pPr>
              <w:spacing w:before="40" w:after="40" w:line="276" w:lineRule="auto"/>
              <w:jc w:val="center"/>
            </w:pPr>
            <w:r>
              <w:t>7.4</w:t>
            </w:r>
          </w:p>
        </w:tc>
      </w:tr>
      <w:tr w:rsidR="003778E4" w:rsidRPr="00DD12AC" w14:paraId="61828A1F" w14:textId="77777777" w:rsidTr="00253582">
        <w:tc>
          <w:tcPr>
            <w:tcW w:w="9355" w:type="dxa"/>
            <w:gridSpan w:val="4"/>
            <w:shd w:val="clear" w:color="auto" w:fill="F2F2F2" w:themeFill="background1" w:themeFillShade="F2"/>
            <w:vAlign w:val="center"/>
          </w:tcPr>
          <w:p w14:paraId="326ED8DE" w14:textId="405A277C" w:rsidR="003778E4" w:rsidRPr="000E03D8" w:rsidRDefault="003778E4" w:rsidP="00E23C33">
            <w:pPr>
              <w:spacing w:before="40" w:after="40" w:line="276" w:lineRule="auto"/>
              <w:rPr>
                <w:i/>
                <w:iCs/>
                <w:lang w:val="en-GB"/>
              </w:rPr>
            </w:pPr>
            <w:r w:rsidRPr="00DD12AC">
              <w:rPr>
                <w:i/>
                <w:iCs/>
                <w:lang w:val="vi-VN"/>
              </w:rPr>
              <w:t>Clinical</w:t>
            </w:r>
            <w:r w:rsidR="000E03D8">
              <w:rPr>
                <w:i/>
                <w:iCs/>
                <w:lang w:val="en-GB"/>
              </w:rPr>
              <w:t xml:space="preserve"> state on admission</w:t>
            </w:r>
          </w:p>
        </w:tc>
      </w:tr>
      <w:tr w:rsidR="003778E4" w:rsidRPr="00DD12AC" w14:paraId="65D4D309" w14:textId="77777777" w:rsidTr="007D5387">
        <w:tc>
          <w:tcPr>
            <w:tcW w:w="2693" w:type="dxa"/>
            <w:vMerge w:val="restart"/>
            <w:vAlign w:val="center"/>
          </w:tcPr>
          <w:p w14:paraId="67F9C06B" w14:textId="77777777" w:rsidR="003778E4" w:rsidRPr="00DD12AC" w:rsidRDefault="003778E4" w:rsidP="00E23C33">
            <w:pPr>
              <w:spacing w:before="40" w:after="40" w:line="276" w:lineRule="auto"/>
              <w:rPr>
                <w:lang w:val="vi-VN"/>
              </w:rPr>
            </w:pPr>
            <w:r w:rsidRPr="00DD12AC">
              <w:rPr>
                <w:lang w:val="vi-VN"/>
              </w:rPr>
              <w:t>Severity</w:t>
            </w:r>
          </w:p>
        </w:tc>
        <w:tc>
          <w:tcPr>
            <w:tcW w:w="2835" w:type="dxa"/>
            <w:vAlign w:val="center"/>
          </w:tcPr>
          <w:p w14:paraId="7357BE0E" w14:textId="77777777" w:rsidR="003778E4" w:rsidRPr="00DD12AC" w:rsidRDefault="003778E4" w:rsidP="00E23C33">
            <w:pPr>
              <w:spacing w:before="40" w:after="40" w:line="276" w:lineRule="auto"/>
            </w:pPr>
            <w:r w:rsidRPr="00DD12AC">
              <w:rPr>
                <w:lang w:val="vi-VN"/>
              </w:rPr>
              <w:t>Non-severe pneumonia</w:t>
            </w:r>
            <w:r w:rsidRPr="00DD12AC">
              <w:t xml:space="preserve"> (n,%)</w:t>
            </w:r>
          </w:p>
        </w:tc>
        <w:tc>
          <w:tcPr>
            <w:tcW w:w="1701" w:type="dxa"/>
          </w:tcPr>
          <w:p w14:paraId="08232297" w14:textId="77777777" w:rsidR="003778E4" w:rsidRPr="00DD12AC" w:rsidRDefault="003778E4" w:rsidP="008B1A30">
            <w:pPr>
              <w:spacing w:before="40" w:after="40" w:line="276" w:lineRule="auto"/>
              <w:jc w:val="center"/>
              <w:rPr>
                <w:lang w:val="vi-VN"/>
              </w:rPr>
            </w:pPr>
            <w:r w:rsidRPr="00DD12AC">
              <w:rPr>
                <w:lang w:val="vi-VN"/>
              </w:rPr>
              <w:t>89</w:t>
            </w:r>
          </w:p>
        </w:tc>
        <w:tc>
          <w:tcPr>
            <w:tcW w:w="2126" w:type="dxa"/>
          </w:tcPr>
          <w:p w14:paraId="46F2A5F0" w14:textId="4AD25D5B" w:rsidR="003778E4" w:rsidRPr="00901EB7" w:rsidRDefault="003778E4" w:rsidP="008B1A30">
            <w:pPr>
              <w:spacing w:before="40" w:after="40" w:line="276" w:lineRule="auto"/>
              <w:jc w:val="center"/>
            </w:pPr>
            <w:r w:rsidRPr="00DD12AC">
              <w:rPr>
                <w:lang w:val="vi-VN"/>
              </w:rPr>
              <w:t>82</w:t>
            </w:r>
            <w:r>
              <w:rPr>
                <w:lang w:val="en-GB"/>
              </w:rPr>
              <w:t>.</w:t>
            </w:r>
            <w:r w:rsidRPr="00DD12AC">
              <w:rPr>
                <w:lang w:val="vi-VN"/>
              </w:rPr>
              <w:t>4</w:t>
            </w:r>
          </w:p>
        </w:tc>
      </w:tr>
      <w:tr w:rsidR="003778E4" w:rsidRPr="00DD12AC" w14:paraId="3C400D3F" w14:textId="77777777" w:rsidTr="007D5387">
        <w:tc>
          <w:tcPr>
            <w:tcW w:w="2693" w:type="dxa"/>
            <w:vMerge/>
            <w:vAlign w:val="center"/>
          </w:tcPr>
          <w:p w14:paraId="30B0DADC" w14:textId="77777777" w:rsidR="003778E4" w:rsidRPr="00DD12AC" w:rsidRDefault="003778E4" w:rsidP="00E23C33">
            <w:pPr>
              <w:spacing w:before="40" w:after="40" w:line="276" w:lineRule="auto"/>
              <w:rPr>
                <w:lang w:val="vi-VN"/>
              </w:rPr>
            </w:pPr>
          </w:p>
        </w:tc>
        <w:tc>
          <w:tcPr>
            <w:tcW w:w="2835" w:type="dxa"/>
            <w:vAlign w:val="center"/>
          </w:tcPr>
          <w:p w14:paraId="0BC8F48E" w14:textId="77777777" w:rsidR="003778E4" w:rsidRPr="00DD12AC" w:rsidRDefault="003778E4" w:rsidP="00E23C33">
            <w:pPr>
              <w:spacing w:before="40" w:after="40" w:line="276" w:lineRule="auto"/>
            </w:pPr>
            <w:r w:rsidRPr="00DD12AC">
              <w:rPr>
                <w:lang w:val="vi-VN"/>
              </w:rPr>
              <w:t>Severe pneumonia</w:t>
            </w:r>
            <w:r w:rsidRPr="00DD12AC">
              <w:t xml:space="preserve"> (n,%)</w:t>
            </w:r>
          </w:p>
        </w:tc>
        <w:tc>
          <w:tcPr>
            <w:tcW w:w="1701" w:type="dxa"/>
          </w:tcPr>
          <w:p w14:paraId="375A9BC4" w14:textId="77777777" w:rsidR="003778E4" w:rsidRPr="00DD12AC" w:rsidRDefault="003778E4" w:rsidP="008B1A30">
            <w:pPr>
              <w:spacing w:before="40" w:after="40" w:line="276" w:lineRule="auto"/>
              <w:jc w:val="center"/>
              <w:rPr>
                <w:lang w:val="vi-VN"/>
              </w:rPr>
            </w:pPr>
            <w:r w:rsidRPr="00DD12AC">
              <w:rPr>
                <w:lang w:val="vi-VN"/>
              </w:rPr>
              <w:t>19</w:t>
            </w:r>
          </w:p>
        </w:tc>
        <w:tc>
          <w:tcPr>
            <w:tcW w:w="2126" w:type="dxa"/>
          </w:tcPr>
          <w:p w14:paraId="2A16802D" w14:textId="7E4EFB46" w:rsidR="003778E4" w:rsidRPr="00901EB7" w:rsidRDefault="003778E4" w:rsidP="008B1A30">
            <w:pPr>
              <w:spacing w:before="40" w:after="40" w:line="276" w:lineRule="auto"/>
              <w:jc w:val="center"/>
            </w:pPr>
            <w:r w:rsidRPr="00DD12AC">
              <w:rPr>
                <w:lang w:val="vi-VN"/>
              </w:rPr>
              <w:t>17</w:t>
            </w:r>
            <w:r>
              <w:rPr>
                <w:lang w:val="en-GB"/>
              </w:rPr>
              <w:t>.</w:t>
            </w:r>
            <w:r w:rsidR="00901EB7">
              <w:rPr>
                <w:lang w:val="en-GB"/>
              </w:rPr>
              <w:t>6</w:t>
            </w:r>
          </w:p>
        </w:tc>
      </w:tr>
      <w:tr w:rsidR="003778E4" w:rsidRPr="00DD12AC" w14:paraId="0EEAA053" w14:textId="77777777" w:rsidTr="007D5387">
        <w:tc>
          <w:tcPr>
            <w:tcW w:w="2693" w:type="dxa"/>
            <w:vMerge w:val="restart"/>
            <w:vAlign w:val="center"/>
          </w:tcPr>
          <w:p w14:paraId="00490DFF" w14:textId="77777777" w:rsidR="003778E4" w:rsidRPr="00DD12AC" w:rsidRDefault="003778E4" w:rsidP="00E23C33">
            <w:pPr>
              <w:spacing w:before="40" w:after="40" w:line="276" w:lineRule="auto"/>
              <w:rPr>
                <w:lang w:val="vi-VN"/>
              </w:rPr>
            </w:pPr>
            <w:r w:rsidRPr="00DD12AC">
              <w:rPr>
                <w:lang w:val="vi-VN"/>
              </w:rPr>
              <w:t>Comorbidity</w:t>
            </w:r>
          </w:p>
        </w:tc>
        <w:tc>
          <w:tcPr>
            <w:tcW w:w="2835" w:type="dxa"/>
            <w:vAlign w:val="center"/>
          </w:tcPr>
          <w:p w14:paraId="0DAA9687" w14:textId="77777777" w:rsidR="003778E4" w:rsidRPr="00DD12AC" w:rsidRDefault="003778E4" w:rsidP="00E23C33">
            <w:pPr>
              <w:spacing w:before="40" w:after="40" w:line="276" w:lineRule="auto"/>
            </w:pPr>
            <w:r w:rsidRPr="00DD12AC">
              <w:rPr>
                <w:lang w:val="vi-VN"/>
              </w:rPr>
              <w:t>Yes</w:t>
            </w:r>
            <w:r w:rsidRPr="00DD12AC">
              <w:t xml:space="preserve"> (n,%)</w:t>
            </w:r>
          </w:p>
        </w:tc>
        <w:tc>
          <w:tcPr>
            <w:tcW w:w="1701" w:type="dxa"/>
          </w:tcPr>
          <w:p w14:paraId="645D76EF" w14:textId="77777777" w:rsidR="003778E4" w:rsidRPr="00DD12AC" w:rsidRDefault="003778E4" w:rsidP="008B1A30">
            <w:pPr>
              <w:spacing w:before="40" w:after="40" w:line="276" w:lineRule="auto"/>
              <w:jc w:val="center"/>
              <w:rPr>
                <w:lang w:val="vi-VN"/>
              </w:rPr>
            </w:pPr>
            <w:r w:rsidRPr="00DD12AC">
              <w:rPr>
                <w:lang w:val="vi-VN"/>
              </w:rPr>
              <w:t>43</w:t>
            </w:r>
          </w:p>
        </w:tc>
        <w:tc>
          <w:tcPr>
            <w:tcW w:w="2126" w:type="dxa"/>
          </w:tcPr>
          <w:p w14:paraId="70A89860" w14:textId="370AB121" w:rsidR="003778E4" w:rsidRPr="00901EB7" w:rsidRDefault="003778E4" w:rsidP="008B1A30">
            <w:pPr>
              <w:spacing w:before="40" w:after="40" w:line="276" w:lineRule="auto"/>
              <w:jc w:val="center"/>
            </w:pPr>
            <w:r w:rsidRPr="00DD12AC">
              <w:rPr>
                <w:lang w:val="vi-VN"/>
              </w:rPr>
              <w:t>39</w:t>
            </w:r>
            <w:r>
              <w:rPr>
                <w:lang w:val="en-GB"/>
              </w:rPr>
              <w:t>.</w:t>
            </w:r>
            <w:r w:rsidRPr="00DD12AC">
              <w:rPr>
                <w:lang w:val="vi-VN"/>
              </w:rPr>
              <w:t>8</w:t>
            </w:r>
          </w:p>
        </w:tc>
      </w:tr>
      <w:tr w:rsidR="003778E4" w:rsidRPr="00DD12AC" w14:paraId="44A23936" w14:textId="77777777" w:rsidTr="007D5387">
        <w:tc>
          <w:tcPr>
            <w:tcW w:w="2693" w:type="dxa"/>
            <w:vMerge/>
            <w:vAlign w:val="center"/>
          </w:tcPr>
          <w:p w14:paraId="5A1556F5" w14:textId="77777777" w:rsidR="003778E4" w:rsidRPr="00DD12AC" w:rsidRDefault="003778E4" w:rsidP="00E23C33">
            <w:pPr>
              <w:spacing w:before="40" w:after="40" w:line="276" w:lineRule="auto"/>
              <w:rPr>
                <w:lang w:val="vi-VN"/>
              </w:rPr>
            </w:pPr>
          </w:p>
        </w:tc>
        <w:tc>
          <w:tcPr>
            <w:tcW w:w="2835" w:type="dxa"/>
            <w:vAlign w:val="center"/>
          </w:tcPr>
          <w:p w14:paraId="7FB5E7CA" w14:textId="77777777" w:rsidR="003778E4" w:rsidRPr="00DD12AC" w:rsidRDefault="003778E4" w:rsidP="00E23C33">
            <w:pPr>
              <w:spacing w:before="40" w:after="40" w:line="276" w:lineRule="auto"/>
            </w:pPr>
            <w:r w:rsidRPr="00DD12AC">
              <w:rPr>
                <w:lang w:val="vi-VN"/>
              </w:rPr>
              <w:t>No</w:t>
            </w:r>
            <w:r w:rsidRPr="00DD12AC">
              <w:t xml:space="preserve"> (n,%)</w:t>
            </w:r>
          </w:p>
        </w:tc>
        <w:tc>
          <w:tcPr>
            <w:tcW w:w="1701" w:type="dxa"/>
          </w:tcPr>
          <w:p w14:paraId="008A3B14" w14:textId="77777777" w:rsidR="003778E4" w:rsidRPr="00DD12AC" w:rsidRDefault="003778E4" w:rsidP="008B1A30">
            <w:pPr>
              <w:spacing w:before="40" w:after="40" w:line="276" w:lineRule="auto"/>
              <w:jc w:val="center"/>
              <w:rPr>
                <w:lang w:val="vi-VN"/>
              </w:rPr>
            </w:pPr>
            <w:r w:rsidRPr="00DD12AC">
              <w:rPr>
                <w:lang w:val="vi-VN"/>
              </w:rPr>
              <w:t>65</w:t>
            </w:r>
          </w:p>
        </w:tc>
        <w:tc>
          <w:tcPr>
            <w:tcW w:w="2126" w:type="dxa"/>
          </w:tcPr>
          <w:p w14:paraId="52092A22" w14:textId="55F060D2" w:rsidR="003778E4" w:rsidRPr="00901EB7" w:rsidRDefault="003778E4" w:rsidP="008B1A30">
            <w:pPr>
              <w:spacing w:before="40" w:after="40" w:line="276" w:lineRule="auto"/>
              <w:jc w:val="center"/>
            </w:pPr>
            <w:r w:rsidRPr="00DD12AC">
              <w:rPr>
                <w:lang w:val="vi-VN"/>
              </w:rPr>
              <w:t>60</w:t>
            </w:r>
            <w:r>
              <w:rPr>
                <w:lang w:val="en-GB"/>
              </w:rPr>
              <w:t>.</w:t>
            </w:r>
            <w:r w:rsidR="00901EB7">
              <w:rPr>
                <w:lang w:val="en-GB"/>
              </w:rPr>
              <w:t>2</w:t>
            </w:r>
          </w:p>
        </w:tc>
      </w:tr>
      <w:tr w:rsidR="003778E4" w:rsidRPr="00DD12AC" w14:paraId="3D6C373C" w14:textId="77777777" w:rsidTr="00253582">
        <w:tc>
          <w:tcPr>
            <w:tcW w:w="9355" w:type="dxa"/>
            <w:gridSpan w:val="4"/>
            <w:shd w:val="clear" w:color="auto" w:fill="F2F2F2" w:themeFill="background1" w:themeFillShade="F2"/>
            <w:vAlign w:val="center"/>
          </w:tcPr>
          <w:p w14:paraId="1E79B046" w14:textId="70B7083E" w:rsidR="003778E4" w:rsidRPr="00DD12AC" w:rsidRDefault="003778E4" w:rsidP="00E23C33">
            <w:pPr>
              <w:spacing w:before="40" w:after="40" w:line="276" w:lineRule="auto"/>
              <w:rPr>
                <w:i/>
                <w:iCs/>
                <w:lang w:val="vi-VN"/>
              </w:rPr>
            </w:pPr>
            <w:r w:rsidRPr="00DD12AC">
              <w:rPr>
                <w:i/>
                <w:iCs/>
                <w:lang w:val="vi-VN"/>
              </w:rPr>
              <w:t xml:space="preserve">Treatment </w:t>
            </w:r>
            <w:r w:rsidR="000E03D8">
              <w:rPr>
                <w:i/>
                <w:iCs/>
                <w:lang w:val="en-GB"/>
              </w:rPr>
              <w:t xml:space="preserve">duration and </w:t>
            </w:r>
            <w:r w:rsidRPr="00DD12AC">
              <w:rPr>
                <w:i/>
                <w:iCs/>
                <w:lang w:val="vi-VN"/>
              </w:rPr>
              <w:t>effectiveness</w:t>
            </w:r>
          </w:p>
        </w:tc>
      </w:tr>
      <w:tr w:rsidR="003778E4" w:rsidRPr="00DD12AC" w14:paraId="590C7CA1" w14:textId="77777777" w:rsidTr="00253582">
        <w:tc>
          <w:tcPr>
            <w:tcW w:w="5528" w:type="dxa"/>
            <w:gridSpan w:val="2"/>
            <w:vAlign w:val="center"/>
          </w:tcPr>
          <w:p w14:paraId="7B8FCF69" w14:textId="6D07C465" w:rsidR="003778E4" w:rsidRPr="00DD12AC" w:rsidRDefault="003778E4" w:rsidP="00E23C33">
            <w:pPr>
              <w:spacing w:before="40" w:after="40" w:line="276" w:lineRule="auto"/>
              <w:rPr>
                <w:lang w:val="vi-VN"/>
              </w:rPr>
            </w:pPr>
            <w:r w:rsidRPr="00DD12AC">
              <w:rPr>
                <w:lang w:val="vi-VN"/>
              </w:rPr>
              <w:t>Antibiotic treatment duration (days</w:t>
            </w:r>
            <w:r w:rsidR="0062196F">
              <w:rPr>
                <w:lang w:val="en-GB"/>
              </w:rPr>
              <w:t xml:space="preserve"> - Median</w:t>
            </w:r>
            <w:r w:rsidRPr="00DD12AC">
              <w:rPr>
                <w:lang w:val="vi-VN"/>
              </w:rPr>
              <w:t>)</w:t>
            </w:r>
          </w:p>
        </w:tc>
        <w:tc>
          <w:tcPr>
            <w:tcW w:w="3827" w:type="dxa"/>
            <w:gridSpan w:val="2"/>
            <w:vAlign w:val="center"/>
          </w:tcPr>
          <w:p w14:paraId="5714EE72" w14:textId="218B4E6D" w:rsidR="003778E4" w:rsidRPr="00DD12AC" w:rsidRDefault="003778E4" w:rsidP="008B1A30">
            <w:pPr>
              <w:spacing w:before="40" w:after="40" w:line="276" w:lineRule="auto"/>
              <w:jc w:val="center"/>
              <w:rPr>
                <w:lang w:val="vi-VN"/>
              </w:rPr>
            </w:pPr>
            <w:r w:rsidRPr="00DD12AC">
              <w:rPr>
                <w:lang w:val="vi-VN"/>
              </w:rPr>
              <w:t>6</w:t>
            </w:r>
            <w:r>
              <w:rPr>
                <w:lang w:val="en-GB"/>
              </w:rPr>
              <w:t>.</w:t>
            </w:r>
            <w:r w:rsidRPr="00DD12AC">
              <w:rPr>
                <w:lang w:val="vi-VN"/>
              </w:rPr>
              <w:t>00 (5</w:t>
            </w:r>
            <w:r>
              <w:rPr>
                <w:lang w:val="en-GB"/>
              </w:rPr>
              <w:t>.</w:t>
            </w:r>
            <w:r w:rsidRPr="00DD12AC">
              <w:rPr>
                <w:lang w:val="vi-VN"/>
              </w:rPr>
              <w:t>25 – 7</w:t>
            </w:r>
            <w:r>
              <w:rPr>
                <w:lang w:val="en-GB"/>
              </w:rPr>
              <w:t>.</w:t>
            </w:r>
            <w:r w:rsidRPr="00DD12AC">
              <w:rPr>
                <w:lang w:val="vi-VN"/>
              </w:rPr>
              <w:t>00)</w:t>
            </w:r>
          </w:p>
        </w:tc>
      </w:tr>
      <w:tr w:rsidR="003778E4" w:rsidRPr="00DD12AC" w14:paraId="481ABD22" w14:textId="77777777" w:rsidTr="00253582">
        <w:tc>
          <w:tcPr>
            <w:tcW w:w="5528" w:type="dxa"/>
            <w:gridSpan w:val="2"/>
            <w:vAlign w:val="center"/>
          </w:tcPr>
          <w:p w14:paraId="4F1617EF" w14:textId="40F86DE4" w:rsidR="003778E4" w:rsidRPr="00DD12AC" w:rsidRDefault="003778E4" w:rsidP="00E23C33">
            <w:pPr>
              <w:spacing w:before="40" w:after="40" w:line="276" w:lineRule="auto"/>
              <w:rPr>
                <w:lang w:val="vi-VN"/>
              </w:rPr>
            </w:pPr>
            <w:r w:rsidRPr="00DD12AC">
              <w:rPr>
                <w:lang w:val="vi-VN"/>
              </w:rPr>
              <w:t>Hospitalization duration (days</w:t>
            </w:r>
            <w:r w:rsidR="0062196F">
              <w:rPr>
                <w:lang w:val="en-GB"/>
              </w:rPr>
              <w:t xml:space="preserve"> - Median</w:t>
            </w:r>
            <w:r w:rsidRPr="00DD12AC">
              <w:rPr>
                <w:lang w:val="vi-VN"/>
              </w:rPr>
              <w:t>)</w:t>
            </w:r>
          </w:p>
        </w:tc>
        <w:tc>
          <w:tcPr>
            <w:tcW w:w="3827" w:type="dxa"/>
            <w:gridSpan w:val="2"/>
          </w:tcPr>
          <w:p w14:paraId="1DA117CC" w14:textId="3B29DD93" w:rsidR="003778E4" w:rsidRPr="00DD12AC" w:rsidRDefault="003778E4" w:rsidP="008B1A30">
            <w:pPr>
              <w:spacing w:before="40" w:after="40" w:line="276" w:lineRule="auto"/>
              <w:jc w:val="center"/>
              <w:rPr>
                <w:lang w:val="vi-VN"/>
              </w:rPr>
            </w:pPr>
            <w:r w:rsidRPr="00DD12AC">
              <w:rPr>
                <w:lang w:val="vi-VN"/>
              </w:rPr>
              <w:t>7</w:t>
            </w:r>
            <w:r w:rsidR="003C2D5A">
              <w:rPr>
                <w:lang w:val="en-GB"/>
              </w:rPr>
              <w:t>.</w:t>
            </w:r>
            <w:r w:rsidRPr="00DD12AC">
              <w:rPr>
                <w:lang w:val="vi-VN"/>
              </w:rPr>
              <w:t>00 (6</w:t>
            </w:r>
            <w:r w:rsidR="003C2D5A">
              <w:rPr>
                <w:lang w:val="en-GB"/>
              </w:rPr>
              <w:t>.</w:t>
            </w:r>
            <w:r w:rsidRPr="00DD12AC">
              <w:rPr>
                <w:lang w:val="vi-VN"/>
              </w:rPr>
              <w:t>00 – 8</w:t>
            </w:r>
            <w:r w:rsidR="003C2D5A">
              <w:rPr>
                <w:lang w:val="en-GB"/>
              </w:rPr>
              <w:t>.</w:t>
            </w:r>
            <w:r w:rsidRPr="00DD12AC">
              <w:rPr>
                <w:lang w:val="vi-VN"/>
              </w:rPr>
              <w:t>00)</w:t>
            </w:r>
          </w:p>
        </w:tc>
      </w:tr>
      <w:tr w:rsidR="003778E4" w:rsidRPr="00DD12AC" w14:paraId="28193B19" w14:textId="77777777" w:rsidTr="007D5387">
        <w:tc>
          <w:tcPr>
            <w:tcW w:w="2693" w:type="dxa"/>
            <w:vMerge w:val="restart"/>
            <w:vAlign w:val="center"/>
          </w:tcPr>
          <w:p w14:paraId="44D69AE4" w14:textId="77777777" w:rsidR="003778E4" w:rsidRPr="00DD12AC" w:rsidRDefault="003778E4" w:rsidP="00E23C33">
            <w:pPr>
              <w:spacing w:before="40" w:after="40" w:line="276" w:lineRule="auto"/>
              <w:rPr>
                <w:lang w:val="vi-VN"/>
              </w:rPr>
            </w:pPr>
            <w:r w:rsidRPr="00DD12AC">
              <w:rPr>
                <w:lang w:val="vi-VN"/>
              </w:rPr>
              <w:t>Outcome</w:t>
            </w:r>
          </w:p>
        </w:tc>
        <w:tc>
          <w:tcPr>
            <w:tcW w:w="2835" w:type="dxa"/>
            <w:vAlign w:val="center"/>
          </w:tcPr>
          <w:p w14:paraId="7800F8FD" w14:textId="77777777" w:rsidR="003778E4" w:rsidRPr="00DD12AC" w:rsidRDefault="003778E4" w:rsidP="00E23C33">
            <w:pPr>
              <w:spacing w:before="40" w:after="40" w:line="276" w:lineRule="auto"/>
              <w:rPr>
                <w:lang w:val="vi-VN"/>
              </w:rPr>
            </w:pPr>
            <w:r w:rsidRPr="00DD12AC">
              <w:rPr>
                <w:lang w:val="vi-VN"/>
              </w:rPr>
              <w:t>Recover</w:t>
            </w:r>
          </w:p>
        </w:tc>
        <w:tc>
          <w:tcPr>
            <w:tcW w:w="1701" w:type="dxa"/>
          </w:tcPr>
          <w:p w14:paraId="585CEBC8" w14:textId="77777777" w:rsidR="003778E4" w:rsidRPr="00DD12AC" w:rsidRDefault="003778E4" w:rsidP="008B1A30">
            <w:pPr>
              <w:spacing w:before="40" w:after="40" w:line="276" w:lineRule="auto"/>
              <w:jc w:val="center"/>
              <w:rPr>
                <w:lang w:val="vi-VN"/>
              </w:rPr>
            </w:pPr>
            <w:r w:rsidRPr="00DD12AC">
              <w:rPr>
                <w:lang w:val="vi-VN"/>
              </w:rPr>
              <w:t>63</w:t>
            </w:r>
          </w:p>
        </w:tc>
        <w:tc>
          <w:tcPr>
            <w:tcW w:w="2126" w:type="dxa"/>
          </w:tcPr>
          <w:p w14:paraId="7FCE4AD1" w14:textId="009C547D" w:rsidR="003778E4" w:rsidRPr="00901EB7" w:rsidRDefault="003778E4" w:rsidP="008B1A30">
            <w:pPr>
              <w:spacing w:before="40" w:after="40" w:line="276" w:lineRule="auto"/>
              <w:jc w:val="center"/>
            </w:pPr>
            <w:r w:rsidRPr="00DD12AC">
              <w:rPr>
                <w:lang w:val="vi-VN"/>
              </w:rPr>
              <w:t>58</w:t>
            </w:r>
            <w:r w:rsidR="003C2D5A">
              <w:rPr>
                <w:lang w:val="en-GB"/>
              </w:rPr>
              <w:t>.</w:t>
            </w:r>
            <w:r w:rsidRPr="00DD12AC">
              <w:rPr>
                <w:lang w:val="vi-VN"/>
              </w:rPr>
              <w:t>3</w:t>
            </w:r>
          </w:p>
        </w:tc>
      </w:tr>
      <w:tr w:rsidR="003778E4" w:rsidRPr="00DD12AC" w14:paraId="781A95A2" w14:textId="77777777" w:rsidTr="007D5387">
        <w:tc>
          <w:tcPr>
            <w:tcW w:w="2693" w:type="dxa"/>
            <w:vMerge/>
            <w:vAlign w:val="center"/>
          </w:tcPr>
          <w:p w14:paraId="6AFCFBA1" w14:textId="77777777" w:rsidR="003778E4" w:rsidRPr="00DD12AC" w:rsidRDefault="003778E4" w:rsidP="00E23C33">
            <w:pPr>
              <w:spacing w:before="40" w:after="40" w:line="276" w:lineRule="auto"/>
              <w:rPr>
                <w:lang w:val="vi-VN"/>
              </w:rPr>
            </w:pPr>
          </w:p>
        </w:tc>
        <w:tc>
          <w:tcPr>
            <w:tcW w:w="2835" w:type="dxa"/>
            <w:vAlign w:val="center"/>
          </w:tcPr>
          <w:p w14:paraId="064E4F9F" w14:textId="5373478B" w:rsidR="003778E4" w:rsidRPr="003C2D5A" w:rsidRDefault="003C2D5A" w:rsidP="00E23C33">
            <w:pPr>
              <w:spacing w:before="40" w:after="40" w:line="276" w:lineRule="auto"/>
              <w:rPr>
                <w:lang w:val="en-GB"/>
              </w:rPr>
            </w:pPr>
            <w:r>
              <w:rPr>
                <w:lang w:val="en-GB"/>
              </w:rPr>
              <w:t>Reduced symptoms</w:t>
            </w:r>
          </w:p>
        </w:tc>
        <w:tc>
          <w:tcPr>
            <w:tcW w:w="1701" w:type="dxa"/>
          </w:tcPr>
          <w:p w14:paraId="05512B41" w14:textId="77777777" w:rsidR="003778E4" w:rsidRPr="00DD12AC" w:rsidRDefault="003778E4" w:rsidP="008B1A30">
            <w:pPr>
              <w:spacing w:before="40" w:after="40" w:line="276" w:lineRule="auto"/>
              <w:jc w:val="center"/>
              <w:rPr>
                <w:lang w:val="vi-VN"/>
              </w:rPr>
            </w:pPr>
            <w:r w:rsidRPr="00DD12AC">
              <w:rPr>
                <w:lang w:val="vi-VN"/>
              </w:rPr>
              <w:t>45</w:t>
            </w:r>
          </w:p>
        </w:tc>
        <w:tc>
          <w:tcPr>
            <w:tcW w:w="2126" w:type="dxa"/>
          </w:tcPr>
          <w:p w14:paraId="15F521B3" w14:textId="15A22BB5" w:rsidR="003778E4" w:rsidRPr="00901EB7" w:rsidRDefault="003778E4" w:rsidP="008B1A30">
            <w:pPr>
              <w:spacing w:before="40" w:after="40" w:line="276" w:lineRule="auto"/>
              <w:jc w:val="center"/>
            </w:pPr>
            <w:r w:rsidRPr="00DD12AC">
              <w:rPr>
                <w:lang w:val="vi-VN"/>
              </w:rPr>
              <w:t>41</w:t>
            </w:r>
            <w:r w:rsidR="003C2D5A">
              <w:rPr>
                <w:lang w:val="en-GB"/>
              </w:rPr>
              <w:t>.</w:t>
            </w:r>
            <w:r w:rsidR="00901EB7">
              <w:rPr>
                <w:lang w:val="en-GB"/>
              </w:rPr>
              <w:t>7</w:t>
            </w:r>
          </w:p>
        </w:tc>
      </w:tr>
    </w:tbl>
    <w:p w14:paraId="3CD1689D" w14:textId="77777777" w:rsidR="00782DFC" w:rsidRPr="00782DFC" w:rsidRDefault="00782DFC" w:rsidP="00782DFC">
      <w:pPr>
        <w:pStyle w:val="MDPI31text"/>
        <w:rPr>
          <w:iCs/>
          <w:color w:val="auto"/>
        </w:rPr>
      </w:pPr>
    </w:p>
    <w:p w14:paraId="67492D41" w14:textId="66C1D8A3" w:rsidR="00194547" w:rsidRDefault="003778E4" w:rsidP="00782DFC">
      <w:pPr>
        <w:pStyle w:val="MDPI31text"/>
        <w:rPr>
          <w:iCs/>
          <w:color w:val="auto"/>
        </w:rPr>
      </w:pPr>
      <w:r w:rsidRPr="00782DFC">
        <w:rPr>
          <w:iCs/>
          <w:color w:val="auto"/>
        </w:rPr>
        <w:t xml:space="preserve">Overall, </w:t>
      </w:r>
      <w:r w:rsidR="00A4108B" w:rsidRPr="00782DFC">
        <w:rPr>
          <w:iCs/>
          <w:color w:val="auto"/>
        </w:rPr>
        <w:t>82.</w:t>
      </w:r>
      <w:r w:rsidR="00901EB7" w:rsidRPr="00782DFC">
        <w:rPr>
          <w:iCs/>
          <w:color w:val="auto"/>
        </w:rPr>
        <w:t>4</w:t>
      </w:r>
      <w:r w:rsidR="00A4108B" w:rsidRPr="00782DFC">
        <w:rPr>
          <w:iCs/>
          <w:color w:val="auto"/>
        </w:rPr>
        <w:t>% of hospitalized children had non-severe pneumonia, while 60.</w:t>
      </w:r>
      <w:r w:rsidR="00901EB7" w:rsidRPr="00782DFC">
        <w:rPr>
          <w:iCs/>
          <w:color w:val="auto"/>
        </w:rPr>
        <w:t>2</w:t>
      </w:r>
      <w:r w:rsidR="00A4108B" w:rsidRPr="00782DFC">
        <w:rPr>
          <w:iCs/>
          <w:color w:val="auto"/>
        </w:rPr>
        <w:t xml:space="preserve">% had no concurrent illnesses. </w:t>
      </w:r>
      <w:r w:rsidR="00E23C33" w:rsidRPr="00782DFC">
        <w:rPr>
          <w:iCs/>
          <w:color w:val="auto"/>
        </w:rPr>
        <w:t xml:space="preserve">100% </w:t>
      </w:r>
      <w:r w:rsidR="00E90C90">
        <w:rPr>
          <w:iCs/>
          <w:color w:val="auto"/>
        </w:rPr>
        <w:t xml:space="preserve">of the </w:t>
      </w:r>
      <w:r w:rsidR="00E23C33" w:rsidRPr="00782DFC">
        <w:rPr>
          <w:iCs/>
          <w:color w:val="auto"/>
        </w:rPr>
        <w:t>hospitalized children were prescribed antibiotics</w:t>
      </w:r>
      <w:r w:rsidR="00850E8C">
        <w:rPr>
          <w:iCs/>
          <w:color w:val="auto"/>
        </w:rPr>
        <w:t xml:space="preserve"> (Table 2). This included children with both non-severe and severe CAP. 74.1% of children were prescribed </w:t>
      </w:r>
      <w:r w:rsidR="00194547">
        <w:rPr>
          <w:iCs/>
          <w:color w:val="auto"/>
        </w:rPr>
        <w:t>monotherapy, which could include a fixed-dose combination (FDC), with</w:t>
      </w:r>
      <w:r w:rsidR="00E23C33" w:rsidRPr="00782DFC">
        <w:rPr>
          <w:iCs/>
          <w:color w:val="auto"/>
        </w:rPr>
        <w:t xml:space="preserve"> 25 of </w:t>
      </w:r>
      <w:r w:rsidR="00850E8C">
        <w:rPr>
          <w:iCs/>
          <w:color w:val="auto"/>
        </w:rPr>
        <w:t xml:space="preserve">admitted children </w:t>
      </w:r>
      <w:r w:rsidR="00044C4E">
        <w:rPr>
          <w:iCs/>
          <w:color w:val="auto"/>
        </w:rPr>
        <w:t xml:space="preserve">(23.1%) </w:t>
      </w:r>
      <w:r w:rsidR="00FA710C" w:rsidRPr="00782DFC">
        <w:rPr>
          <w:iCs/>
          <w:color w:val="auto"/>
        </w:rPr>
        <w:t>prescribed</w:t>
      </w:r>
      <w:r w:rsidR="00E23C33" w:rsidRPr="00782DFC">
        <w:rPr>
          <w:iCs/>
          <w:color w:val="auto"/>
        </w:rPr>
        <w:t xml:space="preserve"> </w:t>
      </w:r>
      <w:r w:rsidR="00FA710C" w:rsidRPr="00782DFC">
        <w:rPr>
          <w:iCs/>
          <w:color w:val="auto"/>
        </w:rPr>
        <w:t>two</w:t>
      </w:r>
      <w:r w:rsidR="00E23C33" w:rsidRPr="00782DFC">
        <w:rPr>
          <w:iCs/>
          <w:color w:val="auto"/>
        </w:rPr>
        <w:t xml:space="preserve"> antibiotics </w:t>
      </w:r>
      <w:r w:rsidR="00FE13CE" w:rsidRPr="00782DFC">
        <w:rPr>
          <w:iCs/>
          <w:color w:val="auto"/>
        </w:rPr>
        <w:t xml:space="preserve">either </w:t>
      </w:r>
      <w:r w:rsidR="0056103B">
        <w:rPr>
          <w:iCs/>
          <w:color w:val="auto"/>
        </w:rPr>
        <w:t>a</w:t>
      </w:r>
      <w:r w:rsidR="00FE13CE" w:rsidRPr="00782DFC">
        <w:rPr>
          <w:iCs/>
          <w:color w:val="auto"/>
        </w:rPr>
        <w:t>lone or</w:t>
      </w:r>
      <w:r w:rsidR="0062196F">
        <w:rPr>
          <w:iCs/>
          <w:color w:val="auto"/>
        </w:rPr>
        <w:t xml:space="preserve"> </w:t>
      </w:r>
      <w:r w:rsidR="00194547">
        <w:rPr>
          <w:iCs/>
          <w:color w:val="auto"/>
        </w:rPr>
        <w:t>a FDC</w:t>
      </w:r>
      <w:r w:rsidR="00FE13CE" w:rsidRPr="00782DFC">
        <w:rPr>
          <w:iCs/>
          <w:color w:val="auto"/>
        </w:rPr>
        <w:t xml:space="preserve"> combin</w:t>
      </w:r>
      <w:r w:rsidR="0062196F">
        <w:rPr>
          <w:iCs/>
          <w:color w:val="auto"/>
        </w:rPr>
        <w:t>ed</w:t>
      </w:r>
      <w:r w:rsidR="00FE13CE" w:rsidRPr="00782DFC">
        <w:rPr>
          <w:iCs/>
          <w:color w:val="auto"/>
        </w:rPr>
        <w:t xml:space="preserve"> </w:t>
      </w:r>
      <w:r w:rsidR="00194547">
        <w:rPr>
          <w:iCs/>
          <w:color w:val="auto"/>
        </w:rPr>
        <w:t>with another antibiotic. T</w:t>
      </w:r>
      <w:r w:rsidR="00FA710C" w:rsidRPr="00782DFC">
        <w:rPr>
          <w:iCs/>
          <w:color w:val="auto"/>
        </w:rPr>
        <w:t>hree</w:t>
      </w:r>
      <w:r w:rsidR="00E23C33" w:rsidRPr="00782DFC">
        <w:rPr>
          <w:iCs/>
          <w:color w:val="auto"/>
        </w:rPr>
        <w:t xml:space="preserve"> </w:t>
      </w:r>
      <w:r w:rsidR="00FA710C" w:rsidRPr="00782DFC">
        <w:rPr>
          <w:iCs/>
          <w:color w:val="auto"/>
        </w:rPr>
        <w:t>neonates and child</w:t>
      </w:r>
      <w:r w:rsidR="0056103B">
        <w:rPr>
          <w:iCs/>
          <w:color w:val="auto"/>
        </w:rPr>
        <w:t>r</w:t>
      </w:r>
      <w:r w:rsidR="00FA710C" w:rsidRPr="00782DFC">
        <w:rPr>
          <w:iCs/>
          <w:color w:val="auto"/>
        </w:rPr>
        <w:t xml:space="preserve">en </w:t>
      </w:r>
      <w:r w:rsidR="00FE13CE" w:rsidRPr="00782DFC">
        <w:rPr>
          <w:iCs/>
          <w:color w:val="auto"/>
        </w:rPr>
        <w:t xml:space="preserve">were </w:t>
      </w:r>
      <w:r w:rsidR="00E23C33" w:rsidRPr="006003A3">
        <w:rPr>
          <w:iCs/>
          <w:color w:val="auto"/>
        </w:rPr>
        <w:t xml:space="preserve">administered </w:t>
      </w:r>
      <w:r w:rsidR="00FA710C" w:rsidRPr="006003A3">
        <w:rPr>
          <w:iCs/>
          <w:color w:val="auto"/>
        </w:rPr>
        <w:t>three</w:t>
      </w:r>
      <w:r w:rsidR="00E23C33" w:rsidRPr="006003A3">
        <w:rPr>
          <w:iCs/>
          <w:color w:val="auto"/>
        </w:rPr>
        <w:t xml:space="preserve"> antibiotics</w:t>
      </w:r>
      <w:r w:rsidR="00194547">
        <w:rPr>
          <w:iCs/>
          <w:color w:val="auto"/>
        </w:rPr>
        <w:t xml:space="preserve">, i.e. three individual antibiotics or an FDC plus two other antibiotics </w:t>
      </w:r>
      <w:r w:rsidR="00044C4E" w:rsidRPr="006003A3">
        <w:rPr>
          <w:iCs/>
          <w:color w:val="auto"/>
        </w:rPr>
        <w:t xml:space="preserve">(2.8%) </w:t>
      </w:r>
      <w:r w:rsidR="00646D93" w:rsidRPr="006003A3">
        <w:rPr>
          <w:iCs/>
          <w:color w:val="auto"/>
        </w:rPr>
        <w:t>(</w:t>
      </w:r>
      <w:r w:rsidR="00FA710C" w:rsidRPr="006003A3">
        <w:rPr>
          <w:iCs/>
          <w:color w:val="auto"/>
        </w:rPr>
        <w:t>Table 2)</w:t>
      </w:r>
      <w:r w:rsidR="00E23C33" w:rsidRPr="006003A3">
        <w:rPr>
          <w:iCs/>
          <w:color w:val="auto"/>
        </w:rPr>
        <w:t xml:space="preserve">. </w:t>
      </w:r>
      <w:r w:rsidR="00FA710C" w:rsidRPr="006003A3">
        <w:rPr>
          <w:iCs/>
          <w:color w:val="auto"/>
        </w:rPr>
        <w:t xml:space="preserve">Higher rates of combinations of antibiotics were </w:t>
      </w:r>
      <w:r w:rsidR="007B2A65" w:rsidRPr="006003A3">
        <w:rPr>
          <w:iCs/>
          <w:color w:val="auto"/>
        </w:rPr>
        <w:t>prescribed</w:t>
      </w:r>
      <w:r w:rsidR="00FA710C" w:rsidRPr="006003A3">
        <w:rPr>
          <w:iCs/>
          <w:color w:val="auto"/>
        </w:rPr>
        <w:t xml:space="preserve"> among children admitted with severe pneumonia</w:t>
      </w:r>
      <w:r w:rsidR="00194547">
        <w:rPr>
          <w:iCs/>
          <w:color w:val="auto"/>
        </w:rPr>
        <w:t xml:space="preserve"> (31.6% vs. 24.7%)</w:t>
      </w:r>
      <w:r w:rsidR="00FA710C" w:rsidRPr="006003A3">
        <w:rPr>
          <w:iCs/>
          <w:color w:val="auto"/>
        </w:rPr>
        <w:t xml:space="preserve"> (Table 2).</w:t>
      </w:r>
    </w:p>
    <w:p w14:paraId="676F7025" w14:textId="4B6A7DB7" w:rsidR="00194547" w:rsidRDefault="00194547" w:rsidP="00782DFC">
      <w:pPr>
        <w:pStyle w:val="MDPI31text"/>
        <w:rPr>
          <w:iCs/>
          <w:color w:val="auto"/>
        </w:rPr>
      </w:pPr>
      <w:r w:rsidRPr="006003A3">
        <w:t>Over 90.0% of</w:t>
      </w:r>
      <w:r>
        <w:t xml:space="preserve"> hospitalized children</w:t>
      </w:r>
      <w:r w:rsidRPr="006003A3">
        <w:t xml:space="preserve"> treated initially with antibiotics were prescribed regimens containing at least one third-generation cephalosporin</w:t>
      </w:r>
      <w:r>
        <w:t xml:space="preserve"> (Table 2)</w:t>
      </w:r>
      <w:r w:rsidR="001F3FAB">
        <w:t xml:space="preserve">. </w:t>
      </w:r>
      <w:proofErr w:type="spellStart"/>
      <w:r w:rsidR="001F3FAB">
        <w:t>C</w:t>
      </w:r>
      <w:r w:rsidRPr="006003A3">
        <w:rPr>
          <w:color w:val="auto"/>
        </w:rPr>
        <w:t>efoperazone</w:t>
      </w:r>
      <w:proofErr w:type="spellEnd"/>
      <w:r w:rsidRPr="006003A3">
        <w:rPr>
          <w:color w:val="auto"/>
        </w:rPr>
        <w:t xml:space="preserve">/sulbactam (38.0%) and cefotaxime (19.4%) </w:t>
      </w:r>
      <w:r w:rsidR="0062196F">
        <w:rPr>
          <w:color w:val="auto"/>
        </w:rPr>
        <w:t xml:space="preserve">were </w:t>
      </w:r>
      <w:r w:rsidRPr="006003A3">
        <w:rPr>
          <w:color w:val="auto"/>
        </w:rPr>
        <w:t xml:space="preserve">the most commonly </w:t>
      </w:r>
      <w:r w:rsidR="0062196F">
        <w:rPr>
          <w:color w:val="auto"/>
        </w:rPr>
        <w:t xml:space="preserve">prescribed </w:t>
      </w:r>
      <w:r w:rsidRPr="006003A3">
        <w:rPr>
          <w:color w:val="auto"/>
        </w:rPr>
        <w:t xml:space="preserve">antibiotics </w:t>
      </w:r>
      <w:r w:rsidR="001F3FAB">
        <w:rPr>
          <w:color w:val="auto"/>
        </w:rPr>
        <w:t xml:space="preserve">as monotherapy </w:t>
      </w:r>
      <w:r w:rsidRPr="006003A3">
        <w:rPr>
          <w:color w:val="auto"/>
        </w:rPr>
        <w:t>(Table 2</w:t>
      </w:r>
      <w:r w:rsidR="001F3FAB">
        <w:rPr>
          <w:color w:val="auto"/>
        </w:rPr>
        <w:t xml:space="preserve">). </w:t>
      </w:r>
      <w:proofErr w:type="spellStart"/>
      <w:r w:rsidR="001F3FAB">
        <w:rPr>
          <w:color w:val="auto"/>
        </w:rPr>
        <w:t>C</w:t>
      </w:r>
      <w:r w:rsidR="001F3FAB" w:rsidRPr="006003A3">
        <w:rPr>
          <w:color w:val="auto"/>
        </w:rPr>
        <w:t>efoperazone</w:t>
      </w:r>
      <w:proofErr w:type="spellEnd"/>
      <w:r w:rsidR="001F3FAB" w:rsidRPr="006003A3">
        <w:rPr>
          <w:color w:val="auto"/>
        </w:rPr>
        <w:t>/sulbactam</w:t>
      </w:r>
      <w:r w:rsidR="001F3FAB">
        <w:rPr>
          <w:color w:val="auto"/>
        </w:rPr>
        <w:t xml:space="preserve"> was also the most common antibiotic </w:t>
      </w:r>
      <w:r w:rsidR="0062196F">
        <w:rPr>
          <w:color w:val="auto"/>
        </w:rPr>
        <w:t xml:space="preserve">administered </w:t>
      </w:r>
      <w:r w:rsidR="001F3FAB">
        <w:rPr>
          <w:color w:val="auto"/>
        </w:rPr>
        <w:t xml:space="preserve">among children initially prescribed multiple antibiotics </w:t>
      </w:r>
      <w:r w:rsidR="0062196F">
        <w:rPr>
          <w:color w:val="auto"/>
        </w:rPr>
        <w:t xml:space="preserve">(39.4% - </w:t>
      </w:r>
      <w:r w:rsidR="001F3FAB">
        <w:rPr>
          <w:color w:val="auto"/>
        </w:rPr>
        <w:t>10.2%</w:t>
      </w:r>
      <w:r w:rsidR="0062196F">
        <w:rPr>
          <w:color w:val="auto"/>
        </w:rPr>
        <w:t xml:space="preserve">/ </w:t>
      </w:r>
      <w:r w:rsidR="001F3FAB">
        <w:rPr>
          <w:color w:val="auto"/>
        </w:rPr>
        <w:t>25.9%</w:t>
      </w:r>
      <w:r w:rsidR="0062196F">
        <w:rPr>
          <w:color w:val="auto"/>
        </w:rPr>
        <w:t xml:space="preserve">) - </w:t>
      </w:r>
      <w:r w:rsidR="001F3FAB">
        <w:rPr>
          <w:color w:val="auto"/>
        </w:rPr>
        <w:t>Table 2.</w:t>
      </w:r>
    </w:p>
    <w:p w14:paraId="69C34214" w14:textId="229C7634" w:rsidR="00782DFC" w:rsidRPr="00782DFC" w:rsidRDefault="00782DFC" w:rsidP="00782DFC">
      <w:pPr>
        <w:pStyle w:val="MDPI31text"/>
        <w:rPr>
          <w:iCs/>
        </w:rPr>
      </w:pPr>
      <w:r w:rsidRPr="006003A3">
        <w:rPr>
          <w:iCs/>
        </w:rPr>
        <w:t xml:space="preserve">Typically, </w:t>
      </w:r>
      <w:r w:rsidR="00646D93" w:rsidRPr="006003A3">
        <w:rPr>
          <w:iCs/>
        </w:rPr>
        <w:t xml:space="preserve">the </w:t>
      </w:r>
      <w:r w:rsidRPr="006003A3">
        <w:rPr>
          <w:iCs/>
        </w:rPr>
        <w:t>antibiotics were administered intravenously (91.</w:t>
      </w:r>
      <w:r w:rsidR="00646D93" w:rsidRPr="006003A3">
        <w:rPr>
          <w:iCs/>
          <w:color w:val="C00000"/>
        </w:rPr>
        <w:t>4</w:t>
      </w:r>
      <w:r w:rsidRPr="006003A3">
        <w:rPr>
          <w:iCs/>
        </w:rPr>
        <w:t xml:space="preserve">%), with oral antibiotics administered initially in only 8.6% of infants and young children, </w:t>
      </w:r>
      <w:r w:rsidR="00194547">
        <w:rPr>
          <w:iCs/>
        </w:rPr>
        <w:t xml:space="preserve">which was </w:t>
      </w:r>
      <w:r w:rsidRPr="006003A3">
        <w:rPr>
          <w:iCs/>
        </w:rPr>
        <w:t>typically a macrolide.</w:t>
      </w:r>
    </w:p>
    <w:p w14:paraId="688994BE" w14:textId="01533001" w:rsidR="00296E54" w:rsidRDefault="00A4108B" w:rsidP="00296E54">
      <w:pPr>
        <w:pStyle w:val="MDPI22heading2"/>
        <w:spacing w:before="240"/>
        <w:ind w:firstLine="452"/>
        <w:rPr>
          <w:i w:val="0"/>
          <w:iCs/>
          <w:color w:val="auto"/>
          <w:lang w:val="en-GB"/>
        </w:rPr>
      </w:pPr>
      <w:r w:rsidRPr="00782DFC">
        <w:rPr>
          <w:i w:val="0"/>
          <w:iCs/>
          <w:color w:val="auto"/>
        </w:rPr>
        <w:t xml:space="preserve">Children </w:t>
      </w:r>
      <w:r w:rsidR="003778E4" w:rsidRPr="00782DFC">
        <w:rPr>
          <w:i w:val="0"/>
          <w:iCs/>
          <w:color w:val="auto"/>
        </w:rPr>
        <w:t xml:space="preserve">were </w:t>
      </w:r>
      <w:r w:rsidR="003778E4" w:rsidRPr="000523DB">
        <w:rPr>
          <w:i w:val="0"/>
          <w:iCs/>
          <w:color w:val="auto"/>
        </w:rPr>
        <w:t xml:space="preserve">prescribed </w:t>
      </w:r>
      <w:r w:rsidRPr="000523DB">
        <w:rPr>
          <w:i w:val="0"/>
          <w:iCs/>
          <w:color w:val="auto"/>
        </w:rPr>
        <w:t xml:space="preserve">antibiotics </w:t>
      </w:r>
      <w:r w:rsidR="003C2D5A" w:rsidRPr="000523DB">
        <w:rPr>
          <w:i w:val="0"/>
          <w:iCs/>
          <w:color w:val="auto"/>
        </w:rPr>
        <w:t>on</w:t>
      </w:r>
      <w:r w:rsidR="00CE09F8" w:rsidRPr="000523DB">
        <w:rPr>
          <w:i w:val="0"/>
          <w:iCs/>
          <w:color w:val="auto"/>
        </w:rPr>
        <w:t xml:space="preserve"> a</w:t>
      </w:r>
      <w:r w:rsidR="003C2D5A" w:rsidRPr="000523DB">
        <w:rPr>
          <w:i w:val="0"/>
          <w:iCs/>
          <w:color w:val="auto"/>
        </w:rPr>
        <w:t xml:space="preserve"> </w:t>
      </w:r>
      <w:r w:rsidR="006B74DB" w:rsidRPr="000523DB">
        <w:rPr>
          <w:i w:val="0"/>
          <w:iCs/>
          <w:color w:val="auto"/>
        </w:rPr>
        <w:t xml:space="preserve">median </w:t>
      </w:r>
      <w:r w:rsidR="00CE09F8" w:rsidRPr="000523DB">
        <w:rPr>
          <w:i w:val="0"/>
          <w:iCs/>
          <w:color w:val="auto"/>
        </w:rPr>
        <w:t xml:space="preserve">of </w:t>
      </w:r>
      <w:r w:rsidRPr="000523DB">
        <w:rPr>
          <w:i w:val="0"/>
          <w:iCs/>
          <w:color w:val="auto"/>
        </w:rPr>
        <w:t>6.00 (5.25 – 7.00) days</w:t>
      </w:r>
      <w:r w:rsidR="003778E4" w:rsidRPr="000523DB">
        <w:rPr>
          <w:i w:val="0"/>
          <w:iCs/>
          <w:color w:val="auto"/>
        </w:rPr>
        <w:t xml:space="preserve">, and typically discharged </w:t>
      </w:r>
      <w:r w:rsidR="003C2D5A" w:rsidRPr="000523DB">
        <w:rPr>
          <w:i w:val="0"/>
          <w:iCs/>
          <w:color w:val="auto"/>
        </w:rPr>
        <w:t xml:space="preserve">on </w:t>
      </w:r>
      <w:r w:rsidR="00A2177C" w:rsidRPr="000523DB">
        <w:rPr>
          <w:i w:val="0"/>
          <w:iCs/>
          <w:color w:val="auto"/>
        </w:rPr>
        <w:t xml:space="preserve">a </w:t>
      </w:r>
      <w:r w:rsidR="006B74DB" w:rsidRPr="000523DB">
        <w:rPr>
          <w:i w:val="0"/>
          <w:iCs/>
          <w:color w:val="auto"/>
        </w:rPr>
        <w:t xml:space="preserve">median </w:t>
      </w:r>
      <w:r w:rsidR="00A2177C" w:rsidRPr="000523DB">
        <w:rPr>
          <w:i w:val="0"/>
          <w:iCs/>
          <w:color w:val="auto"/>
        </w:rPr>
        <w:t xml:space="preserve">of </w:t>
      </w:r>
      <w:r w:rsidRPr="000523DB">
        <w:rPr>
          <w:i w:val="0"/>
          <w:iCs/>
          <w:color w:val="auto"/>
        </w:rPr>
        <w:t>7.00 (6.00 – 8.00)</w:t>
      </w:r>
      <w:r w:rsidR="003778E4" w:rsidRPr="000523DB">
        <w:rPr>
          <w:i w:val="0"/>
          <w:iCs/>
          <w:color w:val="auto"/>
        </w:rPr>
        <w:t xml:space="preserve"> </w:t>
      </w:r>
      <w:r w:rsidRPr="000523DB">
        <w:rPr>
          <w:i w:val="0"/>
          <w:iCs/>
          <w:color w:val="auto"/>
        </w:rPr>
        <w:t>days</w:t>
      </w:r>
      <w:r w:rsidR="003778E4" w:rsidRPr="000523DB">
        <w:rPr>
          <w:i w:val="0"/>
          <w:iCs/>
          <w:color w:val="auto"/>
        </w:rPr>
        <w:t xml:space="preserve"> </w:t>
      </w:r>
      <w:r w:rsidR="00226A3E" w:rsidRPr="000523DB">
        <w:rPr>
          <w:i w:val="0"/>
          <w:iCs/>
          <w:color w:val="auto"/>
        </w:rPr>
        <w:t xml:space="preserve">following admission </w:t>
      </w:r>
      <w:r w:rsidR="003778E4" w:rsidRPr="000523DB">
        <w:rPr>
          <w:i w:val="0"/>
          <w:iCs/>
          <w:color w:val="auto"/>
        </w:rPr>
        <w:t xml:space="preserve">either because their symptoms had disappeared; alternatively </w:t>
      </w:r>
      <w:r w:rsidR="00226A3E" w:rsidRPr="000523DB">
        <w:rPr>
          <w:i w:val="0"/>
          <w:iCs/>
          <w:color w:val="auto"/>
        </w:rPr>
        <w:t>there was</w:t>
      </w:r>
      <w:r w:rsidR="003778E4" w:rsidRPr="000523DB">
        <w:rPr>
          <w:i w:val="0"/>
          <w:iCs/>
          <w:color w:val="auto"/>
        </w:rPr>
        <w:t xml:space="preserve"> </w:t>
      </w:r>
      <w:r w:rsidR="00044C4E" w:rsidRPr="000523DB">
        <w:rPr>
          <w:i w:val="0"/>
          <w:iCs/>
          <w:color w:val="auto"/>
          <w:lang w:val="en-GB"/>
        </w:rPr>
        <w:t>sufficient improvement</w:t>
      </w:r>
      <w:r w:rsidR="00226A3E" w:rsidRPr="000523DB">
        <w:rPr>
          <w:i w:val="0"/>
          <w:iCs/>
          <w:color w:val="auto"/>
          <w:lang w:val="en-GB"/>
        </w:rPr>
        <w:t xml:space="preserve"> to warrant discharge</w:t>
      </w:r>
      <w:r w:rsidR="0056140F" w:rsidRPr="000523DB">
        <w:rPr>
          <w:i w:val="0"/>
          <w:iCs/>
          <w:color w:val="auto"/>
          <w:lang w:val="en-GB"/>
        </w:rPr>
        <w:t xml:space="preserve"> (Table 1)</w:t>
      </w:r>
      <w:r w:rsidR="00AB01C9" w:rsidRPr="000523DB">
        <w:rPr>
          <w:i w:val="0"/>
          <w:iCs/>
          <w:color w:val="auto"/>
          <w:lang w:val="en-GB"/>
        </w:rPr>
        <w:t>.</w:t>
      </w:r>
      <w:r w:rsidR="00044C4E">
        <w:rPr>
          <w:i w:val="0"/>
          <w:iCs/>
          <w:color w:val="auto"/>
          <w:lang w:val="en-GB"/>
        </w:rPr>
        <w:t xml:space="preserve"> </w:t>
      </w:r>
      <w:bookmarkStart w:id="3" w:name="_Hlk202346131"/>
    </w:p>
    <w:p w14:paraId="3199AB28" w14:textId="77777777" w:rsidR="000523DB" w:rsidRPr="00AB01C9" w:rsidRDefault="000523DB" w:rsidP="00296E54">
      <w:pPr>
        <w:pStyle w:val="MDPI22heading2"/>
        <w:spacing w:before="240"/>
        <w:ind w:firstLine="452"/>
        <w:rPr>
          <w:i w:val="0"/>
          <w:iCs/>
          <w:strike/>
          <w:color w:val="7030A0"/>
          <w:lang w:val="en-GB"/>
        </w:rPr>
      </w:pPr>
    </w:p>
    <w:bookmarkEnd w:id="3"/>
    <w:p w14:paraId="0A3941E1" w14:textId="35A0C1AD" w:rsidR="00FA710C" w:rsidRPr="00863076" w:rsidRDefault="00FA710C" w:rsidP="00623ECB">
      <w:pPr>
        <w:spacing w:line="240" w:lineRule="auto"/>
        <w:jc w:val="left"/>
        <w:rPr>
          <w:i/>
          <w:color w:val="auto"/>
        </w:rPr>
      </w:pPr>
      <w:r>
        <w:rPr>
          <w:lang w:val="en-GB"/>
        </w:rPr>
        <w:t xml:space="preserve">Table </w:t>
      </w:r>
      <w:r w:rsidR="00782DFC">
        <w:rPr>
          <w:lang w:val="en-GB"/>
        </w:rPr>
        <w:t>2</w:t>
      </w:r>
      <w:r>
        <w:rPr>
          <w:lang w:val="en-GB"/>
        </w:rPr>
        <w:t xml:space="preserve">- </w:t>
      </w:r>
      <w:r w:rsidRPr="008D241D">
        <w:rPr>
          <w:color w:val="auto"/>
        </w:rPr>
        <w:t xml:space="preserve">Characteristics of </w:t>
      </w:r>
      <w:r w:rsidR="00FE13CE">
        <w:rPr>
          <w:color w:val="auto"/>
        </w:rPr>
        <w:t xml:space="preserve">the </w:t>
      </w:r>
      <w:r w:rsidRPr="008D241D">
        <w:rPr>
          <w:color w:val="auto"/>
        </w:rPr>
        <w:t>initial antibiotic regimen</w:t>
      </w:r>
      <w:r w:rsidR="00FE13CE">
        <w:rPr>
          <w:color w:val="auto"/>
        </w:rPr>
        <w:t>s and routes of administration</w:t>
      </w:r>
    </w:p>
    <w:tbl>
      <w:tblPr>
        <w:tblStyle w:val="PlainTable5"/>
        <w:tblW w:w="852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5"/>
        <w:gridCol w:w="516"/>
        <w:gridCol w:w="1060"/>
        <w:gridCol w:w="516"/>
        <w:gridCol w:w="1044"/>
        <w:gridCol w:w="992"/>
        <w:gridCol w:w="1008"/>
      </w:tblGrid>
      <w:tr w:rsidR="00BA502D" w:rsidRPr="008D241D" w14:paraId="3DA464EB" w14:textId="1B3E7FF3" w:rsidTr="00BA502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385" w:type="dxa"/>
            <w:vMerge w:val="restart"/>
            <w:shd w:val="clear" w:color="auto" w:fill="D0CECE" w:themeFill="background2" w:themeFillShade="E6"/>
            <w:vAlign w:val="center"/>
            <w:hideMark/>
          </w:tcPr>
          <w:p w14:paraId="51A0FAE0" w14:textId="77777777" w:rsidR="00BA502D" w:rsidRPr="00FE13CE" w:rsidRDefault="00BA502D" w:rsidP="00FE13CE">
            <w:pPr>
              <w:pStyle w:val="NoSpacing"/>
              <w:jc w:val="left"/>
              <w:rPr>
                <w:rFonts w:ascii="Palatino Linotype" w:hAnsi="Palatino Linotype"/>
                <w:b/>
                <w:bCs/>
                <w:i w:val="0"/>
                <w:iCs w:val="0"/>
                <w:sz w:val="20"/>
                <w:szCs w:val="20"/>
              </w:rPr>
            </w:pPr>
            <w:r w:rsidRPr="00FE13CE">
              <w:rPr>
                <w:rFonts w:ascii="Palatino Linotype" w:hAnsi="Palatino Linotype"/>
                <w:b/>
                <w:bCs/>
                <w:i w:val="0"/>
                <w:iCs w:val="0"/>
                <w:sz w:val="20"/>
                <w:szCs w:val="20"/>
              </w:rPr>
              <w:t>Initial antibiotic regimen</w:t>
            </w:r>
          </w:p>
        </w:tc>
        <w:tc>
          <w:tcPr>
            <w:tcW w:w="1576" w:type="dxa"/>
            <w:gridSpan w:val="2"/>
            <w:shd w:val="clear" w:color="auto" w:fill="D0CECE" w:themeFill="background2" w:themeFillShade="E6"/>
            <w:vAlign w:val="center"/>
            <w:hideMark/>
          </w:tcPr>
          <w:p w14:paraId="27C54EAD" w14:textId="77777777" w:rsidR="00BA502D" w:rsidRPr="00FE13CE" w:rsidRDefault="00BA502D" w:rsidP="00FE13CE">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bCs/>
                <w:i w:val="0"/>
                <w:iCs w:val="0"/>
                <w:sz w:val="20"/>
                <w:szCs w:val="20"/>
              </w:rPr>
            </w:pPr>
            <w:r w:rsidRPr="00FE13CE">
              <w:rPr>
                <w:rFonts w:ascii="Palatino Linotype" w:hAnsi="Palatino Linotype"/>
                <w:b/>
                <w:bCs/>
                <w:i w:val="0"/>
                <w:iCs w:val="0"/>
                <w:sz w:val="20"/>
                <w:szCs w:val="20"/>
                <w:lang w:val="vi-VN"/>
              </w:rPr>
              <w:t>Non-severe pneumonia</w:t>
            </w:r>
          </w:p>
        </w:tc>
        <w:tc>
          <w:tcPr>
            <w:tcW w:w="1560" w:type="dxa"/>
            <w:gridSpan w:val="2"/>
            <w:shd w:val="clear" w:color="auto" w:fill="D0CECE" w:themeFill="background2" w:themeFillShade="E6"/>
            <w:vAlign w:val="center"/>
            <w:hideMark/>
          </w:tcPr>
          <w:p w14:paraId="5767FA85" w14:textId="77777777" w:rsidR="00BA502D" w:rsidRPr="00FE13CE" w:rsidRDefault="00BA502D" w:rsidP="00FE13CE">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bCs/>
                <w:i w:val="0"/>
                <w:iCs w:val="0"/>
                <w:sz w:val="20"/>
                <w:szCs w:val="20"/>
              </w:rPr>
            </w:pPr>
            <w:r w:rsidRPr="00FE13CE">
              <w:rPr>
                <w:rFonts w:ascii="Palatino Linotype" w:hAnsi="Palatino Linotype"/>
                <w:b/>
                <w:bCs/>
                <w:i w:val="0"/>
                <w:iCs w:val="0"/>
                <w:sz w:val="20"/>
                <w:szCs w:val="20"/>
              </w:rPr>
              <w:t>S</w:t>
            </w:r>
            <w:r w:rsidRPr="00FE13CE">
              <w:rPr>
                <w:rFonts w:ascii="Palatino Linotype" w:hAnsi="Palatino Linotype"/>
                <w:b/>
                <w:bCs/>
                <w:i w:val="0"/>
                <w:iCs w:val="0"/>
                <w:sz w:val="20"/>
                <w:szCs w:val="20"/>
                <w:lang w:val="vi-VN"/>
              </w:rPr>
              <w:t>evere pneumonia</w:t>
            </w:r>
          </w:p>
        </w:tc>
        <w:tc>
          <w:tcPr>
            <w:tcW w:w="2000" w:type="dxa"/>
            <w:gridSpan w:val="2"/>
            <w:shd w:val="clear" w:color="auto" w:fill="D0CECE" w:themeFill="background2" w:themeFillShade="E6"/>
            <w:vAlign w:val="center"/>
            <w:hideMark/>
          </w:tcPr>
          <w:p w14:paraId="4B029895" w14:textId="77777777" w:rsidR="00BA502D" w:rsidRPr="00FE13CE" w:rsidRDefault="00BA502D" w:rsidP="00FE13CE">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bCs/>
                <w:i w:val="0"/>
                <w:iCs w:val="0"/>
                <w:sz w:val="20"/>
                <w:szCs w:val="20"/>
              </w:rPr>
            </w:pPr>
            <w:r w:rsidRPr="00FE13CE">
              <w:rPr>
                <w:rFonts w:ascii="Palatino Linotype" w:hAnsi="Palatino Linotype"/>
                <w:b/>
                <w:bCs/>
                <w:i w:val="0"/>
                <w:iCs w:val="0"/>
                <w:sz w:val="20"/>
                <w:szCs w:val="20"/>
              </w:rPr>
              <w:t>Total</w:t>
            </w:r>
          </w:p>
        </w:tc>
      </w:tr>
      <w:tr w:rsidR="00BA502D" w:rsidRPr="008D241D" w14:paraId="1F2F52FC" w14:textId="0FA27819"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vMerge/>
            <w:shd w:val="clear" w:color="auto" w:fill="D0CECE" w:themeFill="background2" w:themeFillShade="E6"/>
            <w:vAlign w:val="center"/>
            <w:hideMark/>
          </w:tcPr>
          <w:p w14:paraId="66C06E93" w14:textId="77777777" w:rsidR="00BA502D" w:rsidRPr="00FA710C" w:rsidRDefault="00BA502D" w:rsidP="000B15A6">
            <w:pPr>
              <w:pStyle w:val="NoSpacing"/>
              <w:rPr>
                <w:rFonts w:ascii="Palatino Linotype" w:hAnsi="Palatino Linotype"/>
                <w:sz w:val="20"/>
                <w:szCs w:val="20"/>
              </w:rPr>
            </w:pPr>
          </w:p>
        </w:tc>
        <w:tc>
          <w:tcPr>
            <w:tcW w:w="516" w:type="dxa"/>
            <w:shd w:val="clear" w:color="auto" w:fill="D0CECE" w:themeFill="background2" w:themeFillShade="E6"/>
            <w:vAlign w:val="center"/>
            <w:hideMark/>
          </w:tcPr>
          <w:p w14:paraId="7F5EEA1F"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n</w:t>
            </w:r>
          </w:p>
        </w:tc>
        <w:tc>
          <w:tcPr>
            <w:tcW w:w="1060" w:type="dxa"/>
            <w:shd w:val="clear" w:color="auto" w:fill="D0CECE" w:themeFill="background2" w:themeFillShade="E6"/>
            <w:vAlign w:val="center"/>
            <w:hideMark/>
          </w:tcPr>
          <w:p w14:paraId="7748969A"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w:t>
            </w:r>
          </w:p>
        </w:tc>
        <w:tc>
          <w:tcPr>
            <w:tcW w:w="516" w:type="dxa"/>
            <w:shd w:val="clear" w:color="auto" w:fill="D0CECE" w:themeFill="background2" w:themeFillShade="E6"/>
            <w:vAlign w:val="center"/>
            <w:hideMark/>
          </w:tcPr>
          <w:p w14:paraId="36C68F27"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n</w:t>
            </w:r>
          </w:p>
        </w:tc>
        <w:tc>
          <w:tcPr>
            <w:tcW w:w="1044" w:type="dxa"/>
            <w:shd w:val="clear" w:color="auto" w:fill="D0CECE" w:themeFill="background2" w:themeFillShade="E6"/>
            <w:vAlign w:val="center"/>
            <w:hideMark/>
          </w:tcPr>
          <w:p w14:paraId="7A6E92B9"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w:t>
            </w:r>
          </w:p>
        </w:tc>
        <w:tc>
          <w:tcPr>
            <w:tcW w:w="992" w:type="dxa"/>
            <w:shd w:val="clear" w:color="auto" w:fill="D0CECE" w:themeFill="background2" w:themeFillShade="E6"/>
            <w:vAlign w:val="center"/>
            <w:hideMark/>
          </w:tcPr>
          <w:p w14:paraId="7EFFAEF3"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n</w:t>
            </w:r>
          </w:p>
        </w:tc>
        <w:tc>
          <w:tcPr>
            <w:tcW w:w="992" w:type="dxa"/>
            <w:shd w:val="clear" w:color="auto" w:fill="D0CECE" w:themeFill="background2" w:themeFillShade="E6"/>
            <w:vAlign w:val="center"/>
            <w:hideMark/>
          </w:tcPr>
          <w:p w14:paraId="31E7A846"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w:t>
            </w:r>
          </w:p>
        </w:tc>
      </w:tr>
      <w:tr w:rsidR="00BA502D" w:rsidRPr="008D241D" w14:paraId="2A17F2E2" w14:textId="23B1104B" w:rsidTr="00BA502D">
        <w:trPr>
          <w:trHeight w:val="397"/>
        </w:trPr>
        <w:tc>
          <w:tcPr>
            <w:cnfStyle w:val="001000000000" w:firstRow="0" w:lastRow="0" w:firstColumn="1" w:lastColumn="0" w:oddVBand="0" w:evenVBand="0" w:oddHBand="0" w:evenHBand="0" w:firstRowFirstColumn="0" w:firstRowLastColumn="0" w:lastRowFirstColumn="0" w:lastRowLastColumn="0"/>
            <w:tcW w:w="3385" w:type="dxa"/>
            <w:shd w:val="clear" w:color="auto" w:fill="E7E6E6" w:themeFill="background2"/>
            <w:vAlign w:val="center"/>
            <w:hideMark/>
          </w:tcPr>
          <w:p w14:paraId="7D3C646A" w14:textId="77777777" w:rsidR="00BA502D" w:rsidRDefault="00BA502D" w:rsidP="00BA502D">
            <w:pPr>
              <w:pStyle w:val="NoSpacing"/>
              <w:jc w:val="center"/>
              <w:rPr>
                <w:rFonts w:ascii="Palatino Linotype" w:hAnsi="Palatino Linotype"/>
                <w:b/>
                <w:bCs/>
                <w:i w:val="0"/>
                <w:iCs w:val="0"/>
                <w:sz w:val="20"/>
                <w:szCs w:val="20"/>
              </w:rPr>
            </w:pPr>
            <w:r w:rsidRPr="007F6CEB">
              <w:rPr>
                <w:rFonts w:ascii="Palatino Linotype" w:hAnsi="Palatino Linotype"/>
                <w:b/>
                <w:bCs/>
                <w:sz w:val="20"/>
                <w:szCs w:val="20"/>
              </w:rPr>
              <w:t xml:space="preserve">Monotherapy </w:t>
            </w:r>
          </w:p>
          <w:p w14:paraId="758F40F2" w14:textId="270B72B5" w:rsidR="00BA502D" w:rsidRPr="007F6CEB" w:rsidRDefault="00BA502D" w:rsidP="00BA502D">
            <w:pPr>
              <w:pStyle w:val="NoSpacing"/>
              <w:jc w:val="center"/>
              <w:rPr>
                <w:rFonts w:ascii="Palatino Linotype" w:hAnsi="Palatino Linotype"/>
                <w:b/>
                <w:bCs/>
                <w:sz w:val="20"/>
                <w:szCs w:val="20"/>
              </w:rPr>
            </w:pPr>
            <w:r w:rsidRPr="007F6CEB">
              <w:rPr>
                <w:rFonts w:ascii="Palatino Linotype" w:hAnsi="Palatino Linotype"/>
                <w:b/>
                <w:bCs/>
                <w:sz w:val="20"/>
                <w:szCs w:val="20"/>
              </w:rPr>
              <w:t>(including combinations)</w:t>
            </w:r>
          </w:p>
        </w:tc>
        <w:tc>
          <w:tcPr>
            <w:tcW w:w="516" w:type="dxa"/>
            <w:shd w:val="clear" w:color="auto" w:fill="E7E6E6" w:themeFill="background2"/>
            <w:vAlign w:val="center"/>
            <w:hideMark/>
          </w:tcPr>
          <w:p w14:paraId="13BB74FC" w14:textId="77777777" w:rsidR="00BA502D" w:rsidRPr="007F6CEB"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67</w:t>
            </w:r>
          </w:p>
        </w:tc>
        <w:tc>
          <w:tcPr>
            <w:tcW w:w="1060" w:type="dxa"/>
            <w:shd w:val="clear" w:color="auto" w:fill="E7E6E6" w:themeFill="background2"/>
            <w:vAlign w:val="center"/>
            <w:hideMark/>
          </w:tcPr>
          <w:p w14:paraId="19839EC6" w14:textId="77777777" w:rsidR="00BA502D" w:rsidRPr="007F6CEB"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75.3</w:t>
            </w:r>
          </w:p>
        </w:tc>
        <w:tc>
          <w:tcPr>
            <w:tcW w:w="516" w:type="dxa"/>
            <w:shd w:val="clear" w:color="auto" w:fill="E7E6E6" w:themeFill="background2"/>
            <w:vAlign w:val="center"/>
            <w:hideMark/>
          </w:tcPr>
          <w:p w14:paraId="696EC062" w14:textId="77777777" w:rsidR="00BA502D" w:rsidRPr="007F6CEB"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13</w:t>
            </w:r>
          </w:p>
        </w:tc>
        <w:tc>
          <w:tcPr>
            <w:tcW w:w="1044" w:type="dxa"/>
            <w:shd w:val="clear" w:color="auto" w:fill="E7E6E6" w:themeFill="background2"/>
            <w:vAlign w:val="center"/>
            <w:hideMark/>
          </w:tcPr>
          <w:p w14:paraId="58D7611E" w14:textId="77777777" w:rsidR="00BA502D" w:rsidRPr="007F6CEB"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68.4</w:t>
            </w:r>
          </w:p>
        </w:tc>
        <w:tc>
          <w:tcPr>
            <w:tcW w:w="992" w:type="dxa"/>
            <w:shd w:val="clear" w:color="auto" w:fill="E7E6E6" w:themeFill="background2"/>
            <w:vAlign w:val="center"/>
            <w:hideMark/>
          </w:tcPr>
          <w:p w14:paraId="59B59CDB" w14:textId="77777777" w:rsidR="00BA502D" w:rsidRPr="007F6CEB"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80</w:t>
            </w:r>
          </w:p>
        </w:tc>
        <w:tc>
          <w:tcPr>
            <w:tcW w:w="992" w:type="dxa"/>
            <w:shd w:val="clear" w:color="auto" w:fill="E7E6E6" w:themeFill="background2"/>
            <w:vAlign w:val="center"/>
            <w:hideMark/>
          </w:tcPr>
          <w:p w14:paraId="274F590C" w14:textId="1F052A06" w:rsidR="00BA502D" w:rsidRPr="007F6CEB"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74.1</w:t>
            </w:r>
          </w:p>
        </w:tc>
      </w:tr>
      <w:tr w:rsidR="00BA502D" w:rsidRPr="008D241D" w14:paraId="0C22461F" w14:textId="32BA2391"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F2F2F2" w:themeFill="background1" w:themeFillShade="F2"/>
            <w:vAlign w:val="center"/>
            <w:hideMark/>
          </w:tcPr>
          <w:p w14:paraId="73CD938D" w14:textId="77777777" w:rsidR="00BA502D" w:rsidRPr="00AB01C9" w:rsidRDefault="00BA502D" w:rsidP="000B15A6">
            <w:pPr>
              <w:pStyle w:val="NoSpacing"/>
              <w:jc w:val="left"/>
              <w:rPr>
                <w:rFonts w:ascii="Palatino Linotype" w:hAnsi="Palatino Linotype"/>
                <w:sz w:val="20"/>
                <w:szCs w:val="20"/>
              </w:rPr>
            </w:pPr>
            <w:r w:rsidRPr="00AB01C9">
              <w:rPr>
                <w:rFonts w:ascii="Palatino Linotype" w:hAnsi="Palatino Linotype"/>
                <w:sz w:val="20"/>
                <w:szCs w:val="20"/>
              </w:rPr>
              <w:t>Penicillin/ β-lactamase</w:t>
            </w:r>
          </w:p>
        </w:tc>
        <w:tc>
          <w:tcPr>
            <w:tcW w:w="992" w:type="dxa"/>
            <w:vAlign w:val="center"/>
          </w:tcPr>
          <w:p w14:paraId="30A2850E" w14:textId="26CC7F9E" w:rsidR="00BA502D" w:rsidRPr="00AB01C9"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iCs/>
                <w:sz w:val="20"/>
                <w:szCs w:val="20"/>
              </w:rPr>
            </w:pPr>
          </w:p>
        </w:tc>
        <w:tc>
          <w:tcPr>
            <w:tcW w:w="992" w:type="dxa"/>
            <w:vAlign w:val="center"/>
          </w:tcPr>
          <w:p w14:paraId="65D7353D" w14:textId="66FD8462" w:rsidR="00BA502D" w:rsidRPr="00AB01C9"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iCs/>
                <w:sz w:val="20"/>
                <w:szCs w:val="20"/>
              </w:rPr>
            </w:pPr>
          </w:p>
        </w:tc>
      </w:tr>
      <w:tr w:rsidR="00BA502D" w:rsidRPr="008D241D" w14:paraId="6CD40A5D" w14:textId="71CDC4DA" w:rsidTr="00BA502D">
        <w:trPr>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19E8C863" w14:textId="6665AF4E"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Amoxicillin/Sulbactam (I</w:t>
            </w:r>
            <w:r>
              <w:rPr>
                <w:rFonts w:ascii="Palatino Linotype" w:hAnsi="Palatino Linotype"/>
                <w:i w:val="0"/>
                <w:iCs w:val="0"/>
                <w:sz w:val="20"/>
                <w:szCs w:val="20"/>
              </w:rPr>
              <w:t>V</w:t>
            </w:r>
            <w:r w:rsidRPr="00FE13CE">
              <w:rPr>
                <w:rFonts w:ascii="Palatino Linotype" w:hAnsi="Palatino Linotype"/>
                <w:i w:val="0"/>
                <w:iCs w:val="0"/>
                <w:sz w:val="20"/>
                <w:szCs w:val="20"/>
              </w:rPr>
              <w:t>)</w:t>
            </w:r>
          </w:p>
        </w:tc>
        <w:tc>
          <w:tcPr>
            <w:tcW w:w="516" w:type="dxa"/>
            <w:shd w:val="clear" w:color="auto" w:fill="FFFFFF" w:themeFill="background1"/>
            <w:vAlign w:val="center"/>
            <w:hideMark/>
          </w:tcPr>
          <w:p w14:paraId="125C4F7D"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5</w:t>
            </w:r>
          </w:p>
        </w:tc>
        <w:tc>
          <w:tcPr>
            <w:tcW w:w="1060" w:type="dxa"/>
            <w:shd w:val="clear" w:color="auto" w:fill="FFFFFF" w:themeFill="background1"/>
            <w:vAlign w:val="center"/>
            <w:hideMark/>
          </w:tcPr>
          <w:p w14:paraId="7A6239DC"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5.6</w:t>
            </w:r>
          </w:p>
        </w:tc>
        <w:tc>
          <w:tcPr>
            <w:tcW w:w="516" w:type="dxa"/>
            <w:shd w:val="clear" w:color="auto" w:fill="FFFFFF" w:themeFill="background1"/>
            <w:vAlign w:val="center"/>
            <w:hideMark/>
          </w:tcPr>
          <w:p w14:paraId="2552A9C1"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1</w:t>
            </w:r>
          </w:p>
        </w:tc>
        <w:tc>
          <w:tcPr>
            <w:tcW w:w="1044" w:type="dxa"/>
            <w:shd w:val="clear" w:color="auto" w:fill="FFFFFF" w:themeFill="background1"/>
            <w:vAlign w:val="center"/>
            <w:hideMark/>
          </w:tcPr>
          <w:p w14:paraId="6F471C44"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5.3</w:t>
            </w:r>
          </w:p>
        </w:tc>
        <w:tc>
          <w:tcPr>
            <w:tcW w:w="992" w:type="dxa"/>
            <w:shd w:val="clear" w:color="auto" w:fill="FFFFFF" w:themeFill="background1"/>
            <w:vAlign w:val="center"/>
            <w:hideMark/>
          </w:tcPr>
          <w:p w14:paraId="16143DAA"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6</w:t>
            </w:r>
          </w:p>
        </w:tc>
        <w:tc>
          <w:tcPr>
            <w:tcW w:w="992" w:type="dxa"/>
            <w:shd w:val="clear" w:color="auto" w:fill="FFFFFF" w:themeFill="background1"/>
            <w:vAlign w:val="center"/>
            <w:hideMark/>
          </w:tcPr>
          <w:p w14:paraId="218E5809"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5.6</w:t>
            </w:r>
          </w:p>
        </w:tc>
      </w:tr>
      <w:tr w:rsidR="00BA502D" w:rsidRPr="008D241D" w14:paraId="2C624BBE" w14:textId="40C5AFE8"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1D9E7B5D" w14:textId="66032ABC"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Amoxicillin/Clavulanic (I</w:t>
            </w:r>
            <w:r>
              <w:rPr>
                <w:rFonts w:ascii="Palatino Linotype" w:hAnsi="Palatino Linotype"/>
                <w:i w:val="0"/>
                <w:iCs w:val="0"/>
                <w:sz w:val="20"/>
                <w:szCs w:val="20"/>
              </w:rPr>
              <w:t>V</w:t>
            </w:r>
            <w:r w:rsidRPr="00FE13CE">
              <w:rPr>
                <w:rFonts w:ascii="Palatino Linotype" w:hAnsi="Palatino Linotype"/>
                <w:i w:val="0"/>
                <w:iCs w:val="0"/>
                <w:sz w:val="20"/>
                <w:szCs w:val="20"/>
              </w:rPr>
              <w:t>)</w:t>
            </w:r>
          </w:p>
        </w:tc>
        <w:tc>
          <w:tcPr>
            <w:tcW w:w="516" w:type="dxa"/>
            <w:shd w:val="clear" w:color="auto" w:fill="FFFFFF" w:themeFill="background1"/>
            <w:vAlign w:val="center"/>
            <w:hideMark/>
          </w:tcPr>
          <w:p w14:paraId="63EF4FB6"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1</w:t>
            </w:r>
          </w:p>
        </w:tc>
        <w:tc>
          <w:tcPr>
            <w:tcW w:w="1060" w:type="dxa"/>
            <w:shd w:val="clear" w:color="auto" w:fill="FFFFFF" w:themeFill="background1"/>
            <w:vAlign w:val="center"/>
            <w:hideMark/>
          </w:tcPr>
          <w:p w14:paraId="6ED1EA68"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1.1</w:t>
            </w:r>
          </w:p>
        </w:tc>
        <w:tc>
          <w:tcPr>
            <w:tcW w:w="516" w:type="dxa"/>
            <w:shd w:val="clear" w:color="auto" w:fill="FFFFFF" w:themeFill="background1"/>
            <w:vAlign w:val="center"/>
            <w:hideMark/>
          </w:tcPr>
          <w:p w14:paraId="061A8A33"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0</w:t>
            </w:r>
          </w:p>
        </w:tc>
        <w:tc>
          <w:tcPr>
            <w:tcW w:w="1044" w:type="dxa"/>
            <w:shd w:val="clear" w:color="auto" w:fill="FFFFFF" w:themeFill="background1"/>
            <w:vAlign w:val="center"/>
            <w:hideMark/>
          </w:tcPr>
          <w:p w14:paraId="43348817"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0.00</w:t>
            </w:r>
          </w:p>
        </w:tc>
        <w:tc>
          <w:tcPr>
            <w:tcW w:w="992" w:type="dxa"/>
            <w:shd w:val="clear" w:color="auto" w:fill="FFFFFF" w:themeFill="background1"/>
            <w:vAlign w:val="center"/>
            <w:hideMark/>
          </w:tcPr>
          <w:p w14:paraId="5155B1B9"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1</w:t>
            </w:r>
          </w:p>
        </w:tc>
        <w:tc>
          <w:tcPr>
            <w:tcW w:w="992" w:type="dxa"/>
            <w:shd w:val="clear" w:color="auto" w:fill="FFFFFF" w:themeFill="background1"/>
            <w:vAlign w:val="center"/>
            <w:hideMark/>
          </w:tcPr>
          <w:p w14:paraId="5F8FD81A"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0.9</w:t>
            </w:r>
          </w:p>
        </w:tc>
      </w:tr>
      <w:tr w:rsidR="00BA502D" w:rsidRPr="008D241D" w14:paraId="4AD457B7" w14:textId="6C71B5F7" w:rsidTr="00BA502D">
        <w:trPr>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520079E2" w14:textId="228B619D"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Ampicillin/Sulbactam (I</w:t>
            </w:r>
            <w:r>
              <w:rPr>
                <w:rFonts w:ascii="Palatino Linotype" w:hAnsi="Palatino Linotype"/>
                <w:i w:val="0"/>
                <w:iCs w:val="0"/>
                <w:sz w:val="20"/>
                <w:szCs w:val="20"/>
              </w:rPr>
              <w:t>V</w:t>
            </w:r>
            <w:r w:rsidRPr="00FE13CE">
              <w:rPr>
                <w:rFonts w:ascii="Palatino Linotype" w:hAnsi="Palatino Linotype"/>
                <w:i w:val="0"/>
                <w:iCs w:val="0"/>
                <w:sz w:val="20"/>
                <w:szCs w:val="20"/>
              </w:rPr>
              <w:t>)</w:t>
            </w:r>
          </w:p>
        </w:tc>
        <w:tc>
          <w:tcPr>
            <w:tcW w:w="516" w:type="dxa"/>
            <w:shd w:val="clear" w:color="auto" w:fill="FFFFFF" w:themeFill="background1"/>
            <w:vAlign w:val="center"/>
            <w:hideMark/>
          </w:tcPr>
          <w:p w14:paraId="7750C657"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0</w:t>
            </w:r>
          </w:p>
        </w:tc>
        <w:tc>
          <w:tcPr>
            <w:tcW w:w="1060" w:type="dxa"/>
            <w:shd w:val="clear" w:color="auto" w:fill="FFFFFF" w:themeFill="background1"/>
            <w:vAlign w:val="center"/>
            <w:hideMark/>
          </w:tcPr>
          <w:p w14:paraId="70D5DF61"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0.00</w:t>
            </w:r>
          </w:p>
        </w:tc>
        <w:tc>
          <w:tcPr>
            <w:tcW w:w="516" w:type="dxa"/>
            <w:shd w:val="clear" w:color="auto" w:fill="FFFFFF" w:themeFill="background1"/>
            <w:vAlign w:val="center"/>
            <w:hideMark/>
          </w:tcPr>
          <w:p w14:paraId="57E77C1B"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1</w:t>
            </w:r>
          </w:p>
        </w:tc>
        <w:tc>
          <w:tcPr>
            <w:tcW w:w="1044" w:type="dxa"/>
            <w:shd w:val="clear" w:color="auto" w:fill="FFFFFF" w:themeFill="background1"/>
            <w:vAlign w:val="center"/>
            <w:hideMark/>
          </w:tcPr>
          <w:p w14:paraId="6690F8FD"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5.3</w:t>
            </w:r>
          </w:p>
        </w:tc>
        <w:tc>
          <w:tcPr>
            <w:tcW w:w="992" w:type="dxa"/>
            <w:shd w:val="clear" w:color="auto" w:fill="FFFFFF" w:themeFill="background1"/>
            <w:vAlign w:val="center"/>
            <w:hideMark/>
          </w:tcPr>
          <w:p w14:paraId="62ACF24D"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1</w:t>
            </w:r>
          </w:p>
        </w:tc>
        <w:tc>
          <w:tcPr>
            <w:tcW w:w="992" w:type="dxa"/>
            <w:shd w:val="clear" w:color="auto" w:fill="FFFFFF" w:themeFill="background1"/>
            <w:vAlign w:val="center"/>
            <w:hideMark/>
          </w:tcPr>
          <w:p w14:paraId="1FD85F7F" w14:textId="77777777" w:rsidR="00BA502D" w:rsidRPr="00FA710C"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0.9</w:t>
            </w:r>
          </w:p>
        </w:tc>
      </w:tr>
      <w:tr w:rsidR="00BA502D" w:rsidRPr="008D241D" w14:paraId="23666C7D" w14:textId="0834FEED"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F2F2F2" w:themeFill="background1" w:themeFillShade="F2"/>
            <w:vAlign w:val="center"/>
            <w:hideMark/>
          </w:tcPr>
          <w:p w14:paraId="4F35D362" w14:textId="374C2C12" w:rsidR="00BA502D" w:rsidRPr="00AB01C9" w:rsidRDefault="00BA502D" w:rsidP="000B15A6">
            <w:pPr>
              <w:pStyle w:val="NoSpacing"/>
              <w:jc w:val="left"/>
              <w:rPr>
                <w:rFonts w:ascii="Palatino Linotype" w:hAnsi="Palatino Linotype"/>
                <w:sz w:val="20"/>
                <w:szCs w:val="20"/>
              </w:rPr>
            </w:pPr>
            <w:r w:rsidRPr="00AB01C9">
              <w:rPr>
                <w:rFonts w:ascii="Palatino Linotype" w:hAnsi="Palatino Linotype"/>
                <w:sz w:val="20"/>
                <w:szCs w:val="20"/>
              </w:rPr>
              <w:t>Third generation cephalosporin /β-lactamase combination</w:t>
            </w:r>
          </w:p>
        </w:tc>
        <w:tc>
          <w:tcPr>
            <w:tcW w:w="992" w:type="dxa"/>
            <w:vAlign w:val="center"/>
          </w:tcPr>
          <w:p w14:paraId="5EFB3084" w14:textId="37D6ED0E" w:rsidR="00BA502D" w:rsidRPr="00AB01C9"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iCs/>
                <w:sz w:val="20"/>
                <w:szCs w:val="20"/>
              </w:rPr>
            </w:pPr>
          </w:p>
        </w:tc>
        <w:tc>
          <w:tcPr>
            <w:tcW w:w="992" w:type="dxa"/>
            <w:vAlign w:val="center"/>
          </w:tcPr>
          <w:p w14:paraId="65811097" w14:textId="1F02572C" w:rsidR="00BA502D" w:rsidRPr="00AB01C9"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iCs/>
                <w:sz w:val="20"/>
                <w:szCs w:val="20"/>
              </w:rPr>
            </w:pPr>
          </w:p>
        </w:tc>
      </w:tr>
      <w:tr w:rsidR="00BA502D" w:rsidRPr="008D241D" w14:paraId="71F0C530" w14:textId="352376E6" w:rsidTr="00BA502D">
        <w:trPr>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2B5CC603" w14:textId="582C8C6A" w:rsidR="00BA502D" w:rsidRPr="00BA502D" w:rsidRDefault="00BA502D" w:rsidP="000B15A6">
            <w:pPr>
              <w:pStyle w:val="NoSpacing"/>
              <w:jc w:val="left"/>
              <w:rPr>
                <w:rFonts w:ascii="Palatino Linotype" w:hAnsi="Palatino Linotype"/>
                <w:i w:val="0"/>
                <w:iCs w:val="0"/>
                <w:color w:val="000000" w:themeColor="text1"/>
                <w:sz w:val="20"/>
                <w:szCs w:val="20"/>
              </w:rPr>
            </w:pPr>
            <w:proofErr w:type="spellStart"/>
            <w:r w:rsidRPr="00BA502D">
              <w:rPr>
                <w:rFonts w:ascii="Palatino Linotype" w:hAnsi="Palatino Linotype"/>
                <w:i w:val="0"/>
                <w:iCs w:val="0"/>
                <w:color w:val="000000" w:themeColor="text1"/>
                <w:sz w:val="20"/>
                <w:szCs w:val="20"/>
              </w:rPr>
              <w:t>Cefoperazone</w:t>
            </w:r>
            <w:proofErr w:type="spellEnd"/>
            <w:r w:rsidRPr="00BA502D">
              <w:rPr>
                <w:rFonts w:ascii="Palatino Linotype" w:hAnsi="Palatino Linotype"/>
                <w:i w:val="0"/>
                <w:iCs w:val="0"/>
                <w:color w:val="000000" w:themeColor="text1"/>
                <w:sz w:val="20"/>
                <w:szCs w:val="20"/>
              </w:rPr>
              <w:t>/Sulbactam (IV)</w:t>
            </w:r>
          </w:p>
        </w:tc>
        <w:tc>
          <w:tcPr>
            <w:tcW w:w="516" w:type="dxa"/>
            <w:shd w:val="clear" w:color="auto" w:fill="FFFFFF" w:themeFill="background1"/>
            <w:vAlign w:val="center"/>
            <w:hideMark/>
          </w:tcPr>
          <w:p w14:paraId="21252953"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34</w:t>
            </w:r>
          </w:p>
        </w:tc>
        <w:tc>
          <w:tcPr>
            <w:tcW w:w="1060" w:type="dxa"/>
            <w:shd w:val="clear" w:color="auto" w:fill="FFFFFF" w:themeFill="background1"/>
            <w:vAlign w:val="center"/>
            <w:hideMark/>
          </w:tcPr>
          <w:p w14:paraId="29AF0C87"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38.2</w:t>
            </w:r>
          </w:p>
        </w:tc>
        <w:tc>
          <w:tcPr>
            <w:tcW w:w="516" w:type="dxa"/>
            <w:shd w:val="clear" w:color="auto" w:fill="FFFFFF" w:themeFill="background1"/>
            <w:vAlign w:val="center"/>
            <w:hideMark/>
          </w:tcPr>
          <w:p w14:paraId="3B805370"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7</w:t>
            </w:r>
          </w:p>
        </w:tc>
        <w:tc>
          <w:tcPr>
            <w:tcW w:w="1044" w:type="dxa"/>
            <w:shd w:val="clear" w:color="auto" w:fill="FFFFFF" w:themeFill="background1"/>
            <w:vAlign w:val="center"/>
            <w:hideMark/>
          </w:tcPr>
          <w:p w14:paraId="450DB299"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36.8</w:t>
            </w:r>
          </w:p>
        </w:tc>
        <w:tc>
          <w:tcPr>
            <w:tcW w:w="992" w:type="dxa"/>
            <w:shd w:val="clear" w:color="auto" w:fill="FFFFFF" w:themeFill="background1"/>
            <w:vAlign w:val="center"/>
            <w:hideMark/>
          </w:tcPr>
          <w:p w14:paraId="3989794A"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41</w:t>
            </w:r>
          </w:p>
        </w:tc>
        <w:tc>
          <w:tcPr>
            <w:tcW w:w="992" w:type="dxa"/>
            <w:shd w:val="clear" w:color="auto" w:fill="FFFFFF" w:themeFill="background1"/>
            <w:vAlign w:val="center"/>
            <w:hideMark/>
          </w:tcPr>
          <w:p w14:paraId="69FEE053"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38.0</w:t>
            </w:r>
          </w:p>
        </w:tc>
      </w:tr>
      <w:tr w:rsidR="00BA502D" w:rsidRPr="008D241D" w14:paraId="5D4C15E6" w14:textId="6E2BF6B2"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F2F2F2" w:themeFill="background1" w:themeFillShade="F2"/>
            <w:vAlign w:val="center"/>
            <w:hideMark/>
          </w:tcPr>
          <w:p w14:paraId="3CC9B800" w14:textId="4013AA2E" w:rsidR="00BA502D" w:rsidRPr="00BA502D" w:rsidRDefault="00BA502D" w:rsidP="000B15A6">
            <w:pPr>
              <w:pStyle w:val="NoSpacing"/>
              <w:jc w:val="left"/>
              <w:rPr>
                <w:rFonts w:ascii="Palatino Linotype" w:hAnsi="Palatino Linotype"/>
                <w:color w:val="000000" w:themeColor="text1"/>
                <w:sz w:val="20"/>
                <w:szCs w:val="20"/>
              </w:rPr>
            </w:pPr>
            <w:r w:rsidRPr="00BA502D">
              <w:rPr>
                <w:rFonts w:ascii="Palatino Linotype" w:hAnsi="Palatino Linotype"/>
                <w:color w:val="000000" w:themeColor="text1"/>
                <w:sz w:val="20"/>
                <w:szCs w:val="20"/>
              </w:rPr>
              <w:t>Third generation cephalosporins</w:t>
            </w:r>
          </w:p>
        </w:tc>
        <w:tc>
          <w:tcPr>
            <w:tcW w:w="992" w:type="dxa"/>
            <w:vAlign w:val="center"/>
          </w:tcPr>
          <w:p w14:paraId="21A4B1B1" w14:textId="67EB9668" w:rsidR="00BA502D" w:rsidRPr="00BA502D"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iCs/>
                <w:color w:val="000000" w:themeColor="text1"/>
                <w:sz w:val="20"/>
                <w:szCs w:val="20"/>
              </w:rPr>
            </w:pPr>
          </w:p>
        </w:tc>
        <w:tc>
          <w:tcPr>
            <w:tcW w:w="992" w:type="dxa"/>
            <w:vAlign w:val="center"/>
          </w:tcPr>
          <w:p w14:paraId="46419709" w14:textId="3F88387B" w:rsidR="00BA502D" w:rsidRPr="00BA502D"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iCs/>
                <w:color w:val="000000" w:themeColor="text1"/>
                <w:sz w:val="20"/>
                <w:szCs w:val="20"/>
              </w:rPr>
            </w:pPr>
          </w:p>
        </w:tc>
      </w:tr>
      <w:tr w:rsidR="00BA502D" w:rsidRPr="008D241D" w14:paraId="78409F01" w14:textId="5742666F" w:rsidTr="00BA502D">
        <w:trPr>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4AF10C65" w14:textId="4D748139" w:rsidR="00BA502D" w:rsidRPr="00BA502D" w:rsidRDefault="00BA502D" w:rsidP="000B15A6">
            <w:pPr>
              <w:pStyle w:val="NoSpacing"/>
              <w:jc w:val="left"/>
              <w:rPr>
                <w:rFonts w:ascii="Palatino Linotype" w:hAnsi="Palatino Linotype"/>
                <w:i w:val="0"/>
                <w:iCs w:val="0"/>
                <w:color w:val="000000" w:themeColor="text1"/>
                <w:sz w:val="20"/>
                <w:szCs w:val="20"/>
              </w:rPr>
            </w:pPr>
            <w:r w:rsidRPr="00BA502D">
              <w:rPr>
                <w:rFonts w:ascii="Palatino Linotype" w:hAnsi="Palatino Linotype"/>
                <w:i w:val="0"/>
                <w:iCs w:val="0"/>
                <w:color w:val="000000" w:themeColor="text1"/>
                <w:sz w:val="20"/>
                <w:szCs w:val="20"/>
              </w:rPr>
              <w:t>Cefotaxime (IV)</w:t>
            </w:r>
          </w:p>
        </w:tc>
        <w:tc>
          <w:tcPr>
            <w:tcW w:w="516" w:type="dxa"/>
            <w:shd w:val="clear" w:color="auto" w:fill="FFFFFF" w:themeFill="background1"/>
            <w:vAlign w:val="center"/>
            <w:hideMark/>
          </w:tcPr>
          <w:p w14:paraId="1C75517D"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18</w:t>
            </w:r>
          </w:p>
        </w:tc>
        <w:tc>
          <w:tcPr>
            <w:tcW w:w="1060" w:type="dxa"/>
            <w:shd w:val="clear" w:color="auto" w:fill="FFFFFF" w:themeFill="background1"/>
            <w:vAlign w:val="center"/>
            <w:hideMark/>
          </w:tcPr>
          <w:p w14:paraId="5BC3F73C"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20.2</w:t>
            </w:r>
          </w:p>
        </w:tc>
        <w:tc>
          <w:tcPr>
            <w:tcW w:w="516" w:type="dxa"/>
            <w:shd w:val="clear" w:color="auto" w:fill="FFFFFF" w:themeFill="background1"/>
            <w:vAlign w:val="center"/>
            <w:hideMark/>
          </w:tcPr>
          <w:p w14:paraId="07F095F0"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3</w:t>
            </w:r>
          </w:p>
        </w:tc>
        <w:tc>
          <w:tcPr>
            <w:tcW w:w="1044" w:type="dxa"/>
            <w:shd w:val="clear" w:color="auto" w:fill="FFFFFF" w:themeFill="background1"/>
            <w:vAlign w:val="center"/>
            <w:hideMark/>
          </w:tcPr>
          <w:p w14:paraId="33B4C333"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15.8</w:t>
            </w:r>
          </w:p>
        </w:tc>
        <w:tc>
          <w:tcPr>
            <w:tcW w:w="992" w:type="dxa"/>
            <w:shd w:val="clear" w:color="auto" w:fill="FFFFFF" w:themeFill="background1"/>
            <w:vAlign w:val="center"/>
            <w:hideMark/>
          </w:tcPr>
          <w:p w14:paraId="38B1390B"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21</w:t>
            </w:r>
          </w:p>
        </w:tc>
        <w:tc>
          <w:tcPr>
            <w:tcW w:w="992" w:type="dxa"/>
            <w:shd w:val="clear" w:color="auto" w:fill="FFFFFF" w:themeFill="background1"/>
            <w:vAlign w:val="center"/>
            <w:hideMark/>
          </w:tcPr>
          <w:p w14:paraId="01E639B6" w14:textId="77777777" w:rsidR="00BA502D" w:rsidRPr="00BA502D"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BA502D">
              <w:rPr>
                <w:rFonts w:ascii="Palatino Linotype" w:hAnsi="Palatino Linotype"/>
                <w:color w:val="000000" w:themeColor="text1"/>
                <w:sz w:val="20"/>
                <w:szCs w:val="20"/>
              </w:rPr>
              <w:t>19.4</w:t>
            </w:r>
          </w:p>
        </w:tc>
      </w:tr>
      <w:tr w:rsidR="00BA502D" w:rsidRPr="008D241D" w14:paraId="62EA1F6C" w14:textId="79FFC3A4"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6220E9CA" w14:textId="098E51BC"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Cefotiam (I</w:t>
            </w:r>
            <w:r>
              <w:rPr>
                <w:rFonts w:ascii="Palatino Linotype" w:hAnsi="Palatino Linotype"/>
                <w:i w:val="0"/>
                <w:iCs w:val="0"/>
                <w:sz w:val="20"/>
                <w:szCs w:val="20"/>
              </w:rPr>
              <w:t>V</w:t>
            </w:r>
            <w:r w:rsidRPr="00FE13CE">
              <w:rPr>
                <w:rFonts w:ascii="Palatino Linotype" w:hAnsi="Palatino Linotype"/>
                <w:i w:val="0"/>
                <w:iCs w:val="0"/>
                <w:sz w:val="20"/>
                <w:szCs w:val="20"/>
              </w:rPr>
              <w:t>)</w:t>
            </w:r>
          </w:p>
        </w:tc>
        <w:tc>
          <w:tcPr>
            <w:tcW w:w="516" w:type="dxa"/>
            <w:shd w:val="clear" w:color="auto" w:fill="FFFFFF" w:themeFill="background1"/>
            <w:vAlign w:val="center"/>
            <w:hideMark/>
          </w:tcPr>
          <w:p w14:paraId="23B5E80A"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3</w:t>
            </w:r>
          </w:p>
        </w:tc>
        <w:tc>
          <w:tcPr>
            <w:tcW w:w="1060" w:type="dxa"/>
            <w:shd w:val="clear" w:color="auto" w:fill="FFFFFF" w:themeFill="background1"/>
            <w:vAlign w:val="center"/>
            <w:hideMark/>
          </w:tcPr>
          <w:p w14:paraId="14939290"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3.4</w:t>
            </w:r>
          </w:p>
        </w:tc>
        <w:tc>
          <w:tcPr>
            <w:tcW w:w="516" w:type="dxa"/>
            <w:shd w:val="clear" w:color="auto" w:fill="FFFFFF" w:themeFill="background1"/>
            <w:vAlign w:val="center"/>
            <w:hideMark/>
          </w:tcPr>
          <w:p w14:paraId="7C6A6A5D"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1044" w:type="dxa"/>
            <w:shd w:val="clear" w:color="auto" w:fill="FFFFFF" w:themeFill="background1"/>
            <w:vAlign w:val="center"/>
            <w:hideMark/>
          </w:tcPr>
          <w:p w14:paraId="197F59A3"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5.3</w:t>
            </w:r>
          </w:p>
        </w:tc>
        <w:tc>
          <w:tcPr>
            <w:tcW w:w="992" w:type="dxa"/>
            <w:shd w:val="clear" w:color="auto" w:fill="FFFFFF" w:themeFill="background1"/>
            <w:vAlign w:val="center"/>
            <w:hideMark/>
          </w:tcPr>
          <w:p w14:paraId="459E92C3"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4</w:t>
            </w:r>
          </w:p>
        </w:tc>
        <w:tc>
          <w:tcPr>
            <w:tcW w:w="992" w:type="dxa"/>
            <w:shd w:val="clear" w:color="auto" w:fill="FFFFFF" w:themeFill="background1"/>
            <w:vAlign w:val="center"/>
            <w:hideMark/>
          </w:tcPr>
          <w:p w14:paraId="6F7126CB"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3.7</w:t>
            </w:r>
          </w:p>
        </w:tc>
      </w:tr>
      <w:tr w:rsidR="00BA502D" w:rsidRPr="008D241D" w14:paraId="5F9C7093" w14:textId="2184D935" w:rsidTr="00BA502D">
        <w:trPr>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4AC45ECE" w14:textId="0BC7B82F"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Ceftizoxim</w:t>
            </w:r>
            <w:r>
              <w:rPr>
                <w:rFonts w:ascii="Palatino Linotype" w:hAnsi="Palatino Linotype"/>
                <w:i w:val="0"/>
                <w:iCs w:val="0"/>
                <w:sz w:val="20"/>
                <w:szCs w:val="20"/>
              </w:rPr>
              <w:t>e</w:t>
            </w:r>
            <w:r w:rsidRPr="00FE13CE">
              <w:rPr>
                <w:rFonts w:ascii="Palatino Linotype" w:hAnsi="Palatino Linotype"/>
                <w:i w:val="0"/>
                <w:iCs w:val="0"/>
                <w:sz w:val="20"/>
                <w:szCs w:val="20"/>
              </w:rPr>
              <w:t xml:space="preserve"> (I</w:t>
            </w:r>
            <w:r>
              <w:rPr>
                <w:rFonts w:ascii="Palatino Linotype" w:hAnsi="Palatino Linotype"/>
                <w:i w:val="0"/>
                <w:iCs w:val="0"/>
                <w:sz w:val="20"/>
                <w:szCs w:val="20"/>
              </w:rPr>
              <w:t>V</w:t>
            </w:r>
            <w:r w:rsidRPr="00FE13CE">
              <w:rPr>
                <w:rFonts w:ascii="Palatino Linotype" w:hAnsi="Palatino Linotype"/>
                <w:i w:val="0"/>
                <w:iCs w:val="0"/>
                <w:sz w:val="20"/>
                <w:szCs w:val="20"/>
              </w:rPr>
              <w:t>)</w:t>
            </w:r>
          </w:p>
        </w:tc>
        <w:tc>
          <w:tcPr>
            <w:tcW w:w="516" w:type="dxa"/>
            <w:shd w:val="clear" w:color="auto" w:fill="FFFFFF" w:themeFill="background1"/>
            <w:vAlign w:val="center"/>
            <w:hideMark/>
          </w:tcPr>
          <w:p w14:paraId="6A75E63E"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5</w:t>
            </w:r>
          </w:p>
        </w:tc>
        <w:tc>
          <w:tcPr>
            <w:tcW w:w="1060" w:type="dxa"/>
            <w:shd w:val="clear" w:color="auto" w:fill="FFFFFF" w:themeFill="background1"/>
            <w:vAlign w:val="center"/>
            <w:hideMark/>
          </w:tcPr>
          <w:p w14:paraId="480EB775"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5.6</w:t>
            </w:r>
          </w:p>
        </w:tc>
        <w:tc>
          <w:tcPr>
            <w:tcW w:w="516" w:type="dxa"/>
            <w:shd w:val="clear" w:color="auto" w:fill="FFFFFF" w:themeFill="background1"/>
            <w:vAlign w:val="center"/>
            <w:hideMark/>
          </w:tcPr>
          <w:p w14:paraId="77A0E2A9"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44" w:type="dxa"/>
            <w:shd w:val="clear" w:color="auto" w:fill="FFFFFF" w:themeFill="background1"/>
            <w:vAlign w:val="center"/>
            <w:hideMark/>
          </w:tcPr>
          <w:p w14:paraId="72246175"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992" w:type="dxa"/>
            <w:shd w:val="clear" w:color="auto" w:fill="FFFFFF" w:themeFill="background1"/>
            <w:vAlign w:val="center"/>
            <w:hideMark/>
          </w:tcPr>
          <w:p w14:paraId="78BBAD47"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5</w:t>
            </w:r>
          </w:p>
        </w:tc>
        <w:tc>
          <w:tcPr>
            <w:tcW w:w="992" w:type="dxa"/>
            <w:shd w:val="clear" w:color="auto" w:fill="FFFFFF" w:themeFill="background1"/>
            <w:vAlign w:val="center"/>
            <w:hideMark/>
          </w:tcPr>
          <w:p w14:paraId="52F36CA9"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4.6</w:t>
            </w:r>
          </w:p>
        </w:tc>
      </w:tr>
      <w:tr w:rsidR="00BA502D" w:rsidRPr="008D241D" w14:paraId="0C6FCED9" w14:textId="5007DB25"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F2F2F2" w:themeFill="background1" w:themeFillShade="F2"/>
            <w:vAlign w:val="center"/>
            <w:hideMark/>
          </w:tcPr>
          <w:p w14:paraId="0F97A7CC" w14:textId="0A17702F"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Macrolide</w:t>
            </w:r>
            <w:r>
              <w:rPr>
                <w:rFonts w:ascii="Palatino Linotype" w:hAnsi="Palatino Linotype"/>
                <w:i w:val="0"/>
                <w:iCs w:val="0"/>
                <w:sz w:val="20"/>
                <w:szCs w:val="20"/>
              </w:rPr>
              <w:t>s</w:t>
            </w:r>
          </w:p>
        </w:tc>
        <w:tc>
          <w:tcPr>
            <w:tcW w:w="992" w:type="dxa"/>
            <w:vAlign w:val="center"/>
          </w:tcPr>
          <w:p w14:paraId="480D0245"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992" w:type="dxa"/>
            <w:vAlign w:val="center"/>
          </w:tcPr>
          <w:p w14:paraId="361CDDA5"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0.9</w:t>
            </w:r>
          </w:p>
        </w:tc>
      </w:tr>
      <w:tr w:rsidR="00BA502D" w:rsidRPr="008D241D" w14:paraId="6C02B816" w14:textId="366A0B17" w:rsidTr="00BA502D">
        <w:trPr>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385F0E62" w14:textId="77777777"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Clarithromycin (O)</w:t>
            </w:r>
          </w:p>
        </w:tc>
        <w:tc>
          <w:tcPr>
            <w:tcW w:w="516" w:type="dxa"/>
            <w:shd w:val="clear" w:color="auto" w:fill="FFFFFF" w:themeFill="background1"/>
            <w:vAlign w:val="center"/>
            <w:hideMark/>
          </w:tcPr>
          <w:p w14:paraId="31B79E3E"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1060" w:type="dxa"/>
            <w:shd w:val="clear" w:color="auto" w:fill="FFFFFF" w:themeFill="background1"/>
            <w:vAlign w:val="center"/>
            <w:hideMark/>
          </w:tcPr>
          <w:p w14:paraId="6C3E85CA"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1.1</w:t>
            </w:r>
          </w:p>
        </w:tc>
        <w:tc>
          <w:tcPr>
            <w:tcW w:w="516" w:type="dxa"/>
            <w:shd w:val="clear" w:color="auto" w:fill="FFFFFF" w:themeFill="background1"/>
            <w:vAlign w:val="center"/>
            <w:hideMark/>
          </w:tcPr>
          <w:p w14:paraId="359F8B59"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44" w:type="dxa"/>
            <w:shd w:val="clear" w:color="auto" w:fill="FFFFFF" w:themeFill="background1"/>
            <w:vAlign w:val="center"/>
            <w:hideMark/>
          </w:tcPr>
          <w:p w14:paraId="44B19DA3"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992" w:type="dxa"/>
            <w:shd w:val="clear" w:color="auto" w:fill="FFFFFF" w:themeFill="background1"/>
            <w:vAlign w:val="center"/>
            <w:hideMark/>
          </w:tcPr>
          <w:p w14:paraId="6CF95AEB"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992" w:type="dxa"/>
            <w:shd w:val="clear" w:color="auto" w:fill="FFFFFF" w:themeFill="background1"/>
            <w:vAlign w:val="center"/>
            <w:hideMark/>
          </w:tcPr>
          <w:p w14:paraId="3521C802"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0.9</w:t>
            </w:r>
          </w:p>
        </w:tc>
      </w:tr>
      <w:tr w:rsidR="00BA502D" w:rsidRPr="007F6CEB" w14:paraId="100FE951" w14:textId="13D78CC5" w:rsidTr="00BA502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85" w:type="dxa"/>
            <w:shd w:val="clear" w:color="auto" w:fill="E7E6E6" w:themeFill="background2"/>
            <w:vAlign w:val="center"/>
            <w:hideMark/>
          </w:tcPr>
          <w:p w14:paraId="3F5D0925" w14:textId="590CDDB2" w:rsidR="00BA502D" w:rsidRPr="007F6CEB" w:rsidRDefault="00BA502D" w:rsidP="000B15A6">
            <w:pPr>
              <w:pStyle w:val="NoSpacing"/>
              <w:jc w:val="left"/>
              <w:rPr>
                <w:rFonts w:ascii="Palatino Linotype" w:hAnsi="Palatino Linotype"/>
                <w:b/>
                <w:bCs/>
                <w:sz w:val="20"/>
                <w:szCs w:val="20"/>
              </w:rPr>
            </w:pPr>
            <w:r w:rsidRPr="007F6CEB">
              <w:rPr>
                <w:rFonts w:ascii="Palatino Linotype" w:hAnsi="Palatino Linotype"/>
                <w:b/>
                <w:bCs/>
                <w:sz w:val="20"/>
                <w:szCs w:val="20"/>
              </w:rPr>
              <w:t>Combination regimens</w:t>
            </w:r>
          </w:p>
        </w:tc>
        <w:tc>
          <w:tcPr>
            <w:tcW w:w="516" w:type="dxa"/>
            <w:shd w:val="clear" w:color="auto" w:fill="E7E6E6" w:themeFill="background2"/>
            <w:vAlign w:val="center"/>
            <w:hideMark/>
          </w:tcPr>
          <w:p w14:paraId="6F34B2AB" w14:textId="77777777" w:rsidR="00BA502D" w:rsidRPr="007F6CEB"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22</w:t>
            </w:r>
          </w:p>
        </w:tc>
        <w:tc>
          <w:tcPr>
            <w:tcW w:w="1060" w:type="dxa"/>
            <w:shd w:val="clear" w:color="auto" w:fill="E7E6E6" w:themeFill="background2"/>
            <w:vAlign w:val="center"/>
            <w:hideMark/>
          </w:tcPr>
          <w:p w14:paraId="53B74F58" w14:textId="77777777" w:rsidR="00BA502D" w:rsidRPr="007F6CEB"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24.7</w:t>
            </w:r>
          </w:p>
        </w:tc>
        <w:tc>
          <w:tcPr>
            <w:tcW w:w="516" w:type="dxa"/>
            <w:shd w:val="clear" w:color="auto" w:fill="E7E6E6" w:themeFill="background2"/>
            <w:vAlign w:val="center"/>
            <w:hideMark/>
          </w:tcPr>
          <w:p w14:paraId="3A6BBB4F" w14:textId="77777777" w:rsidR="00BA502D" w:rsidRPr="007F6CEB"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6</w:t>
            </w:r>
          </w:p>
        </w:tc>
        <w:tc>
          <w:tcPr>
            <w:tcW w:w="1044" w:type="dxa"/>
            <w:shd w:val="clear" w:color="auto" w:fill="E7E6E6" w:themeFill="background2"/>
            <w:vAlign w:val="center"/>
            <w:hideMark/>
          </w:tcPr>
          <w:p w14:paraId="51FDA575" w14:textId="77777777" w:rsidR="00BA502D" w:rsidRPr="007F6CEB"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31.6</w:t>
            </w:r>
          </w:p>
        </w:tc>
        <w:tc>
          <w:tcPr>
            <w:tcW w:w="992" w:type="dxa"/>
            <w:shd w:val="clear" w:color="auto" w:fill="E7E6E6" w:themeFill="background2"/>
            <w:vAlign w:val="center"/>
            <w:hideMark/>
          </w:tcPr>
          <w:p w14:paraId="0AC15897" w14:textId="77777777" w:rsidR="00BA502D" w:rsidRPr="007F6CEB"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28</w:t>
            </w:r>
          </w:p>
        </w:tc>
        <w:tc>
          <w:tcPr>
            <w:tcW w:w="992" w:type="dxa"/>
            <w:shd w:val="clear" w:color="auto" w:fill="E7E6E6" w:themeFill="background2"/>
            <w:vAlign w:val="center"/>
            <w:hideMark/>
          </w:tcPr>
          <w:p w14:paraId="36705F97" w14:textId="77777777" w:rsidR="00BA502D" w:rsidRPr="007F6CEB"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i/>
                <w:iCs/>
                <w:sz w:val="20"/>
                <w:szCs w:val="20"/>
              </w:rPr>
            </w:pPr>
            <w:r w:rsidRPr="007F6CEB">
              <w:rPr>
                <w:rFonts w:ascii="Palatino Linotype" w:hAnsi="Palatino Linotype"/>
                <w:b/>
                <w:bCs/>
                <w:i/>
                <w:iCs/>
                <w:sz w:val="20"/>
                <w:szCs w:val="20"/>
              </w:rPr>
              <w:t>25.9</w:t>
            </w:r>
          </w:p>
        </w:tc>
      </w:tr>
      <w:tr w:rsidR="00BA502D" w:rsidRPr="008D241D" w14:paraId="60D036A6" w14:textId="6A00C6D2" w:rsidTr="00BA502D">
        <w:trPr>
          <w:trHeight w:val="300"/>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F2F2F2" w:themeFill="background1" w:themeFillShade="F2"/>
            <w:vAlign w:val="center"/>
            <w:hideMark/>
          </w:tcPr>
          <w:p w14:paraId="4D768A83" w14:textId="43DE01CD" w:rsidR="00BA502D" w:rsidRPr="00AB01C9" w:rsidRDefault="00BA502D" w:rsidP="000B15A6">
            <w:pPr>
              <w:pStyle w:val="NoSpacing"/>
              <w:jc w:val="left"/>
              <w:rPr>
                <w:rFonts w:ascii="Palatino Linotype" w:hAnsi="Palatino Linotype"/>
                <w:sz w:val="20"/>
                <w:szCs w:val="20"/>
              </w:rPr>
            </w:pPr>
            <w:r w:rsidRPr="00AB01C9">
              <w:rPr>
                <w:rFonts w:ascii="Palatino Linotype" w:hAnsi="Palatino Linotype"/>
                <w:sz w:val="20"/>
                <w:szCs w:val="20"/>
              </w:rPr>
              <w:t>Third generation cephalosporins/inhibitor β-lactamase + Aminoglycoside</w:t>
            </w:r>
          </w:p>
        </w:tc>
        <w:tc>
          <w:tcPr>
            <w:tcW w:w="992" w:type="dxa"/>
            <w:shd w:val="clear" w:color="auto" w:fill="F2F2F2" w:themeFill="background1" w:themeFillShade="F2"/>
            <w:vAlign w:val="center"/>
          </w:tcPr>
          <w:p w14:paraId="57ACA55F" w14:textId="40D822A4" w:rsidR="00BA502D" w:rsidRPr="00AB01C9"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iCs/>
                <w:sz w:val="20"/>
                <w:szCs w:val="20"/>
              </w:rPr>
            </w:pPr>
          </w:p>
        </w:tc>
        <w:tc>
          <w:tcPr>
            <w:tcW w:w="992" w:type="dxa"/>
            <w:shd w:val="clear" w:color="auto" w:fill="F2F2F2" w:themeFill="background1" w:themeFillShade="F2"/>
            <w:vAlign w:val="center"/>
          </w:tcPr>
          <w:p w14:paraId="155108ED" w14:textId="29691F07" w:rsidR="00BA502D" w:rsidRPr="00AB01C9"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iCs/>
                <w:sz w:val="20"/>
                <w:szCs w:val="20"/>
              </w:rPr>
            </w:pPr>
          </w:p>
        </w:tc>
      </w:tr>
      <w:tr w:rsidR="00BA502D" w:rsidRPr="008D241D" w14:paraId="0272219C" w14:textId="161278CD"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2ECD743E" w14:textId="7B24B1F9" w:rsidR="00BA502D" w:rsidRPr="00FE13CE" w:rsidRDefault="00BA502D" w:rsidP="000B15A6">
            <w:pPr>
              <w:pStyle w:val="NoSpacing"/>
              <w:jc w:val="left"/>
              <w:rPr>
                <w:rFonts w:ascii="Palatino Linotype" w:hAnsi="Palatino Linotype"/>
                <w:i w:val="0"/>
                <w:iCs w:val="0"/>
                <w:sz w:val="20"/>
                <w:szCs w:val="20"/>
              </w:rPr>
            </w:pPr>
            <w:proofErr w:type="spellStart"/>
            <w:r w:rsidRPr="00FE13CE">
              <w:rPr>
                <w:rFonts w:ascii="Palatino Linotype" w:hAnsi="Palatino Linotype"/>
                <w:i w:val="0"/>
                <w:iCs w:val="0"/>
                <w:sz w:val="20"/>
                <w:szCs w:val="20"/>
              </w:rPr>
              <w:t>Cefoperazo</w:t>
            </w:r>
            <w:r>
              <w:rPr>
                <w:rFonts w:ascii="Palatino Linotype" w:hAnsi="Palatino Linotype"/>
                <w:i w:val="0"/>
                <w:iCs w:val="0"/>
                <w:sz w:val="20"/>
                <w:szCs w:val="20"/>
              </w:rPr>
              <w:t>ne</w:t>
            </w:r>
            <w:proofErr w:type="spellEnd"/>
            <w:r w:rsidRPr="00FE13CE">
              <w:rPr>
                <w:rFonts w:ascii="Palatino Linotype" w:hAnsi="Palatino Linotype"/>
                <w:i w:val="0"/>
                <w:iCs w:val="0"/>
                <w:sz w:val="20"/>
                <w:szCs w:val="20"/>
              </w:rPr>
              <w:t>/Sulbactam</w:t>
            </w:r>
            <w:r>
              <w:rPr>
                <w:rFonts w:ascii="Palatino Linotype" w:hAnsi="Palatino Linotype"/>
                <w:i w:val="0"/>
                <w:iCs w:val="0"/>
                <w:sz w:val="20"/>
                <w:szCs w:val="20"/>
              </w:rPr>
              <w:t xml:space="preserve"> </w:t>
            </w:r>
            <w:r w:rsidRPr="00FE13CE">
              <w:rPr>
                <w:rFonts w:ascii="Palatino Linotype" w:hAnsi="Palatino Linotype"/>
                <w:i w:val="0"/>
                <w:iCs w:val="0"/>
                <w:sz w:val="20"/>
                <w:szCs w:val="20"/>
              </w:rPr>
              <w:t>(I</w:t>
            </w:r>
            <w:r>
              <w:rPr>
                <w:rFonts w:ascii="Palatino Linotype" w:hAnsi="Palatino Linotype"/>
                <w:i w:val="0"/>
                <w:iCs w:val="0"/>
                <w:sz w:val="20"/>
                <w:szCs w:val="20"/>
              </w:rPr>
              <w:t>V</w:t>
            </w:r>
            <w:r w:rsidRPr="00FE13CE">
              <w:rPr>
                <w:rFonts w:ascii="Palatino Linotype" w:hAnsi="Palatino Linotype"/>
                <w:i w:val="0"/>
                <w:iCs w:val="0"/>
                <w:sz w:val="20"/>
                <w:szCs w:val="20"/>
              </w:rPr>
              <w:t>) + Amikacin</w:t>
            </w:r>
            <w:r>
              <w:rPr>
                <w:rFonts w:ascii="Palatino Linotype" w:hAnsi="Palatino Linotype"/>
                <w:i w:val="0"/>
                <w:iCs w:val="0"/>
                <w:sz w:val="20"/>
                <w:szCs w:val="20"/>
              </w:rPr>
              <w:t xml:space="preserve"> </w:t>
            </w:r>
            <w:r w:rsidRPr="00FE13CE">
              <w:rPr>
                <w:rFonts w:ascii="Palatino Linotype" w:hAnsi="Palatino Linotype"/>
                <w:i w:val="0"/>
                <w:iCs w:val="0"/>
                <w:sz w:val="20"/>
                <w:szCs w:val="20"/>
              </w:rPr>
              <w:t>(I</w:t>
            </w:r>
            <w:r>
              <w:rPr>
                <w:rFonts w:ascii="Palatino Linotype" w:hAnsi="Palatino Linotype"/>
                <w:i w:val="0"/>
                <w:iCs w:val="0"/>
                <w:sz w:val="20"/>
                <w:szCs w:val="20"/>
              </w:rPr>
              <w:t>V</w:t>
            </w:r>
            <w:r w:rsidRPr="00FE13CE">
              <w:rPr>
                <w:rFonts w:ascii="Palatino Linotype" w:hAnsi="Palatino Linotype"/>
                <w:i w:val="0"/>
                <w:iCs w:val="0"/>
                <w:sz w:val="20"/>
                <w:szCs w:val="20"/>
              </w:rPr>
              <w:t>)</w:t>
            </w:r>
          </w:p>
        </w:tc>
        <w:tc>
          <w:tcPr>
            <w:tcW w:w="516" w:type="dxa"/>
            <w:shd w:val="clear" w:color="auto" w:fill="FFFFFF" w:themeFill="background1"/>
            <w:vAlign w:val="center"/>
            <w:hideMark/>
          </w:tcPr>
          <w:p w14:paraId="1AF1449E"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5</w:t>
            </w:r>
          </w:p>
        </w:tc>
        <w:tc>
          <w:tcPr>
            <w:tcW w:w="1060" w:type="dxa"/>
            <w:shd w:val="clear" w:color="auto" w:fill="FFFFFF" w:themeFill="background1"/>
            <w:vAlign w:val="center"/>
            <w:hideMark/>
          </w:tcPr>
          <w:p w14:paraId="34E22FED"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5.6</w:t>
            </w:r>
          </w:p>
        </w:tc>
        <w:tc>
          <w:tcPr>
            <w:tcW w:w="516" w:type="dxa"/>
            <w:shd w:val="clear" w:color="auto" w:fill="FFFFFF" w:themeFill="background1"/>
            <w:vAlign w:val="center"/>
            <w:hideMark/>
          </w:tcPr>
          <w:p w14:paraId="6455585C"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2</w:t>
            </w:r>
          </w:p>
        </w:tc>
        <w:tc>
          <w:tcPr>
            <w:tcW w:w="1044" w:type="dxa"/>
            <w:shd w:val="clear" w:color="auto" w:fill="FFFFFF" w:themeFill="background1"/>
            <w:vAlign w:val="center"/>
            <w:hideMark/>
          </w:tcPr>
          <w:p w14:paraId="392BA347"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10.5</w:t>
            </w:r>
          </w:p>
        </w:tc>
        <w:tc>
          <w:tcPr>
            <w:tcW w:w="992" w:type="dxa"/>
            <w:shd w:val="clear" w:color="auto" w:fill="FFFFFF" w:themeFill="background1"/>
            <w:vAlign w:val="center"/>
            <w:hideMark/>
          </w:tcPr>
          <w:p w14:paraId="5A23BD2C"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7</w:t>
            </w:r>
          </w:p>
        </w:tc>
        <w:tc>
          <w:tcPr>
            <w:tcW w:w="992" w:type="dxa"/>
            <w:shd w:val="clear" w:color="auto" w:fill="FFFFFF" w:themeFill="background1"/>
            <w:vAlign w:val="center"/>
            <w:hideMark/>
          </w:tcPr>
          <w:p w14:paraId="281D2DC8"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6.5</w:t>
            </w:r>
          </w:p>
        </w:tc>
      </w:tr>
      <w:tr w:rsidR="00BA502D" w:rsidRPr="008D241D" w14:paraId="3EED55F9" w14:textId="6ABD9546" w:rsidTr="00BA502D">
        <w:trPr>
          <w:trHeight w:val="300"/>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F2F2F2" w:themeFill="background1" w:themeFillShade="F2"/>
            <w:vAlign w:val="center"/>
            <w:hideMark/>
          </w:tcPr>
          <w:p w14:paraId="6F8009E1" w14:textId="767E760F" w:rsidR="00BA502D" w:rsidRPr="00AB01C9" w:rsidRDefault="00BA502D" w:rsidP="000B15A6">
            <w:pPr>
              <w:pStyle w:val="NoSpacing"/>
              <w:jc w:val="left"/>
              <w:rPr>
                <w:rFonts w:ascii="Palatino Linotype" w:hAnsi="Palatino Linotype"/>
                <w:sz w:val="20"/>
                <w:szCs w:val="20"/>
              </w:rPr>
            </w:pPr>
            <w:r w:rsidRPr="00AB01C9">
              <w:rPr>
                <w:rFonts w:ascii="Palatino Linotype" w:hAnsi="Palatino Linotype"/>
                <w:sz w:val="20"/>
                <w:szCs w:val="20"/>
              </w:rPr>
              <w:t>Third generation cephalosporins/inhibitor β-lactamase + Macrolides</w:t>
            </w:r>
          </w:p>
        </w:tc>
        <w:tc>
          <w:tcPr>
            <w:tcW w:w="992" w:type="dxa"/>
            <w:shd w:val="clear" w:color="auto" w:fill="F2F2F2" w:themeFill="background1" w:themeFillShade="F2"/>
            <w:vAlign w:val="center"/>
          </w:tcPr>
          <w:p w14:paraId="1E07DD07" w14:textId="4228CE7F" w:rsidR="00BA502D" w:rsidRPr="00AB01C9"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iCs/>
                <w:sz w:val="20"/>
                <w:szCs w:val="20"/>
              </w:rPr>
            </w:pPr>
          </w:p>
        </w:tc>
        <w:tc>
          <w:tcPr>
            <w:tcW w:w="992" w:type="dxa"/>
            <w:shd w:val="clear" w:color="auto" w:fill="F2F2F2" w:themeFill="background1" w:themeFillShade="F2"/>
            <w:vAlign w:val="center"/>
          </w:tcPr>
          <w:p w14:paraId="2EB70952" w14:textId="05AC6845" w:rsidR="00BA502D" w:rsidRPr="00AB01C9"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iCs/>
                <w:sz w:val="20"/>
                <w:szCs w:val="20"/>
              </w:rPr>
            </w:pPr>
          </w:p>
        </w:tc>
      </w:tr>
      <w:tr w:rsidR="00BA502D" w:rsidRPr="008D241D" w14:paraId="04DFBD64" w14:textId="5FA383B2"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3207FA5D" w14:textId="46DFFF6F" w:rsidR="00BA502D" w:rsidRPr="00FE13CE" w:rsidRDefault="00BA502D" w:rsidP="000B15A6">
            <w:pPr>
              <w:pStyle w:val="NoSpacing"/>
              <w:jc w:val="left"/>
              <w:rPr>
                <w:rFonts w:ascii="Palatino Linotype" w:hAnsi="Palatino Linotype"/>
                <w:i w:val="0"/>
                <w:iCs w:val="0"/>
                <w:sz w:val="20"/>
                <w:szCs w:val="20"/>
              </w:rPr>
            </w:pPr>
            <w:proofErr w:type="spellStart"/>
            <w:r w:rsidRPr="00FE13CE">
              <w:rPr>
                <w:rFonts w:ascii="Palatino Linotype" w:hAnsi="Palatino Linotype"/>
                <w:i w:val="0"/>
                <w:iCs w:val="0"/>
                <w:sz w:val="20"/>
                <w:szCs w:val="20"/>
              </w:rPr>
              <w:t>Cefoperazo</w:t>
            </w:r>
            <w:r>
              <w:rPr>
                <w:rFonts w:ascii="Palatino Linotype" w:hAnsi="Palatino Linotype"/>
                <w:i w:val="0"/>
                <w:iCs w:val="0"/>
                <w:sz w:val="20"/>
                <w:szCs w:val="20"/>
              </w:rPr>
              <w:t>ne</w:t>
            </w:r>
            <w:proofErr w:type="spellEnd"/>
            <w:r w:rsidRPr="00FE13CE">
              <w:rPr>
                <w:rFonts w:ascii="Palatino Linotype" w:hAnsi="Palatino Linotype"/>
                <w:i w:val="0"/>
                <w:iCs w:val="0"/>
                <w:sz w:val="20"/>
                <w:szCs w:val="20"/>
              </w:rPr>
              <w:t>/</w:t>
            </w:r>
            <w:r>
              <w:rPr>
                <w:rFonts w:ascii="Palatino Linotype" w:hAnsi="Palatino Linotype"/>
                <w:i w:val="0"/>
                <w:iCs w:val="0"/>
                <w:sz w:val="20"/>
                <w:szCs w:val="20"/>
              </w:rPr>
              <w:t xml:space="preserve"> </w:t>
            </w:r>
            <w:r w:rsidRPr="00FE13CE">
              <w:rPr>
                <w:rFonts w:ascii="Palatino Linotype" w:hAnsi="Palatino Linotype"/>
                <w:i w:val="0"/>
                <w:iCs w:val="0"/>
                <w:sz w:val="20"/>
                <w:szCs w:val="20"/>
              </w:rPr>
              <w:t>Sulbactam</w:t>
            </w:r>
            <w:r>
              <w:rPr>
                <w:rFonts w:ascii="Palatino Linotype" w:hAnsi="Palatino Linotype"/>
                <w:i w:val="0"/>
                <w:iCs w:val="0"/>
                <w:sz w:val="20"/>
                <w:szCs w:val="20"/>
              </w:rPr>
              <w:t xml:space="preserve"> </w:t>
            </w:r>
            <w:r w:rsidRPr="00FE13CE">
              <w:rPr>
                <w:rFonts w:ascii="Palatino Linotype" w:hAnsi="Palatino Linotype"/>
                <w:i w:val="0"/>
                <w:iCs w:val="0"/>
                <w:sz w:val="20"/>
                <w:szCs w:val="20"/>
              </w:rPr>
              <w:t>(I</w:t>
            </w:r>
            <w:r>
              <w:rPr>
                <w:rFonts w:ascii="Palatino Linotype" w:hAnsi="Palatino Linotype"/>
                <w:i w:val="0"/>
                <w:iCs w:val="0"/>
                <w:sz w:val="20"/>
                <w:szCs w:val="20"/>
              </w:rPr>
              <w:t>V</w:t>
            </w:r>
            <w:r w:rsidRPr="00FE13CE">
              <w:rPr>
                <w:rFonts w:ascii="Palatino Linotype" w:hAnsi="Palatino Linotype"/>
                <w:i w:val="0"/>
                <w:iCs w:val="0"/>
                <w:sz w:val="20"/>
                <w:szCs w:val="20"/>
              </w:rPr>
              <w:t>)</w:t>
            </w:r>
            <w:r>
              <w:rPr>
                <w:rFonts w:ascii="Palatino Linotype" w:hAnsi="Palatino Linotype"/>
                <w:i w:val="0"/>
                <w:iCs w:val="0"/>
                <w:sz w:val="20"/>
                <w:szCs w:val="20"/>
              </w:rPr>
              <w:t xml:space="preserve"> </w:t>
            </w:r>
            <w:r w:rsidRPr="00FE13CE">
              <w:rPr>
                <w:rFonts w:ascii="Palatino Linotype" w:hAnsi="Palatino Linotype"/>
                <w:i w:val="0"/>
                <w:iCs w:val="0"/>
                <w:sz w:val="20"/>
                <w:szCs w:val="20"/>
              </w:rPr>
              <w:t>+</w:t>
            </w:r>
            <w:r>
              <w:rPr>
                <w:rFonts w:ascii="Palatino Linotype" w:hAnsi="Palatino Linotype"/>
                <w:i w:val="0"/>
                <w:iCs w:val="0"/>
                <w:sz w:val="20"/>
                <w:szCs w:val="20"/>
              </w:rPr>
              <w:t xml:space="preserve"> </w:t>
            </w:r>
            <w:r w:rsidRPr="00FE13CE">
              <w:rPr>
                <w:rFonts w:ascii="Palatino Linotype" w:hAnsi="Palatino Linotype"/>
                <w:i w:val="0"/>
                <w:iCs w:val="0"/>
                <w:sz w:val="20"/>
                <w:szCs w:val="20"/>
              </w:rPr>
              <w:t>Azithromycin</w:t>
            </w:r>
            <w:r>
              <w:rPr>
                <w:rFonts w:ascii="Palatino Linotype" w:hAnsi="Palatino Linotype"/>
                <w:i w:val="0"/>
                <w:iCs w:val="0"/>
                <w:sz w:val="20"/>
                <w:szCs w:val="20"/>
              </w:rPr>
              <w:t xml:space="preserve"> </w:t>
            </w:r>
            <w:r w:rsidRPr="00FE13CE">
              <w:rPr>
                <w:rFonts w:ascii="Palatino Linotype" w:hAnsi="Palatino Linotype"/>
                <w:i w:val="0"/>
                <w:iCs w:val="0"/>
                <w:sz w:val="20"/>
                <w:szCs w:val="20"/>
              </w:rPr>
              <w:t>(O)</w:t>
            </w:r>
          </w:p>
        </w:tc>
        <w:tc>
          <w:tcPr>
            <w:tcW w:w="516" w:type="dxa"/>
            <w:shd w:val="clear" w:color="auto" w:fill="FFFFFF" w:themeFill="background1"/>
            <w:vAlign w:val="center"/>
            <w:hideMark/>
          </w:tcPr>
          <w:p w14:paraId="771C9181"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1060" w:type="dxa"/>
            <w:shd w:val="clear" w:color="auto" w:fill="FFFFFF" w:themeFill="background1"/>
            <w:vAlign w:val="center"/>
            <w:hideMark/>
          </w:tcPr>
          <w:p w14:paraId="1E070C42"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1.1</w:t>
            </w:r>
          </w:p>
        </w:tc>
        <w:tc>
          <w:tcPr>
            <w:tcW w:w="516" w:type="dxa"/>
            <w:shd w:val="clear" w:color="auto" w:fill="FFFFFF" w:themeFill="background1"/>
            <w:vAlign w:val="center"/>
            <w:hideMark/>
          </w:tcPr>
          <w:p w14:paraId="0F6E0656"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1044" w:type="dxa"/>
            <w:shd w:val="clear" w:color="auto" w:fill="FFFFFF" w:themeFill="background1"/>
            <w:vAlign w:val="center"/>
            <w:hideMark/>
          </w:tcPr>
          <w:p w14:paraId="0AF5DA3A"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5.3</w:t>
            </w:r>
          </w:p>
        </w:tc>
        <w:tc>
          <w:tcPr>
            <w:tcW w:w="992" w:type="dxa"/>
            <w:shd w:val="clear" w:color="auto" w:fill="FFFFFF" w:themeFill="background1"/>
            <w:vAlign w:val="center"/>
            <w:hideMark/>
          </w:tcPr>
          <w:p w14:paraId="14C19367"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2</w:t>
            </w:r>
          </w:p>
        </w:tc>
        <w:tc>
          <w:tcPr>
            <w:tcW w:w="992" w:type="dxa"/>
            <w:shd w:val="clear" w:color="auto" w:fill="FFFFFF" w:themeFill="background1"/>
            <w:vAlign w:val="center"/>
            <w:hideMark/>
          </w:tcPr>
          <w:p w14:paraId="61408FF6"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1.9</w:t>
            </w:r>
          </w:p>
        </w:tc>
      </w:tr>
      <w:tr w:rsidR="00BA502D" w:rsidRPr="008D241D" w14:paraId="2AA45401" w14:textId="641C5CA7" w:rsidTr="00BA502D">
        <w:trPr>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167163D2" w14:textId="0FBB80F7" w:rsidR="00BA502D" w:rsidRPr="00FE13CE" w:rsidRDefault="00BA502D" w:rsidP="000B15A6">
            <w:pPr>
              <w:pStyle w:val="NoSpacing"/>
              <w:jc w:val="left"/>
              <w:rPr>
                <w:rFonts w:ascii="Palatino Linotype" w:hAnsi="Palatino Linotype"/>
                <w:i w:val="0"/>
                <w:iCs w:val="0"/>
                <w:sz w:val="20"/>
                <w:szCs w:val="20"/>
              </w:rPr>
            </w:pPr>
            <w:proofErr w:type="spellStart"/>
            <w:r w:rsidRPr="00FE13CE">
              <w:rPr>
                <w:rFonts w:ascii="Palatino Linotype" w:hAnsi="Palatino Linotype"/>
                <w:i w:val="0"/>
                <w:iCs w:val="0"/>
                <w:sz w:val="20"/>
                <w:szCs w:val="20"/>
              </w:rPr>
              <w:t>Cefoperazo</w:t>
            </w:r>
            <w:r>
              <w:rPr>
                <w:rFonts w:ascii="Palatino Linotype" w:hAnsi="Palatino Linotype"/>
                <w:i w:val="0"/>
                <w:iCs w:val="0"/>
                <w:sz w:val="20"/>
                <w:szCs w:val="20"/>
              </w:rPr>
              <w:t>ne</w:t>
            </w:r>
            <w:proofErr w:type="spellEnd"/>
            <w:r w:rsidRPr="00FE13CE">
              <w:rPr>
                <w:rFonts w:ascii="Palatino Linotype" w:hAnsi="Palatino Linotype"/>
                <w:i w:val="0"/>
                <w:iCs w:val="0"/>
                <w:sz w:val="20"/>
                <w:szCs w:val="20"/>
              </w:rPr>
              <w:t>/</w:t>
            </w:r>
            <w:r>
              <w:rPr>
                <w:rFonts w:ascii="Palatino Linotype" w:hAnsi="Palatino Linotype"/>
                <w:i w:val="0"/>
                <w:iCs w:val="0"/>
                <w:sz w:val="20"/>
                <w:szCs w:val="20"/>
              </w:rPr>
              <w:t xml:space="preserve"> </w:t>
            </w:r>
            <w:r w:rsidRPr="00FE13CE">
              <w:rPr>
                <w:rFonts w:ascii="Palatino Linotype" w:hAnsi="Palatino Linotype"/>
                <w:i w:val="0"/>
                <w:iCs w:val="0"/>
                <w:sz w:val="20"/>
                <w:szCs w:val="20"/>
              </w:rPr>
              <w:t>Sulbactam</w:t>
            </w:r>
            <w:r>
              <w:rPr>
                <w:rFonts w:ascii="Palatino Linotype" w:hAnsi="Palatino Linotype"/>
                <w:i w:val="0"/>
                <w:iCs w:val="0"/>
                <w:sz w:val="20"/>
                <w:szCs w:val="20"/>
              </w:rPr>
              <w:t xml:space="preserve"> </w:t>
            </w:r>
            <w:r w:rsidRPr="00FE13CE">
              <w:rPr>
                <w:rFonts w:ascii="Palatino Linotype" w:hAnsi="Palatino Linotype"/>
                <w:i w:val="0"/>
                <w:iCs w:val="0"/>
                <w:sz w:val="20"/>
                <w:szCs w:val="20"/>
              </w:rPr>
              <w:t>(I</w:t>
            </w:r>
            <w:r>
              <w:rPr>
                <w:rFonts w:ascii="Palatino Linotype" w:hAnsi="Palatino Linotype"/>
                <w:i w:val="0"/>
                <w:iCs w:val="0"/>
                <w:sz w:val="20"/>
                <w:szCs w:val="20"/>
              </w:rPr>
              <w:t>V</w:t>
            </w:r>
            <w:r w:rsidRPr="00FE13CE">
              <w:rPr>
                <w:rFonts w:ascii="Palatino Linotype" w:hAnsi="Palatino Linotype"/>
                <w:i w:val="0"/>
                <w:iCs w:val="0"/>
                <w:sz w:val="20"/>
                <w:szCs w:val="20"/>
              </w:rPr>
              <w:t>)+Clarithromycin</w:t>
            </w:r>
            <w:r>
              <w:rPr>
                <w:rFonts w:ascii="Palatino Linotype" w:hAnsi="Palatino Linotype"/>
                <w:i w:val="0"/>
                <w:iCs w:val="0"/>
                <w:sz w:val="20"/>
                <w:szCs w:val="20"/>
              </w:rPr>
              <w:t xml:space="preserve"> </w:t>
            </w:r>
            <w:r w:rsidRPr="00FE13CE">
              <w:rPr>
                <w:rFonts w:ascii="Palatino Linotype" w:hAnsi="Palatino Linotype"/>
                <w:i w:val="0"/>
                <w:iCs w:val="0"/>
                <w:sz w:val="20"/>
                <w:szCs w:val="20"/>
              </w:rPr>
              <w:t>(O)</w:t>
            </w:r>
          </w:p>
        </w:tc>
        <w:tc>
          <w:tcPr>
            <w:tcW w:w="516" w:type="dxa"/>
            <w:shd w:val="clear" w:color="auto" w:fill="FFFFFF" w:themeFill="background1"/>
            <w:vAlign w:val="center"/>
            <w:hideMark/>
          </w:tcPr>
          <w:p w14:paraId="170F3580"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1060" w:type="dxa"/>
            <w:shd w:val="clear" w:color="auto" w:fill="FFFFFF" w:themeFill="background1"/>
            <w:vAlign w:val="center"/>
            <w:hideMark/>
          </w:tcPr>
          <w:p w14:paraId="3D842A8B"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1.1</w:t>
            </w:r>
          </w:p>
        </w:tc>
        <w:tc>
          <w:tcPr>
            <w:tcW w:w="516" w:type="dxa"/>
            <w:shd w:val="clear" w:color="auto" w:fill="FFFFFF" w:themeFill="background1"/>
            <w:vAlign w:val="center"/>
            <w:hideMark/>
          </w:tcPr>
          <w:p w14:paraId="1260F56F"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44" w:type="dxa"/>
            <w:shd w:val="clear" w:color="auto" w:fill="FFFFFF" w:themeFill="background1"/>
            <w:vAlign w:val="center"/>
            <w:hideMark/>
          </w:tcPr>
          <w:p w14:paraId="2CB45C1F"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992" w:type="dxa"/>
            <w:shd w:val="clear" w:color="auto" w:fill="FFFFFF" w:themeFill="background1"/>
            <w:vAlign w:val="center"/>
            <w:hideMark/>
          </w:tcPr>
          <w:p w14:paraId="1E3EDEF7"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992" w:type="dxa"/>
            <w:shd w:val="clear" w:color="auto" w:fill="FFFFFF" w:themeFill="background1"/>
            <w:vAlign w:val="center"/>
            <w:hideMark/>
          </w:tcPr>
          <w:p w14:paraId="6CFC6B11"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0.9</w:t>
            </w:r>
          </w:p>
        </w:tc>
      </w:tr>
      <w:tr w:rsidR="00BA502D" w:rsidRPr="008D241D" w14:paraId="3BAF94B5" w14:textId="471354B9"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F2F2F2" w:themeFill="background1" w:themeFillShade="F2"/>
            <w:vAlign w:val="center"/>
            <w:hideMark/>
          </w:tcPr>
          <w:p w14:paraId="7D376255" w14:textId="6E0091B2" w:rsidR="00BA502D" w:rsidRPr="00AB01C9" w:rsidRDefault="00BA502D" w:rsidP="000B15A6">
            <w:pPr>
              <w:pStyle w:val="NoSpacing"/>
              <w:jc w:val="left"/>
              <w:rPr>
                <w:rFonts w:ascii="Palatino Linotype" w:hAnsi="Palatino Linotype"/>
                <w:sz w:val="20"/>
                <w:szCs w:val="20"/>
              </w:rPr>
            </w:pPr>
            <w:r w:rsidRPr="00AB01C9">
              <w:rPr>
                <w:rFonts w:ascii="Palatino Linotype" w:hAnsi="Palatino Linotype"/>
                <w:sz w:val="20"/>
                <w:szCs w:val="20"/>
              </w:rPr>
              <w:t>Third generation cephalosporins + Aminoglycosides</w:t>
            </w:r>
          </w:p>
        </w:tc>
        <w:tc>
          <w:tcPr>
            <w:tcW w:w="992" w:type="dxa"/>
            <w:vAlign w:val="center"/>
          </w:tcPr>
          <w:p w14:paraId="50C44B04" w14:textId="6C58AB7F" w:rsidR="00BA502D" w:rsidRPr="00AB01C9"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iCs/>
                <w:sz w:val="20"/>
                <w:szCs w:val="20"/>
              </w:rPr>
            </w:pPr>
          </w:p>
        </w:tc>
        <w:tc>
          <w:tcPr>
            <w:tcW w:w="992" w:type="dxa"/>
            <w:vAlign w:val="center"/>
          </w:tcPr>
          <w:p w14:paraId="157EC746" w14:textId="1A0C7E5E" w:rsidR="00BA502D" w:rsidRPr="00AB01C9"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iCs/>
                <w:sz w:val="20"/>
                <w:szCs w:val="20"/>
              </w:rPr>
            </w:pPr>
          </w:p>
        </w:tc>
      </w:tr>
      <w:tr w:rsidR="00BA502D" w:rsidRPr="008D241D" w14:paraId="33B8907D" w14:textId="3F2229C5" w:rsidTr="00BA502D">
        <w:trPr>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59E8BA25" w14:textId="66BD078F" w:rsidR="00BA502D" w:rsidRPr="00FE13CE" w:rsidRDefault="00BA502D" w:rsidP="000B15A6">
            <w:pPr>
              <w:pStyle w:val="NoSpacing"/>
              <w:jc w:val="left"/>
              <w:rPr>
                <w:rFonts w:ascii="Palatino Linotype" w:hAnsi="Palatino Linotype"/>
                <w:i w:val="0"/>
                <w:iCs w:val="0"/>
                <w:sz w:val="20"/>
                <w:szCs w:val="20"/>
              </w:rPr>
            </w:pPr>
            <w:proofErr w:type="spellStart"/>
            <w:r w:rsidRPr="00FE13CE">
              <w:rPr>
                <w:rFonts w:ascii="Palatino Linotype" w:hAnsi="Palatino Linotype"/>
                <w:i w:val="0"/>
                <w:iCs w:val="0"/>
                <w:sz w:val="20"/>
                <w:szCs w:val="20"/>
              </w:rPr>
              <w:t>Cefotaxim</w:t>
            </w:r>
            <w:r>
              <w:rPr>
                <w:rFonts w:ascii="Palatino Linotype" w:hAnsi="Palatino Linotype"/>
                <w:i w:val="0"/>
                <w:iCs w:val="0"/>
                <w:sz w:val="20"/>
                <w:szCs w:val="20"/>
              </w:rPr>
              <w:t>s</w:t>
            </w:r>
            <w:proofErr w:type="spellEnd"/>
            <w:r w:rsidRPr="00FE13CE">
              <w:rPr>
                <w:rFonts w:ascii="Palatino Linotype" w:hAnsi="Palatino Linotype"/>
                <w:i w:val="0"/>
                <w:iCs w:val="0"/>
                <w:sz w:val="20"/>
                <w:szCs w:val="20"/>
              </w:rPr>
              <w:t xml:space="preserve"> (I</w:t>
            </w:r>
            <w:r>
              <w:rPr>
                <w:rFonts w:ascii="Palatino Linotype" w:hAnsi="Palatino Linotype"/>
                <w:i w:val="0"/>
                <w:iCs w:val="0"/>
                <w:sz w:val="20"/>
                <w:szCs w:val="20"/>
              </w:rPr>
              <w:t>V</w:t>
            </w:r>
            <w:r w:rsidRPr="00FE13CE">
              <w:rPr>
                <w:rFonts w:ascii="Palatino Linotype" w:hAnsi="Palatino Linotype"/>
                <w:i w:val="0"/>
                <w:iCs w:val="0"/>
                <w:sz w:val="20"/>
                <w:szCs w:val="20"/>
              </w:rPr>
              <w:t>) + Gentamicin (I</w:t>
            </w:r>
            <w:r>
              <w:rPr>
                <w:rFonts w:ascii="Palatino Linotype" w:hAnsi="Palatino Linotype"/>
                <w:i w:val="0"/>
                <w:iCs w:val="0"/>
                <w:sz w:val="20"/>
                <w:szCs w:val="20"/>
              </w:rPr>
              <w:t>V</w:t>
            </w:r>
            <w:r w:rsidRPr="00FE13CE">
              <w:rPr>
                <w:rFonts w:ascii="Palatino Linotype" w:hAnsi="Palatino Linotype"/>
                <w:i w:val="0"/>
                <w:iCs w:val="0"/>
                <w:sz w:val="20"/>
                <w:szCs w:val="20"/>
              </w:rPr>
              <w:t>)</w:t>
            </w:r>
          </w:p>
        </w:tc>
        <w:tc>
          <w:tcPr>
            <w:tcW w:w="516" w:type="dxa"/>
            <w:shd w:val="clear" w:color="auto" w:fill="FFFFFF" w:themeFill="background1"/>
            <w:vAlign w:val="center"/>
            <w:hideMark/>
          </w:tcPr>
          <w:p w14:paraId="503A07D7"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3</w:t>
            </w:r>
          </w:p>
        </w:tc>
        <w:tc>
          <w:tcPr>
            <w:tcW w:w="1060" w:type="dxa"/>
            <w:shd w:val="clear" w:color="auto" w:fill="FFFFFF" w:themeFill="background1"/>
            <w:vAlign w:val="center"/>
            <w:hideMark/>
          </w:tcPr>
          <w:p w14:paraId="5D4B9A3F"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3.4</w:t>
            </w:r>
          </w:p>
        </w:tc>
        <w:tc>
          <w:tcPr>
            <w:tcW w:w="516" w:type="dxa"/>
            <w:shd w:val="clear" w:color="auto" w:fill="FFFFFF" w:themeFill="background1"/>
            <w:vAlign w:val="center"/>
            <w:hideMark/>
          </w:tcPr>
          <w:p w14:paraId="3869463E"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2</w:t>
            </w:r>
          </w:p>
        </w:tc>
        <w:tc>
          <w:tcPr>
            <w:tcW w:w="1044" w:type="dxa"/>
            <w:shd w:val="clear" w:color="auto" w:fill="FFFFFF" w:themeFill="background1"/>
            <w:vAlign w:val="center"/>
            <w:hideMark/>
          </w:tcPr>
          <w:p w14:paraId="39B88CD2"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10.5</w:t>
            </w:r>
          </w:p>
        </w:tc>
        <w:tc>
          <w:tcPr>
            <w:tcW w:w="992" w:type="dxa"/>
            <w:shd w:val="clear" w:color="auto" w:fill="FFFFFF" w:themeFill="background1"/>
            <w:vAlign w:val="center"/>
            <w:hideMark/>
          </w:tcPr>
          <w:p w14:paraId="77FF1506"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5</w:t>
            </w:r>
          </w:p>
        </w:tc>
        <w:tc>
          <w:tcPr>
            <w:tcW w:w="992" w:type="dxa"/>
            <w:shd w:val="clear" w:color="auto" w:fill="FFFFFF" w:themeFill="background1"/>
            <w:vAlign w:val="center"/>
            <w:hideMark/>
          </w:tcPr>
          <w:p w14:paraId="0FD684FD"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4.6</w:t>
            </w:r>
          </w:p>
        </w:tc>
      </w:tr>
      <w:tr w:rsidR="00BA502D" w:rsidRPr="008D241D" w14:paraId="7066C9E4" w14:textId="267E06C3"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4A8BD630" w14:textId="00E6483A"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Cefotaxim</w:t>
            </w:r>
            <w:r>
              <w:rPr>
                <w:rFonts w:ascii="Palatino Linotype" w:hAnsi="Palatino Linotype"/>
                <w:i w:val="0"/>
                <w:iCs w:val="0"/>
                <w:sz w:val="20"/>
                <w:szCs w:val="20"/>
              </w:rPr>
              <w:t>e</w:t>
            </w:r>
            <w:r w:rsidRPr="00FE13CE">
              <w:rPr>
                <w:rFonts w:ascii="Palatino Linotype" w:hAnsi="Palatino Linotype"/>
                <w:i w:val="0"/>
                <w:iCs w:val="0"/>
                <w:sz w:val="20"/>
                <w:szCs w:val="20"/>
              </w:rPr>
              <w:t xml:space="preserve"> (I</w:t>
            </w:r>
            <w:r>
              <w:rPr>
                <w:rFonts w:ascii="Palatino Linotype" w:hAnsi="Palatino Linotype"/>
                <w:i w:val="0"/>
                <w:iCs w:val="0"/>
                <w:sz w:val="20"/>
                <w:szCs w:val="20"/>
              </w:rPr>
              <w:t>V</w:t>
            </w:r>
            <w:r w:rsidRPr="00FE13CE">
              <w:rPr>
                <w:rFonts w:ascii="Palatino Linotype" w:hAnsi="Palatino Linotype"/>
                <w:i w:val="0"/>
                <w:iCs w:val="0"/>
                <w:sz w:val="20"/>
                <w:szCs w:val="20"/>
              </w:rPr>
              <w:t>) + Amikacin (I</w:t>
            </w:r>
            <w:r>
              <w:rPr>
                <w:rFonts w:ascii="Palatino Linotype" w:hAnsi="Palatino Linotype"/>
                <w:i w:val="0"/>
                <w:iCs w:val="0"/>
                <w:sz w:val="20"/>
                <w:szCs w:val="20"/>
              </w:rPr>
              <w:t>V</w:t>
            </w:r>
            <w:r w:rsidRPr="00FE13CE">
              <w:rPr>
                <w:rFonts w:ascii="Palatino Linotype" w:hAnsi="Palatino Linotype"/>
                <w:i w:val="0"/>
                <w:iCs w:val="0"/>
                <w:sz w:val="20"/>
                <w:szCs w:val="20"/>
              </w:rPr>
              <w:t>)</w:t>
            </w:r>
          </w:p>
        </w:tc>
        <w:tc>
          <w:tcPr>
            <w:tcW w:w="516" w:type="dxa"/>
            <w:shd w:val="clear" w:color="auto" w:fill="FFFFFF" w:themeFill="background1"/>
            <w:vAlign w:val="center"/>
            <w:hideMark/>
          </w:tcPr>
          <w:p w14:paraId="71A4D3EA"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1060" w:type="dxa"/>
            <w:shd w:val="clear" w:color="auto" w:fill="FFFFFF" w:themeFill="background1"/>
            <w:vAlign w:val="center"/>
            <w:hideMark/>
          </w:tcPr>
          <w:p w14:paraId="5B62A819"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1.1</w:t>
            </w:r>
          </w:p>
        </w:tc>
        <w:tc>
          <w:tcPr>
            <w:tcW w:w="516" w:type="dxa"/>
            <w:shd w:val="clear" w:color="auto" w:fill="FFFFFF" w:themeFill="background1"/>
            <w:vAlign w:val="center"/>
            <w:hideMark/>
          </w:tcPr>
          <w:p w14:paraId="72D7BD17"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44" w:type="dxa"/>
            <w:shd w:val="clear" w:color="auto" w:fill="FFFFFF" w:themeFill="background1"/>
            <w:vAlign w:val="center"/>
            <w:hideMark/>
          </w:tcPr>
          <w:p w14:paraId="597E1EC7"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992" w:type="dxa"/>
            <w:shd w:val="clear" w:color="auto" w:fill="FFFFFF" w:themeFill="background1"/>
            <w:vAlign w:val="center"/>
            <w:hideMark/>
          </w:tcPr>
          <w:p w14:paraId="566FA935"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992" w:type="dxa"/>
            <w:shd w:val="clear" w:color="auto" w:fill="FFFFFF" w:themeFill="background1"/>
            <w:vAlign w:val="center"/>
            <w:hideMark/>
          </w:tcPr>
          <w:p w14:paraId="14BB4C32"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0.9</w:t>
            </w:r>
          </w:p>
        </w:tc>
      </w:tr>
      <w:tr w:rsidR="00BA502D" w:rsidRPr="008D241D" w14:paraId="741396AC" w14:textId="7456F212" w:rsidTr="00BA502D">
        <w:trPr>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325C24B8" w14:textId="10D21039"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Ceftizoxim</w:t>
            </w:r>
            <w:r>
              <w:rPr>
                <w:rFonts w:ascii="Palatino Linotype" w:hAnsi="Palatino Linotype"/>
                <w:i w:val="0"/>
                <w:iCs w:val="0"/>
                <w:sz w:val="20"/>
                <w:szCs w:val="20"/>
              </w:rPr>
              <w:t>e</w:t>
            </w:r>
            <w:r w:rsidRPr="00FE13CE">
              <w:rPr>
                <w:rFonts w:ascii="Palatino Linotype" w:hAnsi="Palatino Linotype"/>
                <w:i w:val="0"/>
                <w:iCs w:val="0"/>
                <w:sz w:val="20"/>
                <w:szCs w:val="20"/>
              </w:rPr>
              <w:t xml:space="preserve"> (I</w:t>
            </w:r>
            <w:r>
              <w:rPr>
                <w:rFonts w:ascii="Palatino Linotype" w:hAnsi="Palatino Linotype"/>
                <w:i w:val="0"/>
                <w:iCs w:val="0"/>
                <w:sz w:val="20"/>
                <w:szCs w:val="20"/>
              </w:rPr>
              <w:t>V</w:t>
            </w:r>
            <w:r w:rsidRPr="00FE13CE">
              <w:rPr>
                <w:rFonts w:ascii="Palatino Linotype" w:hAnsi="Palatino Linotype"/>
                <w:i w:val="0"/>
                <w:iCs w:val="0"/>
                <w:sz w:val="20"/>
                <w:szCs w:val="20"/>
              </w:rPr>
              <w:t>) + Amikacin (I</w:t>
            </w:r>
            <w:r>
              <w:rPr>
                <w:rFonts w:ascii="Palatino Linotype" w:hAnsi="Palatino Linotype"/>
                <w:i w:val="0"/>
                <w:iCs w:val="0"/>
                <w:sz w:val="20"/>
                <w:szCs w:val="20"/>
              </w:rPr>
              <w:t>V</w:t>
            </w:r>
            <w:r w:rsidRPr="00FE13CE">
              <w:rPr>
                <w:rFonts w:ascii="Palatino Linotype" w:hAnsi="Palatino Linotype"/>
                <w:i w:val="0"/>
                <w:iCs w:val="0"/>
                <w:sz w:val="20"/>
                <w:szCs w:val="20"/>
              </w:rPr>
              <w:t>)</w:t>
            </w:r>
          </w:p>
        </w:tc>
        <w:tc>
          <w:tcPr>
            <w:tcW w:w="516" w:type="dxa"/>
            <w:shd w:val="clear" w:color="auto" w:fill="FFFFFF" w:themeFill="background1"/>
            <w:vAlign w:val="center"/>
            <w:hideMark/>
          </w:tcPr>
          <w:p w14:paraId="13F9681C"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3</w:t>
            </w:r>
          </w:p>
        </w:tc>
        <w:tc>
          <w:tcPr>
            <w:tcW w:w="1060" w:type="dxa"/>
            <w:shd w:val="clear" w:color="auto" w:fill="FFFFFF" w:themeFill="background1"/>
            <w:vAlign w:val="center"/>
            <w:hideMark/>
          </w:tcPr>
          <w:p w14:paraId="621BB5AA"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3.4</w:t>
            </w:r>
          </w:p>
        </w:tc>
        <w:tc>
          <w:tcPr>
            <w:tcW w:w="516" w:type="dxa"/>
            <w:shd w:val="clear" w:color="auto" w:fill="FFFFFF" w:themeFill="background1"/>
            <w:vAlign w:val="center"/>
            <w:hideMark/>
          </w:tcPr>
          <w:p w14:paraId="5C151D23"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44" w:type="dxa"/>
            <w:shd w:val="clear" w:color="auto" w:fill="FFFFFF" w:themeFill="background1"/>
            <w:vAlign w:val="center"/>
            <w:hideMark/>
          </w:tcPr>
          <w:p w14:paraId="310BB483"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992" w:type="dxa"/>
            <w:shd w:val="clear" w:color="auto" w:fill="FFFFFF" w:themeFill="background1"/>
            <w:vAlign w:val="center"/>
            <w:hideMark/>
          </w:tcPr>
          <w:p w14:paraId="2918D58A"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3</w:t>
            </w:r>
          </w:p>
        </w:tc>
        <w:tc>
          <w:tcPr>
            <w:tcW w:w="992" w:type="dxa"/>
            <w:shd w:val="clear" w:color="auto" w:fill="FFFFFF" w:themeFill="background1"/>
            <w:vAlign w:val="center"/>
            <w:hideMark/>
          </w:tcPr>
          <w:p w14:paraId="38C4E1B4"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2.8</w:t>
            </w:r>
          </w:p>
        </w:tc>
      </w:tr>
      <w:tr w:rsidR="00BA502D" w:rsidRPr="008D241D" w14:paraId="68C27424" w14:textId="5AE67A64"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2E882DFC" w14:textId="54467C9A"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Cefotiam (I</w:t>
            </w:r>
            <w:r>
              <w:rPr>
                <w:rFonts w:ascii="Palatino Linotype" w:hAnsi="Palatino Linotype"/>
                <w:i w:val="0"/>
                <w:iCs w:val="0"/>
                <w:sz w:val="20"/>
                <w:szCs w:val="20"/>
              </w:rPr>
              <w:t>V</w:t>
            </w:r>
            <w:r w:rsidRPr="00FE13CE">
              <w:rPr>
                <w:rFonts w:ascii="Palatino Linotype" w:hAnsi="Palatino Linotype"/>
                <w:i w:val="0"/>
                <w:iCs w:val="0"/>
                <w:sz w:val="20"/>
                <w:szCs w:val="20"/>
              </w:rPr>
              <w:t>) + Amikacin (I</w:t>
            </w:r>
            <w:r>
              <w:rPr>
                <w:rFonts w:ascii="Palatino Linotype" w:hAnsi="Palatino Linotype"/>
                <w:i w:val="0"/>
                <w:iCs w:val="0"/>
                <w:sz w:val="20"/>
                <w:szCs w:val="20"/>
              </w:rPr>
              <w:t>V</w:t>
            </w:r>
            <w:r w:rsidRPr="00FE13CE">
              <w:rPr>
                <w:rFonts w:ascii="Palatino Linotype" w:hAnsi="Palatino Linotype"/>
                <w:i w:val="0"/>
                <w:iCs w:val="0"/>
                <w:sz w:val="20"/>
                <w:szCs w:val="20"/>
              </w:rPr>
              <w:t>)</w:t>
            </w:r>
          </w:p>
        </w:tc>
        <w:tc>
          <w:tcPr>
            <w:tcW w:w="516" w:type="dxa"/>
            <w:shd w:val="clear" w:color="auto" w:fill="FFFFFF" w:themeFill="background1"/>
            <w:vAlign w:val="center"/>
            <w:hideMark/>
          </w:tcPr>
          <w:p w14:paraId="3958ECCC"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1060" w:type="dxa"/>
            <w:shd w:val="clear" w:color="auto" w:fill="FFFFFF" w:themeFill="background1"/>
            <w:vAlign w:val="center"/>
            <w:hideMark/>
          </w:tcPr>
          <w:p w14:paraId="23811631"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1.1</w:t>
            </w:r>
          </w:p>
        </w:tc>
        <w:tc>
          <w:tcPr>
            <w:tcW w:w="516" w:type="dxa"/>
            <w:shd w:val="clear" w:color="auto" w:fill="FFFFFF" w:themeFill="background1"/>
            <w:vAlign w:val="center"/>
            <w:hideMark/>
          </w:tcPr>
          <w:p w14:paraId="2A3D259A"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44" w:type="dxa"/>
            <w:shd w:val="clear" w:color="auto" w:fill="FFFFFF" w:themeFill="background1"/>
            <w:vAlign w:val="center"/>
            <w:hideMark/>
          </w:tcPr>
          <w:p w14:paraId="06D84995"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992" w:type="dxa"/>
            <w:shd w:val="clear" w:color="auto" w:fill="FFFFFF" w:themeFill="background1"/>
            <w:vAlign w:val="center"/>
            <w:hideMark/>
          </w:tcPr>
          <w:p w14:paraId="328B9B4B"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992" w:type="dxa"/>
            <w:shd w:val="clear" w:color="auto" w:fill="FFFFFF" w:themeFill="background1"/>
            <w:vAlign w:val="center"/>
            <w:hideMark/>
          </w:tcPr>
          <w:p w14:paraId="30D14EA2"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0.9</w:t>
            </w:r>
          </w:p>
        </w:tc>
      </w:tr>
      <w:tr w:rsidR="00BA502D" w:rsidRPr="008D241D" w14:paraId="4A1BD1A8" w14:textId="24015F87" w:rsidTr="00BA502D">
        <w:trPr>
          <w:trHeight w:val="300"/>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F2F2F2" w:themeFill="background1" w:themeFillShade="F2"/>
            <w:vAlign w:val="center"/>
            <w:hideMark/>
          </w:tcPr>
          <w:p w14:paraId="06EE7A60" w14:textId="0B79DC79" w:rsidR="00BA502D" w:rsidRPr="00AB01C9" w:rsidRDefault="00BA502D" w:rsidP="000B15A6">
            <w:pPr>
              <w:pStyle w:val="NoSpacing"/>
              <w:jc w:val="left"/>
              <w:rPr>
                <w:rFonts w:ascii="Palatino Linotype" w:hAnsi="Palatino Linotype"/>
                <w:sz w:val="20"/>
                <w:szCs w:val="20"/>
              </w:rPr>
            </w:pPr>
            <w:r w:rsidRPr="00AB01C9">
              <w:rPr>
                <w:rFonts w:ascii="Palatino Linotype" w:hAnsi="Palatino Linotype"/>
                <w:sz w:val="20"/>
                <w:szCs w:val="20"/>
              </w:rPr>
              <w:t>Third generation cephalosporins + Macrolides</w:t>
            </w:r>
          </w:p>
        </w:tc>
        <w:tc>
          <w:tcPr>
            <w:tcW w:w="992" w:type="dxa"/>
            <w:shd w:val="clear" w:color="auto" w:fill="F2F2F2" w:themeFill="background1" w:themeFillShade="F2"/>
            <w:vAlign w:val="center"/>
          </w:tcPr>
          <w:p w14:paraId="05D95A91" w14:textId="3AB3F711" w:rsidR="00BA502D" w:rsidRPr="00AB01C9"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iCs/>
                <w:sz w:val="20"/>
                <w:szCs w:val="20"/>
              </w:rPr>
            </w:pPr>
          </w:p>
        </w:tc>
        <w:tc>
          <w:tcPr>
            <w:tcW w:w="992" w:type="dxa"/>
            <w:shd w:val="clear" w:color="auto" w:fill="F2F2F2" w:themeFill="background1" w:themeFillShade="F2"/>
            <w:vAlign w:val="center"/>
          </w:tcPr>
          <w:p w14:paraId="7E742E29" w14:textId="2EC445BC" w:rsidR="00BA502D" w:rsidRPr="00AB01C9"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iCs/>
                <w:sz w:val="20"/>
                <w:szCs w:val="20"/>
              </w:rPr>
            </w:pPr>
          </w:p>
        </w:tc>
      </w:tr>
      <w:tr w:rsidR="00BA502D" w:rsidRPr="008D241D" w14:paraId="0A74399F" w14:textId="03DB1EE5"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2846F020" w14:textId="5D0BD67C"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Cefotaxim</w:t>
            </w:r>
            <w:r>
              <w:rPr>
                <w:rFonts w:ascii="Palatino Linotype" w:hAnsi="Palatino Linotype"/>
                <w:i w:val="0"/>
                <w:iCs w:val="0"/>
                <w:sz w:val="20"/>
                <w:szCs w:val="20"/>
              </w:rPr>
              <w:t>e</w:t>
            </w:r>
            <w:r w:rsidRPr="00FE13CE">
              <w:rPr>
                <w:rFonts w:ascii="Palatino Linotype" w:hAnsi="Palatino Linotype"/>
                <w:i w:val="0"/>
                <w:iCs w:val="0"/>
                <w:sz w:val="20"/>
                <w:szCs w:val="20"/>
              </w:rPr>
              <w:t xml:space="preserve"> (I</w:t>
            </w:r>
            <w:r>
              <w:rPr>
                <w:rFonts w:ascii="Palatino Linotype" w:hAnsi="Palatino Linotype"/>
                <w:i w:val="0"/>
                <w:iCs w:val="0"/>
                <w:sz w:val="20"/>
                <w:szCs w:val="20"/>
              </w:rPr>
              <w:t>V</w:t>
            </w:r>
            <w:r w:rsidRPr="00FE13CE">
              <w:rPr>
                <w:rFonts w:ascii="Palatino Linotype" w:hAnsi="Palatino Linotype"/>
                <w:i w:val="0"/>
                <w:iCs w:val="0"/>
                <w:sz w:val="20"/>
                <w:szCs w:val="20"/>
              </w:rPr>
              <w:t>) + Azithromycin (O)</w:t>
            </w:r>
          </w:p>
        </w:tc>
        <w:tc>
          <w:tcPr>
            <w:tcW w:w="516" w:type="dxa"/>
            <w:shd w:val="clear" w:color="auto" w:fill="FFFFFF" w:themeFill="background1"/>
            <w:vAlign w:val="center"/>
            <w:hideMark/>
          </w:tcPr>
          <w:p w14:paraId="4476CA26"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2</w:t>
            </w:r>
          </w:p>
        </w:tc>
        <w:tc>
          <w:tcPr>
            <w:tcW w:w="1060" w:type="dxa"/>
            <w:shd w:val="clear" w:color="auto" w:fill="FFFFFF" w:themeFill="background1"/>
            <w:vAlign w:val="center"/>
            <w:hideMark/>
          </w:tcPr>
          <w:p w14:paraId="1C35FB6F"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2.3</w:t>
            </w:r>
          </w:p>
        </w:tc>
        <w:tc>
          <w:tcPr>
            <w:tcW w:w="516" w:type="dxa"/>
            <w:shd w:val="clear" w:color="auto" w:fill="FFFFFF" w:themeFill="background1"/>
            <w:vAlign w:val="center"/>
            <w:hideMark/>
          </w:tcPr>
          <w:p w14:paraId="5DFB8CD1"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44" w:type="dxa"/>
            <w:shd w:val="clear" w:color="auto" w:fill="FFFFFF" w:themeFill="background1"/>
            <w:vAlign w:val="center"/>
            <w:hideMark/>
          </w:tcPr>
          <w:p w14:paraId="1656104F"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992" w:type="dxa"/>
            <w:shd w:val="clear" w:color="auto" w:fill="FFFFFF" w:themeFill="background1"/>
            <w:vAlign w:val="center"/>
            <w:hideMark/>
          </w:tcPr>
          <w:p w14:paraId="7EBC6D21"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2</w:t>
            </w:r>
          </w:p>
        </w:tc>
        <w:tc>
          <w:tcPr>
            <w:tcW w:w="992" w:type="dxa"/>
            <w:shd w:val="clear" w:color="auto" w:fill="FFFFFF" w:themeFill="background1"/>
            <w:vAlign w:val="center"/>
            <w:hideMark/>
          </w:tcPr>
          <w:p w14:paraId="1DB3814D"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1.9</w:t>
            </w:r>
          </w:p>
        </w:tc>
      </w:tr>
      <w:tr w:rsidR="00BA502D" w:rsidRPr="008D241D" w14:paraId="09DDAE6E" w14:textId="259E814D" w:rsidTr="00BA502D">
        <w:trPr>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27D349A7" w14:textId="2A304CA8"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Cefotiam (I</w:t>
            </w:r>
            <w:r>
              <w:rPr>
                <w:rFonts w:ascii="Palatino Linotype" w:hAnsi="Palatino Linotype"/>
                <w:i w:val="0"/>
                <w:iCs w:val="0"/>
                <w:sz w:val="20"/>
                <w:szCs w:val="20"/>
              </w:rPr>
              <w:t>V</w:t>
            </w:r>
            <w:r w:rsidRPr="00FE13CE">
              <w:rPr>
                <w:rFonts w:ascii="Palatino Linotype" w:hAnsi="Palatino Linotype"/>
                <w:i w:val="0"/>
                <w:iCs w:val="0"/>
                <w:sz w:val="20"/>
                <w:szCs w:val="20"/>
              </w:rPr>
              <w:t>) + Azithromycin (O)</w:t>
            </w:r>
          </w:p>
        </w:tc>
        <w:tc>
          <w:tcPr>
            <w:tcW w:w="516" w:type="dxa"/>
            <w:shd w:val="clear" w:color="auto" w:fill="FFFFFF" w:themeFill="background1"/>
            <w:vAlign w:val="center"/>
            <w:hideMark/>
          </w:tcPr>
          <w:p w14:paraId="6FBD4AAE"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1060" w:type="dxa"/>
            <w:shd w:val="clear" w:color="auto" w:fill="FFFFFF" w:themeFill="background1"/>
            <w:vAlign w:val="center"/>
            <w:hideMark/>
          </w:tcPr>
          <w:p w14:paraId="4BE6EC32"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1.1</w:t>
            </w:r>
          </w:p>
        </w:tc>
        <w:tc>
          <w:tcPr>
            <w:tcW w:w="516" w:type="dxa"/>
            <w:shd w:val="clear" w:color="auto" w:fill="FFFFFF" w:themeFill="background1"/>
            <w:vAlign w:val="center"/>
            <w:hideMark/>
          </w:tcPr>
          <w:p w14:paraId="75002515"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44" w:type="dxa"/>
            <w:shd w:val="clear" w:color="auto" w:fill="FFFFFF" w:themeFill="background1"/>
            <w:vAlign w:val="center"/>
            <w:hideMark/>
          </w:tcPr>
          <w:p w14:paraId="219B9E8D"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992" w:type="dxa"/>
            <w:shd w:val="clear" w:color="auto" w:fill="FFFFFF" w:themeFill="background1"/>
            <w:vAlign w:val="center"/>
            <w:hideMark/>
          </w:tcPr>
          <w:p w14:paraId="6A1E4DE1"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992" w:type="dxa"/>
            <w:shd w:val="clear" w:color="auto" w:fill="FFFFFF" w:themeFill="background1"/>
            <w:vAlign w:val="center"/>
            <w:hideMark/>
          </w:tcPr>
          <w:p w14:paraId="279E9598"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0.9</w:t>
            </w:r>
          </w:p>
        </w:tc>
      </w:tr>
      <w:tr w:rsidR="00BA502D" w:rsidRPr="008D241D" w14:paraId="176528B3" w14:textId="5D4535EF"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18796D02" w14:textId="19F99B4E"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Cefotaxim</w:t>
            </w:r>
            <w:r>
              <w:rPr>
                <w:rFonts w:ascii="Palatino Linotype" w:hAnsi="Palatino Linotype"/>
                <w:i w:val="0"/>
                <w:iCs w:val="0"/>
                <w:sz w:val="20"/>
                <w:szCs w:val="20"/>
              </w:rPr>
              <w:t>e</w:t>
            </w:r>
            <w:r w:rsidRPr="00FE13CE">
              <w:rPr>
                <w:rFonts w:ascii="Palatino Linotype" w:hAnsi="Palatino Linotype"/>
                <w:i w:val="0"/>
                <w:iCs w:val="0"/>
                <w:sz w:val="20"/>
                <w:szCs w:val="20"/>
              </w:rPr>
              <w:t xml:space="preserve"> (I</w:t>
            </w:r>
            <w:r>
              <w:rPr>
                <w:rFonts w:ascii="Palatino Linotype" w:hAnsi="Palatino Linotype"/>
                <w:i w:val="0"/>
                <w:iCs w:val="0"/>
                <w:sz w:val="20"/>
                <w:szCs w:val="20"/>
              </w:rPr>
              <w:t>V</w:t>
            </w:r>
            <w:r w:rsidRPr="00FE13CE">
              <w:rPr>
                <w:rFonts w:ascii="Palatino Linotype" w:hAnsi="Palatino Linotype"/>
                <w:i w:val="0"/>
                <w:iCs w:val="0"/>
                <w:sz w:val="20"/>
                <w:szCs w:val="20"/>
              </w:rPr>
              <w:t>) + Clarithromycin (O)</w:t>
            </w:r>
          </w:p>
        </w:tc>
        <w:tc>
          <w:tcPr>
            <w:tcW w:w="516" w:type="dxa"/>
            <w:shd w:val="clear" w:color="auto" w:fill="FFFFFF" w:themeFill="background1"/>
            <w:vAlign w:val="center"/>
            <w:hideMark/>
          </w:tcPr>
          <w:p w14:paraId="05579E4D"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2</w:t>
            </w:r>
          </w:p>
        </w:tc>
        <w:tc>
          <w:tcPr>
            <w:tcW w:w="1060" w:type="dxa"/>
            <w:shd w:val="clear" w:color="auto" w:fill="FFFFFF" w:themeFill="background1"/>
            <w:vAlign w:val="center"/>
            <w:hideMark/>
          </w:tcPr>
          <w:p w14:paraId="0D60A8C6" w14:textId="3B41BCBD"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2.</w:t>
            </w:r>
            <w:r>
              <w:rPr>
                <w:rFonts w:ascii="Palatino Linotype" w:hAnsi="Palatino Linotype"/>
                <w:sz w:val="20"/>
                <w:szCs w:val="20"/>
              </w:rPr>
              <w:t>3</w:t>
            </w:r>
          </w:p>
        </w:tc>
        <w:tc>
          <w:tcPr>
            <w:tcW w:w="516" w:type="dxa"/>
            <w:shd w:val="clear" w:color="auto" w:fill="FFFFFF" w:themeFill="background1"/>
            <w:vAlign w:val="center"/>
            <w:hideMark/>
          </w:tcPr>
          <w:p w14:paraId="50375B44"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44" w:type="dxa"/>
            <w:shd w:val="clear" w:color="auto" w:fill="FFFFFF" w:themeFill="background1"/>
            <w:vAlign w:val="center"/>
            <w:hideMark/>
          </w:tcPr>
          <w:p w14:paraId="76B52767"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992" w:type="dxa"/>
            <w:shd w:val="clear" w:color="auto" w:fill="FFFFFF" w:themeFill="background1"/>
            <w:vAlign w:val="center"/>
            <w:hideMark/>
          </w:tcPr>
          <w:p w14:paraId="1EB5833F"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2</w:t>
            </w:r>
          </w:p>
        </w:tc>
        <w:tc>
          <w:tcPr>
            <w:tcW w:w="992" w:type="dxa"/>
            <w:shd w:val="clear" w:color="auto" w:fill="FFFFFF" w:themeFill="background1"/>
            <w:vAlign w:val="center"/>
            <w:hideMark/>
          </w:tcPr>
          <w:p w14:paraId="3478BFDC"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1.9</w:t>
            </w:r>
          </w:p>
        </w:tc>
      </w:tr>
      <w:tr w:rsidR="00BA502D" w:rsidRPr="008D241D" w14:paraId="08E7647E" w14:textId="167028F0" w:rsidTr="00BA502D">
        <w:trPr>
          <w:trHeight w:val="300"/>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F2F2F2" w:themeFill="background1" w:themeFillShade="F2"/>
            <w:vAlign w:val="center"/>
            <w:hideMark/>
          </w:tcPr>
          <w:p w14:paraId="1ED72356" w14:textId="6F6D243B" w:rsidR="00BA502D" w:rsidRPr="00AB01C9" w:rsidRDefault="00BA502D" w:rsidP="000B15A6">
            <w:pPr>
              <w:pStyle w:val="NoSpacing"/>
              <w:jc w:val="left"/>
              <w:rPr>
                <w:rFonts w:ascii="Palatino Linotype" w:hAnsi="Palatino Linotype"/>
                <w:sz w:val="20"/>
                <w:szCs w:val="20"/>
              </w:rPr>
            </w:pPr>
            <w:r w:rsidRPr="00AB01C9">
              <w:rPr>
                <w:rFonts w:ascii="Palatino Linotype" w:hAnsi="Palatino Linotype"/>
                <w:sz w:val="20"/>
                <w:szCs w:val="20"/>
              </w:rPr>
              <w:t>Third generation cephalosporins/inhibitor β-lactamase + Aminoglycosides + Macrolides</w:t>
            </w:r>
          </w:p>
        </w:tc>
        <w:tc>
          <w:tcPr>
            <w:tcW w:w="992" w:type="dxa"/>
            <w:shd w:val="clear" w:color="auto" w:fill="F2F2F2" w:themeFill="background1" w:themeFillShade="F2"/>
            <w:vAlign w:val="center"/>
          </w:tcPr>
          <w:p w14:paraId="3E735895" w14:textId="6007F080" w:rsidR="00BA502D" w:rsidRPr="00AB01C9"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iCs/>
                <w:sz w:val="20"/>
                <w:szCs w:val="20"/>
              </w:rPr>
            </w:pPr>
          </w:p>
        </w:tc>
        <w:tc>
          <w:tcPr>
            <w:tcW w:w="992" w:type="dxa"/>
            <w:shd w:val="clear" w:color="auto" w:fill="F2F2F2" w:themeFill="background1" w:themeFillShade="F2"/>
            <w:vAlign w:val="center"/>
          </w:tcPr>
          <w:p w14:paraId="6A1A2AC3" w14:textId="76B38526" w:rsidR="00BA502D" w:rsidRPr="00AB01C9"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iCs/>
                <w:sz w:val="20"/>
                <w:szCs w:val="20"/>
              </w:rPr>
            </w:pPr>
          </w:p>
        </w:tc>
      </w:tr>
      <w:tr w:rsidR="00BA502D" w:rsidRPr="008D241D" w14:paraId="4E093D32" w14:textId="799BCA6F"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3006ED99" w14:textId="2A9BEA6C" w:rsidR="00BA502D" w:rsidRPr="00FE13CE" w:rsidRDefault="00BA502D" w:rsidP="000B15A6">
            <w:pPr>
              <w:pStyle w:val="NoSpacing"/>
              <w:jc w:val="left"/>
              <w:rPr>
                <w:rFonts w:ascii="Palatino Linotype" w:hAnsi="Palatino Linotype"/>
                <w:i w:val="0"/>
                <w:iCs w:val="0"/>
                <w:sz w:val="20"/>
                <w:szCs w:val="20"/>
              </w:rPr>
            </w:pPr>
            <w:proofErr w:type="spellStart"/>
            <w:r w:rsidRPr="00FE13CE">
              <w:rPr>
                <w:rFonts w:ascii="Palatino Linotype" w:hAnsi="Palatino Linotype"/>
                <w:i w:val="0"/>
                <w:iCs w:val="0"/>
                <w:sz w:val="20"/>
                <w:szCs w:val="20"/>
              </w:rPr>
              <w:t>Cefoperazo</w:t>
            </w:r>
            <w:r>
              <w:rPr>
                <w:rFonts w:ascii="Palatino Linotype" w:hAnsi="Palatino Linotype"/>
                <w:i w:val="0"/>
                <w:iCs w:val="0"/>
                <w:sz w:val="20"/>
                <w:szCs w:val="20"/>
              </w:rPr>
              <w:t>ne</w:t>
            </w:r>
            <w:proofErr w:type="spellEnd"/>
            <w:r w:rsidRPr="00FE13CE">
              <w:rPr>
                <w:rFonts w:ascii="Palatino Linotype" w:hAnsi="Palatino Linotype"/>
                <w:i w:val="0"/>
                <w:iCs w:val="0"/>
                <w:sz w:val="20"/>
                <w:szCs w:val="20"/>
              </w:rPr>
              <w:t>/Sulbactam (I</w:t>
            </w:r>
            <w:r>
              <w:rPr>
                <w:rFonts w:ascii="Palatino Linotype" w:hAnsi="Palatino Linotype"/>
                <w:i w:val="0"/>
                <w:iCs w:val="0"/>
                <w:sz w:val="20"/>
                <w:szCs w:val="20"/>
              </w:rPr>
              <w:t>V</w:t>
            </w:r>
            <w:r w:rsidRPr="00FE13CE">
              <w:rPr>
                <w:rFonts w:ascii="Palatino Linotype" w:hAnsi="Palatino Linotype"/>
                <w:i w:val="0"/>
                <w:iCs w:val="0"/>
                <w:sz w:val="20"/>
                <w:szCs w:val="20"/>
              </w:rPr>
              <w:t>) + Amikacin (I</w:t>
            </w:r>
            <w:r>
              <w:rPr>
                <w:rFonts w:ascii="Palatino Linotype" w:hAnsi="Palatino Linotype"/>
                <w:i w:val="0"/>
                <w:iCs w:val="0"/>
                <w:sz w:val="20"/>
                <w:szCs w:val="20"/>
              </w:rPr>
              <w:t>V</w:t>
            </w:r>
            <w:r w:rsidRPr="00FE13CE">
              <w:rPr>
                <w:rFonts w:ascii="Palatino Linotype" w:hAnsi="Palatino Linotype"/>
                <w:i w:val="0"/>
                <w:iCs w:val="0"/>
                <w:sz w:val="20"/>
                <w:szCs w:val="20"/>
              </w:rPr>
              <w:t>) + Clarithromycin (O)</w:t>
            </w:r>
          </w:p>
        </w:tc>
        <w:tc>
          <w:tcPr>
            <w:tcW w:w="516" w:type="dxa"/>
            <w:shd w:val="clear" w:color="auto" w:fill="FFFFFF" w:themeFill="background1"/>
            <w:vAlign w:val="center"/>
            <w:hideMark/>
          </w:tcPr>
          <w:p w14:paraId="14D5C66D"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60" w:type="dxa"/>
            <w:shd w:val="clear" w:color="auto" w:fill="FFFFFF" w:themeFill="background1"/>
            <w:vAlign w:val="center"/>
            <w:hideMark/>
          </w:tcPr>
          <w:p w14:paraId="6829EDC8"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516" w:type="dxa"/>
            <w:shd w:val="clear" w:color="auto" w:fill="FFFFFF" w:themeFill="background1"/>
            <w:vAlign w:val="center"/>
            <w:hideMark/>
          </w:tcPr>
          <w:p w14:paraId="2B93F59D"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1044" w:type="dxa"/>
            <w:shd w:val="clear" w:color="auto" w:fill="FFFFFF" w:themeFill="background1"/>
            <w:vAlign w:val="center"/>
            <w:hideMark/>
          </w:tcPr>
          <w:p w14:paraId="66424759"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5.3</w:t>
            </w:r>
          </w:p>
        </w:tc>
        <w:tc>
          <w:tcPr>
            <w:tcW w:w="992" w:type="dxa"/>
            <w:shd w:val="clear" w:color="auto" w:fill="FFFFFF" w:themeFill="background1"/>
            <w:vAlign w:val="center"/>
            <w:hideMark/>
          </w:tcPr>
          <w:p w14:paraId="17B80DD5"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992" w:type="dxa"/>
            <w:shd w:val="clear" w:color="auto" w:fill="FFFFFF" w:themeFill="background1"/>
            <w:vAlign w:val="center"/>
            <w:hideMark/>
          </w:tcPr>
          <w:p w14:paraId="0AF75875"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0.9</w:t>
            </w:r>
          </w:p>
        </w:tc>
      </w:tr>
      <w:tr w:rsidR="00BA502D" w:rsidRPr="008D241D" w14:paraId="3DE93601" w14:textId="0F92AA4F" w:rsidTr="00BA502D">
        <w:trPr>
          <w:trHeight w:val="300"/>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F2F2F2" w:themeFill="background1" w:themeFillShade="F2"/>
            <w:vAlign w:val="center"/>
            <w:hideMark/>
          </w:tcPr>
          <w:p w14:paraId="537D85F3" w14:textId="66FD6F62" w:rsidR="00BA502D" w:rsidRPr="00AB01C9" w:rsidRDefault="00BA502D" w:rsidP="000B15A6">
            <w:pPr>
              <w:pStyle w:val="NoSpacing"/>
              <w:jc w:val="left"/>
              <w:rPr>
                <w:rFonts w:ascii="Palatino Linotype" w:hAnsi="Palatino Linotype"/>
                <w:sz w:val="20"/>
                <w:szCs w:val="20"/>
              </w:rPr>
            </w:pPr>
            <w:r w:rsidRPr="00AB01C9">
              <w:rPr>
                <w:rFonts w:ascii="Palatino Linotype" w:hAnsi="Palatino Linotype"/>
                <w:sz w:val="20"/>
                <w:szCs w:val="20"/>
              </w:rPr>
              <w:t>Third generation cephalosporins + Aminoglycosides + Macrolides</w:t>
            </w:r>
          </w:p>
        </w:tc>
        <w:tc>
          <w:tcPr>
            <w:tcW w:w="992" w:type="dxa"/>
            <w:shd w:val="clear" w:color="auto" w:fill="F2F2F2" w:themeFill="background1" w:themeFillShade="F2"/>
            <w:vAlign w:val="center"/>
          </w:tcPr>
          <w:p w14:paraId="11888C81" w14:textId="5CB3788E" w:rsidR="00BA502D" w:rsidRPr="00AB01C9"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iCs/>
                <w:sz w:val="20"/>
                <w:szCs w:val="20"/>
              </w:rPr>
            </w:pPr>
          </w:p>
        </w:tc>
        <w:tc>
          <w:tcPr>
            <w:tcW w:w="992" w:type="dxa"/>
            <w:shd w:val="clear" w:color="auto" w:fill="F2F2F2" w:themeFill="background1" w:themeFillShade="F2"/>
            <w:vAlign w:val="center"/>
          </w:tcPr>
          <w:p w14:paraId="3E82E071" w14:textId="08E53874" w:rsidR="00BA502D" w:rsidRPr="00AB01C9"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iCs/>
                <w:sz w:val="20"/>
                <w:szCs w:val="20"/>
              </w:rPr>
            </w:pPr>
          </w:p>
        </w:tc>
      </w:tr>
      <w:tr w:rsidR="00BA502D" w:rsidRPr="008D241D" w14:paraId="76209D95" w14:textId="703FBF37"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36C98DDE" w14:textId="556BF550"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Ceftizoxim</w:t>
            </w:r>
            <w:r>
              <w:rPr>
                <w:rFonts w:ascii="Palatino Linotype" w:hAnsi="Palatino Linotype"/>
                <w:i w:val="0"/>
                <w:iCs w:val="0"/>
                <w:sz w:val="20"/>
                <w:szCs w:val="20"/>
              </w:rPr>
              <w:t xml:space="preserve">e </w:t>
            </w:r>
            <w:r w:rsidRPr="00FE13CE">
              <w:rPr>
                <w:rFonts w:ascii="Palatino Linotype" w:hAnsi="Palatino Linotype"/>
                <w:i w:val="0"/>
                <w:iCs w:val="0"/>
                <w:sz w:val="20"/>
                <w:szCs w:val="20"/>
              </w:rPr>
              <w:t>(I</w:t>
            </w:r>
            <w:r>
              <w:rPr>
                <w:rFonts w:ascii="Palatino Linotype" w:hAnsi="Palatino Linotype"/>
                <w:i w:val="0"/>
                <w:iCs w:val="0"/>
                <w:sz w:val="20"/>
                <w:szCs w:val="20"/>
              </w:rPr>
              <w:t>V</w:t>
            </w:r>
            <w:r w:rsidRPr="00FE13CE">
              <w:rPr>
                <w:rFonts w:ascii="Palatino Linotype" w:hAnsi="Palatino Linotype"/>
                <w:i w:val="0"/>
                <w:iCs w:val="0"/>
                <w:sz w:val="20"/>
                <w:szCs w:val="20"/>
              </w:rPr>
              <w:t>)+Amikacin</w:t>
            </w:r>
            <w:r>
              <w:rPr>
                <w:rFonts w:ascii="Palatino Linotype" w:hAnsi="Palatino Linotype"/>
                <w:i w:val="0"/>
                <w:iCs w:val="0"/>
                <w:sz w:val="20"/>
                <w:szCs w:val="20"/>
              </w:rPr>
              <w:t xml:space="preserve"> </w:t>
            </w:r>
            <w:r w:rsidRPr="00FE13CE">
              <w:rPr>
                <w:rFonts w:ascii="Palatino Linotype" w:hAnsi="Palatino Linotype"/>
                <w:i w:val="0"/>
                <w:iCs w:val="0"/>
                <w:sz w:val="20"/>
                <w:szCs w:val="20"/>
              </w:rPr>
              <w:t>(I</w:t>
            </w:r>
            <w:r>
              <w:rPr>
                <w:rFonts w:ascii="Palatino Linotype" w:hAnsi="Palatino Linotype"/>
                <w:i w:val="0"/>
                <w:iCs w:val="0"/>
                <w:sz w:val="20"/>
                <w:szCs w:val="20"/>
              </w:rPr>
              <w:t>V</w:t>
            </w:r>
            <w:r w:rsidRPr="00FE13CE">
              <w:rPr>
                <w:rFonts w:ascii="Palatino Linotype" w:hAnsi="Palatino Linotype"/>
                <w:i w:val="0"/>
                <w:iCs w:val="0"/>
                <w:sz w:val="20"/>
                <w:szCs w:val="20"/>
              </w:rPr>
              <w:t>)</w:t>
            </w:r>
            <w:r>
              <w:rPr>
                <w:rFonts w:ascii="Palatino Linotype" w:hAnsi="Palatino Linotype"/>
                <w:i w:val="0"/>
                <w:iCs w:val="0"/>
                <w:sz w:val="20"/>
                <w:szCs w:val="20"/>
              </w:rPr>
              <w:t xml:space="preserve"> </w:t>
            </w:r>
            <w:r w:rsidRPr="00FE13CE">
              <w:rPr>
                <w:rFonts w:ascii="Palatino Linotype" w:hAnsi="Palatino Linotype"/>
                <w:i w:val="0"/>
                <w:iCs w:val="0"/>
                <w:sz w:val="20"/>
                <w:szCs w:val="20"/>
              </w:rPr>
              <w:t>+</w:t>
            </w:r>
            <w:r>
              <w:rPr>
                <w:rFonts w:ascii="Palatino Linotype" w:hAnsi="Palatino Linotype"/>
                <w:i w:val="0"/>
                <w:iCs w:val="0"/>
                <w:sz w:val="20"/>
                <w:szCs w:val="20"/>
              </w:rPr>
              <w:t xml:space="preserve"> </w:t>
            </w:r>
            <w:r w:rsidRPr="00FE13CE">
              <w:rPr>
                <w:rFonts w:ascii="Palatino Linotype" w:hAnsi="Palatino Linotype"/>
                <w:i w:val="0"/>
                <w:iCs w:val="0"/>
                <w:sz w:val="20"/>
                <w:szCs w:val="20"/>
              </w:rPr>
              <w:t>Clarithromycin(O)</w:t>
            </w:r>
          </w:p>
        </w:tc>
        <w:tc>
          <w:tcPr>
            <w:tcW w:w="516" w:type="dxa"/>
            <w:shd w:val="clear" w:color="auto" w:fill="FFFFFF" w:themeFill="background1"/>
            <w:vAlign w:val="center"/>
            <w:hideMark/>
          </w:tcPr>
          <w:p w14:paraId="6D545EC1"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1060" w:type="dxa"/>
            <w:shd w:val="clear" w:color="auto" w:fill="FFFFFF" w:themeFill="background1"/>
            <w:vAlign w:val="center"/>
            <w:hideMark/>
          </w:tcPr>
          <w:p w14:paraId="58C3FB89"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1.1</w:t>
            </w:r>
          </w:p>
        </w:tc>
        <w:tc>
          <w:tcPr>
            <w:tcW w:w="516" w:type="dxa"/>
            <w:shd w:val="clear" w:color="auto" w:fill="FFFFFF" w:themeFill="background1"/>
            <w:vAlign w:val="center"/>
            <w:hideMark/>
          </w:tcPr>
          <w:p w14:paraId="7195A67C"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44" w:type="dxa"/>
            <w:shd w:val="clear" w:color="auto" w:fill="FFFFFF" w:themeFill="background1"/>
            <w:vAlign w:val="center"/>
            <w:hideMark/>
          </w:tcPr>
          <w:p w14:paraId="1520DC95"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992" w:type="dxa"/>
            <w:shd w:val="clear" w:color="auto" w:fill="FFFFFF" w:themeFill="background1"/>
            <w:vAlign w:val="center"/>
            <w:hideMark/>
          </w:tcPr>
          <w:p w14:paraId="28BB0B95"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992" w:type="dxa"/>
            <w:shd w:val="clear" w:color="auto" w:fill="FFFFFF" w:themeFill="background1"/>
            <w:vAlign w:val="center"/>
            <w:hideMark/>
          </w:tcPr>
          <w:p w14:paraId="2AB82999" w14:textId="77777777" w:rsidR="00BA502D" w:rsidRPr="00FE13CE"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0.9</w:t>
            </w:r>
          </w:p>
        </w:tc>
      </w:tr>
      <w:tr w:rsidR="00BA502D" w:rsidRPr="008D241D" w14:paraId="77C4985F" w14:textId="4857E48E" w:rsidTr="00BA502D">
        <w:trPr>
          <w:trHeight w:val="300"/>
        </w:trPr>
        <w:tc>
          <w:tcPr>
            <w:cnfStyle w:val="001000000000" w:firstRow="0" w:lastRow="0" w:firstColumn="1" w:lastColumn="0" w:oddVBand="0" w:evenVBand="0" w:oddHBand="0" w:evenHBand="0" w:firstRowFirstColumn="0" w:firstRowLastColumn="0" w:lastRowFirstColumn="0" w:lastRowLastColumn="0"/>
            <w:tcW w:w="3385" w:type="dxa"/>
            <w:vAlign w:val="center"/>
            <w:hideMark/>
          </w:tcPr>
          <w:p w14:paraId="5C4A5683" w14:textId="6D8FAA1A" w:rsidR="00BA502D" w:rsidRPr="00FE13CE" w:rsidRDefault="00BA502D" w:rsidP="000B15A6">
            <w:pPr>
              <w:pStyle w:val="NoSpacing"/>
              <w:jc w:val="left"/>
              <w:rPr>
                <w:rFonts w:ascii="Palatino Linotype" w:hAnsi="Palatino Linotype"/>
                <w:i w:val="0"/>
                <w:iCs w:val="0"/>
                <w:sz w:val="20"/>
                <w:szCs w:val="20"/>
              </w:rPr>
            </w:pPr>
            <w:r w:rsidRPr="00FE13CE">
              <w:rPr>
                <w:rFonts w:ascii="Palatino Linotype" w:hAnsi="Palatino Linotype"/>
                <w:i w:val="0"/>
                <w:iCs w:val="0"/>
                <w:sz w:val="20"/>
                <w:szCs w:val="20"/>
              </w:rPr>
              <w:t>Cefotiam</w:t>
            </w:r>
            <w:r>
              <w:rPr>
                <w:rFonts w:ascii="Palatino Linotype" w:hAnsi="Palatino Linotype"/>
                <w:i w:val="0"/>
                <w:iCs w:val="0"/>
                <w:sz w:val="20"/>
                <w:szCs w:val="20"/>
              </w:rPr>
              <w:t xml:space="preserve"> </w:t>
            </w:r>
            <w:r w:rsidRPr="00FE13CE">
              <w:rPr>
                <w:rFonts w:ascii="Palatino Linotype" w:hAnsi="Palatino Linotype"/>
                <w:i w:val="0"/>
                <w:iCs w:val="0"/>
                <w:sz w:val="20"/>
                <w:szCs w:val="20"/>
              </w:rPr>
              <w:t>(I</w:t>
            </w:r>
            <w:r>
              <w:rPr>
                <w:rFonts w:ascii="Palatino Linotype" w:hAnsi="Palatino Linotype"/>
                <w:i w:val="0"/>
                <w:iCs w:val="0"/>
                <w:sz w:val="20"/>
                <w:szCs w:val="20"/>
              </w:rPr>
              <w:t>V</w:t>
            </w:r>
            <w:r w:rsidRPr="00FE13CE">
              <w:rPr>
                <w:rFonts w:ascii="Palatino Linotype" w:hAnsi="Palatino Linotype"/>
                <w:i w:val="0"/>
                <w:iCs w:val="0"/>
                <w:sz w:val="20"/>
                <w:szCs w:val="20"/>
              </w:rPr>
              <w:t>)</w:t>
            </w:r>
            <w:r>
              <w:rPr>
                <w:rFonts w:ascii="Palatino Linotype" w:hAnsi="Palatino Linotype"/>
                <w:i w:val="0"/>
                <w:iCs w:val="0"/>
                <w:sz w:val="20"/>
                <w:szCs w:val="20"/>
              </w:rPr>
              <w:t xml:space="preserve"> </w:t>
            </w:r>
            <w:r w:rsidRPr="00FE13CE">
              <w:rPr>
                <w:rFonts w:ascii="Palatino Linotype" w:hAnsi="Palatino Linotype"/>
                <w:i w:val="0"/>
                <w:iCs w:val="0"/>
                <w:sz w:val="20"/>
                <w:szCs w:val="20"/>
              </w:rPr>
              <w:t>+</w:t>
            </w:r>
            <w:r>
              <w:rPr>
                <w:rFonts w:ascii="Palatino Linotype" w:hAnsi="Palatino Linotype"/>
                <w:i w:val="0"/>
                <w:iCs w:val="0"/>
                <w:sz w:val="20"/>
                <w:szCs w:val="20"/>
              </w:rPr>
              <w:t xml:space="preserve"> </w:t>
            </w:r>
            <w:r w:rsidRPr="00FE13CE">
              <w:rPr>
                <w:rFonts w:ascii="Palatino Linotype" w:hAnsi="Palatino Linotype"/>
                <w:i w:val="0"/>
                <w:iCs w:val="0"/>
                <w:sz w:val="20"/>
                <w:szCs w:val="20"/>
              </w:rPr>
              <w:t>Gentamicin</w:t>
            </w:r>
            <w:r>
              <w:rPr>
                <w:rFonts w:ascii="Palatino Linotype" w:hAnsi="Palatino Linotype"/>
                <w:i w:val="0"/>
                <w:iCs w:val="0"/>
                <w:sz w:val="20"/>
                <w:szCs w:val="20"/>
              </w:rPr>
              <w:t xml:space="preserve"> </w:t>
            </w:r>
            <w:r w:rsidRPr="00FE13CE">
              <w:rPr>
                <w:rFonts w:ascii="Palatino Linotype" w:hAnsi="Palatino Linotype"/>
                <w:i w:val="0"/>
                <w:iCs w:val="0"/>
                <w:sz w:val="20"/>
                <w:szCs w:val="20"/>
              </w:rPr>
              <w:t>(I</w:t>
            </w:r>
            <w:r>
              <w:rPr>
                <w:rFonts w:ascii="Palatino Linotype" w:hAnsi="Palatino Linotype"/>
                <w:i w:val="0"/>
                <w:iCs w:val="0"/>
                <w:sz w:val="20"/>
                <w:szCs w:val="20"/>
              </w:rPr>
              <w:t>V</w:t>
            </w:r>
            <w:r w:rsidRPr="00FE13CE">
              <w:rPr>
                <w:rFonts w:ascii="Palatino Linotype" w:hAnsi="Palatino Linotype"/>
                <w:i w:val="0"/>
                <w:iCs w:val="0"/>
                <w:sz w:val="20"/>
                <w:szCs w:val="20"/>
              </w:rPr>
              <w:t>)</w:t>
            </w:r>
            <w:r>
              <w:rPr>
                <w:rFonts w:ascii="Palatino Linotype" w:hAnsi="Palatino Linotype"/>
                <w:i w:val="0"/>
                <w:iCs w:val="0"/>
                <w:sz w:val="20"/>
                <w:szCs w:val="20"/>
              </w:rPr>
              <w:t xml:space="preserve"> </w:t>
            </w:r>
            <w:r w:rsidRPr="00FE13CE">
              <w:rPr>
                <w:rFonts w:ascii="Palatino Linotype" w:hAnsi="Palatino Linotype"/>
                <w:i w:val="0"/>
                <w:iCs w:val="0"/>
                <w:sz w:val="20"/>
                <w:szCs w:val="20"/>
              </w:rPr>
              <w:t>+</w:t>
            </w:r>
            <w:r>
              <w:rPr>
                <w:rFonts w:ascii="Palatino Linotype" w:hAnsi="Palatino Linotype"/>
                <w:i w:val="0"/>
                <w:iCs w:val="0"/>
                <w:sz w:val="20"/>
                <w:szCs w:val="20"/>
              </w:rPr>
              <w:t xml:space="preserve"> </w:t>
            </w:r>
            <w:r w:rsidRPr="00FE13CE">
              <w:rPr>
                <w:rFonts w:ascii="Palatino Linotype" w:hAnsi="Palatino Linotype"/>
                <w:i w:val="0"/>
                <w:iCs w:val="0"/>
                <w:sz w:val="20"/>
                <w:szCs w:val="20"/>
              </w:rPr>
              <w:t>Azithromycin(O)</w:t>
            </w:r>
          </w:p>
        </w:tc>
        <w:tc>
          <w:tcPr>
            <w:tcW w:w="516" w:type="dxa"/>
            <w:shd w:val="clear" w:color="auto" w:fill="FFFFFF" w:themeFill="background1"/>
            <w:vAlign w:val="center"/>
            <w:hideMark/>
          </w:tcPr>
          <w:p w14:paraId="2AE5C352"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1060" w:type="dxa"/>
            <w:shd w:val="clear" w:color="auto" w:fill="FFFFFF" w:themeFill="background1"/>
            <w:vAlign w:val="center"/>
            <w:hideMark/>
          </w:tcPr>
          <w:p w14:paraId="4B82F190"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1.1</w:t>
            </w:r>
          </w:p>
        </w:tc>
        <w:tc>
          <w:tcPr>
            <w:tcW w:w="516" w:type="dxa"/>
            <w:shd w:val="clear" w:color="auto" w:fill="FFFFFF" w:themeFill="background1"/>
            <w:vAlign w:val="center"/>
            <w:hideMark/>
          </w:tcPr>
          <w:p w14:paraId="7979F3CE"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w:t>
            </w:r>
          </w:p>
        </w:tc>
        <w:tc>
          <w:tcPr>
            <w:tcW w:w="1044" w:type="dxa"/>
            <w:shd w:val="clear" w:color="auto" w:fill="FFFFFF" w:themeFill="background1"/>
            <w:vAlign w:val="center"/>
            <w:hideMark/>
          </w:tcPr>
          <w:p w14:paraId="568B2583"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0.00</w:t>
            </w:r>
          </w:p>
        </w:tc>
        <w:tc>
          <w:tcPr>
            <w:tcW w:w="992" w:type="dxa"/>
            <w:shd w:val="clear" w:color="auto" w:fill="FFFFFF" w:themeFill="background1"/>
            <w:vAlign w:val="center"/>
            <w:hideMark/>
          </w:tcPr>
          <w:p w14:paraId="332B0036"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1</w:t>
            </w:r>
          </w:p>
        </w:tc>
        <w:tc>
          <w:tcPr>
            <w:tcW w:w="992" w:type="dxa"/>
            <w:shd w:val="clear" w:color="auto" w:fill="FFFFFF" w:themeFill="background1"/>
            <w:vAlign w:val="center"/>
            <w:hideMark/>
          </w:tcPr>
          <w:p w14:paraId="13B3E77E" w14:textId="77777777" w:rsidR="00BA502D" w:rsidRPr="00FE13CE" w:rsidRDefault="00BA502D" w:rsidP="000B15A6">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FE13CE">
              <w:rPr>
                <w:rFonts w:ascii="Palatino Linotype" w:hAnsi="Palatino Linotype"/>
                <w:sz w:val="20"/>
                <w:szCs w:val="20"/>
              </w:rPr>
              <w:t>0.9</w:t>
            </w:r>
          </w:p>
        </w:tc>
      </w:tr>
      <w:tr w:rsidR="00BA502D" w:rsidRPr="008D241D" w14:paraId="07EE77BB" w14:textId="51216667" w:rsidTr="00BA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5" w:type="dxa"/>
            <w:shd w:val="clear" w:color="auto" w:fill="D0CECE" w:themeFill="background2" w:themeFillShade="E6"/>
            <w:vAlign w:val="center"/>
            <w:hideMark/>
          </w:tcPr>
          <w:p w14:paraId="4C167F47" w14:textId="77777777" w:rsidR="00BA502D" w:rsidRPr="007D40D5" w:rsidRDefault="00BA502D" w:rsidP="000B15A6">
            <w:pPr>
              <w:pStyle w:val="NoSpacing"/>
              <w:jc w:val="left"/>
              <w:rPr>
                <w:rFonts w:ascii="Palatino Linotype" w:hAnsi="Palatino Linotype"/>
                <w:b/>
                <w:bCs/>
                <w:i w:val="0"/>
                <w:iCs w:val="0"/>
                <w:sz w:val="20"/>
                <w:szCs w:val="20"/>
              </w:rPr>
            </w:pPr>
            <w:r w:rsidRPr="007D40D5">
              <w:rPr>
                <w:rFonts w:ascii="Palatino Linotype" w:hAnsi="Palatino Linotype"/>
                <w:b/>
                <w:bCs/>
                <w:i w:val="0"/>
                <w:iCs w:val="0"/>
                <w:sz w:val="20"/>
                <w:szCs w:val="20"/>
              </w:rPr>
              <w:t>Total</w:t>
            </w:r>
          </w:p>
        </w:tc>
        <w:tc>
          <w:tcPr>
            <w:tcW w:w="516" w:type="dxa"/>
            <w:shd w:val="clear" w:color="auto" w:fill="D0CECE" w:themeFill="background2" w:themeFillShade="E6"/>
            <w:vAlign w:val="center"/>
            <w:hideMark/>
          </w:tcPr>
          <w:p w14:paraId="161DAFEC"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89</w:t>
            </w:r>
          </w:p>
        </w:tc>
        <w:tc>
          <w:tcPr>
            <w:tcW w:w="1060" w:type="dxa"/>
            <w:shd w:val="clear" w:color="auto" w:fill="D0CECE" w:themeFill="background2" w:themeFillShade="E6"/>
            <w:vAlign w:val="center"/>
            <w:hideMark/>
          </w:tcPr>
          <w:p w14:paraId="0BF29E25"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100.00</w:t>
            </w:r>
          </w:p>
        </w:tc>
        <w:tc>
          <w:tcPr>
            <w:tcW w:w="516" w:type="dxa"/>
            <w:shd w:val="clear" w:color="auto" w:fill="D0CECE" w:themeFill="background2" w:themeFillShade="E6"/>
            <w:vAlign w:val="center"/>
            <w:hideMark/>
          </w:tcPr>
          <w:p w14:paraId="75A9A7C3"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19</w:t>
            </w:r>
          </w:p>
        </w:tc>
        <w:tc>
          <w:tcPr>
            <w:tcW w:w="1044" w:type="dxa"/>
            <w:shd w:val="clear" w:color="auto" w:fill="D0CECE" w:themeFill="background2" w:themeFillShade="E6"/>
            <w:vAlign w:val="center"/>
            <w:hideMark/>
          </w:tcPr>
          <w:p w14:paraId="0895D822"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100.00</w:t>
            </w:r>
          </w:p>
        </w:tc>
        <w:tc>
          <w:tcPr>
            <w:tcW w:w="992" w:type="dxa"/>
            <w:shd w:val="clear" w:color="auto" w:fill="D0CECE" w:themeFill="background2" w:themeFillShade="E6"/>
            <w:vAlign w:val="center"/>
            <w:hideMark/>
          </w:tcPr>
          <w:p w14:paraId="7791403A"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108</w:t>
            </w:r>
          </w:p>
        </w:tc>
        <w:tc>
          <w:tcPr>
            <w:tcW w:w="992" w:type="dxa"/>
            <w:shd w:val="clear" w:color="auto" w:fill="D0CECE" w:themeFill="background2" w:themeFillShade="E6"/>
            <w:vAlign w:val="center"/>
            <w:hideMark/>
          </w:tcPr>
          <w:p w14:paraId="1A59F3E6" w14:textId="77777777" w:rsidR="00BA502D" w:rsidRPr="00FA710C" w:rsidRDefault="00BA502D" w:rsidP="000B15A6">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FA710C">
              <w:rPr>
                <w:rFonts w:ascii="Palatino Linotype" w:hAnsi="Palatino Linotype"/>
                <w:sz w:val="20"/>
                <w:szCs w:val="20"/>
              </w:rPr>
              <w:t>100.00</w:t>
            </w:r>
          </w:p>
        </w:tc>
      </w:tr>
    </w:tbl>
    <w:p w14:paraId="6273E4BF" w14:textId="1ED453B0" w:rsidR="00FA710C" w:rsidRPr="007D40D5" w:rsidRDefault="00FA710C" w:rsidP="007D40D5">
      <w:pPr>
        <w:pStyle w:val="MDPI22heading2"/>
        <w:spacing w:before="240"/>
        <w:ind w:left="1530" w:firstLine="510"/>
        <w:rPr>
          <w:i w:val="0"/>
          <w:iCs/>
          <w:sz w:val="18"/>
          <w:szCs w:val="18"/>
          <w:lang w:val="en-GB"/>
        </w:rPr>
      </w:pPr>
      <w:r w:rsidRPr="007D40D5">
        <w:rPr>
          <w:i w:val="0"/>
          <w:iCs/>
          <w:sz w:val="18"/>
          <w:szCs w:val="18"/>
          <w:lang w:val="en-GB"/>
        </w:rPr>
        <w:t>N</w:t>
      </w:r>
      <w:r w:rsidR="007D40D5" w:rsidRPr="007D40D5">
        <w:rPr>
          <w:i w:val="0"/>
          <w:iCs/>
          <w:sz w:val="18"/>
          <w:szCs w:val="18"/>
          <w:lang w:val="en-GB"/>
        </w:rPr>
        <w:t>B</w:t>
      </w:r>
      <w:r w:rsidRPr="007D40D5">
        <w:rPr>
          <w:i w:val="0"/>
          <w:iCs/>
          <w:sz w:val="18"/>
          <w:szCs w:val="18"/>
          <w:lang w:val="en-GB"/>
        </w:rPr>
        <w:t>: O= Oral; I</w:t>
      </w:r>
      <w:r w:rsidR="007D40D5" w:rsidRPr="007D40D5">
        <w:rPr>
          <w:i w:val="0"/>
          <w:iCs/>
          <w:sz w:val="18"/>
          <w:szCs w:val="18"/>
          <w:lang w:val="en-GB"/>
        </w:rPr>
        <w:t>V</w:t>
      </w:r>
      <w:r w:rsidRPr="007D40D5">
        <w:rPr>
          <w:i w:val="0"/>
          <w:iCs/>
          <w:sz w:val="18"/>
          <w:szCs w:val="18"/>
          <w:lang w:val="en-GB"/>
        </w:rPr>
        <w:t>=</w:t>
      </w:r>
      <w:r w:rsidRPr="007D40D5">
        <w:rPr>
          <w:i w:val="0"/>
          <w:iCs/>
          <w:sz w:val="18"/>
          <w:szCs w:val="18"/>
          <w:lang w:val="en"/>
        </w:rPr>
        <w:t>Intravenous Injection</w:t>
      </w:r>
    </w:p>
    <w:p w14:paraId="0979A06F" w14:textId="6CDDC623" w:rsidR="00782DFC" w:rsidRPr="00296E54" w:rsidRDefault="00782DFC" w:rsidP="00782DFC">
      <w:pPr>
        <w:pStyle w:val="MDPI22heading2"/>
        <w:spacing w:before="240"/>
        <w:ind w:firstLine="452"/>
        <w:rPr>
          <w:i w:val="0"/>
          <w:iCs/>
          <w:lang w:val="vi-VN"/>
        </w:rPr>
      </w:pPr>
      <w:r w:rsidRPr="006003A3">
        <w:rPr>
          <w:i w:val="0"/>
        </w:rPr>
        <w:t>Dos</w:t>
      </w:r>
      <w:r w:rsidR="007B2A65" w:rsidRPr="006003A3">
        <w:rPr>
          <w:i w:val="0"/>
        </w:rPr>
        <w:t xml:space="preserve">ing regimens for </w:t>
      </w:r>
      <w:r w:rsidRPr="006003A3">
        <w:rPr>
          <w:i w:val="0"/>
        </w:rPr>
        <w:t>initial</w:t>
      </w:r>
      <w:r w:rsidRPr="006003A3">
        <w:rPr>
          <w:i w:val="0"/>
          <w:lang w:val="vi-VN"/>
        </w:rPr>
        <w:t xml:space="preserve"> </w:t>
      </w:r>
      <w:r w:rsidRPr="006003A3">
        <w:rPr>
          <w:i w:val="0"/>
        </w:rPr>
        <w:t>m</w:t>
      </w:r>
      <w:r w:rsidRPr="006003A3">
        <w:rPr>
          <w:i w:val="0"/>
          <w:lang w:val="vi-VN"/>
        </w:rPr>
        <w:t>onotherapy</w:t>
      </w:r>
      <w:r w:rsidRPr="006003A3">
        <w:rPr>
          <w:i w:val="0"/>
        </w:rPr>
        <w:t xml:space="preserve"> were typically higher </w:t>
      </w:r>
      <w:r w:rsidR="007B2A65" w:rsidRPr="006003A3">
        <w:rPr>
          <w:i w:val="0"/>
        </w:rPr>
        <w:t xml:space="preserve">than recommendations </w:t>
      </w:r>
      <w:r w:rsidRPr="006003A3">
        <w:rPr>
          <w:i w:val="0"/>
        </w:rPr>
        <w:t xml:space="preserve">for infants and children with severe pneumonia and pneumonitis </w:t>
      </w:r>
      <w:r w:rsidR="007B2A65" w:rsidRPr="006003A3">
        <w:rPr>
          <w:i w:val="0"/>
        </w:rPr>
        <w:t xml:space="preserve">who were </w:t>
      </w:r>
      <w:r w:rsidRPr="006003A3">
        <w:rPr>
          <w:i w:val="0"/>
        </w:rPr>
        <w:t xml:space="preserve">administered </w:t>
      </w:r>
      <w:r w:rsidR="00653326">
        <w:rPr>
          <w:i w:val="0"/>
          <w:lang w:val="en-GB"/>
        </w:rPr>
        <w:t xml:space="preserve">an FDC </w:t>
      </w:r>
      <w:r w:rsidRPr="006003A3">
        <w:rPr>
          <w:i w:val="0"/>
          <w:lang w:val="en-GB"/>
        </w:rPr>
        <w:t xml:space="preserve"> initially</w:t>
      </w:r>
      <w:r w:rsidRPr="006003A3">
        <w:rPr>
          <w:i w:val="0"/>
        </w:rPr>
        <w:t xml:space="preserve"> </w:t>
      </w:r>
      <w:r w:rsidR="00653326">
        <w:rPr>
          <w:i w:val="0"/>
        </w:rPr>
        <w:t xml:space="preserve">compared with those administered a single antibiotic </w:t>
      </w:r>
      <w:r w:rsidRPr="006003A3">
        <w:rPr>
          <w:i w:val="0"/>
        </w:rPr>
        <w:t>(</w:t>
      </w:r>
      <w:r w:rsidR="00653326">
        <w:rPr>
          <w:i w:val="0"/>
        </w:rPr>
        <w:t>89</w:t>
      </w:r>
      <w:r w:rsidRPr="006003A3">
        <w:rPr>
          <w:i w:val="0"/>
        </w:rPr>
        <w:t xml:space="preserve">.1% </w:t>
      </w:r>
      <w:r w:rsidR="00653326">
        <w:rPr>
          <w:i w:val="0"/>
        </w:rPr>
        <w:t>- 49/55)</w:t>
      </w:r>
      <w:r w:rsidRPr="006003A3">
        <w:rPr>
          <w:i w:val="0"/>
        </w:rPr>
        <w:t>)</w:t>
      </w:r>
      <w:r w:rsidR="007B2A65" w:rsidRPr="006003A3">
        <w:rPr>
          <w:i w:val="0"/>
        </w:rPr>
        <w:t xml:space="preserve"> (Table 3)</w:t>
      </w:r>
      <w:r w:rsidRPr="006003A3">
        <w:rPr>
          <w:i w:val="0"/>
        </w:rPr>
        <w:t xml:space="preserve">. </w:t>
      </w:r>
      <w:r w:rsidR="00BB2589" w:rsidRPr="006003A3">
        <w:rPr>
          <w:i w:val="0"/>
          <w:color w:val="auto"/>
        </w:rPr>
        <w:t xml:space="preserve">Overall, 73.3% </w:t>
      </w:r>
      <w:r w:rsidR="00513EFB" w:rsidRPr="006003A3">
        <w:rPr>
          <w:i w:val="0"/>
          <w:color w:val="auto"/>
        </w:rPr>
        <w:t xml:space="preserve">of antibiotics prescribed initially </w:t>
      </w:r>
      <w:r w:rsidR="002445D7" w:rsidRPr="006003A3">
        <w:rPr>
          <w:i w:val="0"/>
          <w:color w:val="auto"/>
        </w:rPr>
        <w:t xml:space="preserve">were </w:t>
      </w:r>
      <w:r w:rsidR="00BB2589" w:rsidRPr="006003A3">
        <w:rPr>
          <w:i w:val="0"/>
          <w:color w:val="auto"/>
        </w:rPr>
        <w:t xml:space="preserve">Watch </w:t>
      </w:r>
      <w:r w:rsidR="00E90C90" w:rsidRPr="006003A3">
        <w:rPr>
          <w:i w:val="0"/>
          <w:color w:val="auto"/>
        </w:rPr>
        <w:t>antibiotics</w:t>
      </w:r>
      <w:r w:rsidR="0056140F">
        <w:rPr>
          <w:i w:val="0"/>
          <w:color w:val="auto"/>
        </w:rPr>
        <w:t xml:space="preserve"> (Table 3)</w:t>
      </w:r>
      <w:r w:rsidR="002445D7" w:rsidRPr="006003A3">
        <w:rPr>
          <w:i w:val="0"/>
          <w:color w:val="auto"/>
        </w:rPr>
        <w:t>,</w:t>
      </w:r>
      <w:r w:rsidR="00E90C90" w:rsidRPr="006003A3">
        <w:rPr>
          <w:i w:val="0"/>
          <w:color w:val="auto"/>
        </w:rPr>
        <w:t xml:space="preserve"> </w:t>
      </w:r>
      <w:r w:rsidR="00BB2589" w:rsidRPr="006003A3">
        <w:rPr>
          <w:i w:val="0"/>
          <w:color w:val="auto"/>
        </w:rPr>
        <w:t>and 5</w:t>
      </w:r>
      <w:r w:rsidR="00FC5834" w:rsidRPr="006003A3">
        <w:rPr>
          <w:i w:val="0"/>
          <w:color w:val="auto"/>
        </w:rPr>
        <w:t>.</w:t>
      </w:r>
      <w:r w:rsidR="00BB2589" w:rsidRPr="006003A3">
        <w:rPr>
          <w:i w:val="0"/>
          <w:color w:val="auto"/>
        </w:rPr>
        <w:t xml:space="preserve">7% </w:t>
      </w:r>
      <w:r w:rsidR="002445D7" w:rsidRPr="006003A3">
        <w:rPr>
          <w:i w:val="0"/>
          <w:color w:val="auto"/>
        </w:rPr>
        <w:t xml:space="preserve">were </w:t>
      </w:r>
      <w:r w:rsidR="00BB2589" w:rsidRPr="006003A3">
        <w:rPr>
          <w:i w:val="0"/>
          <w:color w:val="auto"/>
        </w:rPr>
        <w:t>unclassified.</w:t>
      </w:r>
    </w:p>
    <w:p w14:paraId="48A59F1E" w14:textId="77777777" w:rsidR="00782DFC" w:rsidRDefault="00782DFC" w:rsidP="00782DFC">
      <w:pPr>
        <w:spacing w:line="240" w:lineRule="auto"/>
        <w:jc w:val="left"/>
        <w:rPr>
          <w:rFonts w:eastAsia="Times New Roman"/>
          <w:snapToGrid w:val="0"/>
          <w:lang w:val="en-GB" w:eastAsia="de-DE" w:bidi="en-US"/>
        </w:rPr>
      </w:pPr>
    </w:p>
    <w:p w14:paraId="14D61F43" w14:textId="38960D95" w:rsidR="00782DFC" w:rsidRPr="00296E54" w:rsidRDefault="00782DFC" w:rsidP="00782DFC">
      <w:pPr>
        <w:pStyle w:val="MDPI22heading2"/>
        <w:spacing w:before="240"/>
        <w:ind w:firstLine="452"/>
        <w:rPr>
          <w:i w:val="0"/>
          <w:szCs w:val="20"/>
          <w:lang w:val="en-GB"/>
        </w:rPr>
      </w:pPr>
      <w:r w:rsidRPr="00296E54">
        <w:rPr>
          <w:i w:val="0"/>
          <w:szCs w:val="20"/>
          <w:lang w:val="en-GB"/>
        </w:rPr>
        <w:t xml:space="preserve">Table </w:t>
      </w:r>
      <w:r w:rsidR="00B6002B">
        <w:rPr>
          <w:i w:val="0"/>
          <w:szCs w:val="20"/>
          <w:lang w:val="en-GB"/>
        </w:rPr>
        <w:t>3</w:t>
      </w:r>
      <w:r w:rsidRPr="00296E54">
        <w:rPr>
          <w:i w:val="0"/>
          <w:szCs w:val="20"/>
          <w:lang w:val="en-GB"/>
        </w:rPr>
        <w:t xml:space="preserve"> - </w:t>
      </w:r>
      <w:r w:rsidRPr="00296E54">
        <w:rPr>
          <w:i w:val="0"/>
          <w:szCs w:val="20"/>
          <w:lang w:val="vi-VN"/>
        </w:rPr>
        <w:t>Antibiotic use characteristics</w:t>
      </w:r>
      <w:r>
        <w:rPr>
          <w:i w:val="0"/>
          <w:szCs w:val="20"/>
          <w:lang w:val="en-GB"/>
        </w:rPr>
        <w:t xml:space="preserve"> </w:t>
      </w:r>
      <w:r w:rsidR="00653326">
        <w:rPr>
          <w:i w:val="0"/>
          <w:szCs w:val="20"/>
          <w:lang w:val="en-GB"/>
        </w:rPr>
        <w:t xml:space="preserve">– initial management </w:t>
      </w:r>
      <w:r>
        <w:rPr>
          <w:i w:val="0"/>
          <w:szCs w:val="20"/>
          <w:lang w:val="en-GB"/>
        </w:rPr>
        <w:t>(n=105)</w:t>
      </w:r>
    </w:p>
    <w:tbl>
      <w:tblPr>
        <w:tblStyle w:val="PlainTable5"/>
        <w:tblW w:w="9752" w:type="dxa"/>
        <w:tblInd w:w="704" w:type="dxa"/>
        <w:tblLook w:val="04A0" w:firstRow="1" w:lastRow="0" w:firstColumn="1" w:lastColumn="0" w:noHBand="0" w:noVBand="1"/>
      </w:tblPr>
      <w:tblGrid>
        <w:gridCol w:w="2435"/>
        <w:gridCol w:w="1660"/>
        <w:gridCol w:w="1741"/>
        <w:gridCol w:w="459"/>
        <w:gridCol w:w="748"/>
        <w:gridCol w:w="536"/>
        <w:gridCol w:w="966"/>
        <w:gridCol w:w="459"/>
        <w:gridCol w:w="748"/>
      </w:tblGrid>
      <w:tr w:rsidR="00782DFC" w:rsidRPr="00296E54" w14:paraId="062EB795" w14:textId="77777777" w:rsidTr="00562C3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264" w:type="dxa"/>
            <w:vMerge w:val="restart"/>
            <w:tcBorders>
              <w:top w:val="single" w:sz="4" w:space="0" w:color="auto"/>
              <w:left w:val="single" w:sz="4" w:space="0" w:color="auto"/>
              <w:right w:val="single" w:sz="2" w:space="0" w:color="auto"/>
            </w:tcBorders>
            <w:shd w:val="clear" w:color="auto" w:fill="D0CECE" w:themeFill="background2" w:themeFillShade="E6"/>
            <w:vAlign w:val="center"/>
            <w:hideMark/>
          </w:tcPr>
          <w:p w14:paraId="757A0D40" w14:textId="77777777" w:rsidR="00782DFC" w:rsidRPr="00296E54" w:rsidRDefault="00782DFC" w:rsidP="00C57F0D">
            <w:pPr>
              <w:pStyle w:val="NoSpacing"/>
              <w:rPr>
                <w:rFonts w:ascii="Palatino Linotype" w:hAnsi="Palatino Linotype"/>
                <w:i w:val="0"/>
                <w:iCs w:val="0"/>
                <w:sz w:val="20"/>
                <w:szCs w:val="20"/>
              </w:rPr>
            </w:pPr>
            <w:r w:rsidRPr="00296E54">
              <w:rPr>
                <w:rFonts w:ascii="Palatino Linotype" w:hAnsi="Palatino Linotype"/>
                <w:i w:val="0"/>
                <w:iCs w:val="0"/>
                <w:sz w:val="20"/>
                <w:szCs w:val="20"/>
              </w:rPr>
              <w:t>Initial Antibiotics</w:t>
            </w:r>
          </w:p>
        </w:tc>
        <w:tc>
          <w:tcPr>
            <w:tcW w:w="1690" w:type="dxa"/>
            <w:vMerge w:val="restart"/>
            <w:tcBorders>
              <w:top w:val="single" w:sz="4" w:space="0" w:color="auto"/>
              <w:left w:val="single" w:sz="2" w:space="0" w:color="auto"/>
              <w:right w:val="single" w:sz="2" w:space="0" w:color="auto"/>
            </w:tcBorders>
            <w:shd w:val="clear" w:color="auto" w:fill="D0CECE" w:themeFill="background2" w:themeFillShade="E6"/>
          </w:tcPr>
          <w:p w14:paraId="665B4E21" w14:textId="77777777" w:rsidR="00782DFC" w:rsidRPr="00296E54" w:rsidRDefault="00782DFC" w:rsidP="00C57F0D">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345BBF">
              <w:rPr>
                <w:rFonts w:ascii="Palatino Linotype" w:hAnsi="Palatino Linotype"/>
                <w:i w:val="0"/>
                <w:iCs w:val="0"/>
                <w:sz w:val="20"/>
                <w:szCs w:val="20"/>
              </w:rPr>
              <w:t>Classification*</w:t>
            </w:r>
          </w:p>
        </w:tc>
        <w:tc>
          <w:tcPr>
            <w:tcW w:w="1777" w:type="dxa"/>
            <w:vMerge w:val="restart"/>
            <w:tcBorders>
              <w:top w:val="single" w:sz="4" w:space="0" w:color="auto"/>
              <w:left w:val="single" w:sz="2" w:space="0" w:color="auto"/>
              <w:right w:val="single" w:sz="2" w:space="0" w:color="auto"/>
            </w:tcBorders>
            <w:shd w:val="clear" w:color="auto" w:fill="D0CECE" w:themeFill="background2" w:themeFillShade="E6"/>
            <w:vAlign w:val="center"/>
          </w:tcPr>
          <w:p w14:paraId="57D127D2" w14:textId="77777777" w:rsidR="00782DFC" w:rsidRPr="00296E54" w:rsidRDefault="00782DFC" w:rsidP="00C57F0D">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i w:val="0"/>
                <w:iCs w:val="0"/>
                <w:sz w:val="20"/>
                <w:szCs w:val="20"/>
              </w:rPr>
            </w:pPr>
            <w:r w:rsidRPr="00296E54">
              <w:rPr>
                <w:rFonts w:ascii="Palatino Linotype" w:hAnsi="Palatino Linotype"/>
                <w:i w:val="0"/>
                <w:iCs w:val="0"/>
                <w:sz w:val="20"/>
                <w:szCs w:val="20"/>
              </w:rPr>
              <w:t>Route of drug administration</w:t>
            </w:r>
          </w:p>
        </w:tc>
        <w:tc>
          <w:tcPr>
            <w:tcW w:w="4021" w:type="dxa"/>
            <w:gridSpan w:val="6"/>
            <w:tcBorders>
              <w:top w:val="single" w:sz="4" w:space="0" w:color="auto"/>
              <w:left w:val="single" w:sz="2" w:space="0" w:color="auto"/>
              <w:bottom w:val="single" w:sz="4" w:space="0" w:color="auto"/>
              <w:right w:val="single" w:sz="4" w:space="0" w:color="auto"/>
            </w:tcBorders>
            <w:shd w:val="clear" w:color="auto" w:fill="D0CECE" w:themeFill="background2" w:themeFillShade="E6"/>
            <w:vAlign w:val="center"/>
            <w:hideMark/>
          </w:tcPr>
          <w:p w14:paraId="0DF18958" w14:textId="77777777" w:rsidR="00782DFC" w:rsidRPr="00296E54" w:rsidRDefault="00782DFC" w:rsidP="00C57F0D">
            <w:pPr>
              <w:pStyle w:val="NoSpac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i w:val="0"/>
                <w:iCs w:val="0"/>
                <w:sz w:val="20"/>
                <w:szCs w:val="20"/>
              </w:rPr>
            </w:pPr>
            <w:r w:rsidRPr="00296E54">
              <w:rPr>
                <w:rFonts w:ascii="Palatino Linotype" w:hAnsi="Palatino Linotype"/>
                <w:i w:val="0"/>
                <w:iCs w:val="0"/>
                <w:sz w:val="20"/>
                <w:szCs w:val="20"/>
              </w:rPr>
              <w:t>Daily dosage</w:t>
            </w:r>
          </w:p>
        </w:tc>
      </w:tr>
      <w:tr w:rsidR="00443F5C" w:rsidRPr="00296E54" w14:paraId="771D9F39" w14:textId="77777777" w:rsidTr="00562C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4" w:type="dxa"/>
            <w:vMerge/>
            <w:tcBorders>
              <w:left w:val="single" w:sz="4" w:space="0" w:color="auto"/>
              <w:right w:val="single" w:sz="2" w:space="0" w:color="auto"/>
            </w:tcBorders>
            <w:shd w:val="clear" w:color="auto" w:fill="D0CECE" w:themeFill="background2" w:themeFillShade="E6"/>
            <w:vAlign w:val="center"/>
            <w:hideMark/>
          </w:tcPr>
          <w:p w14:paraId="494594F6" w14:textId="77777777" w:rsidR="00782DFC" w:rsidRPr="00296E54" w:rsidRDefault="00782DFC" w:rsidP="00C57F0D">
            <w:pPr>
              <w:pStyle w:val="NoSpacing"/>
              <w:rPr>
                <w:rFonts w:ascii="Palatino Linotype" w:hAnsi="Palatino Linotype"/>
                <w:i w:val="0"/>
                <w:iCs w:val="0"/>
                <w:sz w:val="20"/>
                <w:szCs w:val="20"/>
              </w:rPr>
            </w:pPr>
          </w:p>
        </w:tc>
        <w:tc>
          <w:tcPr>
            <w:tcW w:w="1690" w:type="dxa"/>
            <w:vMerge/>
            <w:tcBorders>
              <w:left w:val="single" w:sz="2" w:space="0" w:color="auto"/>
              <w:right w:val="single" w:sz="2" w:space="0" w:color="auto"/>
            </w:tcBorders>
            <w:shd w:val="clear" w:color="auto" w:fill="D0CECE" w:themeFill="background2" w:themeFillShade="E6"/>
          </w:tcPr>
          <w:p w14:paraId="0D70864D"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c>
          <w:tcPr>
            <w:tcW w:w="1777" w:type="dxa"/>
            <w:vMerge/>
            <w:tcBorders>
              <w:left w:val="single" w:sz="2" w:space="0" w:color="auto"/>
              <w:right w:val="single" w:sz="2" w:space="0" w:color="auto"/>
            </w:tcBorders>
            <w:shd w:val="clear" w:color="auto" w:fill="D0CECE" w:themeFill="background2" w:themeFillShade="E6"/>
          </w:tcPr>
          <w:p w14:paraId="30DCDEC9"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c>
          <w:tcPr>
            <w:tcW w:w="1244" w:type="dxa"/>
            <w:gridSpan w:val="2"/>
            <w:tcBorders>
              <w:top w:val="single" w:sz="4" w:space="0" w:color="auto"/>
              <w:left w:val="single" w:sz="2" w:space="0" w:color="auto"/>
              <w:right w:val="single" w:sz="4" w:space="0" w:color="auto"/>
            </w:tcBorders>
            <w:shd w:val="clear" w:color="auto" w:fill="D0CECE" w:themeFill="background2" w:themeFillShade="E6"/>
            <w:vAlign w:val="center"/>
            <w:hideMark/>
          </w:tcPr>
          <w:p w14:paraId="245BA24F"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Lower</w:t>
            </w:r>
          </w:p>
        </w:tc>
        <w:tc>
          <w:tcPr>
            <w:tcW w:w="1533" w:type="dxa"/>
            <w:gridSpan w:val="2"/>
            <w:tcBorders>
              <w:top w:val="single" w:sz="4" w:space="0" w:color="auto"/>
              <w:left w:val="single" w:sz="4" w:space="0" w:color="auto"/>
              <w:right w:val="single" w:sz="4" w:space="0" w:color="auto"/>
            </w:tcBorders>
            <w:shd w:val="clear" w:color="auto" w:fill="D0CECE" w:themeFill="background2" w:themeFillShade="E6"/>
            <w:vAlign w:val="center"/>
            <w:hideMark/>
          </w:tcPr>
          <w:p w14:paraId="6A6E69A4"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Appropriate</w:t>
            </w:r>
          </w:p>
        </w:tc>
        <w:tc>
          <w:tcPr>
            <w:tcW w:w="1244" w:type="dxa"/>
            <w:gridSpan w:val="2"/>
            <w:tcBorders>
              <w:top w:val="single" w:sz="4" w:space="0" w:color="auto"/>
              <w:left w:val="single" w:sz="4" w:space="0" w:color="auto"/>
              <w:right w:val="single" w:sz="4" w:space="0" w:color="auto"/>
            </w:tcBorders>
            <w:shd w:val="clear" w:color="auto" w:fill="D0CECE" w:themeFill="background2" w:themeFillShade="E6"/>
            <w:vAlign w:val="center"/>
            <w:hideMark/>
          </w:tcPr>
          <w:p w14:paraId="28D7BA95"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Higher</w:t>
            </w:r>
          </w:p>
        </w:tc>
      </w:tr>
      <w:tr w:rsidR="000523DB" w:rsidRPr="00296E54" w14:paraId="660565AB" w14:textId="77777777" w:rsidTr="00562C32">
        <w:trPr>
          <w:trHeight w:val="300"/>
        </w:trPr>
        <w:tc>
          <w:tcPr>
            <w:cnfStyle w:val="001000000000" w:firstRow="0" w:lastRow="0" w:firstColumn="1" w:lastColumn="0" w:oddVBand="0" w:evenVBand="0" w:oddHBand="0" w:evenHBand="0" w:firstRowFirstColumn="0" w:firstRowLastColumn="0" w:lastRowFirstColumn="0" w:lastRowLastColumn="0"/>
            <w:tcW w:w="2264" w:type="dxa"/>
            <w:vMerge/>
            <w:tcBorders>
              <w:left w:val="single" w:sz="4" w:space="0" w:color="auto"/>
              <w:bottom w:val="single" w:sz="4" w:space="0" w:color="auto"/>
              <w:right w:val="single" w:sz="2" w:space="0" w:color="auto"/>
            </w:tcBorders>
            <w:shd w:val="clear" w:color="auto" w:fill="D0CECE" w:themeFill="background2" w:themeFillShade="E6"/>
            <w:vAlign w:val="center"/>
            <w:hideMark/>
          </w:tcPr>
          <w:p w14:paraId="46723748" w14:textId="77777777" w:rsidR="00782DFC" w:rsidRPr="00296E54" w:rsidRDefault="00782DFC" w:rsidP="00C57F0D">
            <w:pPr>
              <w:pStyle w:val="NoSpacing"/>
              <w:rPr>
                <w:rFonts w:ascii="Palatino Linotype" w:hAnsi="Palatino Linotype"/>
                <w:i w:val="0"/>
                <w:iCs w:val="0"/>
                <w:sz w:val="20"/>
                <w:szCs w:val="20"/>
              </w:rPr>
            </w:pPr>
          </w:p>
        </w:tc>
        <w:tc>
          <w:tcPr>
            <w:tcW w:w="1690" w:type="dxa"/>
            <w:tcBorders>
              <w:left w:val="single" w:sz="2" w:space="0" w:color="auto"/>
              <w:bottom w:val="single" w:sz="4" w:space="0" w:color="auto"/>
              <w:right w:val="single" w:sz="2" w:space="0" w:color="auto"/>
            </w:tcBorders>
            <w:shd w:val="clear" w:color="auto" w:fill="D0CECE" w:themeFill="background2" w:themeFillShade="E6"/>
          </w:tcPr>
          <w:p w14:paraId="26BF9C73"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c>
          <w:tcPr>
            <w:tcW w:w="1777" w:type="dxa"/>
            <w:vMerge/>
            <w:tcBorders>
              <w:left w:val="single" w:sz="2" w:space="0" w:color="auto"/>
              <w:bottom w:val="single" w:sz="4" w:space="0" w:color="auto"/>
              <w:right w:val="single" w:sz="2" w:space="0" w:color="auto"/>
            </w:tcBorders>
            <w:shd w:val="clear" w:color="auto" w:fill="D0CECE" w:themeFill="background2" w:themeFillShade="E6"/>
          </w:tcPr>
          <w:p w14:paraId="1FE1B2B5"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c>
          <w:tcPr>
            <w:tcW w:w="466" w:type="dxa"/>
            <w:tcBorders>
              <w:left w:val="single" w:sz="2" w:space="0" w:color="auto"/>
              <w:bottom w:val="single" w:sz="4" w:space="0" w:color="auto"/>
            </w:tcBorders>
            <w:shd w:val="clear" w:color="auto" w:fill="D0CECE" w:themeFill="background2" w:themeFillShade="E6"/>
            <w:vAlign w:val="center"/>
            <w:hideMark/>
          </w:tcPr>
          <w:p w14:paraId="309195CF"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n</w:t>
            </w:r>
          </w:p>
        </w:tc>
        <w:tc>
          <w:tcPr>
            <w:tcW w:w="778" w:type="dxa"/>
            <w:tcBorders>
              <w:bottom w:val="single" w:sz="4" w:space="0" w:color="auto"/>
              <w:right w:val="single" w:sz="4" w:space="0" w:color="auto"/>
            </w:tcBorders>
            <w:shd w:val="clear" w:color="auto" w:fill="D0CECE" w:themeFill="background2" w:themeFillShade="E6"/>
            <w:vAlign w:val="center"/>
            <w:hideMark/>
          </w:tcPr>
          <w:p w14:paraId="5C2CE7AF"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w:t>
            </w:r>
          </w:p>
        </w:tc>
        <w:tc>
          <w:tcPr>
            <w:tcW w:w="537" w:type="dxa"/>
            <w:tcBorders>
              <w:left w:val="single" w:sz="4" w:space="0" w:color="auto"/>
              <w:bottom w:val="single" w:sz="4" w:space="0" w:color="auto"/>
            </w:tcBorders>
            <w:shd w:val="clear" w:color="auto" w:fill="D0CECE" w:themeFill="background2" w:themeFillShade="E6"/>
            <w:vAlign w:val="center"/>
            <w:hideMark/>
          </w:tcPr>
          <w:p w14:paraId="41C11B56"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n</w:t>
            </w:r>
          </w:p>
        </w:tc>
        <w:tc>
          <w:tcPr>
            <w:tcW w:w="996" w:type="dxa"/>
            <w:tcBorders>
              <w:bottom w:val="single" w:sz="4" w:space="0" w:color="auto"/>
              <w:right w:val="single" w:sz="4" w:space="0" w:color="auto"/>
            </w:tcBorders>
            <w:shd w:val="clear" w:color="auto" w:fill="D0CECE" w:themeFill="background2" w:themeFillShade="E6"/>
            <w:vAlign w:val="center"/>
            <w:hideMark/>
          </w:tcPr>
          <w:p w14:paraId="28428843"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w:t>
            </w:r>
          </w:p>
        </w:tc>
        <w:tc>
          <w:tcPr>
            <w:tcW w:w="466" w:type="dxa"/>
            <w:tcBorders>
              <w:left w:val="single" w:sz="4" w:space="0" w:color="auto"/>
              <w:bottom w:val="single" w:sz="4" w:space="0" w:color="auto"/>
            </w:tcBorders>
            <w:shd w:val="clear" w:color="auto" w:fill="D0CECE" w:themeFill="background2" w:themeFillShade="E6"/>
            <w:vAlign w:val="center"/>
            <w:hideMark/>
          </w:tcPr>
          <w:p w14:paraId="1B7239E6"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n</w:t>
            </w:r>
          </w:p>
        </w:tc>
        <w:tc>
          <w:tcPr>
            <w:tcW w:w="778" w:type="dxa"/>
            <w:tcBorders>
              <w:bottom w:val="single" w:sz="4" w:space="0" w:color="auto"/>
              <w:right w:val="single" w:sz="4" w:space="0" w:color="auto"/>
            </w:tcBorders>
            <w:shd w:val="clear" w:color="auto" w:fill="D0CECE" w:themeFill="background2" w:themeFillShade="E6"/>
            <w:vAlign w:val="center"/>
            <w:hideMark/>
          </w:tcPr>
          <w:p w14:paraId="0823F1F1"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w:t>
            </w:r>
          </w:p>
        </w:tc>
      </w:tr>
      <w:tr w:rsidR="00E818E9" w:rsidRPr="00296E54" w14:paraId="7A0DEE04" w14:textId="77777777" w:rsidTr="00562C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4" w:type="dxa"/>
            <w:tcBorders>
              <w:top w:val="single" w:sz="4" w:space="0" w:color="auto"/>
              <w:left w:val="single" w:sz="4" w:space="0" w:color="auto"/>
              <w:right w:val="single" w:sz="2" w:space="0" w:color="auto"/>
            </w:tcBorders>
            <w:hideMark/>
          </w:tcPr>
          <w:p w14:paraId="781A3705" w14:textId="77777777" w:rsidR="00782DFC" w:rsidRPr="00296E54" w:rsidRDefault="00782DFC" w:rsidP="00C57F0D">
            <w:pPr>
              <w:pStyle w:val="NoSpacing"/>
              <w:rPr>
                <w:rFonts w:ascii="Palatino Linotype" w:hAnsi="Palatino Linotype"/>
                <w:i w:val="0"/>
                <w:iCs w:val="0"/>
                <w:sz w:val="20"/>
                <w:szCs w:val="20"/>
              </w:rPr>
            </w:pPr>
            <w:r w:rsidRPr="00296E54">
              <w:rPr>
                <w:rFonts w:ascii="Palatino Linotype" w:hAnsi="Palatino Linotype"/>
                <w:i w:val="0"/>
                <w:iCs w:val="0"/>
                <w:sz w:val="20"/>
                <w:szCs w:val="20"/>
              </w:rPr>
              <w:t>Amikacin</w:t>
            </w:r>
          </w:p>
        </w:tc>
        <w:tc>
          <w:tcPr>
            <w:tcW w:w="1690" w:type="dxa"/>
            <w:tcBorders>
              <w:top w:val="single" w:sz="4" w:space="0" w:color="auto"/>
              <w:left w:val="single" w:sz="2" w:space="0" w:color="auto"/>
              <w:right w:val="single" w:sz="2" w:space="0" w:color="auto"/>
            </w:tcBorders>
          </w:tcPr>
          <w:p w14:paraId="20BDBC38"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A</w:t>
            </w:r>
          </w:p>
        </w:tc>
        <w:tc>
          <w:tcPr>
            <w:tcW w:w="1777" w:type="dxa"/>
            <w:tcBorders>
              <w:top w:val="single" w:sz="4" w:space="0" w:color="auto"/>
              <w:left w:val="single" w:sz="2" w:space="0" w:color="auto"/>
              <w:right w:val="single" w:sz="2" w:space="0" w:color="auto"/>
            </w:tcBorders>
          </w:tcPr>
          <w:p w14:paraId="29EA7E7F"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IV</w:t>
            </w:r>
          </w:p>
        </w:tc>
        <w:tc>
          <w:tcPr>
            <w:tcW w:w="466" w:type="dxa"/>
            <w:tcBorders>
              <w:top w:val="single" w:sz="4" w:space="0" w:color="auto"/>
              <w:left w:val="single" w:sz="2" w:space="0" w:color="auto"/>
            </w:tcBorders>
            <w:hideMark/>
          </w:tcPr>
          <w:p w14:paraId="240392EC"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w:t>
            </w:r>
          </w:p>
        </w:tc>
        <w:tc>
          <w:tcPr>
            <w:tcW w:w="778" w:type="dxa"/>
            <w:tcBorders>
              <w:top w:val="single" w:sz="4" w:space="0" w:color="auto"/>
              <w:right w:val="single" w:sz="4" w:space="0" w:color="auto"/>
            </w:tcBorders>
            <w:hideMark/>
          </w:tcPr>
          <w:p w14:paraId="382837D5"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7</w:t>
            </w:r>
            <w:r>
              <w:rPr>
                <w:rFonts w:ascii="Palatino Linotype" w:hAnsi="Palatino Linotype"/>
                <w:sz w:val="20"/>
                <w:szCs w:val="20"/>
              </w:rPr>
              <w:t>.</w:t>
            </w:r>
            <w:r w:rsidRPr="00296E54">
              <w:rPr>
                <w:rFonts w:ascii="Palatino Linotype" w:hAnsi="Palatino Linotype"/>
                <w:sz w:val="20"/>
                <w:szCs w:val="20"/>
              </w:rPr>
              <w:t>1</w:t>
            </w:r>
          </w:p>
        </w:tc>
        <w:tc>
          <w:tcPr>
            <w:tcW w:w="537" w:type="dxa"/>
            <w:tcBorders>
              <w:top w:val="single" w:sz="4" w:space="0" w:color="auto"/>
              <w:left w:val="single" w:sz="4" w:space="0" w:color="auto"/>
            </w:tcBorders>
            <w:hideMark/>
          </w:tcPr>
          <w:p w14:paraId="79F2C6E2"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12</w:t>
            </w:r>
          </w:p>
        </w:tc>
        <w:tc>
          <w:tcPr>
            <w:tcW w:w="996" w:type="dxa"/>
            <w:tcBorders>
              <w:top w:val="single" w:sz="4" w:space="0" w:color="auto"/>
              <w:right w:val="single" w:sz="4" w:space="0" w:color="auto"/>
            </w:tcBorders>
            <w:hideMark/>
          </w:tcPr>
          <w:p w14:paraId="71C4CA81"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85</w:t>
            </w:r>
            <w:r>
              <w:rPr>
                <w:rFonts w:ascii="Palatino Linotype" w:hAnsi="Palatino Linotype"/>
                <w:sz w:val="20"/>
                <w:szCs w:val="20"/>
              </w:rPr>
              <w:t>.</w:t>
            </w:r>
            <w:r w:rsidRPr="00296E54">
              <w:rPr>
                <w:rFonts w:ascii="Palatino Linotype" w:hAnsi="Palatino Linotype"/>
                <w:sz w:val="20"/>
                <w:szCs w:val="20"/>
              </w:rPr>
              <w:t>7</w:t>
            </w:r>
          </w:p>
        </w:tc>
        <w:tc>
          <w:tcPr>
            <w:tcW w:w="466" w:type="dxa"/>
            <w:tcBorders>
              <w:top w:val="single" w:sz="4" w:space="0" w:color="auto"/>
              <w:left w:val="single" w:sz="4" w:space="0" w:color="auto"/>
            </w:tcBorders>
            <w:hideMark/>
          </w:tcPr>
          <w:p w14:paraId="2599A130"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w:t>
            </w:r>
          </w:p>
        </w:tc>
        <w:tc>
          <w:tcPr>
            <w:tcW w:w="778" w:type="dxa"/>
            <w:tcBorders>
              <w:top w:val="single" w:sz="4" w:space="0" w:color="auto"/>
              <w:right w:val="single" w:sz="4" w:space="0" w:color="auto"/>
            </w:tcBorders>
            <w:hideMark/>
          </w:tcPr>
          <w:p w14:paraId="11C97EB0"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7</w:t>
            </w:r>
            <w:r>
              <w:rPr>
                <w:rFonts w:ascii="Palatino Linotype" w:hAnsi="Palatino Linotype"/>
                <w:sz w:val="20"/>
                <w:szCs w:val="20"/>
              </w:rPr>
              <w:t>.</w:t>
            </w:r>
            <w:r w:rsidRPr="00296E54">
              <w:rPr>
                <w:rFonts w:ascii="Palatino Linotype" w:hAnsi="Palatino Linotype"/>
                <w:sz w:val="20"/>
                <w:szCs w:val="20"/>
              </w:rPr>
              <w:t>1</w:t>
            </w:r>
          </w:p>
        </w:tc>
      </w:tr>
      <w:tr w:rsidR="00782DFC" w:rsidRPr="00296E54" w14:paraId="3EEE0DBB" w14:textId="77777777" w:rsidTr="00562C32">
        <w:trPr>
          <w:trHeight w:val="300"/>
        </w:trPr>
        <w:tc>
          <w:tcPr>
            <w:cnfStyle w:val="001000000000" w:firstRow="0" w:lastRow="0" w:firstColumn="1" w:lastColumn="0" w:oddVBand="0" w:evenVBand="0" w:oddHBand="0" w:evenHBand="0" w:firstRowFirstColumn="0" w:firstRowLastColumn="0" w:lastRowFirstColumn="0" w:lastRowLastColumn="0"/>
            <w:tcW w:w="2264" w:type="dxa"/>
            <w:tcBorders>
              <w:left w:val="single" w:sz="4" w:space="0" w:color="auto"/>
              <w:right w:val="single" w:sz="2" w:space="0" w:color="auto"/>
            </w:tcBorders>
            <w:hideMark/>
          </w:tcPr>
          <w:p w14:paraId="0371059E" w14:textId="77777777" w:rsidR="00782DFC" w:rsidRPr="00296E54" w:rsidRDefault="00782DFC" w:rsidP="00C57F0D">
            <w:pPr>
              <w:pStyle w:val="NoSpacing"/>
              <w:rPr>
                <w:rFonts w:ascii="Palatino Linotype" w:hAnsi="Palatino Linotype"/>
                <w:i w:val="0"/>
                <w:iCs w:val="0"/>
                <w:sz w:val="20"/>
                <w:szCs w:val="20"/>
              </w:rPr>
            </w:pPr>
            <w:r w:rsidRPr="00296E54">
              <w:rPr>
                <w:rFonts w:ascii="Palatino Linotype" w:hAnsi="Palatino Linotype"/>
                <w:i w:val="0"/>
                <w:iCs w:val="0"/>
                <w:sz w:val="20"/>
                <w:szCs w:val="20"/>
              </w:rPr>
              <w:t>Amoxicillin/Sulbactam</w:t>
            </w:r>
          </w:p>
        </w:tc>
        <w:tc>
          <w:tcPr>
            <w:tcW w:w="1690" w:type="dxa"/>
            <w:tcBorders>
              <w:left w:val="single" w:sz="2" w:space="0" w:color="auto"/>
              <w:right w:val="single" w:sz="2" w:space="0" w:color="auto"/>
            </w:tcBorders>
          </w:tcPr>
          <w:p w14:paraId="21F1431C"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N/A</w:t>
            </w:r>
          </w:p>
        </w:tc>
        <w:tc>
          <w:tcPr>
            <w:tcW w:w="1777" w:type="dxa"/>
            <w:tcBorders>
              <w:left w:val="single" w:sz="2" w:space="0" w:color="auto"/>
              <w:right w:val="single" w:sz="2" w:space="0" w:color="auto"/>
            </w:tcBorders>
          </w:tcPr>
          <w:p w14:paraId="3FA8524D"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IV</w:t>
            </w:r>
          </w:p>
        </w:tc>
        <w:tc>
          <w:tcPr>
            <w:tcW w:w="466" w:type="dxa"/>
            <w:tcBorders>
              <w:left w:val="single" w:sz="2" w:space="0" w:color="auto"/>
            </w:tcBorders>
            <w:hideMark/>
          </w:tcPr>
          <w:p w14:paraId="376A389A"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w:t>
            </w:r>
          </w:p>
        </w:tc>
        <w:tc>
          <w:tcPr>
            <w:tcW w:w="778" w:type="dxa"/>
            <w:tcBorders>
              <w:right w:val="single" w:sz="4" w:space="0" w:color="auto"/>
            </w:tcBorders>
            <w:hideMark/>
          </w:tcPr>
          <w:p w14:paraId="010A439E"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16</w:t>
            </w:r>
            <w:r>
              <w:rPr>
                <w:rFonts w:ascii="Palatino Linotype" w:hAnsi="Palatino Linotype"/>
                <w:sz w:val="20"/>
                <w:szCs w:val="20"/>
              </w:rPr>
              <w:t>.</w:t>
            </w:r>
            <w:r w:rsidRPr="00296E54">
              <w:rPr>
                <w:rFonts w:ascii="Palatino Linotype" w:hAnsi="Palatino Linotype"/>
                <w:sz w:val="20"/>
                <w:szCs w:val="20"/>
              </w:rPr>
              <w:t>7</w:t>
            </w:r>
          </w:p>
        </w:tc>
        <w:tc>
          <w:tcPr>
            <w:tcW w:w="537" w:type="dxa"/>
            <w:tcBorders>
              <w:left w:val="single" w:sz="4" w:space="0" w:color="auto"/>
            </w:tcBorders>
            <w:hideMark/>
          </w:tcPr>
          <w:p w14:paraId="01D0A572"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5</w:t>
            </w:r>
          </w:p>
        </w:tc>
        <w:tc>
          <w:tcPr>
            <w:tcW w:w="996" w:type="dxa"/>
            <w:tcBorders>
              <w:right w:val="single" w:sz="4" w:space="0" w:color="auto"/>
            </w:tcBorders>
            <w:hideMark/>
          </w:tcPr>
          <w:p w14:paraId="3C67BDDD"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83</w:t>
            </w:r>
            <w:r>
              <w:rPr>
                <w:rFonts w:ascii="Palatino Linotype" w:hAnsi="Palatino Linotype"/>
                <w:sz w:val="20"/>
                <w:szCs w:val="20"/>
              </w:rPr>
              <w:t>.</w:t>
            </w:r>
            <w:r w:rsidRPr="00296E54">
              <w:rPr>
                <w:rFonts w:ascii="Palatino Linotype" w:hAnsi="Palatino Linotype"/>
                <w:sz w:val="20"/>
                <w:szCs w:val="20"/>
              </w:rPr>
              <w:t>3</w:t>
            </w:r>
          </w:p>
        </w:tc>
        <w:tc>
          <w:tcPr>
            <w:tcW w:w="466" w:type="dxa"/>
            <w:tcBorders>
              <w:left w:val="single" w:sz="4" w:space="0" w:color="auto"/>
            </w:tcBorders>
            <w:hideMark/>
          </w:tcPr>
          <w:p w14:paraId="72EB9624"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p>
        </w:tc>
        <w:tc>
          <w:tcPr>
            <w:tcW w:w="778" w:type="dxa"/>
            <w:tcBorders>
              <w:right w:val="single" w:sz="4" w:space="0" w:color="auto"/>
            </w:tcBorders>
            <w:hideMark/>
          </w:tcPr>
          <w:p w14:paraId="52EBE647"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r>
              <w:rPr>
                <w:rFonts w:ascii="Palatino Linotype" w:hAnsi="Palatino Linotype"/>
                <w:sz w:val="20"/>
                <w:szCs w:val="20"/>
              </w:rPr>
              <w:t>.</w:t>
            </w:r>
            <w:r w:rsidRPr="00296E54">
              <w:rPr>
                <w:rFonts w:ascii="Palatino Linotype" w:hAnsi="Palatino Linotype"/>
                <w:sz w:val="20"/>
                <w:szCs w:val="20"/>
              </w:rPr>
              <w:t>0</w:t>
            </w:r>
          </w:p>
        </w:tc>
      </w:tr>
      <w:tr w:rsidR="00E818E9" w:rsidRPr="00296E54" w14:paraId="2E632110" w14:textId="77777777" w:rsidTr="00562C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4" w:type="dxa"/>
            <w:tcBorders>
              <w:left w:val="single" w:sz="4" w:space="0" w:color="auto"/>
              <w:right w:val="single" w:sz="2" w:space="0" w:color="auto"/>
            </w:tcBorders>
            <w:hideMark/>
          </w:tcPr>
          <w:p w14:paraId="4D9193E7" w14:textId="77777777" w:rsidR="00782DFC" w:rsidRPr="00296E54" w:rsidRDefault="00782DFC" w:rsidP="00C57F0D">
            <w:pPr>
              <w:pStyle w:val="NoSpacing"/>
              <w:rPr>
                <w:rFonts w:ascii="Palatino Linotype" w:hAnsi="Palatino Linotype"/>
                <w:i w:val="0"/>
                <w:iCs w:val="0"/>
                <w:sz w:val="20"/>
                <w:szCs w:val="20"/>
              </w:rPr>
            </w:pPr>
            <w:r w:rsidRPr="00296E54">
              <w:rPr>
                <w:rFonts w:ascii="Palatino Linotype" w:hAnsi="Palatino Linotype"/>
                <w:i w:val="0"/>
                <w:iCs w:val="0"/>
                <w:sz w:val="20"/>
                <w:szCs w:val="20"/>
              </w:rPr>
              <w:t>Amoxicillin/Clavulanic</w:t>
            </w:r>
          </w:p>
        </w:tc>
        <w:tc>
          <w:tcPr>
            <w:tcW w:w="1690" w:type="dxa"/>
            <w:tcBorders>
              <w:left w:val="single" w:sz="2" w:space="0" w:color="auto"/>
              <w:right w:val="single" w:sz="2" w:space="0" w:color="auto"/>
            </w:tcBorders>
          </w:tcPr>
          <w:p w14:paraId="64E3DE01"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A</w:t>
            </w:r>
          </w:p>
        </w:tc>
        <w:tc>
          <w:tcPr>
            <w:tcW w:w="1777" w:type="dxa"/>
            <w:tcBorders>
              <w:left w:val="single" w:sz="2" w:space="0" w:color="auto"/>
              <w:right w:val="single" w:sz="2" w:space="0" w:color="auto"/>
            </w:tcBorders>
          </w:tcPr>
          <w:p w14:paraId="14C8CB72"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IV</w:t>
            </w:r>
          </w:p>
        </w:tc>
        <w:tc>
          <w:tcPr>
            <w:tcW w:w="466" w:type="dxa"/>
            <w:tcBorders>
              <w:left w:val="single" w:sz="2" w:space="0" w:color="auto"/>
            </w:tcBorders>
            <w:hideMark/>
          </w:tcPr>
          <w:p w14:paraId="76318A49"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p>
        </w:tc>
        <w:tc>
          <w:tcPr>
            <w:tcW w:w="778" w:type="dxa"/>
            <w:tcBorders>
              <w:right w:val="single" w:sz="4" w:space="0" w:color="auto"/>
            </w:tcBorders>
            <w:hideMark/>
          </w:tcPr>
          <w:p w14:paraId="6593035C"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r>
              <w:rPr>
                <w:rFonts w:ascii="Palatino Linotype" w:hAnsi="Palatino Linotype"/>
                <w:sz w:val="20"/>
                <w:szCs w:val="20"/>
              </w:rPr>
              <w:t>.</w:t>
            </w:r>
            <w:r w:rsidRPr="00296E54">
              <w:rPr>
                <w:rFonts w:ascii="Palatino Linotype" w:hAnsi="Palatino Linotype"/>
                <w:sz w:val="20"/>
                <w:szCs w:val="20"/>
              </w:rPr>
              <w:t>0</w:t>
            </w:r>
          </w:p>
        </w:tc>
        <w:tc>
          <w:tcPr>
            <w:tcW w:w="537" w:type="dxa"/>
            <w:tcBorders>
              <w:left w:val="single" w:sz="4" w:space="0" w:color="auto"/>
            </w:tcBorders>
            <w:hideMark/>
          </w:tcPr>
          <w:p w14:paraId="53F4CF8A"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w:t>
            </w:r>
          </w:p>
        </w:tc>
        <w:tc>
          <w:tcPr>
            <w:tcW w:w="996" w:type="dxa"/>
            <w:tcBorders>
              <w:right w:val="single" w:sz="4" w:space="0" w:color="auto"/>
            </w:tcBorders>
            <w:hideMark/>
          </w:tcPr>
          <w:p w14:paraId="71CAC948"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100</w:t>
            </w:r>
            <w:r>
              <w:rPr>
                <w:rFonts w:ascii="Palatino Linotype" w:hAnsi="Palatino Linotype"/>
                <w:sz w:val="20"/>
                <w:szCs w:val="20"/>
              </w:rPr>
              <w:t>.</w:t>
            </w:r>
            <w:r w:rsidRPr="00296E54">
              <w:rPr>
                <w:rFonts w:ascii="Palatino Linotype" w:hAnsi="Palatino Linotype"/>
                <w:sz w:val="20"/>
                <w:szCs w:val="20"/>
              </w:rPr>
              <w:t>0</w:t>
            </w:r>
          </w:p>
        </w:tc>
        <w:tc>
          <w:tcPr>
            <w:tcW w:w="466" w:type="dxa"/>
            <w:tcBorders>
              <w:left w:val="single" w:sz="4" w:space="0" w:color="auto"/>
            </w:tcBorders>
            <w:hideMark/>
          </w:tcPr>
          <w:p w14:paraId="0B98BB6E"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p>
        </w:tc>
        <w:tc>
          <w:tcPr>
            <w:tcW w:w="778" w:type="dxa"/>
            <w:tcBorders>
              <w:right w:val="single" w:sz="4" w:space="0" w:color="auto"/>
            </w:tcBorders>
            <w:hideMark/>
          </w:tcPr>
          <w:p w14:paraId="7D5B3091"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r>
              <w:rPr>
                <w:rFonts w:ascii="Palatino Linotype" w:hAnsi="Palatino Linotype"/>
                <w:sz w:val="20"/>
                <w:szCs w:val="20"/>
              </w:rPr>
              <w:t>.</w:t>
            </w:r>
            <w:r w:rsidRPr="00296E54">
              <w:rPr>
                <w:rFonts w:ascii="Palatino Linotype" w:hAnsi="Palatino Linotype"/>
                <w:sz w:val="20"/>
                <w:szCs w:val="20"/>
              </w:rPr>
              <w:t>0</w:t>
            </w:r>
          </w:p>
        </w:tc>
      </w:tr>
      <w:tr w:rsidR="00782DFC" w:rsidRPr="00296E54" w14:paraId="05CFEB62" w14:textId="77777777" w:rsidTr="00562C32">
        <w:trPr>
          <w:trHeight w:val="300"/>
        </w:trPr>
        <w:tc>
          <w:tcPr>
            <w:cnfStyle w:val="001000000000" w:firstRow="0" w:lastRow="0" w:firstColumn="1" w:lastColumn="0" w:oddVBand="0" w:evenVBand="0" w:oddHBand="0" w:evenHBand="0" w:firstRowFirstColumn="0" w:firstRowLastColumn="0" w:lastRowFirstColumn="0" w:lastRowLastColumn="0"/>
            <w:tcW w:w="2264" w:type="dxa"/>
            <w:tcBorders>
              <w:left w:val="single" w:sz="4" w:space="0" w:color="auto"/>
              <w:right w:val="single" w:sz="2" w:space="0" w:color="auto"/>
            </w:tcBorders>
            <w:hideMark/>
          </w:tcPr>
          <w:p w14:paraId="2BF83C5A" w14:textId="77777777" w:rsidR="00782DFC" w:rsidRPr="00296E54" w:rsidRDefault="00782DFC" w:rsidP="00C57F0D">
            <w:pPr>
              <w:pStyle w:val="NoSpacing"/>
              <w:rPr>
                <w:rFonts w:ascii="Palatino Linotype" w:hAnsi="Palatino Linotype"/>
                <w:i w:val="0"/>
                <w:iCs w:val="0"/>
                <w:sz w:val="20"/>
                <w:szCs w:val="20"/>
              </w:rPr>
            </w:pPr>
            <w:r w:rsidRPr="00296E54">
              <w:rPr>
                <w:rFonts w:ascii="Palatino Linotype" w:hAnsi="Palatino Linotype"/>
                <w:i w:val="0"/>
                <w:iCs w:val="0"/>
                <w:sz w:val="20"/>
                <w:szCs w:val="20"/>
              </w:rPr>
              <w:t>Ampicillin/Sulbactam</w:t>
            </w:r>
          </w:p>
        </w:tc>
        <w:tc>
          <w:tcPr>
            <w:tcW w:w="1690" w:type="dxa"/>
            <w:tcBorders>
              <w:left w:val="single" w:sz="2" w:space="0" w:color="auto"/>
              <w:right w:val="single" w:sz="2" w:space="0" w:color="auto"/>
            </w:tcBorders>
          </w:tcPr>
          <w:p w14:paraId="6D3024DB"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A</w:t>
            </w:r>
          </w:p>
        </w:tc>
        <w:tc>
          <w:tcPr>
            <w:tcW w:w="1777" w:type="dxa"/>
            <w:tcBorders>
              <w:left w:val="single" w:sz="2" w:space="0" w:color="auto"/>
              <w:right w:val="single" w:sz="2" w:space="0" w:color="auto"/>
            </w:tcBorders>
          </w:tcPr>
          <w:p w14:paraId="6B02CF6E"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IV</w:t>
            </w:r>
          </w:p>
        </w:tc>
        <w:tc>
          <w:tcPr>
            <w:tcW w:w="466" w:type="dxa"/>
            <w:tcBorders>
              <w:left w:val="single" w:sz="2" w:space="0" w:color="auto"/>
            </w:tcBorders>
            <w:hideMark/>
          </w:tcPr>
          <w:p w14:paraId="65DCA220"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p>
        </w:tc>
        <w:tc>
          <w:tcPr>
            <w:tcW w:w="778" w:type="dxa"/>
            <w:tcBorders>
              <w:right w:val="single" w:sz="4" w:space="0" w:color="auto"/>
            </w:tcBorders>
            <w:hideMark/>
          </w:tcPr>
          <w:p w14:paraId="5C448682"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r>
              <w:rPr>
                <w:rFonts w:ascii="Palatino Linotype" w:hAnsi="Palatino Linotype"/>
                <w:sz w:val="20"/>
                <w:szCs w:val="20"/>
              </w:rPr>
              <w:t>.</w:t>
            </w:r>
            <w:r w:rsidRPr="00296E54">
              <w:rPr>
                <w:rFonts w:ascii="Palatino Linotype" w:hAnsi="Palatino Linotype"/>
                <w:sz w:val="20"/>
                <w:szCs w:val="20"/>
              </w:rPr>
              <w:t>0</w:t>
            </w:r>
          </w:p>
        </w:tc>
        <w:tc>
          <w:tcPr>
            <w:tcW w:w="537" w:type="dxa"/>
            <w:tcBorders>
              <w:left w:val="single" w:sz="4" w:space="0" w:color="auto"/>
            </w:tcBorders>
            <w:hideMark/>
          </w:tcPr>
          <w:p w14:paraId="4BE8FDBF"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w:t>
            </w:r>
          </w:p>
        </w:tc>
        <w:tc>
          <w:tcPr>
            <w:tcW w:w="996" w:type="dxa"/>
            <w:tcBorders>
              <w:right w:val="single" w:sz="4" w:space="0" w:color="auto"/>
            </w:tcBorders>
            <w:hideMark/>
          </w:tcPr>
          <w:p w14:paraId="445B5E08"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100</w:t>
            </w:r>
            <w:r>
              <w:rPr>
                <w:rFonts w:ascii="Palatino Linotype" w:hAnsi="Palatino Linotype"/>
                <w:sz w:val="20"/>
                <w:szCs w:val="20"/>
              </w:rPr>
              <w:t>.</w:t>
            </w:r>
            <w:r w:rsidRPr="00296E54">
              <w:rPr>
                <w:rFonts w:ascii="Palatino Linotype" w:hAnsi="Palatino Linotype"/>
                <w:sz w:val="20"/>
                <w:szCs w:val="20"/>
              </w:rPr>
              <w:t>0</w:t>
            </w:r>
          </w:p>
        </w:tc>
        <w:tc>
          <w:tcPr>
            <w:tcW w:w="466" w:type="dxa"/>
            <w:tcBorders>
              <w:left w:val="single" w:sz="4" w:space="0" w:color="auto"/>
            </w:tcBorders>
            <w:hideMark/>
          </w:tcPr>
          <w:p w14:paraId="003323FD"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p>
        </w:tc>
        <w:tc>
          <w:tcPr>
            <w:tcW w:w="778" w:type="dxa"/>
            <w:tcBorders>
              <w:right w:val="single" w:sz="4" w:space="0" w:color="auto"/>
            </w:tcBorders>
            <w:hideMark/>
          </w:tcPr>
          <w:p w14:paraId="44F85489"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r>
              <w:rPr>
                <w:rFonts w:ascii="Palatino Linotype" w:hAnsi="Palatino Linotype"/>
                <w:sz w:val="20"/>
                <w:szCs w:val="20"/>
              </w:rPr>
              <w:t>.</w:t>
            </w:r>
            <w:r w:rsidRPr="00296E54">
              <w:rPr>
                <w:rFonts w:ascii="Palatino Linotype" w:hAnsi="Palatino Linotype"/>
                <w:sz w:val="20"/>
                <w:szCs w:val="20"/>
              </w:rPr>
              <w:t>0</w:t>
            </w:r>
          </w:p>
        </w:tc>
      </w:tr>
      <w:tr w:rsidR="00E818E9" w:rsidRPr="00296E54" w14:paraId="1C4DE507" w14:textId="77777777" w:rsidTr="00562C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4" w:type="dxa"/>
            <w:tcBorders>
              <w:left w:val="single" w:sz="4" w:space="0" w:color="auto"/>
              <w:right w:val="single" w:sz="2" w:space="0" w:color="auto"/>
            </w:tcBorders>
            <w:hideMark/>
          </w:tcPr>
          <w:p w14:paraId="1485C7C6" w14:textId="77777777" w:rsidR="00782DFC" w:rsidRPr="00296E54" w:rsidRDefault="00782DFC" w:rsidP="00C57F0D">
            <w:pPr>
              <w:pStyle w:val="NoSpacing"/>
              <w:rPr>
                <w:rFonts w:ascii="Palatino Linotype" w:hAnsi="Palatino Linotype"/>
                <w:i w:val="0"/>
                <w:iCs w:val="0"/>
                <w:sz w:val="20"/>
                <w:szCs w:val="20"/>
              </w:rPr>
            </w:pPr>
            <w:r w:rsidRPr="00296E54">
              <w:rPr>
                <w:rFonts w:ascii="Palatino Linotype" w:hAnsi="Palatino Linotype"/>
                <w:i w:val="0"/>
                <w:iCs w:val="0"/>
                <w:sz w:val="20"/>
                <w:szCs w:val="20"/>
              </w:rPr>
              <w:t>Azithromycin</w:t>
            </w:r>
          </w:p>
        </w:tc>
        <w:tc>
          <w:tcPr>
            <w:tcW w:w="1690" w:type="dxa"/>
            <w:tcBorders>
              <w:left w:val="single" w:sz="2" w:space="0" w:color="auto"/>
              <w:right w:val="single" w:sz="2" w:space="0" w:color="auto"/>
            </w:tcBorders>
          </w:tcPr>
          <w:p w14:paraId="6B4DC11B" w14:textId="7D481910" w:rsidR="00782DFC" w:rsidRPr="00296E54" w:rsidRDefault="007A7927"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W</w:t>
            </w:r>
          </w:p>
        </w:tc>
        <w:tc>
          <w:tcPr>
            <w:tcW w:w="1777" w:type="dxa"/>
            <w:tcBorders>
              <w:left w:val="single" w:sz="2" w:space="0" w:color="auto"/>
              <w:right w:val="single" w:sz="2" w:space="0" w:color="auto"/>
            </w:tcBorders>
          </w:tcPr>
          <w:p w14:paraId="20F62245" w14:textId="42C1FBE0"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O</w:t>
            </w:r>
          </w:p>
        </w:tc>
        <w:tc>
          <w:tcPr>
            <w:tcW w:w="466" w:type="dxa"/>
            <w:tcBorders>
              <w:left w:val="single" w:sz="2" w:space="0" w:color="auto"/>
            </w:tcBorders>
            <w:hideMark/>
          </w:tcPr>
          <w:p w14:paraId="1D8D757A"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3</w:t>
            </w:r>
          </w:p>
        </w:tc>
        <w:tc>
          <w:tcPr>
            <w:tcW w:w="778" w:type="dxa"/>
            <w:tcBorders>
              <w:right w:val="single" w:sz="4" w:space="0" w:color="auto"/>
            </w:tcBorders>
            <w:hideMark/>
          </w:tcPr>
          <w:p w14:paraId="56E09CF0"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60</w:t>
            </w:r>
            <w:r>
              <w:rPr>
                <w:rFonts w:ascii="Palatino Linotype" w:hAnsi="Palatino Linotype"/>
                <w:sz w:val="20"/>
                <w:szCs w:val="20"/>
              </w:rPr>
              <w:t>.</w:t>
            </w:r>
            <w:r w:rsidRPr="00296E54">
              <w:rPr>
                <w:rFonts w:ascii="Palatino Linotype" w:hAnsi="Palatino Linotype"/>
                <w:sz w:val="20"/>
                <w:szCs w:val="20"/>
              </w:rPr>
              <w:t>0</w:t>
            </w:r>
          </w:p>
        </w:tc>
        <w:tc>
          <w:tcPr>
            <w:tcW w:w="537" w:type="dxa"/>
            <w:tcBorders>
              <w:left w:val="single" w:sz="4" w:space="0" w:color="auto"/>
            </w:tcBorders>
            <w:hideMark/>
          </w:tcPr>
          <w:p w14:paraId="01F1984E"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p>
        </w:tc>
        <w:tc>
          <w:tcPr>
            <w:tcW w:w="996" w:type="dxa"/>
            <w:tcBorders>
              <w:right w:val="single" w:sz="4" w:space="0" w:color="auto"/>
            </w:tcBorders>
            <w:hideMark/>
          </w:tcPr>
          <w:p w14:paraId="2C6C9824"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r>
              <w:rPr>
                <w:rFonts w:ascii="Palatino Linotype" w:hAnsi="Palatino Linotype"/>
                <w:sz w:val="20"/>
                <w:szCs w:val="20"/>
              </w:rPr>
              <w:t>.</w:t>
            </w:r>
            <w:r w:rsidRPr="00296E54">
              <w:rPr>
                <w:rFonts w:ascii="Palatino Linotype" w:hAnsi="Palatino Linotype"/>
                <w:sz w:val="20"/>
                <w:szCs w:val="20"/>
              </w:rPr>
              <w:t>0</w:t>
            </w:r>
          </w:p>
        </w:tc>
        <w:tc>
          <w:tcPr>
            <w:tcW w:w="466" w:type="dxa"/>
            <w:tcBorders>
              <w:left w:val="single" w:sz="4" w:space="0" w:color="auto"/>
            </w:tcBorders>
            <w:hideMark/>
          </w:tcPr>
          <w:p w14:paraId="5D157292"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2</w:t>
            </w:r>
          </w:p>
        </w:tc>
        <w:tc>
          <w:tcPr>
            <w:tcW w:w="778" w:type="dxa"/>
            <w:tcBorders>
              <w:right w:val="single" w:sz="4" w:space="0" w:color="auto"/>
            </w:tcBorders>
            <w:hideMark/>
          </w:tcPr>
          <w:p w14:paraId="1AD9458D"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40</w:t>
            </w:r>
            <w:r>
              <w:rPr>
                <w:rFonts w:ascii="Palatino Linotype" w:hAnsi="Palatino Linotype"/>
                <w:sz w:val="20"/>
                <w:szCs w:val="20"/>
              </w:rPr>
              <w:t>.</w:t>
            </w:r>
            <w:r w:rsidRPr="00296E54">
              <w:rPr>
                <w:rFonts w:ascii="Palatino Linotype" w:hAnsi="Palatino Linotype"/>
                <w:sz w:val="20"/>
                <w:szCs w:val="20"/>
              </w:rPr>
              <w:t>0</w:t>
            </w:r>
          </w:p>
        </w:tc>
      </w:tr>
      <w:tr w:rsidR="00782DFC" w:rsidRPr="00296E54" w14:paraId="60194933" w14:textId="77777777" w:rsidTr="00562C32">
        <w:trPr>
          <w:trHeight w:val="300"/>
        </w:trPr>
        <w:tc>
          <w:tcPr>
            <w:cnfStyle w:val="001000000000" w:firstRow="0" w:lastRow="0" w:firstColumn="1" w:lastColumn="0" w:oddVBand="0" w:evenVBand="0" w:oddHBand="0" w:evenHBand="0" w:firstRowFirstColumn="0" w:firstRowLastColumn="0" w:lastRowFirstColumn="0" w:lastRowLastColumn="0"/>
            <w:tcW w:w="2264" w:type="dxa"/>
            <w:tcBorders>
              <w:left w:val="single" w:sz="4" w:space="0" w:color="auto"/>
              <w:right w:val="single" w:sz="2" w:space="0" w:color="auto"/>
            </w:tcBorders>
            <w:hideMark/>
          </w:tcPr>
          <w:p w14:paraId="7357F6DC" w14:textId="77777777" w:rsidR="00782DFC" w:rsidRPr="00296E54" w:rsidRDefault="00782DFC" w:rsidP="00C57F0D">
            <w:pPr>
              <w:pStyle w:val="NoSpacing"/>
              <w:rPr>
                <w:rFonts w:ascii="Palatino Linotype" w:hAnsi="Palatino Linotype"/>
                <w:i w:val="0"/>
                <w:iCs w:val="0"/>
                <w:sz w:val="20"/>
                <w:szCs w:val="20"/>
              </w:rPr>
            </w:pPr>
            <w:proofErr w:type="spellStart"/>
            <w:r w:rsidRPr="00296E54">
              <w:rPr>
                <w:rFonts w:ascii="Palatino Linotype" w:hAnsi="Palatino Linotype"/>
                <w:i w:val="0"/>
                <w:iCs w:val="0"/>
                <w:sz w:val="20"/>
                <w:szCs w:val="20"/>
              </w:rPr>
              <w:t>Cefoperazone</w:t>
            </w:r>
            <w:proofErr w:type="spellEnd"/>
            <w:r w:rsidRPr="00296E54">
              <w:rPr>
                <w:rFonts w:ascii="Palatino Linotype" w:hAnsi="Palatino Linotype"/>
                <w:i w:val="0"/>
                <w:iCs w:val="0"/>
                <w:sz w:val="20"/>
                <w:szCs w:val="20"/>
              </w:rPr>
              <w:t>/Sulbactam</w:t>
            </w:r>
          </w:p>
        </w:tc>
        <w:tc>
          <w:tcPr>
            <w:tcW w:w="1690" w:type="dxa"/>
            <w:tcBorders>
              <w:left w:val="single" w:sz="2" w:space="0" w:color="auto"/>
              <w:right w:val="single" w:sz="2" w:space="0" w:color="auto"/>
            </w:tcBorders>
          </w:tcPr>
          <w:p w14:paraId="10A65467"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W</w:t>
            </w:r>
          </w:p>
        </w:tc>
        <w:tc>
          <w:tcPr>
            <w:tcW w:w="1777" w:type="dxa"/>
            <w:tcBorders>
              <w:left w:val="single" w:sz="2" w:space="0" w:color="auto"/>
              <w:right w:val="single" w:sz="2" w:space="0" w:color="auto"/>
            </w:tcBorders>
          </w:tcPr>
          <w:p w14:paraId="5800BE45"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IV</w:t>
            </w:r>
          </w:p>
        </w:tc>
        <w:tc>
          <w:tcPr>
            <w:tcW w:w="466" w:type="dxa"/>
            <w:tcBorders>
              <w:left w:val="single" w:sz="2" w:space="0" w:color="auto"/>
            </w:tcBorders>
            <w:hideMark/>
          </w:tcPr>
          <w:p w14:paraId="2F904884"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p>
        </w:tc>
        <w:tc>
          <w:tcPr>
            <w:tcW w:w="778" w:type="dxa"/>
            <w:tcBorders>
              <w:right w:val="single" w:sz="4" w:space="0" w:color="auto"/>
            </w:tcBorders>
            <w:hideMark/>
          </w:tcPr>
          <w:p w14:paraId="4D3AB590"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r>
              <w:rPr>
                <w:rFonts w:ascii="Palatino Linotype" w:hAnsi="Palatino Linotype"/>
                <w:sz w:val="20"/>
                <w:szCs w:val="20"/>
              </w:rPr>
              <w:t>.</w:t>
            </w:r>
            <w:r w:rsidRPr="00296E54">
              <w:rPr>
                <w:rFonts w:ascii="Palatino Linotype" w:hAnsi="Palatino Linotype"/>
                <w:sz w:val="20"/>
                <w:szCs w:val="20"/>
              </w:rPr>
              <w:t>0</w:t>
            </w:r>
          </w:p>
        </w:tc>
        <w:tc>
          <w:tcPr>
            <w:tcW w:w="537" w:type="dxa"/>
            <w:tcBorders>
              <w:left w:val="single" w:sz="4" w:space="0" w:color="auto"/>
            </w:tcBorders>
            <w:hideMark/>
          </w:tcPr>
          <w:p w14:paraId="60542556"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2</w:t>
            </w:r>
          </w:p>
        </w:tc>
        <w:tc>
          <w:tcPr>
            <w:tcW w:w="996" w:type="dxa"/>
            <w:tcBorders>
              <w:right w:val="single" w:sz="4" w:space="0" w:color="auto"/>
            </w:tcBorders>
            <w:hideMark/>
          </w:tcPr>
          <w:p w14:paraId="17292DC9"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3</w:t>
            </w:r>
            <w:r>
              <w:rPr>
                <w:rFonts w:ascii="Palatino Linotype" w:hAnsi="Palatino Linotype"/>
                <w:sz w:val="20"/>
                <w:szCs w:val="20"/>
              </w:rPr>
              <w:t>.</w:t>
            </w:r>
            <w:r w:rsidRPr="00296E54">
              <w:rPr>
                <w:rFonts w:ascii="Palatino Linotype" w:hAnsi="Palatino Linotype"/>
                <w:sz w:val="20"/>
                <w:szCs w:val="20"/>
              </w:rPr>
              <w:t>9</w:t>
            </w:r>
          </w:p>
        </w:tc>
        <w:tc>
          <w:tcPr>
            <w:tcW w:w="466" w:type="dxa"/>
            <w:tcBorders>
              <w:left w:val="single" w:sz="4" w:space="0" w:color="auto"/>
            </w:tcBorders>
            <w:hideMark/>
          </w:tcPr>
          <w:p w14:paraId="21CE2DD2"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49</w:t>
            </w:r>
          </w:p>
        </w:tc>
        <w:tc>
          <w:tcPr>
            <w:tcW w:w="778" w:type="dxa"/>
            <w:tcBorders>
              <w:right w:val="single" w:sz="4" w:space="0" w:color="auto"/>
            </w:tcBorders>
            <w:hideMark/>
          </w:tcPr>
          <w:p w14:paraId="7DC094CC"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96</w:t>
            </w:r>
            <w:r>
              <w:rPr>
                <w:rFonts w:ascii="Palatino Linotype" w:hAnsi="Palatino Linotype"/>
                <w:sz w:val="20"/>
                <w:szCs w:val="20"/>
              </w:rPr>
              <w:t>.1</w:t>
            </w:r>
          </w:p>
        </w:tc>
      </w:tr>
      <w:tr w:rsidR="00E818E9" w:rsidRPr="00296E54" w14:paraId="7DF469FA" w14:textId="77777777" w:rsidTr="00562C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4" w:type="dxa"/>
            <w:tcBorders>
              <w:left w:val="single" w:sz="4" w:space="0" w:color="auto"/>
              <w:right w:val="single" w:sz="2" w:space="0" w:color="auto"/>
            </w:tcBorders>
            <w:hideMark/>
          </w:tcPr>
          <w:p w14:paraId="451A035E" w14:textId="77777777" w:rsidR="00782DFC" w:rsidRPr="00296E54" w:rsidRDefault="00782DFC" w:rsidP="00C57F0D">
            <w:pPr>
              <w:pStyle w:val="NoSpacing"/>
              <w:rPr>
                <w:rFonts w:ascii="Palatino Linotype" w:hAnsi="Palatino Linotype"/>
                <w:i w:val="0"/>
                <w:iCs w:val="0"/>
                <w:sz w:val="20"/>
                <w:szCs w:val="20"/>
              </w:rPr>
            </w:pPr>
            <w:r w:rsidRPr="00296E54">
              <w:rPr>
                <w:rFonts w:ascii="Palatino Linotype" w:hAnsi="Palatino Linotype"/>
                <w:i w:val="0"/>
                <w:iCs w:val="0"/>
                <w:sz w:val="20"/>
                <w:szCs w:val="20"/>
              </w:rPr>
              <w:t>Cefotaxime</w:t>
            </w:r>
          </w:p>
        </w:tc>
        <w:tc>
          <w:tcPr>
            <w:tcW w:w="1690" w:type="dxa"/>
            <w:tcBorders>
              <w:left w:val="single" w:sz="2" w:space="0" w:color="auto"/>
              <w:right w:val="single" w:sz="2" w:space="0" w:color="auto"/>
            </w:tcBorders>
          </w:tcPr>
          <w:p w14:paraId="11FFFED3"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W</w:t>
            </w:r>
          </w:p>
        </w:tc>
        <w:tc>
          <w:tcPr>
            <w:tcW w:w="1777" w:type="dxa"/>
            <w:tcBorders>
              <w:left w:val="single" w:sz="2" w:space="0" w:color="auto"/>
              <w:right w:val="single" w:sz="2" w:space="0" w:color="auto"/>
            </w:tcBorders>
          </w:tcPr>
          <w:p w14:paraId="24DF97AE"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IV</w:t>
            </w:r>
          </w:p>
        </w:tc>
        <w:tc>
          <w:tcPr>
            <w:tcW w:w="466" w:type="dxa"/>
            <w:tcBorders>
              <w:left w:val="single" w:sz="2" w:space="0" w:color="auto"/>
            </w:tcBorders>
            <w:hideMark/>
          </w:tcPr>
          <w:p w14:paraId="30CABC70"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12</w:t>
            </w:r>
          </w:p>
        </w:tc>
        <w:tc>
          <w:tcPr>
            <w:tcW w:w="778" w:type="dxa"/>
            <w:tcBorders>
              <w:right w:val="single" w:sz="4" w:space="0" w:color="auto"/>
            </w:tcBorders>
            <w:hideMark/>
          </w:tcPr>
          <w:p w14:paraId="6CABE070"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38</w:t>
            </w:r>
            <w:r>
              <w:rPr>
                <w:rFonts w:ascii="Palatino Linotype" w:hAnsi="Palatino Linotype"/>
                <w:sz w:val="20"/>
                <w:szCs w:val="20"/>
              </w:rPr>
              <w:t>.</w:t>
            </w:r>
            <w:r w:rsidRPr="00296E54">
              <w:rPr>
                <w:rFonts w:ascii="Palatino Linotype" w:hAnsi="Palatino Linotype"/>
                <w:sz w:val="20"/>
                <w:szCs w:val="20"/>
              </w:rPr>
              <w:t>7</w:t>
            </w:r>
          </w:p>
        </w:tc>
        <w:tc>
          <w:tcPr>
            <w:tcW w:w="537" w:type="dxa"/>
            <w:tcBorders>
              <w:left w:val="single" w:sz="4" w:space="0" w:color="auto"/>
            </w:tcBorders>
            <w:hideMark/>
          </w:tcPr>
          <w:p w14:paraId="18CE1B08"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19</w:t>
            </w:r>
          </w:p>
        </w:tc>
        <w:tc>
          <w:tcPr>
            <w:tcW w:w="996" w:type="dxa"/>
            <w:tcBorders>
              <w:right w:val="single" w:sz="4" w:space="0" w:color="auto"/>
            </w:tcBorders>
            <w:hideMark/>
          </w:tcPr>
          <w:p w14:paraId="35EFBC93"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61</w:t>
            </w:r>
            <w:r>
              <w:rPr>
                <w:rFonts w:ascii="Palatino Linotype" w:hAnsi="Palatino Linotype"/>
                <w:sz w:val="20"/>
                <w:szCs w:val="20"/>
              </w:rPr>
              <w:t>.</w:t>
            </w:r>
          </w:p>
        </w:tc>
        <w:tc>
          <w:tcPr>
            <w:tcW w:w="466" w:type="dxa"/>
            <w:tcBorders>
              <w:left w:val="single" w:sz="4" w:space="0" w:color="auto"/>
            </w:tcBorders>
            <w:hideMark/>
          </w:tcPr>
          <w:p w14:paraId="492235DC"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p>
        </w:tc>
        <w:tc>
          <w:tcPr>
            <w:tcW w:w="778" w:type="dxa"/>
            <w:tcBorders>
              <w:right w:val="single" w:sz="4" w:space="0" w:color="auto"/>
            </w:tcBorders>
            <w:hideMark/>
          </w:tcPr>
          <w:p w14:paraId="40790653"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r>
              <w:rPr>
                <w:rFonts w:ascii="Palatino Linotype" w:hAnsi="Palatino Linotype"/>
                <w:sz w:val="20"/>
                <w:szCs w:val="20"/>
              </w:rPr>
              <w:t>.</w:t>
            </w:r>
            <w:r w:rsidRPr="00296E54">
              <w:rPr>
                <w:rFonts w:ascii="Palatino Linotype" w:hAnsi="Palatino Linotype"/>
                <w:sz w:val="20"/>
                <w:szCs w:val="20"/>
              </w:rPr>
              <w:t>0</w:t>
            </w:r>
          </w:p>
        </w:tc>
      </w:tr>
      <w:tr w:rsidR="00782DFC" w:rsidRPr="00296E54" w14:paraId="37065173" w14:textId="77777777" w:rsidTr="00562C32">
        <w:trPr>
          <w:trHeight w:val="300"/>
        </w:trPr>
        <w:tc>
          <w:tcPr>
            <w:cnfStyle w:val="001000000000" w:firstRow="0" w:lastRow="0" w:firstColumn="1" w:lastColumn="0" w:oddVBand="0" w:evenVBand="0" w:oddHBand="0" w:evenHBand="0" w:firstRowFirstColumn="0" w:firstRowLastColumn="0" w:lastRowFirstColumn="0" w:lastRowLastColumn="0"/>
            <w:tcW w:w="2264" w:type="dxa"/>
            <w:tcBorders>
              <w:left w:val="single" w:sz="4" w:space="0" w:color="auto"/>
              <w:right w:val="single" w:sz="2" w:space="0" w:color="auto"/>
            </w:tcBorders>
            <w:hideMark/>
          </w:tcPr>
          <w:p w14:paraId="24929522" w14:textId="77777777" w:rsidR="00782DFC" w:rsidRPr="00296E54" w:rsidRDefault="00782DFC" w:rsidP="00C57F0D">
            <w:pPr>
              <w:pStyle w:val="NoSpacing"/>
              <w:rPr>
                <w:rFonts w:ascii="Palatino Linotype" w:hAnsi="Palatino Linotype"/>
                <w:i w:val="0"/>
                <w:iCs w:val="0"/>
                <w:sz w:val="20"/>
                <w:szCs w:val="20"/>
              </w:rPr>
            </w:pPr>
            <w:r w:rsidRPr="00296E54">
              <w:rPr>
                <w:rFonts w:ascii="Palatino Linotype" w:hAnsi="Palatino Linotype"/>
                <w:i w:val="0"/>
                <w:iCs w:val="0"/>
                <w:sz w:val="20"/>
                <w:szCs w:val="20"/>
              </w:rPr>
              <w:t>Cefotiam</w:t>
            </w:r>
          </w:p>
        </w:tc>
        <w:tc>
          <w:tcPr>
            <w:tcW w:w="1690" w:type="dxa"/>
            <w:tcBorders>
              <w:left w:val="single" w:sz="2" w:space="0" w:color="auto"/>
              <w:right w:val="single" w:sz="2" w:space="0" w:color="auto"/>
            </w:tcBorders>
          </w:tcPr>
          <w:p w14:paraId="266FEFD4"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W</w:t>
            </w:r>
          </w:p>
        </w:tc>
        <w:tc>
          <w:tcPr>
            <w:tcW w:w="1777" w:type="dxa"/>
            <w:tcBorders>
              <w:left w:val="single" w:sz="2" w:space="0" w:color="auto"/>
              <w:right w:val="single" w:sz="2" w:space="0" w:color="auto"/>
            </w:tcBorders>
          </w:tcPr>
          <w:p w14:paraId="2F504D84"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IV</w:t>
            </w:r>
          </w:p>
        </w:tc>
        <w:tc>
          <w:tcPr>
            <w:tcW w:w="466" w:type="dxa"/>
            <w:tcBorders>
              <w:left w:val="single" w:sz="2" w:space="0" w:color="auto"/>
            </w:tcBorders>
            <w:hideMark/>
          </w:tcPr>
          <w:p w14:paraId="36BA8EF4"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w:t>
            </w:r>
          </w:p>
        </w:tc>
        <w:tc>
          <w:tcPr>
            <w:tcW w:w="778" w:type="dxa"/>
            <w:tcBorders>
              <w:right w:val="single" w:sz="4" w:space="0" w:color="auto"/>
            </w:tcBorders>
            <w:hideMark/>
          </w:tcPr>
          <w:p w14:paraId="2E0B03DA"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16</w:t>
            </w:r>
            <w:r>
              <w:rPr>
                <w:rFonts w:ascii="Palatino Linotype" w:hAnsi="Palatino Linotype"/>
                <w:sz w:val="20"/>
                <w:szCs w:val="20"/>
              </w:rPr>
              <w:t>.7</w:t>
            </w:r>
          </w:p>
        </w:tc>
        <w:tc>
          <w:tcPr>
            <w:tcW w:w="537" w:type="dxa"/>
            <w:tcBorders>
              <w:left w:val="single" w:sz="4" w:space="0" w:color="auto"/>
            </w:tcBorders>
            <w:hideMark/>
          </w:tcPr>
          <w:p w14:paraId="779F9A88"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5</w:t>
            </w:r>
          </w:p>
        </w:tc>
        <w:tc>
          <w:tcPr>
            <w:tcW w:w="996" w:type="dxa"/>
            <w:tcBorders>
              <w:right w:val="single" w:sz="4" w:space="0" w:color="auto"/>
            </w:tcBorders>
            <w:hideMark/>
          </w:tcPr>
          <w:p w14:paraId="40F85987"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83</w:t>
            </w:r>
            <w:r>
              <w:rPr>
                <w:rFonts w:ascii="Palatino Linotype" w:hAnsi="Palatino Linotype"/>
                <w:sz w:val="20"/>
                <w:szCs w:val="20"/>
              </w:rPr>
              <w:t>.</w:t>
            </w:r>
            <w:r w:rsidRPr="00296E54">
              <w:rPr>
                <w:rFonts w:ascii="Palatino Linotype" w:hAnsi="Palatino Linotype"/>
                <w:sz w:val="20"/>
                <w:szCs w:val="20"/>
              </w:rPr>
              <w:t>33</w:t>
            </w:r>
          </w:p>
        </w:tc>
        <w:tc>
          <w:tcPr>
            <w:tcW w:w="466" w:type="dxa"/>
            <w:tcBorders>
              <w:left w:val="single" w:sz="4" w:space="0" w:color="auto"/>
            </w:tcBorders>
            <w:hideMark/>
          </w:tcPr>
          <w:p w14:paraId="128F6F48"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p>
        </w:tc>
        <w:tc>
          <w:tcPr>
            <w:tcW w:w="778" w:type="dxa"/>
            <w:tcBorders>
              <w:right w:val="single" w:sz="4" w:space="0" w:color="auto"/>
            </w:tcBorders>
            <w:hideMark/>
          </w:tcPr>
          <w:p w14:paraId="23ACCB77"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r>
              <w:rPr>
                <w:rFonts w:ascii="Palatino Linotype" w:hAnsi="Palatino Linotype"/>
                <w:sz w:val="20"/>
                <w:szCs w:val="20"/>
              </w:rPr>
              <w:t>.</w:t>
            </w:r>
            <w:r w:rsidRPr="00296E54">
              <w:rPr>
                <w:rFonts w:ascii="Palatino Linotype" w:hAnsi="Palatino Linotype"/>
                <w:sz w:val="20"/>
                <w:szCs w:val="20"/>
              </w:rPr>
              <w:t>0</w:t>
            </w:r>
          </w:p>
        </w:tc>
      </w:tr>
      <w:tr w:rsidR="00E818E9" w:rsidRPr="00296E54" w14:paraId="42D2B5E0" w14:textId="77777777" w:rsidTr="00562C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4" w:type="dxa"/>
            <w:tcBorders>
              <w:left w:val="single" w:sz="4" w:space="0" w:color="auto"/>
              <w:right w:val="single" w:sz="2" w:space="0" w:color="auto"/>
            </w:tcBorders>
            <w:hideMark/>
          </w:tcPr>
          <w:p w14:paraId="086F6B9E" w14:textId="77777777" w:rsidR="00782DFC" w:rsidRPr="00296E54" w:rsidRDefault="00782DFC" w:rsidP="00C57F0D">
            <w:pPr>
              <w:pStyle w:val="NoSpacing"/>
              <w:rPr>
                <w:rFonts w:ascii="Palatino Linotype" w:hAnsi="Palatino Linotype"/>
                <w:i w:val="0"/>
                <w:iCs w:val="0"/>
                <w:sz w:val="20"/>
                <w:szCs w:val="20"/>
              </w:rPr>
            </w:pPr>
            <w:r w:rsidRPr="00296E54">
              <w:rPr>
                <w:rFonts w:ascii="Palatino Linotype" w:hAnsi="Palatino Linotype"/>
                <w:i w:val="0"/>
                <w:iCs w:val="0"/>
                <w:sz w:val="20"/>
                <w:szCs w:val="20"/>
              </w:rPr>
              <w:t>Ceftizoxime</w:t>
            </w:r>
          </w:p>
        </w:tc>
        <w:tc>
          <w:tcPr>
            <w:tcW w:w="1690" w:type="dxa"/>
            <w:tcBorders>
              <w:left w:val="single" w:sz="2" w:space="0" w:color="auto"/>
              <w:right w:val="single" w:sz="2" w:space="0" w:color="auto"/>
            </w:tcBorders>
          </w:tcPr>
          <w:p w14:paraId="358040C6"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W</w:t>
            </w:r>
          </w:p>
        </w:tc>
        <w:tc>
          <w:tcPr>
            <w:tcW w:w="1777" w:type="dxa"/>
            <w:tcBorders>
              <w:left w:val="single" w:sz="2" w:space="0" w:color="auto"/>
              <w:right w:val="single" w:sz="2" w:space="0" w:color="auto"/>
            </w:tcBorders>
          </w:tcPr>
          <w:p w14:paraId="1441C47F"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IV</w:t>
            </w:r>
          </w:p>
        </w:tc>
        <w:tc>
          <w:tcPr>
            <w:tcW w:w="466" w:type="dxa"/>
            <w:tcBorders>
              <w:left w:val="single" w:sz="2" w:space="0" w:color="auto"/>
            </w:tcBorders>
            <w:hideMark/>
          </w:tcPr>
          <w:p w14:paraId="3A1C0A70"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4</w:t>
            </w:r>
          </w:p>
        </w:tc>
        <w:tc>
          <w:tcPr>
            <w:tcW w:w="778" w:type="dxa"/>
            <w:tcBorders>
              <w:right w:val="single" w:sz="4" w:space="0" w:color="auto"/>
            </w:tcBorders>
            <w:hideMark/>
          </w:tcPr>
          <w:p w14:paraId="60C93D68"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44</w:t>
            </w:r>
            <w:r>
              <w:rPr>
                <w:rFonts w:ascii="Palatino Linotype" w:hAnsi="Palatino Linotype"/>
                <w:sz w:val="20"/>
                <w:szCs w:val="20"/>
              </w:rPr>
              <w:t>.</w:t>
            </w:r>
            <w:r w:rsidRPr="00296E54">
              <w:rPr>
                <w:rFonts w:ascii="Palatino Linotype" w:hAnsi="Palatino Linotype"/>
                <w:sz w:val="20"/>
                <w:szCs w:val="20"/>
              </w:rPr>
              <w:t>4</w:t>
            </w:r>
          </w:p>
        </w:tc>
        <w:tc>
          <w:tcPr>
            <w:tcW w:w="537" w:type="dxa"/>
            <w:tcBorders>
              <w:left w:val="single" w:sz="4" w:space="0" w:color="auto"/>
            </w:tcBorders>
            <w:hideMark/>
          </w:tcPr>
          <w:p w14:paraId="2345AD01"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5</w:t>
            </w:r>
          </w:p>
        </w:tc>
        <w:tc>
          <w:tcPr>
            <w:tcW w:w="996" w:type="dxa"/>
            <w:tcBorders>
              <w:right w:val="single" w:sz="4" w:space="0" w:color="auto"/>
            </w:tcBorders>
            <w:hideMark/>
          </w:tcPr>
          <w:p w14:paraId="430ABA42"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55</w:t>
            </w:r>
            <w:r>
              <w:rPr>
                <w:rFonts w:ascii="Palatino Linotype" w:hAnsi="Palatino Linotype"/>
                <w:sz w:val="20"/>
                <w:szCs w:val="20"/>
              </w:rPr>
              <w:t>.</w:t>
            </w:r>
            <w:r w:rsidRPr="00296E54">
              <w:rPr>
                <w:rFonts w:ascii="Palatino Linotype" w:hAnsi="Palatino Linotype"/>
                <w:sz w:val="20"/>
                <w:szCs w:val="20"/>
              </w:rPr>
              <w:t>6</w:t>
            </w:r>
          </w:p>
        </w:tc>
        <w:tc>
          <w:tcPr>
            <w:tcW w:w="466" w:type="dxa"/>
            <w:tcBorders>
              <w:left w:val="single" w:sz="4" w:space="0" w:color="auto"/>
            </w:tcBorders>
            <w:hideMark/>
          </w:tcPr>
          <w:p w14:paraId="0D9846FA"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p>
        </w:tc>
        <w:tc>
          <w:tcPr>
            <w:tcW w:w="778" w:type="dxa"/>
            <w:tcBorders>
              <w:right w:val="single" w:sz="4" w:space="0" w:color="auto"/>
            </w:tcBorders>
            <w:hideMark/>
          </w:tcPr>
          <w:p w14:paraId="25E7A5DC"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r>
              <w:rPr>
                <w:rFonts w:ascii="Palatino Linotype" w:hAnsi="Palatino Linotype"/>
                <w:sz w:val="20"/>
                <w:szCs w:val="20"/>
              </w:rPr>
              <w:t>.</w:t>
            </w:r>
            <w:r w:rsidRPr="00296E54">
              <w:rPr>
                <w:rFonts w:ascii="Palatino Linotype" w:hAnsi="Palatino Linotype"/>
                <w:sz w:val="20"/>
                <w:szCs w:val="20"/>
              </w:rPr>
              <w:t>0</w:t>
            </w:r>
          </w:p>
        </w:tc>
      </w:tr>
      <w:tr w:rsidR="00782DFC" w:rsidRPr="00296E54" w14:paraId="063C78C4" w14:textId="77777777" w:rsidTr="00562C32">
        <w:trPr>
          <w:trHeight w:val="300"/>
        </w:trPr>
        <w:tc>
          <w:tcPr>
            <w:cnfStyle w:val="001000000000" w:firstRow="0" w:lastRow="0" w:firstColumn="1" w:lastColumn="0" w:oddVBand="0" w:evenVBand="0" w:oddHBand="0" w:evenHBand="0" w:firstRowFirstColumn="0" w:firstRowLastColumn="0" w:lastRowFirstColumn="0" w:lastRowLastColumn="0"/>
            <w:tcW w:w="2264" w:type="dxa"/>
            <w:tcBorders>
              <w:left w:val="single" w:sz="4" w:space="0" w:color="auto"/>
              <w:right w:val="single" w:sz="2" w:space="0" w:color="auto"/>
            </w:tcBorders>
            <w:hideMark/>
          </w:tcPr>
          <w:p w14:paraId="28981AC2" w14:textId="77777777" w:rsidR="00782DFC" w:rsidRPr="00296E54" w:rsidRDefault="00782DFC" w:rsidP="00C57F0D">
            <w:pPr>
              <w:pStyle w:val="NoSpacing"/>
              <w:rPr>
                <w:rFonts w:ascii="Palatino Linotype" w:hAnsi="Palatino Linotype"/>
                <w:i w:val="0"/>
                <w:iCs w:val="0"/>
                <w:sz w:val="20"/>
                <w:szCs w:val="20"/>
              </w:rPr>
            </w:pPr>
            <w:r w:rsidRPr="00296E54">
              <w:rPr>
                <w:rFonts w:ascii="Palatino Linotype" w:hAnsi="Palatino Linotype"/>
                <w:i w:val="0"/>
                <w:iCs w:val="0"/>
                <w:sz w:val="20"/>
                <w:szCs w:val="20"/>
              </w:rPr>
              <w:t>Clarithromycin</w:t>
            </w:r>
          </w:p>
        </w:tc>
        <w:tc>
          <w:tcPr>
            <w:tcW w:w="1690" w:type="dxa"/>
            <w:tcBorders>
              <w:left w:val="single" w:sz="2" w:space="0" w:color="auto"/>
              <w:right w:val="single" w:sz="2" w:space="0" w:color="auto"/>
            </w:tcBorders>
          </w:tcPr>
          <w:p w14:paraId="6E4749C8"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W</w:t>
            </w:r>
          </w:p>
        </w:tc>
        <w:tc>
          <w:tcPr>
            <w:tcW w:w="1777" w:type="dxa"/>
            <w:tcBorders>
              <w:left w:val="single" w:sz="2" w:space="0" w:color="auto"/>
              <w:right w:val="single" w:sz="2" w:space="0" w:color="auto"/>
            </w:tcBorders>
          </w:tcPr>
          <w:p w14:paraId="3FE67E89" w14:textId="71584150"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O</w:t>
            </w:r>
          </w:p>
        </w:tc>
        <w:tc>
          <w:tcPr>
            <w:tcW w:w="466" w:type="dxa"/>
            <w:tcBorders>
              <w:left w:val="single" w:sz="2" w:space="0" w:color="auto"/>
            </w:tcBorders>
            <w:hideMark/>
          </w:tcPr>
          <w:p w14:paraId="0891116F"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p>
        </w:tc>
        <w:tc>
          <w:tcPr>
            <w:tcW w:w="778" w:type="dxa"/>
            <w:tcBorders>
              <w:right w:val="single" w:sz="4" w:space="0" w:color="auto"/>
            </w:tcBorders>
            <w:hideMark/>
          </w:tcPr>
          <w:p w14:paraId="405683A0"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0</w:t>
            </w:r>
            <w:r>
              <w:rPr>
                <w:rFonts w:ascii="Palatino Linotype" w:hAnsi="Palatino Linotype"/>
                <w:sz w:val="20"/>
                <w:szCs w:val="20"/>
              </w:rPr>
              <w:t>.</w:t>
            </w:r>
            <w:r w:rsidRPr="00296E54">
              <w:rPr>
                <w:rFonts w:ascii="Palatino Linotype" w:hAnsi="Palatino Linotype"/>
                <w:sz w:val="20"/>
                <w:szCs w:val="20"/>
              </w:rPr>
              <w:t>0</w:t>
            </w:r>
          </w:p>
        </w:tc>
        <w:tc>
          <w:tcPr>
            <w:tcW w:w="537" w:type="dxa"/>
            <w:tcBorders>
              <w:left w:val="single" w:sz="4" w:space="0" w:color="auto"/>
            </w:tcBorders>
            <w:hideMark/>
          </w:tcPr>
          <w:p w14:paraId="520462B9"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3</w:t>
            </w:r>
          </w:p>
        </w:tc>
        <w:tc>
          <w:tcPr>
            <w:tcW w:w="996" w:type="dxa"/>
            <w:tcBorders>
              <w:right w:val="single" w:sz="4" w:space="0" w:color="auto"/>
            </w:tcBorders>
            <w:hideMark/>
          </w:tcPr>
          <w:p w14:paraId="0D4C25A2"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60</w:t>
            </w:r>
            <w:r>
              <w:rPr>
                <w:rFonts w:ascii="Palatino Linotype" w:hAnsi="Palatino Linotype"/>
                <w:sz w:val="20"/>
                <w:szCs w:val="20"/>
              </w:rPr>
              <w:t>.</w:t>
            </w:r>
            <w:r w:rsidRPr="00296E54">
              <w:rPr>
                <w:rFonts w:ascii="Palatino Linotype" w:hAnsi="Palatino Linotype"/>
                <w:sz w:val="20"/>
                <w:szCs w:val="20"/>
              </w:rPr>
              <w:t>0</w:t>
            </w:r>
          </w:p>
        </w:tc>
        <w:tc>
          <w:tcPr>
            <w:tcW w:w="466" w:type="dxa"/>
            <w:tcBorders>
              <w:left w:val="single" w:sz="4" w:space="0" w:color="auto"/>
            </w:tcBorders>
            <w:hideMark/>
          </w:tcPr>
          <w:p w14:paraId="3D4C63D6"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2</w:t>
            </w:r>
          </w:p>
        </w:tc>
        <w:tc>
          <w:tcPr>
            <w:tcW w:w="778" w:type="dxa"/>
            <w:tcBorders>
              <w:right w:val="single" w:sz="4" w:space="0" w:color="auto"/>
            </w:tcBorders>
            <w:hideMark/>
          </w:tcPr>
          <w:p w14:paraId="369ED41F" w14:textId="77777777" w:rsidR="00782DFC" w:rsidRPr="00296E54" w:rsidRDefault="00782DFC"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40</w:t>
            </w:r>
            <w:r>
              <w:rPr>
                <w:rFonts w:ascii="Palatino Linotype" w:hAnsi="Palatino Linotype"/>
                <w:sz w:val="20"/>
                <w:szCs w:val="20"/>
              </w:rPr>
              <w:t>.</w:t>
            </w:r>
            <w:r w:rsidRPr="00296E54">
              <w:rPr>
                <w:rFonts w:ascii="Palatino Linotype" w:hAnsi="Palatino Linotype"/>
                <w:sz w:val="20"/>
                <w:szCs w:val="20"/>
              </w:rPr>
              <w:t>0</w:t>
            </w:r>
          </w:p>
        </w:tc>
      </w:tr>
      <w:tr w:rsidR="00E818E9" w:rsidRPr="00296E54" w14:paraId="04359771" w14:textId="77777777" w:rsidTr="00562C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4" w:type="dxa"/>
            <w:tcBorders>
              <w:left w:val="single" w:sz="4" w:space="0" w:color="auto"/>
              <w:bottom w:val="single" w:sz="4" w:space="0" w:color="auto"/>
              <w:right w:val="single" w:sz="2" w:space="0" w:color="auto"/>
            </w:tcBorders>
            <w:hideMark/>
          </w:tcPr>
          <w:p w14:paraId="58F19FF7" w14:textId="77777777" w:rsidR="00782DFC" w:rsidRPr="00296E54" w:rsidRDefault="00782DFC" w:rsidP="00C57F0D">
            <w:pPr>
              <w:pStyle w:val="NoSpacing"/>
              <w:rPr>
                <w:rFonts w:ascii="Palatino Linotype" w:hAnsi="Palatino Linotype"/>
                <w:i w:val="0"/>
                <w:iCs w:val="0"/>
                <w:sz w:val="20"/>
                <w:szCs w:val="20"/>
              </w:rPr>
            </w:pPr>
            <w:r w:rsidRPr="00296E54">
              <w:rPr>
                <w:rFonts w:ascii="Palatino Linotype" w:hAnsi="Palatino Linotype"/>
                <w:i w:val="0"/>
                <w:iCs w:val="0"/>
                <w:sz w:val="20"/>
                <w:szCs w:val="20"/>
              </w:rPr>
              <w:t>Gentamicin</w:t>
            </w:r>
          </w:p>
        </w:tc>
        <w:tc>
          <w:tcPr>
            <w:tcW w:w="1690" w:type="dxa"/>
            <w:tcBorders>
              <w:left w:val="single" w:sz="2" w:space="0" w:color="auto"/>
              <w:bottom w:val="single" w:sz="4" w:space="0" w:color="auto"/>
              <w:right w:val="single" w:sz="2" w:space="0" w:color="auto"/>
            </w:tcBorders>
          </w:tcPr>
          <w:p w14:paraId="48929960"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A</w:t>
            </w:r>
          </w:p>
        </w:tc>
        <w:tc>
          <w:tcPr>
            <w:tcW w:w="1777" w:type="dxa"/>
            <w:tcBorders>
              <w:left w:val="single" w:sz="2" w:space="0" w:color="auto"/>
              <w:bottom w:val="single" w:sz="4" w:space="0" w:color="auto"/>
              <w:right w:val="single" w:sz="2" w:space="0" w:color="auto"/>
            </w:tcBorders>
          </w:tcPr>
          <w:p w14:paraId="3B12DF20"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IV</w:t>
            </w:r>
          </w:p>
        </w:tc>
        <w:tc>
          <w:tcPr>
            <w:tcW w:w="466" w:type="dxa"/>
            <w:tcBorders>
              <w:left w:val="single" w:sz="2" w:space="0" w:color="auto"/>
              <w:bottom w:val="single" w:sz="4" w:space="0" w:color="auto"/>
            </w:tcBorders>
            <w:hideMark/>
          </w:tcPr>
          <w:p w14:paraId="5E06B400"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w:t>
            </w:r>
          </w:p>
        </w:tc>
        <w:tc>
          <w:tcPr>
            <w:tcW w:w="778" w:type="dxa"/>
            <w:tcBorders>
              <w:bottom w:val="single" w:sz="4" w:space="0" w:color="auto"/>
              <w:right w:val="single" w:sz="4" w:space="0" w:color="auto"/>
            </w:tcBorders>
            <w:hideMark/>
          </w:tcPr>
          <w:p w14:paraId="42345AFC"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16</w:t>
            </w:r>
            <w:r>
              <w:rPr>
                <w:rFonts w:ascii="Palatino Linotype" w:hAnsi="Palatino Linotype"/>
                <w:sz w:val="20"/>
                <w:szCs w:val="20"/>
              </w:rPr>
              <w:t>.</w:t>
            </w:r>
            <w:r w:rsidRPr="00296E54">
              <w:rPr>
                <w:rFonts w:ascii="Palatino Linotype" w:hAnsi="Palatino Linotype"/>
                <w:sz w:val="20"/>
                <w:szCs w:val="20"/>
              </w:rPr>
              <w:t>7</w:t>
            </w:r>
          </w:p>
        </w:tc>
        <w:tc>
          <w:tcPr>
            <w:tcW w:w="537" w:type="dxa"/>
            <w:tcBorders>
              <w:left w:val="single" w:sz="4" w:space="0" w:color="auto"/>
              <w:bottom w:val="single" w:sz="4" w:space="0" w:color="auto"/>
            </w:tcBorders>
            <w:hideMark/>
          </w:tcPr>
          <w:p w14:paraId="6D936078"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4</w:t>
            </w:r>
          </w:p>
        </w:tc>
        <w:tc>
          <w:tcPr>
            <w:tcW w:w="996" w:type="dxa"/>
            <w:tcBorders>
              <w:bottom w:val="single" w:sz="4" w:space="0" w:color="auto"/>
              <w:right w:val="single" w:sz="4" w:space="0" w:color="auto"/>
            </w:tcBorders>
            <w:hideMark/>
          </w:tcPr>
          <w:p w14:paraId="49E8BD26"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66</w:t>
            </w:r>
            <w:r>
              <w:rPr>
                <w:rFonts w:ascii="Palatino Linotype" w:hAnsi="Palatino Linotype"/>
                <w:sz w:val="20"/>
                <w:szCs w:val="20"/>
              </w:rPr>
              <w:t>.</w:t>
            </w:r>
            <w:r w:rsidRPr="00296E54">
              <w:rPr>
                <w:rFonts w:ascii="Palatino Linotype" w:hAnsi="Palatino Linotype"/>
                <w:sz w:val="20"/>
                <w:szCs w:val="20"/>
              </w:rPr>
              <w:t>7</w:t>
            </w:r>
          </w:p>
        </w:tc>
        <w:tc>
          <w:tcPr>
            <w:tcW w:w="466" w:type="dxa"/>
            <w:tcBorders>
              <w:left w:val="single" w:sz="4" w:space="0" w:color="auto"/>
              <w:bottom w:val="single" w:sz="4" w:space="0" w:color="auto"/>
            </w:tcBorders>
            <w:hideMark/>
          </w:tcPr>
          <w:p w14:paraId="00AD47D4"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w:t>
            </w:r>
          </w:p>
        </w:tc>
        <w:tc>
          <w:tcPr>
            <w:tcW w:w="778" w:type="dxa"/>
            <w:tcBorders>
              <w:bottom w:val="single" w:sz="4" w:space="0" w:color="auto"/>
              <w:right w:val="single" w:sz="4" w:space="0" w:color="auto"/>
            </w:tcBorders>
            <w:hideMark/>
          </w:tcPr>
          <w:p w14:paraId="12A94E82" w14:textId="77777777" w:rsidR="00782DFC" w:rsidRPr="00296E54" w:rsidRDefault="00782DFC" w:rsidP="00C57F0D">
            <w:pPr>
              <w:pStyle w:val="NoSpacing"/>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16</w:t>
            </w:r>
            <w:r>
              <w:rPr>
                <w:rFonts w:ascii="Palatino Linotype" w:hAnsi="Palatino Linotype"/>
                <w:sz w:val="20"/>
                <w:szCs w:val="20"/>
              </w:rPr>
              <w:t>.7</w:t>
            </w:r>
          </w:p>
        </w:tc>
      </w:tr>
      <w:tr w:rsidR="00E818E9" w:rsidRPr="00296E54" w14:paraId="4DED57EF" w14:textId="77777777" w:rsidTr="00C57F0D">
        <w:trPr>
          <w:trHeight w:val="300"/>
        </w:trPr>
        <w:tc>
          <w:tcPr>
            <w:cnfStyle w:val="001000000000" w:firstRow="0" w:lastRow="0" w:firstColumn="1" w:lastColumn="0" w:oddVBand="0" w:evenVBand="0" w:oddHBand="0" w:evenHBand="0" w:firstRowFirstColumn="0" w:firstRowLastColumn="0" w:lastRowFirstColumn="0" w:lastRowLastColumn="0"/>
            <w:tcW w:w="5731" w:type="dxa"/>
            <w:gridSpan w:val="3"/>
            <w:tcBorders>
              <w:top w:val="single" w:sz="4" w:space="0" w:color="auto"/>
              <w:left w:val="single" w:sz="4" w:space="0" w:color="auto"/>
              <w:bottom w:val="single" w:sz="4" w:space="0" w:color="auto"/>
              <w:right w:val="single" w:sz="2" w:space="0" w:color="auto"/>
            </w:tcBorders>
            <w:shd w:val="clear" w:color="auto" w:fill="D0CECE" w:themeFill="background2" w:themeFillShade="E6"/>
          </w:tcPr>
          <w:p w14:paraId="5F9B4704" w14:textId="77777777" w:rsidR="00562C32" w:rsidRPr="00296E54" w:rsidRDefault="00562C32" w:rsidP="00C57F0D">
            <w:pPr>
              <w:pStyle w:val="NoSpacing"/>
              <w:jc w:val="left"/>
              <w:rPr>
                <w:rFonts w:ascii="Palatino Linotype" w:hAnsi="Palatino Linotype"/>
                <w:b/>
                <w:bCs/>
                <w:sz w:val="20"/>
                <w:szCs w:val="20"/>
              </w:rPr>
            </w:pPr>
            <w:r w:rsidRPr="00296E54">
              <w:rPr>
                <w:rFonts w:ascii="Palatino Linotype" w:hAnsi="Palatino Linotype"/>
                <w:b/>
                <w:bCs/>
                <w:sz w:val="20"/>
                <w:szCs w:val="20"/>
              </w:rPr>
              <w:t>Total</w:t>
            </w:r>
          </w:p>
        </w:tc>
        <w:tc>
          <w:tcPr>
            <w:tcW w:w="466" w:type="dxa"/>
            <w:tcBorders>
              <w:top w:val="single" w:sz="4" w:space="0" w:color="auto"/>
              <w:left w:val="single" w:sz="2" w:space="0" w:color="auto"/>
              <w:bottom w:val="single" w:sz="4" w:space="0" w:color="auto"/>
            </w:tcBorders>
            <w:shd w:val="clear" w:color="auto" w:fill="D0CECE" w:themeFill="background2" w:themeFillShade="E6"/>
          </w:tcPr>
          <w:p w14:paraId="63004406" w14:textId="77777777" w:rsidR="00562C32" w:rsidRPr="00296E54" w:rsidRDefault="00562C32"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23</w:t>
            </w:r>
          </w:p>
        </w:tc>
        <w:tc>
          <w:tcPr>
            <w:tcW w:w="778" w:type="dxa"/>
            <w:tcBorders>
              <w:top w:val="single" w:sz="4" w:space="0" w:color="auto"/>
              <w:bottom w:val="single" w:sz="4" w:space="0" w:color="auto"/>
              <w:right w:val="single" w:sz="4" w:space="0" w:color="auto"/>
            </w:tcBorders>
            <w:shd w:val="clear" w:color="auto" w:fill="D0CECE" w:themeFill="background2" w:themeFillShade="E6"/>
          </w:tcPr>
          <w:p w14:paraId="1C3E7AFD" w14:textId="77777777" w:rsidR="00562C32" w:rsidRPr="00296E54" w:rsidRDefault="00562C32"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17</w:t>
            </w:r>
            <w:r>
              <w:rPr>
                <w:rFonts w:ascii="Palatino Linotype" w:hAnsi="Palatino Linotype"/>
                <w:sz w:val="20"/>
                <w:szCs w:val="20"/>
              </w:rPr>
              <w:t>.</w:t>
            </w:r>
            <w:r w:rsidRPr="00296E54">
              <w:rPr>
                <w:rFonts w:ascii="Palatino Linotype" w:hAnsi="Palatino Linotype"/>
                <w:sz w:val="20"/>
                <w:szCs w:val="20"/>
              </w:rPr>
              <w:t>0</w:t>
            </w:r>
          </w:p>
        </w:tc>
        <w:tc>
          <w:tcPr>
            <w:tcW w:w="537" w:type="dxa"/>
            <w:tcBorders>
              <w:top w:val="single" w:sz="4" w:space="0" w:color="auto"/>
              <w:left w:val="single" w:sz="4" w:space="0" w:color="auto"/>
              <w:bottom w:val="single" w:sz="4" w:space="0" w:color="auto"/>
            </w:tcBorders>
            <w:shd w:val="clear" w:color="auto" w:fill="D0CECE" w:themeFill="background2" w:themeFillShade="E6"/>
          </w:tcPr>
          <w:p w14:paraId="24010977" w14:textId="77777777" w:rsidR="00562C32" w:rsidRPr="00296E54" w:rsidRDefault="00562C32"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57</w:t>
            </w:r>
          </w:p>
        </w:tc>
        <w:tc>
          <w:tcPr>
            <w:tcW w:w="996" w:type="dxa"/>
            <w:tcBorders>
              <w:top w:val="single" w:sz="4" w:space="0" w:color="auto"/>
              <w:bottom w:val="single" w:sz="4" w:space="0" w:color="auto"/>
              <w:right w:val="single" w:sz="4" w:space="0" w:color="auto"/>
            </w:tcBorders>
            <w:shd w:val="clear" w:color="auto" w:fill="D0CECE" w:themeFill="background2" w:themeFillShade="E6"/>
          </w:tcPr>
          <w:p w14:paraId="56D4CDA1" w14:textId="77777777" w:rsidR="00562C32" w:rsidRPr="00296E54" w:rsidRDefault="00562C32"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42</w:t>
            </w:r>
            <w:r>
              <w:rPr>
                <w:rFonts w:ascii="Palatino Linotype" w:hAnsi="Palatino Linotype"/>
                <w:sz w:val="20"/>
                <w:szCs w:val="20"/>
              </w:rPr>
              <w:t>.</w:t>
            </w:r>
            <w:r w:rsidRPr="00296E54">
              <w:rPr>
                <w:rFonts w:ascii="Palatino Linotype" w:hAnsi="Palatino Linotype"/>
                <w:sz w:val="20"/>
                <w:szCs w:val="20"/>
              </w:rPr>
              <w:t>2</w:t>
            </w:r>
          </w:p>
        </w:tc>
        <w:tc>
          <w:tcPr>
            <w:tcW w:w="466" w:type="dxa"/>
            <w:tcBorders>
              <w:top w:val="single" w:sz="4" w:space="0" w:color="auto"/>
              <w:left w:val="single" w:sz="4" w:space="0" w:color="auto"/>
              <w:bottom w:val="single" w:sz="4" w:space="0" w:color="auto"/>
            </w:tcBorders>
            <w:shd w:val="clear" w:color="auto" w:fill="D0CECE" w:themeFill="background2" w:themeFillShade="E6"/>
          </w:tcPr>
          <w:p w14:paraId="3CE18A8E" w14:textId="77777777" w:rsidR="00562C32" w:rsidRPr="00296E54" w:rsidRDefault="00562C32"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55</w:t>
            </w:r>
          </w:p>
        </w:tc>
        <w:tc>
          <w:tcPr>
            <w:tcW w:w="778" w:type="dxa"/>
            <w:tcBorders>
              <w:top w:val="single" w:sz="4" w:space="0" w:color="auto"/>
              <w:bottom w:val="single" w:sz="4" w:space="0" w:color="auto"/>
              <w:right w:val="single" w:sz="4" w:space="0" w:color="auto"/>
            </w:tcBorders>
            <w:shd w:val="clear" w:color="auto" w:fill="D0CECE" w:themeFill="background2" w:themeFillShade="E6"/>
          </w:tcPr>
          <w:p w14:paraId="338D4719" w14:textId="77777777" w:rsidR="00562C32" w:rsidRPr="00296E54" w:rsidRDefault="00562C32" w:rsidP="00C57F0D">
            <w:pPr>
              <w:pStyle w:val="NoSpacing"/>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96E54">
              <w:rPr>
                <w:rFonts w:ascii="Palatino Linotype" w:hAnsi="Palatino Linotype"/>
                <w:sz w:val="20"/>
                <w:szCs w:val="20"/>
              </w:rPr>
              <w:t>40</w:t>
            </w:r>
            <w:r>
              <w:rPr>
                <w:rFonts w:ascii="Palatino Linotype" w:hAnsi="Palatino Linotype"/>
                <w:sz w:val="20"/>
                <w:szCs w:val="20"/>
              </w:rPr>
              <w:t>.</w:t>
            </w:r>
            <w:r w:rsidRPr="00296E54">
              <w:rPr>
                <w:rFonts w:ascii="Palatino Linotype" w:hAnsi="Palatino Linotype"/>
                <w:sz w:val="20"/>
                <w:szCs w:val="20"/>
              </w:rPr>
              <w:t>7</w:t>
            </w:r>
          </w:p>
        </w:tc>
      </w:tr>
    </w:tbl>
    <w:p w14:paraId="2DB26EC5" w14:textId="45CBB3A1" w:rsidR="00782DFC" w:rsidRPr="00B6002B" w:rsidRDefault="00782DFC" w:rsidP="00C773C3">
      <w:pPr>
        <w:spacing w:line="276" w:lineRule="auto"/>
        <w:ind w:left="1020"/>
        <w:rPr>
          <w:color w:val="202124"/>
          <w:sz w:val="18"/>
          <w:szCs w:val="18"/>
          <w:lang w:val="en-GB"/>
        </w:rPr>
      </w:pPr>
      <w:r w:rsidRPr="00B6002B">
        <w:rPr>
          <w:sz w:val="18"/>
          <w:szCs w:val="18"/>
          <w:lang w:val="en-GB"/>
        </w:rPr>
        <w:t xml:space="preserve">NB: </w:t>
      </w:r>
      <w:r w:rsidR="00B6002B" w:rsidRPr="00B6002B">
        <w:rPr>
          <w:sz w:val="18"/>
          <w:szCs w:val="18"/>
          <w:lang w:val="en-GB"/>
        </w:rPr>
        <w:t xml:space="preserve">105 patients analysed as insufficient information was available in the notes from 3 patients; </w:t>
      </w:r>
      <w:r w:rsidRPr="00B6002B">
        <w:rPr>
          <w:sz w:val="18"/>
          <w:szCs w:val="18"/>
          <w:lang w:val="en-GB"/>
        </w:rPr>
        <w:t>IV = Intravenous, O = Oral</w:t>
      </w:r>
      <w:r w:rsidR="00B6002B" w:rsidRPr="00B6002B">
        <w:rPr>
          <w:i/>
          <w:iCs/>
          <w:sz w:val="18"/>
          <w:szCs w:val="18"/>
        </w:rPr>
        <w:t xml:space="preserve">; </w:t>
      </w:r>
      <w:r w:rsidRPr="00B6002B">
        <w:rPr>
          <w:i/>
          <w:iCs/>
          <w:sz w:val="18"/>
          <w:szCs w:val="18"/>
        </w:rPr>
        <w:t>*</w:t>
      </w:r>
      <w:r w:rsidRPr="00B6002B">
        <w:rPr>
          <w:sz w:val="18"/>
          <w:szCs w:val="18"/>
        </w:rPr>
        <w:t xml:space="preserve">according to </w:t>
      </w:r>
      <w:r w:rsidR="00B6002B" w:rsidRPr="00B6002B">
        <w:rPr>
          <w:sz w:val="18"/>
          <w:szCs w:val="18"/>
        </w:rPr>
        <w:t xml:space="preserve">WHO </w:t>
      </w:r>
      <w:r w:rsidRPr="00B6002B">
        <w:rPr>
          <w:sz w:val="18"/>
          <w:szCs w:val="18"/>
        </w:rPr>
        <w:t xml:space="preserve">AWaRe </w:t>
      </w:r>
      <w:r w:rsidR="00B6002B" w:rsidRPr="00B6002B">
        <w:rPr>
          <w:sz w:val="18"/>
          <w:szCs w:val="18"/>
        </w:rPr>
        <w:t xml:space="preserve">classification </w:t>
      </w:r>
      <w:r w:rsidR="000D1C19">
        <w:rPr>
          <w:color w:val="202124"/>
          <w:sz w:val="18"/>
          <w:szCs w:val="18"/>
          <w:lang w:val="en-GB"/>
        </w:rPr>
        <w:t>[18]</w:t>
      </w:r>
      <w:r w:rsidR="00B6002B" w:rsidRPr="00B6002B">
        <w:rPr>
          <w:color w:val="202124"/>
          <w:sz w:val="18"/>
          <w:szCs w:val="18"/>
          <w:lang w:val="en-GB"/>
        </w:rPr>
        <w:t xml:space="preserve">, i.e. </w:t>
      </w:r>
      <w:r w:rsidRPr="00B6002B">
        <w:rPr>
          <w:color w:val="202124"/>
          <w:sz w:val="18"/>
          <w:szCs w:val="18"/>
          <w:lang w:val="en-GB"/>
        </w:rPr>
        <w:t>A: Access, W: Watch, N/A: Not available</w:t>
      </w:r>
    </w:p>
    <w:p w14:paraId="310588CB" w14:textId="77777777" w:rsidR="000523DB" w:rsidRDefault="000523DB" w:rsidP="006E7C40">
      <w:pPr>
        <w:pStyle w:val="MDPI31text"/>
        <w:rPr>
          <w:color w:val="auto"/>
        </w:rPr>
      </w:pPr>
    </w:p>
    <w:p w14:paraId="52B3F8FB" w14:textId="206DD809" w:rsidR="006E7C40" w:rsidRPr="00C51057" w:rsidRDefault="006E7C40" w:rsidP="006E7C40">
      <w:pPr>
        <w:pStyle w:val="MDPI31text"/>
        <w:rPr>
          <w:b/>
          <w:bCs/>
          <w:color w:val="auto"/>
        </w:rPr>
      </w:pPr>
      <w:r w:rsidRPr="00C51057">
        <w:rPr>
          <w:color w:val="auto"/>
        </w:rPr>
        <w:t xml:space="preserve">Only 2 cases of step-down therapy from IV to oral were identified. The first one was due to </w:t>
      </w:r>
      <w:r w:rsidR="0048033F">
        <w:rPr>
          <w:color w:val="auto"/>
        </w:rPr>
        <w:t>previous</w:t>
      </w:r>
      <w:r w:rsidRPr="00C51057">
        <w:rPr>
          <w:color w:val="auto"/>
        </w:rPr>
        <w:t xml:space="preserve"> IV-line failure</w:t>
      </w:r>
      <w:r w:rsidR="00653326">
        <w:rPr>
          <w:color w:val="auto"/>
        </w:rPr>
        <w:t>; consequently, a new one could not be inserted.</w:t>
      </w:r>
      <w:r w:rsidRPr="00C51057">
        <w:rPr>
          <w:color w:val="auto"/>
        </w:rPr>
        <w:t xml:space="preserve"> he second </w:t>
      </w:r>
      <w:r w:rsidR="00653326">
        <w:rPr>
          <w:color w:val="auto"/>
        </w:rPr>
        <w:t>switch</w:t>
      </w:r>
      <w:r w:rsidRPr="00C51057">
        <w:rPr>
          <w:color w:val="auto"/>
        </w:rPr>
        <w:t xml:space="preserve"> was because of significant patient improvement</w:t>
      </w:r>
      <w:r w:rsidR="00653326">
        <w:rPr>
          <w:color w:val="auto"/>
        </w:rPr>
        <w:t>; consequently, IV administration was seen as no longer needed</w:t>
      </w:r>
      <w:r w:rsidRPr="00C51057">
        <w:rPr>
          <w:color w:val="auto"/>
        </w:rPr>
        <w:t>.</w:t>
      </w:r>
    </w:p>
    <w:p w14:paraId="17137380" w14:textId="77777777" w:rsidR="0056103B" w:rsidRDefault="006E7C40" w:rsidP="0054619F">
      <w:pPr>
        <w:pStyle w:val="MDPI31text"/>
        <w:rPr>
          <w:lang w:val="en-GB" w:eastAsia="vi-VN" w:bidi="vi-VN"/>
        </w:rPr>
      </w:pPr>
      <w:r>
        <w:t xml:space="preserve">Overall, </w:t>
      </w:r>
      <w:r w:rsidRPr="00DD12AC">
        <w:t xml:space="preserve">only 42.2% of the antibiotics were administered at the recommended dosage, </w:t>
      </w:r>
      <w:r>
        <w:t xml:space="preserve">with </w:t>
      </w:r>
      <w:r w:rsidRPr="00DD12AC">
        <w:t xml:space="preserve">40.7% </w:t>
      </w:r>
      <w:r>
        <w:t xml:space="preserve">of infants and young children prescribed antibiotics </w:t>
      </w:r>
      <w:r w:rsidRPr="00DD12AC">
        <w:t xml:space="preserve">at higher </w:t>
      </w:r>
      <w:r>
        <w:t xml:space="preserve">than recommended </w:t>
      </w:r>
      <w:r w:rsidRPr="00DD12AC">
        <w:t xml:space="preserve">dosages </w:t>
      </w:r>
      <w:r>
        <w:t>(Table 3)</w:t>
      </w:r>
      <w:r w:rsidRPr="00DD12AC">
        <w:t>.</w:t>
      </w:r>
      <w:r>
        <w:t xml:space="preserve"> </w:t>
      </w:r>
      <w:r w:rsidRPr="0054619F">
        <w:t xml:space="preserve">Physicians’ initial antibiotic choices were heavily influenced by the patient's antibiotic history before hospital admission as well as available antibiotics in the hospital, with inconsistent </w:t>
      </w:r>
      <w:r w:rsidR="00C51057" w:rsidRPr="0054619F">
        <w:t>antibiotic</w:t>
      </w:r>
      <w:r w:rsidRPr="0054619F">
        <w:t xml:space="preserve"> availability </w:t>
      </w:r>
      <w:r w:rsidR="00C51057" w:rsidRPr="0054619F">
        <w:t xml:space="preserve">affecting prescribing </w:t>
      </w:r>
      <w:r w:rsidRPr="0054619F">
        <w:t>options</w:t>
      </w:r>
      <w:r w:rsidRPr="0054619F">
        <w:rPr>
          <w:lang w:val="vi-VN" w:eastAsia="vi-VN" w:bidi="vi-VN"/>
        </w:rPr>
        <w:t>.</w:t>
      </w:r>
    </w:p>
    <w:p w14:paraId="623EB77C" w14:textId="2E28D520" w:rsidR="00D57A9A" w:rsidRDefault="00A3630A" w:rsidP="0054619F">
      <w:pPr>
        <w:pStyle w:val="MDPI31text"/>
      </w:pPr>
      <w:r w:rsidRPr="0054619F">
        <w:t>92</w:t>
      </w:r>
      <w:r w:rsidR="00B6002B" w:rsidRPr="0054619F">
        <w:t>.</w:t>
      </w:r>
      <w:r w:rsidRPr="0054619F">
        <w:t xml:space="preserve">6% </w:t>
      </w:r>
      <w:r w:rsidR="0048033F">
        <w:t xml:space="preserve">of </w:t>
      </w:r>
      <w:r w:rsidRPr="0054619F">
        <w:t xml:space="preserve">patients had culture tests undertaken (Table </w:t>
      </w:r>
      <w:r w:rsidR="00B6002B" w:rsidRPr="0054619F">
        <w:t>4</w:t>
      </w:r>
      <w:r w:rsidRPr="0054619F">
        <w:t xml:space="preserve">). When undertaken, 100% </w:t>
      </w:r>
      <w:r w:rsidR="0048033F">
        <w:t xml:space="preserve">of </w:t>
      </w:r>
      <w:r w:rsidRPr="0054619F">
        <w:t xml:space="preserve">samples were taken within the first day </w:t>
      </w:r>
      <w:r w:rsidR="0048033F">
        <w:t xml:space="preserve">of </w:t>
      </w:r>
      <w:r w:rsidRPr="0054619F">
        <w:t>hospitaliz</w:t>
      </w:r>
      <w:r w:rsidR="0048033F">
        <w:t>ation</w:t>
      </w:r>
      <w:r w:rsidRPr="0054619F">
        <w:t xml:space="preserve">. </w:t>
      </w:r>
      <w:r w:rsidR="0056103B">
        <w:t>Consequently</w:t>
      </w:r>
      <w:r w:rsidRPr="0054619F">
        <w:t>, initial antibiotic treatment was empiric</w:t>
      </w:r>
      <w:r w:rsidR="0056103B">
        <w:t>,</w:t>
      </w:r>
      <w:r w:rsidR="00782DFC" w:rsidRPr="0054619F">
        <w:t xml:space="preserve"> not helped by often long </w:t>
      </w:r>
      <w:r w:rsidR="0048033F">
        <w:t xml:space="preserve">time </w:t>
      </w:r>
      <w:r w:rsidR="00782DFC" w:rsidRPr="0054619F">
        <w:t xml:space="preserve">periods before </w:t>
      </w:r>
      <w:r w:rsidR="0056103B">
        <w:t xml:space="preserve">sensitivity </w:t>
      </w:r>
      <w:r w:rsidR="00782DFC" w:rsidRPr="0054619F">
        <w:t xml:space="preserve">reports were </w:t>
      </w:r>
      <w:r w:rsidR="0056103B">
        <w:t>available</w:t>
      </w:r>
      <w:r w:rsidR="00782DFC" w:rsidRPr="0054619F">
        <w:t xml:space="preserve"> (Table </w:t>
      </w:r>
      <w:r w:rsidR="00B6002B" w:rsidRPr="0054619F">
        <w:t>4</w:t>
      </w:r>
      <w:r w:rsidR="00782DFC" w:rsidRPr="0054619F">
        <w:t>)</w:t>
      </w:r>
      <w:r w:rsidRPr="0054619F">
        <w:t xml:space="preserve">. </w:t>
      </w:r>
    </w:p>
    <w:p w14:paraId="06A11FE5" w14:textId="71AEFA84" w:rsidR="00A3630A" w:rsidRPr="0054619F" w:rsidRDefault="00A3630A" w:rsidP="0054619F">
      <w:pPr>
        <w:pStyle w:val="MDPI31text"/>
      </w:pPr>
      <w:r w:rsidRPr="0054619F">
        <w:t>However, only 2 patients were subsequently prescribed an alternative antibiotic</w:t>
      </w:r>
      <w:r w:rsidR="0056103B">
        <w:t xml:space="preserve"> </w:t>
      </w:r>
      <w:r w:rsidRPr="0054619F">
        <w:t>following the sensitivity test results</w:t>
      </w:r>
      <w:r w:rsidR="0048033F">
        <w:t>,</w:t>
      </w:r>
      <w:r w:rsidR="0056103B">
        <w:t xml:space="preserve"> limiting their influence in practice</w:t>
      </w:r>
      <w:r w:rsidRPr="0054619F">
        <w:t xml:space="preserve">. </w:t>
      </w:r>
    </w:p>
    <w:p w14:paraId="07593F7E" w14:textId="452275C1" w:rsidR="00AF4B69" w:rsidRPr="0054619F" w:rsidRDefault="00AF4B69" w:rsidP="0054619F">
      <w:pPr>
        <w:pStyle w:val="NoSpacing"/>
        <w:rPr>
          <w:rFonts w:ascii="Palatino Linotype" w:hAnsi="Palatino Linotype"/>
          <w:b/>
          <w:bCs/>
          <w:i/>
          <w:iCs/>
          <w:sz w:val="20"/>
          <w:szCs w:val="20"/>
        </w:rPr>
      </w:pPr>
    </w:p>
    <w:p w14:paraId="055E4EE7" w14:textId="3D7079DA" w:rsidR="00A3630A" w:rsidRPr="0054619F" w:rsidRDefault="00A3630A" w:rsidP="0054619F">
      <w:pPr>
        <w:pStyle w:val="NoSpacing"/>
        <w:ind w:left="2523" w:firstLine="510"/>
        <w:rPr>
          <w:rFonts w:ascii="Palatino Linotype" w:hAnsi="Palatino Linotype"/>
          <w:sz w:val="20"/>
          <w:szCs w:val="20"/>
        </w:rPr>
      </w:pPr>
      <w:r w:rsidRPr="0054619F">
        <w:rPr>
          <w:rFonts w:ascii="Palatino Linotype" w:hAnsi="Palatino Linotype"/>
          <w:sz w:val="20"/>
          <w:szCs w:val="20"/>
        </w:rPr>
        <w:t xml:space="preserve">Table </w:t>
      </w:r>
      <w:r w:rsidR="00B6002B" w:rsidRPr="0054619F">
        <w:rPr>
          <w:rFonts w:ascii="Palatino Linotype" w:hAnsi="Palatino Linotype"/>
          <w:sz w:val="20"/>
          <w:szCs w:val="20"/>
        </w:rPr>
        <w:t>4</w:t>
      </w:r>
      <w:r w:rsidRPr="0054619F">
        <w:rPr>
          <w:rFonts w:ascii="Palatino Linotype" w:hAnsi="Palatino Linotype"/>
          <w:sz w:val="20"/>
          <w:szCs w:val="20"/>
        </w:rPr>
        <w:t xml:space="preserve"> – Culture and Sensitivity </w:t>
      </w:r>
      <w:r w:rsidR="00782DFC" w:rsidRPr="0054619F">
        <w:rPr>
          <w:rFonts w:ascii="Palatino Linotype" w:hAnsi="Palatino Linotype"/>
          <w:sz w:val="20"/>
          <w:szCs w:val="20"/>
        </w:rPr>
        <w:t>Testing</w:t>
      </w:r>
    </w:p>
    <w:tbl>
      <w:tblPr>
        <w:tblW w:w="9200" w:type="dxa"/>
        <w:tblInd w:w="1696" w:type="dxa"/>
        <w:tblLook w:val="04A0" w:firstRow="1" w:lastRow="0" w:firstColumn="1" w:lastColumn="0" w:noHBand="0" w:noVBand="1"/>
      </w:tblPr>
      <w:tblGrid>
        <w:gridCol w:w="3652"/>
        <w:gridCol w:w="2428"/>
        <w:gridCol w:w="1560"/>
        <w:gridCol w:w="1560"/>
      </w:tblGrid>
      <w:tr w:rsidR="002E60BC" w:rsidRPr="003B2743" w14:paraId="1E2748A0" w14:textId="77777777" w:rsidTr="00562C32">
        <w:trPr>
          <w:trHeight w:val="300"/>
        </w:trPr>
        <w:tc>
          <w:tcPr>
            <w:tcW w:w="3652" w:type="dxa"/>
            <w:tcBorders>
              <w:top w:val="single" w:sz="4" w:space="0" w:color="000000"/>
              <w:left w:val="single" w:sz="4" w:space="0" w:color="000000"/>
              <w:bottom w:val="single" w:sz="4" w:space="0" w:color="000000"/>
              <w:right w:val="nil"/>
            </w:tcBorders>
            <w:shd w:val="clear" w:color="D0CECE" w:fill="D0CECE"/>
            <w:noWrap/>
            <w:vAlign w:val="bottom"/>
            <w:hideMark/>
          </w:tcPr>
          <w:p w14:paraId="29DC983C" w14:textId="77777777" w:rsidR="002E60BC" w:rsidRPr="003B2743" w:rsidRDefault="002E60BC" w:rsidP="00C57F0D">
            <w:pPr>
              <w:spacing w:line="240" w:lineRule="auto"/>
              <w:jc w:val="center"/>
              <w:rPr>
                <w:rFonts w:eastAsia="Times New Roman" w:cs="Calibri"/>
                <w:b/>
                <w:bCs/>
                <w:noProof w:val="0"/>
                <w:lang w:val="vi-VN" w:eastAsia="vi-VN"/>
              </w:rPr>
            </w:pPr>
            <w:r w:rsidRPr="003B2743">
              <w:rPr>
                <w:rFonts w:eastAsia="Times New Roman" w:cs="Calibri"/>
                <w:b/>
                <w:bCs/>
                <w:noProof w:val="0"/>
                <w:lang w:val="vi-VN" w:eastAsia="vi-VN"/>
              </w:rPr>
              <w:t>Microbiological test characteristics</w:t>
            </w:r>
          </w:p>
        </w:tc>
        <w:tc>
          <w:tcPr>
            <w:tcW w:w="2428" w:type="dxa"/>
            <w:tcBorders>
              <w:top w:val="single" w:sz="4" w:space="0" w:color="000000"/>
              <w:left w:val="nil"/>
              <w:bottom w:val="single" w:sz="4" w:space="0" w:color="000000"/>
              <w:right w:val="single" w:sz="4" w:space="0" w:color="000000"/>
            </w:tcBorders>
            <w:shd w:val="clear" w:color="D0CECE" w:fill="D0CECE"/>
            <w:noWrap/>
            <w:vAlign w:val="bottom"/>
            <w:hideMark/>
          </w:tcPr>
          <w:p w14:paraId="0EC9006E" w14:textId="77777777" w:rsidR="002E60BC" w:rsidRPr="003B2743" w:rsidRDefault="002E60BC" w:rsidP="00C57F0D">
            <w:pPr>
              <w:spacing w:line="240" w:lineRule="auto"/>
              <w:jc w:val="center"/>
              <w:rPr>
                <w:rFonts w:eastAsia="Times New Roman" w:cs="Calibri"/>
                <w:b/>
                <w:bCs/>
                <w:noProof w:val="0"/>
                <w:lang w:val="vi-VN" w:eastAsia="vi-VN"/>
              </w:rPr>
            </w:pPr>
            <w:r w:rsidRPr="003B2743">
              <w:rPr>
                <w:rFonts w:eastAsia="Times New Roman" w:cs="Calibri"/>
                <w:b/>
                <w:bCs/>
                <w:noProof w:val="0"/>
                <w:lang w:val="vi-VN" w:eastAsia="vi-VN"/>
              </w:rPr>
              <w:t> </w:t>
            </w:r>
          </w:p>
        </w:tc>
        <w:tc>
          <w:tcPr>
            <w:tcW w:w="1560" w:type="dxa"/>
            <w:tcBorders>
              <w:top w:val="single" w:sz="4" w:space="0" w:color="000000"/>
              <w:left w:val="nil"/>
              <w:bottom w:val="single" w:sz="4" w:space="0" w:color="000000"/>
              <w:right w:val="single" w:sz="4" w:space="0" w:color="000000"/>
            </w:tcBorders>
            <w:shd w:val="clear" w:color="D0CECE" w:fill="D0CECE"/>
            <w:noWrap/>
            <w:hideMark/>
          </w:tcPr>
          <w:p w14:paraId="50222C24" w14:textId="77777777" w:rsidR="002E60BC" w:rsidRPr="003B2743" w:rsidRDefault="002E60BC" w:rsidP="00C57F0D">
            <w:pPr>
              <w:spacing w:line="240" w:lineRule="auto"/>
              <w:jc w:val="center"/>
              <w:rPr>
                <w:rFonts w:eastAsia="Times New Roman" w:cs="Calibri"/>
                <w:bCs/>
                <w:noProof w:val="0"/>
                <w:lang w:val="vi-VN" w:eastAsia="vi-VN"/>
              </w:rPr>
            </w:pPr>
            <w:r w:rsidRPr="003B2743">
              <w:rPr>
                <w:rFonts w:eastAsia="Times New Roman" w:cs="Calibri"/>
                <w:bCs/>
                <w:noProof w:val="0"/>
                <w:lang w:val="vi-VN" w:eastAsia="vi-VN"/>
              </w:rPr>
              <w:t xml:space="preserve"> (n)</w:t>
            </w:r>
          </w:p>
        </w:tc>
        <w:tc>
          <w:tcPr>
            <w:tcW w:w="1560" w:type="dxa"/>
            <w:tcBorders>
              <w:top w:val="single" w:sz="4" w:space="0" w:color="000000"/>
              <w:left w:val="nil"/>
              <w:bottom w:val="single" w:sz="4" w:space="0" w:color="000000"/>
              <w:right w:val="single" w:sz="4" w:space="0" w:color="000000"/>
            </w:tcBorders>
            <w:shd w:val="clear" w:color="D0CECE" w:fill="D0CECE"/>
            <w:noWrap/>
            <w:hideMark/>
          </w:tcPr>
          <w:p w14:paraId="4A04330D" w14:textId="77777777" w:rsidR="002E60BC" w:rsidRPr="003B2743" w:rsidRDefault="002E60BC" w:rsidP="00C57F0D">
            <w:pPr>
              <w:spacing w:line="240" w:lineRule="auto"/>
              <w:jc w:val="center"/>
              <w:rPr>
                <w:rFonts w:eastAsia="Times New Roman" w:cs="Calibri"/>
                <w:bCs/>
                <w:noProof w:val="0"/>
                <w:lang w:val="vi-VN" w:eastAsia="vi-VN"/>
              </w:rPr>
            </w:pPr>
            <w:r w:rsidRPr="003B2743">
              <w:rPr>
                <w:rFonts w:eastAsia="Times New Roman" w:cs="Calibri"/>
                <w:bCs/>
                <w:noProof w:val="0"/>
                <w:lang w:val="vi-VN" w:eastAsia="vi-VN"/>
              </w:rPr>
              <w:t>(%)</w:t>
            </w:r>
          </w:p>
        </w:tc>
      </w:tr>
      <w:tr w:rsidR="002E60BC" w:rsidRPr="003B2743" w14:paraId="3AAFE8FA" w14:textId="77777777" w:rsidTr="00562C32">
        <w:trPr>
          <w:trHeight w:val="300"/>
        </w:trPr>
        <w:tc>
          <w:tcPr>
            <w:tcW w:w="3652" w:type="dxa"/>
            <w:vMerge w:val="restart"/>
            <w:tcBorders>
              <w:top w:val="nil"/>
              <w:left w:val="single" w:sz="4" w:space="0" w:color="000000"/>
              <w:bottom w:val="single" w:sz="4" w:space="0" w:color="000000"/>
              <w:right w:val="single" w:sz="4" w:space="0" w:color="000000"/>
            </w:tcBorders>
            <w:shd w:val="clear" w:color="FFFFFF" w:fill="FFFFFF"/>
            <w:noWrap/>
            <w:vAlign w:val="bottom"/>
            <w:hideMark/>
          </w:tcPr>
          <w:p w14:paraId="6419DFDD" w14:textId="77777777" w:rsidR="002E60BC" w:rsidRPr="003B2743" w:rsidRDefault="002E60BC" w:rsidP="00C57F0D">
            <w:pPr>
              <w:spacing w:line="240" w:lineRule="auto"/>
              <w:jc w:val="right"/>
              <w:rPr>
                <w:rFonts w:eastAsia="Times New Roman" w:cs="Calibri"/>
                <w:i/>
                <w:iCs/>
                <w:noProof w:val="0"/>
                <w:lang w:val="vi-VN" w:eastAsia="vi-VN"/>
              </w:rPr>
            </w:pPr>
            <w:r w:rsidRPr="003B2743">
              <w:rPr>
                <w:rFonts w:eastAsia="Times New Roman" w:cs="Calibri"/>
                <w:b/>
                <w:bCs/>
                <w:noProof w:val="0"/>
                <w:lang w:val="vi-VN" w:eastAsia="vi-VN"/>
              </w:rPr>
              <w:t>Microbiological test</w:t>
            </w:r>
            <w:r w:rsidRPr="003B2743">
              <w:rPr>
                <w:rFonts w:eastAsia="Times New Roman" w:cs="Calibri"/>
                <w:i/>
                <w:iCs/>
                <w:noProof w:val="0"/>
                <w:lang w:val="vi-VN" w:eastAsia="vi-VN"/>
              </w:rPr>
              <w:br/>
              <w:t xml:space="preserve"> (n = 108)</w:t>
            </w:r>
          </w:p>
        </w:tc>
        <w:tc>
          <w:tcPr>
            <w:tcW w:w="2428" w:type="dxa"/>
            <w:tcBorders>
              <w:top w:val="nil"/>
              <w:left w:val="nil"/>
              <w:bottom w:val="nil"/>
              <w:right w:val="single" w:sz="4" w:space="0" w:color="000000"/>
            </w:tcBorders>
            <w:shd w:val="clear" w:color="F2F2F2" w:fill="F2F2F2"/>
            <w:noWrap/>
            <w:hideMark/>
          </w:tcPr>
          <w:p w14:paraId="4FAE14E6" w14:textId="77777777" w:rsidR="002E60BC" w:rsidRPr="003B2743" w:rsidRDefault="002E60BC" w:rsidP="00C57F0D">
            <w:pPr>
              <w:spacing w:line="240" w:lineRule="auto"/>
              <w:jc w:val="left"/>
              <w:rPr>
                <w:rFonts w:eastAsia="Times New Roman" w:cs="Calibri"/>
                <w:noProof w:val="0"/>
                <w:lang w:val="vi-VN" w:eastAsia="vi-VN"/>
              </w:rPr>
            </w:pPr>
            <w:r w:rsidRPr="003B2743">
              <w:rPr>
                <w:rFonts w:eastAsia="Times New Roman" w:cs="Calibri"/>
                <w:noProof w:val="0"/>
                <w:lang w:val="vi-VN" w:eastAsia="vi-VN"/>
              </w:rPr>
              <w:t>Yes</w:t>
            </w:r>
          </w:p>
        </w:tc>
        <w:tc>
          <w:tcPr>
            <w:tcW w:w="1560" w:type="dxa"/>
            <w:tcBorders>
              <w:top w:val="nil"/>
              <w:left w:val="nil"/>
              <w:bottom w:val="nil"/>
              <w:right w:val="single" w:sz="4" w:space="0" w:color="000000"/>
            </w:tcBorders>
            <w:shd w:val="clear" w:color="F2F2F2" w:fill="F2F2F2"/>
            <w:noWrap/>
            <w:hideMark/>
          </w:tcPr>
          <w:p w14:paraId="64649FCF"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100</w:t>
            </w:r>
          </w:p>
        </w:tc>
        <w:tc>
          <w:tcPr>
            <w:tcW w:w="1560" w:type="dxa"/>
            <w:tcBorders>
              <w:top w:val="nil"/>
              <w:left w:val="nil"/>
              <w:bottom w:val="nil"/>
              <w:right w:val="single" w:sz="4" w:space="0" w:color="000000"/>
            </w:tcBorders>
            <w:shd w:val="clear" w:color="F2F2F2" w:fill="F2F2F2"/>
            <w:noWrap/>
            <w:hideMark/>
          </w:tcPr>
          <w:p w14:paraId="0353A364" w14:textId="220F7906" w:rsidR="002E60BC" w:rsidRPr="00901EB7" w:rsidRDefault="002E60BC" w:rsidP="00C57F0D">
            <w:pPr>
              <w:spacing w:line="240" w:lineRule="auto"/>
              <w:jc w:val="center"/>
              <w:rPr>
                <w:rFonts w:eastAsia="Times New Roman" w:cs="Calibri"/>
                <w:noProof w:val="0"/>
                <w:lang w:eastAsia="vi-VN"/>
              </w:rPr>
            </w:pPr>
            <w:r w:rsidRPr="003B2743">
              <w:rPr>
                <w:rFonts w:eastAsia="Times New Roman" w:cs="Calibri"/>
                <w:noProof w:val="0"/>
                <w:lang w:val="vi-VN" w:eastAsia="vi-VN"/>
              </w:rPr>
              <w:t>92.</w:t>
            </w:r>
            <w:r w:rsidR="00901EB7">
              <w:rPr>
                <w:rFonts w:eastAsia="Times New Roman" w:cs="Calibri"/>
                <w:noProof w:val="0"/>
                <w:lang w:eastAsia="vi-VN"/>
              </w:rPr>
              <w:t>6</w:t>
            </w:r>
          </w:p>
        </w:tc>
      </w:tr>
      <w:tr w:rsidR="002E60BC" w:rsidRPr="003B2743" w14:paraId="35D1AC41" w14:textId="77777777" w:rsidTr="00562C32">
        <w:trPr>
          <w:trHeight w:val="300"/>
        </w:trPr>
        <w:tc>
          <w:tcPr>
            <w:tcW w:w="3652" w:type="dxa"/>
            <w:vMerge/>
            <w:tcBorders>
              <w:top w:val="nil"/>
              <w:left w:val="single" w:sz="4" w:space="0" w:color="000000"/>
              <w:bottom w:val="single" w:sz="4" w:space="0" w:color="000000"/>
              <w:right w:val="single" w:sz="4" w:space="0" w:color="000000"/>
            </w:tcBorders>
            <w:vAlign w:val="center"/>
            <w:hideMark/>
          </w:tcPr>
          <w:p w14:paraId="09899AC3" w14:textId="77777777" w:rsidR="002E60BC" w:rsidRPr="003B2743" w:rsidRDefault="002E60BC" w:rsidP="00C57F0D">
            <w:pPr>
              <w:spacing w:line="240" w:lineRule="auto"/>
              <w:jc w:val="left"/>
              <w:rPr>
                <w:rFonts w:eastAsia="Times New Roman" w:cs="Calibri"/>
                <w:i/>
                <w:iCs/>
                <w:noProof w:val="0"/>
                <w:lang w:val="vi-VN" w:eastAsia="vi-VN"/>
              </w:rPr>
            </w:pPr>
          </w:p>
        </w:tc>
        <w:tc>
          <w:tcPr>
            <w:tcW w:w="2428" w:type="dxa"/>
            <w:tcBorders>
              <w:top w:val="nil"/>
              <w:left w:val="nil"/>
              <w:bottom w:val="single" w:sz="4" w:space="0" w:color="000000"/>
              <w:right w:val="single" w:sz="4" w:space="0" w:color="000000"/>
            </w:tcBorders>
            <w:shd w:val="clear" w:color="auto" w:fill="auto"/>
            <w:noWrap/>
            <w:hideMark/>
          </w:tcPr>
          <w:p w14:paraId="7F02F072" w14:textId="77777777" w:rsidR="002E60BC" w:rsidRPr="003B2743" w:rsidRDefault="002E60BC" w:rsidP="00C57F0D">
            <w:pPr>
              <w:spacing w:line="240" w:lineRule="auto"/>
              <w:jc w:val="left"/>
              <w:rPr>
                <w:rFonts w:eastAsia="Times New Roman" w:cs="Calibri"/>
                <w:noProof w:val="0"/>
                <w:lang w:val="vi-VN" w:eastAsia="vi-VN"/>
              </w:rPr>
            </w:pPr>
            <w:r w:rsidRPr="003B2743">
              <w:rPr>
                <w:rFonts w:eastAsia="Times New Roman" w:cs="Calibri"/>
                <w:noProof w:val="0"/>
                <w:lang w:val="vi-VN" w:eastAsia="vi-VN"/>
              </w:rPr>
              <w:t>No</w:t>
            </w:r>
          </w:p>
        </w:tc>
        <w:tc>
          <w:tcPr>
            <w:tcW w:w="1560" w:type="dxa"/>
            <w:tcBorders>
              <w:top w:val="nil"/>
              <w:left w:val="nil"/>
              <w:bottom w:val="single" w:sz="4" w:space="0" w:color="000000"/>
              <w:right w:val="single" w:sz="4" w:space="0" w:color="000000"/>
            </w:tcBorders>
            <w:shd w:val="clear" w:color="auto" w:fill="auto"/>
            <w:noWrap/>
            <w:hideMark/>
          </w:tcPr>
          <w:p w14:paraId="2ECF3BCD"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8</w:t>
            </w:r>
          </w:p>
        </w:tc>
        <w:tc>
          <w:tcPr>
            <w:tcW w:w="1560" w:type="dxa"/>
            <w:tcBorders>
              <w:top w:val="nil"/>
              <w:left w:val="nil"/>
              <w:bottom w:val="single" w:sz="4" w:space="0" w:color="000000"/>
              <w:right w:val="single" w:sz="4" w:space="0" w:color="000000"/>
            </w:tcBorders>
            <w:shd w:val="clear" w:color="auto" w:fill="auto"/>
            <w:noWrap/>
            <w:hideMark/>
          </w:tcPr>
          <w:p w14:paraId="5F360103" w14:textId="200EE512" w:rsidR="002E60BC" w:rsidRPr="00901EB7" w:rsidRDefault="002E60BC" w:rsidP="00C57F0D">
            <w:pPr>
              <w:spacing w:line="240" w:lineRule="auto"/>
              <w:jc w:val="center"/>
              <w:rPr>
                <w:rFonts w:eastAsia="Times New Roman" w:cs="Calibri"/>
                <w:noProof w:val="0"/>
                <w:lang w:eastAsia="vi-VN"/>
              </w:rPr>
            </w:pPr>
            <w:r w:rsidRPr="003B2743">
              <w:rPr>
                <w:rFonts w:eastAsia="Times New Roman" w:cs="Calibri"/>
                <w:noProof w:val="0"/>
                <w:lang w:val="vi-VN" w:eastAsia="vi-VN"/>
              </w:rPr>
              <w:t>7.4</w:t>
            </w:r>
          </w:p>
        </w:tc>
      </w:tr>
      <w:tr w:rsidR="002E60BC" w:rsidRPr="003B2743" w14:paraId="074546D7" w14:textId="77777777" w:rsidTr="00562C32">
        <w:trPr>
          <w:trHeight w:val="300"/>
        </w:trPr>
        <w:tc>
          <w:tcPr>
            <w:tcW w:w="3652" w:type="dxa"/>
            <w:tcBorders>
              <w:top w:val="nil"/>
              <w:left w:val="single" w:sz="4" w:space="0" w:color="000000"/>
              <w:bottom w:val="single" w:sz="4" w:space="0" w:color="000000"/>
              <w:right w:val="single" w:sz="4" w:space="0" w:color="000000"/>
            </w:tcBorders>
            <w:vAlign w:val="center"/>
          </w:tcPr>
          <w:p w14:paraId="47C9FD20" w14:textId="77777777" w:rsidR="002E60BC" w:rsidRPr="003B2743" w:rsidRDefault="002E60BC" w:rsidP="00C57F0D">
            <w:pPr>
              <w:spacing w:line="240" w:lineRule="auto"/>
              <w:jc w:val="right"/>
              <w:rPr>
                <w:rFonts w:eastAsia="Times New Roman" w:cs="Calibri"/>
                <w:i/>
                <w:iCs/>
                <w:noProof w:val="0"/>
                <w:lang w:eastAsia="vi-VN"/>
              </w:rPr>
            </w:pPr>
            <w:r w:rsidRPr="003B2743">
              <w:rPr>
                <w:rFonts w:eastAsia="Times New Roman" w:cs="Calibri"/>
                <w:i/>
                <w:iCs/>
                <w:noProof w:val="0"/>
                <w:lang w:eastAsia="vi-VN"/>
              </w:rPr>
              <w:t>Time of sampling test (n=100)</w:t>
            </w:r>
          </w:p>
        </w:tc>
        <w:tc>
          <w:tcPr>
            <w:tcW w:w="2428" w:type="dxa"/>
            <w:tcBorders>
              <w:top w:val="nil"/>
              <w:left w:val="nil"/>
              <w:bottom w:val="single" w:sz="4" w:space="0" w:color="000000"/>
              <w:right w:val="single" w:sz="4" w:space="0" w:color="000000"/>
            </w:tcBorders>
            <w:shd w:val="clear" w:color="auto" w:fill="auto"/>
            <w:noWrap/>
          </w:tcPr>
          <w:p w14:paraId="2B00815A" w14:textId="38923CA1" w:rsidR="002E60BC" w:rsidRPr="003B2743" w:rsidRDefault="002E60BC" w:rsidP="00C57F0D">
            <w:pPr>
              <w:spacing w:line="240" w:lineRule="auto"/>
              <w:jc w:val="left"/>
              <w:rPr>
                <w:rFonts w:eastAsia="Times New Roman" w:cs="Calibri"/>
                <w:noProof w:val="0"/>
                <w:lang w:eastAsia="vi-VN"/>
              </w:rPr>
            </w:pPr>
            <w:r w:rsidRPr="003B2743">
              <w:rPr>
                <w:rFonts w:eastAsia="Times New Roman" w:cs="Calibri"/>
                <w:noProof w:val="0"/>
                <w:lang w:eastAsia="vi-VN"/>
              </w:rPr>
              <w:t xml:space="preserve">Date of entry </w:t>
            </w:r>
            <w:r w:rsidR="00782DFC">
              <w:rPr>
                <w:rFonts w:eastAsia="Times New Roman" w:cs="Calibri"/>
                <w:noProof w:val="0"/>
                <w:lang w:eastAsia="vi-VN"/>
              </w:rPr>
              <w:t xml:space="preserve">to </w:t>
            </w:r>
            <w:r w:rsidRPr="003B2743">
              <w:rPr>
                <w:rFonts w:eastAsia="Times New Roman" w:cs="Calibri"/>
                <w:noProof w:val="0"/>
                <w:lang w:eastAsia="vi-VN"/>
              </w:rPr>
              <w:t>hospital</w:t>
            </w:r>
          </w:p>
          <w:p w14:paraId="4D6F3389" w14:textId="77777777" w:rsidR="002E60BC" w:rsidRPr="003B2743" w:rsidRDefault="002E60BC" w:rsidP="00C57F0D">
            <w:pPr>
              <w:spacing w:line="240" w:lineRule="auto"/>
              <w:jc w:val="left"/>
              <w:rPr>
                <w:rFonts w:eastAsia="Times New Roman" w:cs="Calibri"/>
                <w:noProof w:val="0"/>
                <w:lang w:eastAsia="vi-VN"/>
              </w:rPr>
            </w:pPr>
            <w:r w:rsidRPr="003B2743">
              <w:rPr>
                <w:rFonts w:eastAsia="Times New Roman" w:cs="Calibri"/>
                <w:noProof w:val="0"/>
                <w:lang w:eastAsia="vi-VN"/>
              </w:rPr>
              <w:t>After entry hospital day</w:t>
            </w:r>
          </w:p>
        </w:tc>
        <w:tc>
          <w:tcPr>
            <w:tcW w:w="1560" w:type="dxa"/>
            <w:tcBorders>
              <w:top w:val="nil"/>
              <w:left w:val="nil"/>
              <w:bottom w:val="single" w:sz="4" w:space="0" w:color="000000"/>
              <w:right w:val="single" w:sz="4" w:space="0" w:color="000000"/>
            </w:tcBorders>
            <w:shd w:val="clear" w:color="auto" w:fill="auto"/>
            <w:noWrap/>
          </w:tcPr>
          <w:p w14:paraId="3E18E071" w14:textId="77777777" w:rsidR="002E60BC" w:rsidRPr="003B2743" w:rsidRDefault="002E60BC" w:rsidP="00C57F0D">
            <w:pPr>
              <w:spacing w:line="240" w:lineRule="auto"/>
              <w:jc w:val="center"/>
              <w:rPr>
                <w:rFonts w:eastAsia="Times New Roman" w:cs="Calibri"/>
                <w:noProof w:val="0"/>
                <w:lang w:eastAsia="vi-VN"/>
              </w:rPr>
            </w:pPr>
            <w:r w:rsidRPr="003B2743">
              <w:rPr>
                <w:rFonts w:eastAsia="Times New Roman" w:cs="Calibri"/>
                <w:noProof w:val="0"/>
                <w:lang w:eastAsia="vi-VN"/>
              </w:rPr>
              <w:t>98</w:t>
            </w:r>
          </w:p>
          <w:p w14:paraId="5B672870" w14:textId="77777777" w:rsidR="002E60BC" w:rsidRPr="003B2743" w:rsidRDefault="002E60BC" w:rsidP="00C57F0D">
            <w:pPr>
              <w:spacing w:line="240" w:lineRule="auto"/>
              <w:jc w:val="center"/>
              <w:rPr>
                <w:rFonts w:eastAsia="Times New Roman" w:cs="Calibri"/>
                <w:noProof w:val="0"/>
                <w:lang w:eastAsia="vi-VN"/>
              </w:rPr>
            </w:pPr>
            <w:r w:rsidRPr="003B2743">
              <w:rPr>
                <w:rFonts w:eastAsia="Times New Roman" w:cs="Calibri"/>
                <w:noProof w:val="0"/>
                <w:lang w:eastAsia="vi-VN"/>
              </w:rPr>
              <w:t>2</w:t>
            </w:r>
          </w:p>
        </w:tc>
        <w:tc>
          <w:tcPr>
            <w:tcW w:w="1560" w:type="dxa"/>
            <w:tcBorders>
              <w:top w:val="nil"/>
              <w:left w:val="nil"/>
              <w:bottom w:val="single" w:sz="4" w:space="0" w:color="000000"/>
              <w:right w:val="single" w:sz="4" w:space="0" w:color="000000"/>
            </w:tcBorders>
            <w:shd w:val="clear" w:color="auto" w:fill="auto"/>
            <w:noWrap/>
          </w:tcPr>
          <w:p w14:paraId="1F874547" w14:textId="64A14907" w:rsidR="002E60BC" w:rsidRPr="003B2743" w:rsidRDefault="002E60BC" w:rsidP="00C57F0D">
            <w:pPr>
              <w:spacing w:line="240" w:lineRule="auto"/>
              <w:jc w:val="center"/>
              <w:rPr>
                <w:rFonts w:eastAsia="Times New Roman" w:cs="Calibri"/>
                <w:noProof w:val="0"/>
                <w:lang w:eastAsia="vi-VN"/>
              </w:rPr>
            </w:pPr>
            <w:r w:rsidRPr="003B2743">
              <w:rPr>
                <w:rFonts w:eastAsia="Times New Roman" w:cs="Calibri"/>
                <w:noProof w:val="0"/>
                <w:lang w:eastAsia="vi-VN"/>
              </w:rPr>
              <w:t>98.0</w:t>
            </w:r>
          </w:p>
          <w:p w14:paraId="2379808C" w14:textId="0229712B" w:rsidR="002E60BC" w:rsidRPr="003B2743" w:rsidRDefault="002E60BC" w:rsidP="00C57F0D">
            <w:pPr>
              <w:spacing w:line="240" w:lineRule="auto"/>
              <w:jc w:val="center"/>
              <w:rPr>
                <w:rFonts w:eastAsia="Times New Roman" w:cs="Calibri"/>
                <w:noProof w:val="0"/>
                <w:lang w:eastAsia="vi-VN"/>
              </w:rPr>
            </w:pPr>
            <w:r w:rsidRPr="003B2743">
              <w:rPr>
                <w:rFonts w:eastAsia="Times New Roman" w:cs="Calibri"/>
                <w:noProof w:val="0"/>
                <w:lang w:eastAsia="vi-VN"/>
              </w:rPr>
              <w:t>2.0</w:t>
            </w:r>
          </w:p>
        </w:tc>
      </w:tr>
      <w:tr w:rsidR="002E60BC" w:rsidRPr="003B2743" w14:paraId="6CFFA6D5" w14:textId="77777777" w:rsidTr="00562C32">
        <w:trPr>
          <w:trHeight w:val="300"/>
        </w:trPr>
        <w:tc>
          <w:tcPr>
            <w:tcW w:w="3652" w:type="dxa"/>
            <w:tcBorders>
              <w:top w:val="nil"/>
              <w:left w:val="single" w:sz="4" w:space="0" w:color="000000"/>
              <w:bottom w:val="single" w:sz="4" w:space="0" w:color="000000"/>
              <w:right w:val="single" w:sz="4" w:space="0" w:color="000000"/>
            </w:tcBorders>
            <w:vAlign w:val="center"/>
          </w:tcPr>
          <w:p w14:paraId="07BB60A1" w14:textId="560C5796" w:rsidR="002E60BC" w:rsidRPr="003B2743" w:rsidRDefault="00782DFC" w:rsidP="00C57F0D">
            <w:pPr>
              <w:spacing w:line="240" w:lineRule="auto"/>
              <w:jc w:val="right"/>
              <w:rPr>
                <w:rFonts w:eastAsia="Times New Roman" w:cs="Calibri"/>
                <w:i/>
                <w:iCs/>
                <w:noProof w:val="0"/>
                <w:lang w:eastAsia="vi-VN"/>
              </w:rPr>
            </w:pPr>
            <w:r>
              <w:rPr>
                <w:rFonts w:eastAsia="Times New Roman" w:cs="Calibri"/>
                <w:i/>
                <w:iCs/>
                <w:noProof w:val="0"/>
                <w:lang w:eastAsia="vi-VN"/>
              </w:rPr>
              <w:t>Tissue</w:t>
            </w:r>
            <w:r w:rsidR="002E60BC" w:rsidRPr="003B2743">
              <w:rPr>
                <w:rFonts w:eastAsia="Times New Roman" w:cs="Calibri"/>
                <w:i/>
                <w:iCs/>
                <w:noProof w:val="0"/>
                <w:lang w:eastAsia="vi-VN"/>
              </w:rPr>
              <w:t xml:space="preserve"> for testing (n=160)</w:t>
            </w:r>
          </w:p>
        </w:tc>
        <w:tc>
          <w:tcPr>
            <w:tcW w:w="2428" w:type="dxa"/>
            <w:tcBorders>
              <w:top w:val="nil"/>
              <w:left w:val="nil"/>
              <w:bottom w:val="single" w:sz="4" w:space="0" w:color="000000"/>
              <w:right w:val="single" w:sz="4" w:space="0" w:color="000000"/>
            </w:tcBorders>
            <w:shd w:val="clear" w:color="auto" w:fill="auto"/>
            <w:noWrap/>
          </w:tcPr>
          <w:p w14:paraId="3A76AEA5" w14:textId="77777777" w:rsidR="002E60BC" w:rsidRPr="003B2743" w:rsidRDefault="002E60BC" w:rsidP="00C57F0D">
            <w:pPr>
              <w:spacing w:line="240" w:lineRule="auto"/>
              <w:jc w:val="left"/>
              <w:rPr>
                <w:rFonts w:eastAsia="Times New Roman" w:cs="Calibri"/>
                <w:noProof w:val="0"/>
                <w:lang w:eastAsia="vi-VN"/>
              </w:rPr>
            </w:pPr>
            <w:r w:rsidRPr="003B2743">
              <w:rPr>
                <w:rFonts w:eastAsia="Times New Roman" w:cs="Calibri"/>
                <w:noProof w:val="0"/>
                <w:lang w:eastAsia="vi-VN"/>
              </w:rPr>
              <w:t xml:space="preserve">Throat </w:t>
            </w:r>
          </w:p>
          <w:p w14:paraId="7616C595" w14:textId="77777777" w:rsidR="002E60BC" w:rsidRPr="003B2743" w:rsidRDefault="002E60BC" w:rsidP="00C57F0D">
            <w:pPr>
              <w:spacing w:line="240" w:lineRule="auto"/>
              <w:jc w:val="left"/>
              <w:rPr>
                <w:rFonts w:eastAsia="Times New Roman" w:cs="Calibri"/>
                <w:noProof w:val="0"/>
                <w:lang w:eastAsia="vi-VN"/>
              </w:rPr>
            </w:pPr>
            <w:r w:rsidRPr="003B2743">
              <w:rPr>
                <w:rFonts w:eastAsia="Times New Roman" w:cs="Calibri"/>
                <w:noProof w:val="0"/>
                <w:lang w:eastAsia="vi-VN"/>
              </w:rPr>
              <w:t xml:space="preserve">Blood </w:t>
            </w:r>
          </w:p>
          <w:p w14:paraId="62A6D692" w14:textId="77777777" w:rsidR="002E60BC" w:rsidRPr="003B2743" w:rsidRDefault="002E60BC" w:rsidP="00C57F0D">
            <w:pPr>
              <w:spacing w:line="240" w:lineRule="auto"/>
              <w:jc w:val="left"/>
              <w:rPr>
                <w:rFonts w:eastAsia="Times New Roman" w:cs="Calibri"/>
                <w:noProof w:val="0"/>
                <w:lang w:eastAsia="vi-VN"/>
              </w:rPr>
            </w:pPr>
            <w:r w:rsidRPr="003B2743">
              <w:rPr>
                <w:rFonts w:eastAsia="Times New Roman" w:cs="Calibri"/>
                <w:noProof w:val="0"/>
                <w:lang w:eastAsia="vi-VN"/>
              </w:rPr>
              <w:t>Other</w:t>
            </w:r>
          </w:p>
        </w:tc>
        <w:tc>
          <w:tcPr>
            <w:tcW w:w="1560" w:type="dxa"/>
            <w:tcBorders>
              <w:top w:val="nil"/>
              <w:left w:val="nil"/>
              <w:bottom w:val="single" w:sz="4" w:space="0" w:color="000000"/>
              <w:right w:val="single" w:sz="4" w:space="0" w:color="000000"/>
            </w:tcBorders>
            <w:shd w:val="clear" w:color="auto" w:fill="auto"/>
            <w:noWrap/>
          </w:tcPr>
          <w:p w14:paraId="3582792E" w14:textId="77777777" w:rsidR="002E60BC" w:rsidRPr="003B2743" w:rsidRDefault="002E60BC" w:rsidP="00C57F0D">
            <w:pPr>
              <w:spacing w:line="240" w:lineRule="auto"/>
              <w:jc w:val="center"/>
              <w:rPr>
                <w:rFonts w:eastAsia="Times New Roman" w:cs="Calibri"/>
                <w:noProof w:val="0"/>
                <w:lang w:eastAsia="vi-VN"/>
              </w:rPr>
            </w:pPr>
            <w:r w:rsidRPr="003B2743">
              <w:rPr>
                <w:rFonts w:eastAsia="Times New Roman" w:cs="Calibri"/>
                <w:noProof w:val="0"/>
                <w:lang w:eastAsia="vi-VN"/>
              </w:rPr>
              <w:t>97</w:t>
            </w:r>
          </w:p>
          <w:p w14:paraId="696FA0E4" w14:textId="77777777" w:rsidR="002E60BC" w:rsidRPr="003B2743" w:rsidRDefault="002E60BC" w:rsidP="00C57F0D">
            <w:pPr>
              <w:spacing w:line="240" w:lineRule="auto"/>
              <w:jc w:val="center"/>
              <w:rPr>
                <w:rFonts w:eastAsia="Times New Roman" w:cs="Calibri"/>
                <w:noProof w:val="0"/>
                <w:lang w:eastAsia="vi-VN"/>
              </w:rPr>
            </w:pPr>
            <w:r w:rsidRPr="003B2743">
              <w:rPr>
                <w:rFonts w:eastAsia="Times New Roman" w:cs="Calibri"/>
                <w:noProof w:val="0"/>
                <w:lang w:eastAsia="vi-VN"/>
              </w:rPr>
              <w:t>34</w:t>
            </w:r>
          </w:p>
          <w:p w14:paraId="7A7C3A18" w14:textId="77777777" w:rsidR="002E60BC" w:rsidRPr="003B2743" w:rsidRDefault="002E60BC" w:rsidP="00C57F0D">
            <w:pPr>
              <w:spacing w:line="240" w:lineRule="auto"/>
              <w:jc w:val="center"/>
              <w:rPr>
                <w:rFonts w:eastAsia="Times New Roman" w:cs="Calibri"/>
                <w:noProof w:val="0"/>
                <w:lang w:eastAsia="vi-VN"/>
              </w:rPr>
            </w:pPr>
            <w:r w:rsidRPr="003B2743">
              <w:rPr>
                <w:rFonts w:eastAsia="Times New Roman" w:cs="Calibri"/>
                <w:noProof w:val="0"/>
                <w:lang w:eastAsia="vi-VN"/>
              </w:rPr>
              <w:t>29</w:t>
            </w:r>
          </w:p>
        </w:tc>
        <w:tc>
          <w:tcPr>
            <w:tcW w:w="1560" w:type="dxa"/>
            <w:tcBorders>
              <w:top w:val="nil"/>
              <w:left w:val="nil"/>
              <w:bottom w:val="single" w:sz="4" w:space="0" w:color="000000"/>
              <w:right w:val="single" w:sz="4" w:space="0" w:color="000000"/>
            </w:tcBorders>
            <w:shd w:val="clear" w:color="auto" w:fill="auto"/>
            <w:noWrap/>
          </w:tcPr>
          <w:p w14:paraId="0ACDA0CF" w14:textId="0AE732ED" w:rsidR="002E60BC" w:rsidRPr="003B2743" w:rsidRDefault="002E60BC" w:rsidP="00C57F0D">
            <w:pPr>
              <w:spacing w:line="240" w:lineRule="auto"/>
              <w:jc w:val="center"/>
              <w:rPr>
                <w:rFonts w:eastAsia="Times New Roman" w:cs="Calibri"/>
                <w:noProof w:val="0"/>
                <w:lang w:eastAsia="vi-VN"/>
              </w:rPr>
            </w:pPr>
            <w:r w:rsidRPr="003B2743">
              <w:rPr>
                <w:rFonts w:eastAsia="Times New Roman" w:cs="Calibri"/>
                <w:noProof w:val="0"/>
                <w:lang w:eastAsia="vi-VN"/>
              </w:rPr>
              <w:t>60.6</w:t>
            </w:r>
          </w:p>
          <w:p w14:paraId="0D9EE2DE" w14:textId="4A294C9B" w:rsidR="002E60BC" w:rsidRPr="003B2743" w:rsidRDefault="002E60BC" w:rsidP="00C57F0D">
            <w:pPr>
              <w:spacing w:line="240" w:lineRule="auto"/>
              <w:jc w:val="center"/>
              <w:rPr>
                <w:rFonts w:eastAsia="Times New Roman" w:cs="Calibri"/>
                <w:noProof w:val="0"/>
                <w:lang w:eastAsia="vi-VN"/>
              </w:rPr>
            </w:pPr>
            <w:r w:rsidRPr="003B2743">
              <w:rPr>
                <w:rFonts w:eastAsia="Times New Roman" w:cs="Calibri"/>
                <w:noProof w:val="0"/>
                <w:lang w:eastAsia="vi-VN"/>
              </w:rPr>
              <w:t>21.</w:t>
            </w:r>
            <w:r w:rsidR="00901EB7">
              <w:rPr>
                <w:rFonts w:eastAsia="Times New Roman" w:cs="Calibri"/>
                <w:noProof w:val="0"/>
                <w:lang w:eastAsia="vi-VN"/>
              </w:rPr>
              <w:t>6</w:t>
            </w:r>
          </w:p>
          <w:p w14:paraId="237224EF" w14:textId="72CE0BAB" w:rsidR="002E60BC" w:rsidRPr="003B2743" w:rsidRDefault="002E60BC" w:rsidP="00C57F0D">
            <w:pPr>
              <w:spacing w:line="240" w:lineRule="auto"/>
              <w:jc w:val="center"/>
              <w:rPr>
                <w:rFonts w:eastAsia="Times New Roman" w:cs="Calibri"/>
                <w:noProof w:val="0"/>
                <w:lang w:eastAsia="vi-VN"/>
              </w:rPr>
            </w:pPr>
            <w:r w:rsidRPr="003B2743">
              <w:rPr>
                <w:rFonts w:eastAsia="Times New Roman" w:cs="Calibri"/>
                <w:noProof w:val="0"/>
                <w:lang w:eastAsia="vi-VN"/>
              </w:rPr>
              <w:t>18.1</w:t>
            </w:r>
          </w:p>
        </w:tc>
      </w:tr>
      <w:tr w:rsidR="002E60BC" w:rsidRPr="003B2743" w14:paraId="68A93423" w14:textId="77777777" w:rsidTr="00562C32">
        <w:trPr>
          <w:trHeight w:val="300"/>
        </w:trPr>
        <w:tc>
          <w:tcPr>
            <w:tcW w:w="3652" w:type="dxa"/>
            <w:vMerge w:val="restart"/>
            <w:tcBorders>
              <w:top w:val="nil"/>
              <w:left w:val="single" w:sz="4" w:space="0" w:color="000000"/>
              <w:bottom w:val="single" w:sz="4" w:space="0" w:color="000000"/>
              <w:right w:val="single" w:sz="4" w:space="0" w:color="000000"/>
            </w:tcBorders>
            <w:shd w:val="clear" w:color="FFFFFF" w:fill="FFFFFF"/>
            <w:noWrap/>
            <w:vAlign w:val="bottom"/>
            <w:hideMark/>
          </w:tcPr>
          <w:p w14:paraId="26B03A8F" w14:textId="77777777" w:rsidR="002E60BC" w:rsidRPr="003B2743" w:rsidRDefault="002E60BC" w:rsidP="00C57F0D">
            <w:pPr>
              <w:spacing w:line="240" w:lineRule="auto"/>
              <w:jc w:val="right"/>
              <w:rPr>
                <w:rFonts w:eastAsia="Times New Roman" w:cs="Calibri"/>
                <w:i/>
                <w:iCs/>
                <w:noProof w:val="0"/>
                <w:lang w:val="vi-VN" w:eastAsia="vi-VN"/>
              </w:rPr>
            </w:pPr>
            <w:r w:rsidRPr="003B2743">
              <w:rPr>
                <w:rFonts w:eastAsia="Times New Roman" w:cs="Calibri"/>
                <w:i/>
                <w:iCs/>
                <w:noProof w:val="0"/>
                <w:lang w:eastAsia="vi-VN"/>
              </w:rPr>
              <w:t>Result</w:t>
            </w:r>
            <w:r w:rsidRPr="003B2743">
              <w:rPr>
                <w:rFonts w:eastAsia="Times New Roman" w:cs="Calibri"/>
                <w:i/>
                <w:iCs/>
                <w:noProof w:val="0"/>
                <w:lang w:val="vi-VN" w:eastAsia="vi-VN"/>
              </w:rPr>
              <w:t xml:space="preserve"> </w:t>
            </w:r>
            <w:r w:rsidRPr="003B2743">
              <w:rPr>
                <w:rFonts w:eastAsia="Times New Roman" w:cs="Calibri"/>
                <w:i/>
                <w:iCs/>
                <w:noProof w:val="0"/>
                <w:lang w:val="vi-VN" w:eastAsia="vi-VN"/>
              </w:rPr>
              <w:br/>
              <w:t xml:space="preserve"> (N = 160)</w:t>
            </w:r>
          </w:p>
        </w:tc>
        <w:tc>
          <w:tcPr>
            <w:tcW w:w="2428" w:type="dxa"/>
            <w:tcBorders>
              <w:top w:val="nil"/>
              <w:left w:val="nil"/>
              <w:bottom w:val="nil"/>
              <w:right w:val="single" w:sz="4" w:space="0" w:color="000000"/>
            </w:tcBorders>
            <w:shd w:val="clear" w:color="auto" w:fill="auto"/>
            <w:noWrap/>
            <w:hideMark/>
          </w:tcPr>
          <w:p w14:paraId="51C3391E" w14:textId="77777777" w:rsidR="002E60BC" w:rsidRPr="003B2743" w:rsidRDefault="002E60BC" w:rsidP="00C57F0D">
            <w:pPr>
              <w:spacing w:line="240" w:lineRule="auto"/>
              <w:jc w:val="left"/>
              <w:rPr>
                <w:rFonts w:eastAsia="Times New Roman" w:cs="Calibri"/>
                <w:noProof w:val="0"/>
                <w:lang w:eastAsia="vi-VN"/>
              </w:rPr>
            </w:pPr>
            <w:r w:rsidRPr="003B2743">
              <w:rPr>
                <w:rFonts w:eastAsia="Times New Roman" w:cs="Calibri"/>
                <w:noProof w:val="0"/>
                <w:lang w:eastAsia="vi-VN"/>
              </w:rPr>
              <w:t>Positive</w:t>
            </w:r>
          </w:p>
        </w:tc>
        <w:tc>
          <w:tcPr>
            <w:tcW w:w="1560" w:type="dxa"/>
            <w:tcBorders>
              <w:top w:val="nil"/>
              <w:left w:val="nil"/>
              <w:bottom w:val="nil"/>
              <w:right w:val="single" w:sz="4" w:space="0" w:color="000000"/>
            </w:tcBorders>
            <w:shd w:val="clear" w:color="auto" w:fill="auto"/>
            <w:noWrap/>
            <w:hideMark/>
          </w:tcPr>
          <w:p w14:paraId="49732471"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47</w:t>
            </w:r>
          </w:p>
        </w:tc>
        <w:tc>
          <w:tcPr>
            <w:tcW w:w="1560" w:type="dxa"/>
            <w:tcBorders>
              <w:top w:val="nil"/>
              <w:left w:val="nil"/>
              <w:bottom w:val="nil"/>
              <w:right w:val="single" w:sz="4" w:space="0" w:color="000000"/>
            </w:tcBorders>
            <w:shd w:val="clear" w:color="auto" w:fill="auto"/>
            <w:noWrap/>
            <w:hideMark/>
          </w:tcPr>
          <w:p w14:paraId="6149D625" w14:textId="20EF4A07" w:rsidR="002E60BC" w:rsidRPr="00901EB7" w:rsidRDefault="002E60BC" w:rsidP="00C57F0D">
            <w:pPr>
              <w:spacing w:line="240" w:lineRule="auto"/>
              <w:jc w:val="center"/>
              <w:rPr>
                <w:rFonts w:eastAsia="Times New Roman" w:cs="Calibri"/>
                <w:noProof w:val="0"/>
                <w:lang w:eastAsia="vi-VN"/>
              </w:rPr>
            </w:pPr>
            <w:r w:rsidRPr="003B2743">
              <w:rPr>
                <w:rFonts w:eastAsia="Times New Roman" w:cs="Calibri"/>
                <w:noProof w:val="0"/>
                <w:lang w:val="vi-VN" w:eastAsia="vi-VN"/>
              </w:rPr>
              <w:t>29.</w:t>
            </w:r>
            <w:r w:rsidR="00901EB7">
              <w:rPr>
                <w:rFonts w:eastAsia="Times New Roman" w:cs="Calibri"/>
                <w:noProof w:val="0"/>
                <w:lang w:eastAsia="vi-VN"/>
              </w:rPr>
              <w:t>4</w:t>
            </w:r>
          </w:p>
        </w:tc>
      </w:tr>
      <w:tr w:rsidR="002E60BC" w:rsidRPr="003B2743" w14:paraId="5CAB4C9C" w14:textId="77777777" w:rsidTr="00562C32">
        <w:trPr>
          <w:trHeight w:val="300"/>
        </w:trPr>
        <w:tc>
          <w:tcPr>
            <w:tcW w:w="3652" w:type="dxa"/>
            <w:vMerge/>
            <w:tcBorders>
              <w:top w:val="nil"/>
              <w:left w:val="single" w:sz="4" w:space="0" w:color="000000"/>
              <w:bottom w:val="single" w:sz="4" w:space="0" w:color="000000"/>
              <w:right w:val="single" w:sz="4" w:space="0" w:color="000000"/>
            </w:tcBorders>
            <w:vAlign w:val="center"/>
            <w:hideMark/>
          </w:tcPr>
          <w:p w14:paraId="3E4215BB" w14:textId="77777777" w:rsidR="002E60BC" w:rsidRPr="003B2743" w:rsidRDefault="002E60BC" w:rsidP="00C57F0D">
            <w:pPr>
              <w:spacing w:line="240" w:lineRule="auto"/>
              <w:jc w:val="left"/>
              <w:rPr>
                <w:rFonts w:eastAsia="Times New Roman" w:cs="Calibri"/>
                <w:i/>
                <w:iCs/>
                <w:noProof w:val="0"/>
                <w:lang w:val="vi-VN" w:eastAsia="vi-VN"/>
              </w:rPr>
            </w:pPr>
          </w:p>
        </w:tc>
        <w:tc>
          <w:tcPr>
            <w:tcW w:w="2428" w:type="dxa"/>
            <w:tcBorders>
              <w:top w:val="nil"/>
              <w:left w:val="nil"/>
              <w:bottom w:val="single" w:sz="4" w:space="0" w:color="000000"/>
              <w:right w:val="single" w:sz="4" w:space="0" w:color="000000"/>
            </w:tcBorders>
            <w:shd w:val="clear" w:color="F2F2F2" w:fill="F2F2F2"/>
            <w:noWrap/>
            <w:hideMark/>
          </w:tcPr>
          <w:p w14:paraId="084879CF" w14:textId="77777777" w:rsidR="002E60BC" w:rsidRPr="003B2743" w:rsidRDefault="002E60BC" w:rsidP="00C57F0D">
            <w:pPr>
              <w:spacing w:line="240" w:lineRule="auto"/>
              <w:jc w:val="left"/>
              <w:rPr>
                <w:rFonts w:eastAsia="Times New Roman" w:cs="Calibri"/>
                <w:noProof w:val="0"/>
                <w:lang w:eastAsia="vi-VN"/>
              </w:rPr>
            </w:pPr>
            <w:r w:rsidRPr="003B2743">
              <w:rPr>
                <w:rFonts w:eastAsia="Times New Roman" w:cs="Calibri"/>
                <w:noProof w:val="0"/>
                <w:lang w:eastAsia="vi-VN"/>
              </w:rPr>
              <w:t>Negative</w:t>
            </w:r>
          </w:p>
        </w:tc>
        <w:tc>
          <w:tcPr>
            <w:tcW w:w="1560" w:type="dxa"/>
            <w:tcBorders>
              <w:top w:val="nil"/>
              <w:left w:val="nil"/>
              <w:bottom w:val="single" w:sz="4" w:space="0" w:color="000000"/>
              <w:right w:val="single" w:sz="4" w:space="0" w:color="000000"/>
            </w:tcBorders>
            <w:shd w:val="clear" w:color="F2F2F2" w:fill="F2F2F2"/>
            <w:noWrap/>
            <w:hideMark/>
          </w:tcPr>
          <w:p w14:paraId="5F75A9A1"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113</w:t>
            </w:r>
          </w:p>
        </w:tc>
        <w:tc>
          <w:tcPr>
            <w:tcW w:w="1560" w:type="dxa"/>
            <w:tcBorders>
              <w:top w:val="nil"/>
              <w:left w:val="nil"/>
              <w:bottom w:val="single" w:sz="4" w:space="0" w:color="000000"/>
              <w:right w:val="single" w:sz="4" w:space="0" w:color="000000"/>
            </w:tcBorders>
            <w:shd w:val="clear" w:color="F2F2F2" w:fill="F2F2F2"/>
            <w:noWrap/>
            <w:hideMark/>
          </w:tcPr>
          <w:p w14:paraId="3FF95E81" w14:textId="2DFC72D9" w:rsidR="002E60BC" w:rsidRPr="00901EB7" w:rsidRDefault="002E60BC" w:rsidP="00C57F0D">
            <w:pPr>
              <w:spacing w:line="240" w:lineRule="auto"/>
              <w:jc w:val="center"/>
              <w:rPr>
                <w:rFonts w:eastAsia="Times New Roman" w:cs="Calibri"/>
                <w:noProof w:val="0"/>
                <w:lang w:eastAsia="vi-VN"/>
              </w:rPr>
            </w:pPr>
            <w:r w:rsidRPr="003B2743">
              <w:rPr>
                <w:rFonts w:eastAsia="Times New Roman" w:cs="Calibri"/>
                <w:noProof w:val="0"/>
                <w:lang w:val="vi-VN" w:eastAsia="vi-VN"/>
              </w:rPr>
              <w:t>70.6</w:t>
            </w:r>
          </w:p>
        </w:tc>
      </w:tr>
      <w:tr w:rsidR="002E60BC" w:rsidRPr="003B2743" w14:paraId="356155C0" w14:textId="77777777" w:rsidTr="00562C32">
        <w:trPr>
          <w:trHeight w:val="300"/>
        </w:trPr>
        <w:tc>
          <w:tcPr>
            <w:tcW w:w="3652" w:type="dxa"/>
            <w:vMerge w:val="restart"/>
            <w:tcBorders>
              <w:top w:val="nil"/>
              <w:left w:val="single" w:sz="4" w:space="0" w:color="000000"/>
              <w:bottom w:val="single" w:sz="4" w:space="0" w:color="000000"/>
              <w:right w:val="single" w:sz="4" w:space="0" w:color="000000"/>
            </w:tcBorders>
            <w:shd w:val="clear" w:color="FFFFFF" w:fill="FFFFFF"/>
            <w:noWrap/>
            <w:vAlign w:val="bottom"/>
            <w:hideMark/>
          </w:tcPr>
          <w:p w14:paraId="32A6DD08" w14:textId="3288F39A" w:rsidR="002E60BC" w:rsidRPr="003B2743" w:rsidRDefault="002E60BC" w:rsidP="00C57F0D">
            <w:pPr>
              <w:spacing w:line="240" w:lineRule="auto"/>
              <w:jc w:val="right"/>
              <w:rPr>
                <w:rFonts w:eastAsia="Times New Roman" w:cs="Calibri"/>
                <w:i/>
                <w:iCs/>
                <w:noProof w:val="0"/>
                <w:lang w:val="vi-VN" w:eastAsia="vi-VN"/>
              </w:rPr>
            </w:pPr>
            <w:r w:rsidRPr="003B2743">
              <w:rPr>
                <w:rFonts w:eastAsia="Times New Roman" w:cs="Calibri"/>
                <w:i/>
                <w:iCs/>
                <w:noProof w:val="0"/>
                <w:lang w:val="vi-VN" w:eastAsia="vi-VN"/>
              </w:rPr>
              <w:t xml:space="preserve">Results of </w:t>
            </w:r>
            <w:r w:rsidR="00782DFC">
              <w:rPr>
                <w:rFonts w:eastAsia="Times New Roman" w:cs="Calibri"/>
                <w:i/>
                <w:iCs/>
                <w:noProof w:val="0"/>
                <w:lang w:val="en-GB" w:eastAsia="vi-VN"/>
              </w:rPr>
              <w:t>testing</w:t>
            </w:r>
            <w:r w:rsidRPr="003B2743">
              <w:rPr>
                <w:rFonts w:eastAsia="Times New Roman" w:cs="Calibri"/>
                <w:i/>
                <w:iCs/>
                <w:noProof w:val="0"/>
                <w:lang w:val="vi-VN" w:eastAsia="vi-VN"/>
              </w:rPr>
              <w:br/>
              <w:t xml:space="preserve"> (n = 47)</w:t>
            </w:r>
          </w:p>
        </w:tc>
        <w:tc>
          <w:tcPr>
            <w:tcW w:w="2428" w:type="dxa"/>
            <w:tcBorders>
              <w:top w:val="nil"/>
              <w:left w:val="nil"/>
              <w:bottom w:val="nil"/>
              <w:right w:val="single" w:sz="4" w:space="0" w:color="000000"/>
            </w:tcBorders>
            <w:shd w:val="clear" w:color="auto" w:fill="auto"/>
            <w:noWrap/>
            <w:hideMark/>
          </w:tcPr>
          <w:p w14:paraId="467A4603" w14:textId="77777777" w:rsidR="002E60BC" w:rsidRPr="003B2743" w:rsidRDefault="002E60BC" w:rsidP="00C57F0D">
            <w:pPr>
              <w:spacing w:line="240" w:lineRule="auto"/>
              <w:jc w:val="left"/>
              <w:rPr>
                <w:rFonts w:eastAsia="Times New Roman" w:cs="Calibri"/>
                <w:noProof w:val="0"/>
                <w:lang w:eastAsia="vi-VN"/>
              </w:rPr>
            </w:pPr>
            <w:r w:rsidRPr="003B2743">
              <w:rPr>
                <w:rFonts w:eastAsia="Times New Roman" w:cs="Calibri"/>
                <w:noProof w:val="0"/>
                <w:lang w:eastAsia="vi-VN"/>
              </w:rPr>
              <w:t>Bacteria</w:t>
            </w:r>
          </w:p>
        </w:tc>
        <w:tc>
          <w:tcPr>
            <w:tcW w:w="1560" w:type="dxa"/>
            <w:tcBorders>
              <w:top w:val="nil"/>
              <w:left w:val="nil"/>
              <w:bottom w:val="nil"/>
              <w:right w:val="single" w:sz="4" w:space="0" w:color="000000"/>
            </w:tcBorders>
            <w:shd w:val="clear" w:color="auto" w:fill="auto"/>
            <w:noWrap/>
            <w:hideMark/>
          </w:tcPr>
          <w:p w14:paraId="5BDCAD37"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40</w:t>
            </w:r>
          </w:p>
        </w:tc>
        <w:tc>
          <w:tcPr>
            <w:tcW w:w="1560" w:type="dxa"/>
            <w:tcBorders>
              <w:top w:val="nil"/>
              <w:left w:val="nil"/>
              <w:bottom w:val="nil"/>
              <w:right w:val="single" w:sz="4" w:space="0" w:color="000000"/>
            </w:tcBorders>
            <w:shd w:val="clear" w:color="auto" w:fill="auto"/>
            <w:noWrap/>
            <w:hideMark/>
          </w:tcPr>
          <w:p w14:paraId="3BEE05CD" w14:textId="1BB46022" w:rsidR="002E60BC" w:rsidRPr="00901EB7" w:rsidRDefault="002E60BC" w:rsidP="00C57F0D">
            <w:pPr>
              <w:spacing w:line="240" w:lineRule="auto"/>
              <w:jc w:val="center"/>
              <w:rPr>
                <w:rFonts w:eastAsia="Times New Roman" w:cs="Calibri"/>
                <w:noProof w:val="0"/>
                <w:lang w:eastAsia="vi-VN"/>
              </w:rPr>
            </w:pPr>
            <w:r w:rsidRPr="003B2743">
              <w:rPr>
                <w:rFonts w:eastAsia="Times New Roman" w:cs="Calibri"/>
                <w:noProof w:val="0"/>
                <w:lang w:val="vi-VN" w:eastAsia="vi-VN"/>
              </w:rPr>
              <w:t>85.1</w:t>
            </w:r>
          </w:p>
        </w:tc>
      </w:tr>
      <w:tr w:rsidR="002E60BC" w:rsidRPr="003B2743" w14:paraId="6D865800" w14:textId="77777777" w:rsidTr="00562C32">
        <w:trPr>
          <w:trHeight w:val="300"/>
        </w:trPr>
        <w:tc>
          <w:tcPr>
            <w:tcW w:w="3652" w:type="dxa"/>
            <w:vMerge/>
            <w:tcBorders>
              <w:top w:val="nil"/>
              <w:left w:val="single" w:sz="4" w:space="0" w:color="000000"/>
              <w:bottom w:val="single" w:sz="4" w:space="0" w:color="000000"/>
              <w:right w:val="single" w:sz="4" w:space="0" w:color="000000"/>
            </w:tcBorders>
            <w:vAlign w:val="center"/>
            <w:hideMark/>
          </w:tcPr>
          <w:p w14:paraId="72237D24" w14:textId="77777777" w:rsidR="002E60BC" w:rsidRPr="003B2743" w:rsidRDefault="002E60BC" w:rsidP="00C57F0D">
            <w:pPr>
              <w:spacing w:line="240" w:lineRule="auto"/>
              <w:jc w:val="left"/>
              <w:rPr>
                <w:rFonts w:eastAsia="Times New Roman" w:cs="Calibri"/>
                <w:i/>
                <w:iCs/>
                <w:noProof w:val="0"/>
                <w:lang w:val="vi-VN" w:eastAsia="vi-VN"/>
              </w:rPr>
            </w:pPr>
          </w:p>
        </w:tc>
        <w:tc>
          <w:tcPr>
            <w:tcW w:w="2428" w:type="dxa"/>
            <w:tcBorders>
              <w:top w:val="nil"/>
              <w:left w:val="nil"/>
              <w:bottom w:val="single" w:sz="4" w:space="0" w:color="auto"/>
              <w:right w:val="single" w:sz="4" w:space="0" w:color="000000"/>
            </w:tcBorders>
            <w:shd w:val="clear" w:color="F2F2F2" w:fill="F2F2F2"/>
            <w:noWrap/>
            <w:hideMark/>
          </w:tcPr>
          <w:p w14:paraId="5684B87A" w14:textId="77777777" w:rsidR="002E60BC" w:rsidRPr="003B2743" w:rsidRDefault="002E60BC" w:rsidP="00C57F0D">
            <w:pPr>
              <w:spacing w:line="240" w:lineRule="auto"/>
              <w:jc w:val="left"/>
              <w:rPr>
                <w:rFonts w:eastAsia="Times New Roman" w:cs="Calibri"/>
                <w:noProof w:val="0"/>
                <w:lang w:val="vi-VN" w:eastAsia="vi-VN"/>
              </w:rPr>
            </w:pPr>
            <w:r w:rsidRPr="003B2743">
              <w:rPr>
                <w:rFonts w:eastAsia="Times New Roman" w:cs="Calibri"/>
                <w:noProof w:val="0"/>
                <w:lang w:val="vi-VN" w:eastAsia="vi-VN"/>
              </w:rPr>
              <w:t>Virus</w:t>
            </w:r>
          </w:p>
        </w:tc>
        <w:tc>
          <w:tcPr>
            <w:tcW w:w="1560" w:type="dxa"/>
            <w:tcBorders>
              <w:top w:val="nil"/>
              <w:left w:val="nil"/>
              <w:bottom w:val="single" w:sz="4" w:space="0" w:color="auto"/>
              <w:right w:val="single" w:sz="4" w:space="0" w:color="000000"/>
            </w:tcBorders>
            <w:shd w:val="clear" w:color="F2F2F2" w:fill="F2F2F2"/>
            <w:noWrap/>
            <w:hideMark/>
          </w:tcPr>
          <w:p w14:paraId="3CA5F776"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7</w:t>
            </w:r>
          </w:p>
        </w:tc>
        <w:tc>
          <w:tcPr>
            <w:tcW w:w="1560" w:type="dxa"/>
            <w:tcBorders>
              <w:top w:val="nil"/>
              <w:left w:val="nil"/>
              <w:bottom w:val="single" w:sz="4" w:space="0" w:color="auto"/>
              <w:right w:val="single" w:sz="4" w:space="0" w:color="000000"/>
            </w:tcBorders>
            <w:shd w:val="clear" w:color="F2F2F2" w:fill="F2F2F2"/>
            <w:noWrap/>
            <w:hideMark/>
          </w:tcPr>
          <w:p w14:paraId="46134D39" w14:textId="10918284" w:rsidR="002E60BC" w:rsidRPr="00901EB7" w:rsidRDefault="002E60BC" w:rsidP="00C57F0D">
            <w:pPr>
              <w:spacing w:line="240" w:lineRule="auto"/>
              <w:jc w:val="center"/>
              <w:rPr>
                <w:rFonts w:eastAsia="Times New Roman" w:cs="Calibri"/>
                <w:noProof w:val="0"/>
                <w:lang w:eastAsia="vi-VN"/>
              </w:rPr>
            </w:pPr>
            <w:r w:rsidRPr="003B2743">
              <w:rPr>
                <w:rFonts w:eastAsia="Times New Roman" w:cs="Calibri"/>
                <w:noProof w:val="0"/>
                <w:lang w:val="vi-VN" w:eastAsia="vi-VN"/>
              </w:rPr>
              <w:t>14.</w:t>
            </w:r>
            <w:r w:rsidR="00901EB7">
              <w:rPr>
                <w:rFonts w:eastAsia="Times New Roman" w:cs="Calibri"/>
                <w:noProof w:val="0"/>
                <w:lang w:eastAsia="vi-VN"/>
              </w:rPr>
              <w:t>9</w:t>
            </w:r>
          </w:p>
        </w:tc>
      </w:tr>
      <w:tr w:rsidR="002E60BC" w:rsidRPr="003B2743" w14:paraId="230C088A" w14:textId="77777777" w:rsidTr="00562C32">
        <w:trPr>
          <w:trHeight w:val="300"/>
        </w:trPr>
        <w:tc>
          <w:tcPr>
            <w:tcW w:w="3652" w:type="dxa"/>
            <w:vMerge w:val="restart"/>
            <w:tcBorders>
              <w:top w:val="nil"/>
              <w:left w:val="single" w:sz="4" w:space="0" w:color="000000"/>
              <w:bottom w:val="single" w:sz="4" w:space="0" w:color="000000"/>
              <w:right w:val="single" w:sz="4" w:space="0" w:color="000000"/>
            </w:tcBorders>
            <w:shd w:val="clear" w:color="FFFFFF" w:fill="FFFFFF"/>
            <w:noWrap/>
            <w:vAlign w:val="bottom"/>
            <w:hideMark/>
          </w:tcPr>
          <w:p w14:paraId="55EADF1A" w14:textId="77777777" w:rsidR="002E60BC" w:rsidRPr="003B2743" w:rsidRDefault="002E60BC" w:rsidP="00C57F0D">
            <w:pPr>
              <w:spacing w:line="240" w:lineRule="auto"/>
              <w:jc w:val="right"/>
              <w:rPr>
                <w:rFonts w:eastAsia="Times New Roman" w:cs="Calibri"/>
                <w:i/>
                <w:iCs/>
                <w:noProof w:val="0"/>
                <w:lang w:val="vi-VN" w:eastAsia="vi-VN"/>
              </w:rPr>
            </w:pPr>
            <w:r w:rsidRPr="003B2743">
              <w:rPr>
                <w:rFonts w:eastAsia="Times New Roman" w:cs="Calibri"/>
                <w:i/>
                <w:iCs/>
                <w:noProof w:val="0"/>
                <w:lang w:val="vi-VN" w:eastAsia="vi-VN"/>
              </w:rPr>
              <w:t>Bacterial strains identified</w:t>
            </w:r>
            <w:r w:rsidRPr="003B2743">
              <w:rPr>
                <w:rFonts w:eastAsia="Times New Roman" w:cs="Calibri"/>
                <w:i/>
                <w:iCs/>
                <w:noProof w:val="0"/>
                <w:lang w:val="vi-VN" w:eastAsia="vi-VN"/>
              </w:rPr>
              <w:br/>
              <w:t xml:space="preserve"> (n = 40)</w:t>
            </w:r>
          </w:p>
        </w:tc>
        <w:tc>
          <w:tcPr>
            <w:tcW w:w="2428" w:type="dxa"/>
            <w:tcBorders>
              <w:top w:val="single" w:sz="4" w:space="0" w:color="auto"/>
              <w:left w:val="nil"/>
              <w:bottom w:val="nil"/>
              <w:right w:val="single" w:sz="4" w:space="0" w:color="000000"/>
            </w:tcBorders>
            <w:shd w:val="clear" w:color="auto" w:fill="auto"/>
            <w:noWrap/>
            <w:hideMark/>
          </w:tcPr>
          <w:p w14:paraId="2E7DBFE3" w14:textId="77777777" w:rsidR="002E60BC" w:rsidRPr="003B2743" w:rsidRDefault="002E60BC" w:rsidP="00C57F0D">
            <w:pPr>
              <w:spacing w:line="240" w:lineRule="auto"/>
              <w:jc w:val="left"/>
              <w:rPr>
                <w:rFonts w:eastAsia="Times New Roman" w:cs="Calibri"/>
                <w:i/>
                <w:iCs/>
                <w:noProof w:val="0"/>
                <w:lang w:val="vi-VN" w:eastAsia="vi-VN"/>
              </w:rPr>
            </w:pPr>
            <w:r w:rsidRPr="003B2743">
              <w:rPr>
                <w:rFonts w:eastAsia="Times New Roman" w:cs="Calibri"/>
                <w:i/>
                <w:iCs/>
                <w:noProof w:val="0"/>
                <w:lang w:val="vi-VN" w:eastAsia="vi-VN"/>
              </w:rPr>
              <w:t>H.influenzae</w:t>
            </w:r>
          </w:p>
        </w:tc>
        <w:tc>
          <w:tcPr>
            <w:tcW w:w="1560" w:type="dxa"/>
            <w:tcBorders>
              <w:top w:val="single" w:sz="4" w:space="0" w:color="auto"/>
              <w:left w:val="nil"/>
              <w:bottom w:val="nil"/>
              <w:right w:val="single" w:sz="4" w:space="0" w:color="000000"/>
            </w:tcBorders>
            <w:shd w:val="clear" w:color="auto" w:fill="auto"/>
            <w:noWrap/>
            <w:hideMark/>
          </w:tcPr>
          <w:p w14:paraId="29374055"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25</w:t>
            </w:r>
          </w:p>
        </w:tc>
        <w:tc>
          <w:tcPr>
            <w:tcW w:w="1560" w:type="dxa"/>
            <w:tcBorders>
              <w:top w:val="single" w:sz="4" w:space="0" w:color="auto"/>
              <w:left w:val="nil"/>
              <w:bottom w:val="nil"/>
              <w:right w:val="single" w:sz="4" w:space="0" w:color="000000"/>
            </w:tcBorders>
            <w:shd w:val="clear" w:color="auto" w:fill="auto"/>
            <w:noWrap/>
            <w:hideMark/>
          </w:tcPr>
          <w:p w14:paraId="47ABC0B0" w14:textId="49EA61E9" w:rsidR="002E60BC" w:rsidRPr="00901EB7" w:rsidRDefault="002E60BC" w:rsidP="00C57F0D">
            <w:pPr>
              <w:spacing w:line="240" w:lineRule="auto"/>
              <w:jc w:val="center"/>
              <w:rPr>
                <w:rFonts w:eastAsia="Times New Roman" w:cs="Calibri"/>
                <w:noProof w:val="0"/>
                <w:lang w:eastAsia="vi-VN"/>
              </w:rPr>
            </w:pPr>
            <w:r w:rsidRPr="003B2743">
              <w:rPr>
                <w:rFonts w:eastAsia="Times New Roman" w:cs="Calibri"/>
                <w:noProof w:val="0"/>
                <w:lang w:val="vi-VN" w:eastAsia="vi-VN"/>
              </w:rPr>
              <w:t>53.</w:t>
            </w:r>
            <w:r w:rsidR="00901EB7">
              <w:rPr>
                <w:rFonts w:eastAsia="Times New Roman" w:cs="Calibri"/>
                <w:noProof w:val="0"/>
                <w:lang w:eastAsia="vi-VN"/>
              </w:rPr>
              <w:t>2</w:t>
            </w:r>
          </w:p>
        </w:tc>
      </w:tr>
      <w:tr w:rsidR="002E60BC" w:rsidRPr="003B2743" w14:paraId="1DD3D2CE" w14:textId="77777777" w:rsidTr="00562C32">
        <w:trPr>
          <w:trHeight w:val="300"/>
        </w:trPr>
        <w:tc>
          <w:tcPr>
            <w:tcW w:w="3652" w:type="dxa"/>
            <w:vMerge/>
            <w:tcBorders>
              <w:top w:val="nil"/>
              <w:left w:val="single" w:sz="4" w:space="0" w:color="000000"/>
              <w:bottom w:val="single" w:sz="4" w:space="0" w:color="000000"/>
              <w:right w:val="single" w:sz="4" w:space="0" w:color="000000"/>
            </w:tcBorders>
            <w:vAlign w:val="center"/>
            <w:hideMark/>
          </w:tcPr>
          <w:p w14:paraId="1FB05F7D" w14:textId="77777777" w:rsidR="002E60BC" w:rsidRPr="003B2743" w:rsidRDefault="002E60BC" w:rsidP="00C57F0D">
            <w:pPr>
              <w:spacing w:line="240" w:lineRule="auto"/>
              <w:jc w:val="left"/>
              <w:rPr>
                <w:rFonts w:eastAsia="Times New Roman" w:cs="Calibri"/>
                <w:i/>
                <w:iCs/>
                <w:noProof w:val="0"/>
                <w:lang w:val="vi-VN" w:eastAsia="vi-VN"/>
              </w:rPr>
            </w:pPr>
          </w:p>
        </w:tc>
        <w:tc>
          <w:tcPr>
            <w:tcW w:w="2428" w:type="dxa"/>
            <w:tcBorders>
              <w:top w:val="nil"/>
              <w:left w:val="nil"/>
              <w:bottom w:val="nil"/>
              <w:right w:val="single" w:sz="4" w:space="0" w:color="000000"/>
            </w:tcBorders>
            <w:shd w:val="clear" w:color="F2F2F2" w:fill="F2F2F2"/>
            <w:noWrap/>
            <w:hideMark/>
          </w:tcPr>
          <w:p w14:paraId="4C4C1195" w14:textId="77777777" w:rsidR="002E60BC" w:rsidRPr="003B2743" w:rsidRDefault="002E60BC" w:rsidP="00C57F0D">
            <w:pPr>
              <w:spacing w:line="240" w:lineRule="auto"/>
              <w:jc w:val="left"/>
              <w:rPr>
                <w:rFonts w:eastAsia="Times New Roman" w:cs="Calibri"/>
                <w:i/>
                <w:iCs/>
                <w:noProof w:val="0"/>
                <w:lang w:val="vi-VN" w:eastAsia="vi-VN"/>
              </w:rPr>
            </w:pPr>
            <w:r w:rsidRPr="003B2743">
              <w:rPr>
                <w:rFonts w:eastAsia="Times New Roman" w:cs="Calibri"/>
                <w:i/>
                <w:iCs/>
                <w:noProof w:val="0"/>
                <w:lang w:val="vi-VN" w:eastAsia="vi-VN"/>
              </w:rPr>
              <w:t>M.catarrhalis</w:t>
            </w:r>
          </w:p>
        </w:tc>
        <w:tc>
          <w:tcPr>
            <w:tcW w:w="1560" w:type="dxa"/>
            <w:tcBorders>
              <w:top w:val="nil"/>
              <w:left w:val="nil"/>
              <w:bottom w:val="nil"/>
              <w:right w:val="single" w:sz="4" w:space="0" w:color="000000"/>
            </w:tcBorders>
            <w:shd w:val="clear" w:color="F2F2F2" w:fill="F2F2F2"/>
            <w:noWrap/>
            <w:hideMark/>
          </w:tcPr>
          <w:p w14:paraId="1D4B4C6F"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12</w:t>
            </w:r>
          </w:p>
        </w:tc>
        <w:tc>
          <w:tcPr>
            <w:tcW w:w="1560" w:type="dxa"/>
            <w:tcBorders>
              <w:top w:val="nil"/>
              <w:left w:val="nil"/>
              <w:bottom w:val="nil"/>
              <w:right w:val="single" w:sz="4" w:space="0" w:color="000000"/>
            </w:tcBorders>
            <w:shd w:val="clear" w:color="F2F2F2" w:fill="F2F2F2"/>
            <w:noWrap/>
            <w:hideMark/>
          </w:tcPr>
          <w:p w14:paraId="6CC006DA" w14:textId="1C30D75B" w:rsidR="002E60BC" w:rsidRPr="00901EB7" w:rsidRDefault="002E60BC" w:rsidP="00C57F0D">
            <w:pPr>
              <w:spacing w:line="240" w:lineRule="auto"/>
              <w:jc w:val="center"/>
              <w:rPr>
                <w:rFonts w:eastAsia="Times New Roman" w:cs="Calibri"/>
                <w:noProof w:val="0"/>
                <w:lang w:eastAsia="vi-VN"/>
              </w:rPr>
            </w:pPr>
            <w:r w:rsidRPr="003B2743">
              <w:rPr>
                <w:rFonts w:eastAsia="Times New Roman" w:cs="Calibri"/>
                <w:noProof w:val="0"/>
                <w:lang w:val="vi-VN" w:eastAsia="vi-VN"/>
              </w:rPr>
              <w:t>25.5</w:t>
            </w:r>
          </w:p>
        </w:tc>
      </w:tr>
      <w:tr w:rsidR="002E60BC" w:rsidRPr="003B2743" w14:paraId="5AF3D7E8" w14:textId="77777777" w:rsidTr="00562C32">
        <w:trPr>
          <w:trHeight w:val="300"/>
        </w:trPr>
        <w:tc>
          <w:tcPr>
            <w:tcW w:w="3652" w:type="dxa"/>
            <w:vMerge/>
            <w:tcBorders>
              <w:top w:val="nil"/>
              <w:left w:val="single" w:sz="4" w:space="0" w:color="000000"/>
              <w:bottom w:val="single" w:sz="4" w:space="0" w:color="000000"/>
              <w:right w:val="single" w:sz="4" w:space="0" w:color="000000"/>
            </w:tcBorders>
            <w:vAlign w:val="center"/>
            <w:hideMark/>
          </w:tcPr>
          <w:p w14:paraId="624AFB2E" w14:textId="77777777" w:rsidR="002E60BC" w:rsidRPr="003B2743" w:rsidRDefault="002E60BC" w:rsidP="00C57F0D">
            <w:pPr>
              <w:spacing w:line="240" w:lineRule="auto"/>
              <w:jc w:val="left"/>
              <w:rPr>
                <w:rFonts w:eastAsia="Times New Roman" w:cs="Calibri"/>
                <w:i/>
                <w:iCs/>
                <w:noProof w:val="0"/>
                <w:lang w:val="vi-VN" w:eastAsia="vi-VN"/>
              </w:rPr>
            </w:pPr>
          </w:p>
        </w:tc>
        <w:tc>
          <w:tcPr>
            <w:tcW w:w="2428" w:type="dxa"/>
            <w:tcBorders>
              <w:top w:val="nil"/>
              <w:left w:val="nil"/>
              <w:bottom w:val="nil"/>
              <w:right w:val="single" w:sz="4" w:space="0" w:color="000000"/>
            </w:tcBorders>
            <w:shd w:val="clear" w:color="auto" w:fill="auto"/>
            <w:noWrap/>
            <w:hideMark/>
          </w:tcPr>
          <w:p w14:paraId="71930573" w14:textId="77777777" w:rsidR="002E60BC" w:rsidRPr="003B2743" w:rsidRDefault="002E60BC" w:rsidP="00C57F0D">
            <w:pPr>
              <w:spacing w:line="240" w:lineRule="auto"/>
              <w:jc w:val="left"/>
              <w:rPr>
                <w:rFonts w:eastAsia="Times New Roman" w:cs="Calibri"/>
                <w:i/>
                <w:iCs/>
                <w:noProof w:val="0"/>
                <w:lang w:val="vi-VN" w:eastAsia="vi-VN"/>
              </w:rPr>
            </w:pPr>
            <w:r w:rsidRPr="003B2743">
              <w:rPr>
                <w:rFonts w:eastAsia="Times New Roman" w:cs="Calibri"/>
                <w:i/>
                <w:iCs/>
                <w:noProof w:val="0"/>
                <w:lang w:val="vi-VN" w:eastAsia="vi-VN"/>
              </w:rPr>
              <w:t>S.aureus</w:t>
            </w:r>
          </w:p>
        </w:tc>
        <w:tc>
          <w:tcPr>
            <w:tcW w:w="1560" w:type="dxa"/>
            <w:tcBorders>
              <w:top w:val="nil"/>
              <w:left w:val="nil"/>
              <w:bottom w:val="nil"/>
              <w:right w:val="single" w:sz="4" w:space="0" w:color="000000"/>
            </w:tcBorders>
            <w:shd w:val="clear" w:color="auto" w:fill="auto"/>
            <w:noWrap/>
            <w:hideMark/>
          </w:tcPr>
          <w:p w14:paraId="304502A4"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2</w:t>
            </w:r>
          </w:p>
        </w:tc>
        <w:tc>
          <w:tcPr>
            <w:tcW w:w="1560" w:type="dxa"/>
            <w:tcBorders>
              <w:top w:val="nil"/>
              <w:left w:val="nil"/>
              <w:bottom w:val="nil"/>
              <w:right w:val="single" w:sz="4" w:space="0" w:color="000000"/>
            </w:tcBorders>
            <w:shd w:val="clear" w:color="auto" w:fill="auto"/>
            <w:noWrap/>
            <w:hideMark/>
          </w:tcPr>
          <w:p w14:paraId="62831CC7" w14:textId="0322EEEE" w:rsidR="002E60BC" w:rsidRPr="00901EB7" w:rsidRDefault="002E60BC" w:rsidP="00C57F0D">
            <w:pPr>
              <w:spacing w:line="240" w:lineRule="auto"/>
              <w:jc w:val="center"/>
              <w:rPr>
                <w:rFonts w:eastAsia="Times New Roman" w:cs="Calibri"/>
                <w:noProof w:val="0"/>
                <w:lang w:eastAsia="vi-VN"/>
              </w:rPr>
            </w:pPr>
            <w:r w:rsidRPr="003B2743">
              <w:rPr>
                <w:rFonts w:eastAsia="Times New Roman" w:cs="Calibri"/>
                <w:noProof w:val="0"/>
                <w:lang w:val="vi-VN" w:eastAsia="vi-VN"/>
              </w:rPr>
              <w:t>4.</w:t>
            </w:r>
            <w:r w:rsidR="00901EB7">
              <w:rPr>
                <w:rFonts w:eastAsia="Times New Roman" w:cs="Calibri"/>
                <w:noProof w:val="0"/>
                <w:lang w:eastAsia="vi-VN"/>
              </w:rPr>
              <w:t>3</w:t>
            </w:r>
          </w:p>
        </w:tc>
      </w:tr>
      <w:tr w:rsidR="002E60BC" w:rsidRPr="003B2743" w14:paraId="53BD3BC3" w14:textId="77777777" w:rsidTr="00562C32">
        <w:trPr>
          <w:trHeight w:val="300"/>
        </w:trPr>
        <w:tc>
          <w:tcPr>
            <w:tcW w:w="3652" w:type="dxa"/>
            <w:vMerge/>
            <w:tcBorders>
              <w:top w:val="nil"/>
              <w:left w:val="single" w:sz="4" w:space="0" w:color="000000"/>
              <w:bottom w:val="single" w:sz="4" w:space="0" w:color="000000"/>
              <w:right w:val="single" w:sz="4" w:space="0" w:color="000000"/>
            </w:tcBorders>
            <w:vAlign w:val="center"/>
            <w:hideMark/>
          </w:tcPr>
          <w:p w14:paraId="57AEC269" w14:textId="77777777" w:rsidR="002E60BC" w:rsidRPr="003B2743" w:rsidRDefault="002E60BC" w:rsidP="00C57F0D">
            <w:pPr>
              <w:spacing w:line="240" w:lineRule="auto"/>
              <w:jc w:val="left"/>
              <w:rPr>
                <w:rFonts w:eastAsia="Times New Roman" w:cs="Calibri"/>
                <w:i/>
                <w:iCs/>
                <w:noProof w:val="0"/>
                <w:lang w:val="vi-VN" w:eastAsia="vi-VN"/>
              </w:rPr>
            </w:pPr>
          </w:p>
        </w:tc>
        <w:tc>
          <w:tcPr>
            <w:tcW w:w="2428" w:type="dxa"/>
            <w:tcBorders>
              <w:top w:val="nil"/>
              <w:left w:val="nil"/>
              <w:bottom w:val="nil"/>
              <w:right w:val="single" w:sz="4" w:space="0" w:color="000000"/>
            </w:tcBorders>
            <w:shd w:val="clear" w:color="F2F2F2" w:fill="F2F2F2"/>
            <w:noWrap/>
            <w:hideMark/>
          </w:tcPr>
          <w:p w14:paraId="66651BE5" w14:textId="77777777" w:rsidR="002E60BC" w:rsidRPr="003B2743" w:rsidRDefault="002E60BC" w:rsidP="00C57F0D">
            <w:pPr>
              <w:spacing w:line="240" w:lineRule="auto"/>
              <w:jc w:val="left"/>
              <w:rPr>
                <w:rFonts w:eastAsia="Times New Roman" w:cs="Calibri"/>
                <w:i/>
                <w:iCs/>
                <w:noProof w:val="0"/>
                <w:lang w:val="vi-VN" w:eastAsia="vi-VN"/>
              </w:rPr>
            </w:pPr>
            <w:r w:rsidRPr="003B2743">
              <w:rPr>
                <w:rFonts w:eastAsia="Times New Roman" w:cs="Calibri"/>
                <w:i/>
                <w:iCs/>
                <w:noProof w:val="0"/>
                <w:lang w:val="vi-VN" w:eastAsia="vi-VN"/>
              </w:rPr>
              <w:t>S.pneumoniae</w:t>
            </w:r>
          </w:p>
        </w:tc>
        <w:tc>
          <w:tcPr>
            <w:tcW w:w="1560" w:type="dxa"/>
            <w:tcBorders>
              <w:top w:val="nil"/>
              <w:left w:val="nil"/>
              <w:bottom w:val="nil"/>
              <w:right w:val="single" w:sz="4" w:space="0" w:color="000000"/>
            </w:tcBorders>
            <w:shd w:val="clear" w:color="F2F2F2" w:fill="F2F2F2"/>
            <w:noWrap/>
            <w:hideMark/>
          </w:tcPr>
          <w:p w14:paraId="4FEC13A8"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1</w:t>
            </w:r>
          </w:p>
        </w:tc>
        <w:tc>
          <w:tcPr>
            <w:tcW w:w="1560" w:type="dxa"/>
            <w:tcBorders>
              <w:top w:val="nil"/>
              <w:left w:val="nil"/>
              <w:bottom w:val="nil"/>
              <w:right w:val="single" w:sz="4" w:space="0" w:color="000000"/>
            </w:tcBorders>
            <w:shd w:val="clear" w:color="F2F2F2" w:fill="F2F2F2"/>
            <w:noWrap/>
            <w:hideMark/>
          </w:tcPr>
          <w:p w14:paraId="2EBAEA5A" w14:textId="6E34E2EB" w:rsidR="002E60BC" w:rsidRPr="00901EB7" w:rsidRDefault="002E60BC" w:rsidP="00C57F0D">
            <w:pPr>
              <w:spacing w:line="240" w:lineRule="auto"/>
              <w:jc w:val="center"/>
              <w:rPr>
                <w:rFonts w:eastAsia="Times New Roman" w:cs="Calibri"/>
                <w:noProof w:val="0"/>
                <w:lang w:eastAsia="vi-VN"/>
              </w:rPr>
            </w:pPr>
            <w:r w:rsidRPr="003B2743">
              <w:rPr>
                <w:rFonts w:eastAsia="Times New Roman" w:cs="Calibri"/>
                <w:noProof w:val="0"/>
                <w:lang w:val="vi-VN" w:eastAsia="vi-VN"/>
              </w:rPr>
              <w:t>2.1</w:t>
            </w:r>
          </w:p>
        </w:tc>
      </w:tr>
      <w:tr w:rsidR="002E60BC" w:rsidRPr="003B2743" w14:paraId="4D652BC3" w14:textId="77777777" w:rsidTr="00562C32">
        <w:trPr>
          <w:trHeight w:val="300"/>
        </w:trPr>
        <w:tc>
          <w:tcPr>
            <w:tcW w:w="3652" w:type="dxa"/>
            <w:vMerge/>
            <w:tcBorders>
              <w:top w:val="nil"/>
              <w:left w:val="single" w:sz="4" w:space="0" w:color="000000"/>
              <w:bottom w:val="single" w:sz="4" w:space="0" w:color="000000"/>
              <w:right w:val="single" w:sz="4" w:space="0" w:color="000000"/>
            </w:tcBorders>
            <w:vAlign w:val="center"/>
            <w:hideMark/>
          </w:tcPr>
          <w:p w14:paraId="1DAA831B" w14:textId="77777777" w:rsidR="002E60BC" w:rsidRPr="003B2743" w:rsidRDefault="002E60BC" w:rsidP="00C57F0D">
            <w:pPr>
              <w:spacing w:line="240" w:lineRule="auto"/>
              <w:jc w:val="left"/>
              <w:rPr>
                <w:rFonts w:eastAsia="Times New Roman" w:cs="Calibri"/>
                <w:i/>
                <w:iCs/>
                <w:noProof w:val="0"/>
                <w:lang w:val="vi-VN" w:eastAsia="vi-VN"/>
              </w:rPr>
            </w:pPr>
          </w:p>
        </w:tc>
        <w:tc>
          <w:tcPr>
            <w:tcW w:w="2428" w:type="dxa"/>
            <w:tcBorders>
              <w:top w:val="nil"/>
              <w:left w:val="nil"/>
              <w:bottom w:val="nil"/>
              <w:right w:val="single" w:sz="4" w:space="0" w:color="000000"/>
            </w:tcBorders>
            <w:shd w:val="clear" w:color="auto" w:fill="auto"/>
            <w:noWrap/>
            <w:hideMark/>
          </w:tcPr>
          <w:p w14:paraId="31745F6D" w14:textId="77777777" w:rsidR="002E60BC" w:rsidRPr="003B2743" w:rsidRDefault="002E60BC" w:rsidP="00C57F0D">
            <w:pPr>
              <w:spacing w:line="240" w:lineRule="auto"/>
              <w:jc w:val="left"/>
              <w:rPr>
                <w:rFonts w:eastAsia="Times New Roman" w:cs="Calibri"/>
                <w:i/>
                <w:iCs/>
                <w:noProof w:val="0"/>
                <w:lang w:val="vi-VN" w:eastAsia="vi-VN"/>
              </w:rPr>
            </w:pPr>
            <w:r w:rsidRPr="003B2743">
              <w:rPr>
                <w:rFonts w:eastAsia="Times New Roman" w:cs="Calibri"/>
                <w:i/>
                <w:iCs/>
                <w:noProof w:val="0"/>
                <w:lang w:val="vi-VN" w:eastAsia="vi-VN"/>
              </w:rPr>
              <w:t>M.pneumoniae</w:t>
            </w:r>
          </w:p>
        </w:tc>
        <w:tc>
          <w:tcPr>
            <w:tcW w:w="1560" w:type="dxa"/>
            <w:tcBorders>
              <w:top w:val="nil"/>
              <w:left w:val="nil"/>
              <w:bottom w:val="nil"/>
              <w:right w:val="single" w:sz="4" w:space="0" w:color="000000"/>
            </w:tcBorders>
            <w:shd w:val="clear" w:color="auto" w:fill="auto"/>
            <w:noWrap/>
            <w:hideMark/>
          </w:tcPr>
          <w:p w14:paraId="587DB06A"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0</w:t>
            </w:r>
          </w:p>
        </w:tc>
        <w:tc>
          <w:tcPr>
            <w:tcW w:w="1560" w:type="dxa"/>
            <w:tcBorders>
              <w:top w:val="nil"/>
              <w:left w:val="nil"/>
              <w:bottom w:val="nil"/>
              <w:right w:val="single" w:sz="4" w:space="0" w:color="000000"/>
            </w:tcBorders>
            <w:shd w:val="clear" w:color="auto" w:fill="auto"/>
            <w:noWrap/>
            <w:hideMark/>
          </w:tcPr>
          <w:p w14:paraId="68E5A7D9" w14:textId="270ECBFA" w:rsidR="002E60BC" w:rsidRPr="00C773C3" w:rsidRDefault="002E60BC" w:rsidP="00C57F0D">
            <w:pPr>
              <w:spacing w:line="240" w:lineRule="auto"/>
              <w:jc w:val="center"/>
              <w:rPr>
                <w:rFonts w:eastAsia="Times New Roman" w:cs="Calibri"/>
                <w:noProof w:val="0"/>
                <w:lang w:val="en-GB" w:eastAsia="vi-VN"/>
              </w:rPr>
            </w:pPr>
            <w:r w:rsidRPr="003B2743">
              <w:rPr>
                <w:rFonts w:eastAsia="Times New Roman" w:cs="Calibri"/>
                <w:noProof w:val="0"/>
                <w:lang w:val="vi-VN" w:eastAsia="vi-VN"/>
              </w:rPr>
              <w:t>0.0</w:t>
            </w:r>
          </w:p>
        </w:tc>
      </w:tr>
      <w:tr w:rsidR="002E60BC" w:rsidRPr="003B2743" w14:paraId="23A923AC" w14:textId="77777777" w:rsidTr="00562C32">
        <w:trPr>
          <w:trHeight w:val="300"/>
        </w:trPr>
        <w:tc>
          <w:tcPr>
            <w:tcW w:w="3652" w:type="dxa"/>
            <w:vMerge/>
            <w:tcBorders>
              <w:top w:val="nil"/>
              <w:left w:val="single" w:sz="4" w:space="0" w:color="000000"/>
              <w:bottom w:val="single" w:sz="4" w:space="0" w:color="000000"/>
              <w:right w:val="single" w:sz="4" w:space="0" w:color="000000"/>
            </w:tcBorders>
            <w:vAlign w:val="center"/>
            <w:hideMark/>
          </w:tcPr>
          <w:p w14:paraId="3D4CC250" w14:textId="77777777" w:rsidR="002E60BC" w:rsidRPr="003B2743" w:rsidRDefault="002E60BC" w:rsidP="00C57F0D">
            <w:pPr>
              <w:spacing w:line="240" w:lineRule="auto"/>
              <w:jc w:val="left"/>
              <w:rPr>
                <w:rFonts w:eastAsia="Times New Roman" w:cs="Calibri"/>
                <w:i/>
                <w:iCs/>
                <w:noProof w:val="0"/>
                <w:lang w:val="vi-VN" w:eastAsia="vi-VN"/>
              </w:rPr>
            </w:pPr>
          </w:p>
        </w:tc>
        <w:tc>
          <w:tcPr>
            <w:tcW w:w="2428" w:type="dxa"/>
            <w:tcBorders>
              <w:top w:val="nil"/>
              <w:left w:val="nil"/>
              <w:bottom w:val="nil"/>
              <w:right w:val="single" w:sz="4" w:space="0" w:color="000000"/>
            </w:tcBorders>
            <w:shd w:val="clear" w:color="F2F2F2" w:fill="F2F2F2"/>
            <w:noWrap/>
            <w:hideMark/>
          </w:tcPr>
          <w:p w14:paraId="44C7552C" w14:textId="77777777" w:rsidR="002E60BC" w:rsidRPr="003B2743" w:rsidRDefault="002E60BC" w:rsidP="00C57F0D">
            <w:pPr>
              <w:spacing w:line="240" w:lineRule="auto"/>
              <w:jc w:val="left"/>
              <w:rPr>
                <w:rFonts w:eastAsia="Times New Roman" w:cs="Calibri"/>
                <w:i/>
                <w:iCs/>
                <w:noProof w:val="0"/>
                <w:lang w:val="vi-VN" w:eastAsia="vi-VN"/>
              </w:rPr>
            </w:pPr>
            <w:r w:rsidRPr="003B2743">
              <w:rPr>
                <w:rFonts w:eastAsia="Times New Roman" w:cs="Calibri"/>
                <w:i/>
                <w:iCs/>
                <w:noProof w:val="0"/>
                <w:lang w:val="vi-VN" w:eastAsia="vi-VN"/>
              </w:rPr>
              <w:t>P.aeruginosa</w:t>
            </w:r>
          </w:p>
        </w:tc>
        <w:tc>
          <w:tcPr>
            <w:tcW w:w="1560" w:type="dxa"/>
            <w:tcBorders>
              <w:top w:val="nil"/>
              <w:left w:val="nil"/>
              <w:bottom w:val="nil"/>
              <w:right w:val="single" w:sz="4" w:space="0" w:color="000000"/>
            </w:tcBorders>
            <w:shd w:val="clear" w:color="F2F2F2" w:fill="F2F2F2"/>
            <w:noWrap/>
            <w:hideMark/>
          </w:tcPr>
          <w:p w14:paraId="2E1B5838" w14:textId="77777777" w:rsidR="002E60BC" w:rsidRPr="003B2743" w:rsidRDefault="002E60BC" w:rsidP="00C57F0D">
            <w:pPr>
              <w:spacing w:line="240" w:lineRule="auto"/>
              <w:jc w:val="center"/>
              <w:rPr>
                <w:rFonts w:eastAsia="Times New Roman" w:cs="Calibri"/>
                <w:noProof w:val="0"/>
                <w:lang w:val="vi-VN" w:eastAsia="vi-VN"/>
              </w:rPr>
            </w:pPr>
            <w:r w:rsidRPr="003B2743">
              <w:rPr>
                <w:rFonts w:eastAsia="Times New Roman" w:cs="Calibri"/>
                <w:noProof w:val="0"/>
                <w:lang w:val="vi-VN" w:eastAsia="vi-VN"/>
              </w:rPr>
              <w:t>0</w:t>
            </w:r>
          </w:p>
        </w:tc>
        <w:tc>
          <w:tcPr>
            <w:tcW w:w="1560" w:type="dxa"/>
            <w:tcBorders>
              <w:top w:val="nil"/>
              <w:left w:val="nil"/>
              <w:bottom w:val="nil"/>
              <w:right w:val="single" w:sz="4" w:space="0" w:color="000000"/>
            </w:tcBorders>
            <w:shd w:val="clear" w:color="F2F2F2" w:fill="F2F2F2"/>
            <w:noWrap/>
            <w:hideMark/>
          </w:tcPr>
          <w:p w14:paraId="6A143103" w14:textId="7DB40E02" w:rsidR="002E60BC" w:rsidRPr="00C773C3" w:rsidRDefault="002E60BC" w:rsidP="00C57F0D">
            <w:pPr>
              <w:spacing w:line="240" w:lineRule="auto"/>
              <w:jc w:val="center"/>
              <w:rPr>
                <w:rFonts w:eastAsia="Times New Roman" w:cs="Calibri"/>
                <w:noProof w:val="0"/>
                <w:lang w:val="en-GB" w:eastAsia="vi-VN"/>
              </w:rPr>
            </w:pPr>
            <w:r w:rsidRPr="003B2743">
              <w:rPr>
                <w:rFonts w:eastAsia="Times New Roman" w:cs="Calibri"/>
                <w:noProof w:val="0"/>
                <w:lang w:val="vi-VN" w:eastAsia="vi-VN"/>
              </w:rPr>
              <w:t>0.0</w:t>
            </w:r>
          </w:p>
        </w:tc>
      </w:tr>
      <w:tr w:rsidR="002E60BC" w:rsidRPr="003B2743" w14:paraId="61A5B82D" w14:textId="77777777" w:rsidTr="00562C32">
        <w:trPr>
          <w:trHeight w:val="300"/>
        </w:trPr>
        <w:tc>
          <w:tcPr>
            <w:tcW w:w="3652" w:type="dxa"/>
            <w:tcBorders>
              <w:top w:val="single" w:sz="4" w:space="0" w:color="auto"/>
              <w:left w:val="single" w:sz="4" w:space="0" w:color="000000"/>
              <w:bottom w:val="nil"/>
              <w:right w:val="single" w:sz="4" w:space="0" w:color="000000"/>
            </w:tcBorders>
            <w:vAlign w:val="center"/>
          </w:tcPr>
          <w:p w14:paraId="2ACA4052" w14:textId="77777777" w:rsidR="002E60BC" w:rsidRPr="003B2743" w:rsidRDefault="002E60BC" w:rsidP="00C57F0D">
            <w:pPr>
              <w:spacing w:line="240" w:lineRule="auto"/>
              <w:jc w:val="right"/>
              <w:rPr>
                <w:rFonts w:eastAsia="Times New Roman"/>
                <w:i/>
                <w:iCs/>
                <w:noProof w:val="0"/>
                <w:lang w:val="vi-VN" w:eastAsia="vi-VN"/>
              </w:rPr>
            </w:pPr>
          </w:p>
        </w:tc>
        <w:tc>
          <w:tcPr>
            <w:tcW w:w="2428" w:type="dxa"/>
            <w:tcBorders>
              <w:top w:val="single" w:sz="4" w:space="0" w:color="auto"/>
              <w:left w:val="nil"/>
              <w:bottom w:val="nil"/>
              <w:right w:val="single" w:sz="4" w:space="0" w:color="000000"/>
            </w:tcBorders>
            <w:shd w:val="clear" w:color="auto" w:fill="auto"/>
            <w:noWrap/>
            <w:vAlign w:val="bottom"/>
          </w:tcPr>
          <w:p w14:paraId="2C126487" w14:textId="77777777" w:rsidR="002E60BC" w:rsidRPr="003B2743" w:rsidRDefault="002E60BC" w:rsidP="00C57F0D">
            <w:pPr>
              <w:spacing w:line="240" w:lineRule="auto"/>
              <w:jc w:val="left"/>
              <w:rPr>
                <w:rFonts w:eastAsia="Times New Roman"/>
                <w:noProof w:val="0"/>
                <w:lang w:val="vi-VN" w:eastAsia="vi-VN"/>
              </w:rPr>
            </w:pPr>
            <w:r w:rsidRPr="003B2743">
              <w:t>&lt; 3 days</w:t>
            </w:r>
          </w:p>
        </w:tc>
        <w:tc>
          <w:tcPr>
            <w:tcW w:w="1560" w:type="dxa"/>
            <w:tcBorders>
              <w:top w:val="single" w:sz="4" w:space="0" w:color="auto"/>
              <w:left w:val="nil"/>
              <w:bottom w:val="nil"/>
              <w:right w:val="single" w:sz="4" w:space="0" w:color="000000"/>
            </w:tcBorders>
            <w:shd w:val="clear" w:color="auto" w:fill="auto"/>
            <w:noWrap/>
            <w:vAlign w:val="bottom"/>
          </w:tcPr>
          <w:p w14:paraId="58A7679B" w14:textId="77777777" w:rsidR="002E60BC" w:rsidRPr="003B2743" w:rsidRDefault="002E60BC" w:rsidP="00C57F0D">
            <w:pPr>
              <w:spacing w:line="240" w:lineRule="auto"/>
              <w:jc w:val="center"/>
              <w:rPr>
                <w:rFonts w:eastAsia="Times New Roman"/>
                <w:noProof w:val="0"/>
                <w:lang w:val="vi-VN" w:eastAsia="vi-VN"/>
              </w:rPr>
            </w:pPr>
            <w:r w:rsidRPr="003B2743">
              <w:t>20</w:t>
            </w:r>
          </w:p>
        </w:tc>
        <w:tc>
          <w:tcPr>
            <w:tcW w:w="1560" w:type="dxa"/>
            <w:tcBorders>
              <w:top w:val="single" w:sz="4" w:space="0" w:color="auto"/>
              <w:left w:val="nil"/>
              <w:bottom w:val="nil"/>
              <w:right w:val="single" w:sz="4" w:space="0" w:color="000000"/>
            </w:tcBorders>
            <w:shd w:val="clear" w:color="auto" w:fill="auto"/>
            <w:noWrap/>
            <w:vAlign w:val="bottom"/>
          </w:tcPr>
          <w:p w14:paraId="293E99F9" w14:textId="49B1C2AD" w:rsidR="002E60BC" w:rsidRPr="003B2743" w:rsidRDefault="002E60BC" w:rsidP="00C57F0D">
            <w:pPr>
              <w:spacing w:line="240" w:lineRule="auto"/>
              <w:jc w:val="center"/>
              <w:rPr>
                <w:rFonts w:eastAsia="Times New Roman"/>
                <w:noProof w:val="0"/>
                <w:lang w:val="vi-VN" w:eastAsia="vi-VN"/>
              </w:rPr>
            </w:pPr>
            <w:r w:rsidRPr="003B2743">
              <w:t>42</w:t>
            </w:r>
            <w:r w:rsidR="00901EB7">
              <w:t>.6</w:t>
            </w:r>
          </w:p>
        </w:tc>
      </w:tr>
      <w:tr w:rsidR="002E60BC" w:rsidRPr="003B2743" w14:paraId="6FFF0A40" w14:textId="77777777" w:rsidTr="00562C32">
        <w:trPr>
          <w:trHeight w:val="300"/>
        </w:trPr>
        <w:tc>
          <w:tcPr>
            <w:tcW w:w="3652" w:type="dxa"/>
            <w:tcBorders>
              <w:top w:val="nil"/>
              <w:left w:val="single" w:sz="4" w:space="0" w:color="000000"/>
              <w:bottom w:val="nil"/>
              <w:right w:val="single" w:sz="4" w:space="0" w:color="000000"/>
            </w:tcBorders>
            <w:vAlign w:val="center"/>
          </w:tcPr>
          <w:p w14:paraId="2D978492" w14:textId="77777777" w:rsidR="002E60BC" w:rsidRPr="003B2743" w:rsidRDefault="002E60BC" w:rsidP="00C57F0D">
            <w:pPr>
              <w:spacing w:line="240" w:lineRule="auto"/>
              <w:jc w:val="right"/>
              <w:rPr>
                <w:rFonts w:eastAsia="Times New Roman"/>
                <w:i/>
                <w:iCs/>
                <w:noProof w:val="0"/>
                <w:lang w:val="vi-VN" w:eastAsia="vi-VN"/>
              </w:rPr>
            </w:pPr>
          </w:p>
        </w:tc>
        <w:tc>
          <w:tcPr>
            <w:tcW w:w="2428" w:type="dxa"/>
            <w:tcBorders>
              <w:top w:val="nil"/>
              <w:left w:val="nil"/>
              <w:bottom w:val="nil"/>
              <w:right w:val="single" w:sz="4" w:space="0" w:color="000000"/>
            </w:tcBorders>
            <w:shd w:val="clear" w:color="auto" w:fill="auto"/>
            <w:noWrap/>
            <w:vAlign w:val="bottom"/>
          </w:tcPr>
          <w:p w14:paraId="28C58FEF" w14:textId="77777777" w:rsidR="002E60BC" w:rsidRPr="003B2743" w:rsidRDefault="002E60BC" w:rsidP="00C57F0D">
            <w:pPr>
              <w:spacing w:line="240" w:lineRule="auto"/>
              <w:jc w:val="left"/>
              <w:rPr>
                <w:rFonts w:eastAsia="Times New Roman"/>
                <w:noProof w:val="0"/>
                <w:lang w:val="vi-VN" w:eastAsia="vi-VN"/>
              </w:rPr>
            </w:pPr>
            <w:r w:rsidRPr="003B2743">
              <w:t>3 days</w:t>
            </w:r>
          </w:p>
        </w:tc>
        <w:tc>
          <w:tcPr>
            <w:tcW w:w="1560" w:type="dxa"/>
            <w:tcBorders>
              <w:top w:val="nil"/>
              <w:left w:val="nil"/>
              <w:bottom w:val="nil"/>
              <w:right w:val="single" w:sz="4" w:space="0" w:color="000000"/>
            </w:tcBorders>
            <w:shd w:val="clear" w:color="auto" w:fill="auto"/>
            <w:noWrap/>
            <w:vAlign w:val="bottom"/>
          </w:tcPr>
          <w:p w14:paraId="3E2F94D2" w14:textId="77777777" w:rsidR="002E60BC" w:rsidRPr="003B2743" w:rsidRDefault="002E60BC" w:rsidP="00C57F0D">
            <w:pPr>
              <w:spacing w:line="240" w:lineRule="auto"/>
              <w:jc w:val="center"/>
              <w:rPr>
                <w:rFonts w:eastAsia="Times New Roman"/>
                <w:noProof w:val="0"/>
                <w:lang w:val="vi-VN" w:eastAsia="vi-VN"/>
              </w:rPr>
            </w:pPr>
            <w:r w:rsidRPr="003B2743">
              <w:t>16</w:t>
            </w:r>
          </w:p>
        </w:tc>
        <w:tc>
          <w:tcPr>
            <w:tcW w:w="1560" w:type="dxa"/>
            <w:tcBorders>
              <w:top w:val="nil"/>
              <w:left w:val="nil"/>
              <w:bottom w:val="nil"/>
              <w:right w:val="single" w:sz="4" w:space="0" w:color="000000"/>
            </w:tcBorders>
            <w:shd w:val="clear" w:color="auto" w:fill="auto"/>
            <w:noWrap/>
            <w:vAlign w:val="bottom"/>
          </w:tcPr>
          <w:p w14:paraId="426D23B1" w14:textId="6C355437" w:rsidR="002E60BC" w:rsidRPr="003B2743" w:rsidRDefault="002E60BC" w:rsidP="00C57F0D">
            <w:pPr>
              <w:spacing w:line="240" w:lineRule="auto"/>
              <w:jc w:val="center"/>
              <w:rPr>
                <w:rFonts w:eastAsia="Times New Roman"/>
                <w:noProof w:val="0"/>
                <w:lang w:val="vi-VN" w:eastAsia="vi-VN"/>
              </w:rPr>
            </w:pPr>
            <w:r w:rsidRPr="003B2743">
              <w:t>34</w:t>
            </w:r>
            <w:r w:rsidR="00901EB7">
              <w:t>.</w:t>
            </w:r>
            <w:r w:rsidRPr="003B2743">
              <w:t>0</w:t>
            </w:r>
          </w:p>
        </w:tc>
      </w:tr>
      <w:tr w:rsidR="002E60BC" w:rsidRPr="003B2743" w14:paraId="4C1AF2DD" w14:textId="77777777" w:rsidTr="00562C32">
        <w:trPr>
          <w:trHeight w:val="300"/>
        </w:trPr>
        <w:tc>
          <w:tcPr>
            <w:tcW w:w="3652" w:type="dxa"/>
            <w:tcBorders>
              <w:top w:val="nil"/>
              <w:left w:val="single" w:sz="4" w:space="0" w:color="000000"/>
              <w:bottom w:val="nil"/>
              <w:right w:val="single" w:sz="4" w:space="0" w:color="000000"/>
            </w:tcBorders>
            <w:vAlign w:val="center"/>
          </w:tcPr>
          <w:p w14:paraId="263927FF" w14:textId="77777777" w:rsidR="002E60BC" w:rsidRPr="003B2743" w:rsidRDefault="002E60BC" w:rsidP="00C57F0D">
            <w:pPr>
              <w:spacing w:line="240" w:lineRule="auto"/>
              <w:jc w:val="right"/>
              <w:rPr>
                <w:rFonts w:eastAsia="Times New Roman"/>
                <w:i/>
                <w:iCs/>
                <w:noProof w:val="0"/>
                <w:lang w:eastAsia="vi-VN"/>
              </w:rPr>
            </w:pPr>
            <w:r w:rsidRPr="003B2743">
              <w:rPr>
                <w:rFonts w:eastAsia="Times New Roman"/>
                <w:i/>
                <w:iCs/>
                <w:noProof w:val="0"/>
                <w:lang w:eastAsia="vi-VN"/>
              </w:rPr>
              <w:t>Time received microbiological test</w:t>
            </w:r>
          </w:p>
          <w:p w14:paraId="79C02718" w14:textId="77777777" w:rsidR="002E60BC" w:rsidRPr="003B2743" w:rsidRDefault="002E60BC" w:rsidP="00C57F0D">
            <w:pPr>
              <w:spacing w:line="240" w:lineRule="auto"/>
              <w:jc w:val="right"/>
              <w:rPr>
                <w:rFonts w:eastAsia="Times New Roman" w:cs="Calibri"/>
                <w:i/>
                <w:iCs/>
                <w:noProof w:val="0"/>
                <w:lang w:val="vi-VN" w:eastAsia="vi-VN"/>
              </w:rPr>
            </w:pPr>
            <w:r w:rsidRPr="003B2743">
              <w:rPr>
                <w:rFonts w:eastAsia="Times New Roman"/>
                <w:i/>
                <w:iCs/>
                <w:noProof w:val="0"/>
                <w:lang w:eastAsia="vi-VN"/>
              </w:rPr>
              <w:t xml:space="preserve"> (n=47)</w:t>
            </w:r>
          </w:p>
        </w:tc>
        <w:tc>
          <w:tcPr>
            <w:tcW w:w="2428" w:type="dxa"/>
            <w:tcBorders>
              <w:top w:val="nil"/>
              <w:left w:val="nil"/>
              <w:bottom w:val="nil"/>
              <w:right w:val="single" w:sz="4" w:space="0" w:color="000000"/>
            </w:tcBorders>
            <w:shd w:val="clear" w:color="auto" w:fill="auto"/>
            <w:noWrap/>
            <w:vAlign w:val="bottom"/>
          </w:tcPr>
          <w:p w14:paraId="5BA8AC2B" w14:textId="77777777" w:rsidR="002E60BC" w:rsidRPr="003B2743" w:rsidRDefault="002E60BC" w:rsidP="00C57F0D">
            <w:pPr>
              <w:spacing w:line="240" w:lineRule="auto"/>
              <w:jc w:val="left"/>
              <w:rPr>
                <w:rFonts w:eastAsia="Times New Roman"/>
                <w:noProof w:val="0"/>
                <w:lang w:val="vi-VN" w:eastAsia="vi-VN"/>
              </w:rPr>
            </w:pPr>
            <w:r w:rsidRPr="003B2743">
              <w:t>4 days</w:t>
            </w:r>
          </w:p>
        </w:tc>
        <w:tc>
          <w:tcPr>
            <w:tcW w:w="1560" w:type="dxa"/>
            <w:tcBorders>
              <w:top w:val="nil"/>
              <w:left w:val="nil"/>
              <w:bottom w:val="nil"/>
              <w:right w:val="single" w:sz="4" w:space="0" w:color="000000"/>
            </w:tcBorders>
            <w:shd w:val="clear" w:color="auto" w:fill="auto"/>
            <w:noWrap/>
            <w:vAlign w:val="bottom"/>
          </w:tcPr>
          <w:p w14:paraId="70E1CF8D" w14:textId="77777777" w:rsidR="002E60BC" w:rsidRPr="003B2743" w:rsidRDefault="002E60BC" w:rsidP="00C57F0D">
            <w:pPr>
              <w:spacing w:line="240" w:lineRule="auto"/>
              <w:jc w:val="center"/>
              <w:rPr>
                <w:rFonts w:eastAsia="Times New Roman"/>
                <w:noProof w:val="0"/>
                <w:lang w:val="vi-VN" w:eastAsia="vi-VN"/>
              </w:rPr>
            </w:pPr>
            <w:r w:rsidRPr="003B2743">
              <w:t>10</w:t>
            </w:r>
          </w:p>
        </w:tc>
        <w:tc>
          <w:tcPr>
            <w:tcW w:w="1560" w:type="dxa"/>
            <w:tcBorders>
              <w:top w:val="nil"/>
              <w:left w:val="nil"/>
              <w:bottom w:val="nil"/>
              <w:right w:val="single" w:sz="4" w:space="0" w:color="000000"/>
            </w:tcBorders>
            <w:shd w:val="clear" w:color="auto" w:fill="auto"/>
            <w:noWrap/>
            <w:vAlign w:val="bottom"/>
          </w:tcPr>
          <w:p w14:paraId="21E43D93" w14:textId="670CA138" w:rsidR="002E60BC" w:rsidRPr="003B2743" w:rsidRDefault="002E60BC" w:rsidP="00C57F0D">
            <w:pPr>
              <w:spacing w:line="240" w:lineRule="auto"/>
              <w:jc w:val="center"/>
              <w:rPr>
                <w:rFonts w:eastAsia="Times New Roman"/>
                <w:noProof w:val="0"/>
                <w:lang w:val="vi-VN" w:eastAsia="vi-VN"/>
              </w:rPr>
            </w:pPr>
            <w:r w:rsidRPr="003B2743">
              <w:t>21</w:t>
            </w:r>
            <w:r w:rsidR="00901EB7">
              <w:t>.3</w:t>
            </w:r>
          </w:p>
        </w:tc>
      </w:tr>
      <w:tr w:rsidR="002E60BC" w:rsidRPr="003B2743" w14:paraId="256C8499" w14:textId="77777777" w:rsidTr="00562C32">
        <w:trPr>
          <w:trHeight w:val="300"/>
        </w:trPr>
        <w:tc>
          <w:tcPr>
            <w:tcW w:w="3652" w:type="dxa"/>
            <w:tcBorders>
              <w:top w:val="nil"/>
              <w:left w:val="single" w:sz="4" w:space="0" w:color="000000"/>
              <w:bottom w:val="nil"/>
              <w:right w:val="single" w:sz="4" w:space="0" w:color="000000"/>
            </w:tcBorders>
            <w:vAlign w:val="center"/>
          </w:tcPr>
          <w:p w14:paraId="40E3E68C" w14:textId="77777777" w:rsidR="002E60BC" w:rsidRPr="003B2743" w:rsidRDefault="002E60BC" w:rsidP="00C57F0D">
            <w:pPr>
              <w:spacing w:line="240" w:lineRule="auto"/>
              <w:jc w:val="right"/>
              <w:rPr>
                <w:rFonts w:eastAsia="Times New Roman"/>
                <w:i/>
                <w:iCs/>
                <w:noProof w:val="0"/>
                <w:lang w:val="vi-VN" w:eastAsia="vi-VN"/>
              </w:rPr>
            </w:pPr>
          </w:p>
        </w:tc>
        <w:tc>
          <w:tcPr>
            <w:tcW w:w="2428" w:type="dxa"/>
            <w:tcBorders>
              <w:top w:val="nil"/>
              <w:left w:val="nil"/>
              <w:bottom w:val="nil"/>
              <w:right w:val="single" w:sz="4" w:space="0" w:color="000000"/>
            </w:tcBorders>
            <w:shd w:val="clear" w:color="auto" w:fill="auto"/>
            <w:noWrap/>
            <w:vAlign w:val="bottom"/>
          </w:tcPr>
          <w:p w14:paraId="02104FAC" w14:textId="77777777" w:rsidR="002E60BC" w:rsidRPr="003B2743" w:rsidRDefault="002E60BC" w:rsidP="00C57F0D">
            <w:pPr>
              <w:spacing w:line="240" w:lineRule="auto"/>
              <w:jc w:val="left"/>
              <w:rPr>
                <w:rFonts w:eastAsia="Times New Roman"/>
                <w:noProof w:val="0"/>
                <w:lang w:val="vi-VN" w:eastAsia="vi-VN"/>
              </w:rPr>
            </w:pPr>
            <w:r w:rsidRPr="003B2743">
              <w:t>5 days</w:t>
            </w:r>
          </w:p>
        </w:tc>
        <w:tc>
          <w:tcPr>
            <w:tcW w:w="1560" w:type="dxa"/>
            <w:tcBorders>
              <w:top w:val="nil"/>
              <w:left w:val="nil"/>
              <w:bottom w:val="nil"/>
              <w:right w:val="single" w:sz="4" w:space="0" w:color="000000"/>
            </w:tcBorders>
            <w:shd w:val="clear" w:color="auto" w:fill="auto"/>
            <w:noWrap/>
            <w:vAlign w:val="bottom"/>
          </w:tcPr>
          <w:p w14:paraId="46CD1F8C" w14:textId="77777777" w:rsidR="002E60BC" w:rsidRPr="003B2743" w:rsidRDefault="002E60BC" w:rsidP="00C57F0D">
            <w:pPr>
              <w:spacing w:line="240" w:lineRule="auto"/>
              <w:jc w:val="center"/>
              <w:rPr>
                <w:rFonts w:eastAsia="Times New Roman"/>
                <w:noProof w:val="0"/>
                <w:lang w:val="vi-VN" w:eastAsia="vi-VN"/>
              </w:rPr>
            </w:pPr>
            <w:r w:rsidRPr="003B2743">
              <w:t>1</w:t>
            </w:r>
          </w:p>
        </w:tc>
        <w:tc>
          <w:tcPr>
            <w:tcW w:w="1560" w:type="dxa"/>
            <w:tcBorders>
              <w:top w:val="nil"/>
              <w:left w:val="nil"/>
              <w:bottom w:val="nil"/>
              <w:right w:val="single" w:sz="4" w:space="0" w:color="000000"/>
            </w:tcBorders>
            <w:shd w:val="clear" w:color="auto" w:fill="auto"/>
            <w:noWrap/>
            <w:vAlign w:val="bottom"/>
          </w:tcPr>
          <w:p w14:paraId="46402231" w14:textId="456B3F31" w:rsidR="002E60BC" w:rsidRPr="003B2743" w:rsidRDefault="002E60BC" w:rsidP="00C57F0D">
            <w:pPr>
              <w:spacing w:line="240" w:lineRule="auto"/>
              <w:jc w:val="center"/>
              <w:rPr>
                <w:rFonts w:eastAsia="Times New Roman"/>
                <w:noProof w:val="0"/>
                <w:lang w:val="vi-VN" w:eastAsia="vi-VN"/>
              </w:rPr>
            </w:pPr>
            <w:r w:rsidRPr="003B2743">
              <w:t>2</w:t>
            </w:r>
            <w:r w:rsidR="00901EB7">
              <w:t>.</w:t>
            </w:r>
            <w:r w:rsidRPr="003B2743">
              <w:t>1</w:t>
            </w:r>
          </w:p>
        </w:tc>
      </w:tr>
    </w:tbl>
    <w:p w14:paraId="4E03306C" w14:textId="77777777" w:rsidR="00A4108B" w:rsidRDefault="00A4108B" w:rsidP="00C773C3">
      <w:pPr>
        <w:pStyle w:val="MDPI31text"/>
        <w:ind w:left="0" w:firstLine="0"/>
      </w:pPr>
    </w:p>
    <w:p w14:paraId="23E97EFD" w14:textId="4AFE277C" w:rsidR="0037621D" w:rsidRDefault="00513EFB" w:rsidP="0037621D">
      <w:pPr>
        <w:pStyle w:val="MDPI31text"/>
        <w:rPr>
          <w:lang w:val="en-GB" w:eastAsia="vi-VN" w:bidi="vi-VN"/>
        </w:rPr>
      </w:pPr>
      <w:bookmarkStart w:id="4" w:name="page2"/>
      <w:bookmarkEnd w:id="4"/>
      <w:r>
        <w:rPr>
          <w:szCs w:val="20"/>
        </w:rPr>
        <w:t>Overall</w:t>
      </w:r>
      <w:r w:rsidRPr="003A5237">
        <w:rPr>
          <w:szCs w:val="20"/>
        </w:rPr>
        <w:t xml:space="preserve">, only 4.63% </w:t>
      </w:r>
      <w:r>
        <w:rPr>
          <w:szCs w:val="20"/>
        </w:rPr>
        <w:t>of antibiotics prescribed were</w:t>
      </w:r>
      <w:r w:rsidRPr="003A5237">
        <w:rPr>
          <w:color w:val="auto"/>
          <w:szCs w:val="20"/>
        </w:rPr>
        <w:t xml:space="preserve"> consistent with </w:t>
      </w:r>
      <w:r>
        <w:rPr>
          <w:color w:val="auto"/>
          <w:szCs w:val="20"/>
        </w:rPr>
        <w:t xml:space="preserve">current </w:t>
      </w:r>
      <w:r w:rsidRPr="003A5237">
        <w:rPr>
          <w:color w:val="auto"/>
          <w:szCs w:val="20"/>
        </w:rPr>
        <w:t>national guidelines</w:t>
      </w:r>
      <w:r w:rsidRPr="003A5237">
        <w:rPr>
          <w:color w:val="auto"/>
          <w:szCs w:val="20"/>
          <w:lang w:val="vi-VN"/>
        </w:rPr>
        <w:t>.</w:t>
      </w:r>
      <w:r w:rsidRPr="003A5237">
        <w:rPr>
          <w:color w:val="auto"/>
          <w:szCs w:val="20"/>
        </w:rPr>
        <w:t xml:space="preserve"> </w:t>
      </w:r>
      <w:r w:rsidR="0037621D">
        <w:rPr>
          <w:lang w:val="en-GB" w:eastAsia="vi-VN" w:bidi="vi-VN"/>
        </w:rPr>
        <w:t xml:space="preserve">A number of barriers were identified impacting on the use of national guidelines (Table </w:t>
      </w:r>
      <w:r w:rsidR="003B2CD7" w:rsidRPr="002D2663">
        <w:rPr>
          <w:color w:val="auto"/>
          <w:lang w:val="en-GB" w:eastAsia="vi-VN" w:bidi="vi-VN"/>
        </w:rPr>
        <w:t>5</w:t>
      </w:r>
      <w:r w:rsidR="0037621D">
        <w:rPr>
          <w:lang w:val="en-GB" w:eastAsia="vi-VN" w:bidi="vi-VN"/>
        </w:rPr>
        <w:t xml:space="preserve">). These included concerns that prior antibiotic use is not sufficiently addressed and </w:t>
      </w:r>
      <w:r w:rsidR="00E35EA0">
        <w:rPr>
          <w:lang w:val="en-GB" w:eastAsia="vi-VN" w:bidi="vi-VN"/>
        </w:rPr>
        <w:t xml:space="preserve">that </w:t>
      </w:r>
      <w:r w:rsidR="0037621D">
        <w:rPr>
          <w:lang w:val="en-GB" w:eastAsia="vi-VN" w:bidi="vi-VN"/>
        </w:rPr>
        <w:t xml:space="preserve">current national </w:t>
      </w:r>
      <w:r w:rsidR="0037621D" w:rsidRPr="00DD12AC">
        <w:rPr>
          <w:lang w:eastAsia="vi-VN" w:bidi="vi-VN"/>
        </w:rPr>
        <w:t>guidelines</w:t>
      </w:r>
      <w:r w:rsidR="0037621D" w:rsidRPr="00DD12AC">
        <w:rPr>
          <w:lang w:val="vi-VN" w:eastAsia="vi-VN" w:bidi="vi-VN"/>
        </w:rPr>
        <w:t xml:space="preserve"> are </w:t>
      </w:r>
      <w:r w:rsidR="0037621D" w:rsidRPr="00DD12AC">
        <w:rPr>
          <w:lang w:eastAsia="vi-VN" w:bidi="vi-VN"/>
        </w:rPr>
        <w:t>outdated</w:t>
      </w:r>
      <w:r w:rsidR="0037621D" w:rsidRPr="00DD12AC">
        <w:rPr>
          <w:lang w:val="vi-VN" w:eastAsia="vi-VN" w:bidi="vi-VN"/>
        </w:rPr>
        <w:t xml:space="preserve"> and </w:t>
      </w:r>
      <w:r w:rsidR="0037621D" w:rsidRPr="00DD12AC">
        <w:rPr>
          <w:lang w:eastAsia="vi-VN" w:bidi="vi-VN"/>
        </w:rPr>
        <w:t xml:space="preserve">inappropriate </w:t>
      </w:r>
      <w:r w:rsidR="0037621D" w:rsidRPr="00DD12AC">
        <w:rPr>
          <w:lang w:val="vi-VN" w:eastAsia="vi-VN" w:bidi="vi-VN"/>
        </w:rPr>
        <w:t>for</w:t>
      </w:r>
      <w:r w:rsidR="0037621D" w:rsidRPr="00DD12AC">
        <w:rPr>
          <w:lang w:eastAsia="vi-VN" w:bidi="vi-VN"/>
        </w:rPr>
        <w:t xml:space="preserve"> </w:t>
      </w:r>
      <w:r w:rsidR="0037621D">
        <w:rPr>
          <w:lang w:eastAsia="vi-VN" w:bidi="vi-VN"/>
        </w:rPr>
        <w:t xml:space="preserve">the </w:t>
      </w:r>
      <w:r w:rsidR="0037621D" w:rsidRPr="00DD12AC">
        <w:rPr>
          <w:lang w:eastAsia="vi-VN" w:bidi="vi-VN"/>
        </w:rPr>
        <w:t>current</w:t>
      </w:r>
      <w:r w:rsidR="0037621D" w:rsidRPr="00DD12AC">
        <w:rPr>
          <w:lang w:val="vi-VN" w:eastAsia="vi-VN" w:bidi="vi-VN"/>
        </w:rPr>
        <w:t xml:space="preserve"> </w:t>
      </w:r>
      <w:r w:rsidR="0037621D">
        <w:rPr>
          <w:lang w:eastAsia="vi-VN" w:bidi="vi-VN"/>
        </w:rPr>
        <w:t xml:space="preserve">situation </w:t>
      </w:r>
      <w:r w:rsidR="0037621D" w:rsidRPr="00DD12AC">
        <w:rPr>
          <w:lang w:val="vi-VN" w:eastAsia="vi-VN" w:bidi="vi-VN"/>
        </w:rPr>
        <w:t>to treat</w:t>
      </w:r>
      <w:r w:rsidR="0037621D">
        <w:rPr>
          <w:lang w:val="en-GB" w:eastAsia="vi-VN" w:bidi="vi-VN"/>
        </w:rPr>
        <w:t xml:space="preserve"> infants and young children in hospital </w:t>
      </w:r>
      <w:r w:rsidR="0037621D" w:rsidRPr="00DD12AC">
        <w:rPr>
          <w:lang w:val="vi-VN" w:eastAsia="vi-VN" w:bidi="vi-VN"/>
        </w:rPr>
        <w:t>facilities.</w:t>
      </w:r>
    </w:p>
    <w:p w14:paraId="788B0809" w14:textId="77777777" w:rsidR="002D2663" w:rsidRDefault="002D2663" w:rsidP="0037621D">
      <w:pPr>
        <w:pStyle w:val="MDPI31text"/>
        <w:rPr>
          <w:lang w:val="en-GB" w:eastAsia="vi-VN" w:bidi="vi-VN"/>
        </w:rPr>
      </w:pPr>
    </w:p>
    <w:p w14:paraId="348F8CB2" w14:textId="3C96CAA4" w:rsidR="0037621D" w:rsidRPr="0037621D" w:rsidRDefault="0037621D" w:rsidP="002D2663">
      <w:pPr>
        <w:pStyle w:val="MDPI31text"/>
        <w:rPr>
          <w:rStyle w:val="Strong"/>
          <w:b w:val="0"/>
          <w:bCs w:val="0"/>
          <w:lang w:val="en-GB" w:eastAsia="vi-VN" w:bidi="vi-VN"/>
        </w:rPr>
      </w:pPr>
      <w:r>
        <w:t>Table</w:t>
      </w:r>
      <w:r w:rsidRPr="002D2663">
        <w:rPr>
          <w:color w:val="auto"/>
        </w:rPr>
        <w:t xml:space="preserve"> </w:t>
      </w:r>
      <w:r w:rsidR="003B2CD7" w:rsidRPr="002D2663">
        <w:rPr>
          <w:color w:val="auto"/>
        </w:rPr>
        <w:t>5</w:t>
      </w:r>
      <w:r w:rsidRPr="003B2CD7">
        <w:rPr>
          <w:color w:val="FF0000"/>
        </w:rPr>
        <w:t xml:space="preserve">- </w:t>
      </w:r>
      <w:r w:rsidRPr="0037621D">
        <w:rPr>
          <w:szCs w:val="20"/>
        </w:rPr>
        <w:t>Barriers to prescribing empirical antibiotic therapy adherent to the guidelines</w:t>
      </w:r>
    </w:p>
    <w:tbl>
      <w:tblPr>
        <w:tblStyle w:val="TableGrid"/>
        <w:tblW w:w="10206" w:type="dxa"/>
        <w:tblInd w:w="421" w:type="dxa"/>
        <w:tblLook w:val="04A0" w:firstRow="1" w:lastRow="0" w:firstColumn="1" w:lastColumn="0" w:noHBand="0" w:noVBand="1"/>
      </w:tblPr>
      <w:tblGrid>
        <w:gridCol w:w="1842"/>
        <w:gridCol w:w="3261"/>
        <w:gridCol w:w="5103"/>
      </w:tblGrid>
      <w:tr w:rsidR="0037621D" w:rsidRPr="0037621D" w14:paraId="3C52E70E" w14:textId="77777777" w:rsidTr="00A10818">
        <w:tc>
          <w:tcPr>
            <w:tcW w:w="5103" w:type="dxa"/>
            <w:gridSpan w:val="2"/>
            <w:shd w:val="clear" w:color="auto" w:fill="D0CECE" w:themeFill="background2" w:themeFillShade="E6"/>
            <w:vAlign w:val="center"/>
          </w:tcPr>
          <w:p w14:paraId="02154B48" w14:textId="77777777" w:rsidR="0037621D" w:rsidRPr="0037621D" w:rsidRDefault="0037621D" w:rsidP="0037621D">
            <w:pPr>
              <w:pStyle w:val="NoSpacing"/>
              <w:jc w:val="center"/>
              <w:rPr>
                <w:rStyle w:val="Strong"/>
                <w:rFonts w:ascii="Palatino Linotype" w:hAnsi="Palatino Linotype"/>
                <w:b w:val="0"/>
                <w:bCs w:val="0"/>
                <w:color w:val="333333"/>
                <w:sz w:val="20"/>
                <w:szCs w:val="20"/>
                <w:shd w:val="clear" w:color="auto" w:fill="FFFCF0"/>
                <w:lang w:val="vi-VN"/>
              </w:rPr>
            </w:pPr>
            <w:r w:rsidRPr="0037621D">
              <w:rPr>
                <w:rFonts w:ascii="Palatino Linotype" w:hAnsi="Palatino Linotype"/>
                <w:b/>
                <w:bCs/>
                <w:sz w:val="20"/>
                <w:szCs w:val="20"/>
              </w:rPr>
              <w:t>Barriers to adherence to recommended initial antibiotic selection</w:t>
            </w:r>
          </w:p>
        </w:tc>
        <w:tc>
          <w:tcPr>
            <w:tcW w:w="5103" w:type="dxa"/>
            <w:shd w:val="clear" w:color="auto" w:fill="D0CECE" w:themeFill="background2" w:themeFillShade="E6"/>
            <w:vAlign w:val="center"/>
          </w:tcPr>
          <w:p w14:paraId="05F5A8A1" w14:textId="77777777" w:rsidR="0037621D" w:rsidRPr="0037621D" w:rsidRDefault="0037621D" w:rsidP="0037621D">
            <w:pPr>
              <w:pStyle w:val="NoSpacing"/>
              <w:jc w:val="center"/>
              <w:rPr>
                <w:rStyle w:val="Strong"/>
                <w:rFonts w:ascii="Palatino Linotype" w:hAnsi="Palatino Linotype"/>
                <w:b w:val="0"/>
                <w:bCs w:val="0"/>
                <w:color w:val="333333"/>
                <w:sz w:val="20"/>
                <w:szCs w:val="20"/>
                <w:shd w:val="clear" w:color="auto" w:fill="FFFCF0"/>
                <w:lang w:val="vi-VN"/>
              </w:rPr>
            </w:pPr>
            <w:r w:rsidRPr="0037621D">
              <w:rPr>
                <w:rFonts w:ascii="Palatino Linotype" w:hAnsi="Palatino Linotype"/>
                <w:b/>
                <w:bCs/>
                <w:sz w:val="20"/>
                <w:szCs w:val="20"/>
              </w:rPr>
              <w:t>Comment transcripts</w:t>
            </w:r>
          </w:p>
        </w:tc>
      </w:tr>
      <w:tr w:rsidR="0037621D" w:rsidRPr="0037621D" w14:paraId="5B95FE90" w14:textId="77777777" w:rsidTr="00A10818">
        <w:tc>
          <w:tcPr>
            <w:tcW w:w="1842" w:type="dxa"/>
            <w:vMerge w:val="restart"/>
            <w:vAlign w:val="center"/>
          </w:tcPr>
          <w:p w14:paraId="5376E841" w14:textId="77777777" w:rsidR="0037621D" w:rsidRPr="0037621D" w:rsidRDefault="0037621D" w:rsidP="0037621D">
            <w:pPr>
              <w:pStyle w:val="NoSpacing"/>
              <w:rPr>
                <w:rFonts w:ascii="Palatino Linotype" w:hAnsi="Palatino Linotype"/>
                <w:sz w:val="20"/>
                <w:szCs w:val="20"/>
              </w:rPr>
            </w:pPr>
          </w:p>
          <w:p w14:paraId="13B8F0EA" w14:textId="77777777" w:rsidR="0037621D" w:rsidRPr="0037621D" w:rsidRDefault="0037621D" w:rsidP="0037621D">
            <w:pPr>
              <w:pStyle w:val="NoSpacing"/>
              <w:rPr>
                <w:rFonts w:ascii="Palatino Linotype" w:hAnsi="Palatino Linotype"/>
                <w:sz w:val="20"/>
                <w:szCs w:val="20"/>
              </w:rPr>
            </w:pPr>
          </w:p>
          <w:p w14:paraId="38FEF8AE" w14:textId="77777777" w:rsidR="0037621D" w:rsidRPr="0037621D" w:rsidRDefault="0037621D" w:rsidP="0037621D">
            <w:pPr>
              <w:pStyle w:val="NoSpacing"/>
              <w:rPr>
                <w:rFonts w:ascii="Palatino Linotype" w:hAnsi="Palatino Linotype"/>
                <w:sz w:val="20"/>
                <w:szCs w:val="20"/>
              </w:rPr>
            </w:pPr>
          </w:p>
          <w:p w14:paraId="2897037A" w14:textId="77777777" w:rsidR="0037621D" w:rsidRPr="0037621D" w:rsidRDefault="0037621D" w:rsidP="0037621D">
            <w:pPr>
              <w:pStyle w:val="NoSpacing"/>
              <w:rPr>
                <w:rFonts w:ascii="Palatino Linotype" w:hAnsi="Palatino Linotype"/>
                <w:sz w:val="20"/>
                <w:szCs w:val="20"/>
              </w:rPr>
            </w:pPr>
          </w:p>
          <w:p w14:paraId="446D381C" w14:textId="77777777" w:rsidR="0037621D" w:rsidRPr="0037621D" w:rsidRDefault="0037621D" w:rsidP="0037621D">
            <w:pPr>
              <w:pStyle w:val="NoSpacing"/>
              <w:rPr>
                <w:rStyle w:val="Strong"/>
                <w:rFonts w:ascii="Palatino Linotype" w:hAnsi="Palatino Linotype"/>
                <w:b w:val="0"/>
                <w:bCs w:val="0"/>
                <w:color w:val="333333"/>
                <w:sz w:val="20"/>
                <w:szCs w:val="20"/>
                <w:shd w:val="clear" w:color="auto" w:fill="FFFCF0"/>
                <w:lang w:val="vi-VN"/>
              </w:rPr>
            </w:pPr>
            <w:r w:rsidRPr="0037621D">
              <w:rPr>
                <w:rFonts w:ascii="Palatino Linotype" w:hAnsi="Palatino Linotype"/>
                <w:sz w:val="20"/>
                <w:szCs w:val="20"/>
              </w:rPr>
              <w:t>Internal barriers</w:t>
            </w:r>
          </w:p>
        </w:tc>
        <w:tc>
          <w:tcPr>
            <w:tcW w:w="3261" w:type="dxa"/>
          </w:tcPr>
          <w:p w14:paraId="2D0E6D61" w14:textId="77777777" w:rsidR="0037621D" w:rsidRPr="0037621D" w:rsidRDefault="0037621D" w:rsidP="0037621D">
            <w:pPr>
              <w:pStyle w:val="NoSpacing"/>
              <w:rPr>
                <w:rStyle w:val="Strong"/>
                <w:rFonts w:ascii="Palatino Linotype" w:hAnsi="Palatino Linotype"/>
                <w:b w:val="0"/>
                <w:bCs w:val="0"/>
                <w:sz w:val="20"/>
                <w:szCs w:val="20"/>
                <w:lang w:val="vi-VN"/>
              </w:rPr>
            </w:pPr>
            <w:r w:rsidRPr="0037621D">
              <w:rPr>
                <w:rFonts w:ascii="Palatino Linotype" w:hAnsi="Palatino Linotype"/>
                <w:sz w:val="20"/>
                <w:szCs w:val="20"/>
              </w:rPr>
              <w:t>Doctors’ experience and prescription habits (5/5)</w:t>
            </w:r>
          </w:p>
        </w:tc>
        <w:tc>
          <w:tcPr>
            <w:tcW w:w="5103" w:type="dxa"/>
          </w:tcPr>
          <w:p w14:paraId="3CC31747" w14:textId="77777777" w:rsidR="0037621D" w:rsidRPr="006003A3" w:rsidRDefault="0037621D" w:rsidP="0037621D">
            <w:pPr>
              <w:pStyle w:val="NoSpacing"/>
              <w:rPr>
                <w:rFonts w:ascii="Palatino Linotype" w:hAnsi="Palatino Linotype"/>
                <w:color w:val="auto"/>
                <w:sz w:val="20"/>
                <w:szCs w:val="20"/>
                <w:lang w:eastAsia="vi-VN" w:bidi="vi-VN"/>
              </w:rPr>
            </w:pPr>
            <w:r w:rsidRPr="006003A3">
              <w:rPr>
                <w:rFonts w:ascii="Palatino Linotype" w:hAnsi="Palatino Linotype"/>
                <w:color w:val="auto"/>
                <w:sz w:val="20"/>
                <w:szCs w:val="20"/>
              </w:rPr>
              <w:t xml:space="preserve">“The time of diagnosing pneumonia often does not align with the patient's hospital admission, as many patients have already undergone prior treatment. This makes it challenging to apply standard guidelines accurately, resulting in a naturally low compliance rate.” </w:t>
            </w:r>
            <w:r w:rsidRPr="006003A3">
              <w:rPr>
                <w:rFonts w:ascii="Palatino Linotype" w:hAnsi="Palatino Linotype"/>
                <w:i/>
                <w:iCs/>
                <w:color w:val="auto"/>
                <w:sz w:val="20"/>
                <w:szCs w:val="20"/>
                <w:lang w:eastAsia="vi-VN" w:bidi="vi-VN"/>
              </w:rPr>
              <w:t xml:space="preserve"> </w:t>
            </w:r>
            <w:r w:rsidRPr="006003A3">
              <w:rPr>
                <w:rFonts w:ascii="Palatino Linotype" w:hAnsi="Palatino Linotype"/>
                <w:color w:val="auto"/>
                <w:sz w:val="20"/>
                <w:szCs w:val="20"/>
                <w:lang w:eastAsia="vi-VN" w:bidi="vi-VN"/>
              </w:rPr>
              <w:t>[Dr1];</w:t>
            </w:r>
          </w:p>
          <w:p w14:paraId="1D86E899" w14:textId="548975D9" w:rsidR="00C55456" w:rsidRPr="006003A3" w:rsidRDefault="00C55456" w:rsidP="0037621D">
            <w:pPr>
              <w:pStyle w:val="NoSpacing"/>
              <w:rPr>
                <w:rStyle w:val="Strong"/>
                <w:rFonts w:ascii="Palatino Linotype" w:hAnsi="Palatino Linotype"/>
                <w:b w:val="0"/>
                <w:bCs w:val="0"/>
                <w:color w:val="auto"/>
                <w:sz w:val="20"/>
                <w:szCs w:val="20"/>
              </w:rPr>
            </w:pPr>
            <w:r w:rsidRPr="006003A3">
              <w:rPr>
                <w:rStyle w:val="Strong"/>
                <w:rFonts w:ascii="Palatino Linotype" w:hAnsi="Palatino Linotype"/>
                <w:b w:val="0"/>
                <w:bCs w:val="0"/>
                <w:color w:val="auto"/>
                <w:sz w:val="20"/>
                <w:szCs w:val="20"/>
                <w:lang w:eastAsia="vi-VN" w:bidi="vi-VN"/>
              </w:rPr>
              <w:t>“Like here is a central hospital, patients have used many antibiotics so of course there are no initial options like simple amoxicillin”</w:t>
            </w:r>
            <w:r w:rsidRPr="006003A3">
              <w:rPr>
                <w:rStyle w:val="Strong"/>
                <w:rFonts w:ascii="Palatino Linotype" w:hAnsi="Palatino Linotype"/>
                <w:color w:val="auto"/>
                <w:lang w:eastAsia="vi-VN" w:bidi="vi-VN"/>
              </w:rPr>
              <w:t xml:space="preserve"> [</w:t>
            </w:r>
            <w:r w:rsidRPr="006003A3">
              <w:rPr>
                <w:rFonts w:ascii="Palatino Linotype" w:hAnsi="Palatino Linotype"/>
                <w:color w:val="auto"/>
                <w:sz w:val="20"/>
                <w:szCs w:val="20"/>
                <w:lang w:eastAsia="vi-VN" w:bidi="vi-VN"/>
              </w:rPr>
              <w:t>Dr2]</w:t>
            </w:r>
          </w:p>
        </w:tc>
      </w:tr>
      <w:tr w:rsidR="0037621D" w:rsidRPr="0037621D" w14:paraId="6FE16709" w14:textId="77777777" w:rsidTr="00A10818">
        <w:tc>
          <w:tcPr>
            <w:tcW w:w="1842" w:type="dxa"/>
            <w:vMerge/>
          </w:tcPr>
          <w:p w14:paraId="2453B102" w14:textId="77777777" w:rsidR="0037621D" w:rsidRPr="0037621D" w:rsidRDefault="0037621D" w:rsidP="0037621D">
            <w:pPr>
              <w:pStyle w:val="NoSpacing"/>
              <w:rPr>
                <w:rStyle w:val="Strong"/>
                <w:rFonts w:ascii="Palatino Linotype" w:hAnsi="Palatino Linotype"/>
                <w:b w:val="0"/>
                <w:bCs w:val="0"/>
                <w:color w:val="333333"/>
                <w:sz w:val="20"/>
                <w:szCs w:val="20"/>
                <w:shd w:val="clear" w:color="auto" w:fill="FFFCF0"/>
                <w:lang w:val="vi-VN"/>
              </w:rPr>
            </w:pPr>
          </w:p>
        </w:tc>
        <w:tc>
          <w:tcPr>
            <w:tcW w:w="3261" w:type="dxa"/>
          </w:tcPr>
          <w:p w14:paraId="39BA5346" w14:textId="77777777" w:rsidR="0037621D" w:rsidRPr="0037621D" w:rsidRDefault="0037621D" w:rsidP="0037621D">
            <w:pPr>
              <w:pStyle w:val="NoSpacing"/>
              <w:rPr>
                <w:rFonts w:ascii="Palatino Linotype" w:hAnsi="Palatino Linotype"/>
                <w:sz w:val="20"/>
                <w:szCs w:val="20"/>
              </w:rPr>
            </w:pPr>
            <w:r w:rsidRPr="0037621D">
              <w:rPr>
                <w:rFonts w:ascii="Palatino Linotype" w:hAnsi="Palatino Linotype"/>
                <w:sz w:val="20"/>
                <w:szCs w:val="20"/>
              </w:rPr>
              <w:t>Doctor’s treatment perspective:</w:t>
            </w:r>
          </w:p>
          <w:p w14:paraId="3C196B16" w14:textId="77777777" w:rsidR="0037621D" w:rsidRPr="0037621D" w:rsidRDefault="0037621D" w:rsidP="0037621D">
            <w:pPr>
              <w:pStyle w:val="NoSpacing"/>
              <w:rPr>
                <w:rFonts w:ascii="Palatino Linotype" w:hAnsi="Palatino Linotype"/>
                <w:sz w:val="20"/>
                <w:szCs w:val="20"/>
              </w:rPr>
            </w:pPr>
            <w:r w:rsidRPr="0037621D">
              <w:rPr>
                <w:rFonts w:ascii="Palatino Linotype" w:hAnsi="Palatino Linotype"/>
                <w:sz w:val="20"/>
                <w:szCs w:val="20"/>
              </w:rPr>
              <w:t>“Recommendations are just recommendation”</w:t>
            </w:r>
          </w:p>
          <w:p w14:paraId="362E0FD9" w14:textId="77777777" w:rsidR="0037621D" w:rsidRPr="0037621D" w:rsidRDefault="0037621D" w:rsidP="0037621D">
            <w:pPr>
              <w:pStyle w:val="NoSpacing"/>
              <w:rPr>
                <w:rStyle w:val="Strong"/>
                <w:rFonts w:ascii="Palatino Linotype" w:hAnsi="Palatino Linotype"/>
                <w:b w:val="0"/>
                <w:bCs w:val="0"/>
                <w:sz w:val="20"/>
                <w:szCs w:val="20"/>
                <w:lang w:val="vi-VN"/>
              </w:rPr>
            </w:pPr>
            <w:r w:rsidRPr="0037621D">
              <w:rPr>
                <w:rFonts w:ascii="Palatino Linotype" w:hAnsi="Palatino Linotype"/>
                <w:sz w:val="20"/>
                <w:szCs w:val="20"/>
              </w:rPr>
              <w:t>(2/5)</w:t>
            </w:r>
          </w:p>
        </w:tc>
        <w:tc>
          <w:tcPr>
            <w:tcW w:w="5103" w:type="dxa"/>
          </w:tcPr>
          <w:p w14:paraId="2022BE0B" w14:textId="36A525BB" w:rsidR="0037621D" w:rsidRPr="0037621D" w:rsidRDefault="0037621D" w:rsidP="0037621D">
            <w:pPr>
              <w:pStyle w:val="NoSpacing"/>
              <w:rPr>
                <w:rStyle w:val="Strong"/>
                <w:rFonts w:ascii="Palatino Linotype" w:hAnsi="Palatino Linotype"/>
                <w:b w:val="0"/>
                <w:bCs w:val="0"/>
                <w:sz w:val="20"/>
                <w:szCs w:val="20"/>
              </w:rPr>
            </w:pPr>
            <w:r w:rsidRPr="0037621D">
              <w:rPr>
                <w:rFonts w:ascii="Palatino Linotype" w:hAnsi="Palatino Linotype"/>
                <w:sz w:val="20"/>
                <w:szCs w:val="20"/>
              </w:rPr>
              <w:t>“Treatment regimens are often theoretical and meant for reference, as there are differences between reality and actual patient populations. Clinical practice requires flexibility, so directly applying theoretical guidelines often leads to low compatibility” [Dr4]</w:t>
            </w:r>
          </w:p>
        </w:tc>
      </w:tr>
      <w:tr w:rsidR="0037621D" w:rsidRPr="0037621D" w14:paraId="341851A5" w14:textId="77777777" w:rsidTr="00A10818">
        <w:tc>
          <w:tcPr>
            <w:tcW w:w="1842" w:type="dxa"/>
            <w:vMerge w:val="restart"/>
            <w:vAlign w:val="center"/>
          </w:tcPr>
          <w:p w14:paraId="353AC991" w14:textId="77777777" w:rsidR="0037621D" w:rsidRPr="0037621D" w:rsidRDefault="0037621D" w:rsidP="0037621D">
            <w:pPr>
              <w:pStyle w:val="NoSpacing"/>
              <w:rPr>
                <w:rStyle w:val="Strong"/>
                <w:rFonts w:ascii="Palatino Linotype" w:hAnsi="Palatino Linotype"/>
                <w:b w:val="0"/>
                <w:bCs w:val="0"/>
                <w:color w:val="333333"/>
                <w:sz w:val="20"/>
                <w:szCs w:val="20"/>
                <w:shd w:val="clear" w:color="auto" w:fill="FFFCF0"/>
                <w:lang w:val="vi-VN"/>
              </w:rPr>
            </w:pPr>
            <w:r w:rsidRPr="0037621D">
              <w:rPr>
                <w:rFonts w:ascii="Palatino Linotype" w:hAnsi="Palatino Linotype"/>
                <w:sz w:val="20"/>
                <w:szCs w:val="20"/>
              </w:rPr>
              <w:t>External barriers</w:t>
            </w:r>
          </w:p>
        </w:tc>
        <w:tc>
          <w:tcPr>
            <w:tcW w:w="3261" w:type="dxa"/>
          </w:tcPr>
          <w:p w14:paraId="2B539EE9" w14:textId="152D7A83" w:rsidR="0037621D" w:rsidRPr="0037621D" w:rsidRDefault="0037621D" w:rsidP="0037621D">
            <w:pPr>
              <w:pStyle w:val="NoSpacing"/>
              <w:rPr>
                <w:rStyle w:val="Strong"/>
                <w:rFonts w:ascii="Palatino Linotype" w:hAnsi="Palatino Linotype"/>
                <w:b w:val="0"/>
                <w:bCs w:val="0"/>
                <w:sz w:val="20"/>
                <w:szCs w:val="20"/>
                <w:lang w:val="vi-VN"/>
              </w:rPr>
            </w:pPr>
            <w:r w:rsidRPr="0037621D">
              <w:rPr>
                <w:rFonts w:ascii="Palatino Linotype" w:hAnsi="Palatino Linotype"/>
                <w:sz w:val="20"/>
                <w:szCs w:val="20"/>
              </w:rPr>
              <w:t xml:space="preserve">Inadequate </w:t>
            </w:r>
            <w:r w:rsidR="00B722D3">
              <w:rPr>
                <w:rFonts w:ascii="Palatino Linotype" w:hAnsi="Palatino Linotype"/>
                <w:sz w:val="20"/>
                <w:szCs w:val="20"/>
              </w:rPr>
              <w:t>antibiotics</w:t>
            </w:r>
            <w:r w:rsidRPr="0037621D">
              <w:rPr>
                <w:rFonts w:ascii="Palatino Linotype" w:hAnsi="Palatino Linotype"/>
                <w:sz w:val="20"/>
                <w:szCs w:val="20"/>
              </w:rPr>
              <w:t xml:space="preserve"> supply (5/5)</w:t>
            </w:r>
          </w:p>
        </w:tc>
        <w:tc>
          <w:tcPr>
            <w:tcW w:w="5103" w:type="dxa"/>
          </w:tcPr>
          <w:p w14:paraId="3F1FE004" w14:textId="77777777" w:rsidR="0037621D" w:rsidRPr="006003A3" w:rsidRDefault="0037621D" w:rsidP="0037621D">
            <w:pPr>
              <w:pStyle w:val="NoSpacing"/>
              <w:rPr>
                <w:rFonts w:ascii="Palatino Linotype" w:hAnsi="Palatino Linotype"/>
                <w:i/>
                <w:iCs/>
                <w:color w:val="auto"/>
                <w:sz w:val="20"/>
                <w:szCs w:val="20"/>
              </w:rPr>
            </w:pPr>
            <w:r w:rsidRPr="006003A3">
              <w:rPr>
                <w:rFonts w:ascii="Palatino Linotype" w:hAnsi="Palatino Linotype"/>
                <w:i/>
                <w:iCs/>
                <w:color w:val="auto"/>
                <w:sz w:val="20"/>
                <w:szCs w:val="20"/>
              </w:rPr>
              <w:t>“</w:t>
            </w:r>
            <w:r w:rsidRPr="006003A3">
              <w:rPr>
                <w:rFonts w:ascii="Palatino Linotype" w:hAnsi="Palatino Linotype"/>
                <w:color w:val="auto"/>
                <w:sz w:val="20"/>
                <w:szCs w:val="20"/>
              </w:rPr>
              <w:t>A major challenge is the inconsistent availability of medicines, with shortages and unexpected stockouts forcing patients to switch up to three types of medicine within a week. Often, only limited antibiotic options are available, such as third-generation cephalosporins.  [Dr3]”</w:t>
            </w:r>
          </w:p>
          <w:p w14:paraId="42042550" w14:textId="4A37DBC8" w:rsidR="00C55456" w:rsidRPr="006003A3" w:rsidRDefault="00C55456" w:rsidP="0037621D">
            <w:pPr>
              <w:pStyle w:val="NoSpacing"/>
              <w:rPr>
                <w:rStyle w:val="Strong"/>
                <w:rFonts w:ascii="Palatino Linotype" w:hAnsi="Palatino Linotype"/>
                <w:b w:val="0"/>
                <w:bCs w:val="0"/>
                <w:color w:val="auto"/>
                <w:sz w:val="20"/>
                <w:szCs w:val="20"/>
              </w:rPr>
            </w:pPr>
            <w:r w:rsidRPr="006003A3">
              <w:rPr>
                <w:rFonts w:ascii="Palatino Linotype" w:hAnsi="Palatino Linotype"/>
                <w:color w:val="auto"/>
                <w:sz w:val="20"/>
                <w:szCs w:val="20"/>
              </w:rPr>
              <w:t xml:space="preserve">“The only antibiotic covered by health insurance is </w:t>
            </w:r>
            <w:proofErr w:type="spellStart"/>
            <w:r w:rsidRPr="006003A3">
              <w:rPr>
                <w:rFonts w:ascii="Palatino Linotype" w:hAnsi="Palatino Linotype"/>
                <w:color w:val="auto"/>
                <w:sz w:val="20"/>
                <w:szCs w:val="20"/>
              </w:rPr>
              <w:t>augmentin</w:t>
            </w:r>
            <w:proofErr w:type="spellEnd"/>
            <w:r w:rsidRPr="006003A3">
              <w:rPr>
                <w:rFonts w:ascii="Palatino Linotype" w:hAnsi="Palatino Linotype"/>
                <w:color w:val="auto"/>
                <w:sz w:val="20"/>
                <w:szCs w:val="20"/>
              </w:rPr>
              <w:t>, but the quantity is very limited. When the patient is hospitalized, there is a group of 3rd generation cephalosporin antibiotics, there is almost no second choice” [Dr5]</w:t>
            </w:r>
          </w:p>
        </w:tc>
      </w:tr>
      <w:tr w:rsidR="0037621D" w:rsidRPr="0037621D" w14:paraId="369423B3" w14:textId="77777777" w:rsidTr="00A10818">
        <w:tc>
          <w:tcPr>
            <w:tcW w:w="1842" w:type="dxa"/>
            <w:vMerge/>
          </w:tcPr>
          <w:p w14:paraId="2400E9C8" w14:textId="77777777" w:rsidR="0037621D" w:rsidRPr="0037621D" w:rsidRDefault="0037621D" w:rsidP="0037621D">
            <w:pPr>
              <w:pStyle w:val="NoSpacing"/>
              <w:rPr>
                <w:rStyle w:val="Strong"/>
                <w:rFonts w:ascii="Palatino Linotype" w:hAnsi="Palatino Linotype"/>
                <w:b w:val="0"/>
                <w:bCs w:val="0"/>
                <w:color w:val="333333"/>
                <w:sz w:val="20"/>
                <w:szCs w:val="20"/>
                <w:shd w:val="clear" w:color="auto" w:fill="FFFCF0"/>
                <w:lang w:val="vi-VN"/>
              </w:rPr>
            </w:pPr>
          </w:p>
        </w:tc>
        <w:tc>
          <w:tcPr>
            <w:tcW w:w="3261" w:type="dxa"/>
          </w:tcPr>
          <w:p w14:paraId="52155208" w14:textId="6D1529D9" w:rsidR="0037621D" w:rsidRPr="0037621D" w:rsidRDefault="0037621D" w:rsidP="0037621D">
            <w:pPr>
              <w:pStyle w:val="NoSpacing"/>
              <w:rPr>
                <w:rFonts w:ascii="Palatino Linotype" w:hAnsi="Palatino Linotype"/>
                <w:sz w:val="20"/>
                <w:szCs w:val="20"/>
              </w:rPr>
            </w:pPr>
            <w:r w:rsidRPr="0037621D">
              <w:rPr>
                <w:rFonts w:ascii="Palatino Linotype" w:hAnsi="Palatino Linotype"/>
                <w:sz w:val="20"/>
                <w:szCs w:val="20"/>
              </w:rPr>
              <w:t>Outdated guid</w:t>
            </w:r>
            <w:r w:rsidR="00B722D3">
              <w:rPr>
                <w:rFonts w:ascii="Palatino Linotype" w:hAnsi="Palatino Linotype"/>
                <w:sz w:val="20"/>
                <w:szCs w:val="20"/>
              </w:rPr>
              <w:t>e</w:t>
            </w:r>
            <w:r w:rsidRPr="0037621D">
              <w:rPr>
                <w:rFonts w:ascii="Palatino Linotype" w:hAnsi="Palatino Linotype"/>
                <w:sz w:val="20"/>
                <w:szCs w:val="20"/>
              </w:rPr>
              <w:t>line</w:t>
            </w:r>
            <w:r w:rsidR="00B722D3">
              <w:rPr>
                <w:rFonts w:ascii="Palatino Linotype" w:hAnsi="Palatino Linotype"/>
                <w:sz w:val="20"/>
                <w:szCs w:val="20"/>
              </w:rPr>
              <w:t>s</w:t>
            </w:r>
            <w:r w:rsidRPr="0037621D">
              <w:rPr>
                <w:rFonts w:ascii="Palatino Linotype" w:hAnsi="Palatino Linotype"/>
                <w:sz w:val="20"/>
                <w:szCs w:val="20"/>
              </w:rPr>
              <w:t xml:space="preserve"> (3/5)</w:t>
            </w:r>
          </w:p>
          <w:p w14:paraId="16F8D579" w14:textId="77777777" w:rsidR="0037621D" w:rsidRPr="0037621D" w:rsidRDefault="0037621D" w:rsidP="0037621D">
            <w:pPr>
              <w:pStyle w:val="NoSpacing"/>
              <w:rPr>
                <w:rStyle w:val="Strong"/>
                <w:rFonts w:ascii="Palatino Linotype" w:hAnsi="Palatino Linotype"/>
                <w:b w:val="0"/>
                <w:bCs w:val="0"/>
                <w:color w:val="333333"/>
                <w:sz w:val="20"/>
                <w:szCs w:val="20"/>
                <w:shd w:val="clear" w:color="auto" w:fill="FFFCF0"/>
                <w:lang w:val="vi-VN"/>
              </w:rPr>
            </w:pPr>
          </w:p>
        </w:tc>
        <w:tc>
          <w:tcPr>
            <w:tcW w:w="5103" w:type="dxa"/>
          </w:tcPr>
          <w:p w14:paraId="63225141" w14:textId="18DE2043" w:rsidR="0037621D" w:rsidRPr="0037621D" w:rsidRDefault="0037621D" w:rsidP="0037621D">
            <w:pPr>
              <w:pStyle w:val="NoSpacing"/>
              <w:rPr>
                <w:rStyle w:val="Strong"/>
                <w:rFonts w:ascii="Palatino Linotype" w:hAnsi="Palatino Linotype"/>
                <w:b w:val="0"/>
                <w:bCs w:val="0"/>
                <w:sz w:val="20"/>
                <w:szCs w:val="20"/>
              </w:rPr>
            </w:pPr>
            <w:r w:rsidRPr="0037621D">
              <w:rPr>
                <w:rFonts w:ascii="Palatino Linotype" w:hAnsi="Palatino Linotype"/>
                <w:sz w:val="20"/>
                <w:szCs w:val="20"/>
              </w:rPr>
              <w:t>“Regular updates to guidelines would greatly assist doctors, but in Vietnam, updates are infrequent, with some regimens remaining unchanged for years. P</w:t>
            </w:r>
            <w:r w:rsidR="00562C32">
              <w:rPr>
                <w:rFonts w:ascii="Palatino Linotype" w:hAnsi="Palatino Linotype"/>
                <w:sz w:val="20"/>
                <w:szCs w:val="20"/>
              </w:rPr>
              <w:t>a</w:t>
            </w:r>
            <w:r w:rsidRPr="0037621D">
              <w:rPr>
                <w:rFonts w:ascii="Palatino Linotype" w:hAnsi="Palatino Linotype"/>
                <w:sz w:val="20"/>
                <w:szCs w:val="20"/>
              </w:rPr>
              <w:t xml:space="preserve">ediatric guidebooks are only published every few years, causing delays in adopting global advancements. Frequent updates would improve compliance among doctors </w:t>
            </w:r>
            <w:proofErr w:type="gramStart"/>
            <w:r w:rsidRPr="0037621D">
              <w:rPr>
                <w:rFonts w:ascii="Palatino Linotype" w:hAnsi="Palatino Linotype"/>
                <w:sz w:val="20"/>
                <w:szCs w:val="20"/>
              </w:rPr>
              <w:t xml:space="preserve">“ </w:t>
            </w:r>
            <w:r w:rsidRPr="006003A3">
              <w:rPr>
                <w:rFonts w:ascii="Palatino Linotype" w:hAnsi="Palatino Linotype"/>
                <w:sz w:val="20"/>
                <w:szCs w:val="20"/>
              </w:rPr>
              <w:t>[</w:t>
            </w:r>
            <w:proofErr w:type="gramEnd"/>
            <w:r w:rsidRPr="006003A3">
              <w:rPr>
                <w:rFonts w:ascii="Palatino Linotype" w:hAnsi="Palatino Linotype"/>
                <w:sz w:val="20"/>
                <w:szCs w:val="20"/>
              </w:rPr>
              <w:t>Dr4).</w:t>
            </w:r>
          </w:p>
        </w:tc>
      </w:tr>
      <w:tr w:rsidR="0037621D" w:rsidRPr="0037621D" w14:paraId="5DA11429" w14:textId="77777777" w:rsidTr="00A10818">
        <w:tc>
          <w:tcPr>
            <w:tcW w:w="1842" w:type="dxa"/>
            <w:vMerge/>
          </w:tcPr>
          <w:p w14:paraId="6C2A51E2" w14:textId="77777777" w:rsidR="0037621D" w:rsidRPr="0037621D" w:rsidRDefault="0037621D" w:rsidP="0037621D">
            <w:pPr>
              <w:pStyle w:val="NoSpacing"/>
              <w:rPr>
                <w:rStyle w:val="Strong"/>
                <w:rFonts w:ascii="Palatino Linotype" w:hAnsi="Palatino Linotype"/>
                <w:b w:val="0"/>
                <w:bCs w:val="0"/>
                <w:color w:val="333333"/>
                <w:sz w:val="20"/>
                <w:szCs w:val="20"/>
                <w:shd w:val="clear" w:color="auto" w:fill="FFFCF0"/>
                <w:lang w:val="vi-VN"/>
              </w:rPr>
            </w:pPr>
          </w:p>
        </w:tc>
        <w:tc>
          <w:tcPr>
            <w:tcW w:w="3261" w:type="dxa"/>
          </w:tcPr>
          <w:p w14:paraId="2E942C5C" w14:textId="6C7E0649" w:rsidR="0037621D" w:rsidRPr="0037621D" w:rsidRDefault="0037621D" w:rsidP="0037621D">
            <w:pPr>
              <w:pStyle w:val="NoSpacing"/>
              <w:rPr>
                <w:rFonts w:ascii="Palatino Linotype" w:hAnsi="Palatino Linotype"/>
                <w:sz w:val="20"/>
                <w:szCs w:val="20"/>
              </w:rPr>
            </w:pPr>
            <w:r w:rsidRPr="0037621D">
              <w:rPr>
                <w:rFonts w:ascii="Palatino Linotype" w:hAnsi="Palatino Linotype"/>
                <w:sz w:val="20"/>
                <w:szCs w:val="20"/>
              </w:rPr>
              <w:t>Impractical guid</w:t>
            </w:r>
            <w:r w:rsidR="00B722D3">
              <w:rPr>
                <w:rFonts w:ascii="Palatino Linotype" w:hAnsi="Palatino Linotype"/>
                <w:sz w:val="20"/>
                <w:szCs w:val="20"/>
              </w:rPr>
              <w:t>e</w:t>
            </w:r>
            <w:r w:rsidRPr="0037621D">
              <w:rPr>
                <w:rFonts w:ascii="Palatino Linotype" w:hAnsi="Palatino Linotype"/>
                <w:sz w:val="20"/>
                <w:szCs w:val="20"/>
              </w:rPr>
              <w:t>line</w:t>
            </w:r>
            <w:r w:rsidR="00B722D3">
              <w:rPr>
                <w:rFonts w:ascii="Palatino Linotype" w:hAnsi="Palatino Linotype"/>
                <w:sz w:val="20"/>
                <w:szCs w:val="20"/>
              </w:rPr>
              <w:t>s</w:t>
            </w:r>
            <w:r w:rsidRPr="0037621D">
              <w:rPr>
                <w:rFonts w:ascii="Palatino Linotype" w:hAnsi="Palatino Linotype"/>
                <w:sz w:val="20"/>
                <w:szCs w:val="20"/>
              </w:rPr>
              <w:t xml:space="preserve"> (2/5)</w:t>
            </w:r>
          </w:p>
          <w:p w14:paraId="05769693" w14:textId="77777777" w:rsidR="0037621D" w:rsidRPr="0037621D" w:rsidRDefault="0037621D" w:rsidP="0037621D">
            <w:pPr>
              <w:pStyle w:val="NoSpacing"/>
              <w:rPr>
                <w:rStyle w:val="Strong"/>
                <w:rFonts w:ascii="Palatino Linotype" w:hAnsi="Palatino Linotype"/>
                <w:b w:val="0"/>
                <w:bCs w:val="0"/>
                <w:color w:val="333333"/>
                <w:sz w:val="20"/>
                <w:szCs w:val="20"/>
                <w:shd w:val="clear" w:color="auto" w:fill="FFFCF0"/>
                <w:lang w:val="vi-VN"/>
              </w:rPr>
            </w:pPr>
          </w:p>
        </w:tc>
        <w:tc>
          <w:tcPr>
            <w:tcW w:w="5103" w:type="dxa"/>
          </w:tcPr>
          <w:p w14:paraId="317B2E04" w14:textId="77777777" w:rsidR="0037621D" w:rsidRPr="0037621D" w:rsidRDefault="0037621D" w:rsidP="0037621D">
            <w:pPr>
              <w:pStyle w:val="NoSpacing"/>
              <w:rPr>
                <w:rStyle w:val="Strong"/>
                <w:rFonts w:ascii="Palatino Linotype" w:hAnsi="Palatino Linotype"/>
                <w:b w:val="0"/>
                <w:bCs w:val="0"/>
                <w:sz w:val="20"/>
                <w:szCs w:val="20"/>
              </w:rPr>
            </w:pPr>
            <w:r w:rsidRPr="0037621D">
              <w:rPr>
                <w:rFonts w:ascii="Palatino Linotype" w:hAnsi="Palatino Linotype"/>
                <w:i/>
                <w:iCs/>
                <w:sz w:val="20"/>
                <w:szCs w:val="20"/>
              </w:rPr>
              <w:t>"</w:t>
            </w:r>
            <w:r w:rsidRPr="0037621D">
              <w:rPr>
                <w:rFonts w:ascii="Palatino Linotype" w:hAnsi="Palatino Linotype"/>
                <w:sz w:val="20"/>
                <w:szCs w:val="20"/>
              </w:rPr>
              <w:t xml:space="preserve"> In clinical practice, there are discrepancies from the guidelines because patients often have already used multiple medications before hospital admission.”  </w:t>
            </w:r>
            <w:r w:rsidRPr="006003A3">
              <w:rPr>
                <w:rFonts w:ascii="Palatino Linotype" w:hAnsi="Palatino Linotype"/>
                <w:sz w:val="20"/>
                <w:szCs w:val="20"/>
              </w:rPr>
              <w:t>[Dr4].</w:t>
            </w:r>
          </w:p>
        </w:tc>
      </w:tr>
      <w:tr w:rsidR="0037621D" w:rsidRPr="0037621D" w14:paraId="7236F3DE" w14:textId="77777777" w:rsidTr="00A10818">
        <w:tc>
          <w:tcPr>
            <w:tcW w:w="1842" w:type="dxa"/>
            <w:vMerge/>
          </w:tcPr>
          <w:p w14:paraId="078F5864" w14:textId="77777777" w:rsidR="0037621D" w:rsidRPr="0037621D" w:rsidRDefault="0037621D" w:rsidP="0037621D">
            <w:pPr>
              <w:pStyle w:val="NoSpacing"/>
              <w:rPr>
                <w:rStyle w:val="Strong"/>
                <w:rFonts w:ascii="Palatino Linotype" w:hAnsi="Palatino Linotype"/>
                <w:b w:val="0"/>
                <w:bCs w:val="0"/>
                <w:color w:val="333333"/>
                <w:sz w:val="20"/>
                <w:szCs w:val="20"/>
                <w:shd w:val="clear" w:color="auto" w:fill="FFFCF0"/>
                <w:lang w:val="vi-VN"/>
              </w:rPr>
            </w:pPr>
          </w:p>
        </w:tc>
        <w:tc>
          <w:tcPr>
            <w:tcW w:w="3261" w:type="dxa"/>
          </w:tcPr>
          <w:p w14:paraId="213EB299" w14:textId="71278915" w:rsidR="0037621D" w:rsidRPr="0037621D" w:rsidRDefault="0037621D" w:rsidP="0037621D">
            <w:pPr>
              <w:pStyle w:val="NoSpacing"/>
              <w:rPr>
                <w:rStyle w:val="Strong"/>
                <w:rFonts w:ascii="Palatino Linotype" w:hAnsi="Palatino Linotype"/>
                <w:b w:val="0"/>
                <w:bCs w:val="0"/>
                <w:color w:val="333333"/>
                <w:sz w:val="20"/>
                <w:szCs w:val="20"/>
                <w:shd w:val="clear" w:color="auto" w:fill="FFFCF0"/>
                <w:lang w:val="vi-VN"/>
              </w:rPr>
            </w:pPr>
            <w:r w:rsidRPr="0037621D">
              <w:rPr>
                <w:rFonts w:ascii="Palatino Linotype" w:hAnsi="Palatino Linotype"/>
                <w:sz w:val="20"/>
                <w:szCs w:val="20"/>
              </w:rPr>
              <w:t>Inappropriate patient</w:t>
            </w:r>
            <w:r w:rsidR="00A10818">
              <w:rPr>
                <w:rFonts w:ascii="Palatino Linotype" w:hAnsi="Palatino Linotype"/>
                <w:sz w:val="20"/>
                <w:szCs w:val="20"/>
              </w:rPr>
              <w:t xml:space="preserve"> </w:t>
            </w:r>
            <w:r w:rsidRPr="0037621D">
              <w:rPr>
                <w:rFonts w:ascii="Palatino Linotype" w:hAnsi="Palatino Linotype"/>
                <w:sz w:val="20"/>
                <w:szCs w:val="20"/>
              </w:rPr>
              <w:t>approach</w:t>
            </w:r>
            <w:r w:rsidR="00B722D3">
              <w:rPr>
                <w:rFonts w:ascii="Palatino Linotype" w:hAnsi="Palatino Linotype"/>
                <w:sz w:val="20"/>
                <w:szCs w:val="20"/>
              </w:rPr>
              <w:t>es</w:t>
            </w:r>
            <w:r w:rsidRPr="0037621D">
              <w:rPr>
                <w:rFonts w:ascii="Palatino Linotype" w:hAnsi="Palatino Linotype"/>
                <w:sz w:val="20"/>
                <w:szCs w:val="20"/>
              </w:rPr>
              <w:t xml:space="preserve"> (1/5)</w:t>
            </w:r>
          </w:p>
        </w:tc>
        <w:tc>
          <w:tcPr>
            <w:tcW w:w="5103" w:type="dxa"/>
          </w:tcPr>
          <w:p w14:paraId="7D5648E2" w14:textId="03DAEA01" w:rsidR="0037621D" w:rsidRPr="0037621D" w:rsidRDefault="0037621D" w:rsidP="0037621D">
            <w:pPr>
              <w:pStyle w:val="NoSpacing"/>
              <w:rPr>
                <w:rStyle w:val="Strong"/>
                <w:rFonts w:ascii="Palatino Linotype" w:hAnsi="Palatino Linotype"/>
                <w:b w:val="0"/>
                <w:bCs w:val="0"/>
                <w:sz w:val="20"/>
                <w:szCs w:val="20"/>
              </w:rPr>
            </w:pPr>
            <w:r w:rsidRPr="0037621D">
              <w:rPr>
                <w:rFonts w:ascii="Palatino Linotype" w:hAnsi="Palatino Linotype"/>
                <w:sz w:val="20"/>
                <w:szCs w:val="20"/>
              </w:rPr>
              <w:t xml:space="preserve">“Classifying patients based on pneumonia severity is typically used in community and lower-level hospitals. In contrast, higher-level hospitals focus more on identifying the underlying causes to choose antibiotics, rather than relying solely on severity, even when the patient exhibits symptoms of respiratory failure from community-acquired pneumonia” </w:t>
            </w:r>
            <w:r w:rsidRPr="006003A3">
              <w:rPr>
                <w:rFonts w:ascii="Palatino Linotype" w:hAnsi="Palatino Linotype"/>
                <w:sz w:val="20"/>
                <w:szCs w:val="20"/>
              </w:rPr>
              <w:t>[Dr1]</w:t>
            </w:r>
          </w:p>
        </w:tc>
      </w:tr>
    </w:tbl>
    <w:p w14:paraId="41368FE6" w14:textId="1B7042A8" w:rsidR="0037621D" w:rsidRPr="0037621D" w:rsidRDefault="0037621D" w:rsidP="0037621D">
      <w:pPr>
        <w:pStyle w:val="NoSpacing"/>
        <w:rPr>
          <w:rFonts w:ascii="Palatino Linotype" w:hAnsi="Palatino Linotype"/>
          <w:sz w:val="20"/>
          <w:szCs w:val="20"/>
          <w:lang w:eastAsia="vi-VN" w:bidi="vi-VN"/>
        </w:rPr>
      </w:pPr>
      <w:r w:rsidRPr="0037621D">
        <w:rPr>
          <w:rFonts w:ascii="Palatino Linotype" w:hAnsi="Palatino Linotype"/>
          <w:sz w:val="20"/>
          <w:szCs w:val="20"/>
          <w:lang w:eastAsia="vi-VN" w:bidi="vi-VN"/>
        </w:rPr>
        <w:t xml:space="preserve"> </w:t>
      </w:r>
      <w:r w:rsidR="00A10818">
        <w:rPr>
          <w:rFonts w:ascii="Palatino Linotype" w:hAnsi="Palatino Linotype"/>
          <w:sz w:val="20"/>
          <w:szCs w:val="20"/>
          <w:lang w:eastAsia="vi-VN" w:bidi="vi-VN"/>
        </w:rPr>
        <w:tab/>
      </w:r>
      <w:r w:rsidR="00A10818">
        <w:rPr>
          <w:rFonts w:ascii="Palatino Linotype" w:hAnsi="Palatino Linotype"/>
          <w:sz w:val="20"/>
          <w:szCs w:val="20"/>
          <w:lang w:eastAsia="vi-VN" w:bidi="vi-VN"/>
        </w:rPr>
        <w:tab/>
      </w:r>
      <w:r w:rsidR="00A10818">
        <w:rPr>
          <w:rFonts w:ascii="Palatino Linotype" w:hAnsi="Palatino Linotype"/>
          <w:sz w:val="20"/>
          <w:szCs w:val="20"/>
          <w:lang w:eastAsia="vi-VN" w:bidi="vi-VN"/>
        </w:rPr>
        <w:tab/>
      </w:r>
      <w:r w:rsidR="00F736EA">
        <w:rPr>
          <w:rFonts w:ascii="Palatino Linotype" w:hAnsi="Palatino Linotype"/>
          <w:sz w:val="20"/>
          <w:szCs w:val="20"/>
          <w:lang w:eastAsia="vi-VN" w:bidi="vi-VN"/>
        </w:rPr>
        <w:t>NB: Numbers refer to</w:t>
      </w:r>
      <w:r w:rsidR="001A3A00">
        <w:rPr>
          <w:rFonts w:ascii="Palatino Linotype" w:hAnsi="Palatino Linotype"/>
          <w:sz w:val="20"/>
          <w:szCs w:val="20"/>
          <w:lang w:eastAsia="vi-VN" w:bidi="vi-VN"/>
        </w:rPr>
        <w:t xml:space="preserve"> the number of paediatricians (out of 5) commenting on these themes</w:t>
      </w:r>
    </w:p>
    <w:p w14:paraId="07948E65" w14:textId="77777777" w:rsidR="00497594" w:rsidRDefault="00497594" w:rsidP="00A54F31">
      <w:pPr>
        <w:pStyle w:val="MDPI31text"/>
        <w:ind w:left="0" w:firstLine="0"/>
      </w:pPr>
    </w:p>
    <w:p w14:paraId="6D92249E" w14:textId="16FCBFE7" w:rsidR="007713AF" w:rsidRPr="00517440" w:rsidRDefault="003C4625" w:rsidP="00517440">
      <w:pPr>
        <w:pStyle w:val="MDPI21heading1"/>
      </w:pPr>
      <w:r w:rsidRPr="00517440">
        <w:t>3</w:t>
      </w:r>
      <w:r w:rsidR="007713AF" w:rsidRPr="00517440">
        <w:t>. Discussion</w:t>
      </w:r>
      <w:r w:rsidR="00A10818">
        <w:t xml:space="preserve"> </w:t>
      </w:r>
    </w:p>
    <w:p w14:paraId="35AC0288" w14:textId="021472F5" w:rsidR="00592AFC" w:rsidRDefault="00592AFC" w:rsidP="00592AFC">
      <w:pPr>
        <w:pStyle w:val="MDPI31text"/>
      </w:pPr>
      <w:r w:rsidRPr="00DD12AC">
        <w:t xml:space="preserve">The children </w:t>
      </w:r>
      <w:r>
        <w:t xml:space="preserve">involved in this study in Vietnam were </w:t>
      </w:r>
      <w:r w:rsidRPr="00DD12AC">
        <w:t xml:space="preserve">aged </w:t>
      </w:r>
      <w:r>
        <w:t xml:space="preserve">between </w:t>
      </w:r>
      <w:r w:rsidRPr="00DD12AC">
        <w:t>2 months to five years, representing a demographic with one of the highest mortality rates due to pneumonia as reported by the W</w:t>
      </w:r>
      <w:r>
        <w:t xml:space="preserve">HO </w:t>
      </w:r>
      <w:r w:rsidR="00E818E9">
        <w:t>[2]</w:t>
      </w:r>
      <w:r w:rsidRPr="00DD12AC">
        <w:t xml:space="preserve">. </w:t>
      </w:r>
      <w:r w:rsidR="004916C0">
        <w:t>Consequently, it is essential to ensure optimal management</w:t>
      </w:r>
      <w:r w:rsidRPr="00DD12AC">
        <w:t xml:space="preserve">. </w:t>
      </w:r>
    </w:p>
    <w:p w14:paraId="465F263D" w14:textId="18DC8D37" w:rsidR="00FB1E5D" w:rsidRDefault="00592AFC" w:rsidP="00FC5834">
      <w:pPr>
        <w:pStyle w:val="MDPI31text"/>
      </w:pPr>
      <w:r>
        <w:t xml:space="preserve">There was a high rate of prior antibiotic treatment (41.7%) among admitted children, similar to previous studies conducted in Vietnam (Supplementary Table 1), as well as other </w:t>
      </w:r>
      <w:r w:rsidR="009338FC">
        <w:t>studies</w:t>
      </w:r>
      <w:r w:rsidR="000551CF">
        <w:t xml:space="preserve"> across</w:t>
      </w:r>
      <w:bookmarkStart w:id="5" w:name="_Hlk199671643"/>
      <w:r w:rsidR="00125C09">
        <w:t xml:space="preserve"> LMICs </w:t>
      </w:r>
      <w:r w:rsidR="000551CF">
        <w:t>[</w:t>
      </w:r>
      <w:r w:rsidR="000551CF" w:rsidRPr="006003A3">
        <w:t>5,26,3</w:t>
      </w:r>
      <w:r w:rsidR="00CF35C1" w:rsidRPr="006003A3">
        <w:t>9</w:t>
      </w:r>
      <w:r w:rsidR="000551CF" w:rsidRPr="006003A3">
        <w:t>-4</w:t>
      </w:r>
      <w:r w:rsidR="00CF35C1" w:rsidRPr="006003A3">
        <w:t>1</w:t>
      </w:r>
      <w:r w:rsidR="000551CF" w:rsidRPr="006003A3">
        <w:t>,4</w:t>
      </w:r>
      <w:r w:rsidR="00CF35C1" w:rsidRPr="006003A3">
        <w:t>3</w:t>
      </w:r>
      <w:r w:rsidR="000551CF" w:rsidRPr="006003A3">
        <w:t>]</w:t>
      </w:r>
      <w:r w:rsidR="006438F5" w:rsidRPr="006003A3">
        <w:t>.</w:t>
      </w:r>
      <w:r w:rsidR="006438F5">
        <w:t xml:space="preserve"> </w:t>
      </w:r>
      <w:bookmarkEnd w:id="5"/>
      <w:r>
        <w:t xml:space="preserve">This high use </w:t>
      </w:r>
      <w:r w:rsidR="000551CF">
        <w:t xml:space="preserve">of antibiotics in the community </w:t>
      </w:r>
      <w:r>
        <w:t xml:space="preserve">may reflect greater knowledge among primary care healthcare professionals (HCPs) surrounding the management of respiratory infections. However, further research is needed before we can say anything with certainty especially as ten children were prescribed </w:t>
      </w:r>
      <w:r w:rsidRPr="00DD12AC">
        <w:t>a third-generation cephalosporin</w:t>
      </w:r>
      <w:r>
        <w:t xml:space="preserve"> before admission. In any event, it is essential that hospital physicians initial</w:t>
      </w:r>
      <w:r w:rsidR="000551CF">
        <w:t>ly</w:t>
      </w:r>
      <w:r>
        <w:t xml:space="preserve"> treating neonates and children admitted with CAP take a full history, including prior antibiotic use, to guide initial</w:t>
      </w:r>
      <w:r w:rsidR="000551CF">
        <w:t xml:space="preserve"> antibiotic use</w:t>
      </w:r>
      <w:r>
        <w:t xml:space="preserve"> in the absence of any culture and sensitivity findings. </w:t>
      </w:r>
    </w:p>
    <w:p w14:paraId="37BCFC90" w14:textId="799C8F3D" w:rsidR="00AE52CF" w:rsidRPr="006003A3" w:rsidRDefault="00592AFC" w:rsidP="006003A3">
      <w:pPr>
        <w:pStyle w:val="MDPI31text"/>
        <w:rPr>
          <w:lang w:val="en-GB"/>
        </w:rPr>
      </w:pPr>
      <w:r w:rsidRPr="006003A3">
        <w:t xml:space="preserve">All children (100%) subsequently admitted to hospital were prescribed antibiotics, principally intravenously (91.7%), </w:t>
      </w:r>
      <w:r w:rsidR="00AD450A" w:rsidRPr="006003A3">
        <w:t xml:space="preserve">and </w:t>
      </w:r>
      <w:r w:rsidRPr="006003A3">
        <w:t>typically Watch antibiotics</w:t>
      </w:r>
      <w:r w:rsidR="009338FC" w:rsidRPr="006003A3">
        <w:t xml:space="preserve"> (73.3%)</w:t>
      </w:r>
      <w:r w:rsidR="004916C0" w:rsidRPr="006003A3">
        <w:t xml:space="preserve">, </w:t>
      </w:r>
      <w:r w:rsidR="006438F5" w:rsidRPr="006003A3">
        <w:t>similar to other studies conducted in Vietnam and other LMICs</w:t>
      </w:r>
      <w:r w:rsidR="00125C09" w:rsidRPr="006003A3">
        <w:t xml:space="preserve"> </w:t>
      </w:r>
      <w:r w:rsidR="000551CF" w:rsidRPr="006003A3">
        <w:t>[5,26,3</w:t>
      </w:r>
      <w:r w:rsidR="00CF35C1" w:rsidRPr="006003A3">
        <w:t>9</w:t>
      </w:r>
      <w:r w:rsidR="000551CF" w:rsidRPr="006003A3">
        <w:t>,4</w:t>
      </w:r>
      <w:r w:rsidR="00CF35C1" w:rsidRPr="006003A3">
        <w:t>1</w:t>
      </w:r>
      <w:r w:rsidR="004916C0" w:rsidRPr="006003A3">
        <w:t>-</w:t>
      </w:r>
      <w:r w:rsidR="000551CF" w:rsidRPr="006003A3">
        <w:t>4</w:t>
      </w:r>
      <w:r w:rsidR="00CF35C1" w:rsidRPr="006003A3">
        <w:t>4</w:t>
      </w:r>
      <w:r w:rsidR="000551CF" w:rsidRPr="006003A3">
        <w:t>,8</w:t>
      </w:r>
      <w:r w:rsidR="00CF35C1" w:rsidRPr="006003A3">
        <w:t>3</w:t>
      </w:r>
      <w:r w:rsidR="000551CF" w:rsidRPr="006003A3">
        <w:t>]</w:t>
      </w:r>
      <w:r w:rsidR="006438F5" w:rsidRPr="006003A3">
        <w:t>.</w:t>
      </w:r>
      <w:r w:rsidR="00AD450A" w:rsidRPr="006003A3">
        <w:t xml:space="preserve"> This </w:t>
      </w:r>
      <w:r w:rsidR="005F2863" w:rsidRPr="006003A3">
        <w:t xml:space="preserve">situation </w:t>
      </w:r>
      <w:r w:rsidR="00AD450A" w:rsidRPr="006003A3">
        <w:t xml:space="preserve">needs </w:t>
      </w:r>
      <w:r w:rsidR="00B8042E" w:rsidRPr="006003A3">
        <w:t xml:space="preserve">urgent </w:t>
      </w:r>
      <w:r w:rsidR="00AD450A" w:rsidRPr="006003A3">
        <w:t xml:space="preserve">changing alongside </w:t>
      </w:r>
      <w:r w:rsidR="00B8042E" w:rsidRPr="006003A3">
        <w:rPr>
          <w:lang w:val="en-GB"/>
        </w:rPr>
        <w:t xml:space="preserve">current </w:t>
      </w:r>
      <w:r w:rsidRPr="006003A3">
        <w:rPr>
          <w:lang w:val="en-GB"/>
        </w:rPr>
        <w:t xml:space="preserve">low compliance </w:t>
      </w:r>
      <w:r w:rsidR="00B8042E" w:rsidRPr="006003A3">
        <w:rPr>
          <w:lang w:val="en-GB"/>
        </w:rPr>
        <w:t>levels with</w:t>
      </w:r>
      <w:r w:rsidRPr="006003A3">
        <w:rPr>
          <w:lang w:val="en-GB"/>
        </w:rPr>
        <w:t xml:space="preserve"> CAP guidelines</w:t>
      </w:r>
      <w:r w:rsidR="00850E8C">
        <w:rPr>
          <w:lang w:val="en-GB"/>
        </w:rPr>
        <w:t xml:space="preserve">. The low compliance levels seen in this study </w:t>
      </w:r>
      <w:proofErr w:type="gramStart"/>
      <w:r w:rsidR="00850E8C">
        <w:rPr>
          <w:lang w:val="en-GB"/>
        </w:rPr>
        <w:t xml:space="preserve">were </w:t>
      </w:r>
      <w:r w:rsidRPr="006003A3">
        <w:rPr>
          <w:lang w:val="en-GB"/>
        </w:rPr>
        <w:t xml:space="preserve"> </w:t>
      </w:r>
      <w:r w:rsidR="00850E8C">
        <w:rPr>
          <w:lang w:val="en-GB"/>
        </w:rPr>
        <w:t>substantially</w:t>
      </w:r>
      <w:proofErr w:type="gramEnd"/>
      <w:r w:rsidR="00850E8C">
        <w:rPr>
          <w:lang w:val="en-GB"/>
        </w:rPr>
        <w:t xml:space="preserve"> </w:t>
      </w:r>
      <w:r w:rsidRPr="006003A3">
        <w:rPr>
          <w:lang w:val="en-GB"/>
        </w:rPr>
        <w:t xml:space="preserve">lower than </w:t>
      </w:r>
      <w:r w:rsidR="00850E8C">
        <w:rPr>
          <w:lang w:val="en-GB"/>
        </w:rPr>
        <w:t xml:space="preserve">seen in </w:t>
      </w:r>
      <w:r w:rsidR="00B8042E" w:rsidRPr="006003A3">
        <w:rPr>
          <w:lang w:val="en-GB"/>
        </w:rPr>
        <w:t>a number of</w:t>
      </w:r>
      <w:r w:rsidRPr="006003A3">
        <w:rPr>
          <w:lang w:val="en-GB"/>
        </w:rPr>
        <w:t xml:space="preserve"> other studies</w:t>
      </w:r>
      <w:r w:rsidR="00850E8C">
        <w:rPr>
          <w:lang w:val="en-GB"/>
        </w:rPr>
        <w:t>,</w:t>
      </w:r>
      <w:r w:rsidRPr="006003A3">
        <w:rPr>
          <w:lang w:val="en-GB"/>
        </w:rPr>
        <w:t xml:space="preserve"> </w:t>
      </w:r>
      <w:r w:rsidR="009338FC" w:rsidRPr="006003A3">
        <w:rPr>
          <w:lang w:val="en-GB"/>
        </w:rPr>
        <w:t xml:space="preserve">including </w:t>
      </w:r>
      <w:r w:rsidR="00850E8C">
        <w:rPr>
          <w:lang w:val="en-GB"/>
        </w:rPr>
        <w:t xml:space="preserve">previous </w:t>
      </w:r>
      <w:r w:rsidR="005F2863" w:rsidRPr="006003A3">
        <w:rPr>
          <w:lang w:val="en-GB"/>
        </w:rPr>
        <w:t>studies</w:t>
      </w:r>
      <w:r w:rsidR="009338FC" w:rsidRPr="006003A3">
        <w:rPr>
          <w:lang w:val="en-GB"/>
        </w:rPr>
        <w:t xml:space="preserve"> in Vietnam</w:t>
      </w:r>
      <w:r w:rsidR="00850E8C">
        <w:rPr>
          <w:lang w:val="en-GB"/>
        </w:rPr>
        <w:t>, which is a concern</w:t>
      </w:r>
      <w:r w:rsidR="009338FC" w:rsidRPr="006003A3">
        <w:rPr>
          <w:lang w:val="en-GB"/>
        </w:rPr>
        <w:t xml:space="preserve"> </w:t>
      </w:r>
      <w:r w:rsidR="000551CF" w:rsidRPr="006003A3">
        <w:rPr>
          <w:lang w:val="en-GB"/>
        </w:rPr>
        <w:t>[26,6</w:t>
      </w:r>
      <w:r w:rsidR="00CF35C1" w:rsidRPr="006003A3">
        <w:rPr>
          <w:lang w:val="en-GB"/>
        </w:rPr>
        <w:t>8</w:t>
      </w:r>
      <w:r w:rsidR="000551CF" w:rsidRPr="006003A3">
        <w:rPr>
          <w:lang w:val="en-GB"/>
        </w:rPr>
        <w:t>,8</w:t>
      </w:r>
      <w:r w:rsidR="00CF35C1" w:rsidRPr="006003A3">
        <w:rPr>
          <w:lang w:val="en-GB"/>
        </w:rPr>
        <w:t>4</w:t>
      </w:r>
      <w:r w:rsidR="000551CF" w:rsidRPr="006003A3">
        <w:rPr>
          <w:lang w:val="en-GB"/>
        </w:rPr>
        <w:t>]</w:t>
      </w:r>
      <w:r w:rsidRPr="006003A3">
        <w:rPr>
          <w:lang w:val="en-GB"/>
        </w:rPr>
        <w:t xml:space="preserve">. </w:t>
      </w:r>
      <w:r w:rsidR="00B8042E" w:rsidRPr="006003A3">
        <w:rPr>
          <w:lang w:val="en-GB"/>
        </w:rPr>
        <w:t>We believe t</w:t>
      </w:r>
      <w:r w:rsidR="00B8042E" w:rsidRPr="006003A3">
        <w:rPr>
          <w:lang w:val="vi-VN"/>
        </w:rPr>
        <w:t>he</w:t>
      </w:r>
      <w:r w:rsidR="00B8042E" w:rsidRPr="006003A3">
        <w:rPr>
          <w:lang w:val="en-GB"/>
        </w:rPr>
        <w:t xml:space="preserve"> principal</w:t>
      </w:r>
      <w:r w:rsidR="00B8042E" w:rsidRPr="006003A3">
        <w:rPr>
          <w:lang w:val="vi-VN"/>
        </w:rPr>
        <w:t xml:space="preserve"> reason</w:t>
      </w:r>
      <w:r w:rsidR="00B8042E" w:rsidRPr="006003A3">
        <w:rPr>
          <w:lang w:val="en-GB"/>
        </w:rPr>
        <w:t>s</w:t>
      </w:r>
      <w:r w:rsidR="00B8042E" w:rsidRPr="006003A3">
        <w:rPr>
          <w:lang w:val="vi-VN"/>
        </w:rPr>
        <w:t xml:space="preserve"> </w:t>
      </w:r>
      <w:r w:rsidR="00653326">
        <w:rPr>
          <w:lang w:val="en-GB"/>
        </w:rPr>
        <w:t xml:space="preserve">for the </w:t>
      </w:r>
      <w:r w:rsidR="00B8042E" w:rsidRPr="006003A3">
        <w:rPr>
          <w:lang w:val="vi-VN"/>
        </w:rPr>
        <w:t xml:space="preserve">low </w:t>
      </w:r>
      <w:r w:rsidR="00B8042E" w:rsidRPr="006003A3">
        <w:rPr>
          <w:lang w:val="en-GB"/>
        </w:rPr>
        <w:t xml:space="preserve">adherence rates to </w:t>
      </w:r>
      <w:r w:rsidR="00850E8C">
        <w:rPr>
          <w:lang w:val="en-GB"/>
        </w:rPr>
        <w:t xml:space="preserve">current </w:t>
      </w:r>
      <w:r w:rsidR="00B8042E" w:rsidRPr="006003A3">
        <w:rPr>
          <w:lang w:val="en-GB"/>
        </w:rPr>
        <w:t xml:space="preserve">guidelines </w:t>
      </w:r>
      <w:r w:rsidR="00653326">
        <w:rPr>
          <w:lang w:val="en-GB"/>
        </w:rPr>
        <w:t>seen in</w:t>
      </w:r>
      <w:r w:rsidR="00850E8C">
        <w:rPr>
          <w:lang w:val="en-GB"/>
        </w:rPr>
        <w:t xml:space="preserve"> this study </w:t>
      </w:r>
      <w:r w:rsidR="00B8042E" w:rsidRPr="006003A3">
        <w:rPr>
          <w:lang w:val="en-GB"/>
        </w:rPr>
        <w:t xml:space="preserve">could be </w:t>
      </w:r>
      <w:r w:rsidR="00850E8C">
        <w:rPr>
          <w:lang w:val="en-GB"/>
        </w:rPr>
        <w:t xml:space="preserve">due to </w:t>
      </w:r>
      <w:r w:rsidR="00B8042E" w:rsidRPr="006003A3">
        <w:rPr>
          <w:lang w:val="en-GB"/>
        </w:rPr>
        <w:t>concerns with the availability of appropriate antibiotics in hospitals in Vietnam [</w:t>
      </w:r>
      <w:r w:rsidR="00BE0B62" w:rsidRPr="006003A3">
        <w:rPr>
          <w:lang w:val="en-GB"/>
        </w:rPr>
        <w:t>85</w:t>
      </w:r>
      <w:r w:rsidR="00B8042E" w:rsidRPr="006003A3">
        <w:rPr>
          <w:lang w:val="en-GB"/>
        </w:rPr>
        <w:t xml:space="preserve">] alongside </w:t>
      </w:r>
      <w:r w:rsidR="00B8042E" w:rsidRPr="006003A3">
        <w:rPr>
          <w:lang w:val="vi-VN"/>
        </w:rPr>
        <w:t>widespread use of pre-hospitalization antibiotics</w:t>
      </w:r>
      <w:r w:rsidR="00B8042E" w:rsidRPr="006003A3">
        <w:rPr>
          <w:lang w:val="en-GB"/>
        </w:rPr>
        <w:t xml:space="preserve"> (Supplementary Table 1) </w:t>
      </w:r>
      <w:r w:rsidR="00B8042E" w:rsidRPr="006003A3">
        <w:t>[</w:t>
      </w:r>
      <w:r w:rsidR="00BE0B62" w:rsidRPr="006003A3">
        <w:t>40</w:t>
      </w:r>
      <w:r w:rsidR="00B8042E" w:rsidRPr="006003A3">
        <w:t>-4</w:t>
      </w:r>
      <w:r w:rsidR="00BE0B62" w:rsidRPr="006003A3">
        <w:t>2</w:t>
      </w:r>
      <w:r w:rsidR="00B8042E" w:rsidRPr="006003A3">
        <w:t xml:space="preserve">]. </w:t>
      </w:r>
      <w:r w:rsidR="00AE52CF" w:rsidRPr="006003A3">
        <w:rPr>
          <w:lang w:val="en-GB"/>
        </w:rPr>
        <w:t xml:space="preserve">Encouragingly, </w:t>
      </w:r>
      <w:r w:rsidRPr="006003A3">
        <w:t>guideline compliance</w:t>
      </w:r>
      <w:r w:rsidR="00186DF1" w:rsidRPr="006003A3">
        <w:t>,</w:t>
      </w:r>
      <w:r w:rsidRPr="006003A3">
        <w:t xml:space="preserve"> </w:t>
      </w:r>
      <w:r w:rsidR="00186DF1" w:rsidRPr="006003A3">
        <w:t xml:space="preserve">coupled with </w:t>
      </w:r>
      <w:r w:rsidRPr="006003A3">
        <w:t xml:space="preserve">improved </w:t>
      </w:r>
      <w:r w:rsidR="00B8042E" w:rsidRPr="006003A3">
        <w:t xml:space="preserve">antibiotic selection in patients with CAP, including pediatric patients, have improved </w:t>
      </w:r>
      <w:r w:rsidRPr="006003A3">
        <w:t xml:space="preserve">following ASPs </w:t>
      </w:r>
      <w:r w:rsidR="000551CF" w:rsidRPr="006003A3">
        <w:t>[86</w:t>
      </w:r>
      <w:r w:rsidR="00B8042E" w:rsidRPr="006003A3">
        <w:t>-90</w:t>
      </w:r>
      <w:r w:rsidR="000551CF" w:rsidRPr="006003A3">
        <w:t>]</w:t>
      </w:r>
      <w:r w:rsidR="00AE52CF" w:rsidRPr="006003A3">
        <w:t xml:space="preserve">. </w:t>
      </w:r>
      <w:r w:rsidR="00AE52CF" w:rsidRPr="006003A3">
        <w:rPr>
          <w:lang w:val="en-GB"/>
        </w:rPr>
        <w:t xml:space="preserve">All of these studies providing direction to key stakeholder groups in Vietnam </w:t>
      </w:r>
      <w:r w:rsidR="00653326">
        <w:rPr>
          <w:lang w:val="en-GB"/>
        </w:rPr>
        <w:t xml:space="preserve">treating children admitted to hospital with VAP </w:t>
      </w:r>
      <w:r w:rsidR="00850E8C">
        <w:rPr>
          <w:lang w:val="en-GB"/>
        </w:rPr>
        <w:t xml:space="preserve">going forward </w:t>
      </w:r>
      <w:r w:rsidR="00AE52CF" w:rsidRPr="006003A3">
        <w:rPr>
          <w:lang w:val="en-GB"/>
        </w:rPr>
        <w:t xml:space="preserve">to improve </w:t>
      </w:r>
      <w:r w:rsidR="00850E8C">
        <w:rPr>
          <w:lang w:val="en-GB"/>
        </w:rPr>
        <w:t xml:space="preserve">future </w:t>
      </w:r>
      <w:r w:rsidR="00AE52CF" w:rsidRPr="006003A3">
        <w:rPr>
          <w:lang w:val="en-GB"/>
        </w:rPr>
        <w:t>guideline compliance.</w:t>
      </w:r>
    </w:p>
    <w:p w14:paraId="480B7BBE" w14:textId="06300FE0" w:rsidR="00FC5834" w:rsidRPr="006003A3" w:rsidRDefault="00FC5834" w:rsidP="00A15409">
      <w:pPr>
        <w:pStyle w:val="MDPI31text"/>
        <w:rPr>
          <w:rFonts w:cs="Arial"/>
          <w:szCs w:val="20"/>
        </w:rPr>
      </w:pPr>
      <w:r w:rsidRPr="006003A3">
        <w:t xml:space="preserve">High rates of IV antibiotics initially (91.4%) are </w:t>
      </w:r>
      <w:r w:rsidR="00562C32" w:rsidRPr="006003A3">
        <w:t xml:space="preserve">also </w:t>
      </w:r>
      <w:r w:rsidRPr="006003A3">
        <w:t xml:space="preserve">a concern, and against current guidance (Box 1). We have seen high rates of IV antibiotic administration in </w:t>
      </w:r>
      <w:r w:rsidR="00AF72C6" w:rsidRPr="006003A3">
        <w:t xml:space="preserve">other studies in </w:t>
      </w:r>
      <w:r w:rsidR="003F0513" w:rsidRPr="006003A3">
        <w:t xml:space="preserve">Vietnam as well as other </w:t>
      </w:r>
      <w:r w:rsidR="00562C32" w:rsidRPr="006003A3">
        <w:t>L</w:t>
      </w:r>
      <w:r w:rsidR="00AF72C6" w:rsidRPr="006003A3">
        <w:t>MICs among neonates and children</w:t>
      </w:r>
      <w:r w:rsidR="00353AE7" w:rsidRPr="006003A3">
        <w:t xml:space="preserve"> </w:t>
      </w:r>
      <w:r w:rsidR="00AF72C6" w:rsidRPr="006003A3">
        <w:t>includ</w:t>
      </w:r>
      <w:r w:rsidR="00353AE7" w:rsidRPr="006003A3">
        <w:t>ing</w:t>
      </w:r>
      <w:r w:rsidR="00AF72C6" w:rsidRPr="006003A3">
        <w:t xml:space="preserve"> those with CAP </w:t>
      </w:r>
      <w:r w:rsidR="00BB6B54" w:rsidRPr="006003A3">
        <w:t>[26,3</w:t>
      </w:r>
      <w:r w:rsidR="00186DF1" w:rsidRPr="006003A3">
        <w:t>9</w:t>
      </w:r>
      <w:r w:rsidR="00BB6B54" w:rsidRPr="006003A3">
        <w:t>,9</w:t>
      </w:r>
      <w:r w:rsidR="00186DF1" w:rsidRPr="006003A3">
        <w:t>1</w:t>
      </w:r>
      <w:r w:rsidR="00BB6B54" w:rsidRPr="006003A3">
        <w:t>-9</w:t>
      </w:r>
      <w:r w:rsidR="00186DF1" w:rsidRPr="006003A3">
        <w:t>3</w:t>
      </w:r>
      <w:r w:rsidR="00BB6B54" w:rsidRPr="006003A3">
        <w:t>]</w:t>
      </w:r>
      <w:r w:rsidR="00AF72C6" w:rsidRPr="006003A3">
        <w:t xml:space="preserve">. </w:t>
      </w:r>
      <w:r w:rsidR="00353AE7" w:rsidRPr="006003A3">
        <w:t xml:space="preserve">Excessive IV administration </w:t>
      </w:r>
      <w:r w:rsidR="00A15409" w:rsidRPr="006003A3">
        <w:t xml:space="preserve">needs to be avoided where possible </w:t>
      </w:r>
      <w:r w:rsidR="00353AE7" w:rsidRPr="006003A3">
        <w:t xml:space="preserve">as this </w:t>
      </w:r>
      <w:r w:rsidR="00A15409" w:rsidRPr="006003A3">
        <w:rPr>
          <w:rFonts w:cs="Arial"/>
          <w:szCs w:val="20"/>
        </w:rPr>
        <w:t xml:space="preserve">can result in </w:t>
      </w:r>
      <w:r w:rsidRPr="006003A3">
        <w:rPr>
          <w:rFonts w:cs="Arial"/>
          <w:szCs w:val="20"/>
        </w:rPr>
        <w:t xml:space="preserve">pain at injection site, </w:t>
      </w:r>
      <w:r w:rsidR="00A15409" w:rsidRPr="006003A3">
        <w:rPr>
          <w:rFonts w:cs="Arial"/>
          <w:szCs w:val="20"/>
        </w:rPr>
        <w:t xml:space="preserve">issues with </w:t>
      </w:r>
      <w:r w:rsidRPr="006003A3">
        <w:rPr>
          <w:rFonts w:cs="Arial"/>
          <w:szCs w:val="20"/>
        </w:rPr>
        <w:t>patient compliance, phlebitis</w:t>
      </w:r>
      <w:r w:rsidR="00A15409" w:rsidRPr="006003A3">
        <w:rPr>
          <w:rFonts w:cs="Arial"/>
          <w:szCs w:val="20"/>
        </w:rPr>
        <w:t xml:space="preserve"> along with </w:t>
      </w:r>
      <w:r w:rsidRPr="006003A3">
        <w:rPr>
          <w:rFonts w:cs="Arial"/>
          <w:szCs w:val="20"/>
        </w:rPr>
        <w:t xml:space="preserve">local and systemic infections, as well as </w:t>
      </w:r>
      <w:r w:rsidR="00A15409" w:rsidRPr="006003A3">
        <w:rPr>
          <w:rFonts w:cs="Arial"/>
          <w:szCs w:val="20"/>
        </w:rPr>
        <w:t>po</w:t>
      </w:r>
      <w:r w:rsidR="00353AE7" w:rsidRPr="006003A3">
        <w:rPr>
          <w:rFonts w:cs="Arial"/>
          <w:szCs w:val="20"/>
        </w:rPr>
        <w:t>tentially</w:t>
      </w:r>
      <w:r w:rsidR="00A15409" w:rsidRPr="006003A3">
        <w:rPr>
          <w:rFonts w:cs="Arial"/>
          <w:szCs w:val="20"/>
        </w:rPr>
        <w:t xml:space="preserve"> </w:t>
      </w:r>
      <w:r w:rsidRPr="006003A3">
        <w:rPr>
          <w:rFonts w:cs="Arial"/>
          <w:szCs w:val="20"/>
        </w:rPr>
        <w:t xml:space="preserve">increasing </w:t>
      </w:r>
      <w:r w:rsidR="00353AE7" w:rsidRPr="006003A3">
        <w:rPr>
          <w:rFonts w:cs="Arial"/>
          <w:szCs w:val="20"/>
        </w:rPr>
        <w:t>hospital</w:t>
      </w:r>
      <w:r w:rsidRPr="006003A3">
        <w:rPr>
          <w:rFonts w:cs="Arial"/>
          <w:szCs w:val="20"/>
        </w:rPr>
        <w:t xml:space="preserve"> length of</w:t>
      </w:r>
      <w:r w:rsidR="00A15409" w:rsidRPr="006003A3">
        <w:rPr>
          <w:rFonts w:cs="Arial"/>
          <w:szCs w:val="20"/>
        </w:rPr>
        <w:t xml:space="preserve"> </w:t>
      </w:r>
      <w:r w:rsidRPr="006003A3">
        <w:rPr>
          <w:rFonts w:cs="Arial"/>
          <w:szCs w:val="20"/>
        </w:rPr>
        <w:t xml:space="preserve">stay </w:t>
      </w:r>
      <w:r w:rsidR="00353AE7" w:rsidRPr="006003A3">
        <w:rPr>
          <w:rFonts w:cs="Arial"/>
          <w:szCs w:val="20"/>
        </w:rPr>
        <w:t>and</w:t>
      </w:r>
      <w:r w:rsidRPr="006003A3">
        <w:rPr>
          <w:rFonts w:cs="Arial"/>
          <w:szCs w:val="20"/>
        </w:rPr>
        <w:t xml:space="preserve"> costs</w:t>
      </w:r>
      <w:r w:rsidR="00A15409" w:rsidRPr="006003A3">
        <w:rPr>
          <w:rFonts w:cs="Arial"/>
          <w:szCs w:val="20"/>
        </w:rPr>
        <w:t xml:space="preserve"> </w:t>
      </w:r>
      <w:r w:rsidR="00BB6B54" w:rsidRPr="006003A3">
        <w:rPr>
          <w:rFonts w:cs="Arial"/>
          <w:szCs w:val="20"/>
        </w:rPr>
        <w:t>[9</w:t>
      </w:r>
      <w:r w:rsidR="00186DF1" w:rsidRPr="006003A3">
        <w:rPr>
          <w:rFonts w:cs="Arial"/>
          <w:szCs w:val="20"/>
        </w:rPr>
        <w:t>4</w:t>
      </w:r>
      <w:r w:rsidR="00353AE7" w:rsidRPr="006003A3">
        <w:rPr>
          <w:rFonts w:cs="Arial"/>
          <w:szCs w:val="20"/>
        </w:rPr>
        <w:t>, 9</w:t>
      </w:r>
      <w:r w:rsidR="00186DF1" w:rsidRPr="006003A3">
        <w:rPr>
          <w:rFonts w:cs="Arial"/>
          <w:szCs w:val="20"/>
        </w:rPr>
        <w:t>5</w:t>
      </w:r>
      <w:r w:rsidR="00BB6B54" w:rsidRPr="006003A3">
        <w:rPr>
          <w:rFonts w:cs="Arial"/>
          <w:szCs w:val="20"/>
        </w:rPr>
        <w:t>]</w:t>
      </w:r>
      <w:r w:rsidR="00A15409" w:rsidRPr="006003A3">
        <w:rPr>
          <w:rFonts w:cs="Arial"/>
          <w:szCs w:val="20"/>
        </w:rPr>
        <w:t xml:space="preserve">. </w:t>
      </w:r>
      <w:r w:rsidR="00353AE7" w:rsidRPr="006003A3">
        <w:rPr>
          <w:rFonts w:cs="Arial"/>
          <w:szCs w:val="20"/>
        </w:rPr>
        <w:t>E</w:t>
      </w:r>
      <w:r w:rsidR="00A15409" w:rsidRPr="006003A3">
        <w:rPr>
          <w:rFonts w:cs="Arial"/>
          <w:szCs w:val="20"/>
        </w:rPr>
        <w:t xml:space="preserve">arly switching to oral antibiotics where possible </w:t>
      </w:r>
      <w:r w:rsidR="00353AE7" w:rsidRPr="006003A3">
        <w:rPr>
          <w:rFonts w:cs="Arial"/>
          <w:szCs w:val="20"/>
        </w:rPr>
        <w:t xml:space="preserve">as part of ASPs can help address this </w:t>
      </w:r>
      <w:r w:rsidR="00BB6B54" w:rsidRPr="006003A3">
        <w:rPr>
          <w:rFonts w:cs="Arial"/>
          <w:szCs w:val="20"/>
        </w:rPr>
        <w:t>[9</w:t>
      </w:r>
      <w:r w:rsidR="00186DF1" w:rsidRPr="006003A3">
        <w:rPr>
          <w:rFonts w:cs="Arial"/>
          <w:szCs w:val="20"/>
        </w:rPr>
        <w:t>4</w:t>
      </w:r>
      <w:r w:rsidR="00BB6B54" w:rsidRPr="006003A3">
        <w:rPr>
          <w:rFonts w:cs="Arial"/>
          <w:szCs w:val="20"/>
        </w:rPr>
        <w:t>-9</w:t>
      </w:r>
      <w:r w:rsidR="00186DF1" w:rsidRPr="006003A3">
        <w:rPr>
          <w:rFonts w:cs="Arial"/>
          <w:szCs w:val="20"/>
        </w:rPr>
        <w:t>7</w:t>
      </w:r>
      <w:r w:rsidR="00BB6B54" w:rsidRPr="006003A3">
        <w:rPr>
          <w:rFonts w:cs="Arial"/>
          <w:szCs w:val="20"/>
        </w:rPr>
        <w:t>]</w:t>
      </w:r>
      <w:r w:rsidR="00A15409" w:rsidRPr="006003A3">
        <w:rPr>
          <w:rFonts w:cs="Arial"/>
          <w:szCs w:val="20"/>
        </w:rPr>
        <w:t>.</w:t>
      </w:r>
      <w:r w:rsidR="00BE654D" w:rsidRPr="006003A3">
        <w:rPr>
          <w:rFonts w:cs="Arial"/>
          <w:szCs w:val="20"/>
        </w:rPr>
        <w:t xml:space="preserve"> </w:t>
      </w:r>
      <w:proofErr w:type="gramStart"/>
      <w:r w:rsidR="00BE654D" w:rsidRPr="006003A3">
        <w:rPr>
          <w:rFonts w:cs="Arial"/>
          <w:szCs w:val="20"/>
        </w:rPr>
        <w:t>Overall</w:t>
      </w:r>
      <w:proofErr w:type="gramEnd"/>
      <w:r w:rsidR="00BE654D" w:rsidRPr="006003A3">
        <w:rPr>
          <w:rFonts w:cs="Arial"/>
          <w:szCs w:val="20"/>
        </w:rPr>
        <w:t xml:space="preserve"> though, the length of antibiotic prescribing was within </w:t>
      </w:r>
      <w:r w:rsidR="00443F5C" w:rsidRPr="006003A3">
        <w:rPr>
          <w:rFonts w:cs="Arial"/>
          <w:szCs w:val="20"/>
        </w:rPr>
        <w:t xml:space="preserve">current </w:t>
      </w:r>
      <w:r w:rsidR="00BE654D" w:rsidRPr="006003A3">
        <w:rPr>
          <w:rFonts w:cs="Arial"/>
          <w:szCs w:val="20"/>
        </w:rPr>
        <w:t>guidelines</w:t>
      </w:r>
      <w:r w:rsidR="00653326">
        <w:rPr>
          <w:rFonts w:cs="Arial"/>
          <w:szCs w:val="20"/>
        </w:rPr>
        <w:t xml:space="preserve"> with a median</w:t>
      </w:r>
      <w:r w:rsidR="00BE654D" w:rsidRPr="006003A3">
        <w:rPr>
          <w:rFonts w:cs="Arial"/>
          <w:szCs w:val="20"/>
        </w:rPr>
        <w:t xml:space="preserve"> </w:t>
      </w:r>
      <w:r w:rsidR="00653326">
        <w:rPr>
          <w:rFonts w:cs="Arial"/>
          <w:szCs w:val="20"/>
        </w:rPr>
        <w:t xml:space="preserve">of </w:t>
      </w:r>
      <w:r w:rsidR="00BE654D" w:rsidRPr="006003A3">
        <w:rPr>
          <w:rFonts w:cs="Arial"/>
          <w:szCs w:val="20"/>
        </w:rPr>
        <w:t>6 days with a minimum of 5 days recommended (Box 1)</w:t>
      </w:r>
      <w:r w:rsidR="00443F5C" w:rsidRPr="006003A3">
        <w:rPr>
          <w:rFonts w:cs="Arial"/>
          <w:szCs w:val="20"/>
        </w:rPr>
        <w:t>. H</w:t>
      </w:r>
      <w:r w:rsidR="00BE654D" w:rsidRPr="006003A3">
        <w:rPr>
          <w:rFonts w:cs="Arial"/>
          <w:szCs w:val="20"/>
        </w:rPr>
        <w:t>owever, some patients received longer courses (Table 1)</w:t>
      </w:r>
      <w:r w:rsidR="00443F5C" w:rsidRPr="006003A3">
        <w:rPr>
          <w:rFonts w:cs="Arial"/>
          <w:szCs w:val="20"/>
        </w:rPr>
        <w:t>, w</w:t>
      </w:r>
      <w:r w:rsidR="00353AE7" w:rsidRPr="006003A3">
        <w:rPr>
          <w:rFonts w:cs="Arial"/>
          <w:szCs w:val="20"/>
        </w:rPr>
        <w:t>hich contrasts with</w:t>
      </w:r>
      <w:r w:rsidR="00443F5C" w:rsidRPr="006003A3">
        <w:rPr>
          <w:rFonts w:cs="Arial"/>
          <w:szCs w:val="20"/>
        </w:rPr>
        <w:t xml:space="preserve"> the WHO </w:t>
      </w:r>
      <w:proofErr w:type="spellStart"/>
      <w:r w:rsidR="00443F5C" w:rsidRPr="006003A3">
        <w:rPr>
          <w:rFonts w:cs="Arial"/>
          <w:szCs w:val="20"/>
        </w:rPr>
        <w:t>AWaRe</w:t>
      </w:r>
      <w:proofErr w:type="spellEnd"/>
      <w:r w:rsidR="00443F5C" w:rsidRPr="006003A3">
        <w:rPr>
          <w:rFonts w:cs="Arial"/>
          <w:szCs w:val="20"/>
        </w:rPr>
        <w:t xml:space="preserve"> book suggesting </w:t>
      </w:r>
      <w:r w:rsidR="00353AE7" w:rsidRPr="006003A3">
        <w:rPr>
          <w:rFonts w:cs="Arial"/>
          <w:szCs w:val="20"/>
        </w:rPr>
        <w:t xml:space="preserve">that </w:t>
      </w:r>
      <w:r w:rsidR="00443F5C" w:rsidRPr="006003A3">
        <w:rPr>
          <w:rFonts w:cs="Arial"/>
          <w:szCs w:val="20"/>
        </w:rPr>
        <w:t xml:space="preserve">3 to 5 days of antibiotic treatment among children hospitalized with CAP may be sufficient </w:t>
      </w:r>
      <w:r w:rsidR="00E610E8" w:rsidRPr="006003A3">
        <w:rPr>
          <w:rFonts w:cs="Arial"/>
          <w:szCs w:val="20"/>
        </w:rPr>
        <w:t>[8,20,21].</w:t>
      </w:r>
    </w:p>
    <w:p w14:paraId="11540AF4" w14:textId="3C5F4955" w:rsidR="00315476" w:rsidRPr="006003A3" w:rsidRDefault="002445D7" w:rsidP="00A15409">
      <w:pPr>
        <w:pStyle w:val="MDPI31text"/>
        <w:rPr>
          <w:rFonts w:cs="Arial"/>
          <w:szCs w:val="20"/>
        </w:rPr>
      </w:pPr>
      <w:r w:rsidRPr="006003A3">
        <w:rPr>
          <w:rFonts w:cs="Arial"/>
          <w:szCs w:val="20"/>
        </w:rPr>
        <w:t>Several</w:t>
      </w:r>
      <w:r w:rsidR="009912F8" w:rsidRPr="006003A3">
        <w:rPr>
          <w:rFonts w:cs="Arial"/>
          <w:szCs w:val="20"/>
        </w:rPr>
        <w:t xml:space="preserve"> barriers were identified </w:t>
      </w:r>
      <w:r w:rsidR="00315476" w:rsidRPr="006003A3">
        <w:rPr>
          <w:rFonts w:cs="Arial"/>
          <w:szCs w:val="20"/>
        </w:rPr>
        <w:t xml:space="preserve">that need </w:t>
      </w:r>
      <w:r w:rsidR="009912F8" w:rsidRPr="006003A3">
        <w:rPr>
          <w:rFonts w:cs="Arial"/>
          <w:szCs w:val="20"/>
        </w:rPr>
        <w:t xml:space="preserve">to </w:t>
      </w:r>
      <w:r w:rsidR="00315476" w:rsidRPr="006003A3">
        <w:rPr>
          <w:rFonts w:cs="Arial"/>
          <w:szCs w:val="20"/>
        </w:rPr>
        <w:t xml:space="preserve">be </w:t>
      </w:r>
      <w:r w:rsidR="00253582" w:rsidRPr="006003A3">
        <w:rPr>
          <w:rFonts w:cs="Arial"/>
          <w:szCs w:val="20"/>
        </w:rPr>
        <w:t>address</w:t>
      </w:r>
      <w:r w:rsidR="00315476" w:rsidRPr="006003A3">
        <w:rPr>
          <w:rFonts w:cs="Arial"/>
          <w:szCs w:val="20"/>
        </w:rPr>
        <w:t>ed</w:t>
      </w:r>
      <w:r w:rsidR="00253582" w:rsidRPr="006003A3">
        <w:rPr>
          <w:rFonts w:cs="Arial"/>
          <w:szCs w:val="20"/>
        </w:rPr>
        <w:t xml:space="preserve"> to </w:t>
      </w:r>
      <w:r w:rsidR="009912F8" w:rsidRPr="006003A3">
        <w:rPr>
          <w:rFonts w:cs="Arial"/>
          <w:szCs w:val="20"/>
        </w:rPr>
        <w:t xml:space="preserve">improve </w:t>
      </w:r>
      <w:r w:rsidR="0056140F">
        <w:rPr>
          <w:rFonts w:cs="Arial"/>
          <w:szCs w:val="20"/>
        </w:rPr>
        <w:t xml:space="preserve">future </w:t>
      </w:r>
      <w:r w:rsidR="009912F8" w:rsidRPr="006003A3">
        <w:rPr>
          <w:rFonts w:cs="Arial"/>
          <w:szCs w:val="20"/>
        </w:rPr>
        <w:t>adherence to current CAP guidelines</w:t>
      </w:r>
      <w:r w:rsidR="00E610E8" w:rsidRPr="006003A3">
        <w:rPr>
          <w:rFonts w:cs="Arial"/>
          <w:szCs w:val="20"/>
        </w:rPr>
        <w:t xml:space="preserve"> among hospitals in Vietnam</w:t>
      </w:r>
      <w:r w:rsidR="009912F8" w:rsidRPr="006003A3">
        <w:rPr>
          <w:rFonts w:cs="Arial"/>
          <w:szCs w:val="20"/>
        </w:rPr>
        <w:t xml:space="preserve">. </w:t>
      </w:r>
      <w:r w:rsidR="00315476" w:rsidRPr="006003A3">
        <w:rPr>
          <w:rFonts w:cs="Arial"/>
          <w:szCs w:val="20"/>
        </w:rPr>
        <w:t>These</w:t>
      </w:r>
      <w:r w:rsidR="009912F8" w:rsidRPr="006003A3">
        <w:rPr>
          <w:rFonts w:cs="Arial"/>
          <w:szCs w:val="20"/>
        </w:rPr>
        <w:t xml:space="preserve"> include the need to update current national guidelines, which were last updated in 2015. Since then, there has been a continual rise in AMR in Vietnam, which will impact on potential </w:t>
      </w:r>
      <w:r w:rsidR="00E610E8" w:rsidRPr="006003A3">
        <w:rPr>
          <w:rFonts w:cs="Arial"/>
          <w:szCs w:val="20"/>
        </w:rPr>
        <w:t xml:space="preserve">antibiotic </w:t>
      </w:r>
      <w:r w:rsidR="009912F8" w:rsidRPr="006003A3">
        <w:rPr>
          <w:rFonts w:cs="Arial"/>
          <w:szCs w:val="20"/>
        </w:rPr>
        <w:t>choices</w:t>
      </w:r>
      <w:r w:rsidR="008D52B8" w:rsidRPr="006003A3">
        <w:rPr>
          <w:rFonts w:cs="Arial"/>
          <w:szCs w:val="20"/>
        </w:rPr>
        <w:t xml:space="preserve"> </w:t>
      </w:r>
      <w:r w:rsidR="00E610E8" w:rsidRPr="006003A3">
        <w:rPr>
          <w:rFonts w:cs="Arial"/>
          <w:szCs w:val="20"/>
        </w:rPr>
        <w:t>[4</w:t>
      </w:r>
      <w:r w:rsidR="00186DF1" w:rsidRPr="006003A3">
        <w:rPr>
          <w:rFonts w:cs="Arial"/>
          <w:szCs w:val="20"/>
        </w:rPr>
        <w:t>7</w:t>
      </w:r>
      <w:r w:rsidR="00E610E8" w:rsidRPr="006003A3">
        <w:rPr>
          <w:rFonts w:cs="Arial"/>
          <w:szCs w:val="20"/>
        </w:rPr>
        <w:t>,4</w:t>
      </w:r>
      <w:r w:rsidR="00186DF1" w:rsidRPr="006003A3">
        <w:rPr>
          <w:rFonts w:cs="Arial"/>
          <w:szCs w:val="20"/>
        </w:rPr>
        <w:t>8</w:t>
      </w:r>
      <w:r w:rsidR="00E610E8" w:rsidRPr="006003A3">
        <w:rPr>
          <w:rFonts w:cs="Arial"/>
          <w:szCs w:val="20"/>
        </w:rPr>
        <w:t>,</w:t>
      </w:r>
      <w:r w:rsidR="00186DF1" w:rsidRPr="006003A3">
        <w:rPr>
          <w:rFonts w:cs="Arial"/>
          <w:szCs w:val="20"/>
        </w:rPr>
        <w:t>50</w:t>
      </w:r>
      <w:r w:rsidR="00E610E8" w:rsidRPr="006003A3">
        <w:rPr>
          <w:rFonts w:cs="Arial"/>
          <w:szCs w:val="20"/>
        </w:rPr>
        <w:t>,5</w:t>
      </w:r>
      <w:r w:rsidR="00186DF1" w:rsidRPr="006003A3">
        <w:rPr>
          <w:rFonts w:cs="Arial"/>
          <w:szCs w:val="20"/>
        </w:rPr>
        <w:t>1</w:t>
      </w:r>
      <w:r w:rsidR="00E610E8" w:rsidRPr="006003A3">
        <w:rPr>
          <w:rFonts w:cs="Arial"/>
          <w:szCs w:val="20"/>
        </w:rPr>
        <w:t>,5</w:t>
      </w:r>
      <w:r w:rsidR="00186DF1" w:rsidRPr="006003A3">
        <w:rPr>
          <w:rFonts w:cs="Arial"/>
          <w:szCs w:val="20"/>
        </w:rPr>
        <w:t>4</w:t>
      </w:r>
      <w:r w:rsidR="00E610E8" w:rsidRPr="006003A3">
        <w:rPr>
          <w:rFonts w:cs="Arial"/>
          <w:szCs w:val="20"/>
        </w:rPr>
        <w:t>]</w:t>
      </w:r>
      <w:r w:rsidR="009912F8" w:rsidRPr="006003A3">
        <w:rPr>
          <w:rFonts w:cs="Arial"/>
          <w:szCs w:val="20"/>
        </w:rPr>
        <w:t xml:space="preserve">. </w:t>
      </w:r>
      <w:r w:rsidR="007B244B" w:rsidRPr="006003A3">
        <w:rPr>
          <w:rFonts w:cs="Arial"/>
          <w:szCs w:val="20"/>
        </w:rPr>
        <w:t xml:space="preserve">The WHO </w:t>
      </w:r>
      <w:proofErr w:type="spellStart"/>
      <w:r w:rsidR="007B244B" w:rsidRPr="006003A3">
        <w:rPr>
          <w:rFonts w:cs="Arial"/>
          <w:szCs w:val="20"/>
        </w:rPr>
        <w:t>AWaRe</w:t>
      </w:r>
      <w:proofErr w:type="spellEnd"/>
      <w:r w:rsidR="007B244B" w:rsidRPr="006003A3">
        <w:rPr>
          <w:rFonts w:cs="Arial"/>
          <w:szCs w:val="20"/>
        </w:rPr>
        <w:t xml:space="preserve"> treatment guidance book </w:t>
      </w:r>
      <w:r w:rsidR="00736450" w:rsidRPr="006003A3">
        <w:rPr>
          <w:rFonts w:cs="Arial"/>
          <w:szCs w:val="20"/>
        </w:rPr>
        <w:t xml:space="preserve">is a </w:t>
      </w:r>
      <w:r w:rsidR="00315476" w:rsidRPr="006003A3">
        <w:rPr>
          <w:rFonts w:cs="Arial"/>
          <w:szCs w:val="20"/>
        </w:rPr>
        <w:t xml:space="preserve">good </w:t>
      </w:r>
      <w:r w:rsidR="00736450" w:rsidRPr="006003A3">
        <w:rPr>
          <w:rFonts w:cs="Arial"/>
          <w:szCs w:val="20"/>
        </w:rPr>
        <w:t xml:space="preserve">starting point, amended based on local AMR patterns </w:t>
      </w:r>
      <w:r w:rsidR="00E610E8" w:rsidRPr="006003A3">
        <w:rPr>
          <w:rFonts w:cs="Arial"/>
          <w:szCs w:val="20"/>
        </w:rPr>
        <w:t>[8,20,21]</w:t>
      </w:r>
      <w:r w:rsidR="00736450" w:rsidRPr="006003A3">
        <w:rPr>
          <w:rFonts w:cs="Arial"/>
          <w:szCs w:val="20"/>
        </w:rPr>
        <w:t>.</w:t>
      </w:r>
      <w:r w:rsidR="007B244B" w:rsidRPr="006003A3">
        <w:rPr>
          <w:rFonts w:cs="Arial"/>
          <w:szCs w:val="20"/>
        </w:rPr>
        <w:t xml:space="preserve"> </w:t>
      </w:r>
      <w:r w:rsidR="00E610E8" w:rsidRPr="006003A3">
        <w:rPr>
          <w:rFonts w:cs="Arial"/>
          <w:szCs w:val="20"/>
        </w:rPr>
        <w:t>U</w:t>
      </w:r>
      <w:r w:rsidR="00AF0F86" w:rsidRPr="006003A3">
        <w:rPr>
          <w:rFonts w:cs="Arial"/>
          <w:szCs w:val="20"/>
        </w:rPr>
        <w:t xml:space="preserve">pdated guidelines must include </w:t>
      </w:r>
      <w:r w:rsidR="00E610E8" w:rsidRPr="006003A3">
        <w:rPr>
          <w:rFonts w:cs="Arial"/>
          <w:szCs w:val="20"/>
        </w:rPr>
        <w:t xml:space="preserve">treatment </w:t>
      </w:r>
      <w:r w:rsidR="00AF0F86" w:rsidRPr="006003A3">
        <w:rPr>
          <w:rFonts w:cs="Arial"/>
          <w:szCs w:val="20"/>
        </w:rPr>
        <w:t xml:space="preserve">recommendations based on prior antibiotic use in children with CAP given </w:t>
      </w:r>
      <w:r w:rsidRPr="006003A3">
        <w:rPr>
          <w:rFonts w:cs="Arial"/>
          <w:szCs w:val="20"/>
        </w:rPr>
        <w:t xml:space="preserve">the </w:t>
      </w:r>
      <w:r w:rsidR="005451CC" w:rsidRPr="006003A3">
        <w:rPr>
          <w:rFonts w:cs="Arial"/>
          <w:szCs w:val="20"/>
        </w:rPr>
        <w:t xml:space="preserve">high </w:t>
      </w:r>
      <w:r w:rsidR="00AF0F86" w:rsidRPr="006003A3">
        <w:rPr>
          <w:rFonts w:cs="Arial"/>
          <w:szCs w:val="20"/>
        </w:rPr>
        <w:t xml:space="preserve">prevalence </w:t>
      </w:r>
      <w:r w:rsidR="005451CC" w:rsidRPr="006003A3">
        <w:rPr>
          <w:rFonts w:cs="Arial"/>
          <w:szCs w:val="20"/>
        </w:rPr>
        <w:t xml:space="preserve">rates </w:t>
      </w:r>
      <w:r w:rsidR="0056140F">
        <w:rPr>
          <w:rFonts w:cs="Arial"/>
          <w:szCs w:val="20"/>
        </w:rPr>
        <w:t xml:space="preserve">currently seen </w:t>
      </w:r>
      <w:r w:rsidR="00AF0F86" w:rsidRPr="006003A3">
        <w:rPr>
          <w:rFonts w:cs="Arial"/>
          <w:szCs w:val="20"/>
        </w:rPr>
        <w:t>in Vietnam (Supplementary Table 1).</w:t>
      </w:r>
      <w:r w:rsidR="005863EE" w:rsidRPr="006003A3">
        <w:rPr>
          <w:rFonts w:cs="Arial"/>
          <w:szCs w:val="20"/>
        </w:rPr>
        <w:t xml:space="preserve"> The guidelines</w:t>
      </w:r>
      <w:r w:rsidR="00C10194" w:rsidRPr="006003A3">
        <w:rPr>
          <w:rFonts w:cs="Arial"/>
          <w:szCs w:val="20"/>
        </w:rPr>
        <w:t xml:space="preserve"> should </w:t>
      </w:r>
      <w:r w:rsidR="005863EE" w:rsidRPr="006003A3">
        <w:rPr>
          <w:rFonts w:cs="Arial"/>
          <w:szCs w:val="20"/>
        </w:rPr>
        <w:t>also be readily accessible</w:t>
      </w:r>
      <w:r w:rsidR="00253582" w:rsidRPr="006003A3">
        <w:rPr>
          <w:rFonts w:cs="Arial"/>
          <w:szCs w:val="20"/>
        </w:rPr>
        <w:t>, and easy to understand,</w:t>
      </w:r>
      <w:r w:rsidR="005863EE" w:rsidRPr="006003A3">
        <w:rPr>
          <w:rFonts w:cs="Arial"/>
          <w:szCs w:val="20"/>
        </w:rPr>
        <w:t xml:space="preserve"> to enhance their subsequent utilization</w:t>
      </w:r>
      <w:r w:rsidR="00253582" w:rsidRPr="006003A3">
        <w:rPr>
          <w:rFonts w:cs="Arial"/>
          <w:szCs w:val="20"/>
        </w:rPr>
        <w:t xml:space="preserve"> </w:t>
      </w:r>
      <w:r w:rsidR="00E610E8" w:rsidRPr="006003A3">
        <w:rPr>
          <w:rFonts w:cs="Arial"/>
          <w:szCs w:val="20"/>
        </w:rPr>
        <w:t>[13]</w:t>
      </w:r>
      <w:r w:rsidR="005863EE" w:rsidRPr="006003A3">
        <w:rPr>
          <w:rFonts w:cs="Arial"/>
          <w:szCs w:val="20"/>
        </w:rPr>
        <w:t xml:space="preserve">. </w:t>
      </w:r>
    </w:p>
    <w:p w14:paraId="091D3C82" w14:textId="459BBBAB" w:rsidR="00C05CFF" w:rsidRPr="006003A3" w:rsidRDefault="00C10194" w:rsidP="00A15409">
      <w:pPr>
        <w:pStyle w:val="MDPI31text"/>
        <w:rPr>
          <w:lang w:val="en-GB"/>
        </w:rPr>
      </w:pPr>
      <w:r w:rsidRPr="006003A3">
        <w:rPr>
          <w:rFonts w:cs="Arial"/>
          <w:szCs w:val="20"/>
        </w:rPr>
        <w:t xml:space="preserve">The classification system </w:t>
      </w:r>
      <w:r w:rsidR="00253582" w:rsidRPr="006003A3">
        <w:rPr>
          <w:rFonts w:cs="Arial"/>
          <w:szCs w:val="20"/>
        </w:rPr>
        <w:t xml:space="preserve">for patients admitted with CAP </w:t>
      </w:r>
      <w:r w:rsidR="00315476" w:rsidRPr="006003A3">
        <w:rPr>
          <w:rFonts w:cs="Arial"/>
          <w:szCs w:val="20"/>
        </w:rPr>
        <w:t xml:space="preserve">in Vietnam </w:t>
      </w:r>
      <w:r w:rsidRPr="006003A3">
        <w:rPr>
          <w:rFonts w:cs="Arial"/>
          <w:szCs w:val="20"/>
        </w:rPr>
        <w:t xml:space="preserve">also needs to be </w:t>
      </w:r>
      <w:r w:rsidR="00253582" w:rsidRPr="006003A3">
        <w:rPr>
          <w:rFonts w:cs="Arial"/>
          <w:szCs w:val="20"/>
        </w:rPr>
        <w:t>reviewed</w:t>
      </w:r>
      <w:r w:rsidR="005451CC" w:rsidRPr="006003A3">
        <w:rPr>
          <w:rFonts w:cs="Arial"/>
          <w:szCs w:val="20"/>
        </w:rPr>
        <w:t xml:space="preserve">, including clinical symptoms on admission, given concerns among some of the </w:t>
      </w:r>
      <w:r w:rsidR="00253582" w:rsidRPr="006003A3">
        <w:rPr>
          <w:rFonts w:cs="Arial"/>
          <w:szCs w:val="20"/>
        </w:rPr>
        <w:t>i</w:t>
      </w:r>
      <w:r w:rsidR="005451CC" w:rsidRPr="006003A3">
        <w:rPr>
          <w:rFonts w:cs="Arial"/>
          <w:szCs w:val="20"/>
        </w:rPr>
        <w:t xml:space="preserve">nterviewees (Table 5). </w:t>
      </w:r>
      <w:r w:rsidR="00162EBD" w:rsidRPr="006003A3">
        <w:rPr>
          <w:rFonts w:cs="Arial"/>
          <w:szCs w:val="20"/>
        </w:rPr>
        <w:t>Subsequently, potential quality indicators</w:t>
      </w:r>
      <w:r w:rsidR="00184B7E" w:rsidRPr="006003A3">
        <w:rPr>
          <w:rFonts w:cs="Arial"/>
          <w:szCs w:val="20"/>
        </w:rPr>
        <w:t xml:space="preserve"> </w:t>
      </w:r>
      <w:r w:rsidR="00253582" w:rsidRPr="006003A3">
        <w:rPr>
          <w:rFonts w:cs="Arial"/>
          <w:szCs w:val="20"/>
        </w:rPr>
        <w:t xml:space="preserve">(QIs) </w:t>
      </w:r>
      <w:r w:rsidR="00315476" w:rsidRPr="006003A3">
        <w:rPr>
          <w:rFonts w:cs="Arial"/>
          <w:szCs w:val="20"/>
        </w:rPr>
        <w:t>can</w:t>
      </w:r>
      <w:r w:rsidR="00184B7E" w:rsidRPr="006003A3">
        <w:rPr>
          <w:rFonts w:cs="Arial"/>
          <w:szCs w:val="20"/>
        </w:rPr>
        <w:t xml:space="preserve"> </w:t>
      </w:r>
      <w:r w:rsidR="00315476" w:rsidRPr="006003A3">
        <w:rPr>
          <w:rFonts w:cs="Arial"/>
          <w:szCs w:val="20"/>
        </w:rPr>
        <w:t xml:space="preserve">be </w:t>
      </w:r>
      <w:r w:rsidR="00184B7E" w:rsidRPr="006003A3">
        <w:rPr>
          <w:rFonts w:cs="Arial"/>
          <w:szCs w:val="20"/>
        </w:rPr>
        <w:t xml:space="preserve">agreed </w:t>
      </w:r>
      <w:r w:rsidR="00315476" w:rsidRPr="006003A3">
        <w:rPr>
          <w:rFonts w:cs="Arial"/>
          <w:szCs w:val="20"/>
        </w:rPr>
        <w:t xml:space="preserve">among all key stakeholder groups as part of ASPs </w:t>
      </w:r>
      <w:r w:rsidR="00184B7E" w:rsidRPr="006003A3">
        <w:rPr>
          <w:rFonts w:cs="Arial"/>
          <w:szCs w:val="20"/>
        </w:rPr>
        <w:t>to improve the management of neonates and children hospitalized with CAP</w:t>
      </w:r>
      <w:r w:rsidR="00245DCE" w:rsidRPr="006003A3">
        <w:rPr>
          <w:rFonts w:cs="Arial"/>
          <w:szCs w:val="20"/>
        </w:rPr>
        <w:t xml:space="preserve"> </w:t>
      </w:r>
      <w:r w:rsidR="00E610E8" w:rsidRPr="006003A3">
        <w:rPr>
          <w:rFonts w:cs="Arial"/>
          <w:szCs w:val="20"/>
        </w:rPr>
        <w:t>in the country [</w:t>
      </w:r>
      <w:r w:rsidR="00186DF1" w:rsidRPr="006003A3">
        <w:rPr>
          <w:rFonts w:cs="Arial"/>
          <w:szCs w:val="20"/>
        </w:rPr>
        <w:t>60</w:t>
      </w:r>
      <w:r w:rsidR="00E610E8" w:rsidRPr="006003A3">
        <w:rPr>
          <w:rFonts w:cs="Arial"/>
          <w:szCs w:val="20"/>
        </w:rPr>
        <w:t>,</w:t>
      </w:r>
      <w:r w:rsidR="000D04B1" w:rsidRPr="006003A3">
        <w:rPr>
          <w:rFonts w:cs="Arial"/>
          <w:szCs w:val="20"/>
        </w:rPr>
        <w:t>69</w:t>
      </w:r>
      <w:r w:rsidR="00E610E8" w:rsidRPr="006003A3">
        <w:rPr>
          <w:rFonts w:cs="Arial"/>
          <w:szCs w:val="20"/>
        </w:rPr>
        <w:t>]</w:t>
      </w:r>
      <w:r w:rsidR="00184B7E" w:rsidRPr="006003A3">
        <w:rPr>
          <w:rFonts w:cs="Arial"/>
          <w:szCs w:val="20"/>
        </w:rPr>
        <w:t xml:space="preserve">. </w:t>
      </w:r>
      <w:r w:rsidR="00C05CFF" w:rsidRPr="006003A3">
        <w:rPr>
          <w:rFonts w:cs="Arial"/>
          <w:szCs w:val="20"/>
        </w:rPr>
        <w:t xml:space="preserve">This can be accompanied by appropriate educational initiatives as part of ASPs </w:t>
      </w:r>
      <w:r w:rsidR="00184B7E" w:rsidRPr="006003A3">
        <w:rPr>
          <w:rFonts w:cs="Arial"/>
          <w:szCs w:val="20"/>
        </w:rPr>
        <w:t xml:space="preserve">given successes </w:t>
      </w:r>
      <w:r w:rsidR="00253582" w:rsidRPr="006003A3">
        <w:rPr>
          <w:rFonts w:cs="Arial"/>
          <w:szCs w:val="20"/>
        </w:rPr>
        <w:t xml:space="preserve">with these initiatives </w:t>
      </w:r>
      <w:r w:rsidR="00184B7E" w:rsidRPr="006003A3">
        <w:rPr>
          <w:rFonts w:cs="Arial"/>
          <w:szCs w:val="20"/>
        </w:rPr>
        <w:t>among LMICs</w:t>
      </w:r>
      <w:r w:rsidR="00694222" w:rsidRPr="006003A3">
        <w:rPr>
          <w:rFonts w:cs="Arial"/>
          <w:szCs w:val="20"/>
        </w:rPr>
        <w:t>,</w:t>
      </w:r>
      <w:r w:rsidR="00184B7E" w:rsidRPr="006003A3">
        <w:rPr>
          <w:rFonts w:cs="Arial"/>
          <w:szCs w:val="20"/>
        </w:rPr>
        <w:t xml:space="preserve"> including children with CAP</w:t>
      </w:r>
      <w:r w:rsidR="00245DCE" w:rsidRPr="006003A3">
        <w:rPr>
          <w:rFonts w:cs="Arial"/>
          <w:szCs w:val="20"/>
        </w:rPr>
        <w:t xml:space="preserve"> </w:t>
      </w:r>
      <w:r w:rsidR="00EF51A2" w:rsidRPr="006003A3">
        <w:rPr>
          <w:szCs w:val="20"/>
          <w:lang w:val="en"/>
        </w:rPr>
        <w:t>[5</w:t>
      </w:r>
      <w:r w:rsidR="000D04B1" w:rsidRPr="006003A3">
        <w:rPr>
          <w:szCs w:val="20"/>
          <w:lang w:val="en"/>
        </w:rPr>
        <w:t>8</w:t>
      </w:r>
      <w:r w:rsidR="00EF51A2" w:rsidRPr="006003A3">
        <w:rPr>
          <w:szCs w:val="20"/>
          <w:lang w:val="en"/>
        </w:rPr>
        <w:t>,6</w:t>
      </w:r>
      <w:r w:rsidR="000D04B1" w:rsidRPr="006003A3">
        <w:rPr>
          <w:szCs w:val="20"/>
          <w:lang w:val="en"/>
        </w:rPr>
        <w:t>2</w:t>
      </w:r>
      <w:r w:rsidR="00EF51A2" w:rsidRPr="006003A3">
        <w:rPr>
          <w:szCs w:val="20"/>
          <w:lang w:val="en"/>
        </w:rPr>
        <w:t>-6</w:t>
      </w:r>
      <w:r w:rsidR="000D04B1" w:rsidRPr="006003A3">
        <w:rPr>
          <w:szCs w:val="20"/>
          <w:lang w:val="en"/>
        </w:rPr>
        <w:t>4</w:t>
      </w:r>
      <w:r w:rsidR="00EF51A2" w:rsidRPr="006003A3">
        <w:rPr>
          <w:szCs w:val="20"/>
          <w:lang w:val="en"/>
        </w:rPr>
        <w:t>,6</w:t>
      </w:r>
      <w:r w:rsidR="000D04B1" w:rsidRPr="006003A3">
        <w:rPr>
          <w:szCs w:val="20"/>
          <w:lang w:val="en"/>
        </w:rPr>
        <w:t>7, 68,</w:t>
      </w:r>
      <w:r w:rsidR="00EF51A2" w:rsidRPr="006003A3">
        <w:rPr>
          <w:szCs w:val="20"/>
          <w:lang w:val="en"/>
        </w:rPr>
        <w:t>70]</w:t>
      </w:r>
      <w:r w:rsidR="00245DCE" w:rsidRPr="006003A3">
        <w:rPr>
          <w:szCs w:val="20"/>
          <w:lang w:val="en"/>
        </w:rPr>
        <w:t>.</w:t>
      </w:r>
      <w:r w:rsidR="00184B7E" w:rsidRPr="006003A3">
        <w:rPr>
          <w:rFonts w:cs="Arial"/>
          <w:szCs w:val="20"/>
        </w:rPr>
        <w:t xml:space="preserve"> </w:t>
      </w:r>
      <w:r w:rsidR="006363F3">
        <w:rPr>
          <w:rFonts w:cs="Arial"/>
          <w:szCs w:val="20"/>
        </w:rPr>
        <w:t>Physician e</w:t>
      </w:r>
      <w:r w:rsidR="00DB358C" w:rsidRPr="006003A3">
        <w:rPr>
          <w:rFonts w:cs="Arial"/>
          <w:szCs w:val="20"/>
        </w:rPr>
        <w:t>ducation</w:t>
      </w:r>
      <w:r w:rsidR="008067B9" w:rsidRPr="006003A3">
        <w:rPr>
          <w:rFonts w:cs="Arial"/>
          <w:szCs w:val="20"/>
        </w:rPr>
        <w:t xml:space="preserve"> can start </w:t>
      </w:r>
      <w:r w:rsidR="00DB358C" w:rsidRPr="006003A3">
        <w:rPr>
          <w:rFonts w:cs="Arial"/>
          <w:szCs w:val="20"/>
        </w:rPr>
        <w:t>among</w:t>
      </w:r>
      <w:r w:rsidR="008067B9" w:rsidRPr="006003A3">
        <w:rPr>
          <w:rFonts w:cs="Arial"/>
          <w:szCs w:val="20"/>
        </w:rPr>
        <w:t xml:space="preserve"> Universities </w:t>
      </w:r>
      <w:r w:rsidR="00DB358C" w:rsidRPr="006003A3">
        <w:rPr>
          <w:rFonts w:cs="Arial"/>
          <w:szCs w:val="20"/>
        </w:rPr>
        <w:t xml:space="preserve">in Vietnam </w:t>
      </w:r>
      <w:r w:rsidR="008067B9" w:rsidRPr="006003A3">
        <w:rPr>
          <w:rFonts w:cs="Arial"/>
          <w:szCs w:val="20"/>
        </w:rPr>
        <w:t>and continue</w:t>
      </w:r>
      <w:r w:rsidR="00694222" w:rsidRPr="006003A3">
        <w:rPr>
          <w:rFonts w:cs="Arial"/>
          <w:szCs w:val="20"/>
        </w:rPr>
        <w:t xml:space="preserve"> </w:t>
      </w:r>
      <w:r w:rsidR="008067B9" w:rsidRPr="006003A3">
        <w:rPr>
          <w:rFonts w:cs="Arial"/>
          <w:szCs w:val="20"/>
        </w:rPr>
        <w:t xml:space="preserve">post-qualification as part of continuous professional development activities </w:t>
      </w:r>
      <w:r w:rsidR="00EF51A2" w:rsidRPr="006003A3">
        <w:rPr>
          <w:rFonts w:cs="Arial"/>
          <w:szCs w:val="20"/>
        </w:rPr>
        <w:t>[5</w:t>
      </w:r>
      <w:r w:rsidR="000D04B1" w:rsidRPr="006003A3">
        <w:rPr>
          <w:rFonts w:cs="Arial"/>
          <w:szCs w:val="20"/>
        </w:rPr>
        <w:t>8</w:t>
      </w:r>
      <w:r w:rsidR="00EF51A2" w:rsidRPr="006003A3">
        <w:rPr>
          <w:rFonts w:cs="Arial"/>
          <w:szCs w:val="20"/>
        </w:rPr>
        <w:t>,9</w:t>
      </w:r>
      <w:r w:rsidR="000D04B1" w:rsidRPr="006003A3">
        <w:rPr>
          <w:rFonts w:cs="Arial"/>
          <w:szCs w:val="20"/>
        </w:rPr>
        <w:t>8</w:t>
      </w:r>
      <w:r w:rsidR="00EF51A2" w:rsidRPr="006003A3">
        <w:rPr>
          <w:rFonts w:cs="Arial"/>
          <w:szCs w:val="20"/>
        </w:rPr>
        <w:t>]</w:t>
      </w:r>
      <w:r w:rsidR="006363F3">
        <w:rPr>
          <w:rFonts w:cs="Arial"/>
          <w:szCs w:val="20"/>
        </w:rPr>
        <w:t>. This</w:t>
      </w:r>
      <w:r w:rsidR="00C05CFF" w:rsidRPr="006003A3">
        <w:rPr>
          <w:rFonts w:cs="Arial"/>
          <w:szCs w:val="20"/>
        </w:rPr>
        <w:t xml:space="preserve"> especially with</w:t>
      </w:r>
      <w:r w:rsidR="008067B9" w:rsidRPr="006003A3">
        <w:rPr>
          <w:rFonts w:cs="Arial"/>
          <w:szCs w:val="20"/>
        </w:rPr>
        <w:t xml:space="preserve"> </w:t>
      </w:r>
      <w:r w:rsidR="00C05CFF" w:rsidRPr="006003A3">
        <w:rPr>
          <w:rFonts w:cs="Arial"/>
          <w:szCs w:val="20"/>
        </w:rPr>
        <w:t>s</w:t>
      </w:r>
      <w:r w:rsidR="00202F28" w:rsidRPr="006003A3">
        <w:rPr>
          <w:rFonts w:cs="Arial"/>
          <w:szCs w:val="20"/>
        </w:rPr>
        <w:t>tudies</w:t>
      </w:r>
      <w:r w:rsidR="00202F28" w:rsidRPr="006003A3">
        <w:rPr>
          <w:lang w:val="en-GB"/>
        </w:rPr>
        <w:t xml:space="preserve"> in Vietnam show</w:t>
      </w:r>
      <w:r w:rsidR="00C05CFF" w:rsidRPr="006003A3">
        <w:rPr>
          <w:lang w:val="en-GB"/>
        </w:rPr>
        <w:t>ing</w:t>
      </w:r>
      <w:r w:rsidR="00202F28" w:rsidRPr="006003A3">
        <w:rPr>
          <w:lang w:val="en-GB"/>
        </w:rPr>
        <w:t xml:space="preserve"> greater confidence in prescribing antibiotics among physicians in tertiary hospitals in Vietnam with positive attitudes towards AMS </w:t>
      </w:r>
      <w:r w:rsidR="00C05CFF" w:rsidRPr="006003A3">
        <w:rPr>
          <w:lang w:val="en-GB"/>
        </w:rPr>
        <w:t xml:space="preserve">and ASPs </w:t>
      </w:r>
      <w:r w:rsidR="00EF51A2" w:rsidRPr="006003A3">
        <w:rPr>
          <w:lang w:val="en-GB"/>
        </w:rPr>
        <w:t>[73]</w:t>
      </w:r>
      <w:r w:rsidR="00202F28" w:rsidRPr="006003A3">
        <w:rPr>
          <w:lang w:val="en-GB"/>
        </w:rPr>
        <w:t>.</w:t>
      </w:r>
      <w:r w:rsidR="00DB358C" w:rsidRPr="006003A3">
        <w:rPr>
          <w:lang w:val="en-GB"/>
        </w:rPr>
        <w:t xml:space="preserve"> </w:t>
      </w:r>
    </w:p>
    <w:p w14:paraId="3145C228" w14:textId="097EFF23" w:rsidR="00E1180F" w:rsidRPr="006003A3" w:rsidRDefault="00DB358C" w:rsidP="00A15409">
      <w:pPr>
        <w:pStyle w:val="MDPI31text"/>
        <w:rPr>
          <w:rFonts w:cs="Arial"/>
          <w:szCs w:val="20"/>
        </w:rPr>
      </w:pPr>
      <w:r w:rsidRPr="006003A3">
        <w:rPr>
          <w:lang w:val="en-GB"/>
        </w:rPr>
        <w:t xml:space="preserve">Finally, issues of shortages of </w:t>
      </w:r>
      <w:r w:rsidR="00C05CFF" w:rsidRPr="006003A3">
        <w:rPr>
          <w:lang w:val="en-GB"/>
        </w:rPr>
        <w:t xml:space="preserve">appropriate </w:t>
      </w:r>
      <w:r w:rsidRPr="006003A3">
        <w:rPr>
          <w:lang w:val="en-GB"/>
        </w:rPr>
        <w:t>antibiotics need to be addressed going forward</w:t>
      </w:r>
      <w:r w:rsidR="00253582" w:rsidRPr="006003A3">
        <w:rPr>
          <w:lang w:val="en-GB"/>
        </w:rPr>
        <w:t xml:space="preserve"> where this occurs </w:t>
      </w:r>
      <w:r w:rsidR="00EF51A2" w:rsidRPr="006003A3">
        <w:rPr>
          <w:lang w:val="en-GB"/>
        </w:rPr>
        <w:t>[</w:t>
      </w:r>
      <w:r w:rsidR="000D04B1" w:rsidRPr="006003A3">
        <w:rPr>
          <w:lang w:val="en-GB"/>
        </w:rPr>
        <w:t>99</w:t>
      </w:r>
      <w:r w:rsidR="00EF51A2" w:rsidRPr="006003A3">
        <w:rPr>
          <w:lang w:val="en-GB"/>
        </w:rPr>
        <w:t>,10</w:t>
      </w:r>
      <w:r w:rsidR="000D04B1" w:rsidRPr="006003A3">
        <w:rPr>
          <w:lang w:val="en-GB"/>
        </w:rPr>
        <w:t>0</w:t>
      </w:r>
      <w:r w:rsidR="00EF51A2" w:rsidRPr="006003A3">
        <w:rPr>
          <w:lang w:val="en-GB"/>
        </w:rPr>
        <w:t>]</w:t>
      </w:r>
      <w:r w:rsidRPr="006003A3">
        <w:rPr>
          <w:lang w:val="en-GB"/>
        </w:rPr>
        <w:t>. This can start with key stakeholders in each hospital in Vietnam treating neonates and children with CAP agreeing</w:t>
      </w:r>
      <w:r w:rsidR="00694222" w:rsidRPr="006003A3">
        <w:rPr>
          <w:lang w:val="en-GB"/>
        </w:rPr>
        <w:t xml:space="preserve"> on</w:t>
      </w:r>
      <w:r w:rsidRPr="006003A3">
        <w:rPr>
          <w:lang w:val="en-GB"/>
        </w:rPr>
        <w:t xml:space="preserve"> alternative antibiotics when there are shortages </w:t>
      </w:r>
      <w:r w:rsidR="004B6C25" w:rsidRPr="006003A3">
        <w:rPr>
          <w:lang w:val="en-GB"/>
        </w:rPr>
        <w:t>[10</w:t>
      </w:r>
      <w:r w:rsidR="000D04B1" w:rsidRPr="006003A3">
        <w:rPr>
          <w:lang w:val="en-GB"/>
        </w:rPr>
        <w:t>1</w:t>
      </w:r>
      <w:r w:rsidR="004B6C25" w:rsidRPr="006003A3">
        <w:rPr>
          <w:lang w:val="en-GB"/>
        </w:rPr>
        <w:t>]</w:t>
      </w:r>
      <w:r w:rsidRPr="006003A3">
        <w:rPr>
          <w:lang w:val="en-GB"/>
        </w:rPr>
        <w:t xml:space="preserve">. Subsequently, working with Ministry of Health personnel to address </w:t>
      </w:r>
      <w:r w:rsidR="00F40D23" w:rsidRPr="006003A3">
        <w:rPr>
          <w:lang w:val="en-GB"/>
        </w:rPr>
        <w:t xml:space="preserve">key issues and challenges </w:t>
      </w:r>
      <w:r w:rsidR="004B6C25" w:rsidRPr="006003A3">
        <w:rPr>
          <w:lang w:val="en-GB"/>
        </w:rPr>
        <w:t xml:space="preserve">surrounding shortages </w:t>
      </w:r>
      <w:r w:rsidR="002D1BF5">
        <w:rPr>
          <w:lang w:val="en-GB"/>
        </w:rPr>
        <w:t xml:space="preserve">of key antibiotics </w:t>
      </w:r>
      <w:r w:rsidR="00F40D23" w:rsidRPr="006003A3">
        <w:rPr>
          <w:lang w:val="en-GB"/>
        </w:rPr>
        <w:t xml:space="preserve">including potentially updating forecasting systems </w:t>
      </w:r>
      <w:r w:rsidR="004B6C25" w:rsidRPr="006003A3">
        <w:rPr>
          <w:lang w:val="en-GB"/>
        </w:rPr>
        <w:t>in hospitals [10</w:t>
      </w:r>
      <w:r w:rsidR="000D04B1" w:rsidRPr="006003A3">
        <w:rPr>
          <w:lang w:val="en-GB"/>
        </w:rPr>
        <w:t>1</w:t>
      </w:r>
      <w:r w:rsidR="004B6C25" w:rsidRPr="006003A3">
        <w:rPr>
          <w:lang w:val="en-GB"/>
        </w:rPr>
        <w:t>,10</w:t>
      </w:r>
      <w:r w:rsidR="000D04B1" w:rsidRPr="006003A3">
        <w:rPr>
          <w:lang w:val="en-GB"/>
        </w:rPr>
        <w:t>2</w:t>
      </w:r>
      <w:r w:rsidR="004B6C25" w:rsidRPr="006003A3">
        <w:rPr>
          <w:lang w:val="en-GB"/>
        </w:rPr>
        <w:t>]</w:t>
      </w:r>
      <w:r w:rsidR="00F40D23" w:rsidRPr="006003A3">
        <w:rPr>
          <w:lang w:val="en-GB"/>
        </w:rPr>
        <w:t xml:space="preserve">. </w:t>
      </w:r>
      <w:r w:rsidRPr="006003A3">
        <w:rPr>
          <w:lang w:val="en-GB"/>
        </w:rPr>
        <w:t xml:space="preserve"> </w:t>
      </w:r>
      <w:r w:rsidR="00202F28" w:rsidRPr="006003A3">
        <w:rPr>
          <w:lang w:val="en-GB"/>
        </w:rPr>
        <w:t xml:space="preserve"> </w:t>
      </w:r>
      <w:r w:rsidR="00162EBD" w:rsidRPr="006003A3">
        <w:rPr>
          <w:rFonts w:cs="Arial"/>
          <w:szCs w:val="20"/>
        </w:rPr>
        <w:t xml:space="preserve"> </w:t>
      </w:r>
    </w:p>
    <w:p w14:paraId="7BE56904" w14:textId="027B6A9D" w:rsidR="00D811D2" w:rsidRPr="00E1180F" w:rsidRDefault="00342295" w:rsidP="00E1180F">
      <w:pPr>
        <w:pStyle w:val="MDPI31text"/>
        <w:rPr>
          <w:color w:val="auto"/>
          <w:lang w:val="en-GB"/>
        </w:rPr>
      </w:pPr>
      <w:r w:rsidRPr="006003A3">
        <w:rPr>
          <w:rFonts w:cs="Arial"/>
          <w:color w:val="auto"/>
          <w:szCs w:val="20"/>
        </w:rPr>
        <w:t xml:space="preserve">We are aware of </w:t>
      </w:r>
      <w:r w:rsidR="00694222" w:rsidRPr="006003A3">
        <w:rPr>
          <w:rFonts w:cs="Arial"/>
          <w:color w:val="auto"/>
          <w:szCs w:val="20"/>
        </w:rPr>
        <w:t>some</w:t>
      </w:r>
      <w:r w:rsidRPr="006003A3">
        <w:rPr>
          <w:rFonts w:cs="Arial"/>
          <w:color w:val="auto"/>
          <w:szCs w:val="20"/>
        </w:rPr>
        <w:t xml:space="preserve"> limitations with this study</w:t>
      </w:r>
      <w:r w:rsidRPr="006003A3">
        <w:rPr>
          <w:color w:val="auto"/>
        </w:rPr>
        <w:t xml:space="preserve">. Firstly, </w:t>
      </w:r>
      <w:r w:rsidR="003B2CD7" w:rsidRPr="006003A3">
        <w:rPr>
          <w:color w:val="auto"/>
          <w:lang w:val="en"/>
        </w:rPr>
        <w:t xml:space="preserve">the data was collected </w:t>
      </w:r>
      <w:r w:rsidRPr="006003A3">
        <w:rPr>
          <w:color w:val="auto"/>
          <w:lang w:val="en"/>
        </w:rPr>
        <w:t xml:space="preserve">retrospectively </w:t>
      </w:r>
      <w:r w:rsidR="003B2CD7" w:rsidRPr="006003A3">
        <w:rPr>
          <w:color w:val="auto"/>
          <w:lang w:val="en"/>
        </w:rPr>
        <w:t xml:space="preserve">from handwritten medical records without </w:t>
      </w:r>
      <w:r w:rsidR="00C05CFF" w:rsidRPr="006003A3">
        <w:rPr>
          <w:color w:val="auto"/>
          <w:lang w:val="en"/>
        </w:rPr>
        <w:t xml:space="preserve">the availability of </w:t>
      </w:r>
      <w:r w:rsidR="003B2CD7" w:rsidRPr="006003A3">
        <w:rPr>
          <w:color w:val="auto"/>
          <w:lang w:val="en"/>
        </w:rPr>
        <w:t xml:space="preserve">electronic medical records. </w:t>
      </w:r>
      <w:r w:rsidRPr="006003A3">
        <w:rPr>
          <w:color w:val="auto"/>
          <w:lang w:val="en"/>
        </w:rPr>
        <w:t>Consequently, i</w:t>
      </w:r>
      <w:r w:rsidR="003B2CD7" w:rsidRPr="006003A3">
        <w:rPr>
          <w:color w:val="auto"/>
          <w:lang w:val="en"/>
        </w:rPr>
        <w:t xml:space="preserve">t is possible that the clinical characteristics </w:t>
      </w:r>
      <w:r w:rsidRPr="006003A3">
        <w:rPr>
          <w:color w:val="auto"/>
          <w:lang w:val="en"/>
        </w:rPr>
        <w:t xml:space="preserve">of neonates and children </w:t>
      </w:r>
      <w:r w:rsidR="003B2CD7" w:rsidRPr="006003A3">
        <w:rPr>
          <w:color w:val="auto"/>
          <w:lang w:val="en"/>
        </w:rPr>
        <w:t>described in the medical records may not fully reflect the</w:t>
      </w:r>
      <w:r w:rsidRPr="006003A3">
        <w:rPr>
          <w:color w:val="auto"/>
          <w:lang w:val="en"/>
        </w:rPr>
        <w:t>ir</w:t>
      </w:r>
      <w:r w:rsidR="003B2CD7" w:rsidRPr="006003A3">
        <w:rPr>
          <w:color w:val="auto"/>
          <w:lang w:val="en"/>
        </w:rPr>
        <w:t xml:space="preserve"> actual clinical condition</w:t>
      </w:r>
      <w:r w:rsidR="00D811D2" w:rsidRPr="006003A3">
        <w:rPr>
          <w:color w:val="auto"/>
          <w:lang w:val="en"/>
        </w:rPr>
        <w:t>.</w:t>
      </w:r>
      <w:r w:rsidRPr="006003A3">
        <w:rPr>
          <w:color w:val="auto"/>
          <w:lang w:val="en"/>
        </w:rPr>
        <w:t xml:space="preserve"> However, this is common for retrospective analysis of patients</w:t>
      </w:r>
      <w:r w:rsidR="00AF6A39" w:rsidRPr="006003A3">
        <w:rPr>
          <w:color w:val="auto"/>
          <w:lang w:val="en"/>
        </w:rPr>
        <w:t>’</w:t>
      </w:r>
      <w:r w:rsidRPr="006003A3">
        <w:rPr>
          <w:color w:val="auto"/>
          <w:lang w:val="en"/>
        </w:rPr>
        <w:t xml:space="preserve"> notes. </w:t>
      </w:r>
      <w:r w:rsidR="00027F3A">
        <w:rPr>
          <w:color w:val="auto"/>
          <w:lang w:val="en"/>
        </w:rPr>
        <w:t xml:space="preserve">Secondly, </w:t>
      </w:r>
      <w:r w:rsidR="00027F3A">
        <w:rPr>
          <w:color w:val="auto"/>
          <w:lang w:val="en-GB"/>
        </w:rPr>
        <w:t>t</w:t>
      </w:r>
      <w:r w:rsidR="00D811D2" w:rsidRPr="006003A3">
        <w:rPr>
          <w:color w:val="auto"/>
          <w:lang w:val="en-GB"/>
        </w:rPr>
        <w:t xml:space="preserve">he classification of </w:t>
      </w:r>
      <w:r w:rsidRPr="006003A3">
        <w:rPr>
          <w:color w:val="auto"/>
          <w:lang w:val="en-GB"/>
        </w:rPr>
        <w:t xml:space="preserve">the </w:t>
      </w:r>
      <w:r w:rsidR="00D811D2" w:rsidRPr="006003A3">
        <w:rPr>
          <w:color w:val="auto"/>
          <w:lang w:val="en-GB"/>
        </w:rPr>
        <w:t xml:space="preserve">severity of </w:t>
      </w:r>
      <w:r w:rsidR="004B6C25" w:rsidRPr="006003A3">
        <w:rPr>
          <w:color w:val="auto"/>
          <w:lang w:val="en-GB"/>
        </w:rPr>
        <w:t>CAP</w:t>
      </w:r>
      <w:r w:rsidR="00AF6A39" w:rsidRPr="006003A3">
        <w:rPr>
          <w:color w:val="auto"/>
          <w:lang w:val="en-GB"/>
        </w:rPr>
        <w:t xml:space="preserve"> </w:t>
      </w:r>
      <w:r w:rsidR="00D811D2" w:rsidRPr="006003A3">
        <w:rPr>
          <w:color w:val="auto"/>
          <w:lang w:val="en-GB"/>
        </w:rPr>
        <w:t>in children was performed by the researcher</w:t>
      </w:r>
      <w:r w:rsidRPr="006003A3">
        <w:rPr>
          <w:color w:val="auto"/>
          <w:lang w:val="en-GB"/>
        </w:rPr>
        <w:t xml:space="preserve">, and may not </w:t>
      </w:r>
      <w:r w:rsidR="00AF6A39" w:rsidRPr="006003A3">
        <w:rPr>
          <w:color w:val="auto"/>
          <w:lang w:val="en-GB"/>
        </w:rPr>
        <w:t>reflect</w:t>
      </w:r>
      <w:r w:rsidRPr="006003A3">
        <w:rPr>
          <w:color w:val="auto"/>
          <w:lang w:val="en-GB"/>
        </w:rPr>
        <w:t xml:space="preserve"> the </w:t>
      </w:r>
      <w:r w:rsidR="00E1180F" w:rsidRPr="006003A3">
        <w:rPr>
          <w:color w:val="auto"/>
          <w:lang w:val="en-GB"/>
        </w:rPr>
        <w:t xml:space="preserve">actual situation. </w:t>
      </w:r>
      <w:r w:rsidR="006363F3">
        <w:rPr>
          <w:color w:val="auto"/>
          <w:lang w:val="en-GB"/>
        </w:rPr>
        <w:t xml:space="preserve">Thirdly, we only collected data from </w:t>
      </w:r>
      <w:r w:rsidR="006363F3">
        <w:rPr>
          <w:color w:val="202124"/>
          <w:lang w:val="en"/>
        </w:rPr>
        <w:t xml:space="preserve">E </w:t>
      </w:r>
      <w:r w:rsidR="006363F3" w:rsidRPr="00837D85">
        <w:rPr>
          <w:color w:val="202124"/>
          <w:lang w:val="en"/>
        </w:rPr>
        <w:t>Hospital</w:t>
      </w:r>
      <w:r w:rsidR="006363F3">
        <w:rPr>
          <w:color w:val="202124"/>
          <w:lang w:val="en"/>
        </w:rPr>
        <w:t>. However, this study built on previous CAP studies among this population in Vietnam (Supplementary Table 1). In addition, E Hospital is a G</w:t>
      </w:r>
      <w:r w:rsidR="006363F3" w:rsidRPr="00837D85">
        <w:rPr>
          <w:color w:val="202124"/>
          <w:lang w:val="en"/>
        </w:rPr>
        <w:t xml:space="preserve">rade I central general hospital </w:t>
      </w:r>
      <w:r w:rsidR="006363F3">
        <w:rPr>
          <w:color w:val="202124"/>
          <w:lang w:val="en"/>
        </w:rPr>
        <w:t xml:space="preserve">with </w:t>
      </w:r>
      <w:r w:rsidR="006363F3" w:rsidRPr="00837D85">
        <w:rPr>
          <w:color w:val="202124"/>
          <w:lang w:val="en"/>
        </w:rPr>
        <w:t>over 1,000 beds,</w:t>
      </w:r>
      <w:r w:rsidR="006363F3">
        <w:rPr>
          <w:color w:val="202124"/>
          <w:lang w:val="en"/>
        </w:rPr>
        <w:t xml:space="preserve"> Consequently, if there are problems with the management of neonates and children in this hospital, these are likely to be replicated across Vietnam. </w:t>
      </w:r>
      <w:r w:rsidR="00E1180F" w:rsidRPr="006003A3">
        <w:rPr>
          <w:color w:val="auto"/>
          <w:lang w:val="en-GB"/>
        </w:rPr>
        <w:t xml:space="preserve">Finally, we are aware that we only interviewed a limited number of physicians. However, </w:t>
      </w:r>
      <w:r w:rsidR="00F75D54" w:rsidRPr="006003A3">
        <w:rPr>
          <w:color w:val="auto"/>
          <w:lang w:val="en-GB"/>
        </w:rPr>
        <w:t>this was the total number of paediatricians treating neonates and children in th</w:t>
      </w:r>
      <w:r w:rsidR="00AF6A39" w:rsidRPr="006003A3">
        <w:rPr>
          <w:color w:val="auto"/>
          <w:lang w:val="en-GB"/>
        </w:rPr>
        <w:t>e</w:t>
      </w:r>
      <w:r w:rsidR="00F75D54" w:rsidRPr="006003A3">
        <w:rPr>
          <w:color w:val="auto"/>
          <w:lang w:val="en-GB"/>
        </w:rPr>
        <w:t xml:space="preserve"> hospital</w:t>
      </w:r>
      <w:r w:rsidR="00AF6A39" w:rsidRPr="006003A3">
        <w:rPr>
          <w:color w:val="auto"/>
          <w:lang w:val="en-GB"/>
        </w:rPr>
        <w:t xml:space="preserve"> at the time</w:t>
      </w:r>
      <w:r w:rsidR="00F75D54" w:rsidRPr="006003A3">
        <w:rPr>
          <w:color w:val="auto"/>
          <w:lang w:val="en-GB"/>
        </w:rPr>
        <w:t>. D</w:t>
      </w:r>
      <w:r w:rsidR="00E1180F" w:rsidRPr="006003A3">
        <w:rPr>
          <w:color w:val="auto"/>
          <w:lang w:val="en-GB"/>
        </w:rPr>
        <w:t>espite these limitations, we believe our findings are robust offering guidance to all key stakeholder groups going forward to improve the care of this vulnerable population.</w:t>
      </w:r>
    </w:p>
    <w:p w14:paraId="31B63FD9" w14:textId="77777777" w:rsidR="003C4625" w:rsidRPr="00DB358C" w:rsidRDefault="003C4625" w:rsidP="00517440">
      <w:pPr>
        <w:pStyle w:val="MDPI21heading1"/>
        <w:rPr>
          <w:color w:val="auto"/>
        </w:rPr>
      </w:pPr>
      <w:r w:rsidRPr="00DB358C">
        <w:rPr>
          <w:color w:val="auto"/>
          <w:lang w:eastAsia="zh-CN"/>
        </w:rPr>
        <w:t xml:space="preserve">4. </w:t>
      </w:r>
      <w:r w:rsidRPr="00DB358C">
        <w:rPr>
          <w:color w:val="auto"/>
        </w:rPr>
        <w:t>Materials and Methods</w:t>
      </w:r>
    </w:p>
    <w:p w14:paraId="2EC3E5F5" w14:textId="77777777" w:rsidR="00A54F31" w:rsidRDefault="00A54F31" w:rsidP="00A54F31">
      <w:pPr>
        <w:pStyle w:val="MDPI31text"/>
        <w:rPr>
          <w:i/>
          <w:iCs/>
          <w:color w:val="000000" w:themeColor="text1"/>
          <w:lang w:val="en-GB"/>
        </w:rPr>
      </w:pPr>
      <w:r>
        <w:t xml:space="preserve">4.1 </w:t>
      </w:r>
      <w:r w:rsidR="003D68CC" w:rsidRPr="00DD12AC">
        <w:rPr>
          <w:i/>
          <w:iCs/>
          <w:color w:val="000000" w:themeColor="text1"/>
          <w:lang w:val="vi-VN"/>
        </w:rPr>
        <w:t xml:space="preserve">Research design and subjects </w:t>
      </w:r>
    </w:p>
    <w:p w14:paraId="6FE64FAE" w14:textId="14C2E00B" w:rsidR="00A54F31" w:rsidRDefault="00DB56CC" w:rsidP="00A54F31">
      <w:pPr>
        <w:pStyle w:val="MDPI31text"/>
        <w:rPr>
          <w:color w:val="000000" w:themeColor="text1"/>
        </w:rPr>
      </w:pPr>
      <w:r>
        <w:rPr>
          <w:color w:val="000000" w:themeColor="text1"/>
          <w:lang w:val="en-GB"/>
        </w:rPr>
        <w:t>We adopted a mixed-methods approach including a</w:t>
      </w:r>
      <w:r w:rsidR="003D68CC" w:rsidRPr="00DD12AC">
        <w:rPr>
          <w:color w:val="000000" w:themeColor="text1"/>
          <w:lang w:val="vi-VN"/>
        </w:rPr>
        <w:t xml:space="preserve"> re</w:t>
      </w:r>
      <w:r w:rsidR="003D68CC">
        <w:rPr>
          <w:color w:val="000000" w:themeColor="text1"/>
        </w:rPr>
        <w:t>p</w:t>
      </w:r>
      <w:r w:rsidR="003D68CC" w:rsidRPr="00DD12AC">
        <w:rPr>
          <w:color w:val="000000" w:themeColor="text1"/>
        </w:rPr>
        <w:t xml:space="preserve">rospective data review of </w:t>
      </w:r>
      <w:r w:rsidR="00A54F31">
        <w:rPr>
          <w:color w:val="000000" w:themeColor="text1"/>
        </w:rPr>
        <w:t xml:space="preserve">the management of </w:t>
      </w:r>
      <w:r w:rsidR="003D68CC" w:rsidRPr="00DD12AC">
        <w:rPr>
          <w:color w:val="000000" w:themeColor="text1"/>
        </w:rPr>
        <w:t xml:space="preserve">children </w:t>
      </w:r>
      <w:r>
        <w:rPr>
          <w:color w:val="000000" w:themeColor="text1"/>
        </w:rPr>
        <w:t xml:space="preserve">under 5 years of age </w:t>
      </w:r>
      <w:r w:rsidR="00A54F31">
        <w:rPr>
          <w:color w:val="000000" w:themeColor="text1"/>
        </w:rPr>
        <w:t>h</w:t>
      </w:r>
      <w:r w:rsidR="003D68CC" w:rsidRPr="00DD12AC">
        <w:rPr>
          <w:color w:val="000000" w:themeColor="text1"/>
        </w:rPr>
        <w:t>ospitalized for CAP at E</w:t>
      </w:r>
      <w:r w:rsidR="003D68CC">
        <w:rPr>
          <w:color w:val="000000" w:themeColor="text1"/>
        </w:rPr>
        <w:t xml:space="preserve"> Hospital</w:t>
      </w:r>
      <w:r w:rsidRPr="00837D85">
        <w:rPr>
          <w:color w:val="202124"/>
          <w:lang w:val="en"/>
        </w:rPr>
        <w:t xml:space="preserve"> </w:t>
      </w:r>
      <w:r>
        <w:rPr>
          <w:color w:val="202124"/>
          <w:lang w:val="en"/>
        </w:rPr>
        <w:t xml:space="preserve">post </w:t>
      </w:r>
      <w:r w:rsidR="00EC75A8">
        <w:rPr>
          <w:color w:val="202124"/>
          <w:lang w:val="en"/>
        </w:rPr>
        <w:t xml:space="preserve">the </w:t>
      </w:r>
      <w:r w:rsidRPr="00837D85">
        <w:rPr>
          <w:color w:val="202124"/>
          <w:lang w:val="en"/>
        </w:rPr>
        <w:t>COVID</w:t>
      </w:r>
      <w:r>
        <w:rPr>
          <w:color w:val="202124"/>
          <w:lang w:val="en"/>
        </w:rPr>
        <w:t>-19</w:t>
      </w:r>
      <w:r w:rsidRPr="00837D85">
        <w:rPr>
          <w:color w:val="202124"/>
          <w:lang w:val="en"/>
        </w:rPr>
        <w:t xml:space="preserve"> pandemic.</w:t>
      </w:r>
      <w:r>
        <w:rPr>
          <w:color w:val="000000" w:themeColor="text1"/>
        </w:rPr>
        <w:t xml:space="preserve"> This was followed by in-depth interviews with key </w:t>
      </w:r>
      <w:r w:rsidR="00EC75A8">
        <w:rPr>
          <w:color w:val="000000" w:themeColor="text1"/>
        </w:rPr>
        <w:t>physicians</w:t>
      </w:r>
      <w:r>
        <w:rPr>
          <w:color w:val="000000" w:themeColor="text1"/>
        </w:rPr>
        <w:t xml:space="preserve"> managing these patients in E Hospital regarding possible barriers to the use of national guidelines to manage children hospitalized with CAP</w:t>
      </w:r>
      <w:r w:rsidR="00E35EA0">
        <w:rPr>
          <w:color w:val="000000" w:themeColor="text1"/>
        </w:rPr>
        <w:t xml:space="preserve"> in their facility</w:t>
      </w:r>
      <w:r>
        <w:rPr>
          <w:color w:val="000000" w:themeColor="text1"/>
        </w:rPr>
        <w:t>.</w:t>
      </w:r>
    </w:p>
    <w:p w14:paraId="43E4F857" w14:textId="1319D1C0" w:rsidR="00A54F31" w:rsidRDefault="00A54F31" w:rsidP="00A54F31">
      <w:pPr>
        <w:pStyle w:val="MDPI31text"/>
        <w:rPr>
          <w:color w:val="202124"/>
          <w:lang w:val="en"/>
        </w:rPr>
      </w:pPr>
      <w:r>
        <w:rPr>
          <w:color w:val="202124"/>
          <w:lang w:val="en"/>
        </w:rPr>
        <w:t xml:space="preserve">E </w:t>
      </w:r>
      <w:r w:rsidRPr="00837D85">
        <w:rPr>
          <w:color w:val="202124"/>
          <w:lang w:val="en"/>
        </w:rPr>
        <w:t xml:space="preserve">Hospital </w:t>
      </w:r>
      <w:r>
        <w:rPr>
          <w:color w:val="202124"/>
          <w:lang w:val="en"/>
        </w:rPr>
        <w:t xml:space="preserve">was chosen for this </w:t>
      </w:r>
      <w:r w:rsidR="00EC75A8">
        <w:rPr>
          <w:color w:val="202124"/>
          <w:lang w:val="en"/>
        </w:rPr>
        <w:t xml:space="preserve">updated </w:t>
      </w:r>
      <w:r>
        <w:rPr>
          <w:color w:val="202124"/>
          <w:lang w:val="en"/>
        </w:rPr>
        <w:t>study as it is a G</w:t>
      </w:r>
      <w:r w:rsidRPr="00837D85">
        <w:rPr>
          <w:color w:val="202124"/>
          <w:lang w:val="en"/>
        </w:rPr>
        <w:t xml:space="preserve">rade I central general hospital </w:t>
      </w:r>
      <w:r>
        <w:rPr>
          <w:color w:val="202124"/>
          <w:lang w:val="en"/>
        </w:rPr>
        <w:t xml:space="preserve">in Hanoi, Vietnam, </w:t>
      </w:r>
      <w:r w:rsidRPr="00837D85">
        <w:rPr>
          <w:color w:val="202124"/>
          <w:lang w:val="en"/>
        </w:rPr>
        <w:t xml:space="preserve">under the Ministry of Health, established under the Prime Minister in 1967. Currently, the hospital has over 1,000 beds, including a </w:t>
      </w:r>
      <w:r>
        <w:rPr>
          <w:color w:val="202124"/>
          <w:lang w:val="en"/>
        </w:rPr>
        <w:t>c</w:t>
      </w:r>
      <w:r w:rsidRPr="00837D85">
        <w:rPr>
          <w:color w:val="202124"/>
          <w:lang w:val="en"/>
        </w:rPr>
        <w:t xml:space="preserve">ardiovascular </w:t>
      </w:r>
      <w:r>
        <w:rPr>
          <w:color w:val="202124"/>
          <w:lang w:val="en"/>
        </w:rPr>
        <w:t>c</w:t>
      </w:r>
      <w:r w:rsidRPr="00837D85">
        <w:rPr>
          <w:color w:val="202124"/>
          <w:lang w:val="en"/>
        </w:rPr>
        <w:t>enter</w:t>
      </w:r>
      <w:r>
        <w:rPr>
          <w:color w:val="202124"/>
          <w:lang w:val="en"/>
        </w:rPr>
        <w:t>,</w:t>
      </w:r>
      <w:r w:rsidRPr="00837D85">
        <w:rPr>
          <w:color w:val="202124"/>
          <w:lang w:val="en"/>
        </w:rPr>
        <w:t xml:space="preserve"> and 62 functional departments</w:t>
      </w:r>
      <w:r>
        <w:rPr>
          <w:color w:val="202124"/>
          <w:lang w:val="en"/>
        </w:rPr>
        <w:t>, and</w:t>
      </w:r>
      <w:r w:rsidRPr="00837D85">
        <w:rPr>
          <w:color w:val="202124"/>
          <w:lang w:val="en"/>
        </w:rPr>
        <w:t xml:space="preserve"> receive</w:t>
      </w:r>
      <w:r>
        <w:rPr>
          <w:color w:val="202124"/>
          <w:lang w:val="en"/>
        </w:rPr>
        <w:t>s</w:t>
      </w:r>
      <w:r w:rsidRPr="00837D85">
        <w:rPr>
          <w:color w:val="202124"/>
          <w:lang w:val="en"/>
        </w:rPr>
        <w:t xml:space="preserve"> health insurance patients from </w:t>
      </w:r>
      <w:r w:rsidR="00DB358C">
        <w:rPr>
          <w:color w:val="202124"/>
          <w:lang w:val="en"/>
        </w:rPr>
        <w:t xml:space="preserve">across Vietnam. Consequently, if there are problems with the management of neonates and children in this hospital, these are likely to be replicated across Vietnam. </w:t>
      </w:r>
    </w:p>
    <w:p w14:paraId="65FF6E94" w14:textId="33BD43E1" w:rsidR="00A54F31" w:rsidRPr="00982948" w:rsidRDefault="00A54F31" w:rsidP="00A54F31">
      <w:pPr>
        <w:pStyle w:val="MDPI31text"/>
        <w:rPr>
          <w:color w:val="auto"/>
          <w:lang w:val="en"/>
        </w:rPr>
      </w:pPr>
      <w:r w:rsidRPr="00982948">
        <w:rPr>
          <w:color w:val="auto"/>
          <w:lang w:val="en"/>
        </w:rPr>
        <w:t xml:space="preserve">The Pediatrics Department </w:t>
      </w:r>
      <w:r w:rsidR="00DB56CC" w:rsidRPr="00982948">
        <w:rPr>
          <w:color w:val="auto"/>
          <w:lang w:val="en"/>
        </w:rPr>
        <w:t xml:space="preserve">in E Hospital </w:t>
      </w:r>
      <w:r w:rsidRPr="00982948">
        <w:rPr>
          <w:color w:val="auto"/>
          <w:lang w:val="en"/>
        </w:rPr>
        <w:t>was established in 2018</w:t>
      </w:r>
      <w:r w:rsidR="00DB56CC" w:rsidRPr="00982948">
        <w:rPr>
          <w:color w:val="auto"/>
          <w:lang w:val="en"/>
        </w:rPr>
        <w:t>,</w:t>
      </w:r>
      <w:r w:rsidRPr="00982948">
        <w:rPr>
          <w:color w:val="auto"/>
          <w:lang w:val="en"/>
        </w:rPr>
        <w:t xml:space="preserve"> and has been in </w:t>
      </w:r>
      <w:r w:rsidR="00DB56CC" w:rsidRPr="00982948">
        <w:rPr>
          <w:color w:val="auto"/>
          <w:lang w:val="en"/>
        </w:rPr>
        <w:t xml:space="preserve">continual </w:t>
      </w:r>
      <w:r w:rsidRPr="00982948">
        <w:rPr>
          <w:color w:val="auto"/>
          <w:lang w:val="en"/>
        </w:rPr>
        <w:t xml:space="preserve">operation since then. </w:t>
      </w:r>
      <w:r w:rsidR="00A65A11" w:rsidRPr="00982948">
        <w:rPr>
          <w:color w:val="auto"/>
          <w:lang w:val="en"/>
        </w:rPr>
        <w:t xml:space="preserve">According to hospital summary report in 2022, </w:t>
      </w:r>
      <w:r w:rsidRPr="00982948">
        <w:rPr>
          <w:color w:val="auto"/>
          <w:lang w:val="en"/>
        </w:rPr>
        <w:t>the hospital ha</w:t>
      </w:r>
      <w:r w:rsidR="00DB56CC" w:rsidRPr="00982948">
        <w:rPr>
          <w:color w:val="auto"/>
          <w:lang w:val="en"/>
        </w:rPr>
        <w:t>s</w:t>
      </w:r>
      <w:r w:rsidRPr="00982948">
        <w:rPr>
          <w:color w:val="auto"/>
          <w:lang w:val="en"/>
        </w:rPr>
        <w:t xml:space="preserve"> 7 groups of antibiotics </w:t>
      </w:r>
      <w:r w:rsidR="00DB56CC" w:rsidRPr="00982948">
        <w:rPr>
          <w:color w:val="auto"/>
          <w:lang w:val="en"/>
        </w:rPr>
        <w:t xml:space="preserve">available for prescribing </w:t>
      </w:r>
      <w:r w:rsidRPr="00982948">
        <w:rPr>
          <w:color w:val="auto"/>
          <w:lang w:val="en"/>
        </w:rPr>
        <w:t xml:space="preserve">containing 84 individual antibiotics, with the cost of antibiotics accounting for 30.65% of the total cost of </w:t>
      </w:r>
      <w:r w:rsidR="00DB56CC" w:rsidRPr="00982948">
        <w:rPr>
          <w:color w:val="auto"/>
          <w:lang w:val="en"/>
        </w:rPr>
        <w:t xml:space="preserve">medicine annually consumed </w:t>
      </w:r>
      <w:r w:rsidRPr="00982948">
        <w:rPr>
          <w:color w:val="auto"/>
          <w:lang w:val="en"/>
        </w:rPr>
        <w:t xml:space="preserve">in the hospital. </w:t>
      </w:r>
    </w:p>
    <w:p w14:paraId="24B5E93A" w14:textId="152764F2" w:rsidR="00695513" w:rsidRPr="006003A3" w:rsidRDefault="003D68CC" w:rsidP="00DB56CC">
      <w:pPr>
        <w:pStyle w:val="MDPI31text"/>
        <w:rPr>
          <w:color w:val="auto"/>
        </w:rPr>
      </w:pPr>
      <w:r w:rsidRPr="006003A3">
        <w:rPr>
          <w:color w:val="auto"/>
          <w:lang w:val="vi-VN"/>
        </w:rPr>
        <w:t xml:space="preserve">The appropriateness of antibiotic prescriptions was evaluated according to the latest </w:t>
      </w:r>
      <w:r w:rsidR="00135F5E" w:rsidRPr="006003A3">
        <w:rPr>
          <w:color w:val="auto"/>
        </w:rPr>
        <w:t xml:space="preserve">Vietnam </w:t>
      </w:r>
      <w:r w:rsidRPr="006003A3">
        <w:rPr>
          <w:color w:val="auto"/>
          <w:lang w:val="vi-VN"/>
        </w:rPr>
        <w:t>national guidelines</w:t>
      </w:r>
      <w:r w:rsidR="00982948" w:rsidRPr="006003A3">
        <w:rPr>
          <w:color w:val="auto"/>
          <w:lang w:val="en-GB"/>
        </w:rPr>
        <w:t xml:space="preserve"> (Box 1)</w:t>
      </w:r>
      <w:r w:rsidR="00695513" w:rsidRPr="006003A3">
        <w:rPr>
          <w:color w:val="auto"/>
          <w:lang w:val="en-GB"/>
        </w:rPr>
        <w:t xml:space="preserve"> [80]</w:t>
      </w:r>
      <w:r w:rsidR="00982948" w:rsidRPr="006003A3">
        <w:rPr>
          <w:color w:val="auto"/>
          <w:lang w:val="en-GB"/>
        </w:rPr>
        <w:t>. This</w:t>
      </w:r>
      <w:r w:rsidRPr="006003A3">
        <w:rPr>
          <w:color w:val="auto"/>
          <w:lang w:val="vi-VN"/>
        </w:rPr>
        <w:t xml:space="preserve"> includ</w:t>
      </w:r>
      <w:r w:rsidR="00982948" w:rsidRPr="006003A3">
        <w:rPr>
          <w:color w:val="auto"/>
          <w:lang w:val="en-GB"/>
        </w:rPr>
        <w:t>ed the</w:t>
      </w:r>
      <w:r w:rsidRPr="006003A3">
        <w:rPr>
          <w:color w:val="auto"/>
          <w:lang w:val="vi-VN"/>
        </w:rPr>
        <w:t xml:space="preserve"> initial </w:t>
      </w:r>
      <w:r w:rsidR="00982948" w:rsidRPr="006003A3">
        <w:rPr>
          <w:color w:val="auto"/>
          <w:lang w:val="en-GB"/>
        </w:rPr>
        <w:t xml:space="preserve">antibiotic </w:t>
      </w:r>
      <w:r w:rsidRPr="006003A3">
        <w:rPr>
          <w:color w:val="auto"/>
          <w:lang w:val="vi-VN"/>
        </w:rPr>
        <w:t>choices, route</w:t>
      </w:r>
      <w:r w:rsidR="00982948" w:rsidRPr="006003A3">
        <w:rPr>
          <w:color w:val="auto"/>
          <w:lang w:val="en-GB"/>
        </w:rPr>
        <w:t xml:space="preserve"> of administration</w:t>
      </w:r>
      <w:r w:rsidRPr="006003A3">
        <w:rPr>
          <w:color w:val="auto"/>
          <w:lang w:val="vi-VN"/>
        </w:rPr>
        <w:t>, dosage, frequency, duration, and length of hospital stay</w:t>
      </w:r>
      <w:r w:rsidR="00135F5E" w:rsidRPr="006003A3">
        <w:rPr>
          <w:color w:val="auto"/>
        </w:rPr>
        <w:t>.</w:t>
      </w:r>
      <w:r w:rsidR="00135F5E" w:rsidRPr="006003A3">
        <w:rPr>
          <w:rFonts w:ascii="Arial" w:hAnsi="Arial" w:cs="Arial"/>
          <w:snapToGrid/>
          <w:color w:val="auto"/>
          <w:kern w:val="2"/>
          <w:szCs w:val="20"/>
          <w:lang w:val="en-GB" w:eastAsia="en-US" w:bidi="ar-SA"/>
          <w14:ligatures w14:val="standardContextual"/>
        </w:rPr>
        <w:t xml:space="preserve"> </w:t>
      </w:r>
      <w:r w:rsidR="0001638E" w:rsidRPr="006003A3">
        <w:rPr>
          <w:color w:val="auto"/>
          <w:lang w:val="en-GB"/>
        </w:rPr>
        <w:t>Appropriate dosage</w:t>
      </w:r>
      <w:r w:rsidR="008F7DBB">
        <w:rPr>
          <w:color w:val="auto"/>
          <w:lang w:val="en-GB"/>
        </w:rPr>
        <w:t>s</w:t>
      </w:r>
      <w:r w:rsidR="0001638E" w:rsidRPr="006003A3">
        <w:rPr>
          <w:color w:val="auto"/>
          <w:lang w:val="en-GB"/>
        </w:rPr>
        <w:t xml:space="preserve"> of antibiotic</w:t>
      </w:r>
      <w:r w:rsidR="004F6659" w:rsidRPr="006003A3">
        <w:rPr>
          <w:color w:val="auto"/>
          <w:lang w:val="en-GB"/>
        </w:rPr>
        <w:t>s</w:t>
      </w:r>
      <w:r w:rsidR="0001638E" w:rsidRPr="006003A3">
        <w:rPr>
          <w:color w:val="auto"/>
          <w:lang w:val="en-GB"/>
        </w:rPr>
        <w:t xml:space="preserve"> were assessed based on the product information </w:t>
      </w:r>
      <w:r w:rsidR="004F6659" w:rsidRPr="006003A3">
        <w:rPr>
          <w:color w:val="auto"/>
          <w:lang w:val="en-GB"/>
        </w:rPr>
        <w:t xml:space="preserve">contained within the </w:t>
      </w:r>
      <w:r w:rsidR="0001638E" w:rsidRPr="006003A3">
        <w:rPr>
          <w:color w:val="auto"/>
          <w:lang w:val="en-GB"/>
        </w:rPr>
        <w:t>Vietnam National Pharmacopoeia</w:t>
      </w:r>
      <w:r w:rsidR="00135F5E" w:rsidRPr="006003A3">
        <w:rPr>
          <w:color w:val="auto"/>
          <w:lang w:val="en-GB"/>
        </w:rPr>
        <w:t>. There were 3 cases where information about the child’s weight was missing</w:t>
      </w:r>
      <w:r w:rsidR="004F6659" w:rsidRPr="006003A3">
        <w:rPr>
          <w:color w:val="auto"/>
          <w:lang w:val="en-GB"/>
        </w:rPr>
        <w:t>; consequently,</w:t>
      </w:r>
      <w:r w:rsidR="00135F5E" w:rsidRPr="006003A3">
        <w:rPr>
          <w:color w:val="auto"/>
          <w:lang w:val="en-GB"/>
        </w:rPr>
        <w:t xml:space="preserve"> the appropriate dosage assessment could not be performed</w:t>
      </w:r>
      <w:r w:rsidRPr="006003A3">
        <w:rPr>
          <w:color w:val="auto"/>
          <w:lang w:val="vi-VN"/>
        </w:rPr>
        <w:t>.</w:t>
      </w:r>
      <w:r w:rsidRPr="006003A3">
        <w:rPr>
          <w:color w:val="auto"/>
        </w:rPr>
        <w:t xml:space="preserve"> </w:t>
      </w:r>
    </w:p>
    <w:p w14:paraId="06152EB5" w14:textId="7AEB49E7" w:rsidR="00DB56CC" w:rsidRPr="00681243" w:rsidRDefault="003D68CC" w:rsidP="00DB56CC">
      <w:pPr>
        <w:pStyle w:val="MDPI31text"/>
        <w:rPr>
          <w:color w:val="000000" w:themeColor="text1"/>
        </w:rPr>
      </w:pPr>
      <w:r w:rsidRPr="00DD12AC">
        <w:rPr>
          <w:color w:val="000000" w:themeColor="text1"/>
          <w:lang w:val="vi-VN"/>
        </w:rPr>
        <w:t xml:space="preserve">After obtaining </w:t>
      </w:r>
      <w:r w:rsidR="004F6659">
        <w:rPr>
          <w:color w:val="000000" w:themeColor="text1"/>
          <w:lang w:val="en-GB"/>
        </w:rPr>
        <w:t xml:space="preserve">the </w:t>
      </w:r>
      <w:r w:rsidRPr="00DD12AC">
        <w:rPr>
          <w:color w:val="000000" w:themeColor="text1"/>
          <w:lang w:val="vi-VN"/>
        </w:rPr>
        <w:t xml:space="preserve">quantitative results, in-depth interviews were conducted with five doctors directly involved in </w:t>
      </w:r>
      <w:r w:rsidRPr="006003A3">
        <w:rPr>
          <w:color w:val="auto"/>
          <w:lang w:val="vi-VN"/>
        </w:rPr>
        <w:t xml:space="preserve">treating </w:t>
      </w:r>
      <w:r w:rsidR="00DD0E2D" w:rsidRPr="006003A3">
        <w:rPr>
          <w:color w:val="auto"/>
          <w:lang w:val="en-GB"/>
        </w:rPr>
        <w:t xml:space="preserve">these </w:t>
      </w:r>
      <w:r w:rsidRPr="006003A3">
        <w:rPr>
          <w:color w:val="auto"/>
          <w:lang w:val="vi-VN"/>
        </w:rPr>
        <w:t xml:space="preserve">patients </w:t>
      </w:r>
      <w:r w:rsidR="00DD0E2D" w:rsidRPr="006003A3">
        <w:rPr>
          <w:color w:val="auto"/>
          <w:lang w:val="en-GB"/>
        </w:rPr>
        <w:t>in E Hospital</w:t>
      </w:r>
      <w:r w:rsidRPr="006003A3">
        <w:rPr>
          <w:color w:val="auto"/>
          <w:lang w:val="vi-VN"/>
        </w:rPr>
        <w:t xml:space="preserve"> to identify </w:t>
      </w:r>
      <w:r w:rsidR="00DD0E2D" w:rsidRPr="006003A3">
        <w:rPr>
          <w:color w:val="auto"/>
          <w:lang w:val="en-GB"/>
        </w:rPr>
        <w:t xml:space="preserve">potential </w:t>
      </w:r>
      <w:r w:rsidRPr="006003A3">
        <w:rPr>
          <w:color w:val="auto"/>
          <w:lang w:val="vi-VN"/>
        </w:rPr>
        <w:t>barriers to compliance with national guidelines.</w:t>
      </w:r>
      <w:r w:rsidR="00FF5CCA" w:rsidRPr="006003A3">
        <w:rPr>
          <w:color w:val="auto"/>
        </w:rPr>
        <w:t xml:space="preserve"> </w:t>
      </w:r>
      <w:r w:rsidR="00FF5CCA" w:rsidRPr="006003A3">
        <w:rPr>
          <w:color w:val="auto"/>
          <w:lang w:val="en-GB"/>
        </w:rPr>
        <w:t>Physicians were selected through purposive sampling. To be eligible</w:t>
      </w:r>
      <w:r w:rsidR="004F6659" w:rsidRPr="006003A3">
        <w:rPr>
          <w:color w:val="auto"/>
          <w:lang w:val="en-GB"/>
        </w:rPr>
        <w:t xml:space="preserve"> for inclusion in the study</w:t>
      </w:r>
      <w:r w:rsidR="00FF5CCA" w:rsidRPr="006003A3">
        <w:rPr>
          <w:color w:val="auto"/>
          <w:lang w:val="en-GB"/>
        </w:rPr>
        <w:t xml:space="preserve">, </w:t>
      </w:r>
      <w:r w:rsidR="004F6659" w:rsidRPr="006003A3">
        <w:rPr>
          <w:color w:val="auto"/>
          <w:lang w:val="en-GB"/>
        </w:rPr>
        <w:t xml:space="preserve">the </w:t>
      </w:r>
      <w:r w:rsidR="00FF5CCA" w:rsidRPr="006003A3">
        <w:rPr>
          <w:color w:val="auto"/>
          <w:lang w:val="en-GB"/>
        </w:rPr>
        <w:t xml:space="preserve">physicians had to be currently employed </w:t>
      </w:r>
      <w:r w:rsidR="004F6659" w:rsidRPr="006003A3">
        <w:rPr>
          <w:color w:val="auto"/>
          <w:lang w:val="en-GB"/>
        </w:rPr>
        <w:t xml:space="preserve">in the hospital </w:t>
      </w:r>
      <w:r w:rsidR="00FF5CCA" w:rsidRPr="006003A3">
        <w:rPr>
          <w:color w:val="auto"/>
          <w:lang w:val="en-GB"/>
        </w:rPr>
        <w:t>at the time of the study</w:t>
      </w:r>
      <w:r w:rsidR="007977BF" w:rsidRPr="006003A3">
        <w:rPr>
          <w:color w:val="auto"/>
          <w:lang w:val="en-GB"/>
        </w:rPr>
        <w:t xml:space="preserve">, </w:t>
      </w:r>
      <w:r w:rsidR="004F6659" w:rsidRPr="006003A3">
        <w:rPr>
          <w:color w:val="auto"/>
          <w:lang w:val="en-GB"/>
        </w:rPr>
        <w:t xml:space="preserve">be </w:t>
      </w:r>
      <w:r w:rsidR="007977BF" w:rsidRPr="006003A3">
        <w:rPr>
          <w:color w:val="auto"/>
          <w:lang w:val="en-GB"/>
        </w:rPr>
        <w:t>directly involved in treating these patients</w:t>
      </w:r>
      <w:r w:rsidR="00FF5CCA" w:rsidRPr="006003A3">
        <w:rPr>
          <w:color w:val="auto"/>
          <w:lang w:val="en-GB"/>
        </w:rPr>
        <w:t xml:space="preserve"> and provide consent to be interviewed</w:t>
      </w:r>
      <w:r w:rsidR="004F6659" w:rsidRPr="006003A3">
        <w:rPr>
          <w:color w:val="auto"/>
          <w:lang w:val="en-GB"/>
        </w:rPr>
        <w:t xml:space="preserve"> in depth</w:t>
      </w:r>
      <w:r w:rsidR="00FF5CCA" w:rsidRPr="006003A3">
        <w:rPr>
          <w:color w:val="auto"/>
          <w:lang w:val="en-GB"/>
        </w:rPr>
        <w:t>.</w:t>
      </w:r>
    </w:p>
    <w:p w14:paraId="6B19950F" w14:textId="77777777" w:rsidR="008F7DBB" w:rsidRDefault="008F7DBB" w:rsidP="00DB56CC">
      <w:pPr>
        <w:pStyle w:val="MDPI31text"/>
        <w:rPr>
          <w:color w:val="000000" w:themeColor="text1"/>
          <w:lang w:val="en-GB"/>
        </w:rPr>
      </w:pPr>
    </w:p>
    <w:p w14:paraId="02111F0B" w14:textId="13CE4429" w:rsidR="003D68CC" w:rsidRDefault="00DB56CC" w:rsidP="00DB56CC">
      <w:pPr>
        <w:pStyle w:val="MDPI31text"/>
        <w:rPr>
          <w:i/>
          <w:iCs/>
          <w:color w:val="000000" w:themeColor="text1"/>
          <w:lang w:val="en-GB"/>
        </w:rPr>
      </w:pPr>
      <w:r>
        <w:rPr>
          <w:color w:val="000000" w:themeColor="text1"/>
          <w:lang w:val="en-GB"/>
        </w:rPr>
        <w:t xml:space="preserve">4.2 </w:t>
      </w:r>
      <w:r w:rsidR="003D68CC" w:rsidRPr="00DD12AC">
        <w:rPr>
          <w:i/>
          <w:iCs/>
          <w:color w:val="000000" w:themeColor="text1"/>
          <w:lang w:val="vi-VN"/>
        </w:rPr>
        <w:t>Data collecting and processing methods</w:t>
      </w:r>
    </w:p>
    <w:p w14:paraId="37DDA9A2" w14:textId="1FE773DF" w:rsidR="00D02DDE" w:rsidRPr="006003A3" w:rsidRDefault="00DB56CC" w:rsidP="006003A3">
      <w:pPr>
        <w:pStyle w:val="MDPI31text"/>
        <w:rPr>
          <w:color w:val="auto"/>
        </w:rPr>
      </w:pPr>
      <w:r w:rsidRPr="006003A3">
        <w:rPr>
          <w:color w:val="auto"/>
          <w:lang w:val="en-GB"/>
        </w:rPr>
        <w:t xml:space="preserve">A data collection form </w:t>
      </w:r>
      <w:r w:rsidR="00EC75A8" w:rsidRPr="006003A3">
        <w:rPr>
          <w:color w:val="auto"/>
          <w:lang w:val="en-GB"/>
        </w:rPr>
        <w:t xml:space="preserve">for this study </w:t>
      </w:r>
      <w:r w:rsidRPr="006003A3">
        <w:rPr>
          <w:color w:val="auto"/>
          <w:lang w:val="en-GB"/>
        </w:rPr>
        <w:t>was developed based on the experiences of the co-authors to collect relevant data regarding the management of children under 5 hospitalised with CAP in E Hospital.</w:t>
      </w:r>
      <w:r w:rsidR="00A66E5B" w:rsidRPr="006003A3">
        <w:rPr>
          <w:color w:val="auto"/>
          <w:lang w:val="en-GB"/>
        </w:rPr>
        <w:t xml:space="preserve"> </w:t>
      </w:r>
      <w:r w:rsidR="00982948" w:rsidRPr="006003A3">
        <w:rPr>
          <w:color w:val="auto"/>
          <w:lang w:val="en-GB"/>
        </w:rPr>
        <w:t xml:space="preserve">We have used this approach before across LMICs </w:t>
      </w:r>
      <w:r w:rsidR="004B6C25" w:rsidRPr="006003A3">
        <w:rPr>
          <w:color w:val="auto"/>
          <w:lang w:val="en-GB"/>
        </w:rPr>
        <w:t>[10</w:t>
      </w:r>
      <w:r w:rsidR="000D04B1" w:rsidRPr="006003A3">
        <w:rPr>
          <w:color w:val="auto"/>
          <w:lang w:val="en-GB"/>
        </w:rPr>
        <w:t>3</w:t>
      </w:r>
      <w:r w:rsidR="004B6C25" w:rsidRPr="006003A3">
        <w:rPr>
          <w:color w:val="auto"/>
          <w:lang w:val="en-GB"/>
        </w:rPr>
        <w:t>-10</w:t>
      </w:r>
      <w:r w:rsidR="000D04B1" w:rsidRPr="006003A3">
        <w:rPr>
          <w:color w:val="auto"/>
          <w:lang w:val="en-GB"/>
        </w:rPr>
        <w:t>5</w:t>
      </w:r>
      <w:r w:rsidR="004B6C25" w:rsidRPr="006003A3">
        <w:rPr>
          <w:color w:val="auto"/>
          <w:lang w:val="en-GB"/>
        </w:rPr>
        <w:t>]</w:t>
      </w:r>
      <w:r w:rsidR="00982948" w:rsidRPr="006003A3">
        <w:rPr>
          <w:color w:val="auto"/>
          <w:lang w:val="en-GB"/>
        </w:rPr>
        <w:t xml:space="preserve">. </w:t>
      </w:r>
      <w:r w:rsidR="00183133" w:rsidRPr="006003A3">
        <w:rPr>
          <w:color w:val="auto"/>
          <w:lang w:val="en-GB"/>
        </w:rPr>
        <w:t>The r</w:t>
      </w:r>
      <w:r w:rsidR="00A66E5B" w:rsidRPr="006003A3">
        <w:rPr>
          <w:color w:val="auto"/>
          <w:lang w:val="en-GB"/>
        </w:rPr>
        <w:t>elevant p</w:t>
      </w:r>
      <w:r w:rsidR="00A66E5B" w:rsidRPr="006003A3">
        <w:rPr>
          <w:color w:val="auto"/>
          <w:lang w:val="vi-VN"/>
        </w:rPr>
        <w:t xml:space="preserve">atient information was </w:t>
      </w:r>
      <w:r w:rsidR="00A66E5B" w:rsidRPr="006003A3">
        <w:rPr>
          <w:color w:val="auto"/>
          <w:lang w:val="en-GB"/>
        </w:rPr>
        <w:t>subsequently inserted</w:t>
      </w:r>
      <w:r w:rsidR="00A66E5B" w:rsidRPr="006003A3">
        <w:rPr>
          <w:color w:val="auto"/>
          <w:lang w:val="vi-VN"/>
        </w:rPr>
        <w:t xml:space="preserve"> in</w:t>
      </w:r>
      <w:r w:rsidR="00A66E5B" w:rsidRPr="006003A3">
        <w:rPr>
          <w:color w:val="auto"/>
          <w:lang w:val="en-GB"/>
        </w:rPr>
        <w:t>to</w:t>
      </w:r>
      <w:r w:rsidR="00A66E5B" w:rsidRPr="006003A3">
        <w:rPr>
          <w:color w:val="auto"/>
          <w:lang w:val="vi-VN"/>
        </w:rPr>
        <w:t xml:space="preserve"> the Medical Record Information Collection Form</w:t>
      </w:r>
      <w:r w:rsidR="00A66E5B" w:rsidRPr="006003A3">
        <w:rPr>
          <w:color w:val="auto"/>
          <w:lang w:val="en-GB"/>
        </w:rPr>
        <w:t xml:space="preserve">, </w:t>
      </w:r>
      <w:r w:rsidR="00A66E5B" w:rsidRPr="006003A3">
        <w:rPr>
          <w:color w:val="auto"/>
          <w:lang w:val="vi-VN"/>
        </w:rPr>
        <w:t>designed on REDCap</w:t>
      </w:r>
      <w:r w:rsidR="00A66E5B" w:rsidRPr="006003A3">
        <w:rPr>
          <w:color w:val="auto"/>
          <w:lang w:val="en-GB"/>
        </w:rPr>
        <w:t>.</w:t>
      </w:r>
      <w:r w:rsidR="00FE7FE7" w:rsidRPr="006003A3">
        <w:rPr>
          <w:color w:val="auto"/>
        </w:rPr>
        <w:t xml:space="preserve"> </w:t>
      </w:r>
      <w:bookmarkStart w:id="6" w:name="_Hlk202437587"/>
      <w:r w:rsidR="00FE7FE7" w:rsidRPr="006003A3">
        <w:rPr>
          <w:color w:val="auto"/>
          <w:lang w:val="en-GB"/>
        </w:rPr>
        <w:t>Information retrieved from the medical record include</w:t>
      </w:r>
      <w:r w:rsidR="00246EA0" w:rsidRPr="006003A3">
        <w:rPr>
          <w:color w:val="auto"/>
          <w:lang w:val="en-GB"/>
        </w:rPr>
        <w:t>d</w:t>
      </w:r>
      <w:r w:rsidR="00FE7FE7" w:rsidRPr="006003A3">
        <w:rPr>
          <w:color w:val="auto"/>
          <w:lang w:val="en-GB"/>
        </w:rPr>
        <w:t xml:space="preserve"> the medical record code, </w:t>
      </w:r>
      <w:r w:rsidR="00246EA0" w:rsidRPr="006003A3">
        <w:rPr>
          <w:color w:val="auto"/>
          <w:lang w:val="en-GB"/>
        </w:rPr>
        <w:t xml:space="preserve">the </w:t>
      </w:r>
      <w:r w:rsidR="00FE7FE7" w:rsidRPr="006003A3">
        <w:rPr>
          <w:color w:val="auto"/>
          <w:lang w:val="en-GB"/>
        </w:rPr>
        <w:t xml:space="preserve">general characteristics of the child (name, age, gender, weight, diagnosis, treatment duration, comorbidities, medical history, allergy history, history of antibiotic use before hospitalization, clinical and paraclinical characteristics, clinical symptoms, severity, </w:t>
      </w:r>
      <w:r w:rsidR="008F7DBB">
        <w:rPr>
          <w:color w:val="auto"/>
          <w:lang w:val="en-GB"/>
        </w:rPr>
        <w:t xml:space="preserve">and </w:t>
      </w:r>
      <w:r w:rsidR="00FE7FE7" w:rsidRPr="006003A3">
        <w:rPr>
          <w:color w:val="auto"/>
          <w:lang w:val="en-GB"/>
        </w:rPr>
        <w:t xml:space="preserve">microbiological test results </w:t>
      </w:r>
      <w:r w:rsidR="00246EA0" w:rsidRPr="006003A3">
        <w:rPr>
          <w:color w:val="auto"/>
          <w:lang w:val="en-GB"/>
        </w:rPr>
        <w:t>[</w:t>
      </w:r>
      <w:r w:rsidR="00FE7FE7" w:rsidRPr="006003A3">
        <w:rPr>
          <w:color w:val="auto"/>
          <w:lang w:val="en-GB"/>
        </w:rPr>
        <w:t>if any</w:t>
      </w:r>
      <w:r w:rsidR="00246EA0" w:rsidRPr="006003A3">
        <w:rPr>
          <w:color w:val="auto"/>
          <w:lang w:val="en-GB"/>
        </w:rPr>
        <w:t>]</w:t>
      </w:r>
      <w:r w:rsidR="008F7DBB">
        <w:rPr>
          <w:color w:val="auto"/>
          <w:lang w:val="en-GB"/>
        </w:rPr>
        <w:t>)</w:t>
      </w:r>
      <w:r w:rsidR="00FE7FE7" w:rsidRPr="006003A3">
        <w:rPr>
          <w:color w:val="auto"/>
          <w:lang w:val="en-GB"/>
        </w:rPr>
        <w:t xml:space="preserve"> </w:t>
      </w:r>
      <w:r w:rsidR="008F7DBB">
        <w:rPr>
          <w:color w:val="auto"/>
          <w:lang w:val="en-GB"/>
        </w:rPr>
        <w:t xml:space="preserve">In addition, details of </w:t>
      </w:r>
      <w:r w:rsidR="00FE7FE7" w:rsidRPr="006003A3">
        <w:rPr>
          <w:color w:val="auto"/>
          <w:lang w:val="en-GB"/>
        </w:rPr>
        <w:t xml:space="preserve">antibiotics </w:t>
      </w:r>
      <w:r w:rsidR="008F7DBB">
        <w:rPr>
          <w:color w:val="auto"/>
          <w:lang w:val="en-GB"/>
        </w:rPr>
        <w:t xml:space="preserve">prescribed </w:t>
      </w:r>
      <w:r w:rsidR="00FE7FE7" w:rsidRPr="006003A3">
        <w:rPr>
          <w:color w:val="auto"/>
          <w:lang w:val="en-GB"/>
        </w:rPr>
        <w:t>for CAP for the child</w:t>
      </w:r>
      <w:r w:rsidR="008F7DBB">
        <w:rPr>
          <w:color w:val="auto"/>
          <w:lang w:val="en-GB"/>
        </w:rPr>
        <w:t xml:space="preserve">, e.g. </w:t>
      </w:r>
      <w:r w:rsidR="00FE7FE7" w:rsidRPr="006003A3">
        <w:rPr>
          <w:color w:val="auto"/>
          <w:lang w:val="en-GB"/>
        </w:rPr>
        <w:t xml:space="preserve">type of initial antibiotic regimen, number of antibiotics used in the initial regimen, route of antibiotic administration, antibiotic dosage, duration of initial regimen, characteristics of changes in the initial antibiotic regimen (if any); length of hospital stay; treatment results; name of the main treating physician; </w:t>
      </w:r>
      <w:r w:rsidR="00141D05" w:rsidRPr="006003A3">
        <w:rPr>
          <w:color w:val="auto"/>
          <w:lang w:val="en-GB"/>
        </w:rPr>
        <w:t xml:space="preserve">and the </w:t>
      </w:r>
      <w:r w:rsidR="00FE7FE7" w:rsidRPr="006003A3">
        <w:rPr>
          <w:color w:val="auto"/>
          <w:lang w:val="en-GB"/>
        </w:rPr>
        <w:t xml:space="preserve">severity of pneumonia classified according to the standards guided by the Vietnam Ministry of Health [80]. The appropriateness of the initial antibiotic regimen </w:t>
      </w:r>
      <w:r w:rsidR="00141D05" w:rsidRPr="006003A3">
        <w:rPr>
          <w:color w:val="auto"/>
          <w:lang w:val="en-GB"/>
        </w:rPr>
        <w:t>was</w:t>
      </w:r>
      <w:r w:rsidR="00FE7FE7" w:rsidRPr="006003A3">
        <w:rPr>
          <w:color w:val="auto"/>
          <w:lang w:val="en-GB"/>
        </w:rPr>
        <w:t xml:space="preserve"> assessed in terms of </w:t>
      </w:r>
      <w:r w:rsidR="00141D05" w:rsidRPr="006003A3">
        <w:rPr>
          <w:color w:val="auto"/>
          <w:lang w:val="en-GB"/>
        </w:rPr>
        <w:t xml:space="preserve">whether the </w:t>
      </w:r>
      <w:r w:rsidR="00FE7FE7" w:rsidRPr="006003A3">
        <w:rPr>
          <w:color w:val="auto"/>
          <w:lang w:val="en-GB"/>
        </w:rPr>
        <w:t>antibiotic select</w:t>
      </w:r>
      <w:r w:rsidR="00141D05" w:rsidRPr="006003A3">
        <w:rPr>
          <w:color w:val="auto"/>
          <w:lang w:val="en-GB"/>
        </w:rPr>
        <w:t>ed</w:t>
      </w:r>
      <w:r w:rsidR="00FE7FE7" w:rsidRPr="006003A3">
        <w:rPr>
          <w:color w:val="auto"/>
          <w:lang w:val="en-GB"/>
        </w:rPr>
        <w:t xml:space="preserve"> belongs to one of the regimens </w:t>
      </w:r>
      <w:r w:rsidR="00141D05" w:rsidRPr="006003A3">
        <w:rPr>
          <w:color w:val="auto"/>
          <w:lang w:val="en-GB"/>
        </w:rPr>
        <w:t>recommended</w:t>
      </w:r>
      <w:r w:rsidR="00FE7FE7" w:rsidRPr="006003A3">
        <w:rPr>
          <w:color w:val="auto"/>
          <w:lang w:val="en-GB"/>
        </w:rPr>
        <w:t xml:space="preserve"> by the Vietnam Ministry of Health [80].</w:t>
      </w:r>
      <w:r w:rsidR="004916C0" w:rsidRPr="006003A3">
        <w:rPr>
          <w:color w:val="auto"/>
          <w:lang w:val="en-GB"/>
        </w:rPr>
        <w:t xml:space="preserve"> The antibiotics prescribed were also broken down by the WHO </w:t>
      </w:r>
      <w:proofErr w:type="spellStart"/>
      <w:r w:rsidR="004916C0" w:rsidRPr="006003A3">
        <w:rPr>
          <w:color w:val="auto"/>
          <w:lang w:val="en-GB"/>
        </w:rPr>
        <w:t>AWaRe</w:t>
      </w:r>
      <w:proofErr w:type="spellEnd"/>
      <w:r w:rsidR="004916C0" w:rsidRPr="006003A3">
        <w:rPr>
          <w:color w:val="auto"/>
          <w:lang w:val="en-GB"/>
        </w:rPr>
        <w:t xml:space="preserve"> classification published in 2019 [19]</w:t>
      </w:r>
      <w:r w:rsidR="00D02DDE" w:rsidRPr="006003A3">
        <w:rPr>
          <w:color w:val="auto"/>
          <w:lang w:val="en-GB"/>
        </w:rPr>
        <w:t xml:space="preserve">, with compliance assessed by </w:t>
      </w:r>
      <w:r w:rsidR="008F7DBB">
        <w:rPr>
          <w:color w:val="auto"/>
          <w:lang w:val="en-GB"/>
        </w:rPr>
        <w:t xml:space="preserve">the extent of </w:t>
      </w:r>
      <w:r w:rsidR="00D02DDE" w:rsidRPr="006003A3">
        <w:rPr>
          <w:color w:val="auto"/>
          <w:lang w:val="en-GB"/>
        </w:rPr>
        <w:t>actual compliance</w:t>
      </w:r>
      <w:r w:rsidR="00D02DDE" w:rsidRPr="006003A3">
        <w:rPr>
          <w:color w:val="auto"/>
          <w:szCs w:val="20"/>
        </w:rPr>
        <w:t xml:space="preserve"> with the initial antibiotic regimen selection for treating children with CAP according to the guidelines of the Vietnamese Ministry of Health [80].</w:t>
      </w:r>
    </w:p>
    <w:bookmarkEnd w:id="6"/>
    <w:p w14:paraId="77E97FC3" w14:textId="20DED59D" w:rsidR="00A66E5B" w:rsidRDefault="003D68CC" w:rsidP="00DB56CC">
      <w:pPr>
        <w:pStyle w:val="MDPI31text"/>
        <w:rPr>
          <w:color w:val="000000" w:themeColor="text1"/>
        </w:rPr>
      </w:pPr>
      <w:r w:rsidRPr="00837D85">
        <w:rPr>
          <w:color w:val="000000" w:themeColor="text1"/>
        </w:rPr>
        <w:t>The</w:t>
      </w:r>
      <w:r w:rsidR="00DB56CC">
        <w:rPr>
          <w:color w:val="000000" w:themeColor="text1"/>
        </w:rPr>
        <w:t>re was no</w:t>
      </w:r>
      <w:r w:rsidRPr="00837D85">
        <w:rPr>
          <w:color w:val="000000" w:themeColor="text1"/>
        </w:rPr>
        <w:t xml:space="preserve"> sample </w:t>
      </w:r>
      <w:r>
        <w:rPr>
          <w:color w:val="000000" w:themeColor="text1"/>
        </w:rPr>
        <w:t>size</w:t>
      </w:r>
      <w:r w:rsidR="00DB56CC">
        <w:rPr>
          <w:color w:val="000000" w:themeColor="text1"/>
        </w:rPr>
        <w:t xml:space="preserve"> calculation as </w:t>
      </w:r>
      <w:r w:rsidRPr="00837D85">
        <w:rPr>
          <w:color w:val="000000" w:themeColor="text1"/>
        </w:rPr>
        <w:t xml:space="preserve">the entire medical records of </w:t>
      </w:r>
      <w:r w:rsidR="00DB56CC">
        <w:rPr>
          <w:color w:val="000000" w:themeColor="text1"/>
        </w:rPr>
        <w:t xml:space="preserve">children under 5 </w:t>
      </w:r>
      <w:r w:rsidRPr="00837D85">
        <w:rPr>
          <w:color w:val="000000" w:themeColor="text1"/>
        </w:rPr>
        <w:t>treated at the Pediatrics Department, E Hospital</w:t>
      </w:r>
      <w:r w:rsidR="00DB56CC">
        <w:rPr>
          <w:color w:val="000000" w:themeColor="text1"/>
        </w:rPr>
        <w:t>,</w:t>
      </w:r>
      <w:r w:rsidRPr="00837D85">
        <w:rPr>
          <w:color w:val="000000" w:themeColor="text1"/>
        </w:rPr>
        <w:t xml:space="preserve"> from January 1, 2021 to December 31, 2022, </w:t>
      </w:r>
      <w:r w:rsidR="00DB56CC">
        <w:rPr>
          <w:color w:val="000000" w:themeColor="text1"/>
        </w:rPr>
        <w:t xml:space="preserve">were reviewed. </w:t>
      </w:r>
    </w:p>
    <w:p w14:paraId="6388E9B6" w14:textId="2553EE80" w:rsidR="00A66E5B" w:rsidRDefault="00A66E5B" w:rsidP="00A66E5B">
      <w:pPr>
        <w:pStyle w:val="MDPI31text"/>
        <w:rPr>
          <w:color w:val="000000" w:themeColor="text1"/>
        </w:rPr>
      </w:pPr>
      <w:r>
        <w:rPr>
          <w:color w:val="000000" w:themeColor="text1"/>
        </w:rPr>
        <w:t>The inclusion criteria included:</w:t>
      </w:r>
    </w:p>
    <w:p w14:paraId="1DA9A02E" w14:textId="2625D1D3" w:rsidR="00A66E5B" w:rsidRDefault="003D68CC" w:rsidP="00A66E5B">
      <w:pPr>
        <w:pStyle w:val="MDPI31text"/>
        <w:numPr>
          <w:ilvl w:val="0"/>
          <w:numId w:val="24"/>
        </w:numPr>
        <w:rPr>
          <w:color w:val="000000" w:themeColor="text1"/>
        </w:rPr>
      </w:pPr>
      <w:r w:rsidRPr="00837D85">
        <w:rPr>
          <w:color w:val="000000" w:themeColor="text1"/>
        </w:rPr>
        <w:t>Medical records of patients with a confirmed diagnosis of pneumonia (ICD code of discharge diagnosis is J12 to J18)</w:t>
      </w:r>
      <w:r w:rsidR="004B6C25">
        <w:rPr>
          <w:color w:val="000000" w:themeColor="text1"/>
        </w:rPr>
        <w:t xml:space="preserve"> </w:t>
      </w:r>
    </w:p>
    <w:p w14:paraId="2CC3479B" w14:textId="77777777" w:rsidR="00A66E5B" w:rsidRPr="006003A3" w:rsidRDefault="003D68CC" w:rsidP="00A66E5B">
      <w:pPr>
        <w:pStyle w:val="MDPI31text"/>
        <w:numPr>
          <w:ilvl w:val="0"/>
          <w:numId w:val="24"/>
        </w:numPr>
        <w:rPr>
          <w:color w:val="000000" w:themeColor="text1"/>
        </w:rPr>
      </w:pPr>
      <w:r w:rsidRPr="006003A3">
        <w:rPr>
          <w:color w:val="000000" w:themeColor="text1"/>
        </w:rPr>
        <w:t>Medical records of patients aged 2 months - 5 years</w:t>
      </w:r>
    </w:p>
    <w:p w14:paraId="7918B073" w14:textId="77777777" w:rsidR="00A66E5B" w:rsidRPr="006003A3" w:rsidRDefault="003D68CC" w:rsidP="00A66E5B">
      <w:pPr>
        <w:pStyle w:val="MDPI31text"/>
        <w:numPr>
          <w:ilvl w:val="0"/>
          <w:numId w:val="24"/>
        </w:numPr>
        <w:rPr>
          <w:color w:val="000000" w:themeColor="text1"/>
        </w:rPr>
      </w:pPr>
      <w:r w:rsidRPr="006003A3">
        <w:rPr>
          <w:color w:val="000000" w:themeColor="text1"/>
        </w:rPr>
        <w:t>Medical records of patients with indications for antibiotic use within 48 hours of admission</w:t>
      </w:r>
    </w:p>
    <w:p w14:paraId="765729E5" w14:textId="60F7D7C4" w:rsidR="00141D05" w:rsidRPr="006003A3" w:rsidRDefault="003D68CC" w:rsidP="00681243">
      <w:pPr>
        <w:pStyle w:val="MDPI31text"/>
        <w:numPr>
          <w:ilvl w:val="0"/>
          <w:numId w:val="24"/>
        </w:numPr>
        <w:rPr>
          <w:color w:val="000000" w:themeColor="text1"/>
        </w:rPr>
      </w:pPr>
      <w:r w:rsidRPr="006003A3">
        <w:rPr>
          <w:color w:val="000000" w:themeColor="text1"/>
        </w:rPr>
        <w:t>Medical records of inpatients for 3 days or more</w:t>
      </w:r>
      <w:r w:rsidR="00141D05" w:rsidRPr="006003A3">
        <w:rPr>
          <w:color w:val="000000" w:themeColor="text1"/>
        </w:rPr>
        <w:t xml:space="preserve">. This date was chosen </w:t>
      </w:r>
      <w:r w:rsidR="00141D05" w:rsidRPr="006003A3">
        <w:rPr>
          <w:szCs w:val="20"/>
        </w:rPr>
        <w:t>to ensure that the selected cases were truly cases of CAP and patients had undergone a sufficiently long initial treatment period to allow meaningful analysis, i.e. helping to exclude cases of uncertain diagnosis. This is because we were aware that some children are admitted to hospitals in Vietnam with symptoms resembling pneumonia; however, this may be another infectious disease that quickly resolves. If the child is discharged or stops treatment within 1-2 days, it is likely that the initial diagnosis of pneumonia was incorrect. Consequently, setting a threshold of 3 days helps to eliminate these cases making the study patient group more homogeneous and robust,</w:t>
      </w:r>
    </w:p>
    <w:p w14:paraId="0E1BA84F" w14:textId="77777777" w:rsidR="00141D05" w:rsidRPr="006003A3" w:rsidRDefault="00141D05" w:rsidP="00681243">
      <w:pPr>
        <w:pStyle w:val="MDPI31text"/>
        <w:ind w:left="3420" w:firstLine="0"/>
        <w:rPr>
          <w:color w:val="000000" w:themeColor="text1"/>
        </w:rPr>
      </w:pPr>
    </w:p>
    <w:p w14:paraId="2CAEA892" w14:textId="77777777" w:rsidR="00A66E5B" w:rsidRDefault="00A66E5B" w:rsidP="00A66E5B">
      <w:pPr>
        <w:pStyle w:val="MDPI31text"/>
        <w:rPr>
          <w:color w:val="000000" w:themeColor="text1"/>
        </w:rPr>
      </w:pPr>
      <w:r w:rsidRPr="006003A3">
        <w:rPr>
          <w:color w:val="000000" w:themeColor="text1"/>
        </w:rPr>
        <w:t>The e</w:t>
      </w:r>
      <w:r w:rsidR="003D68CC" w:rsidRPr="006003A3">
        <w:rPr>
          <w:color w:val="000000" w:themeColor="text1"/>
        </w:rPr>
        <w:t>xclusion criteria</w:t>
      </w:r>
      <w:r w:rsidRPr="006003A3">
        <w:rPr>
          <w:color w:val="000000" w:themeColor="text1"/>
        </w:rPr>
        <w:t xml:space="preserve"> included:</w:t>
      </w:r>
    </w:p>
    <w:p w14:paraId="73CCBEF7" w14:textId="77777777" w:rsidR="00A66E5B" w:rsidRDefault="003D68CC" w:rsidP="00C94FBF">
      <w:pPr>
        <w:pStyle w:val="MDPI31text"/>
        <w:numPr>
          <w:ilvl w:val="0"/>
          <w:numId w:val="25"/>
        </w:numPr>
        <w:rPr>
          <w:color w:val="000000" w:themeColor="text1"/>
        </w:rPr>
      </w:pPr>
      <w:r w:rsidRPr="00837D85">
        <w:rPr>
          <w:color w:val="000000" w:themeColor="text1"/>
        </w:rPr>
        <w:t xml:space="preserve">Medical records </w:t>
      </w:r>
      <w:r w:rsidR="00A66E5B">
        <w:rPr>
          <w:color w:val="000000" w:themeColor="text1"/>
        </w:rPr>
        <w:t xml:space="preserve">of young children </w:t>
      </w:r>
      <w:r w:rsidRPr="00837D85">
        <w:rPr>
          <w:color w:val="000000" w:themeColor="text1"/>
        </w:rPr>
        <w:t xml:space="preserve">in which the diagnosis </w:t>
      </w:r>
      <w:r w:rsidR="00A66E5B">
        <w:rPr>
          <w:color w:val="000000" w:themeColor="text1"/>
        </w:rPr>
        <w:t xml:space="preserve">of </w:t>
      </w:r>
      <w:r w:rsidRPr="00837D85">
        <w:rPr>
          <w:color w:val="000000" w:themeColor="text1"/>
        </w:rPr>
        <w:t xml:space="preserve">pneumonia </w:t>
      </w:r>
      <w:r w:rsidR="00A66E5B">
        <w:rPr>
          <w:color w:val="000000" w:themeColor="text1"/>
        </w:rPr>
        <w:t xml:space="preserve">was not recorded </w:t>
      </w:r>
      <w:r w:rsidRPr="00837D85">
        <w:rPr>
          <w:color w:val="000000" w:themeColor="text1"/>
        </w:rPr>
        <w:t>within the first 48 hours of admission</w:t>
      </w:r>
    </w:p>
    <w:p w14:paraId="7E3988C1" w14:textId="7F237FBB" w:rsidR="00A66E5B" w:rsidRDefault="003D68CC" w:rsidP="00C94FBF">
      <w:pPr>
        <w:pStyle w:val="MDPI31text"/>
        <w:numPr>
          <w:ilvl w:val="0"/>
          <w:numId w:val="25"/>
        </w:numPr>
        <w:rPr>
          <w:color w:val="000000" w:themeColor="text1"/>
        </w:rPr>
      </w:pPr>
      <w:r w:rsidRPr="00837D85">
        <w:rPr>
          <w:color w:val="000000" w:themeColor="text1"/>
        </w:rPr>
        <w:t xml:space="preserve">Medical records of patients who </w:t>
      </w:r>
      <w:r w:rsidR="00183133">
        <w:rPr>
          <w:color w:val="000000" w:themeColor="text1"/>
        </w:rPr>
        <w:t xml:space="preserve">were subsequently </w:t>
      </w:r>
      <w:r w:rsidRPr="00837D85">
        <w:rPr>
          <w:color w:val="000000" w:themeColor="text1"/>
        </w:rPr>
        <w:t>transferred</w:t>
      </w:r>
      <w:r w:rsidR="00183133">
        <w:rPr>
          <w:color w:val="000000" w:themeColor="text1"/>
        </w:rPr>
        <w:t xml:space="preserve"> to another hospital</w:t>
      </w:r>
    </w:p>
    <w:p w14:paraId="30D051AF" w14:textId="77777777" w:rsidR="00A66E5B" w:rsidRDefault="00A66E5B" w:rsidP="00C94FBF">
      <w:pPr>
        <w:pStyle w:val="MDPI31text"/>
        <w:numPr>
          <w:ilvl w:val="0"/>
          <w:numId w:val="25"/>
        </w:numPr>
        <w:rPr>
          <w:color w:val="000000" w:themeColor="text1"/>
        </w:rPr>
      </w:pPr>
      <w:r>
        <w:rPr>
          <w:color w:val="000000" w:themeColor="text1"/>
        </w:rPr>
        <w:t>M</w:t>
      </w:r>
      <w:r w:rsidR="003D68CC" w:rsidRPr="00837D85">
        <w:rPr>
          <w:color w:val="000000" w:themeColor="text1"/>
        </w:rPr>
        <w:t>edical records</w:t>
      </w:r>
      <w:r>
        <w:rPr>
          <w:color w:val="000000" w:themeColor="text1"/>
        </w:rPr>
        <w:t xml:space="preserve"> that could not be accessed </w:t>
      </w:r>
    </w:p>
    <w:p w14:paraId="3CD72F07" w14:textId="77777777" w:rsidR="00A66E5B" w:rsidRDefault="00A66E5B" w:rsidP="00A66E5B">
      <w:pPr>
        <w:pStyle w:val="MDPI31text"/>
        <w:rPr>
          <w:color w:val="000000" w:themeColor="text1"/>
        </w:rPr>
      </w:pPr>
    </w:p>
    <w:p w14:paraId="6312EDFF" w14:textId="17C3E4D2" w:rsidR="003D68CC" w:rsidRPr="00F75D54" w:rsidRDefault="00A66E5B" w:rsidP="00A66E5B">
      <w:pPr>
        <w:pStyle w:val="MDPI31text"/>
        <w:rPr>
          <w:color w:val="000000" w:themeColor="text1"/>
          <w:lang w:val="en-GB"/>
        </w:rPr>
      </w:pPr>
      <w:r w:rsidRPr="00F75D54">
        <w:rPr>
          <w:color w:val="000000" w:themeColor="text1"/>
        </w:rPr>
        <w:t xml:space="preserve">The data was subsequently </w:t>
      </w:r>
      <w:r w:rsidR="003D68CC" w:rsidRPr="00F75D54">
        <w:rPr>
          <w:color w:val="000000" w:themeColor="text1"/>
          <w:lang w:val="vi-VN"/>
        </w:rPr>
        <w:t>analyzed using Microsoft Excel and IBM SPSS Statistics 20</w:t>
      </w:r>
      <w:r w:rsidRPr="00F75D54">
        <w:rPr>
          <w:color w:val="000000" w:themeColor="text1"/>
          <w:lang w:val="en-GB"/>
        </w:rPr>
        <w:t xml:space="preserve">. </w:t>
      </w:r>
      <w:r w:rsidRPr="00F75D54">
        <w:rPr>
          <w:color w:val="000000" w:themeColor="text1"/>
          <w:lang w:val="vi-VN"/>
        </w:rPr>
        <w:t xml:space="preserve">A total of 108 qualified medical records were involved in the quantitative research to determine the characteristics and appropriateness of antibiotic use in </w:t>
      </w:r>
      <w:r w:rsidRPr="00F75D54">
        <w:rPr>
          <w:color w:val="000000" w:themeColor="text1"/>
          <w:lang w:val="en-GB"/>
        </w:rPr>
        <w:t xml:space="preserve">treating children under 5 with CAP in the </w:t>
      </w:r>
      <w:r w:rsidRPr="00F75D54">
        <w:rPr>
          <w:color w:val="000000" w:themeColor="text1"/>
          <w:lang w:val="vi-VN"/>
        </w:rPr>
        <w:t>pediatric</w:t>
      </w:r>
      <w:r w:rsidRPr="00F75D54">
        <w:rPr>
          <w:color w:val="000000" w:themeColor="text1"/>
          <w:lang w:val="en-GB"/>
        </w:rPr>
        <w:t xml:space="preserve"> department </w:t>
      </w:r>
      <w:r w:rsidRPr="00F75D54">
        <w:rPr>
          <w:color w:val="000000" w:themeColor="text1"/>
          <w:lang w:val="vi-VN"/>
        </w:rPr>
        <w:t>at E Hospital.</w:t>
      </w:r>
    </w:p>
    <w:p w14:paraId="57BDC827" w14:textId="164B7A3D" w:rsidR="00DD0E2D" w:rsidRPr="00F75D54" w:rsidRDefault="00DD0E2D" w:rsidP="00A66E5B">
      <w:pPr>
        <w:pStyle w:val="MDPI31text"/>
        <w:rPr>
          <w:color w:val="000000" w:themeColor="text1"/>
          <w:lang w:val="en-GB"/>
        </w:rPr>
      </w:pPr>
      <w:r w:rsidRPr="00F75D54">
        <w:rPr>
          <w:color w:val="000000" w:themeColor="text1"/>
          <w:lang w:val="en-GB"/>
        </w:rPr>
        <w:t>The interview guide was developed based on the literature alongside the considerable experience of the co-authors</w:t>
      </w:r>
      <w:r w:rsidR="00EC75A8">
        <w:rPr>
          <w:color w:val="000000" w:themeColor="text1"/>
          <w:lang w:val="en-GB"/>
        </w:rPr>
        <w:t xml:space="preserve"> conducting studies of this nature to provide future guidance</w:t>
      </w:r>
      <w:r w:rsidRPr="00F75D54">
        <w:rPr>
          <w:color w:val="000000" w:themeColor="text1"/>
          <w:lang w:val="en-GB"/>
        </w:rPr>
        <w:t xml:space="preserve">. We have used this method before when conducting interviews </w:t>
      </w:r>
      <w:r w:rsidR="00EC75A8">
        <w:rPr>
          <w:color w:val="000000" w:themeColor="text1"/>
          <w:lang w:val="en-GB"/>
        </w:rPr>
        <w:t>with key stakeholders to provide future direction</w:t>
      </w:r>
      <w:r w:rsidR="004B6C25" w:rsidRPr="00F75D54" w:rsidDel="004B6C25">
        <w:rPr>
          <w:color w:val="000000" w:themeColor="text1"/>
          <w:lang w:val="en-GB"/>
        </w:rPr>
        <w:t xml:space="preserve"> </w:t>
      </w:r>
      <w:r w:rsidR="004B6C25">
        <w:rPr>
          <w:color w:val="000000" w:themeColor="text1"/>
          <w:lang w:val="en-GB"/>
        </w:rPr>
        <w:t>[10</w:t>
      </w:r>
      <w:r w:rsidR="000D04B1">
        <w:rPr>
          <w:color w:val="000000" w:themeColor="text1"/>
          <w:lang w:val="en-GB"/>
        </w:rPr>
        <w:t>6</w:t>
      </w:r>
      <w:r w:rsidR="004B6C25">
        <w:rPr>
          <w:color w:val="000000" w:themeColor="text1"/>
          <w:lang w:val="en-GB"/>
        </w:rPr>
        <w:t>-10</w:t>
      </w:r>
      <w:r w:rsidR="000D04B1">
        <w:rPr>
          <w:color w:val="000000" w:themeColor="text1"/>
          <w:lang w:val="en-GB"/>
        </w:rPr>
        <w:t>8</w:t>
      </w:r>
      <w:r w:rsidR="004B6C25">
        <w:rPr>
          <w:color w:val="000000" w:themeColor="text1"/>
          <w:lang w:val="en-GB"/>
        </w:rPr>
        <w:t>]</w:t>
      </w:r>
      <w:r w:rsidRPr="00F75D54">
        <w:rPr>
          <w:color w:val="000000" w:themeColor="text1"/>
          <w:lang w:val="en-GB"/>
        </w:rPr>
        <w:t xml:space="preserve">. </w:t>
      </w:r>
    </w:p>
    <w:p w14:paraId="5074492C" w14:textId="3924FD0A" w:rsidR="00FA633F" w:rsidRPr="00F75D54" w:rsidRDefault="00EC75A8" w:rsidP="00FA633F">
      <w:pPr>
        <w:pStyle w:val="MDPI31text"/>
        <w:rPr>
          <w:color w:val="000000" w:themeColor="text1"/>
          <w:lang w:val="en-GB"/>
        </w:rPr>
      </w:pPr>
      <w:r>
        <w:rPr>
          <w:color w:val="000000" w:themeColor="text1"/>
          <w:lang w:val="en-GB"/>
        </w:rPr>
        <w:t>All f</w:t>
      </w:r>
      <w:r w:rsidR="00F75D54" w:rsidRPr="00F75D54">
        <w:rPr>
          <w:color w:val="000000" w:themeColor="text1"/>
          <w:lang w:val="en-GB"/>
        </w:rPr>
        <w:t>ive</w:t>
      </w:r>
      <w:r w:rsidR="004A6A6F" w:rsidRPr="00F75D54">
        <w:rPr>
          <w:color w:val="000000" w:themeColor="text1"/>
          <w:lang w:val="en-GB"/>
        </w:rPr>
        <w:t xml:space="preserve"> </w:t>
      </w:r>
      <w:r>
        <w:rPr>
          <w:color w:val="000000" w:themeColor="text1"/>
          <w:lang w:val="en-GB"/>
        </w:rPr>
        <w:t>p</w:t>
      </w:r>
      <w:r w:rsidR="00DD0E2D" w:rsidRPr="00F75D54">
        <w:rPr>
          <w:color w:val="000000" w:themeColor="text1"/>
          <w:lang w:val="en-GB"/>
        </w:rPr>
        <w:t xml:space="preserve">aediatricians </w:t>
      </w:r>
      <w:r w:rsidR="00F75D54" w:rsidRPr="00F75D54">
        <w:rPr>
          <w:color w:val="000000" w:themeColor="text1"/>
          <w:lang w:val="en-GB"/>
        </w:rPr>
        <w:t xml:space="preserve">in the hospital </w:t>
      </w:r>
      <w:r w:rsidR="00DD0E2D" w:rsidRPr="00F75D54">
        <w:rPr>
          <w:color w:val="000000" w:themeColor="text1"/>
          <w:lang w:val="en-GB"/>
        </w:rPr>
        <w:t xml:space="preserve">were approached </w:t>
      </w:r>
      <w:r w:rsidR="00F75D54" w:rsidRPr="00F75D54">
        <w:rPr>
          <w:color w:val="000000" w:themeColor="text1"/>
          <w:lang w:val="en-GB"/>
        </w:rPr>
        <w:t xml:space="preserve">for interviews </w:t>
      </w:r>
      <w:r w:rsidR="00DD0E2D" w:rsidRPr="00F75D54">
        <w:rPr>
          <w:color w:val="000000" w:themeColor="text1"/>
          <w:lang w:val="en-GB"/>
        </w:rPr>
        <w:t xml:space="preserve">and </w:t>
      </w:r>
      <w:r w:rsidR="00F75D54" w:rsidRPr="00F75D54">
        <w:rPr>
          <w:color w:val="000000" w:themeColor="text1"/>
          <w:lang w:val="en-GB"/>
        </w:rPr>
        <w:t>all five</w:t>
      </w:r>
      <w:r w:rsidR="00DD0E2D" w:rsidRPr="00F75D54">
        <w:rPr>
          <w:color w:val="000000" w:themeColor="text1"/>
          <w:lang w:val="en-GB"/>
        </w:rPr>
        <w:t xml:space="preserve"> agreed to participate. This represented </w:t>
      </w:r>
      <w:r w:rsidR="004A6A6F" w:rsidRPr="00F75D54">
        <w:rPr>
          <w:color w:val="000000" w:themeColor="text1"/>
          <w:lang w:val="en-GB"/>
        </w:rPr>
        <w:t xml:space="preserve">100 </w:t>
      </w:r>
      <w:r w:rsidR="00DD0E2D" w:rsidRPr="00F75D54">
        <w:rPr>
          <w:color w:val="000000" w:themeColor="text1"/>
          <w:lang w:val="en-GB"/>
        </w:rPr>
        <w:t>% of</w:t>
      </w:r>
      <w:r w:rsidR="00FA633F" w:rsidRPr="00F75D54">
        <w:rPr>
          <w:color w:val="000000" w:themeColor="text1"/>
          <w:lang w:val="en-GB"/>
        </w:rPr>
        <w:t xml:space="preserve"> the total number of </w:t>
      </w:r>
      <w:r>
        <w:rPr>
          <w:color w:val="000000" w:themeColor="text1"/>
          <w:lang w:val="en-GB"/>
        </w:rPr>
        <w:t>p</w:t>
      </w:r>
      <w:r w:rsidR="00FA633F" w:rsidRPr="00F75D54">
        <w:rPr>
          <w:color w:val="000000" w:themeColor="text1"/>
          <w:lang w:val="en-GB"/>
        </w:rPr>
        <w:t xml:space="preserve">aediatricians treating children with LRTIs in E Hospital. The paediatricians gave their informed consent verbally </w:t>
      </w:r>
      <w:r>
        <w:rPr>
          <w:color w:val="000000" w:themeColor="text1"/>
          <w:lang w:val="en-GB"/>
        </w:rPr>
        <w:t xml:space="preserve">to be interviewed and </w:t>
      </w:r>
      <w:r w:rsidR="00FA633F" w:rsidRPr="00F75D54">
        <w:rPr>
          <w:color w:val="000000" w:themeColor="text1"/>
          <w:lang w:val="en-GB"/>
        </w:rPr>
        <w:t>that the interview</w:t>
      </w:r>
      <w:r w:rsidR="00F75D54" w:rsidRPr="00F75D54">
        <w:rPr>
          <w:color w:val="000000" w:themeColor="text1"/>
          <w:lang w:val="en-GB"/>
        </w:rPr>
        <w:t>s</w:t>
      </w:r>
      <w:r w:rsidR="00FA633F" w:rsidRPr="00F75D54">
        <w:rPr>
          <w:color w:val="000000" w:themeColor="text1"/>
          <w:lang w:val="en-GB"/>
        </w:rPr>
        <w:t xml:space="preserve"> could be taped prior to their interview</w:t>
      </w:r>
      <w:r>
        <w:rPr>
          <w:color w:val="000000" w:themeColor="text1"/>
          <w:lang w:val="en-GB"/>
        </w:rPr>
        <w:t xml:space="preserve"> to enhance analysis</w:t>
      </w:r>
      <w:r w:rsidR="00FA633F" w:rsidRPr="00F75D54">
        <w:rPr>
          <w:color w:val="000000" w:themeColor="text1"/>
          <w:lang w:val="en-GB"/>
        </w:rPr>
        <w:t>.</w:t>
      </w:r>
    </w:p>
    <w:p w14:paraId="7E54EC9B" w14:textId="72FF451B" w:rsidR="00BF7244" w:rsidRPr="006003A3" w:rsidRDefault="00FA633F" w:rsidP="00BF7244">
      <w:pPr>
        <w:pStyle w:val="MDPI31text"/>
        <w:rPr>
          <w:color w:val="auto"/>
        </w:rPr>
      </w:pPr>
      <w:r w:rsidRPr="006003A3">
        <w:rPr>
          <w:color w:val="auto"/>
          <w:lang w:val="en-GB"/>
        </w:rPr>
        <w:t xml:space="preserve">The findings from the </w:t>
      </w:r>
      <w:r w:rsidR="003D68CC" w:rsidRPr="006003A3">
        <w:rPr>
          <w:color w:val="auto"/>
          <w:lang w:val="vi-VN"/>
        </w:rPr>
        <w:t>in-depth interview</w:t>
      </w:r>
      <w:r w:rsidRPr="006003A3">
        <w:rPr>
          <w:color w:val="auto"/>
          <w:lang w:val="en-GB"/>
        </w:rPr>
        <w:t xml:space="preserve">s </w:t>
      </w:r>
      <w:r w:rsidR="003D68CC" w:rsidRPr="006003A3">
        <w:rPr>
          <w:color w:val="auto"/>
          <w:lang w:val="vi-VN"/>
        </w:rPr>
        <w:t>w</w:t>
      </w:r>
      <w:r w:rsidRPr="006003A3">
        <w:rPr>
          <w:color w:val="auto"/>
          <w:lang w:val="en-GB"/>
        </w:rPr>
        <w:t xml:space="preserve">ere subsequently </w:t>
      </w:r>
      <w:r w:rsidR="003D68CC" w:rsidRPr="006003A3">
        <w:rPr>
          <w:color w:val="auto"/>
          <w:lang w:val="vi-VN"/>
        </w:rPr>
        <w:t xml:space="preserve">transcribed, imported into NVivo version 10, and analyzed by </w:t>
      </w:r>
      <w:r w:rsidR="00BF7244" w:rsidRPr="006003A3">
        <w:rPr>
          <w:color w:val="auto"/>
        </w:rPr>
        <w:t xml:space="preserve">thematic analysis. Two researchers independently coded and discussed </w:t>
      </w:r>
      <w:r w:rsidR="00661D77" w:rsidRPr="006003A3">
        <w:rPr>
          <w:color w:val="auto"/>
        </w:rPr>
        <w:t xml:space="preserve">the findings </w:t>
      </w:r>
      <w:r w:rsidR="00BF7244" w:rsidRPr="006003A3">
        <w:rPr>
          <w:color w:val="auto"/>
        </w:rPr>
        <w:t xml:space="preserve">to reach </w:t>
      </w:r>
      <w:r w:rsidR="00661D77" w:rsidRPr="006003A3">
        <w:rPr>
          <w:color w:val="auto"/>
        </w:rPr>
        <w:t xml:space="preserve">a </w:t>
      </w:r>
      <w:r w:rsidR="00BF7244" w:rsidRPr="006003A3">
        <w:rPr>
          <w:color w:val="auto"/>
        </w:rPr>
        <w:t>consensus to ensure reliability</w:t>
      </w:r>
      <w:r w:rsidR="00661D77" w:rsidRPr="006003A3">
        <w:rPr>
          <w:color w:val="auto"/>
        </w:rPr>
        <w:t xml:space="preserve"> and robustness in the findings</w:t>
      </w:r>
      <w:r w:rsidR="00BF7244" w:rsidRPr="006003A3">
        <w:rPr>
          <w:color w:val="auto"/>
        </w:rPr>
        <w:t>. The analysis was guided by an inductive approach, with themes drawn from the data itself.</w:t>
      </w:r>
    </w:p>
    <w:p w14:paraId="5F1F00F3" w14:textId="2FD38092" w:rsidR="00FA633F" w:rsidRPr="00FA633F" w:rsidRDefault="00FA633F" w:rsidP="00FA633F">
      <w:pPr>
        <w:pStyle w:val="MDPI31text"/>
        <w:rPr>
          <w:i/>
          <w:iCs/>
          <w:color w:val="000000" w:themeColor="text1"/>
          <w:lang w:val="en-GB"/>
        </w:rPr>
      </w:pPr>
      <w:r>
        <w:rPr>
          <w:color w:val="000000" w:themeColor="text1"/>
          <w:lang w:val="en-GB"/>
        </w:rPr>
        <w:t xml:space="preserve">4.3 </w:t>
      </w:r>
      <w:r>
        <w:rPr>
          <w:i/>
          <w:iCs/>
          <w:color w:val="000000" w:themeColor="text1"/>
          <w:lang w:val="en-GB"/>
        </w:rPr>
        <w:t>Ethical Approval</w:t>
      </w:r>
    </w:p>
    <w:p w14:paraId="1D8B9329" w14:textId="74295BA9" w:rsidR="00FA633F" w:rsidRPr="00182030" w:rsidRDefault="004A6A6F" w:rsidP="00FA633F">
      <w:pPr>
        <w:pStyle w:val="MDPI31text"/>
        <w:rPr>
          <w:color w:val="auto"/>
          <w:lang w:val="en-GB"/>
        </w:rPr>
      </w:pPr>
      <w:r w:rsidRPr="00182030">
        <w:rPr>
          <w:color w:val="auto"/>
          <w:lang w:val="en"/>
        </w:rPr>
        <w:t>The study was approved by the ethics committee of E hospital according to the minutes attached to decision No. 1054/QD-BVE dated April 18, 2023.</w:t>
      </w:r>
    </w:p>
    <w:p w14:paraId="0C855DBD" w14:textId="77777777" w:rsidR="00BD71FA" w:rsidRPr="00517440" w:rsidRDefault="00BD71FA" w:rsidP="00BD71FA">
      <w:pPr>
        <w:pStyle w:val="MDPI21heading1"/>
      </w:pPr>
      <w:r w:rsidRPr="00517440">
        <w:t>5. Conclusions</w:t>
      </w:r>
    </w:p>
    <w:p w14:paraId="62145779" w14:textId="77777777" w:rsidR="000523DB" w:rsidRDefault="00F75D54" w:rsidP="00FF2840">
      <w:pPr>
        <w:pStyle w:val="MDPI31text"/>
        <w:rPr>
          <w:color w:val="auto"/>
          <w:szCs w:val="20"/>
          <w:lang w:val="en-GB"/>
        </w:rPr>
      </w:pPr>
      <w:r w:rsidRPr="006003A3">
        <w:rPr>
          <w:szCs w:val="20"/>
        </w:rPr>
        <w:t xml:space="preserve">There were concerns with low adherence to current CAP guidelines for the management of hospitalized neonates and children in </w:t>
      </w:r>
      <w:r w:rsidR="007D5387" w:rsidRPr="006003A3">
        <w:rPr>
          <w:szCs w:val="20"/>
        </w:rPr>
        <w:t xml:space="preserve">this hospital in </w:t>
      </w:r>
      <w:r w:rsidRPr="006003A3">
        <w:rPr>
          <w:szCs w:val="20"/>
        </w:rPr>
        <w:t>Vietnam</w:t>
      </w:r>
      <w:r w:rsidR="005246FA" w:rsidRPr="006003A3">
        <w:rPr>
          <w:szCs w:val="20"/>
        </w:rPr>
        <w:t xml:space="preserve">, reflecting the situation </w:t>
      </w:r>
      <w:r w:rsidR="008F7DBB">
        <w:rPr>
          <w:szCs w:val="20"/>
        </w:rPr>
        <w:t xml:space="preserve">previously </w:t>
      </w:r>
      <w:r w:rsidR="005246FA" w:rsidRPr="006003A3">
        <w:rPr>
          <w:szCs w:val="20"/>
        </w:rPr>
        <w:t>in other hospitals in Vietnam</w:t>
      </w:r>
      <w:r w:rsidRPr="006003A3">
        <w:rPr>
          <w:szCs w:val="20"/>
        </w:rPr>
        <w:t xml:space="preserve">. Alongside this, </w:t>
      </w:r>
      <w:r w:rsidR="007D5387" w:rsidRPr="006003A3">
        <w:rPr>
          <w:szCs w:val="20"/>
        </w:rPr>
        <w:t xml:space="preserve">issues with </w:t>
      </w:r>
      <w:r w:rsidRPr="006003A3">
        <w:rPr>
          <w:szCs w:val="20"/>
        </w:rPr>
        <w:t xml:space="preserve">high rates of parenteral </w:t>
      </w:r>
      <w:r w:rsidR="005246FA" w:rsidRPr="006003A3">
        <w:rPr>
          <w:szCs w:val="20"/>
        </w:rPr>
        <w:t xml:space="preserve">antibiotic </w:t>
      </w:r>
      <w:r w:rsidRPr="006003A3">
        <w:rPr>
          <w:szCs w:val="20"/>
        </w:rPr>
        <w:t xml:space="preserve">administration with limited evidence of </w:t>
      </w:r>
      <w:r w:rsidRPr="006003A3">
        <w:rPr>
          <w:color w:val="auto"/>
          <w:szCs w:val="20"/>
        </w:rPr>
        <w:t>step-down to oral therapy. There were also concerns that current CAP guidelines published in 2015 are now out-of-date</w:t>
      </w:r>
      <w:r w:rsidR="005246FA" w:rsidRPr="006003A3">
        <w:rPr>
          <w:color w:val="auto"/>
          <w:szCs w:val="20"/>
        </w:rPr>
        <w:t xml:space="preserve">. Urgent activities </w:t>
      </w:r>
      <w:r w:rsidR="008F7DBB">
        <w:rPr>
          <w:color w:val="auto"/>
          <w:szCs w:val="20"/>
        </w:rPr>
        <w:t xml:space="preserve">are needed </w:t>
      </w:r>
      <w:r w:rsidR="005246FA" w:rsidRPr="006003A3">
        <w:rPr>
          <w:color w:val="auto"/>
          <w:szCs w:val="20"/>
        </w:rPr>
        <w:t>to improve future prescribing, and reduce AMR,</w:t>
      </w:r>
      <w:r w:rsidR="008F7DBB">
        <w:rPr>
          <w:color w:val="auto"/>
          <w:szCs w:val="20"/>
        </w:rPr>
        <w:t xml:space="preserve"> in the country among this population. Initial activities</w:t>
      </w:r>
      <w:r w:rsidR="005246FA" w:rsidRPr="006003A3">
        <w:rPr>
          <w:color w:val="auto"/>
          <w:szCs w:val="20"/>
        </w:rPr>
        <w:t xml:space="preserve"> </w:t>
      </w:r>
      <w:r w:rsidR="005246FA" w:rsidRPr="006003A3">
        <w:rPr>
          <w:rFonts w:ascii="Arial" w:eastAsiaTheme="minorHAnsi" w:hAnsi="Arial" w:cs="Arial"/>
          <w:snapToGrid/>
          <w:color w:val="auto"/>
          <w:kern w:val="2"/>
          <w:szCs w:val="20"/>
          <w:lang w:val="en-GB" w:eastAsia="en-US" w:bidi="ar-SA"/>
          <w14:ligatures w14:val="standardContextual"/>
        </w:rPr>
        <w:t xml:space="preserve">include the </w:t>
      </w:r>
      <w:r w:rsidR="00BF7244" w:rsidRPr="006003A3">
        <w:rPr>
          <w:color w:val="auto"/>
          <w:szCs w:val="20"/>
          <w:lang w:val="en-GB"/>
        </w:rPr>
        <w:t>Ministry of Health updat</w:t>
      </w:r>
      <w:r w:rsidR="005246FA" w:rsidRPr="006003A3">
        <w:rPr>
          <w:color w:val="auto"/>
          <w:szCs w:val="20"/>
          <w:lang w:val="en-GB"/>
        </w:rPr>
        <w:t>ing</w:t>
      </w:r>
      <w:r w:rsidR="00BF7244" w:rsidRPr="006003A3">
        <w:rPr>
          <w:color w:val="auto"/>
          <w:szCs w:val="20"/>
          <w:lang w:val="en-GB"/>
        </w:rPr>
        <w:t xml:space="preserve"> </w:t>
      </w:r>
      <w:r w:rsidR="008F7DBB">
        <w:rPr>
          <w:color w:val="auto"/>
          <w:szCs w:val="20"/>
          <w:lang w:val="en-GB"/>
        </w:rPr>
        <w:t xml:space="preserve">the </w:t>
      </w:r>
      <w:r w:rsidR="00BF7244" w:rsidRPr="006003A3">
        <w:rPr>
          <w:color w:val="auto"/>
          <w:szCs w:val="20"/>
          <w:lang w:val="en-GB"/>
        </w:rPr>
        <w:t>national guidelines</w:t>
      </w:r>
      <w:r w:rsidR="008F7DBB">
        <w:rPr>
          <w:color w:val="auto"/>
          <w:szCs w:val="20"/>
          <w:lang w:val="en-GB"/>
        </w:rPr>
        <w:t xml:space="preserve"> since these were last updated in 20</w:t>
      </w:r>
      <w:r w:rsidR="00027F3A">
        <w:rPr>
          <w:color w:val="auto"/>
          <w:szCs w:val="20"/>
          <w:lang w:val="en-GB"/>
        </w:rPr>
        <w:t>1</w:t>
      </w:r>
      <w:r w:rsidR="008F7DBB">
        <w:rPr>
          <w:color w:val="auto"/>
          <w:szCs w:val="20"/>
          <w:lang w:val="en-GB"/>
        </w:rPr>
        <w:t xml:space="preserve">5 and there has been considerable growth in AMR since then. </w:t>
      </w:r>
      <w:r w:rsidR="00027F3A">
        <w:rPr>
          <w:color w:val="auto"/>
          <w:szCs w:val="20"/>
          <w:lang w:val="en-GB"/>
        </w:rPr>
        <w:t>Future guidelines</w:t>
      </w:r>
      <w:r w:rsidR="00CD779D">
        <w:rPr>
          <w:color w:val="auto"/>
          <w:szCs w:val="20"/>
          <w:lang w:val="en-GB"/>
        </w:rPr>
        <w:t xml:space="preserve"> </w:t>
      </w:r>
      <w:r w:rsidR="00027F3A">
        <w:rPr>
          <w:color w:val="auto"/>
          <w:szCs w:val="20"/>
          <w:lang w:val="en-GB"/>
        </w:rPr>
        <w:t xml:space="preserve">for children hospitalised with CAP </w:t>
      </w:r>
      <w:r w:rsidR="00CD779D">
        <w:rPr>
          <w:color w:val="auto"/>
          <w:szCs w:val="20"/>
          <w:lang w:val="en-GB"/>
        </w:rPr>
        <w:t xml:space="preserve">should be based on the WHO </w:t>
      </w:r>
      <w:proofErr w:type="spellStart"/>
      <w:r w:rsidR="00CD779D">
        <w:rPr>
          <w:color w:val="auto"/>
          <w:szCs w:val="20"/>
          <w:lang w:val="en-GB"/>
        </w:rPr>
        <w:t>AWaRe</w:t>
      </w:r>
      <w:proofErr w:type="spellEnd"/>
      <w:r w:rsidR="00CD779D">
        <w:rPr>
          <w:color w:val="auto"/>
          <w:szCs w:val="20"/>
          <w:lang w:val="en-GB"/>
        </w:rPr>
        <w:t xml:space="preserve"> guidance, modified for local resistance patterns</w:t>
      </w:r>
      <w:r w:rsidR="002D1BF5">
        <w:rPr>
          <w:color w:val="auto"/>
          <w:szCs w:val="20"/>
          <w:lang w:val="en-GB"/>
        </w:rPr>
        <w:t>, and include re-appraising the classification system given current concerns</w:t>
      </w:r>
      <w:r w:rsidR="00CD779D">
        <w:rPr>
          <w:color w:val="auto"/>
          <w:szCs w:val="20"/>
          <w:lang w:val="en-GB"/>
        </w:rPr>
        <w:t>. Subsequently updated</w:t>
      </w:r>
      <w:r w:rsidR="00BF7244" w:rsidRPr="006003A3">
        <w:rPr>
          <w:color w:val="auto"/>
          <w:szCs w:val="20"/>
          <w:lang w:val="en-GB"/>
        </w:rPr>
        <w:t xml:space="preserve"> every 5 years</w:t>
      </w:r>
      <w:r w:rsidR="00CD779D">
        <w:rPr>
          <w:color w:val="auto"/>
          <w:szCs w:val="20"/>
          <w:lang w:val="en-GB"/>
        </w:rPr>
        <w:t xml:space="preserve"> to reflect </w:t>
      </w:r>
      <w:r w:rsidR="00027F3A">
        <w:rPr>
          <w:color w:val="auto"/>
          <w:szCs w:val="20"/>
          <w:lang w:val="en-GB"/>
        </w:rPr>
        <w:t xml:space="preserve">any </w:t>
      </w:r>
      <w:r w:rsidR="00CD779D">
        <w:rPr>
          <w:color w:val="auto"/>
          <w:szCs w:val="20"/>
          <w:lang w:val="en-GB"/>
        </w:rPr>
        <w:t>changes i</w:t>
      </w:r>
      <w:r w:rsidR="00027F3A">
        <w:rPr>
          <w:color w:val="auto"/>
          <w:szCs w:val="20"/>
          <w:lang w:val="en-GB"/>
        </w:rPr>
        <w:t>n</w:t>
      </w:r>
      <w:r w:rsidR="00CD779D">
        <w:rPr>
          <w:color w:val="auto"/>
          <w:szCs w:val="20"/>
          <w:lang w:val="en-GB"/>
        </w:rPr>
        <w:t xml:space="preserve"> antimicrobial resistance patterns in Vietnam</w:t>
      </w:r>
      <w:r w:rsidR="005246FA" w:rsidRPr="006003A3">
        <w:rPr>
          <w:color w:val="auto"/>
          <w:szCs w:val="20"/>
          <w:lang w:val="en-GB"/>
        </w:rPr>
        <w:t xml:space="preserve">. </w:t>
      </w:r>
      <w:r w:rsidR="00CD779D">
        <w:rPr>
          <w:color w:val="auto"/>
          <w:szCs w:val="20"/>
          <w:lang w:val="en-GB"/>
        </w:rPr>
        <w:t xml:space="preserve">Once updated, educational activities need to </w:t>
      </w:r>
      <w:r w:rsidR="00027F3A">
        <w:rPr>
          <w:color w:val="auto"/>
          <w:szCs w:val="20"/>
          <w:lang w:val="en-GB"/>
        </w:rPr>
        <w:t>be instigated</w:t>
      </w:r>
      <w:r w:rsidR="00CD779D">
        <w:rPr>
          <w:color w:val="auto"/>
          <w:szCs w:val="20"/>
          <w:lang w:val="en-GB"/>
        </w:rPr>
        <w:t xml:space="preserve"> among all key stakeholder groups to review and implement the </w:t>
      </w:r>
      <w:r w:rsidR="00027F3A">
        <w:rPr>
          <w:color w:val="auto"/>
          <w:szCs w:val="20"/>
          <w:lang w:val="en-GB"/>
        </w:rPr>
        <w:t xml:space="preserve">updated </w:t>
      </w:r>
      <w:r w:rsidR="00CD779D">
        <w:rPr>
          <w:color w:val="auto"/>
          <w:szCs w:val="20"/>
          <w:lang w:val="en-GB"/>
        </w:rPr>
        <w:t>guidelines. The</w:t>
      </w:r>
      <w:r w:rsidR="00BF7244" w:rsidRPr="006003A3">
        <w:rPr>
          <w:color w:val="auto"/>
          <w:szCs w:val="20"/>
          <w:lang w:val="en-GB"/>
        </w:rPr>
        <w:t xml:space="preserve"> </w:t>
      </w:r>
      <w:r w:rsidR="00FF2840" w:rsidRPr="006003A3">
        <w:rPr>
          <w:color w:val="auto"/>
          <w:szCs w:val="20"/>
          <w:lang w:val="en-GB"/>
        </w:rPr>
        <w:t xml:space="preserve">Pharmacy Departments </w:t>
      </w:r>
      <w:r w:rsidR="00027F3A">
        <w:rPr>
          <w:color w:val="auto"/>
          <w:szCs w:val="20"/>
          <w:lang w:val="en-GB"/>
        </w:rPr>
        <w:t xml:space="preserve">in hospitals </w:t>
      </w:r>
      <w:r w:rsidR="00A11897" w:rsidRPr="006003A3">
        <w:rPr>
          <w:color w:val="auto"/>
          <w:szCs w:val="20"/>
          <w:lang w:val="en-GB"/>
        </w:rPr>
        <w:t xml:space="preserve">can </w:t>
      </w:r>
      <w:r w:rsidR="00CD779D">
        <w:rPr>
          <w:color w:val="auto"/>
          <w:szCs w:val="20"/>
          <w:lang w:val="en-GB"/>
        </w:rPr>
        <w:t xml:space="preserve">play a lead role in this </w:t>
      </w:r>
      <w:r w:rsidR="00027F3A">
        <w:rPr>
          <w:color w:val="auto"/>
          <w:szCs w:val="20"/>
          <w:lang w:val="en-GB"/>
        </w:rPr>
        <w:t xml:space="preserve">respect </w:t>
      </w:r>
      <w:r w:rsidR="00CD779D">
        <w:rPr>
          <w:color w:val="auto"/>
          <w:szCs w:val="20"/>
          <w:lang w:val="en-GB"/>
        </w:rPr>
        <w:t xml:space="preserve">through helping to </w:t>
      </w:r>
      <w:r w:rsidR="00A11897" w:rsidRPr="006003A3">
        <w:rPr>
          <w:color w:val="auto"/>
          <w:szCs w:val="20"/>
          <w:lang w:val="en-GB"/>
        </w:rPr>
        <w:t>undertake</w:t>
      </w:r>
      <w:r w:rsidR="00FF2840" w:rsidRPr="006003A3">
        <w:rPr>
          <w:color w:val="auto"/>
          <w:szCs w:val="20"/>
          <w:lang w:val="en-GB"/>
        </w:rPr>
        <w:t xml:space="preserve"> training </w:t>
      </w:r>
      <w:r w:rsidR="00CD779D">
        <w:rPr>
          <w:color w:val="auto"/>
          <w:szCs w:val="20"/>
          <w:lang w:val="en-GB"/>
        </w:rPr>
        <w:t xml:space="preserve">of key HCPs within the hospital </w:t>
      </w:r>
      <w:r w:rsidR="00EF19A1" w:rsidRPr="006003A3">
        <w:rPr>
          <w:color w:val="auto"/>
          <w:szCs w:val="20"/>
          <w:lang w:val="en-GB"/>
        </w:rPr>
        <w:t>as well as</w:t>
      </w:r>
      <w:r w:rsidR="00FF2840" w:rsidRPr="006003A3">
        <w:rPr>
          <w:color w:val="auto"/>
          <w:szCs w:val="20"/>
          <w:lang w:val="en-GB"/>
        </w:rPr>
        <w:t xml:space="preserve"> set</w:t>
      </w:r>
      <w:r w:rsidR="00EF19A1" w:rsidRPr="006003A3">
        <w:rPr>
          <w:color w:val="auto"/>
          <w:szCs w:val="20"/>
          <w:lang w:val="en-GB"/>
        </w:rPr>
        <w:t>ting</w:t>
      </w:r>
      <w:r w:rsidR="00FF2840" w:rsidRPr="006003A3">
        <w:rPr>
          <w:color w:val="auto"/>
          <w:szCs w:val="20"/>
          <w:lang w:val="en-GB"/>
        </w:rPr>
        <w:t xml:space="preserve"> warnings </w:t>
      </w:r>
      <w:r w:rsidR="00CD779D">
        <w:rPr>
          <w:color w:val="auto"/>
          <w:szCs w:val="20"/>
          <w:lang w:val="en-GB"/>
        </w:rPr>
        <w:t xml:space="preserve">with prescribers </w:t>
      </w:r>
      <w:r w:rsidR="00EF19A1" w:rsidRPr="006003A3">
        <w:rPr>
          <w:color w:val="auto"/>
          <w:szCs w:val="20"/>
          <w:lang w:val="en-GB"/>
        </w:rPr>
        <w:t xml:space="preserve">regarding </w:t>
      </w:r>
      <w:r w:rsidR="00CD779D">
        <w:rPr>
          <w:color w:val="auto"/>
          <w:szCs w:val="20"/>
          <w:lang w:val="en-GB"/>
        </w:rPr>
        <w:t xml:space="preserve">appropriate </w:t>
      </w:r>
      <w:r w:rsidR="00FF2840" w:rsidRPr="006003A3">
        <w:rPr>
          <w:color w:val="auto"/>
          <w:szCs w:val="20"/>
          <w:lang w:val="en-GB"/>
        </w:rPr>
        <w:t>dos</w:t>
      </w:r>
      <w:r w:rsidR="00EF19A1" w:rsidRPr="006003A3">
        <w:rPr>
          <w:color w:val="auto"/>
          <w:szCs w:val="20"/>
          <w:lang w:val="en-GB"/>
        </w:rPr>
        <w:t>ing of</w:t>
      </w:r>
      <w:r w:rsidR="00FF2840" w:rsidRPr="006003A3">
        <w:rPr>
          <w:color w:val="auto"/>
          <w:szCs w:val="20"/>
          <w:lang w:val="en-GB"/>
        </w:rPr>
        <w:t xml:space="preserve"> antibiotic</w:t>
      </w:r>
      <w:r w:rsidR="00EF19A1" w:rsidRPr="006003A3">
        <w:rPr>
          <w:color w:val="auto"/>
          <w:szCs w:val="20"/>
          <w:lang w:val="en-GB"/>
        </w:rPr>
        <w:t>s in neonates and children, potentially enhanced by</w:t>
      </w:r>
      <w:r w:rsidR="00FF2840" w:rsidRPr="006003A3">
        <w:rPr>
          <w:color w:val="auto"/>
          <w:szCs w:val="20"/>
          <w:lang w:val="en-GB"/>
        </w:rPr>
        <w:t xml:space="preserve"> prescription software</w:t>
      </w:r>
      <w:r w:rsidR="00EF19A1" w:rsidRPr="006003A3">
        <w:rPr>
          <w:color w:val="auto"/>
          <w:szCs w:val="20"/>
          <w:lang w:val="en-GB"/>
        </w:rPr>
        <w:t xml:space="preserve">. </w:t>
      </w:r>
      <w:r w:rsidR="00CD779D">
        <w:rPr>
          <w:color w:val="auto"/>
          <w:szCs w:val="20"/>
          <w:lang w:val="en-GB"/>
        </w:rPr>
        <w:t xml:space="preserve">Training needs to include </w:t>
      </w:r>
      <w:r w:rsidR="00027F3A">
        <w:rPr>
          <w:color w:val="auto"/>
          <w:szCs w:val="20"/>
          <w:lang w:val="en-GB"/>
        </w:rPr>
        <w:t>suggested</w:t>
      </w:r>
      <w:r w:rsidR="00CD779D">
        <w:rPr>
          <w:color w:val="auto"/>
          <w:szCs w:val="20"/>
          <w:lang w:val="en-GB"/>
        </w:rPr>
        <w:t xml:space="preserve"> changes in antibiotics prescribed depending on </w:t>
      </w:r>
      <w:r w:rsidR="00027F3A">
        <w:rPr>
          <w:color w:val="auto"/>
          <w:szCs w:val="20"/>
          <w:lang w:val="en-GB"/>
        </w:rPr>
        <w:t xml:space="preserve">prior hospital </w:t>
      </w:r>
      <w:r w:rsidR="00CD779D">
        <w:rPr>
          <w:color w:val="auto"/>
          <w:szCs w:val="20"/>
          <w:lang w:val="en-GB"/>
        </w:rPr>
        <w:t xml:space="preserve">administration given the substantial use of antibiotic pretreatment in children with CAP currently seen in Vietnam. </w:t>
      </w:r>
    </w:p>
    <w:p w14:paraId="55E3DABD" w14:textId="35E66097" w:rsidR="003D68CC" w:rsidRPr="006003A3" w:rsidRDefault="00CD779D" w:rsidP="00FF2840">
      <w:pPr>
        <w:pStyle w:val="MDPI31text"/>
        <w:rPr>
          <w:color w:val="auto"/>
          <w:szCs w:val="20"/>
          <w:lang w:val="en-GB"/>
        </w:rPr>
      </w:pPr>
      <w:r>
        <w:rPr>
          <w:color w:val="auto"/>
          <w:szCs w:val="20"/>
          <w:lang w:val="en-GB"/>
        </w:rPr>
        <w:t xml:space="preserve">Pharmacy Department personnel can also play an active part with encouraging early switching from IV to oral antibiotics were pertinent to reduce costs and hasten earlier discharge. </w:t>
      </w:r>
      <w:r>
        <w:rPr>
          <w:color w:val="auto"/>
          <w:szCs w:val="20"/>
        </w:rPr>
        <w:t>This can be part of</w:t>
      </w:r>
      <w:r w:rsidR="00F75D54" w:rsidRPr="006003A3">
        <w:rPr>
          <w:color w:val="auto"/>
          <w:szCs w:val="20"/>
        </w:rPr>
        <w:t xml:space="preserve"> </w:t>
      </w:r>
      <w:r w:rsidR="00F75D54" w:rsidRPr="006003A3">
        <w:rPr>
          <w:color w:val="auto"/>
          <w:szCs w:val="20"/>
          <w:lang w:val="en-GB"/>
        </w:rPr>
        <w:t>appropriate ASPs</w:t>
      </w:r>
      <w:r>
        <w:rPr>
          <w:color w:val="auto"/>
          <w:szCs w:val="20"/>
          <w:lang w:val="en-GB"/>
        </w:rPr>
        <w:t xml:space="preserve"> undertaken in this and other hospitals in Vietnam treating children with CAP</w:t>
      </w:r>
      <w:r w:rsidR="00027F3A">
        <w:rPr>
          <w:color w:val="auto"/>
          <w:szCs w:val="20"/>
          <w:lang w:val="en-GB"/>
        </w:rPr>
        <w:t>. ASPs can</w:t>
      </w:r>
      <w:r w:rsidR="00F75D54" w:rsidRPr="006003A3">
        <w:rPr>
          <w:color w:val="auto"/>
          <w:szCs w:val="20"/>
          <w:lang w:val="en-GB"/>
        </w:rPr>
        <w:t xml:space="preserve"> includ</w:t>
      </w:r>
      <w:r w:rsidR="00027F3A">
        <w:rPr>
          <w:color w:val="auto"/>
          <w:szCs w:val="20"/>
          <w:lang w:val="en-GB"/>
        </w:rPr>
        <w:t>e</w:t>
      </w:r>
      <w:r w:rsidR="00F75D54" w:rsidRPr="006003A3">
        <w:rPr>
          <w:color w:val="auto"/>
          <w:szCs w:val="20"/>
          <w:lang w:val="en-GB"/>
        </w:rPr>
        <w:t xml:space="preserve"> </w:t>
      </w:r>
      <w:r>
        <w:rPr>
          <w:color w:val="auto"/>
          <w:szCs w:val="20"/>
          <w:lang w:val="en-GB"/>
        </w:rPr>
        <w:t xml:space="preserve">instigating </w:t>
      </w:r>
      <w:r w:rsidR="00F75D54" w:rsidRPr="006003A3">
        <w:rPr>
          <w:color w:val="auto"/>
          <w:szCs w:val="20"/>
          <w:lang w:val="en-GB"/>
        </w:rPr>
        <w:t>agreed quality indicators to improve the future management of these vulnerable children</w:t>
      </w:r>
      <w:r>
        <w:rPr>
          <w:color w:val="auto"/>
          <w:szCs w:val="20"/>
          <w:lang w:val="en-GB"/>
        </w:rPr>
        <w:t xml:space="preserve">. </w:t>
      </w:r>
      <w:r w:rsidR="00B51E7A">
        <w:rPr>
          <w:color w:val="auto"/>
          <w:szCs w:val="20"/>
          <w:lang w:val="en-GB"/>
        </w:rPr>
        <w:t xml:space="preserve">Alongside this, Pharmacy Departments in hospitals need to actively research the nature and extent of any shortages of antibiotics critically important in managing patients with CAP given current concerns. Subsequently, seek to address </w:t>
      </w:r>
      <w:r w:rsidR="00027F3A">
        <w:rPr>
          <w:color w:val="auto"/>
          <w:szCs w:val="20"/>
          <w:lang w:val="en-GB"/>
        </w:rPr>
        <w:t xml:space="preserve">any </w:t>
      </w:r>
      <w:r w:rsidR="00B51E7A">
        <w:rPr>
          <w:color w:val="auto"/>
          <w:szCs w:val="20"/>
          <w:lang w:val="en-GB"/>
        </w:rPr>
        <w:t xml:space="preserve">key </w:t>
      </w:r>
      <w:r w:rsidR="00027F3A">
        <w:rPr>
          <w:color w:val="auto"/>
          <w:szCs w:val="20"/>
          <w:lang w:val="en-GB"/>
        </w:rPr>
        <w:t xml:space="preserve">identified challenges </w:t>
      </w:r>
      <w:r w:rsidR="00B51E7A">
        <w:rPr>
          <w:color w:val="auto"/>
          <w:szCs w:val="20"/>
          <w:lang w:val="en-GB"/>
        </w:rPr>
        <w:t xml:space="preserve">including </w:t>
      </w:r>
      <w:r w:rsidR="00027F3A">
        <w:rPr>
          <w:color w:val="auto"/>
          <w:szCs w:val="20"/>
          <w:lang w:val="en-GB"/>
        </w:rPr>
        <w:t xml:space="preserve">concerns with </w:t>
      </w:r>
      <w:r w:rsidR="00B51E7A">
        <w:rPr>
          <w:color w:val="auto"/>
          <w:szCs w:val="20"/>
          <w:lang w:val="en-GB"/>
        </w:rPr>
        <w:t xml:space="preserve">forecasting and ordering </w:t>
      </w:r>
      <w:r w:rsidR="00027F3A">
        <w:rPr>
          <w:color w:val="auto"/>
          <w:szCs w:val="20"/>
          <w:lang w:val="en-GB"/>
        </w:rPr>
        <w:t xml:space="preserve">of antibiotics </w:t>
      </w:r>
      <w:r w:rsidR="00B51E7A">
        <w:rPr>
          <w:color w:val="auto"/>
          <w:szCs w:val="20"/>
          <w:lang w:val="en-GB"/>
        </w:rPr>
        <w:t xml:space="preserve">especially with the instigation of appropriate software in hospitals in Vietnam including prescribing software. </w:t>
      </w:r>
      <w:r w:rsidR="00EF19A1" w:rsidRPr="006003A3">
        <w:rPr>
          <w:color w:val="auto"/>
          <w:szCs w:val="20"/>
          <w:lang w:val="en-GB"/>
        </w:rPr>
        <w:t xml:space="preserve">Universities </w:t>
      </w:r>
      <w:r w:rsidR="00B51E7A">
        <w:rPr>
          <w:color w:val="auto"/>
          <w:szCs w:val="20"/>
          <w:lang w:val="en-GB"/>
        </w:rPr>
        <w:t xml:space="preserve">in Vietnam also need to play their part by critically </w:t>
      </w:r>
      <w:r w:rsidR="00EF19A1" w:rsidRPr="006003A3">
        <w:rPr>
          <w:color w:val="auto"/>
          <w:szCs w:val="20"/>
          <w:lang w:val="en-GB"/>
        </w:rPr>
        <w:t xml:space="preserve">appraising their </w:t>
      </w:r>
      <w:r w:rsidR="00B51E7A">
        <w:rPr>
          <w:color w:val="auto"/>
          <w:szCs w:val="20"/>
          <w:lang w:val="en-GB"/>
        </w:rPr>
        <w:t xml:space="preserve">current </w:t>
      </w:r>
      <w:r w:rsidR="00EF19A1" w:rsidRPr="006003A3">
        <w:rPr>
          <w:color w:val="auto"/>
          <w:szCs w:val="20"/>
          <w:lang w:val="en-GB"/>
        </w:rPr>
        <w:t xml:space="preserve">curricula to ensure trainee physicians leave </w:t>
      </w:r>
      <w:r w:rsidR="00027F3A">
        <w:rPr>
          <w:color w:val="auto"/>
          <w:szCs w:val="20"/>
          <w:lang w:val="en-GB"/>
        </w:rPr>
        <w:t xml:space="preserve">their </w:t>
      </w:r>
      <w:proofErr w:type="gramStart"/>
      <w:r w:rsidR="00027F3A">
        <w:rPr>
          <w:color w:val="auto"/>
          <w:szCs w:val="20"/>
          <w:lang w:val="en-GB"/>
        </w:rPr>
        <w:t>University</w:t>
      </w:r>
      <w:proofErr w:type="gramEnd"/>
      <w:r w:rsidR="00EF19A1" w:rsidRPr="006003A3">
        <w:rPr>
          <w:color w:val="auto"/>
          <w:szCs w:val="20"/>
          <w:lang w:val="en-GB"/>
        </w:rPr>
        <w:t xml:space="preserve"> </w:t>
      </w:r>
      <w:r w:rsidR="00027F3A">
        <w:rPr>
          <w:color w:val="auto"/>
          <w:szCs w:val="20"/>
          <w:lang w:val="en-GB"/>
        </w:rPr>
        <w:t xml:space="preserve">training </w:t>
      </w:r>
      <w:r w:rsidR="00EF19A1" w:rsidRPr="006003A3">
        <w:rPr>
          <w:color w:val="auto"/>
          <w:szCs w:val="20"/>
          <w:lang w:val="en-GB"/>
        </w:rPr>
        <w:t xml:space="preserve">fully conversant with the </w:t>
      </w:r>
      <w:proofErr w:type="spellStart"/>
      <w:r w:rsidR="00EF19A1" w:rsidRPr="006003A3">
        <w:rPr>
          <w:color w:val="auto"/>
          <w:szCs w:val="20"/>
          <w:lang w:val="en-GB"/>
        </w:rPr>
        <w:t>AWaRe</w:t>
      </w:r>
      <w:proofErr w:type="spellEnd"/>
      <w:r w:rsidR="00EF19A1" w:rsidRPr="006003A3">
        <w:rPr>
          <w:color w:val="auto"/>
          <w:szCs w:val="20"/>
          <w:lang w:val="en-GB"/>
        </w:rPr>
        <w:t xml:space="preserve"> classification, appropriate management of neonates and children with CAP, and the need to follow national guidelines</w:t>
      </w:r>
      <w:r w:rsidR="00B51E7A">
        <w:rPr>
          <w:color w:val="auto"/>
          <w:szCs w:val="20"/>
          <w:lang w:val="en-GB"/>
        </w:rPr>
        <w:t xml:space="preserve"> as part of ASP</w:t>
      </w:r>
      <w:r w:rsidR="00434115" w:rsidRPr="006003A3">
        <w:rPr>
          <w:color w:val="auto"/>
          <w:szCs w:val="20"/>
        </w:rPr>
        <w:t xml:space="preserve">. </w:t>
      </w:r>
      <w:r w:rsidR="00050766">
        <w:rPr>
          <w:color w:val="auto"/>
          <w:szCs w:val="20"/>
        </w:rPr>
        <w:t xml:space="preserve">Trainee hospital pharmacists also need to be fully conversant with similar issues, especially if they take the lead with ASP activities </w:t>
      </w:r>
      <w:r w:rsidR="00027F3A">
        <w:rPr>
          <w:color w:val="auto"/>
          <w:szCs w:val="20"/>
        </w:rPr>
        <w:t xml:space="preserve">in hospitals </w:t>
      </w:r>
      <w:r w:rsidR="00050766">
        <w:rPr>
          <w:color w:val="auto"/>
          <w:szCs w:val="20"/>
        </w:rPr>
        <w:t xml:space="preserve">including appropriate dosing of antibiotics and earlier switching to oral antibiotics. </w:t>
      </w:r>
      <w:r w:rsidR="00434115" w:rsidRPr="006003A3">
        <w:rPr>
          <w:color w:val="auto"/>
          <w:szCs w:val="20"/>
        </w:rPr>
        <w:t xml:space="preserve">Such activities should also help improve </w:t>
      </w:r>
      <w:r w:rsidR="007D5387" w:rsidRPr="006003A3">
        <w:rPr>
          <w:color w:val="auto"/>
          <w:szCs w:val="20"/>
        </w:rPr>
        <w:t xml:space="preserve">subsequent </w:t>
      </w:r>
      <w:r w:rsidR="00434115" w:rsidRPr="006003A3">
        <w:rPr>
          <w:color w:val="auto"/>
          <w:szCs w:val="20"/>
        </w:rPr>
        <w:t>antibiotic use in the community</w:t>
      </w:r>
      <w:r w:rsidR="007D5387" w:rsidRPr="006003A3">
        <w:rPr>
          <w:color w:val="auto"/>
          <w:szCs w:val="20"/>
        </w:rPr>
        <w:t xml:space="preserve"> as the physicians trained in hospital</w:t>
      </w:r>
      <w:r w:rsidR="00EF19A1" w:rsidRPr="006003A3">
        <w:rPr>
          <w:color w:val="auto"/>
          <w:szCs w:val="20"/>
        </w:rPr>
        <w:t>s</w:t>
      </w:r>
      <w:r w:rsidR="007D5387" w:rsidRPr="006003A3">
        <w:rPr>
          <w:color w:val="auto"/>
          <w:szCs w:val="20"/>
        </w:rPr>
        <w:t xml:space="preserve"> </w:t>
      </w:r>
      <w:r w:rsidR="00EF19A1" w:rsidRPr="006003A3">
        <w:rPr>
          <w:color w:val="auto"/>
          <w:szCs w:val="20"/>
        </w:rPr>
        <w:t xml:space="preserve">subsequently </w:t>
      </w:r>
      <w:r w:rsidR="007D5387" w:rsidRPr="006003A3">
        <w:rPr>
          <w:color w:val="auto"/>
          <w:szCs w:val="20"/>
        </w:rPr>
        <w:t>practice in the community</w:t>
      </w:r>
      <w:r w:rsidR="00434115" w:rsidRPr="006003A3">
        <w:rPr>
          <w:color w:val="auto"/>
          <w:szCs w:val="20"/>
        </w:rPr>
        <w:t xml:space="preserve">. </w:t>
      </w:r>
    </w:p>
    <w:p w14:paraId="3C269061" w14:textId="2366C627" w:rsidR="00182030" w:rsidRDefault="007713AF" w:rsidP="00182030">
      <w:pPr>
        <w:pStyle w:val="MDPI62backmatter"/>
        <w:spacing w:before="240"/>
        <w:rPr>
          <w:b/>
        </w:rPr>
      </w:pPr>
      <w:r w:rsidRPr="006003A3">
        <w:rPr>
          <w:b/>
        </w:rPr>
        <w:t>Supplementary Materials:</w:t>
      </w:r>
      <w:r w:rsidR="000F6793" w:rsidRPr="006003A3">
        <w:rPr>
          <w:b/>
        </w:rPr>
        <w:t xml:space="preserve"> </w:t>
      </w:r>
      <w:r w:rsidR="00BD71FA" w:rsidRPr="006003A3">
        <w:t>Table S1</w:t>
      </w:r>
      <w:r w:rsidR="00182030" w:rsidRPr="006003A3">
        <w:rPr>
          <w:rFonts w:cstheme="minorHAnsi"/>
          <w:b/>
          <w:bCs/>
        </w:rPr>
        <w:t xml:space="preserve">: </w:t>
      </w:r>
      <w:r w:rsidR="009D4350" w:rsidRPr="006003A3">
        <w:rPr>
          <w:rFonts w:cstheme="minorHAnsi"/>
        </w:rPr>
        <w:t>Summary</w:t>
      </w:r>
      <w:r w:rsidR="009D4350" w:rsidRPr="00182030">
        <w:rPr>
          <w:rFonts w:cstheme="minorHAnsi"/>
        </w:rPr>
        <w:t xml:space="preserve"> of findings regarding antibiotic use in the treatment of Community-Acquired Pneumonia in Children in Vietnam</w:t>
      </w:r>
      <w:r w:rsidR="00182030">
        <w:rPr>
          <w:b/>
        </w:rPr>
        <w:t xml:space="preserve"> </w:t>
      </w:r>
    </w:p>
    <w:p w14:paraId="609B9F0E" w14:textId="54C4A1E6" w:rsidR="004A6A6F" w:rsidRDefault="007713AF" w:rsidP="00182030">
      <w:pPr>
        <w:pStyle w:val="MDPI62backmatter"/>
        <w:spacing w:before="240"/>
      </w:pPr>
      <w:r w:rsidRPr="00613B31">
        <w:rPr>
          <w:b/>
        </w:rPr>
        <w:t>Author Contributions:</w:t>
      </w:r>
      <w:r w:rsidRPr="00613B31">
        <w:t xml:space="preserve"> Conceptualization</w:t>
      </w:r>
      <w:r w:rsidR="00182030">
        <w:t xml:space="preserve"> and Literature Review:</w:t>
      </w:r>
      <w:r w:rsidRPr="00613B31">
        <w:t xml:space="preserve"> </w:t>
      </w:r>
      <w:r w:rsidR="004A6A6F">
        <w:t>Thuy N.T.P</w:t>
      </w:r>
      <w:r w:rsidRPr="00613B31">
        <w:t>.</w:t>
      </w:r>
      <w:r w:rsidR="00182030">
        <w:t>,</w:t>
      </w:r>
      <w:r w:rsidRPr="00613B31">
        <w:t xml:space="preserve"> </w:t>
      </w:r>
      <w:r w:rsidR="004A6A6F">
        <w:t>Huong V.T.T</w:t>
      </w:r>
      <w:r w:rsidRPr="00613B31">
        <w:t>.</w:t>
      </w:r>
      <w:r w:rsidR="00182030">
        <w:t>, Sefah I., Godman B., Meyer J.C.</w:t>
      </w:r>
      <w:r w:rsidRPr="00613B31">
        <w:t xml:space="preserve">; </w:t>
      </w:r>
      <w:r w:rsidR="00182030">
        <w:t>M</w:t>
      </w:r>
      <w:r w:rsidRPr="00613B31">
        <w:t>ethodology</w:t>
      </w:r>
      <w:r w:rsidR="00182030">
        <w:t>:</w:t>
      </w:r>
      <w:r w:rsidR="004A6A6F" w:rsidRPr="004A6A6F">
        <w:t xml:space="preserve"> </w:t>
      </w:r>
      <w:r w:rsidR="004A6A6F">
        <w:t>Thuy N.T.P</w:t>
      </w:r>
      <w:r w:rsidR="00182030">
        <w:t xml:space="preserve">, </w:t>
      </w:r>
      <w:r w:rsidR="004A6A6F">
        <w:t>Anh H</w:t>
      </w:r>
      <w:r w:rsidR="00862403">
        <w:t>oa</w:t>
      </w:r>
      <w:r w:rsidR="004A6A6F">
        <w:t>.</w:t>
      </w:r>
      <w:r w:rsidR="006E64AA">
        <w:t xml:space="preserve"> </w:t>
      </w:r>
      <w:r w:rsidR="004A6A6F">
        <w:t>M</w:t>
      </w:r>
      <w:r w:rsidR="00182030">
        <w:t>, Godman B</w:t>
      </w:r>
      <w:r w:rsidRPr="00613B31">
        <w:t xml:space="preserve">; </w:t>
      </w:r>
      <w:r w:rsidR="00182030">
        <w:t>S</w:t>
      </w:r>
      <w:r w:rsidRPr="00613B31">
        <w:t>oftware</w:t>
      </w:r>
      <w:r w:rsidR="00182030">
        <w:t>:</w:t>
      </w:r>
      <w:r w:rsidR="004A6A6F">
        <w:t xml:space="preserve"> Thuy N.T.P</w:t>
      </w:r>
      <w:r w:rsidR="006E64AA">
        <w:t>;</w:t>
      </w:r>
      <w:r w:rsidRPr="00613B31">
        <w:t xml:space="preserve"> </w:t>
      </w:r>
      <w:r w:rsidR="004A6A6F">
        <w:t>Anh H</w:t>
      </w:r>
      <w:r w:rsidR="00862403">
        <w:t>oa</w:t>
      </w:r>
      <w:r w:rsidR="004A6A6F">
        <w:t>.</w:t>
      </w:r>
      <w:r w:rsidR="006E64AA">
        <w:t xml:space="preserve"> </w:t>
      </w:r>
      <w:r w:rsidR="004A6A6F">
        <w:t>M</w:t>
      </w:r>
      <w:r w:rsidRPr="00613B31">
        <w:t xml:space="preserve">.; </w:t>
      </w:r>
      <w:r w:rsidR="00955D8F">
        <w:t>V</w:t>
      </w:r>
      <w:r w:rsidRPr="00613B31">
        <w:t>alidation</w:t>
      </w:r>
      <w:r w:rsidR="00955D8F">
        <w:t>:</w:t>
      </w:r>
      <w:r w:rsidRPr="00613B31">
        <w:t xml:space="preserve"> </w:t>
      </w:r>
      <w:r w:rsidR="004A6A6F">
        <w:t>Thuy N.T.P</w:t>
      </w:r>
      <w:r w:rsidRPr="00613B31">
        <w:t xml:space="preserve">., </w:t>
      </w:r>
      <w:r w:rsidR="004A6A6F">
        <w:t>Huong V.T.T</w:t>
      </w:r>
      <w:r w:rsidRPr="00613B31">
        <w:t xml:space="preserve">. and </w:t>
      </w:r>
      <w:r w:rsidR="004A6A6F">
        <w:t>Anh H</w:t>
      </w:r>
      <w:r w:rsidR="00862403">
        <w:t>oa</w:t>
      </w:r>
      <w:r w:rsidR="004A6A6F">
        <w:t>.</w:t>
      </w:r>
      <w:r w:rsidR="006E64AA">
        <w:t xml:space="preserve"> </w:t>
      </w:r>
      <w:r w:rsidR="004A6A6F">
        <w:t>M</w:t>
      </w:r>
      <w:r w:rsidRPr="00613B31">
        <w:t xml:space="preserve">.; </w:t>
      </w:r>
      <w:r w:rsidR="00955D8F">
        <w:t>F</w:t>
      </w:r>
      <w:r w:rsidRPr="00613B31">
        <w:t xml:space="preserve">ormal </w:t>
      </w:r>
      <w:r w:rsidR="00955D8F">
        <w:t>A</w:t>
      </w:r>
      <w:r w:rsidRPr="00613B31">
        <w:t>nalysis</w:t>
      </w:r>
      <w:r w:rsidR="00955D8F">
        <w:t>:</w:t>
      </w:r>
      <w:r w:rsidRPr="00613B31">
        <w:t xml:space="preserve"> </w:t>
      </w:r>
      <w:r w:rsidR="004A6A6F">
        <w:t>Anh H</w:t>
      </w:r>
      <w:r w:rsidR="00862403">
        <w:t>oa</w:t>
      </w:r>
      <w:r w:rsidR="004A6A6F">
        <w:t>.</w:t>
      </w:r>
      <w:r w:rsidR="006E64AA">
        <w:t xml:space="preserve"> </w:t>
      </w:r>
      <w:r w:rsidR="004A6A6F">
        <w:t>M</w:t>
      </w:r>
      <w:r w:rsidRPr="00613B31">
        <w:t>.</w:t>
      </w:r>
      <w:r w:rsidR="00862403">
        <w:t>, An H.M</w:t>
      </w:r>
      <w:r w:rsidRPr="00613B31">
        <w:t xml:space="preserve"> </w:t>
      </w:r>
      <w:r w:rsidR="00182030">
        <w:t>Sefah I., Godman B., Meyer J.C; I</w:t>
      </w:r>
      <w:r w:rsidRPr="00613B31">
        <w:t>nvestigation</w:t>
      </w:r>
      <w:r w:rsidR="00182030">
        <w:t>:</w:t>
      </w:r>
      <w:r w:rsidR="004A6A6F" w:rsidRPr="004A6A6F">
        <w:t xml:space="preserve"> </w:t>
      </w:r>
      <w:r w:rsidR="004A6A6F">
        <w:t>Thuy N.T.P</w:t>
      </w:r>
      <w:r w:rsidRPr="00613B31">
        <w:t xml:space="preserve">.; </w:t>
      </w:r>
      <w:r w:rsidR="00182030">
        <w:t>R</w:t>
      </w:r>
      <w:r w:rsidRPr="00613B31">
        <w:t xml:space="preserve">esources, </w:t>
      </w:r>
      <w:r w:rsidR="004A6A6F">
        <w:t>Huong V.T.T, Anh H</w:t>
      </w:r>
      <w:r w:rsidR="00862403">
        <w:t>oa</w:t>
      </w:r>
      <w:r w:rsidR="004A6A6F">
        <w:t>.</w:t>
      </w:r>
      <w:r w:rsidR="006E64AA">
        <w:t xml:space="preserve"> </w:t>
      </w:r>
      <w:r w:rsidR="004A6A6F">
        <w:t>M</w:t>
      </w:r>
      <w:r w:rsidR="00434115">
        <w:t xml:space="preserve">, An </w:t>
      </w:r>
      <w:r w:rsidR="00862403">
        <w:t>H</w:t>
      </w:r>
      <w:r w:rsidR="00434115">
        <w:t>.M</w:t>
      </w:r>
      <w:r w:rsidRPr="00613B31">
        <w:t xml:space="preserve">; </w:t>
      </w:r>
      <w:r w:rsidR="00182030">
        <w:t>D</w:t>
      </w:r>
      <w:r w:rsidRPr="00613B31">
        <w:t>ata curation</w:t>
      </w:r>
      <w:r w:rsidR="00955D8F">
        <w:t>:</w:t>
      </w:r>
      <w:r w:rsidR="004A6A6F" w:rsidRPr="004A6A6F">
        <w:t xml:space="preserve"> </w:t>
      </w:r>
      <w:r w:rsidR="004A6A6F">
        <w:t>Thuy N.T.P, Anh H</w:t>
      </w:r>
      <w:r w:rsidR="00862403">
        <w:t>oa</w:t>
      </w:r>
      <w:r w:rsidR="004A6A6F">
        <w:t>.</w:t>
      </w:r>
      <w:r w:rsidR="006E64AA">
        <w:t xml:space="preserve"> </w:t>
      </w:r>
      <w:r w:rsidR="004A6A6F">
        <w:t>M</w:t>
      </w:r>
      <w:r w:rsidRPr="00613B31">
        <w:t xml:space="preserve">; </w:t>
      </w:r>
      <w:r w:rsidR="00182030">
        <w:t>Sefah I., Godman B., Meyer J.C; W</w:t>
      </w:r>
      <w:r w:rsidRPr="00613B31">
        <w:t>riting—original draft</w:t>
      </w:r>
      <w:r w:rsidR="00955D8F">
        <w:t>:</w:t>
      </w:r>
      <w:r w:rsidRPr="00613B31">
        <w:t xml:space="preserve"> </w:t>
      </w:r>
      <w:r w:rsidR="004A6A6F">
        <w:t>Thuy N.T.P</w:t>
      </w:r>
      <w:r w:rsidR="00894BBB">
        <w:t>, Godman</w:t>
      </w:r>
      <w:r w:rsidR="00182030">
        <w:t xml:space="preserve"> B</w:t>
      </w:r>
      <w:r w:rsidRPr="00613B31">
        <w:t xml:space="preserve">; </w:t>
      </w:r>
      <w:r w:rsidR="00182030">
        <w:t>W</w:t>
      </w:r>
      <w:r w:rsidRPr="00613B31">
        <w:t>riting—review and editing</w:t>
      </w:r>
      <w:r w:rsidR="00182030">
        <w:t>: All Authors</w:t>
      </w:r>
      <w:r w:rsidRPr="00613B31">
        <w:t xml:space="preserve">; </w:t>
      </w:r>
      <w:r w:rsidR="00182030">
        <w:t>V</w:t>
      </w:r>
      <w:r w:rsidRPr="00613B31">
        <w:t xml:space="preserve">isualization, </w:t>
      </w:r>
      <w:r w:rsidR="004A6A6F">
        <w:t>Thuy N.T.P</w:t>
      </w:r>
      <w:r w:rsidRPr="00613B31">
        <w:t>.</w:t>
      </w:r>
      <w:r w:rsidR="00182030">
        <w:t>,</w:t>
      </w:r>
      <w:r w:rsidRPr="00613B31">
        <w:t xml:space="preserve"> </w:t>
      </w:r>
      <w:r w:rsidR="004A6A6F">
        <w:t>Godman</w:t>
      </w:r>
      <w:r w:rsidR="004A6A6F" w:rsidRPr="00613B31">
        <w:t xml:space="preserve"> </w:t>
      </w:r>
      <w:r w:rsidR="00182030">
        <w:t>B, Meyer J.C.; S</w:t>
      </w:r>
      <w:r w:rsidRPr="00613B31">
        <w:t>upervision</w:t>
      </w:r>
      <w:r w:rsidR="00182030">
        <w:t>:</w:t>
      </w:r>
      <w:r w:rsidRPr="00613B31">
        <w:t xml:space="preserve"> </w:t>
      </w:r>
      <w:r w:rsidR="004A6A6F">
        <w:t>Thuy N.T.P</w:t>
      </w:r>
      <w:r w:rsidRPr="00613B31">
        <w:t xml:space="preserve">; </w:t>
      </w:r>
      <w:r w:rsidR="00182030">
        <w:t>P</w:t>
      </w:r>
      <w:r w:rsidRPr="00613B31">
        <w:t>roject administration</w:t>
      </w:r>
      <w:r w:rsidR="00182030">
        <w:t>:</w:t>
      </w:r>
      <w:r w:rsidRPr="00613B31">
        <w:t xml:space="preserve"> </w:t>
      </w:r>
      <w:r w:rsidR="004A6A6F">
        <w:t>Thuy N.T.P</w:t>
      </w:r>
      <w:r w:rsidRPr="00613B31">
        <w:t xml:space="preserve">.; </w:t>
      </w:r>
      <w:r w:rsidR="00182030">
        <w:t>F</w:t>
      </w:r>
      <w:r w:rsidRPr="00613B31">
        <w:t>unding acquisition</w:t>
      </w:r>
      <w:r w:rsidR="00182030">
        <w:rPr>
          <w:bCs/>
        </w:rPr>
        <w:t xml:space="preserve">: </w:t>
      </w:r>
      <w:r w:rsidR="00F25DFF" w:rsidRPr="00F25DFF">
        <w:rPr>
          <w:bCs/>
        </w:rPr>
        <w:t>Godman</w:t>
      </w:r>
      <w:r w:rsidR="00182030">
        <w:rPr>
          <w:bCs/>
        </w:rPr>
        <w:t xml:space="preserve"> B</w:t>
      </w:r>
      <w:r w:rsidR="00F25DFF" w:rsidRPr="00F25DFF">
        <w:rPr>
          <w:bCs/>
        </w:rPr>
        <w:t>, Meyer</w:t>
      </w:r>
      <w:r w:rsidR="00182030">
        <w:rPr>
          <w:bCs/>
        </w:rPr>
        <w:t xml:space="preserve"> J.C.</w:t>
      </w:r>
    </w:p>
    <w:p w14:paraId="7DFEBD80" w14:textId="798C2C5A" w:rsidR="007713AF" w:rsidRPr="00613B31" w:rsidRDefault="007713AF" w:rsidP="00517440">
      <w:pPr>
        <w:pStyle w:val="MDPI62backmatter"/>
      </w:pPr>
      <w:r w:rsidRPr="00613B31">
        <w:t>All authors have read and agreed to the published version of the manuscript.</w:t>
      </w:r>
    </w:p>
    <w:p w14:paraId="30B8C2CC" w14:textId="120A7448" w:rsidR="007713AF" w:rsidRPr="00613B31" w:rsidRDefault="007713AF" w:rsidP="00517440">
      <w:pPr>
        <w:pStyle w:val="MDPI62backmatter"/>
      </w:pPr>
      <w:r w:rsidRPr="00613B31">
        <w:rPr>
          <w:b/>
        </w:rPr>
        <w:t>Funding:</w:t>
      </w:r>
      <w:r w:rsidRPr="00613B31">
        <w:t xml:space="preserve"> This research received no external funding</w:t>
      </w:r>
      <w:r w:rsidR="003D68CC">
        <w:t>.</w:t>
      </w:r>
    </w:p>
    <w:p w14:paraId="52C465B5" w14:textId="0A882A4D" w:rsidR="00533CBF" w:rsidRPr="007D75A8" w:rsidRDefault="00533CBF" w:rsidP="00517440">
      <w:pPr>
        <w:pStyle w:val="MDPI62backmatter"/>
        <w:spacing w:after="0"/>
      </w:pPr>
      <w:bookmarkStart w:id="7" w:name="_Hlk60054323"/>
      <w:r w:rsidRPr="007D75A8">
        <w:rPr>
          <w:b/>
        </w:rPr>
        <w:t xml:space="preserve">Informed Consent Statement: </w:t>
      </w:r>
      <w:r w:rsidRPr="007D75A8">
        <w:t xml:space="preserve">Patient consent was waived </w:t>
      </w:r>
      <w:r w:rsidR="00BD71FA">
        <w:t xml:space="preserve">as this was a retrospective study of patients’ notes. </w:t>
      </w:r>
      <w:r w:rsidR="009D4350">
        <w:t xml:space="preserve">This is in line with previous studies of this nature undertaken by the co-authors </w:t>
      </w:r>
      <w:r w:rsidR="00415791">
        <w:t>[9</w:t>
      </w:r>
      <w:r w:rsidR="000D04B1">
        <w:t>1</w:t>
      </w:r>
      <w:r w:rsidR="00415791">
        <w:t>,1</w:t>
      </w:r>
      <w:r w:rsidR="000D04B1">
        <w:t>09</w:t>
      </w:r>
      <w:r w:rsidR="00415791">
        <w:t>]</w:t>
      </w:r>
      <w:r w:rsidR="00182030">
        <w:t xml:space="preserve">. </w:t>
      </w:r>
      <w:r w:rsidR="00BD71FA">
        <w:t xml:space="preserve">All data was transcribed anonymously to maintain confidentiality. All interviewees gave their consent verbally to take part, including the recording of the interviews, prior to commencing the interviews. </w:t>
      </w:r>
    </w:p>
    <w:bookmarkEnd w:id="7"/>
    <w:p w14:paraId="5ABFB505" w14:textId="77777777" w:rsidR="00BD71FA" w:rsidRDefault="00BD71FA" w:rsidP="00517440">
      <w:pPr>
        <w:pStyle w:val="MDPI62backmatter"/>
      </w:pPr>
    </w:p>
    <w:p w14:paraId="3D3B1CB4" w14:textId="40821DD8" w:rsidR="00CA736E" w:rsidRPr="00CA736E" w:rsidRDefault="00CA736E" w:rsidP="00517440">
      <w:pPr>
        <w:pStyle w:val="MDPI62backmatter"/>
      </w:pPr>
      <w:r w:rsidRPr="00CA736E">
        <w:rPr>
          <w:b/>
        </w:rPr>
        <w:t>Data Availability Statement:</w:t>
      </w:r>
      <w:r w:rsidRPr="00CA736E">
        <w:t xml:space="preserve"> </w:t>
      </w:r>
      <w:r w:rsidR="003D68CC">
        <w:t>Additional data is available on reasonable request from the corresponding authors.</w:t>
      </w:r>
    </w:p>
    <w:p w14:paraId="7A08EDBA" w14:textId="2B5EA234" w:rsidR="007713AF" w:rsidRPr="00613B31" w:rsidRDefault="007713AF" w:rsidP="00517440">
      <w:pPr>
        <w:pStyle w:val="MDPI62backmatter"/>
      </w:pPr>
      <w:r w:rsidRPr="00613B31">
        <w:rPr>
          <w:b/>
        </w:rPr>
        <w:t>Conflicts of Interest:</w:t>
      </w:r>
      <w:r w:rsidRPr="00613B31">
        <w:t xml:space="preserve"> The </w:t>
      </w:r>
      <w:r w:rsidR="00C96881">
        <w:t xml:space="preserve">authors declare no conflicts of </w:t>
      </w:r>
      <w:r w:rsidRPr="00613B31">
        <w:t>interest.</w:t>
      </w:r>
    </w:p>
    <w:p w14:paraId="7DCA1FA9" w14:textId="5E91A877" w:rsidR="002B0588" w:rsidRDefault="007713AF" w:rsidP="003D68CC">
      <w:pPr>
        <w:pStyle w:val="MDPI21heading1"/>
        <w:ind w:left="0"/>
      </w:pPr>
      <w:r w:rsidRPr="00517440">
        <w:t>References</w:t>
      </w:r>
    </w:p>
    <w:bookmarkStart w:id="8" w:name="_Hlk197160194"/>
    <w:p w14:paraId="081F5CE8" w14:textId="77777777" w:rsidR="002947F7" w:rsidRPr="00D62985" w:rsidRDefault="002947F7" w:rsidP="002947F7">
      <w:pPr>
        <w:pStyle w:val="EndNoteBibliography"/>
        <w:rPr>
          <w:color w:val="auto"/>
          <w:szCs w:val="18"/>
        </w:rPr>
      </w:pPr>
      <w:r w:rsidRPr="00D62985">
        <w:rPr>
          <w:rFonts w:cs="Calibri"/>
          <w:color w:val="auto"/>
          <w:szCs w:val="18"/>
        </w:rPr>
        <w:fldChar w:fldCharType="begin"/>
      </w:r>
      <w:r w:rsidRPr="00D62985">
        <w:rPr>
          <w:color w:val="auto"/>
          <w:szCs w:val="18"/>
        </w:rPr>
        <w:instrText xml:space="preserve"> ADDIN EN.REFLIST </w:instrText>
      </w:r>
      <w:r w:rsidRPr="00D62985">
        <w:rPr>
          <w:rFonts w:cs="Calibri"/>
          <w:color w:val="auto"/>
          <w:szCs w:val="18"/>
        </w:rPr>
        <w:fldChar w:fldCharType="separate"/>
      </w:r>
      <w:r w:rsidRPr="00D62985">
        <w:rPr>
          <w:color w:val="auto"/>
          <w:szCs w:val="18"/>
        </w:rPr>
        <w:t>1.</w:t>
      </w:r>
      <w:r w:rsidRPr="00D62985">
        <w:rPr>
          <w:color w:val="auto"/>
          <w:szCs w:val="18"/>
        </w:rPr>
        <w:tab/>
        <w:t>Bassat Q, Blau DM, Ogbuanu IU, Samura S, Kaluma E, Bassey IA, et al. Causes of Death Among Infants and Children in the Child Health and Mortality Prevention Surveillance (CHAMPS) Network. JAMA Netw Open. 2023;6(7):e2322494.</w:t>
      </w:r>
    </w:p>
    <w:p w14:paraId="363BF0F2" w14:textId="77777777" w:rsidR="002947F7" w:rsidRPr="00D62985" w:rsidRDefault="002947F7" w:rsidP="002947F7">
      <w:pPr>
        <w:pStyle w:val="EndNoteBibliography"/>
        <w:rPr>
          <w:color w:val="auto"/>
          <w:szCs w:val="18"/>
        </w:rPr>
      </w:pPr>
      <w:r w:rsidRPr="00D62985">
        <w:rPr>
          <w:color w:val="auto"/>
          <w:szCs w:val="18"/>
        </w:rPr>
        <w:t>2.</w:t>
      </w:r>
      <w:r w:rsidRPr="00D62985">
        <w:rPr>
          <w:color w:val="auto"/>
          <w:szCs w:val="18"/>
        </w:rPr>
        <w:tab/>
        <w:t>Liu L, Oza S, Hogan D, Chu Y, Perin J, Zhu J, et al. Global, regional, and national causes of under-5 mortality in 2000-15: an updated systematic analysis with implications for the Sustainable Development Goals. Lancet. 2016;388(10063):3027-35.</w:t>
      </w:r>
    </w:p>
    <w:p w14:paraId="34974463" w14:textId="77777777" w:rsidR="002947F7" w:rsidRPr="00D62985" w:rsidRDefault="002947F7" w:rsidP="002947F7">
      <w:pPr>
        <w:pStyle w:val="EndNoteBibliography"/>
        <w:rPr>
          <w:color w:val="auto"/>
          <w:szCs w:val="18"/>
        </w:rPr>
      </w:pPr>
      <w:r w:rsidRPr="00D62985">
        <w:rPr>
          <w:color w:val="auto"/>
          <w:szCs w:val="18"/>
        </w:rPr>
        <w:t>3.</w:t>
      </w:r>
      <w:r w:rsidRPr="00D62985">
        <w:rPr>
          <w:color w:val="auto"/>
          <w:szCs w:val="18"/>
        </w:rPr>
        <w:tab/>
        <w:t>Marangu D, Zar HJ. Childhood pneumonia in low-and-middle-income countries: An update. Paediatr Respir Rev. 2019;32:3-9.</w:t>
      </w:r>
    </w:p>
    <w:p w14:paraId="2A2766F4" w14:textId="77777777" w:rsidR="002947F7" w:rsidRPr="00D62985" w:rsidRDefault="002947F7" w:rsidP="002947F7">
      <w:pPr>
        <w:pStyle w:val="EndNoteBibliography"/>
        <w:rPr>
          <w:color w:val="auto"/>
          <w:szCs w:val="18"/>
        </w:rPr>
      </w:pPr>
      <w:r w:rsidRPr="00D62985">
        <w:rPr>
          <w:color w:val="auto"/>
          <w:szCs w:val="18"/>
        </w:rPr>
        <w:t>4.</w:t>
      </w:r>
      <w:r w:rsidRPr="00D62985">
        <w:rPr>
          <w:color w:val="auto"/>
          <w:szCs w:val="18"/>
        </w:rPr>
        <w:tab/>
        <w:t>Nascimento-Carvalho CM. Community-acquired pneumonia among children: the latest evidence for an updated management. J Pediatr. 2020;96 Suppl 1(Suppl 1):29-38.</w:t>
      </w:r>
    </w:p>
    <w:p w14:paraId="44A56213" w14:textId="77777777" w:rsidR="002947F7" w:rsidRPr="00D62985" w:rsidRDefault="002947F7" w:rsidP="002947F7">
      <w:pPr>
        <w:pStyle w:val="EndNoteBibliography"/>
        <w:rPr>
          <w:color w:val="auto"/>
          <w:szCs w:val="18"/>
        </w:rPr>
      </w:pPr>
      <w:r w:rsidRPr="00D62985">
        <w:rPr>
          <w:color w:val="auto"/>
          <w:szCs w:val="18"/>
        </w:rPr>
        <w:t>5.</w:t>
      </w:r>
      <w:r w:rsidRPr="00D62985">
        <w:rPr>
          <w:color w:val="auto"/>
          <w:szCs w:val="18"/>
        </w:rPr>
        <w:tab/>
        <w:t>Tran XD, Hoang VT, Goumballa N, Vu TN, Tran TK, Pham TD, et al. Viral and bacterial microorganisms in Vietnamese children with severe and non-severe pneumonia. Sci Rep. 2024;14(1):120.</w:t>
      </w:r>
    </w:p>
    <w:p w14:paraId="17B05F07" w14:textId="77777777" w:rsidR="002947F7" w:rsidRPr="00D62985" w:rsidRDefault="002947F7" w:rsidP="002947F7">
      <w:pPr>
        <w:pStyle w:val="EndNoteBibliography"/>
        <w:rPr>
          <w:color w:val="auto"/>
          <w:szCs w:val="18"/>
        </w:rPr>
      </w:pPr>
      <w:r w:rsidRPr="00D62985">
        <w:rPr>
          <w:color w:val="auto"/>
          <w:szCs w:val="18"/>
        </w:rPr>
        <w:t>6.</w:t>
      </w:r>
      <w:r w:rsidRPr="00D62985">
        <w:rPr>
          <w:color w:val="auto"/>
          <w:szCs w:val="18"/>
        </w:rPr>
        <w:tab/>
        <w:t>Nguyen TK, Tran TH, Roberts CL, Graham SM, Marais BJ. Child pneumonia - focus on the Western Pacific Region. Paediatr Respir Rev. 2017;21:102-10.</w:t>
      </w:r>
    </w:p>
    <w:p w14:paraId="643A4723" w14:textId="77777777" w:rsidR="002947F7" w:rsidRPr="00D62985" w:rsidRDefault="002947F7" w:rsidP="002947F7">
      <w:pPr>
        <w:pStyle w:val="EndNoteBibliography"/>
        <w:rPr>
          <w:color w:val="auto"/>
          <w:szCs w:val="18"/>
        </w:rPr>
      </w:pPr>
      <w:r w:rsidRPr="00D62985">
        <w:rPr>
          <w:color w:val="auto"/>
          <w:szCs w:val="18"/>
        </w:rPr>
        <w:t>7.</w:t>
      </w:r>
      <w:r w:rsidRPr="00D62985">
        <w:rPr>
          <w:color w:val="auto"/>
          <w:szCs w:val="18"/>
        </w:rPr>
        <w:tab/>
        <w:t>Nathan AM, Teh CSJ, Jabar KA, Teoh BT, Tangaperumal A, Westerhout C, et al. Bacterial pneumonia and its associated factors in children from a developing country: A prospective cohort study. PLoS One. 2020;15(2):e0228056.</w:t>
      </w:r>
    </w:p>
    <w:p w14:paraId="2AC80160" w14:textId="77777777" w:rsidR="002947F7" w:rsidRPr="00D62985" w:rsidRDefault="002947F7" w:rsidP="002947F7">
      <w:pPr>
        <w:pStyle w:val="EndNoteBibliography"/>
        <w:rPr>
          <w:color w:val="auto"/>
          <w:szCs w:val="18"/>
        </w:rPr>
      </w:pPr>
      <w:r w:rsidRPr="00D62985">
        <w:rPr>
          <w:color w:val="auto"/>
          <w:szCs w:val="18"/>
        </w:rPr>
        <w:t>8.</w:t>
      </w:r>
      <w:r w:rsidRPr="00D62985">
        <w:rPr>
          <w:color w:val="auto"/>
          <w:szCs w:val="18"/>
        </w:rPr>
        <w:tab/>
        <w:t>Sharland M, Zanichelli V, Ombajo LA, Bazira J, Cappello B, Chitatanga R, et al. The WHO essential medicines list AWaRe book: from a list to a quality improvement system. Clin Microbiol Infect. 2022;28(12):1533-5.</w:t>
      </w:r>
    </w:p>
    <w:p w14:paraId="55E99CC9" w14:textId="77777777" w:rsidR="002947F7" w:rsidRPr="00D62985" w:rsidRDefault="002947F7" w:rsidP="002947F7">
      <w:pPr>
        <w:pStyle w:val="EndNoteBibliography"/>
        <w:rPr>
          <w:color w:val="auto"/>
          <w:szCs w:val="18"/>
        </w:rPr>
      </w:pPr>
      <w:r w:rsidRPr="00D62985">
        <w:rPr>
          <w:color w:val="auto"/>
          <w:szCs w:val="18"/>
        </w:rPr>
        <w:t>9.</w:t>
      </w:r>
      <w:r w:rsidRPr="00D62985">
        <w:rPr>
          <w:color w:val="auto"/>
          <w:szCs w:val="18"/>
        </w:rPr>
        <w:tab/>
        <w:t>Nguyen TKP, Bui BBS, Ngo QC, Fitzgerald DA, Graham SM, Marais BJ. Applying lessons learnt from research of child pneumonia management in Vietnam. Paediatr Respir Rev. 2021;39:65-70.</w:t>
      </w:r>
    </w:p>
    <w:p w14:paraId="7E30ADD9" w14:textId="77777777" w:rsidR="002947F7" w:rsidRPr="00D62985" w:rsidRDefault="002947F7" w:rsidP="002947F7">
      <w:pPr>
        <w:pStyle w:val="EndNoteBibliography"/>
        <w:rPr>
          <w:color w:val="auto"/>
          <w:szCs w:val="18"/>
        </w:rPr>
      </w:pPr>
      <w:r w:rsidRPr="00D62985">
        <w:rPr>
          <w:color w:val="auto"/>
          <w:szCs w:val="18"/>
        </w:rPr>
        <w:t>10.</w:t>
      </w:r>
      <w:r w:rsidRPr="00D62985">
        <w:rPr>
          <w:color w:val="auto"/>
          <w:szCs w:val="18"/>
        </w:rPr>
        <w:tab/>
        <w:t xml:space="preserve">Murray, C.J.; Ikuta, K.S.; Sharara, F.; Swetschinski, L.; Aguilar, G.R.; Gray, A.; Han, C.; Bisignano, C.; Rao, P.; Wool, E.; et al. Global burden of bacterial antimicrobial resistance in 2019: A systematic analysis. Lancet </w:t>
      </w:r>
      <w:r w:rsidRPr="00D62985">
        <w:rPr>
          <w:b/>
          <w:bCs/>
          <w:color w:val="auto"/>
          <w:szCs w:val="18"/>
        </w:rPr>
        <w:t>2022</w:t>
      </w:r>
      <w:r w:rsidRPr="00D62985">
        <w:rPr>
          <w:color w:val="auto"/>
          <w:szCs w:val="18"/>
        </w:rPr>
        <w:t>, 399, 629–655</w:t>
      </w:r>
    </w:p>
    <w:p w14:paraId="2C8A4E13" w14:textId="77777777" w:rsidR="002947F7" w:rsidRPr="00D62985" w:rsidRDefault="002947F7" w:rsidP="002947F7">
      <w:pPr>
        <w:pStyle w:val="EndNoteBibliography"/>
        <w:rPr>
          <w:color w:val="auto"/>
          <w:szCs w:val="18"/>
        </w:rPr>
      </w:pPr>
      <w:r w:rsidRPr="00D62985">
        <w:rPr>
          <w:color w:val="auto"/>
          <w:szCs w:val="18"/>
        </w:rPr>
        <w:t>11.</w:t>
      </w:r>
      <w:r w:rsidRPr="00D62985">
        <w:rPr>
          <w:color w:val="auto"/>
          <w:szCs w:val="18"/>
        </w:rPr>
        <w:tab/>
        <w:t>The burden of bacterial antimicrobial resistance in the WHO African region in 2019: a cross-country systematic analysis. Lancet Glob Health. 2024;12(2):e201-e16.</w:t>
      </w:r>
    </w:p>
    <w:p w14:paraId="50E20CA3" w14:textId="77777777" w:rsidR="002947F7" w:rsidRPr="00D62985" w:rsidRDefault="002947F7" w:rsidP="002947F7">
      <w:pPr>
        <w:pStyle w:val="EndNoteBibliography"/>
        <w:rPr>
          <w:color w:val="auto"/>
          <w:szCs w:val="18"/>
        </w:rPr>
      </w:pPr>
      <w:r w:rsidRPr="00D62985">
        <w:rPr>
          <w:color w:val="auto"/>
          <w:szCs w:val="18"/>
        </w:rPr>
        <w:t>12.</w:t>
      </w:r>
      <w:r w:rsidRPr="00D62985">
        <w:rPr>
          <w:color w:val="auto"/>
          <w:szCs w:val="18"/>
        </w:rPr>
        <w:tab/>
        <w:t xml:space="preserve">Lewnard, J.A.; Charani, E.; Gleason, A.; Hsu, L.Y.; Khan, W.A.; Karkey, A.; Chandler, C.I.R.; Mashe, T.; Khan, E.M.; Bulabula, A.N.H.; et al. Burden of bacterial antimicrobial resistance in low-income and middle-income countries avertible by existing interventions: An evidence review and modelling analysis. Lancet </w:t>
      </w:r>
      <w:r w:rsidRPr="00D62985">
        <w:rPr>
          <w:b/>
          <w:bCs/>
          <w:color w:val="auto"/>
          <w:szCs w:val="18"/>
        </w:rPr>
        <w:t>2024</w:t>
      </w:r>
      <w:r w:rsidRPr="00D62985">
        <w:rPr>
          <w:color w:val="auto"/>
          <w:szCs w:val="18"/>
        </w:rPr>
        <w:t>, 403, 2439–2454.</w:t>
      </w:r>
    </w:p>
    <w:p w14:paraId="0B0BABF9" w14:textId="77777777" w:rsidR="002947F7" w:rsidRPr="00D62985" w:rsidRDefault="002947F7" w:rsidP="002947F7">
      <w:pPr>
        <w:pStyle w:val="EndNoteBibliography"/>
        <w:rPr>
          <w:color w:val="auto"/>
          <w:szCs w:val="18"/>
        </w:rPr>
      </w:pPr>
      <w:r w:rsidRPr="00D62985">
        <w:rPr>
          <w:color w:val="auto"/>
          <w:szCs w:val="18"/>
        </w:rPr>
        <w:t>13.</w:t>
      </w:r>
      <w:r w:rsidRPr="00D62985">
        <w:rPr>
          <w:color w:val="auto"/>
          <w:szCs w:val="18"/>
        </w:rPr>
        <w:tab/>
        <w:t xml:space="preserve">Godman, B.; Egwuenu, A.; Haque, M.; Malande, O.O.; Schellack, N.; Kumar, S.; Saleem, Z.; Sneddon, J.; Hoxha, I.; Islam, S.; et al. Strategies to Improve Antimicrobial Utilization with a Special Focus on Developing Countries. Life </w:t>
      </w:r>
      <w:r w:rsidRPr="00D62985">
        <w:rPr>
          <w:b/>
          <w:bCs/>
          <w:color w:val="auto"/>
          <w:szCs w:val="18"/>
        </w:rPr>
        <w:t>2021</w:t>
      </w:r>
      <w:r w:rsidRPr="00D62985">
        <w:rPr>
          <w:color w:val="auto"/>
          <w:szCs w:val="18"/>
        </w:rPr>
        <w:t>, 11, 528. https://doi.org/10.3390/life11060528</w:t>
      </w:r>
    </w:p>
    <w:p w14:paraId="59D1325E" w14:textId="77777777" w:rsidR="002947F7" w:rsidRPr="00D62985" w:rsidRDefault="002947F7" w:rsidP="002947F7">
      <w:pPr>
        <w:pStyle w:val="EndNoteBibliography"/>
        <w:rPr>
          <w:color w:val="auto"/>
          <w:szCs w:val="18"/>
        </w:rPr>
      </w:pPr>
      <w:r w:rsidRPr="00D62985">
        <w:rPr>
          <w:color w:val="auto"/>
          <w:szCs w:val="18"/>
        </w:rPr>
        <w:t>14.</w:t>
      </w:r>
      <w:r w:rsidRPr="00D62985">
        <w:rPr>
          <w:color w:val="auto"/>
          <w:szCs w:val="18"/>
        </w:rPr>
        <w:tab/>
        <w:t xml:space="preserve">WHO. Global action plan on antimicrobial resistance. 2016. Available at URL: </w:t>
      </w:r>
      <w:hyperlink r:id="rId17" w:history="1">
        <w:r w:rsidRPr="00D62985">
          <w:rPr>
            <w:rStyle w:val="Hyperlink"/>
            <w:color w:val="auto"/>
            <w:szCs w:val="18"/>
            <w:u w:val="none"/>
          </w:rPr>
          <w:t>https://www.who.int/publications/i/item/9789241509763</w:t>
        </w:r>
      </w:hyperlink>
      <w:r w:rsidRPr="00D62985">
        <w:rPr>
          <w:color w:val="auto"/>
          <w:szCs w:val="18"/>
        </w:rPr>
        <w:t xml:space="preserve"> (Accessed 3 May 2025)</w:t>
      </w:r>
    </w:p>
    <w:p w14:paraId="498621DB" w14:textId="77777777" w:rsidR="002947F7" w:rsidRPr="00D62985" w:rsidRDefault="002947F7" w:rsidP="002947F7">
      <w:pPr>
        <w:pStyle w:val="EndNoteBibliography"/>
        <w:rPr>
          <w:color w:val="auto"/>
          <w:szCs w:val="18"/>
        </w:rPr>
      </w:pPr>
      <w:r w:rsidRPr="00D62985">
        <w:rPr>
          <w:color w:val="auto"/>
          <w:szCs w:val="18"/>
        </w:rPr>
        <w:t>15.</w:t>
      </w:r>
      <w:r w:rsidRPr="00D62985">
        <w:rPr>
          <w:color w:val="auto"/>
          <w:szCs w:val="18"/>
        </w:rPr>
        <w:tab/>
      </w:r>
      <w:r w:rsidRPr="00D62985">
        <w:rPr>
          <w:rFonts w:eastAsia="Times New Roman"/>
          <w:color w:val="auto"/>
          <w:szCs w:val="18"/>
        </w:rPr>
        <w:t xml:space="preserve">Willemsen A, Reid S, Assefa Y. A review of national action plans on antimicrobial resistance: strengths and weaknesses. </w:t>
      </w:r>
      <w:r w:rsidRPr="00D62985">
        <w:rPr>
          <w:color w:val="auto"/>
          <w:szCs w:val="18"/>
        </w:rPr>
        <w:t>Antimicrob Resist Infect Control. 2022;11(1):9</w:t>
      </w:r>
    </w:p>
    <w:p w14:paraId="39CDA301" w14:textId="77777777" w:rsidR="002947F7" w:rsidRPr="00D62985" w:rsidRDefault="002947F7" w:rsidP="002947F7">
      <w:pPr>
        <w:pStyle w:val="EndNoteBibliography"/>
        <w:rPr>
          <w:color w:val="auto"/>
          <w:szCs w:val="18"/>
        </w:rPr>
      </w:pPr>
      <w:r w:rsidRPr="00D62985">
        <w:rPr>
          <w:color w:val="auto"/>
          <w:szCs w:val="18"/>
        </w:rPr>
        <w:t>16.</w:t>
      </w:r>
      <w:r w:rsidRPr="00D62985">
        <w:rPr>
          <w:color w:val="auto"/>
          <w:szCs w:val="18"/>
        </w:rPr>
        <w:tab/>
        <w:t>Torumkuney D, Kundu S, Vu GV, Nguyen HA, Pham HV, Kamble P, et al. Country data on AMR in Vietnam in the context of community-acquired respiratory tract infections: links between antibiotic susceptibility, local and international antibiotic prescribing guidelines, access to medicines and clinical outcome. J Antimicrob Chemother. 2022;77(Suppl_1):i26-i34.</w:t>
      </w:r>
    </w:p>
    <w:p w14:paraId="20F32C0A" w14:textId="77777777" w:rsidR="002947F7" w:rsidRPr="00D62985" w:rsidRDefault="002947F7" w:rsidP="002947F7">
      <w:pPr>
        <w:pStyle w:val="EndNoteBibliography"/>
        <w:rPr>
          <w:color w:val="auto"/>
          <w:szCs w:val="18"/>
        </w:rPr>
      </w:pPr>
      <w:r w:rsidRPr="00D62985">
        <w:rPr>
          <w:color w:val="auto"/>
          <w:szCs w:val="18"/>
        </w:rPr>
        <w:t>17.</w:t>
      </w:r>
      <w:r w:rsidRPr="00D62985">
        <w:rPr>
          <w:color w:val="auto"/>
          <w:szCs w:val="18"/>
        </w:rPr>
        <w:tab/>
        <w:t xml:space="preserve">Ministry of Health Vietnam. Vietnam: National action plan for combating drug resistance. 2013 - 2020. 2013. Available at URL: https://www.who.int/publications/m/item/vietnam-national-action-plan-for-combating-drug-resistance (Accesssed 20 April 2025)  </w:t>
      </w:r>
    </w:p>
    <w:p w14:paraId="2BED4AD5" w14:textId="77777777" w:rsidR="002947F7" w:rsidRPr="00D62985" w:rsidRDefault="002947F7" w:rsidP="002947F7">
      <w:pPr>
        <w:pStyle w:val="EndNoteBibliography"/>
        <w:rPr>
          <w:color w:val="auto"/>
          <w:szCs w:val="18"/>
          <w:lang w:val="en-GB"/>
        </w:rPr>
      </w:pPr>
      <w:r w:rsidRPr="00D62985">
        <w:rPr>
          <w:color w:val="auto"/>
          <w:szCs w:val="18"/>
        </w:rPr>
        <w:t>18.</w:t>
      </w:r>
      <w:r w:rsidRPr="00D62985">
        <w:rPr>
          <w:color w:val="auto"/>
          <w:szCs w:val="18"/>
        </w:rPr>
        <w:tab/>
      </w:r>
      <w:r w:rsidRPr="00D62985">
        <w:rPr>
          <w:rFonts w:cs="Calibri"/>
          <w:color w:val="auto"/>
          <w:szCs w:val="18"/>
          <w:lang w:val="en-GB"/>
        </w:rPr>
        <w:t>Sharland, M.; Pulcini, C.; Harbarth, S.; Zeng, M.; Gandra, S.; Mathur, S.; Magrini, N. Classifying antibiotics in the WHO Essential</w:t>
      </w:r>
      <w:r w:rsidRPr="00D62985">
        <w:rPr>
          <w:color w:val="auto"/>
          <w:szCs w:val="18"/>
          <w:lang w:val="en-GB"/>
        </w:rPr>
        <w:t xml:space="preserve"> Medicines List for optimal use—Be AWaRe. Lancet Infect. Dis. </w:t>
      </w:r>
      <w:r w:rsidRPr="00D62985">
        <w:rPr>
          <w:b/>
          <w:bCs/>
          <w:color w:val="auto"/>
          <w:szCs w:val="18"/>
          <w:lang w:val="en-GB"/>
        </w:rPr>
        <w:t>2018</w:t>
      </w:r>
      <w:r w:rsidRPr="00D62985">
        <w:rPr>
          <w:color w:val="auto"/>
          <w:szCs w:val="18"/>
          <w:lang w:val="en-GB"/>
        </w:rPr>
        <w:t>, 18, 18–20.</w:t>
      </w:r>
    </w:p>
    <w:p w14:paraId="495CA6FE" w14:textId="77777777" w:rsidR="002947F7" w:rsidRPr="00D62985" w:rsidRDefault="002947F7" w:rsidP="002947F7">
      <w:pPr>
        <w:pStyle w:val="EndNoteBibliography"/>
        <w:rPr>
          <w:color w:val="auto"/>
          <w:szCs w:val="18"/>
          <w:lang w:val="en-GB"/>
        </w:rPr>
      </w:pPr>
      <w:r w:rsidRPr="00D62985">
        <w:rPr>
          <w:color w:val="auto"/>
          <w:szCs w:val="18"/>
        </w:rPr>
        <w:t>19.</w:t>
      </w:r>
      <w:r w:rsidRPr="00D62985">
        <w:rPr>
          <w:color w:val="auto"/>
          <w:szCs w:val="18"/>
        </w:rPr>
        <w:tab/>
      </w:r>
      <w:r w:rsidRPr="00D62985">
        <w:rPr>
          <w:rFonts w:cs="Calibri"/>
          <w:color w:val="auto"/>
          <w:szCs w:val="18"/>
          <w:lang w:val="en-GB"/>
        </w:rPr>
        <w:t>Sharland, M.; Gandra, S.; Huttner, B.; Moja, L.; Pulcini, C.; Zeng, M.; Mendelson, M.; Cappello, B.; Cooke, G.; Magrini, N.; et al.</w:t>
      </w:r>
      <w:r w:rsidRPr="00D62985">
        <w:rPr>
          <w:color w:val="auto"/>
          <w:szCs w:val="18"/>
          <w:lang w:val="en-GB"/>
        </w:rPr>
        <w:t xml:space="preserve"> </w:t>
      </w:r>
      <w:r w:rsidRPr="00D62985">
        <w:rPr>
          <w:rFonts w:cs="Calibri"/>
          <w:color w:val="auto"/>
          <w:szCs w:val="18"/>
          <w:lang w:val="en-GB"/>
        </w:rPr>
        <w:t>Encouraging AWaRe-ness and discouraging inappropriate antibiotic use—The new 2019 Essential Medicines List becomes a</w:t>
      </w:r>
      <w:r w:rsidRPr="00D62985">
        <w:rPr>
          <w:color w:val="auto"/>
          <w:szCs w:val="18"/>
          <w:lang w:val="en-GB"/>
        </w:rPr>
        <w:t xml:space="preserve"> global antibiotic stewardship tool. Lancet Infect. Dis. </w:t>
      </w:r>
      <w:r w:rsidRPr="00D62985">
        <w:rPr>
          <w:b/>
          <w:bCs/>
          <w:color w:val="auto"/>
          <w:szCs w:val="18"/>
          <w:lang w:val="en-GB"/>
        </w:rPr>
        <w:t>2019</w:t>
      </w:r>
      <w:r w:rsidRPr="00D62985">
        <w:rPr>
          <w:color w:val="auto"/>
          <w:szCs w:val="18"/>
          <w:lang w:val="en-GB"/>
        </w:rPr>
        <w:t>, 19, 1278–1280.</w:t>
      </w:r>
    </w:p>
    <w:p w14:paraId="027F4168" w14:textId="77777777" w:rsidR="002947F7" w:rsidRPr="00D62985" w:rsidRDefault="002947F7" w:rsidP="002947F7">
      <w:pPr>
        <w:pStyle w:val="EndNoteBibliography"/>
        <w:rPr>
          <w:color w:val="auto"/>
          <w:szCs w:val="18"/>
          <w:lang w:val="en-GB"/>
        </w:rPr>
      </w:pPr>
      <w:r w:rsidRPr="00D62985">
        <w:rPr>
          <w:color w:val="auto"/>
          <w:szCs w:val="18"/>
        </w:rPr>
        <w:t>20.</w:t>
      </w:r>
      <w:r w:rsidRPr="00D62985">
        <w:rPr>
          <w:color w:val="auto"/>
          <w:szCs w:val="18"/>
        </w:rPr>
        <w:tab/>
      </w:r>
      <w:r w:rsidRPr="00D62985">
        <w:rPr>
          <w:rFonts w:cs="Calibri"/>
          <w:color w:val="auto"/>
          <w:szCs w:val="18"/>
          <w:lang w:val="en-GB"/>
        </w:rPr>
        <w:t>Moja, L.; Zanichelli, V.; Mertz, D.; Gandra, S.; Cappello, B.; Cooke, G.S.; Chuki, P.; Harbath, S.; Pulcini, C.; Mendelson, M.; et al.</w:t>
      </w:r>
      <w:r w:rsidRPr="00D62985">
        <w:rPr>
          <w:color w:val="auto"/>
          <w:szCs w:val="18"/>
          <w:lang w:val="en-GB"/>
        </w:rPr>
        <w:t xml:space="preserve"> </w:t>
      </w:r>
      <w:r w:rsidRPr="00D62985">
        <w:rPr>
          <w:rFonts w:cs="Calibri"/>
          <w:color w:val="auto"/>
          <w:szCs w:val="18"/>
          <w:lang w:val="en-GB"/>
        </w:rPr>
        <w:t>WHO’s essential medicines and AWaRe: Recommendations on first- and second-choice antibiotics for empiric treatment of</w:t>
      </w:r>
      <w:r w:rsidRPr="00D62985">
        <w:rPr>
          <w:color w:val="auto"/>
          <w:szCs w:val="18"/>
          <w:lang w:val="en-GB"/>
        </w:rPr>
        <w:t xml:space="preserve"> clinical infections. Clin. Microbiol. Infect. </w:t>
      </w:r>
      <w:r w:rsidRPr="00D62985">
        <w:rPr>
          <w:b/>
          <w:bCs/>
          <w:color w:val="auto"/>
          <w:szCs w:val="18"/>
          <w:lang w:val="en-GB"/>
        </w:rPr>
        <w:t>2024</w:t>
      </w:r>
      <w:r w:rsidRPr="00D62985">
        <w:rPr>
          <w:color w:val="auto"/>
          <w:szCs w:val="18"/>
          <w:lang w:val="en-GB"/>
        </w:rPr>
        <w:t>, 30, S1–S51.</w:t>
      </w:r>
    </w:p>
    <w:p w14:paraId="66FCF22B" w14:textId="77777777" w:rsidR="002947F7" w:rsidRPr="00D62985" w:rsidRDefault="002947F7" w:rsidP="002947F7">
      <w:pPr>
        <w:pStyle w:val="EndNoteBibliography"/>
        <w:rPr>
          <w:color w:val="auto"/>
          <w:szCs w:val="18"/>
          <w:lang w:val="en-GB"/>
        </w:rPr>
      </w:pPr>
      <w:r w:rsidRPr="00D62985">
        <w:rPr>
          <w:color w:val="auto"/>
          <w:szCs w:val="18"/>
        </w:rPr>
        <w:t>21.</w:t>
      </w:r>
      <w:r w:rsidRPr="00D62985">
        <w:rPr>
          <w:color w:val="auto"/>
          <w:szCs w:val="18"/>
        </w:rPr>
        <w:tab/>
      </w:r>
      <w:r w:rsidRPr="00D62985">
        <w:rPr>
          <w:rFonts w:cs="Calibri"/>
          <w:color w:val="auto"/>
          <w:szCs w:val="18"/>
          <w:lang w:val="en-GB"/>
        </w:rPr>
        <w:t>Zanichelli, V.; Sharland, M.; Cappello, B.; Moja, L.; Getahun, H.; Pessoa-Silva, C.; Sati, H.; van Weezenbeek, C.; Balky, H.; Sim.o,</w:t>
      </w:r>
      <w:r w:rsidRPr="00D62985">
        <w:rPr>
          <w:color w:val="auto"/>
          <w:szCs w:val="18"/>
          <w:lang w:val="en-GB"/>
        </w:rPr>
        <w:t xml:space="preserve"> </w:t>
      </w:r>
      <w:r w:rsidRPr="00D62985">
        <w:rPr>
          <w:rFonts w:cs="Calibri"/>
          <w:color w:val="auto"/>
          <w:szCs w:val="18"/>
          <w:lang w:val="en-GB"/>
        </w:rPr>
        <w:t>M.; et al. The WHO AWaRe (Access, Watch, Reserve) antibiotic book and prevention of antimicrobial resistance. Bull. World</w:t>
      </w:r>
      <w:r w:rsidRPr="00D62985">
        <w:rPr>
          <w:color w:val="auto"/>
          <w:szCs w:val="18"/>
          <w:lang w:val="en-GB"/>
        </w:rPr>
        <w:t xml:space="preserve"> Health Organ. </w:t>
      </w:r>
      <w:r w:rsidRPr="00D62985">
        <w:rPr>
          <w:b/>
          <w:bCs/>
          <w:color w:val="auto"/>
          <w:szCs w:val="18"/>
          <w:lang w:val="en-GB"/>
        </w:rPr>
        <w:t>2023</w:t>
      </w:r>
      <w:r w:rsidRPr="00D62985">
        <w:rPr>
          <w:color w:val="auto"/>
          <w:szCs w:val="18"/>
          <w:lang w:val="en-GB"/>
        </w:rPr>
        <w:t>, 101, 290–296.</w:t>
      </w:r>
    </w:p>
    <w:p w14:paraId="10E34F17" w14:textId="77777777" w:rsidR="002947F7" w:rsidRPr="00D62985" w:rsidRDefault="002947F7" w:rsidP="002947F7">
      <w:pPr>
        <w:pStyle w:val="EndNoteBibliography"/>
        <w:rPr>
          <w:color w:val="auto"/>
          <w:szCs w:val="18"/>
        </w:rPr>
      </w:pPr>
      <w:r w:rsidRPr="00D62985">
        <w:rPr>
          <w:color w:val="auto"/>
          <w:szCs w:val="18"/>
        </w:rPr>
        <w:t>22.</w:t>
      </w:r>
      <w:r w:rsidRPr="00D62985">
        <w:rPr>
          <w:color w:val="auto"/>
          <w:szCs w:val="18"/>
        </w:rPr>
        <w:tab/>
        <w:t>Saleem Z, Sheikh S, Godman B, Haseeb A, Afzal S, Qamar MU, et al. Increasing the use of the WHO AWaRe system in antibiotic surveillance and stewardship programmes in low- and middle-income countries. JAC-Antimicrobial Resistance. 2025;7(2).</w:t>
      </w:r>
    </w:p>
    <w:p w14:paraId="7B5DEC4F" w14:textId="77777777" w:rsidR="002947F7" w:rsidRPr="00D62985" w:rsidRDefault="002947F7" w:rsidP="002947F7">
      <w:pPr>
        <w:pStyle w:val="EndNoteBibliography"/>
        <w:rPr>
          <w:color w:val="auto"/>
          <w:szCs w:val="18"/>
          <w:lang w:val="en-GB"/>
        </w:rPr>
      </w:pPr>
      <w:r w:rsidRPr="00D62985">
        <w:rPr>
          <w:color w:val="auto"/>
          <w:szCs w:val="18"/>
        </w:rPr>
        <w:t>23.</w:t>
      </w:r>
      <w:r w:rsidRPr="00D62985">
        <w:rPr>
          <w:color w:val="auto"/>
          <w:szCs w:val="18"/>
        </w:rPr>
        <w:tab/>
      </w:r>
      <w:r w:rsidRPr="00D62985">
        <w:rPr>
          <w:rFonts w:cs="Calibri"/>
          <w:color w:val="auto"/>
          <w:szCs w:val="18"/>
          <w:lang w:val="en-GB"/>
        </w:rPr>
        <w:t>Klein, E.Y.; Milkowska-Shibata, M.; Tseng, K.K.; Sharland, M.; Gandra, S.; Pulcini, C.; Laxminarayan, R. Assessment of WHO</w:t>
      </w:r>
      <w:r w:rsidRPr="00D62985">
        <w:rPr>
          <w:color w:val="auto"/>
          <w:szCs w:val="18"/>
          <w:lang w:val="en-GB"/>
        </w:rPr>
        <w:t xml:space="preserve"> </w:t>
      </w:r>
      <w:r w:rsidRPr="00D62985">
        <w:rPr>
          <w:rFonts w:cs="Calibri"/>
          <w:color w:val="auto"/>
          <w:szCs w:val="18"/>
          <w:lang w:val="en-GB"/>
        </w:rPr>
        <w:t>antibiotic consumption and access targets in 76 countries, 2000–2015: An analysis of pharmaceutical sales data. Lancet Infect. Dis.</w:t>
      </w:r>
      <w:r w:rsidRPr="00D62985">
        <w:rPr>
          <w:color w:val="auto"/>
          <w:szCs w:val="18"/>
          <w:lang w:val="en-GB"/>
        </w:rPr>
        <w:t xml:space="preserve"> </w:t>
      </w:r>
      <w:r w:rsidRPr="00D62985">
        <w:rPr>
          <w:b/>
          <w:bCs/>
          <w:color w:val="auto"/>
          <w:szCs w:val="18"/>
          <w:lang w:val="en-GB"/>
        </w:rPr>
        <w:t>2021</w:t>
      </w:r>
      <w:r w:rsidRPr="00D62985">
        <w:rPr>
          <w:color w:val="auto"/>
          <w:szCs w:val="18"/>
          <w:lang w:val="en-GB"/>
        </w:rPr>
        <w:t>, 21, 107–115.</w:t>
      </w:r>
    </w:p>
    <w:p w14:paraId="5D3F936D" w14:textId="77777777" w:rsidR="002947F7" w:rsidRPr="00D62985" w:rsidRDefault="002947F7" w:rsidP="002947F7">
      <w:pPr>
        <w:pStyle w:val="EndNoteBibliography"/>
        <w:rPr>
          <w:color w:val="auto"/>
          <w:szCs w:val="18"/>
        </w:rPr>
      </w:pPr>
      <w:r w:rsidRPr="00D62985">
        <w:rPr>
          <w:color w:val="auto"/>
          <w:szCs w:val="18"/>
        </w:rPr>
        <w:t>24.</w:t>
      </w:r>
      <w:r w:rsidRPr="00D62985">
        <w:rPr>
          <w:color w:val="auto"/>
          <w:szCs w:val="18"/>
        </w:rPr>
        <w:tab/>
        <w:t xml:space="preserve">United Nations. Political Declaration of the High-level Meeting on Antimicrobial Resistance. 9 September 2024. Available at URL: </w:t>
      </w:r>
      <w:hyperlink r:id="rId18" w:history="1">
        <w:r w:rsidRPr="00D62985">
          <w:rPr>
            <w:rStyle w:val="Hyperlink"/>
            <w:color w:val="auto"/>
            <w:szCs w:val="18"/>
            <w:u w:val="none"/>
          </w:rPr>
          <w:t>https://www.un.org/pga/wp-content/uploads/sites/108/2024/09/FINAL-Text-AMR-to-PGA.pdf</w:t>
        </w:r>
      </w:hyperlink>
      <w:r w:rsidRPr="00D62985">
        <w:rPr>
          <w:color w:val="auto"/>
          <w:szCs w:val="18"/>
        </w:rPr>
        <w:t xml:space="preserve"> (Accessed 5 May 2025)</w:t>
      </w:r>
    </w:p>
    <w:p w14:paraId="6B0798D5" w14:textId="77777777" w:rsidR="002947F7" w:rsidRPr="00D62985" w:rsidRDefault="002947F7" w:rsidP="002947F7">
      <w:pPr>
        <w:pStyle w:val="EndNoteBibliography"/>
        <w:rPr>
          <w:color w:val="auto"/>
          <w:szCs w:val="18"/>
        </w:rPr>
      </w:pPr>
      <w:r w:rsidRPr="00D62985">
        <w:rPr>
          <w:color w:val="auto"/>
          <w:szCs w:val="18"/>
        </w:rPr>
        <w:t>25.</w:t>
      </w:r>
      <w:r w:rsidRPr="00D62985">
        <w:rPr>
          <w:color w:val="auto"/>
          <w:szCs w:val="18"/>
        </w:rPr>
        <w:tab/>
        <w:t>Dat VQ. Antibiotic use in public hospitals in Vietnam between 2018 and 2022: a retrospective study. BMJ Open. 2024;14(8):e087322.</w:t>
      </w:r>
    </w:p>
    <w:p w14:paraId="1D7F1439" w14:textId="77777777" w:rsidR="002947F7" w:rsidRPr="00D62985" w:rsidRDefault="002947F7" w:rsidP="002947F7">
      <w:pPr>
        <w:pStyle w:val="EndNoteBibliography"/>
        <w:rPr>
          <w:color w:val="auto"/>
          <w:szCs w:val="18"/>
        </w:rPr>
      </w:pPr>
      <w:r w:rsidRPr="00D62985">
        <w:rPr>
          <w:color w:val="auto"/>
          <w:szCs w:val="18"/>
        </w:rPr>
        <w:t>26.</w:t>
      </w:r>
      <w:r w:rsidRPr="00D62985">
        <w:rPr>
          <w:color w:val="auto"/>
          <w:szCs w:val="18"/>
        </w:rPr>
        <w:tab/>
        <w:t>Nguyen PT, Tran HT, Truong HT, Nguyen VT, Graham SM, Marais BJ. Paediatric use of antibiotics in children with community acquired pneumonia: A survey from Da Nang, Vietnam. J Paediatr Child Health. 2019;55(11):1329-34.</w:t>
      </w:r>
    </w:p>
    <w:p w14:paraId="2F379777" w14:textId="77777777" w:rsidR="002947F7" w:rsidRPr="00D62985" w:rsidRDefault="002947F7" w:rsidP="002947F7">
      <w:pPr>
        <w:pStyle w:val="EndNoteBibliography"/>
        <w:rPr>
          <w:color w:val="auto"/>
          <w:szCs w:val="18"/>
        </w:rPr>
      </w:pPr>
      <w:r w:rsidRPr="00D62985">
        <w:rPr>
          <w:color w:val="auto"/>
          <w:szCs w:val="18"/>
        </w:rPr>
        <w:t>27.</w:t>
      </w:r>
      <w:r w:rsidRPr="00D62985">
        <w:rPr>
          <w:color w:val="auto"/>
          <w:szCs w:val="18"/>
        </w:rPr>
        <w:tab/>
        <w:t>Nguyen NV, Do NTT, Vu DTV, Greer RC, Dittrich S, Vandendorpe M, et al. Outpatient antibiotic prescribing for acute respiratory infections in Vietnamese primary care settings by the WHO AWaRe (Access, Watch and Reserve) classification: An analysis using routinely collected electronic prescription data. Lancet Reg Health West Pac. 2023;30:100611.</w:t>
      </w:r>
    </w:p>
    <w:p w14:paraId="02BA7206" w14:textId="77777777" w:rsidR="002947F7" w:rsidRPr="00D62985" w:rsidRDefault="002947F7" w:rsidP="002947F7">
      <w:pPr>
        <w:pStyle w:val="EndNoteBibliography"/>
        <w:rPr>
          <w:color w:val="auto"/>
          <w:szCs w:val="18"/>
        </w:rPr>
      </w:pPr>
      <w:r w:rsidRPr="00D62985">
        <w:rPr>
          <w:color w:val="auto"/>
          <w:szCs w:val="18"/>
        </w:rPr>
        <w:t>28.</w:t>
      </w:r>
      <w:r w:rsidRPr="00D62985">
        <w:rPr>
          <w:color w:val="auto"/>
          <w:szCs w:val="18"/>
        </w:rPr>
        <w:tab/>
        <w:t>Nguyen NV, Do NTT, Nguyen CTK, Tran TK, Ho PD, Nguyen HH, et al. Community-level consumption of antibiotics according to the AWaRe (Access, Watch, Reserve) classification in rural Vietnam. JAC Antimicrob Resist. 2020;2(3):dlaa048.</w:t>
      </w:r>
    </w:p>
    <w:p w14:paraId="45B4EFB9" w14:textId="77777777" w:rsidR="002947F7" w:rsidRPr="00D62985" w:rsidRDefault="002947F7" w:rsidP="002947F7">
      <w:pPr>
        <w:pStyle w:val="EndNoteBibliography"/>
        <w:rPr>
          <w:color w:val="auto"/>
          <w:szCs w:val="18"/>
        </w:rPr>
      </w:pPr>
      <w:r w:rsidRPr="00D62985">
        <w:rPr>
          <w:color w:val="auto"/>
          <w:szCs w:val="18"/>
        </w:rPr>
        <w:t>29.</w:t>
      </w:r>
      <w:r w:rsidRPr="00D62985">
        <w:rPr>
          <w:color w:val="auto"/>
          <w:szCs w:val="18"/>
        </w:rPr>
        <w:tab/>
        <w:t>Vu TVD, Choisy M, Do TTN, Nguyen VMH, Campbell JI, Le TH, et al. Antimicrobial susceptibility testing results from 13 hospitals in Viet Nam: VINARES 2016-2017. Antimicrob Resist Infect Control. 2021;10(1):78.</w:t>
      </w:r>
    </w:p>
    <w:p w14:paraId="495D781B" w14:textId="77777777" w:rsidR="002947F7" w:rsidRPr="00D62985" w:rsidRDefault="002947F7" w:rsidP="002947F7">
      <w:pPr>
        <w:pStyle w:val="EndNoteBibliography"/>
        <w:rPr>
          <w:color w:val="auto"/>
          <w:szCs w:val="18"/>
        </w:rPr>
      </w:pPr>
      <w:r w:rsidRPr="00D62985">
        <w:rPr>
          <w:color w:val="auto"/>
          <w:szCs w:val="18"/>
        </w:rPr>
        <w:t>30.</w:t>
      </w:r>
      <w:r w:rsidRPr="00D62985">
        <w:rPr>
          <w:color w:val="auto"/>
          <w:szCs w:val="18"/>
        </w:rPr>
        <w:tab/>
        <w:t>Nguyen TTP, Do TX, Nguyen HA, Nguyen CTT, Meyer JC, Godman B, et al. A National Survey of Dispensing Practice and Customer Knowledge on Antibiotic Use in Vietnam and the Implications. Antibiotics. 2022;11(8):1091.</w:t>
      </w:r>
    </w:p>
    <w:p w14:paraId="21D583DE" w14:textId="77777777" w:rsidR="002947F7" w:rsidRPr="00D62985" w:rsidRDefault="002947F7" w:rsidP="002947F7">
      <w:pPr>
        <w:pStyle w:val="EndNoteBibliography"/>
        <w:rPr>
          <w:color w:val="auto"/>
          <w:szCs w:val="18"/>
        </w:rPr>
      </w:pPr>
      <w:r w:rsidRPr="00D62985">
        <w:rPr>
          <w:color w:val="auto"/>
          <w:szCs w:val="18"/>
        </w:rPr>
        <w:t>31.</w:t>
      </w:r>
      <w:r w:rsidRPr="00D62985">
        <w:rPr>
          <w:color w:val="auto"/>
          <w:szCs w:val="18"/>
        </w:rPr>
        <w:tab/>
        <w:t>Pham GN, Dang TTH, Nguyen TA, Zawahir S, Le HTT, Negin J, et al. Health system barriers to the implementation of the national action plan to combat antimicrobial resistance in Vietnam: a scoping review. Antimicrob Resist Infect Control. 2024;13(1):12.</w:t>
      </w:r>
    </w:p>
    <w:p w14:paraId="1730B03F" w14:textId="77777777" w:rsidR="002947F7" w:rsidRPr="00D62985" w:rsidRDefault="002947F7" w:rsidP="002947F7">
      <w:pPr>
        <w:pStyle w:val="NoSpacing"/>
        <w:rPr>
          <w:rFonts w:ascii="Palatino Linotype" w:hAnsi="Palatino Linotype"/>
          <w:noProof/>
          <w:sz w:val="18"/>
          <w:szCs w:val="18"/>
        </w:rPr>
      </w:pPr>
      <w:r w:rsidRPr="00D62985">
        <w:rPr>
          <w:rFonts w:ascii="Palatino Linotype" w:hAnsi="Palatino Linotype"/>
          <w:sz w:val="18"/>
          <w:szCs w:val="18"/>
        </w:rPr>
        <w:t>32.</w:t>
      </w:r>
      <w:r w:rsidRPr="00D62985">
        <w:rPr>
          <w:rFonts w:ascii="Palatino Linotype" w:hAnsi="Palatino Linotype"/>
          <w:sz w:val="18"/>
          <w:szCs w:val="18"/>
        </w:rPr>
        <w:tab/>
        <w:t xml:space="preserve">Sulis, G.; Sayood, S.; Katukoori, S.; Bollam, N.; George, I.; Yaeger, L.H.; Chavez, M.A.; Tetteh, E.; Yarrabelli, S.; Pulcini, C., et al. Exposure to World Health Organization's AWaRe antibiotics and isolation of multidrug resistant bacteria: a systematic review and meta-analysis. </w:t>
      </w:r>
      <w:r w:rsidRPr="00C16643">
        <w:rPr>
          <w:rFonts w:ascii="Palatino Linotype" w:hAnsi="Palatino Linotype"/>
          <w:iCs/>
          <w:sz w:val="18"/>
          <w:szCs w:val="18"/>
        </w:rPr>
        <w:t>Clinical Microbiology and Infection</w:t>
      </w:r>
      <w:r w:rsidRPr="00D62985">
        <w:rPr>
          <w:rFonts w:ascii="Palatino Linotype" w:hAnsi="Palatino Linotype"/>
          <w:i/>
          <w:sz w:val="18"/>
          <w:szCs w:val="18"/>
        </w:rPr>
        <w:t xml:space="preserve"> </w:t>
      </w:r>
      <w:r w:rsidRPr="00D62985">
        <w:rPr>
          <w:rFonts w:ascii="Palatino Linotype" w:hAnsi="Palatino Linotype"/>
          <w:b/>
          <w:sz w:val="18"/>
          <w:szCs w:val="18"/>
        </w:rPr>
        <w:t>2022</w:t>
      </w:r>
      <w:r w:rsidRPr="00D62985">
        <w:rPr>
          <w:rFonts w:ascii="Palatino Linotype" w:hAnsi="Palatino Linotype"/>
          <w:sz w:val="18"/>
          <w:szCs w:val="18"/>
        </w:rPr>
        <w:t xml:space="preserve">, </w:t>
      </w:r>
      <w:r w:rsidRPr="00D62985">
        <w:rPr>
          <w:rFonts w:ascii="Palatino Linotype" w:hAnsi="Palatino Linotype"/>
          <w:i/>
          <w:sz w:val="18"/>
          <w:szCs w:val="18"/>
        </w:rPr>
        <w:t>28</w:t>
      </w:r>
      <w:r w:rsidRPr="00D62985">
        <w:rPr>
          <w:rFonts w:ascii="Palatino Linotype" w:hAnsi="Palatino Linotype"/>
          <w:sz w:val="18"/>
          <w:szCs w:val="18"/>
        </w:rPr>
        <w:t>, 1193-1202</w:t>
      </w:r>
    </w:p>
    <w:p w14:paraId="41E61723" w14:textId="77777777" w:rsidR="002947F7" w:rsidRPr="00D62985" w:rsidRDefault="002947F7" w:rsidP="002947F7">
      <w:pPr>
        <w:pStyle w:val="EndNoteBibliography"/>
        <w:rPr>
          <w:color w:val="auto"/>
          <w:szCs w:val="18"/>
        </w:rPr>
      </w:pPr>
      <w:r w:rsidRPr="00D62985">
        <w:rPr>
          <w:color w:val="auto"/>
          <w:szCs w:val="18"/>
        </w:rPr>
        <w:t>33.</w:t>
      </w:r>
      <w:r w:rsidRPr="00D62985">
        <w:rPr>
          <w:color w:val="auto"/>
          <w:szCs w:val="18"/>
        </w:rPr>
        <w:tab/>
        <w:t>Kuitunen I, Jääskeläinen J, Korppi M, Renko M. Antibiotic Treatment Duration for Community-Acquired Pneumonia in Outpatient Children in High-Income Countries—A Systematic Review and Meta-Analysis. Clinical Infectious Diseases. 2022;76(3):e1123-e8.</w:t>
      </w:r>
    </w:p>
    <w:p w14:paraId="331260AC" w14:textId="77777777" w:rsidR="002947F7" w:rsidRPr="00D62985" w:rsidRDefault="002947F7" w:rsidP="002947F7">
      <w:pPr>
        <w:pStyle w:val="EndNoteBibliography"/>
        <w:rPr>
          <w:color w:val="auto"/>
          <w:szCs w:val="18"/>
        </w:rPr>
      </w:pPr>
      <w:r w:rsidRPr="00D62985">
        <w:rPr>
          <w:color w:val="auto"/>
          <w:szCs w:val="18"/>
        </w:rPr>
        <w:t>34.</w:t>
      </w:r>
      <w:r w:rsidRPr="00D62985">
        <w:rPr>
          <w:color w:val="auto"/>
          <w:szCs w:val="18"/>
        </w:rPr>
        <w:tab/>
        <w:t>Potpalle D, Gada S, Devaguru A, Behera N, Dinesh Eshwar M. Comparison of Short-Term Versus Long-Term Antibiotic Therapy Among Severe Cases of Pneumonia: A Prospective Observational Study Among Children. Cureus. 2023;15(2):e35298.</w:t>
      </w:r>
    </w:p>
    <w:p w14:paraId="631380D9" w14:textId="77777777" w:rsidR="002947F7" w:rsidRPr="00D62985" w:rsidRDefault="002947F7" w:rsidP="002947F7">
      <w:pPr>
        <w:pStyle w:val="EndNoteBibliography"/>
        <w:rPr>
          <w:color w:val="auto"/>
          <w:szCs w:val="18"/>
        </w:rPr>
      </w:pPr>
      <w:r w:rsidRPr="00D62985">
        <w:rPr>
          <w:color w:val="auto"/>
          <w:szCs w:val="18"/>
        </w:rPr>
        <w:t>35.</w:t>
      </w:r>
      <w:r w:rsidRPr="00D62985">
        <w:rPr>
          <w:color w:val="auto"/>
          <w:szCs w:val="18"/>
        </w:rPr>
        <w:tab/>
        <w:t>Li Q, Zhou Q, Florez ID, Mathew JL, Shang L, Zhang G, et al. Short-Course vs Long-Course Antibiotic Therapy for Children With Nonsevere Community-Acquired Pneumonia: A Systematic Review and Meta-analysis. JAMA Pediatr. 2022;176(12):1199-207.</w:t>
      </w:r>
    </w:p>
    <w:p w14:paraId="7E42E0EA" w14:textId="77777777" w:rsidR="002947F7" w:rsidRPr="00D62985" w:rsidRDefault="002947F7" w:rsidP="002947F7">
      <w:pPr>
        <w:pStyle w:val="EndNoteBibliography"/>
        <w:rPr>
          <w:color w:val="auto"/>
          <w:szCs w:val="18"/>
        </w:rPr>
      </w:pPr>
      <w:r w:rsidRPr="00D62985">
        <w:rPr>
          <w:color w:val="auto"/>
          <w:szCs w:val="18"/>
        </w:rPr>
        <w:t>36.</w:t>
      </w:r>
      <w:r w:rsidRPr="00D62985">
        <w:rPr>
          <w:color w:val="auto"/>
          <w:szCs w:val="18"/>
        </w:rPr>
        <w:tab/>
        <w:t>Agarwal G, Awasthi S, Kabra SK, Kaul A, Singhi S, Walter SD. Three day versus five day treatment with amoxicillin for non-severe pneumonia in young children: a multicentre randomised controlled trial. Bmj. 2004;328(7443):791.</w:t>
      </w:r>
    </w:p>
    <w:p w14:paraId="66BB7A46" w14:textId="77777777" w:rsidR="002947F7" w:rsidRDefault="002947F7" w:rsidP="002947F7">
      <w:pPr>
        <w:pStyle w:val="EndNoteBibliography"/>
        <w:rPr>
          <w:color w:val="auto"/>
          <w:szCs w:val="18"/>
        </w:rPr>
      </w:pPr>
      <w:r w:rsidRPr="00D62985">
        <w:rPr>
          <w:color w:val="auto"/>
          <w:szCs w:val="18"/>
        </w:rPr>
        <w:t>37.</w:t>
      </w:r>
      <w:r w:rsidRPr="00D62985">
        <w:rPr>
          <w:color w:val="auto"/>
          <w:szCs w:val="18"/>
        </w:rPr>
        <w:tab/>
        <w:t>Causes of severe pneumonia requiring hospital admission in children without HIV infection from Africa and Asia: the PERCH multi-country case-control study. Lancet. 2019;394(10200):757-79.</w:t>
      </w:r>
    </w:p>
    <w:p w14:paraId="0CB73A33" w14:textId="1B45C824" w:rsidR="000D04B1" w:rsidRPr="00D62985" w:rsidRDefault="000D04B1" w:rsidP="002947F7">
      <w:pPr>
        <w:pStyle w:val="EndNoteBibliography"/>
        <w:rPr>
          <w:color w:val="auto"/>
          <w:szCs w:val="18"/>
        </w:rPr>
      </w:pPr>
      <w:r>
        <w:rPr>
          <w:color w:val="auto"/>
          <w:szCs w:val="18"/>
        </w:rPr>
        <w:t>3</w:t>
      </w:r>
      <w:r w:rsidRPr="00681243">
        <w:rPr>
          <w:color w:val="auto"/>
          <w:szCs w:val="18"/>
          <w:highlight w:val="yellow"/>
        </w:rPr>
        <w:t>8. Nguyen STT, Tran TA, Vo GV. Severe Pneumonia Caused by Respiratory Syncytial Virus and Adenovirus in Children from 2 to 24 Months at Children's Hospital 1 in Ho Chi Minh City, Vietnam. Viruses. 2024;16(3)</w:t>
      </w:r>
    </w:p>
    <w:p w14:paraId="414EC6A4" w14:textId="7D630AF0" w:rsidR="002947F7" w:rsidRPr="00D62985" w:rsidRDefault="002947F7" w:rsidP="002947F7">
      <w:pPr>
        <w:pStyle w:val="EndNoteBibliography"/>
        <w:rPr>
          <w:color w:val="auto"/>
          <w:szCs w:val="18"/>
        </w:rPr>
      </w:pPr>
      <w:r w:rsidRPr="00D62985">
        <w:rPr>
          <w:color w:val="auto"/>
          <w:szCs w:val="18"/>
        </w:rPr>
        <w:t>3</w:t>
      </w:r>
      <w:r w:rsidR="000D04B1">
        <w:rPr>
          <w:color w:val="auto"/>
          <w:szCs w:val="18"/>
        </w:rPr>
        <w:t>9</w:t>
      </w:r>
      <w:r w:rsidRPr="00D62985">
        <w:rPr>
          <w:color w:val="auto"/>
          <w:szCs w:val="18"/>
        </w:rPr>
        <w:t>.</w:t>
      </w:r>
      <w:r w:rsidRPr="00D62985">
        <w:rPr>
          <w:color w:val="auto"/>
          <w:szCs w:val="18"/>
        </w:rPr>
        <w:tab/>
        <w:t>Nguyen PT, Tran HT, Fitzgerald DA, Graham SM, Marais BJ. Antibiotic use in children hospitalised with pneumonia in Central Vietnam. Arch Dis Child. 2020;105(8):713-9.</w:t>
      </w:r>
    </w:p>
    <w:p w14:paraId="06275B0C" w14:textId="5BA7865B" w:rsidR="002947F7" w:rsidRPr="00D62985" w:rsidRDefault="000D04B1" w:rsidP="002947F7">
      <w:pPr>
        <w:pStyle w:val="EndNoteBibliography"/>
        <w:rPr>
          <w:color w:val="auto"/>
          <w:szCs w:val="18"/>
        </w:rPr>
      </w:pPr>
      <w:r>
        <w:rPr>
          <w:color w:val="auto"/>
          <w:szCs w:val="18"/>
        </w:rPr>
        <w:t>40</w:t>
      </w:r>
      <w:r w:rsidR="002947F7" w:rsidRPr="00D62985">
        <w:rPr>
          <w:color w:val="auto"/>
          <w:szCs w:val="18"/>
        </w:rPr>
        <w:t>.</w:t>
      </w:r>
      <w:r w:rsidR="002947F7" w:rsidRPr="00D62985">
        <w:rPr>
          <w:color w:val="auto"/>
          <w:szCs w:val="18"/>
        </w:rPr>
        <w:tab/>
        <w:t>Thị Kiều Anh T, Văn Tuấn N.  Study on the status of antibiotic use in the treatment of pneumonia in patients from 2 months to 5 years old at Nghe An obstetrics and pediatrics hospital. Vietnam Medical Journal. 2021;505:254-7.</w:t>
      </w:r>
    </w:p>
    <w:p w14:paraId="2EDC8A31" w14:textId="44DA43EC" w:rsidR="002947F7" w:rsidRPr="00D62985" w:rsidRDefault="002947F7" w:rsidP="002947F7">
      <w:pPr>
        <w:pStyle w:val="EndNoteBibliography"/>
        <w:rPr>
          <w:color w:val="auto"/>
          <w:szCs w:val="18"/>
        </w:rPr>
      </w:pPr>
      <w:r w:rsidRPr="00D62985">
        <w:rPr>
          <w:color w:val="auto"/>
          <w:szCs w:val="18"/>
        </w:rPr>
        <w:t>4</w:t>
      </w:r>
      <w:r w:rsidR="000D04B1">
        <w:rPr>
          <w:color w:val="auto"/>
          <w:szCs w:val="18"/>
        </w:rPr>
        <w:t>1</w:t>
      </w:r>
      <w:r w:rsidRPr="00D62985">
        <w:rPr>
          <w:color w:val="auto"/>
          <w:szCs w:val="18"/>
        </w:rPr>
        <w:t>.</w:t>
      </w:r>
      <w:r w:rsidRPr="00D62985">
        <w:rPr>
          <w:color w:val="auto"/>
          <w:szCs w:val="18"/>
        </w:rPr>
        <w:tab/>
        <w:t>Nguyen DBT, Nguyen MH, Nguyen HA, Phan TQ, Nguyen DH. RESEARCH ON ANTIBIOTIC USE PATTERNS IN THE TREATMENT OF COMMUNITY - ACQUIRED PNEUMONIA IN CHILDREN FROM 2 MONTHS TO 5 YEARS OLD AT THE DEPARTMENT OF PEDIATRICS, QUANG NAM CENTRAL GENERAL HOSPITAL. Cantho Journal of Medicine and Pharmacy. 2024(74):195-202.</w:t>
      </w:r>
    </w:p>
    <w:p w14:paraId="5DAE416E" w14:textId="046CA009" w:rsidR="002947F7" w:rsidRPr="00D62985" w:rsidRDefault="002947F7" w:rsidP="002947F7">
      <w:pPr>
        <w:pStyle w:val="EndNoteBibliography"/>
        <w:rPr>
          <w:color w:val="auto"/>
          <w:szCs w:val="18"/>
        </w:rPr>
      </w:pPr>
      <w:r w:rsidRPr="00D62985">
        <w:rPr>
          <w:color w:val="auto"/>
          <w:szCs w:val="18"/>
        </w:rPr>
        <w:t>4</w:t>
      </w:r>
      <w:r w:rsidR="000D04B1">
        <w:rPr>
          <w:color w:val="auto"/>
          <w:szCs w:val="18"/>
        </w:rPr>
        <w:t>2</w:t>
      </w:r>
      <w:r w:rsidRPr="00D62985">
        <w:rPr>
          <w:color w:val="auto"/>
          <w:szCs w:val="18"/>
        </w:rPr>
        <w:t>.</w:t>
      </w:r>
      <w:r w:rsidRPr="00D62985">
        <w:rPr>
          <w:color w:val="auto"/>
          <w:szCs w:val="18"/>
        </w:rPr>
        <w:tab/>
        <w:t>Thiện NT, Huy MN, Quang NN, Thuận NH. Analysing of antibiotic use in the treatment of community-acquired pneumonia in children at Can Tho children's hospital in 2024. Vietnam Medical Journal. 2025;3:387- 91.</w:t>
      </w:r>
    </w:p>
    <w:p w14:paraId="01110BAE" w14:textId="564430F1" w:rsidR="002947F7" w:rsidRPr="00D62985" w:rsidRDefault="002947F7" w:rsidP="002947F7">
      <w:pPr>
        <w:pStyle w:val="EndNoteBibliography"/>
        <w:rPr>
          <w:color w:val="auto"/>
          <w:szCs w:val="18"/>
        </w:rPr>
      </w:pPr>
      <w:r w:rsidRPr="00D62985">
        <w:rPr>
          <w:color w:val="auto"/>
          <w:szCs w:val="18"/>
        </w:rPr>
        <w:t>4</w:t>
      </w:r>
      <w:r w:rsidR="000D04B1">
        <w:rPr>
          <w:color w:val="auto"/>
          <w:szCs w:val="18"/>
        </w:rPr>
        <w:t>3</w:t>
      </w:r>
      <w:r w:rsidRPr="00D62985">
        <w:rPr>
          <w:color w:val="auto"/>
          <w:szCs w:val="18"/>
        </w:rPr>
        <w:t>.</w:t>
      </w:r>
      <w:r w:rsidRPr="00D62985">
        <w:rPr>
          <w:color w:val="auto"/>
          <w:szCs w:val="18"/>
        </w:rPr>
        <w:tab/>
        <w:t>Ngocho JS, Horumpende PG, de Jonge MI, Mmbaga BT. Inappropriate treatment of community-acquired pneumonia among children under five years of age in Tanzania. Int J Infect Dis. 2020;93:56-61.</w:t>
      </w:r>
    </w:p>
    <w:p w14:paraId="05F9C936" w14:textId="111665D2" w:rsidR="002947F7" w:rsidRPr="00D62985" w:rsidRDefault="002947F7" w:rsidP="002947F7">
      <w:pPr>
        <w:pStyle w:val="EndNoteBibliography"/>
        <w:rPr>
          <w:color w:val="auto"/>
          <w:szCs w:val="18"/>
        </w:rPr>
      </w:pPr>
      <w:r w:rsidRPr="00D62985">
        <w:rPr>
          <w:color w:val="auto"/>
          <w:szCs w:val="18"/>
        </w:rPr>
        <w:t>4</w:t>
      </w:r>
      <w:r w:rsidR="000D04B1">
        <w:rPr>
          <w:color w:val="auto"/>
          <w:szCs w:val="18"/>
        </w:rPr>
        <w:t>4</w:t>
      </w:r>
      <w:r w:rsidRPr="00D62985">
        <w:rPr>
          <w:color w:val="auto"/>
          <w:szCs w:val="18"/>
        </w:rPr>
        <w:t>.</w:t>
      </w:r>
      <w:r w:rsidRPr="00D62985">
        <w:rPr>
          <w:color w:val="auto"/>
          <w:szCs w:val="18"/>
        </w:rPr>
        <w:tab/>
        <w:t>Pokhrel B, Koirala T, Gautam D, Kumar A, Camara BS, Saw S, et al. Antibiotic Use and Treatment Outcomes among Children with Community-Acquired Pneumonia Admitted to a Tertiary Care Public Hospital in Nepal. Trop Med Infect Dis. 2021;6(2).</w:t>
      </w:r>
    </w:p>
    <w:p w14:paraId="5AA8DC88" w14:textId="5695DEAF" w:rsidR="002947F7" w:rsidRPr="00681243" w:rsidRDefault="002947F7" w:rsidP="002947F7">
      <w:pPr>
        <w:pStyle w:val="EndNoteBibliography"/>
        <w:rPr>
          <w:color w:val="auto"/>
          <w:szCs w:val="18"/>
          <w:highlight w:val="yellow"/>
        </w:rPr>
      </w:pPr>
      <w:r w:rsidRPr="00681243">
        <w:rPr>
          <w:color w:val="auto"/>
          <w:szCs w:val="18"/>
          <w:highlight w:val="yellow"/>
        </w:rPr>
        <w:t>.</w:t>
      </w:r>
    </w:p>
    <w:p w14:paraId="4AB83898" w14:textId="0BF29428" w:rsidR="000D04B1" w:rsidRPr="00D62985" w:rsidRDefault="000D04B1" w:rsidP="002947F7">
      <w:pPr>
        <w:pStyle w:val="EndNoteBibliography"/>
        <w:rPr>
          <w:color w:val="auto"/>
          <w:szCs w:val="18"/>
        </w:rPr>
      </w:pPr>
      <w:r w:rsidRPr="00681243">
        <w:rPr>
          <w:color w:val="auto"/>
          <w:szCs w:val="18"/>
          <w:highlight w:val="yellow"/>
        </w:rPr>
        <w:t>Thi TVL, Canh Pham E, Dang-Nguyen DT.</w:t>
      </w:r>
      <w:r w:rsidRPr="00D62985">
        <w:rPr>
          <w:color w:val="auto"/>
          <w:szCs w:val="18"/>
        </w:rPr>
        <w:t xml:space="preserve"> Evaluation of children's antibiotics use for outpatient pneumonia treatment in Vietnam. Braz J Infect Dis. 2024;28(4):103839.</w:t>
      </w:r>
    </w:p>
    <w:p w14:paraId="1B21306C" w14:textId="4E8CCC4B" w:rsidR="002947F7" w:rsidRPr="00D62985" w:rsidRDefault="002947F7" w:rsidP="002947F7">
      <w:pPr>
        <w:pStyle w:val="EndNoteBibliography"/>
        <w:rPr>
          <w:color w:val="auto"/>
          <w:szCs w:val="18"/>
        </w:rPr>
      </w:pPr>
      <w:r w:rsidRPr="00D62985">
        <w:rPr>
          <w:color w:val="auto"/>
          <w:szCs w:val="18"/>
        </w:rPr>
        <w:t>4</w:t>
      </w:r>
      <w:r w:rsidR="000D04B1">
        <w:rPr>
          <w:color w:val="auto"/>
          <w:szCs w:val="18"/>
        </w:rPr>
        <w:t>6</w:t>
      </w:r>
      <w:r w:rsidRPr="00D62985">
        <w:rPr>
          <w:color w:val="auto"/>
          <w:szCs w:val="18"/>
        </w:rPr>
        <w:t>.</w:t>
      </w:r>
      <w:r w:rsidRPr="00D62985">
        <w:rPr>
          <w:color w:val="auto"/>
          <w:szCs w:val="18"/>
        </w:rPr>
        <w:tab/>
        <w:t>Larsson M, Nguyen HQ, Olson L, Tran TK, Nguyen TV, Nguyen CTK. Multi-drug resistance in Streptococcus pneumoniae among children in rural Vietnam more than doubled from 1999 to 2014. Acta Paediatr. 2021;110(6):1916-23.</w:t>
      </w:r>
    </w:p>
    <w:p w14:paraId="634B5FBF" w14:textId="0A864898" w:rsidR="002947F7" w:rsidRPr="00D62985" w:rsidRDefault="002947F7" w:rsidP="002947F7">
      <w:pPr>
        <w:pStyle w:val="EndNoteBibliography"/>
        <w:rPr>
          <w:color w:val="auto"/>
          <w:szCs w:val="18"/>
        </w:rPr>
      </w:pPr>
      <w:r w:rsidRPr="00D62985">
        <w:rPr>
          <w:color w:val="auto"/>
          <w:szCs w:val="18"/>
        </w:rPr>
        <w:t>4</w:t>
      </w:r>
      <w:r w:rsidR="000D04B1">
        <w:rPr>
          <w:color w:val="auto"/>
          <w:szCs w:val="18"/>
        </w:rPr>
        <w:t>7</w:t>
      </w:r>
      <w:r w:rsidRPr="00D62985">
        <w:rPr>
          <w:color w:val="auto"/>
          <w:szCs w:val="18"/>
        </w:rPr>
        <w:t>.</w:t>
      </w:r>
      <w:r w:rsidRPr="00D62985">
        <w:rPr>
          <w:color w:val="auto"/>
          <w:szCs w:val="18"/>
        </w:rPr>
        <w:tab/>
        <w:t>Dai VTT, Beissbarth J, Thanh PV, Hoan PT, Thuy HNL, Huu TN, et al. Hospital surveillance predicts community pneumococcal antibiotic resistance in Vietnam. J Antimicrob Chemother. 2020;75(10):2902-6.</w:t>
      </w:r>
    </w:p>
    <w:p w14:paraId="5DA50B49" w14:textId="5C9B9F8C" w:rsidR="002947F7" w:rsidRPr="00D62985" w:rsidRDefault="002947F7" w:rsidP="002947F7">
      <w:pPr>
        <w:pStyle w:val="EndNoteBibliography"/>
        <w:rPr>
          <w:color w:val="auto"/>
          <w:szCs w:val="18"/>
        </w:rPr>
      </w:pPr>
      <w:r w:rsidRPr="00D62985">
        <w:rPr>
          <w:color w:val="auto"/>
          <w:szCs w:val="18"/>
        </w:rPr>
        <w:t>4</w:t>
      </w:r>
      <w:r w:rsidR="000D04B1">
        <w:rPr>
          <w:color w:val="auto"/>
          <w:szCs w:val="18"/>
        </w:rPr>
        <w:t>8</w:t>
      </w:r>
      <w:r w:rsidRPr="00D62985">
        <w:rPr>
          <w:color w:val="auto"/>
          <w:szCs w:val="18"/>
        </w:rPr>
        <w:t>.</w:t>
      </w:r>
      <w:r w:rsidRPr="00D62985">
        <w:rPr>
          <w:color w:val="auto"/>
          <w:szCs w:val="18"/>
        </w:rPr>
        <w:tab/>
        <w:t>Tran-Quang K, Nguyen-Thi-Dieu T, Tran-Do H, Pham-Hung V, Nguyen-Vu T, Tran-Xuan B, et al. Antibiotic resistance of Streptococcus pneumoniae in Vietnamese children with severe pneumonia: a cross-sectional study. Front Public Health. 2023;11:1110903.</w:t>
      </w:r>
    </w:p>
    <w:p w14:paraId="1FAED4C0" w14:textId="59449DC4" w:rsidR="002947F7" w:rsidRPr="00D62985" w:rsidRDefault="002947F7" w:rsidP="002947F7">
      <w:pPr>
        <w:pStyle w:val="EndNoteBibliography"/>
        <w:rPr>
          <w:color w:val="auto"/>
          <w:szCs w:val="18"/>
        </w:rPr>
      </w:pPr>
      <w:r w:rsidRPr="00D62985">
        <w:rPr>
          <w:color w:val="auto"/>
          <w:szCs w:val="18"/>
        </w:rPr>
        <w:t>4</w:t>
      </w:r>
      <w:r w:rsidR="000D04B1">
        <w:rPr>
          <w:color w:val="auto"/>
          <w:szCs w:val="18"/>
        </w:rPr>
        <w:t>9</w:t>
      </w:r>
      <w:r w:rsidRPr="00D62985">
        <w:rPr>
          <w:color w:val="auto"/>
          <w:szCs w:val="18"/>
        </w:rPr>
        <w:t>.</w:t>
      </w:r>
      <w:r w:rsidRPr="00D62985">
        <w:rPr>
          <w:color w:val="auto"/>
          <w:szCs w:val="18"/>
        </w:rPr>
        <w:tab/>
        <w:t>Phi DL, To MM, Le KD, Pham TD, Vu CT, Duong KL, et al. Commentary: Adenovirus and Mycoplasma pneumoniae co-infection as a risk factor for severe community-acquired pneumonia in children. Front Pediatr. 2024;12:1464813.</w:t>
      </w:r>
    </w:p>
    <w:p w14:paraId="11248C70" w14:textId="38655539" w:rsidR="002947F7" w:rsidRPr="00D62985" w:rsidRDefault="000D04B1" w:rsidP="002947F7">
      <w:pPr>
        <w:pStyle w:val="EndNoteBibliography"/>
        <w:rPr>
          <w:color w:val="auto"/>
          <w:szCs w:val="18"/>
        </w:rPr>
      </w:pPr>
      <w:r>
        <w:rPr>
          <w:color w:val="auto"/>
          <w:szCs w:val="18"/>
        </w:rPr>
        <w:t>50</w:t>
      </w:r>
      <w:r w:rsidR="002947F7" w:rsidRPr="00D62985">
        <w:rPr>
          <w:color w:val="auto"/>
          <w:szCs w:val="18"/>
        </w:rPr>
        <w:t>.</w:t>
      </w:r>
      <w:r w:rsidR="002947F7" w:rsidRPr="00D62985">
        <w:rPr>
          <w:color w:val="auto"/>
          <w:szCs w:val="18"/>
        </w:rPr>
        <w:tab/>
        <w:t>Ding G, Zhang X, Vinturache A, van Rossum AMC, Yin Y, Zhang Y. Challenges in the treatment of pediatric Mycoplasma pneumoniae pneumonia. Eur J Pediatr. 2024;183(7):3001-11.</w:t>
      </w:r>
    </w:p>
    <w:p w14:paraId="422C717D" w14:textId="22B66A86" w:rsidR="002947F7" w:rsidRPr="00D62985" w:rsidRDefault="002947F7" w:rsidP="002947F7">
      <w:pPr>
        <w:pStyle w:val="EndNoteBibliography"/>
        <w:rPr>
          <w:color w:val="auto"/>
          <w:szCs w:val="18"/>
        </w:rPr>
      </w:pPr>
      <w:r w:rsidRPr="00D62985">
        <w:rPr>
          <w:color w:val="auto"/>
          <w:szCs w:val="18"/>
        </w:rPr>
        <w:t>5</w:t>
      </w:r>
      <w:r w:rsidR="000D04B1">
        <w:rPr>
          <w:color w:val="auto"/>
          <w:szCs w:val="18"/>
        </w:rPr>
        <w:t>1</w:t>
      </w:r>
      <w:r w:rsidRPr="00D62985">
        <w:rPr>
          <w:color w:val="auto"/>
          <w:szCs w:val="18"/>
        </w:rPr>
        <w:t>.</w:t>
      </w:r>
      <w:r w:rsidRPr="00D62985">
        <w:rPr>
          <w:color w:val="auto"/>
          <w:szCs w:val="18"/>
        </w:rPr>
        <w:tab/>
        <w:t>Tran HD, Bach Nguyen YT, Thanh Tran T, Thu Le TT, Thu Nguyen HT, Minh Nguyen C, et al. Community-acquired pneumonia-causing bacteria and antibiotic resistance rate among Vietnamese patients: A cross-sectional study. Medicine. 2022;101(36):e30458.</w:t>
      </w:r>
    </w:p>
    <w:p w14:paraId="3E0AA938" w14:textId="4B2151B9" w:rsidR="002947F7" w:rsidRPr="00D62985" w:rsidRDefault="002947F7" w:rsidP="002947F7">
      <w:pPr>
        <w:pStyle w:val="EndNoteBibliography"/>
        <w:rPr>
          <w:color w:val="auto"/>
          <w:szCs w:val="18"/>
        </w:rPr>
      </w:pPr>
      <w:r w:rsidRPr="00D62985">
        <w:rPr>
          <w:color w:val="auto"/>
          <w:szCs w:val="18"/>
        </w:rPr>
        <w:t>5</w:t>
      </w:r>
      <w:r w:rsidR="000D04B1">
        <w:rPr>
          <w:color w:val="auto"/>
          <w:szCs w:val="18"/>
        </w:rPr>
        <w:t>2</w:t>
      </w:r>
      <w:r w:rsidRPr="00D62985">
        <w:rPr>
          <w:color w:val="auto"/>
          <w:szCs w:val="18"/>
        </w:rPr>
        <w:t>.</w:t>
      </w:r>
      <w:r w:rsidRPr="00D62985">
        <w:rPr>
          <w:color w:val="auto"/>
          <w:szCs w:val="18"/>
        </w:rPr>
        <w:tab/>
        <w:t>Le HH, Nguyen AV, Vu LH, Nguyen VTH, Pham HQ, Le HV, et al. Antimicrobial Resistance Patterns of Common Gram-Negative Microorganisms Isolated from Patients with Lower Respiratory Tract Infections in a Teaching Hospital in Vietnam. Jpn J Infect Dis. 2024;77(3):144-54.</w:t>
      </w:r>
    </w:p>
    <w:p w14:paraId="3A0A96E5" w14:textId="58490524" w:rsidR="002947F7" w:rsidRPr="00D62985" w:rsidRDefault="002947F7" w:rsidP="002947F7">
      <w:pPr>
        <w:pStyle w:val="EndNoteBibliography"/>
        <w:rPr>
          <w:color w:val="auto"/>
          <w:szCs w:val="18"/>
        </w:rPr>
      </w:pPr>
      <w:r w:rsidRPr="00D62985">
        <w:rPr>
          <w:color w:val="auto"/>
          <w:szCs w:val="18"/>
        </w:rPr>
        <w:t>5</w:t>
      </w:r>
      <w:r w:rsidR="000D04B1">
        <w:rPr>
          <w:color w:val="auto"/>
          <w:szCs w:val="18"/>
        </w:rPr>
        <w:t>3</w:t>
      </w:r>
      <w:r w:rsidRPr="00D62985">
        <w:rPr>
          <w:color w:val="auto"/>
          <w:szCs w:val="18"/>
        </w:rPr>
        <w:t>.</w:t>
      </w:r>
      <w:r w:rsidRPr="00D62985">
        <w:rPr>
          <w:color w:val="auto"/>
          <w:szCs w:val="18"/>
        </w:rPr>
        <w:tab/>
        <w:t>Nguyen DT, Huynh ST, Nguyen HN. Short-Term Readmission Following Community-Acquired Pneumonia: A Cross-Sectional Study. Hosp Pharm. 2022;57(6):712-20.</w:t>
      </w:r>
    </w:p>
    <w:p w14:paraId="434BA8F5" w14:textId="0457153E" w:rsidR="002947F7" w:rsidRPr="00D62985" w:rsidRDefault="002947F7" w:rsidP="002947F7">
      <w:pPr>
        <w:pStyle w:val="EndNoteBibliography"/>
        <w:rPr>
          <w:color w:val="auto"/>
          <w:szCs w:val="18"/>
        </w:rPr>
      </w:pPr>
      <w:r w:rsidRPr="00D62985">
        <w:rPr>
          <w:color w:val="auto"/>
          <w:szCs w:val="18"/>
        </w:rPr>
        <w:t>5</w:t>
      </w:r>
      <w:r w:rsidR="000D04B1">
        <w:rPr>
          <w:color w:val="auto"/>
          <w:szCs w:val="18"/>
        </w:rPr>
        <w:t>4</w:t>
      </w:r>
      <w:r w:rsidRPr="00D62985">
        <w:rPr>
          <w:color w:val="auto"/>
          <w:szCs w:val="18"/>
        </w:rPr>
        <w:t>.</w:t>
      </w:r>
      <w:r w:rsidRPr="00D62985">
        <w:rPr>
          <w:color w:val="auto"/>
          <w:szCs w:val="18"/>
        </w:rPr>
        <w:tab/>
        <w:t>Tran KQ, Nguyen TTD, Pham VH, Pham QM, Tran HD. Pathogenic Role and Antibiotic Resistance of Methicillin-Resistant Staphylococcus aureus (MRSA) Strains Causing Severe Community-Acquired Pneumonia in Vietnamese Children. Adv Respir Med. 2023;91(2):135-45.</w:t>
      </w:r>
    </w:p>
    <w:p w14:paraId="489D89B5" w14:textId="1BD692DD" w:rsidR="002947F7" w:rsidRPr="00D62985" w:rsidRDefault="002947F7" w:rsidP="002947F7">
      <w:pPr>
        <w:pStyle w:val="EndNoteBibliography"/>
        <w:rPr>
          <w:color w:val="auto"/>
          <w:szCs w:val="18"/>
        </w:rPr>
      </w:pPr>
      <w:r w:rsidRPr="00D62985">
        <w:rPr>
          <w:color w:val="auto"/>
          <w:szCs w:val="18"/>
        </w:rPr>
        <w:t>5</w:t>
      </w:r>
      <w:r w:rsidR="00C35F14">
        <w:rPr>
          <w:color w:val="auto"/>
          <w:szCs w:val="18"/>
        </w:rPr>
        <w:t>5</w:t>
      </w:r>
      <w:r w:rsidRPr="00D62985">
        <w:rPr>
          <w:color w:val="auto"/>
          <w:szCs w:val="18"/>
        </w:rPr>
        <w:t>.</w:t>
      </w:r>
      <w:r w:rsidRPr="00D62985">
        <w:rPr>
          <w:color w:val="auto"/>
          <w:szCs w:val="18"/>
        </w:rPr>
        <w:tab/>
        <w:t>Vo-Pham-Minh T, Tran-Cong D, Phan-Viet H, Dinh-Chi T, Nguyen-Thi-Hong T, Cao-Thi-My T, et al. Staphylococcus aureus Pneumonia in Can Tho, Vietnam: Clinical Characteristics, Antimicrobial Resistance Profile and Risk Factors of Mortality. Pulm Ther. 2024;10(2):193-205.</w:t>
      </w:r>
    </w:p>
    <w:p w14:paraId="607AAEDC" w14:textId="044B95C2" w:rsidR="002947F7" w:rsidRPr="00D62985" w:rsidRDefault="002947F7" w:rsidP="002947F7">
      <w:pPr>
        <w:pStyle w:val="EndNoteBibliography"/>
        <w:rPr>
          <w:color w:val="auto"/>
          <w:szCs w:val="18"/>
        </w:rPr>
      </w:pPr>
      <w:r w:rsidRPr="00D62985">
        <w:rPr>
          <w:color w:val="auto"/>
          <w:szCs w:val="18"/>
        </w:rPr>
        <w:t>5</w:t>
      </w:r>
      <w:r w:rsidR="00C35F14">
        <w:rPr>
          <w:color w:val="auto"/>
          <w:szCs w:val="18"/>
        </w:rPr>
        <w:t>6</w:t>
      </w:r>
      <w:r w:rsidRPr="00D62985">
        <w:rPr>
          <w:color w:val="auto"/>
          <w:szCs w:val="18"/>
        </w:rPr>
        <w:t>.</w:t>
      </w:r>
      <w:r w:rsidRPr="00D62985">
        <w:rPr>
          <w:color w:val="auto"/>
          <w:szCs w:val="18"/>
        </w:rPr>
        <w:tab/>
        <w:t>Nathwani D, Varghese D, Stephens J, Ansari W, Martin S, Charbonneau C. Value of hospital antimicrobial stewardship programs [ASPs]: a systematic review. Antimicrob Resist Infect Control. 2019;8:35.</w:t>
      </w:r>
    </w:p>
    <w:p w14:paraId="5D930EA7" w14:textId="62BCD412" w:rsidR="002947F7" w:rsidRPr="00D62985" w:rsidRDefault="002947F7" w:rsidP="002947F7">
      <w:pPr>
        <w:pStyle w:val="EndNoteBibliography"/>
        <w:rPr>
          <w:color w:val="auto"/>
          <w:szCs w:val="18"/>
          <w:lang w:val="en-GB"/>
        </w:rPr>
      </w:pPr>
      <w:r w:rsidRPr="00D62985">
        <w:rPr>
          <w:color w:val="auto"/>
          <w:szCs w:val="18"/>
        </w:rPr>
        <w:t>5</w:t>
      </w:r>
      <w:r w:rsidR="005E0486">
        <w:rPr>
          <w:color w:val="auto"/>
          <w:szCs w:val="18"/>
        </w:rPr>
        <w:t>7</w:t>
      </w:r>
      <w:r w:rsidRPr="00D62985">
        <w:rPr>
          <w:color w:val="auto"/>
          <w:szCs w:val="18"/>
        </w:rPr>
        <w:t>.</w:t>
      </w:r>
      <w:r w:rsidRPr="00D62985">
        <w:rPr>
          <w:color w:val="auto"/>
          <w:szCs w:val="18"/>
        </w:rPr>
        <w:tab/>
      </w:r>
      <w:r w:rsidRPr="00D62985">
        <w:rPr>
          <w:rFonts w:cs="Calibri"/>
          <w:color w:val="auto"/>
          <w:szCs w:val="18"/>
          <w:lang w:val="en-GB"/>
        </w:rPr>
        <w:t>Cox, J.A.; Vlieghe, E.; Mendelson, M.; Wertheim, H.; Ndegwa, L.; Villegas, M.V.; Gould, I.; Hara, G.L. Antibiotic stewardship in</w:t>
      </w:r>
      <w:r w:rsidRPr="00D62985">
        <w:rPr>
          <w:color w:val="auto"/>
          <w:szCs w:val="18"/>
          <w:lang w:val="en-GB"/>
        </w:rPr>
        <w:t xml:space="preserve"> low- and middle-income countries: The same but different? Clin. Microbiol. Infect. </w:t>
      </w:r>
      <w:r w:rsidRPr="00D62985">
        <w:rPr>
          <w:b/>
          <w:bCs/>
          <w:color w:val="auto"/>
          <w:szCs w:val="18"/>
          <w:lang w:val="en-GB"/>
        </w:rPr>
        <w:t>2017</w:t>
      </w:r>
      <w:r w:rsidRPr="00D62985">
        <w:rPr>
          <w:color w:val="auto"/>
          <w:szCs w:val="18"/>
          <w:lang w:val="en-GB"/>
        </w:rPr>
        <w:t>, 23, 812–818.</w:t>
      </w:r>
    </w:p>
    <w:p w14:paraId="6DA6099C" w14:textId="012090E8" w:rsidR="002947F7" w:rsidRPr="00D62985" w:rsidRDefault="002947F7" w:rsidP="002947F7">
      <w:pPr>
        <w:pStyle w:val="EndNoteBibliography"/>
        <w:rPr>
          <w:color w:val="auto"/>
          <w:szCs w:val="18"/>
          <w:lang w:val="en-GB"/>
        </w:rPr>
      </w:pPr>
      <w:r w:rsidRPr="00D62985">
        <w:rPr>
          <w:color w:val="auto"/>
          <w:szCs w:val="18"/>
        </w:rPr>
        <w:t>5</w:t>
      </w:r>
      <w:r w:rsidR="005E0486">
        <w:rPr>
          <w:color w:val="auto"/>
          <w:szCs w:val="18"/>
        </w:rPr>
        <w:t>8</w:t>
      </w:r>
      <w:r w:rsidRPr="00D62985">
        <w:rPr>
          <w:color w:val="auto"/>
          <w:szCs w:val="18"/>
        </w:rPr>
        <w:t>.</w:t>
      </w:r>
      <w:r w:rsidRPr="00D62985">
        <w:rPr>
          <w:color w:val="auto"/>
          <w:szCs w:val="18"/>
        </w:rPr>
        <w:tab/>
      </w:r>
      <w:r w:rsidRPr="00D62985">
        <w:rPr>
          <w:rFonts w:cs="Calibri"/>
          <w:color w:val="auto"/>
          <w:szCs w:val="18"/>
          <w:lang w:val="en-GB"/>
        </w:rPr>
        <w:t>Saleem, Z.; Godman, B.; Cook, A.; Khan, M.A.; Campbell, S.M.; Seaton, R.A.; Siachalinga, L.; Haseeb, A.; Amir, A.; Kurdi, A.; et al.</w:t>
      </w:r>
      <w:r w:rsidRPr="00D62985">
        <w:rPr>
          <w:color w:val="auto"/>
          <w:szCs w:val="18"/>
          <w:lang w:val="en-GB"/>
        </w:rPr>
        <w:t xml:space="preserve"> </w:t>
      </w:r>
      <w:r w:rsidRPr="00D62985">
        <w:rPr>
          <w:rFonts w:cs="Calibri"/>
          <w:color w:val="auto"/>
          <w:szCs w:val="18"/>
          <w:lang w:val="en-GB"/>
        </w:rPr>
        <w:t>Ongoing Efforts to Improve Antimicrobial Utilization in Hospitals Among African Countries and Implications for the Future.</w:t>
      </w:r>
      <w:r w:rsidRPr="00D62985">
        <w:rPr>
          <w:color w:val="auto"/>
          <w:szCs w:val="18"/>
          <w:lang w:val="en-GB"/>
        </w:rPr>
        <w:t xml:space="preserve"> Antibiotics </w:t>
      </w:r>
      <w:r w:rsidRPr="00D62985">
        <w:rPr>
          <w:b/>
          <w:bCs/>
          <w:color w:val="auto"/>
          <w:szCs w:val="18"/>
          <w:lang w:val="en-GB"/>
        </w:rPr>
        <w:t>2022</w:t>
      </w:r>
      <w:r w:rsidRPr="00D62985">
        <w:rPr>
          <w:color w:val="auto"/>
          <w:szCs w:val="18"/>
          <w:lang w:val="en-GB"/>
        </w:rPr>
        <w:t>, 11, 1824.</w:t>
      </w:r>
    </w:p>
    <w:p w14:paraId="15CBA9EC" w14:textId="5963CA01" w:rsidR="002947F7" w:rsidRPr="00D62985" w:rsidRDefault="005E0486" w:rsidP="002947F7">
      <w:pPr>
        <w:pStyle w:val="EndNoteBibliography"/>
        <w:rPr>
          <w:color w:val="auto"/>
          <w:szCs w:val="18"/>
          <w:lang w:val="en-GB"/>
        </w:rPr>
      </w:pPr>
      <w:r>
        <w:rPr>
          <w:color w:val="auto"/>
          <w:szCs w:val="18"/>
        </w:rPr>
        <w:t>59</w:t>
      </w:r>
      <w:r w:rsidR="002947F7" w:rsidRPr="00D62985">
        <w:rPr>
          <w:color w:val="auto"/>
          <w:szCs w:val="18"/>
        </w:rPr>
        <w:t>.</w:t>
      </w:r>
      <w:r w:rsidR="002947F7" w:rsidRPr="00D62985">
        <w:rPr>
          <w:color w:val="auto"/>
          <w:szCs w:val="18"/>
        </w:rPr>
        <w:tab/>
      </w:r>
      <w:r w:rsidR="002947F7" w:rsidRPr="00D62985">
        <w:rPr>
          <w:rFonts w:cs="Calibri"/>
          <w:color w:val="auto"/>
          <w:szCs w:val="18"/>
          <w:lang w:val="en-GB"/>
        </w:rPr>
        <w:t>Siachalinga, L.; Mufwambi, W.; Lee, I.H. Impact of antimicrobial stewardship interventions to improve antibiotic prescribing for</w:t>
      </w:r>
      <w:r w:rsidR="002947F7" w:rsidRPr="00D62985">
        <w:rPr>
          <w:color w:val="auto"/>
          <w:szCs w:val="18"/>
          <w:lang w:val="en-GB"/>
        </w:rPr>
        <w:t xml:space="preserve"> hospital inpatients in Africa: A systematic review and meta-analysis. J. Hosp. Infect. </w:t>
      </w:r>
      <w:r w:rsidR="002947F7" w:rsidRPr="00D62985">
        <w:rPr>
          <w:b/>
          <w:bCs/>
          <w:color w:val="auto"/>
          <w:szCs w:val="18"/>
          <w:lang w:val="en-GB"/>
        </w:rPr>
        <w:t>2022</w:t>
      </w:r>
      <w:r w:rsidR="002947F7" w:rsidRPr="00D62985">
        <w:rPr>
          <w:color w:val="auto"/>
          <w:szCs w:val="18"/>
          <w:lang w:val="en-GB"/>
        </w:rPr>
        <w:t>, 129, 124–143.</w:t>
      </w:r>
    </w:p>
    <w:p w14:paraId="41428D23" w14:textId="64496B45" w:rsidR="002947F7" w:rsidRPr="00D62985" w:rsidRDefault="002947F7" w:rsidP="002947F7">
      <w:pPr>
        <w:pStyle w:val="EndNoteBibliography"/>
        <w:rPr>
          <w:color w:val="auto"/>
          <w:szCs w:val="18"/>
          <w:lang w:val="en-GB"/>
        </w:rPr>
      </w:pPr>
      <w:r w:rsidRPr="00D62985">
        <w:rPr>
          <w:color w:val="auto"/>
          <w:szCs w:val="18"/>
        </w:rPr>
        <w:t>6</w:t>
      </w:r>
      <w:r w:rsidR="005E0486">
        <w:rPr>
          <w:color w:val="auto"/>
          <w:szCs w:val="18"/>
        </w:rPr>
        <w:t>0</w:t>
      </w:r>
      <w:r w:rsidRPr="00D62985">
        <w:rPr>
          <w:color w:val="auto"/>
          <w:szCs w:val="18"/>
        </w:rPr>
        <w:t>.</w:t>
      </w:r>
      <w:r w:rsidRPr="00D62985">
        <w:rPr>
          <w:color w:val="auto"/>
          <w:szCs w:val="18"/>
        </w:rPr>
        <w:tab/>
      </w:r>
      <w:r w:rsidRPr="00D62985">
        <w:rPr>
          <w:rFonts w:cs="Calibri"/>
          <w:color w:val="auto"/>
          <w:szCs w:val="18"/>
          <w:lang w:val="en-GB"/>
        </w:rPr>
        <w:t>Akpan, M.R.; Isemin, N.U.; Udoh, A.E.; Ashiru-Oredope, D. Implementation of antimicrobial stewardship programmes in African</w:t>
      </w:r>
      <w:r w:rsidRPr="00D62985">
        <w:rPr>
          <w:color w:val="auto"/>
          <w:szCs w:val="18"/>
          <w:lang w:val="en-GB"/>
        </w:rPr>
        <w:t xml:space="preserve"> countries: A systematic literature review. J. Glob. Antimicrob. Resist. </w:t>
      </w:r>
      <w:r w:rsidRPr="00D62985">
        <w:rPr>
          <w:b/>
          <w:bCs/>
          <w:color w:val="auto"/>
          <w:szCs w:val="18"/>
          <w:lang w:val="en-GB"/>
        </w:rPr>
        <w:t>2020</w:t>
      </w:r>
      <w:r w:rsidRPr="00D62985">
        <w:rPr>
          <w:color w:val="auto"/>
          <w:szCs w:val="18"/>
          <w:lang w:val="en-GB"/>
        </w:rPr>
        <w:t>, 22, 317–324.</w:t>
      </w:r>
    </w:p>
    <w:p w14:paraId="312D5FB7" w14:textId="6FA51260" w:rsidR="002947F7" w:rsidRPr="00D62985" w:rsidRDefault="002947F7" w:rsidP="002947F7">
      <w:pPr>
        <w:pStyle w:val="EndNoteBibliography"/>
        <w:rPr>
          <w:color w:val="auto"/>
          <w:szCs w:val="18"/>
        </w:rPr>
      </w:pPr>
      <w:r w:rsidRPr="00D62985">
        <w:rPr>
          <w:color w:val="auto"/>
          <w:szCs w:val="18"/>
        </w:rPr>
        <w:t>6</w:t>
      </w:r>
      <w:r w:rsidR="005E0486">
        <w:rPr>
          <w:color w:val="auto"/>
          <w:szCs w:val="18"/>
        </w:rPr>
        <w:t>1</w:t>
      </w:r>
      <w:r w:rsidRPr="00D62985">
        <w:rPr>
          <w:color w:val="auto"/>
          <w:szCs w:val="18"/>
        </w:rPr>
        <w:t>.</w:t>
      </w:r>
      <w:r w:rsidRPr="00D62985">
        <w:rPr>
          <w:color w:val="auto"/>
          <w:szCs w:val="18"/>
        </w:rPr>
        <w:tab/>
        <w:t>Sarang B, Tiwary A, Gadgil A, Roy N. Implementing antimicrobial stewardship to reduce surgical site infections: Experience and challenges from two tertiary-care hospitals in Mumbai, India. J Glob Antimicrob Resist. 2020;20:105-9.</w:t>
      </w:r>
    </w:p>
    <w:p w14:paraId="34BDCDD1" w14:textId="2ABEE4B0" w:rsidR="002947F7" w:rsidRPr="00D62985" w:rsidRDefault="002947F7" w:rsidP="002947F7">
      <w:pPr>
        <w:pStyle w:val="EndNoteBibliography"/>
        <w:rPr>
          <w:color w:val="auto"/>
          <w:szCs w:val="18"/>
        </w:rPr>
      </w:pPr>
      <w:r w:rsidRPr="00D62985">
        <w:rPr>
          <w:color w:val="auto"/>
          <w:szCs w:val="18"/>
        </w:rPr>
        <w:t>6</w:t>
      </w:r>
      <w:r w:rsidR="005E0486">
        <w:rPr>
          <w:color w:val="auto"/>
          <w:szCs w:val="18"/>
        </w:rPr>
        <w:t>2</w:t>
      </w:r>
      <w:r w:rsidRPr="00D62985">
        <w:rPr>
          <w:color w:val="auto"/>
          <w:szCs w:val="18"/>
        </w:rPr>
        <w:t>.</w:t>
      </w:r>
      <w:r w:rsidRPr="00D62985">
        <w:rPr>
          <w:color w:val="auto"/>
          <w:szCs w:val="18"/>
        </w:rPr>
        <w:tab/>
        <w:t>Fésüs A, Baluku P, Sipos É, Somodi S, Berczi-Kun E, Lekli I, et al. The effect of the antibiotic stewardship program (ASP) on community-acquired pneumonia (CAP): a before-after study. Front Pharmacol. 2024;15:1406960.</w:t>
      </w:r>
    </w:p>
    <w:p w14:paraId="708D98B3" w14:textId="7857F87E" w:rsidR="002947F7" w:rsidRPr="00D62985" w:rsidRDefault="002947F7" w:rsidP="002947F7">
      <w:pPr>
        <w:pStyle w:val="EndNoteBibliography"/>
        <w:rPr>
          <w:color w:val="auto"/>
          <w:szCs w:val="18"/>
        </w:rPr>
      </w:pPr>
      <w:r w:rsidRPr="00D62985">
        <w:rPr>
          <w:color w:val="auto"/>
          <w:szCs w:val="18"/>
        </w:rPr>
        <w:t>6</w:t>
      </w:r>
      <w:r w:rsidR="005E0486">
        <w:rPr>
          <w:color w:val="auto"/>
          <w:szCs w:val="18"/>
        </w:rPr>
        <w:t>3</w:t>
      </w:r>
      <w:r w:rsidRPr="00D62985">
        <w:rPr>
          <w:color w:val="auto"/>
          <w:szCs w:val="18"/>
        </w:rPr>
        <w:t>.</w:t>
      </w:r>
      <w:r w:rsidRPr="00D62985">
        <w:rPr>
          <w:color w:val="auto"/>
          <w:szCs w:val="18"/>
        </w:rPr>
        <w:tab/>
        <w:t>Hoa NQ, Thi Lan P, Phuc HD, Chuc NTK, Stalsby Lundborg C. Antibiotic prescribing and dispensing for acute respiratory infections in children: effectiveness of a multi-faceted intervention for health-care providers in Vietnam. Glob Health Action. 2017;10(1):1327638.</w:t>
      </w:r>
    </w:p>
    <w:p w14:paraId="0327F9B3" w14:textId="61E501B1" w:rsidR="002947F7" w:rsidRPr="00D62985" w:rsidRDefault="002947F7" w:rsidP="002947F7">
      <w:pPr>
        <w:pStyle w:val="EndNoteBibliography"/>
        <w:rPr>
          <w:color w:val="auto"/>
          <w:szCs w:val="18"/>
        </w:rPr>
      </w:pPr>
      <w:r w:rsidRPr="00D62985">
        <w:rPr>
          <w:color w:val="auto"/>
          <w:szCs w:val="18"/>
        </w:rPr>
        <w:t>6</w:t>
      </w:r>
      <w:r w:rsidR="005E0486">
        <w:rPr>
          <w:color w:val="auto"/>
          <w:szCs w:val="18"/>
        </w:rPr>
        <w:t>4</w:t>
      </w:r>
      <w:r w:rsidRPr="00D62985">
        <w:rPr>
          <w:color w:val="auto"/>
          <w:szCs w:val="18"/>
        </w:rPr>
        <w:t>.</w:t>
      </w:r>
      <w:r w:rsidRPr="00D62985">
        <w:rPr>
          <w:color w:val="auto"/>
          <w:szCs w:val="18"/>
        </w:rPr>
        <w:tab/>
        <w:t>Huong VTL, Ngan TTD, Thao HP, Tu NTC, Quan TA, Nadjm B, et al. Improving antimicrobial use through antimicrobial stewardship in a lower-middle income setting: a mixed-methods study in a network of acute-care hospitals in Viet Nam. J Glob Antimicrob Resist. 2021;27:212-21.</w:t>
      </w:r>
    </w:p>
    <w:p w14:paraId="2FA30672" w14:textId="297ED053" w:rsidR="002947F7" w:rsidRPr="00D62985" w:rsidRDefault="002947F7" w:rsidP="002947F7">
      <w:pPr>
        <w:pStyle w:val="EndNoteBibliography"/>
        <w:rPr>
          <w:color w:val="auto"/>
          <w:szCs w:val="18"/>
        </w:rPr>
      </w:pPr>
      <w:r w:rsidRPr="00D62985">
        <w:rPr>
          <w:color w:val="auto"/>
          <w:szCs w:val="18"/>
        </w:rPr>
        <w:t>6</w:t>
      </w:r>
      <w:r w:rsidR="005E0486">
        <w:rPr>
          <w:color w:val="auto"/>
          <w:szCs w:val="18"/>
        </w:rPr>
        <w:t>5</w:t>
      </w:r>
      <w:r w:rsidRPr="00D62985">
        <w:rPr>
          <w:color w:val="auto"/>
          <w:szCs w:val="18"/>
        </w:rPr>
        <w:t>.</w:t>
      </w:r>
      <w:r w:rsidRPr="00D62985">
        <w:rPr>
          <w:color w:val="auto"/>
          <w:szCs w:val="18"/>
        </w:rPr>
        <w:tab/>
        <w:t>Niaz Q, Godman B, Massele A, Campbell S, Kurdi A, Kagoya HR, et al. Validity of World Health Organisation prescribing indicators in Namibia's primary healthcare: findings and implications. Int J Qual Health Care. 2019;31(5):338-45.</w:t>
      </w:r>
    </w:p>
    <w:p w14:paraId="1C3B02A9" w14:textId="010ABEA6" w:rsidR="002947F7" w:rsidRPr="00D62985" w:rsidRDefault="002947F7" w:rsidP="002947F7">
      <w:pPr>
        <w:pStyle w:val="EndNoteBibliography"/>
        <w:rPr>
          <w:color w:val="auto"/>
          <w:szCs w:val="18"/>
        </w:rPr>
      </w:pPr>
      <w:r w:rsidRPr="00D62985">
        <w:rPr>
          <w:color w:val="auto"/>
          <w:szCs w:val="18"/>
        </w:rPr>
        <w:t>6</w:t>
      </w:r>
      <w:r w:rsidR="005E0486">
        <w:rPr>
          <w:color w:val="auto"/>
          <w:szCs w:val="18"/>
        </w:rPr>
        <w:t>6</w:t>
      </w:r>
      <w:r w:rsidRPr="00D62985">
        <w:rPr>
          <w:color w:val="auto"/>
          <w:szCs w:val="18"/>
        </w:rPr>
        <w:t>.</w:t>
      </w:r>
      <w:r w:rsidRPr="00D62985">
        <w:rPr>
          <w:color w:val="auto"/>
          <w:szCs w:val="18"/>
        </w:rPr>
        <w:tab/>
        <w:t>Campbell SM, Meyer J, Godman B. Why Compliance to National Prescribing Guidelines is Important Especially across Sub-Saharan Africa and Suggestions for the Future. Biomed Pharm Sci 2021;4 (316):1-7.</w:t>
      </w:r>
    </w:p>
    <w:p w14:paraId="1EE1BD33" w14:textId="14408627" w:rsidR="002947F7" w:rsidRPr="00D62985" w:rsidRDefault="002947F7" w:rsidP="002947F7">
      <w:pPr>
        <w:pStyle w:val="EndNoteBibliography"/>
        <w:rPr>
          <w:color w:val="auto"/>
          <w:szCs w:val="18"/>
        </w:rPr>
      </w:pPr>
      <w:r w:rsidRPr="00D62985">
        <w:rPr>
          <w:color w:val="auto"/>
          <w:szCs w:val="18"/>
        </w:rPr>
        <w:t>6</w:t>
      </w:r>
      <w:r w:rsidR="005E0486">
        <w:rPr>
          <w:color w:val="auto"/>
          <w:szCs w:val="18"/>
        </w:rPr>
        <w:t>7</w:t>
      </w:r>
      <w:r w:rsidRPr="00D62985">
        <w:rPr>
          <w:color w:val="auto"/>
          <w:szCs w:val="18"/>
        </w:rPr>
        <w:t>.</w:t>
      </w:r>
      <w:r w:rsidRPr="00D62985">
        <w:rPr>
          <w:color w:val="auto"/>
          <w:szCs w:val="18"/>
        </w:rPr>
        <w:tab/>
        <w:t>Bakir Ekinci P, Kara E, Telli Dizman G, Metin S, Inkaya AC, Demirkan K, et al. Compliance with guideline recommendations in the management of patients with hospitalized community-acquired pneumonia. J Investig Med. 2024;72(4):349-58.</w:t>
      </w:r>
    </w:p>
    <w:p w14:paraId="55242305" w14:textId="0A674137" w:rsidR="002947F7" w:rsidRDefault="002947F7" w:rsidP="002947F7">
      <w:pPr>
        <w:pStyle w:val="EndNoteBibliography"/>
        <w:rPr>
          <w:color w:val="auto"/>
          <w:szCs w:val="18"/>
        </w:rPr>
      </w:pPr>
      <w:r w:rsidRPr="00D62985">
        <w:rPr>
          <w:color w:val="auto"/>
          <w:szCs w:val="18"/>
        </w:rPr>
        <w:t>6</w:t>
      </w:r>
      <w:r w:rsidR="005E0486">
        <w:rPr>
          <w:color w:val="auto"/>
          <w:szCs w:val="18"/>
        </w:rPr>
        <w:t>8</w:t>
      </w:r>
      <w:r w:rsidRPr="00D62985">
        <w:rPr>
          <w:color w:val="auto"/>
          <w:szCs w:val="18"/>
        </w:rPr>
        <w:t>.</w:t>
      </w:r>
      <w:r w:rsidRPr="00D62985">
        <w:rPr>
          <w:color w:val="auto"/>
          <w:szCs w:val="18"/>
        </w:rPr>
        <w:tab/>
        <w:t>Shakeel S, Iffat W, Qamar A, Ghuman F, Yamin R, Ahmad N, et al. Pediatricians' Compliance to the Clinical Management Guidelines for Community-Acquired Pneumonia in Infants and Young Children in Pakistan. Healthcare. 2021;9(6).</w:t>
      </w:r>
    </w:p>
    <w:p w14:paraId="61842049" w14:textId="47C956A7" w:rsidR="005E0486" w:rsidRPr="00D62985" w:rsidRDefault="005E0486" w:rsidP="002947F7">
      <w:pPr>
        <w:pStyle w:val="EndNoteBibliography"/>
        <w:rPr>
          <w:color w:val="auto"/>
          <w:szCs w:val="18"/>
        </w:rPr>
      </w:pPr>
      <w:r>
        <w:rPr>
          <w:color w:val="auto"/>
          <w:szCs w:val="18"/>
        </w:rPr>
        <w:t>69</w:t>
      </w:r>
      <w:r w:rsidRPr="00D62985">
        <w:rPr>
          <w:color w:val="auto"/>
          <w:szCs w:val="18"/>
        </w:rPr>
        <w:t>.</w:t>
      </w:r>
      <w:r w:rsidRPr="00D62985">
        <w:rPr>
          <w:color w:val="auto"/>
          <w:szCs w:val="18"/>
        </w:rPr>
        <w:tab/>
      </w:r>
      <w:r w:rsidRPr="00681243">
        <w:rPr>
          <w:color w:val="auto"/>
          <w:szCs w:val="18"/>
          <w:highlight w:val="yellow"/>
        </w:rPr>
        <w:t>Funiciello E, Lorenzetti G, Cook A, Goelen J, Moore CE, Campbell SM, et al. Identifying AWaRe indicators for appropriate antibiotic use: a narrative review. J Antimicrob Chemother. 2024;79(12):3063-77.</w:t>
      </w:r>
    </w:p>
    <w:p w14:paraId="66605A52" w14:textId="379B9CA5" w:rsidR="002947F7" w:rsidRPr="00D62985" w:rsidRDefault="002947F7" w:rsidP="002947F7">
      <w:pPr>
        <w:pStyle w:val="EndNoteBibliography"/>
        <w:rPr>
          <w:color w:val="auto"/>
          <w:szCs w:val="18"/>
        </w:rPr>
      </w:pPr>
      <w:r w:rsidRPr="00D62985">
        <w:rPr>
          <w:color w:val="auto"/>
          <w:szCs w:val="18"/>
        </w:rPr>
        <w:t>70.</w:t>
      </w:r>
      <w:r w:rsidRPr="00D62985">
        <w:rPr>
          <w:color w:val="auto"/>
          <w:szCs w:val="18"/>
        </w:rPr>
        <w:tab/>
        <w:t>Nguyen PT, Nguyen TT, Huynh LT, Graham SM, Marais BJ. Clinical algorithm reduces antibiotic use among children presenting with respiratory symptoms to hospital in central Vietnam. Pneumonia. 2023;15(1):11.</w:t>
      </w:r>
    </w:p>
    <w:p w14:paraId="1975DE06" w14:textId="77777777" w:rsidR="002947F7" w:rsidRPr="00D62985" w:rsidRDefault="002947F7" w:rsidP="002947F7">
      <w:pPr>
        <w:pStyle w:val="EndNoteBibliography"/>
        <w:rPr>
          <w:color w:val="auto"/>
          <w:szCs w:val="18"/>
        </w:rPr>
      </w:pPr>
      <w:r w:rsidRPr="00D62985">
        <w:rPr>
          <w:color w:val="auto"/>
          <w:szCs w:val="18"/>
        </w:rPr>
        <w:t>71.</w:t>
      </w:r>
      <w:r w:rsidRPr="00D62985">
        <w:rPr>
          <w:color w:val="auto"/>
          <w:szCs w:val="18"/>
        </w:rPr>
        <w:tab/>
        <w:t>Mustafa ZU, Khan AH, Salman M, Harun SN, Meyer JC, Godman B. Paediatricians' knowledge, perceptions, preparedness and involvement towards paediatric antimicrobial stewardship in Pakistan: findings and the implications. JAC Antimicrob Resist. 2024;6(6):dlae193.</w:t>
      </w:r>
    </w:p>
    <w:p w14:paraId="59D344AD" w14:textId="77777777" w:rsidR="002947F7" w:rsidRPr="00D62985" w:rsidRDefault="002947F7" w:rsidP="002947F7">
      <w:pPr>
        <w:pStyle w:val="EndNoteBibliography"/>
        <w:rPr>
          <w:color w:val="auto"/>
          <w:szCs w:val="18"/>
        </w:rPr>
      </w:pPr>
      <w:r w:rsidRPr="00D62985">
        <w:rPr>
          <w:color w:val="auto"/>
          <w:szCs w:val="18"/>
        </w:rPr>
        <w:t>72.</w:t>
      </w:r>
      <w:r w:rsidRPr="00D62985">
        <w:rPr>
          <w:color w:val="auto"/>
          <w:szCs w:val="18"/>
        </w:rPr>
        <w:tab/>
        <w:t>Fadare JO, Ogunleye O, Iliyasu G, Adeoti A, Schellack N, Engler D, et al. Status of antimicrobial stewardship programmes in Nigerian tertiary healthcare facilities: Findings and implications. J Glob Antimicrob Resist. 2019;17:132-6.</w:t>
      </w:r>
    </w:p>
    <w:p w14:paraId="18FE790A" w14:textId="77777777" w:rsidR="002947F7" w:rsidRPr="00D62985" w:rsidRDefault="002947F7" w:rsidP="002947F7">
      <w:pPr>
        <w:pStyle w:val="EndNoteBibliography"/>
        <w:rPr>
          <w:color w:val="auto"/>
          <w:szCs w:val="18"/>
        </w:rPr>
      </w:pPr>
      <w:r w:rsidRPr="00D62985">
        <w:rPr>
          <w:color w:val="auto"/>
          <w:szCs w:val="18"/>
        </w:rPr>
        <w:t>73.</w:t>
      </w:r>
      <w:r w:rsidRPr="00D62985">
        <w:rPr>
          <w:color w:val="auto"/>
          <w:szCs w:val="18"/>
        </w:rPr>
        <w:tab/>
        <w:t>Vu HTL, Pham TTT, Duong YH, Truong QA, Nguyen HK, Nguyen TTC, et al. Antibiotic prescribing practices of medical doctors in a resource-limited setting and the influence of individual perceptions and stewardship support: a survey in three tertiary hospitals in Vietnam. JAC Antimicrob Resist. 2024;6(2):dlae064.</w:t>
      </w:r>
    </w:p>
    <w:p w14:paraId="75764674" w14:textId="77777777" w:rsidR="002947F7" w:rsidRPr="00D62985" w:rsidRDefault="002947F7" w:rsidP="002947F7">
      <w:pPr>
        <w:pStyle w:val="EndNoteBibliography"/>
        <w:rPr>
          <w:color w:val="auto"/>
          <w:szCs w:val="18"/>
        </w:rPr>
      </w:pPr>
      <w:r w:rsidRPr="00D62985">
        <w:rPr>
          <w:color w:val="auto"/>
          <w:szCs w:val="18"/>
        </w:rPr>
        <w:t>74.</w:t>
      </w:r>
      <w:r w:rsidRPr="00D62985">
        <w:rPr>
          <w:color w:val="auto"/>
          <w:szCs w:val="18"/>
        </w:rPr>
        <w:tab/>
        <w:t>Do NTT, Li R, Dinh HTT, Nguyen HTL, Dao MQ, Nghiem TNM, et al. Improving antibiotic prescribing for community-acquired pneumonia in a provincial hospital in Northern Vietnam. JAC Antimicrob Resist. 2021;3(2):dlab040.</w:t>
      </w:r>
    </w:p>
    <w:p w14:paraId="5579B777" w14:textId="77777777" w:rsidR="002947F7" w:rsidRPr="00D62985" w:rsidRDefault="002947F7" w:rsidP="002947F7">
      <w:pPr>
        <w:pStyle w:val="EndNoteBibliography"/>
        <w:rPr>
          <w:color w:val="auto"/>
          <w:szCs w:val="18"/>
        </w:rPr>
      </w:pPr>
      <w:r w:rsidRPr="00D62985">
        <w:rPr>
          <w:color w:val="auto"/>
          <w:szCs w:val="18"/>
        </w:rPr>
        <w:t>75.</w:t>
      </w:r>
      <w:r w:rsidRPr="00D62985">
        <w:rPr>
          <w:color w:val="auto"/>
          <w:szCs w:val="18"/>
        </w:rPr>
        <w:tab/>
        <w:t>Salih KE, Bilal JA, Alfadeel MA, Hamid Y, Eldouch W, Elsammani E, et al. Poor adherence to the World Health Organization guidelines of treatment of severe pneumonia in children at Khartoum, Sudan. BMC Res Notes. 2014;7:531.</w:t>
      </w:r>
    </w:p>
    <w:p w14:paraId="39803CA7" w14:textId="77777777" w:rsidR="002947F7" w:rsidRPr="00D62985" w:rsidRDefault="002947F7" w:rsidP="002947F7">
      <w:pPr>
        <w:pStyle w:val="EndNoteBibliography"/>
        <w:rPr>
          <w:color w:val="auto"/>
          <w:szCs w:val="18"/>
        </w:rPr>
      </w:pPr>
      <w:r w:rsidRPr="00D62985">
        <w:rPr>
          <w:color w:val="auto"/>
          <w:szCs w:val="18"/>
        </w:rPr>
        <w:t>76.</w:t>
      </w:r>
      <w:r w:rsidRPr="00D62985">
        <w:rPr>
          <w:color w:val="auto"/>
          <w:szCs w:val="18"/>
        </w:rPr>
        <w:tab/>
        <w:t>Sefah IA, Essah DO, Kurdi A, Sneddon J, Alalbila TM, Kordorwu H, et al. Assessment of adherence to pneumonia guidelines and its determinants in an ambulatory care clinic in Ghana: findings and implications for the future. JAC Antimicrob Resist. 2021;3(2):dlab080.</w:t>
      </w:r>
    </w:p>
    <w:p w14:paraId="07A3A624" w14:textId="77777777" w:rsidR="002947F7" w:rsidRPr="00D62985" w:rsidRDefault="002947F7" w:rsidP="002947F7">
      <w:pPr>
        <w:pStyle w:val="EndNoteBibliography"/>
        <w:rPr>
          <w:color w:val="auto"/>
          <w:szCs w:val="18"/>
        </w:rPr>
      </w:pPr>
      <w:r w:rsidRPr="00D62985">
        <w:rPr>
          <w:color w:val="auto"/>
          <w:szCs w:val="18"/>
        </w:rPr>
        <w:t>77.</w:t>
      </w:r>
      <w:r w:rsidRPr="00D62985">
        <w:rPr>
          <w:color w:val="auto"/>
          <w:szCs w:val="18"/>
        </w:rPr>
        <w:tab/>
        <w:t>La Vecchia A, Teklie BG, Mulu DA, Toitole KK, Montalbetti F, Agostoni C, et al. Adherence to WHO guidelines on severe pneumonia management in children and its impact on outcome: an observational study at Jinka General Hospital in Ethiopia. Front Public Health. 2023;11:1189684.</w:t>
      </w:r>
    </w:p>
    <w:p w14:paraId="2C2973E5" w14:textId="77777777" w:rsidR="002947F7" w:rsidRPr="00D62985" w:rsidRDefault="002947F7" w:rsidP="002947F7">
      <w:pPr>
        <w:pStyle w:val="EndNoteBibliography"/>
        <w:rPr>
          <w:color w:val="auto"/>
          <w:szCs w:val="18"/>
        </w:rPr>
      </w:pPr>
      <w:r w:rsidRPr="00D62985">
        <w:rPr>
          <w:color w:val="auto"/>
          <w:szCs w:val="18"/>
        </w:rPr>
        <w:t>78.</w:t>
      </w:r>
      <w:r w:rsidRPr="00D62985">
        <w:rPr>
          <w:color w:val="auto"/>
          <w:szCs w:val="18"/>
        </w:rPr>
        <w:tab/>
        <w:t>Mutinda CM, Onyango FE, Maleche-Obimbo E, Kumar R, Wamalwa D, Were F, et al. ADHERENCE TO PNEUMONIA GUIDELINES FOR CHILDREN 2 - 59 MONTHS AT GARRISA PROVINCIAL GENERAL HOSPITAL. East Afr Med J. 2014;91(1):13-20.</w:t>
      </w:r>
    </w:p>
    <w:p w14:paraId="4D4FD03D" w14:textId="77777777" w:rsidR="002947F7" w:rsidRPr="00D62985" w:rsidRDefault="002947F7" w:rsidP="002947F7">
      <w:pPr>
        <w:pStyle w:val="EndNoteBibliography"/>
        <w:rPr>
          <w:color w:val="auto"/>
          <w:szCs w:val="18"/>
        </w:rPr>
      </w:pPr>
      <w:r w:rsidRPr="00D62985">
        <w:rPr>
          <w:color w:val="auto"/>
          <w:szCs w:val="18"/>
        </w:rPr>
        <w:t>79.</w:t>
      </w:r>
      <w:r w:rsidRPr="00D62985">
        <w:rPr>
          <w:color w:val="auto"/>
          <w:szCs w:val="18"/>
        </w:rPr>
        <w:tab/>
        <w:t>Nguyen PTK, Tran HT, Fitzgerald DA, Tran TS, Graham SM, Marais BJ. Characterisation of children hospitalised with pneumonia in central Vietnam: a prospective study. Eur Respir J. 2019;54(1).</w:t>
      </w:r>
    </w:p>
    <w:p w14:paraId="09F488E8" w14:textId="77777777" w:rsidR="002947F7" w:rsidRPr="00D62985" w:rsidRDefault="002947F7" w:rsidP="002947F7">
      <w:pPr>
        <w:pStyle w:val="EndNoteBibliography"/>
        <w:rPr>
          <w:color w:val="auto"/>
          <w:szCs w:val="18"/>
        </w:rPr>
      </w:pPr>
      <w:r w:rsidRPr="00D62985">
        <w:rPr>
          <w:color w:val="auto"/>
          <w:szCs w:val="18"/>
        </w:rPr>
        <w:t>80.</w:t>
      </w:r>
      <w:r w:rsidRPr="00D62985">
        <w:rPr>
          <w:color w:val="auto"/>
          <w:szCs w:val="18"/>
        </w:rPr>
        <w:tab/>
        <w:t xml:space="preserve">Ministry of Health. Guidelines for diagnosis and treatment of some common diseases in children in Vietnam. Issued together with Decision No. 3312/QD-BYT - August 7 2015. Available at URL: </w:t>
      </w:r>
      <w:hyperlink r:id="rId19" w:history="1">
        <w:r w:rsidRPr="00D62985">
          <w:rPr>
            <w:rStyle w:val="Hyperlink"/>
            <w:color w:val="auto"/>
            <w:szCs w:val="18"/>
            <w:u w:val="none"/>
          </w:rPr>
          <w:t>https://kcb.vn/van-ban/huong-dan-chan-doan-va-dieu-tri-mot-so-benh-thuong-gap-o-tre-em.html</w:t>
        </w:r>
      </w:hyperlink>
      <w:r w:rsidRPr="00D62985">
        <w:rPr>
          <w:color w:val="auto"/>
          <w:szCs w:val="18"/>
        </w:rPr>
        <w:t xml:space="preserve"> (Accessed 2 May 2025)</w:t>
      </w:r>
    </w:p>
    <w:p w14:paraId="0534F078" w14:textId="77777777" w:rsidR="002947F7" w:rsidRPr="00D62985" w:rsidRDefault="002947F7" w:rsidP="002947F7">
      <w:pPr>
        <w:pStyle w:val="EndNoteBibliography"/>
        <w:rPr>
          <w:color w:val="auto"/>
          <w:szCs w:val="18"/>
        </w:rPr>
      </w:pPr>
      <w:r w:rsidRPr="00D62985">
        <w:rPr>
          <w:color w:val="auto"/>
          <w:szCs w:val="18"/>
        </w:rPr>
        <w:t>81.</w:t>
      </w:r>
      <w:r w:rsidRPr="00D62985">
        <w:rPr>
          <w:color w:val="auto"/>
          <w:szCs w:val="18"/>
        </w:rPr>
        <w:tab/>
        <w:t>Lui G, To HKW, Lee N, Chan RWY, Li T, Wong RYK, et al. Adherence to Treatment Guideline Improves Patient Outcomes in a Prospective Cohort of Adults Hospitalized for Community-Acquired Pneumonia. Open Forum Infect Dis. 2020;7(5):ofaa146.</w:t>
      </w:r>
    </w:p>
    <w:p w14:paraId="409EB3D0" w14:textId="5A8D667B" w:rsidR="002947F7" w:rsidRPr="00D62985" w:rsidRDefault="002947F7" w:rsidP="002947F7">
      <w:pPr>
        <w:pStyle w:val="EndNoteBibliography"/>
        <w:rPr>
          <w:color w:val="auto"/>
          <w:szCs w:val="18"/>
        </w:rPr>
      </w:pPr>
      <w:r w:rsidRPr="00D62985">
        <w:rPr>
          <w:color w:val="auto"/>
          <w:szCs w:val="18"/>
        </w:rPr>
        <w:t>8</w:t>
      </w:r>
      <w:r w:rsidR="005E0486">
        <w:rPr>
          <w:color w:val="auto"/>
          <w:szCs w:val="18"/>
        </w:rPr>
        <w:t>2</w:t>
      </w:r>
      <w:r w:rsidRPr="00D62985">
        <w:rPr>
          <w:color w:val="auto"/>
          <w:szCs w:val="18"/>
        </w:rPr>
        <w:t>.</w:t>
      </w:r>
      <w:r w:rsidRPr="00D62985">
        <w:rPr>
          <w:color w:val="auto"/>
          <w:szCs w:val="18"/>
        </w:rPr>
        <w:tab/>
        <w:t>Phuong NTK, Hoang TT, Van PH, Tu L, Graham SM, Marais BJ. Encouraging rational antibiotic use in childhood pneumonia: a focus on Vietnam and the Western Pacific Region. Pneumonia (Nathan). 2017;9:7.</w:t>
      </w:r>
    </w:p>
    <w:p w14:paraId="2365079C" w14:textId="7DA16102" w:rsidR="002947F7" w:rsidRPr="00D62985" w:rsidRDefault="002947F7" w:rsidP="002947F7">
      <w:pPr>
        <w:pStyle w:val="EndNoteBibliography"/>
        <w:rPr>
          <w:color w:val="auto"/>
          <w:szCs w:val="18"/>
        </w:rPr>
      </w:pPr>
      <w:r w:rsidRPr="00D62985">
        <w:rPr>
          <w:color w:val="auto"/>
          <w:szCs w:val="18"/>
        </w:rPr>
        <w:t>8</w:t>
      </w:r>
      <w:r w:rsidR="005E0486">
        <w:rPr>
          <w:color w:val="auto"/>
          <w:szCs w:val="18"/>
        </w:rPr>
        <w:t>3</w:t>
      </w:r>
      <w:r w:rsidRPr="00D62985">
        <w:rPr>
          <w:color w:val="auto"/>
          <w:szCs w:val="18"/>
        </w:rPr>
        <w:t>.</w:t>
      </w:r>
      <w:r w:rsidRPr="00D62985">
        <w:rPr>
          <w:color w:val="auto"/>
          <w:szCs w:val="18"/>
        </w:rPr>
        <w:tab/>
        <w:t>Belay ET, Hayelom HM, Adugna B, Birhan N, Asmamaw K. Treatment outcome of community acquired pneumonia among pediatric patients admitted to pediatrics wards at university of Gondar comprehensive and specialized hospital, northwest Ethiopia: a Retrospective cohort study. BMC Pediatrics. 2024;24(1):801.</w:t>
      </w:r>
    </w:p>
    <w:p w14:paraId="75E1A55D" w14:textId="3313923F" w:rsidR="002947F7" w:rsidRDefault="002947F7" w:rsidP="002947F7">
      <w:pPr>
        <w:pStyle w:val="EndNoteBibliography"/>
        <w:rPr>
          <w:color w:val="auto"/>
          <w:szCs w:val="18"/>
        </w:rPr>
      </w:pPr>
      <w:r w:rsidRPr="00D62985">
        <w:rPr>
          <w:color w:val="auto"/>
          <w:szCs w:val="18"/>
        </w:rPr>
        <w:t>8</w:t>
      </w:r>
      <w:r w:rsidR="005E0486">
        <w:rPr>
          <w:color w:val="auto"/>
          <w:szCs w:val="18"/>
        </w:rPr>
        <w:t>4</w:t>
      </w:r>
      <w:r w:rsidRPr="00D62985">
        <w:rPr>
          <w:color w:val="auto"/>
          <w:szCs w:val="18"/>
        </w:rPr>
        <w:t>.</w:t>
      </w:r>
      <w:r w:rsidRPr="00D62985">
        <w:rPr>
          <w:color w:val="auto"/>
          <w:szCs w:val="18"/>
        </w:rPr>
        <w:tab/>
        <w:t>Tannous R, Haddad RN, Torbey PH. Management of Community-Acquired Pneumonia in Pediatrics: Adherence to Clinical Guidelines. Front Pediatr. 2020;8:302.</w:t>
      </w:r>
    </w:p>
    <w:p w14:paraId="1231F4C9" w14:textId="69770CDD" w:rsidR="005E0486" w:rsidRPr="00D62985" w:rsidRDefault="005E0486" w:rsidP="002947F7">
      <w:pPr>
        <w:pStyle w:val="EndNoteBibliography"/>
        <w:rPr>
          <w:color w:val="auto"/>
          <w:szCs w:val="18"/>
        </w:rPr>
      </w:pPr>
      <w:r>
        <w:rPr>
          <w:color w:val="auto"/>
          <w:szCs w:val="18"/>
        </w:rPr>
        <w:t>85</w:t>
      </w:r>
      <w:r w:rsidRPr="00D62985">
        <w:rPr>
          <w:color w:val="auto"/>
          <w:szCs w:val="18"/>
        </w:rPr>
        <w:t>.</w:t>
      </w:r>
      <w:r w:rsidRPr="00D62985">
        <w:rPr>
          <w:color w:val="auto"/>
          <w:szCs w:val="18"/>
        </w:rPr>
        <w:tab/>
      </w:r>
      <w:r w:rsidRPr="00681243">
        <w:rPr>
          <w:color w:val="auto"/>
          <w:szCs w:val="18"/>
          <w:highlight w:val="yellow"/>
        </w:rPr>
        <w:t>AT L. Analysis of Antibiotic Usage in Patients with Community-Acquired Pneumonia at E Hospital. 2016. Bachelor's Thesis in Pharmacy, Hanoi University of Pharmacy, Hanoi Data in file - further details available from the corresponding authors.</w:t>
      </w:r>
    </w:p>
    <w:p w14:paraId="6C91DBBD" w14:textId="77777777" w:rsidR="002947F7" w:rsidRPr="00D62985" w:rsidRDefault="002947F7" w:rsidP="002947F7">
      <w:pPr>
        <w:pStyle w:val="EndNoteBibliography"/>
        <w:rPr>
          <w:color w:val="auto"/>
          <w:szCs w:val="18"/>
        </w:rPr>
      </w:pPr>
      <w:r w:rsidRPr="00D62985">
        <w:rPr>
          <w:color w:val="auto"/>
          <w:szCs w:val="18"/>
        </w:rPr>
        <w:t>86.</w:t>
      </w:r>
      <w:r w:rsidRPr="00D62985">
        <w:rPr>
          <w:color w:val="auto"/>
          <w:szCs w:val="18"/>
        </w:rPr>
        <w:tab/>
        <w:t>Kreitmeyr K, von Both U, Pecar A, Borde JP, Mikolajczyk R, Huebner J. Pediatric antibiotic stewardship: successful interventions to reduce broad-spectrum antibiotic use on general pediatric wards. Infection. 2017;45(4):493-504.</w:t>
      </w:r>
    </w:p>
    <w:p w14:paraId="32A7E4B6" w14:textId="77777777" w:rsidR="002947F7" w:rsidRPr="00D62985" w:rsidRDefault="002947F7" w:rsidP="002947F7">
      <w:pPr>
        <w:pStyle w:val="EndNoteBibliography"/>
        <w:rPr>
          <w:color w:val="auto"/>
          <w:szCs w:val="18"/>
        </w:rPr>
      </w:pPr>
      <w:r w:rsidRPr="00D62985">
        <w:rPr>
          <w:color w:val="auto"/>
          <w:szCs w:val="18"/>
        </w:rPr>
        <w:t>87.</w:t>
      </w:r>
      <w:r w:rsidRPr="00D62985">
        <w:rPr>
          <w:color w:val="auto"/>
          <w:szCs w:val="18"/>
        </w:rPr>
        <w:tab/>
        <w:t>van den Bergh D, Messina AP, Goff DA, van Jaarsveld A, Coetzee R, de Wet Y, et al. A pharmacist-led prospective antibiotic stewardship intervention improves compliance to community-acquired pneumonia guidelines in 39 public and private hospitals across South Africa. Int J Antimicrob Agents. 2020;56(6):106189.</w:t>
      </w:r>
    </w:p>
    <w:p w14:paraId="6DFDE81D" w14:textId="77777777" w:rsidR="002947F7" w:rsidRPr="00D62985" w:rsidRDefault="002947F7" w:rsidP="002947F7">
      <w:pPr>
        <w:pStyle w:val="EndNoteBibliography"/>
        <w:rPr>
          <w:color w:val="auto"/>
          <w:szCs w:val="18"/>
        </w:rPr>
      </w:pPr>
      <w:r w:rsidRPr="00D62985">
        <w:rPr>
          <w:color w:val="auto"/>
          <w:szCs w:val="18"/>
        </w:rPr>
        <w:t>88.</w:t>
      </w:r>
      <w:r w:rsidRPr="00D62985">
        <w:rPr>
          <w:color w:val="auto"/>
          <w:szCs w:val="18"/>
        </w:rPr>
        <w:tab/>
        <w:t>Puzz L, Plauche EA, Cretella DA, Harrison VA, Wingler MJB. Evaluation of a Pediatric Community-Acquired Pneumonia Antimicrobial Stewardship Intervention at an Academic Medical Center. Antibiotics (Basel). 2023;12(4).</w:t>
      </w:r>
    </w:p>
    <w:p w14:paraId="40BEA41C" w14:textId="77777777" w:rsidR="002947F7" w:rsidRPr="00D62985" w:rsidRDefault="002947F7" w:rsidP="002947F7">
      <w:pPr>
        <w:pStyle w:val="EndNoteBibliography"/>
        <w:rPr>
          <w:color w:val="auto"/>
          <w:szCs w:val="18"/>
        </w:rPr>
      </w:pPr>
      <w:r w:rsidRPr="00D62985">
        <w:rPr>
          <w:color w:val="auto"/>
          <w:szCs w:val="18"/>
        </w:rPr>
        <w:t>89.</w:t>
      </w:r>
      <w:r w:rsidRPr="00D62985">
        <w:rPr>
          <w:color w:val="auto"/>
          <w:szCs w:val="18"/>
        </w:rPr>
        <w:tab/>
        <w:t>Foolad F, Huang AM, Nguyen CT, Colyer L, Lim M, Grieger J, et al. A multicentre stewardship initiative to decrease excessive duration of antibiotic therapy for the treatment of community-acquired pneumonia. J Antimicrob Chemother. 2018;73(5):1402-7.</w:t>
      </w:r>
    </w:p>
    <w:p w14:paraId="6CAA9E83" w14:textId="77777777" w:rsidR="002947F7" w:rsidRPr="00D62985" w:rsidRDefault="002947F7" w:rsidP="002947F7">
      <w:pPr>
        <w:pStyle w:val="EndNoteBibliography"/>
        <w:rPr>
          <w:color w:val="auto"/>
          <w:szCs w:val="18"/>
        </w:rPr>
      </w:pPr>
      <w:r w:rsidRPr="00D62985">
        <w:rPr>
          <w:color w:val="auto"/>
          <w:szCs w:val="18"/>
        </w:rPr>
        <w:t>90.</w:t>
      </w:r>
      <w:r w:rsidRPr="00D62985">
        <w:rPr>
          <w:color w:val="auto"/>
          <w:szCs w:val="18"/>
        </w:rPr>
        <w:tab/>
        <w:t>Rossin S, Barbieri E, Cantarutti A, Martinolli F, Giaquinto C, Da Dalt L, et al. Multistep antimicrobial stewardship intervention on antibiotic prescriptions and treatment duration in children with pneumonia. PLoS One. 2021;16(10):e0257993.</w:t>
      </w:r>
    </w:p>
    <w:p w14:paraId="73AB2090" w14:textId="3B1E778A" w:rsidR="002947F7" w:rsidRPr="00D62985" w:rsidRDefault="002947F7" w:rsidP="002947F7">
      <w:pPr>
        <w:pStyle w:val="EndNoteBibliography"/>
        <w:rPr>
          <w:color w:val="auto"/>
          <w:szCs w:val="18"/>
        </w:rPr>
      </w:pPr>
      <w:r w:rsidRPr="00D62985">
        <w:rPr>
          <w:color w:val="auto"/>
          <w:szCs w:val="18"/>
        </w:rPr>
        <w:t>9</w:t>
      </w:r>
      <w:r w:rsidR="005E0486">
        <w:rPr>
          <w:color w:val="auto"/>
          <w:szCs w:val="18"/>
        </w:rPr>
        <w:t>1</w:t>
      </w:r>
      <w:r w:rsidRPr="00D62985">
        <w:rPr>
          <w:color w:val="auto"/>
          <w:szCs w:val="18"/>
        </w:rPr>
        <w:t>.</w:t>
      </w:r>
      <w:r w:rsidRPr="00D62985">
        <w:rPr>
          <w:color w:val="auto"/>
          <w:szCs w:val="18"/>
        </w:rPr>
        <w:tab/>
        <w:t>Mustafa ZU, Salman M, Khan AH, Harun SN, Meyer JC, Godman B. Antimicrobial Use Among Hospitalized Neonates and Children; Findings and Implications from a Comprehensive Point Prevalence Survey Among General Tertiary Hospitals in Pakistan. Infect Drug Resist. 2024;17:5411-28.</w:t>
      </w:r>
    </w:p>
    <w:p w14:paraId="070D2F59" w14:textId="1ADCAE5F" w:rsidR="002947F7" w:rsidRPr="00D62985" w:rsidRDefault="002947F7" w:rsidP="002947F7">
      <w:pPr>
        <w:pStyle w:val="EndNoteBibliography"/>
        <w:rPr>
          <w:color w:val="auto"/>
          <w:szCs w:val="18"/>
        </w:rPr>
      </w:pPr>
      <w:r w:rsidRPr="00D62985">
        <w:rPr>
          <w:color w:val="auto"/>
          <w:szCs w:val="18"/>
        </w:rPr>
        <w:t>9</w:t>
      </w:r>
      <w:r w:rsidR="005E0486">
        <w:rPr>
          <w:color w:val="auto"/>
          <w:szCs w:val="18"/>
        </w:rPr>
        <w:t>2</w:t>
      </w:r>
      <w:r w:rsidRPr="00D62985">
        <w:rPr>
          <w:color w:val="auto"/>
          <w:szCs w:val="18"/>
        </w:rPr>
        <w:t>.</w:t>
      </w:r>
      <w:r w:rsidRPr="00D62985">
        <w:rPr>
          <w:color w:val="auto"/>
          <w:szCs w:val="18"/>
        </w:rPr>
        <w:tab/>
        <w:t>Zhang JS, Liu G, Zhang WS, Shi HY, Lu G, Zhao CA, et al. Antibiotic usage in Chinese children: a point prevalence survey. World J Pediatr. 2018;14(4):335-43.</w:t>
      </w:r>
    </w:p>
    <w:p w14:paraId="1FDE26B3" w14:textId="1F1A1FB2" w:rsidR="002947F7" w:rsidRPr="00D62985" w:rsidRDefault="002947F7" w:rsidP="002947F7">
      <w:pPr>
        <w:pStyle w:val="EndNoteBibliography"/>
        <w:rPr>
          <w:color w:val="auto"/>
          <w:szCs w:val="18"/>
        </w:rPr>
      </w:pPr>
      <w:r w:rsidRPr="00D62985">
        <w:rPr>
          <w:color w:val="auto"/>
          <w:szCs w:val="18"/>
        </w:rPr>
        <w:t>9</w:t>
      </w:r>
      <w:r w:rsidR="005E0486">
        <w:rPr>
          <w:color w:val="auto"/>
          <w:szCs w:val="18"/>
        </w:rPr>
        <w:t>3</w:t>
      </w:r>
      <w:r w:rsidRPr="00D62985">
        <w:rPr>
          <w:color w:val="auto"/>
          <w:szCs w:val="18"/>
        </w:rPr>
        <w:t>.</w:t>
      </w:r>
      <w:r w:rsidRPr="00D62985">
        <w:rPr>
          <w:color w:val="auto"/>
          <w:szCs w:val="18"/>
        </w:rPr>
        <w:tab/>
        <w:t>Moore DP, Chetty T, Pillay A, Karsas M, Cloete J, Balakrishna Y, et al. Antibiotic and antifungal use in paediatric departments at three academic hospitals in South Africa. IJID Reg. 2024;10:151-8.</w:t>
      </w:r>
    </w:p>
    <w:p w14:paraId="287F71CD" w14:textId="483EB772" w:rsidR="002947F7" w:rsidRPr="00D62985" w:rsidRDefault="002947F7" w:rsidP="002947F7">
      <w:pPr>
        <w:pStyle w:val="EndNoteBibliography"/>
        <w:rPr>
          <w:color w:val="auto"/>
          <w:szCs w:val="18"/>
        </w:rPr>
      </w:pPr>
      <w:r w:rsidRPr="00D62985">
        <w:rPr>
          <w:color w:val="auto"/>
          <w:szCs w:val="18"/>
        </w:rPr>
        <w:t>9</w:t>
      </w:r>
      <w:r w:rsidR="005E0486">
        <w:rPr>
          <w:color w:val="auto"/>
          <w:szCs w:val="18"/>
        </w:rPr>
        <w:t>4</w:t>
      </w:r>
      <w:r w:rsidRPr="00D62985">
        <w:rPr>
          <w:color w:val="auto"/>
          <w:szCs w:val="18"/>
        </w:rPr>
        <w:t>.</w:t>
      </w:r>
      <w:r w:rsidRPr="00D62985">
        <w:rPr>
          <w:color w:val="auto"/>
          <w:szCs w:val="18"/>
        </w:rPr>
        <w:tab/>
        <w:t>Gasparetto J, Tuon FF, Dos Santos Oliveira D, Zequinao T, Pipolo GR, Ribeiro GV, et al. Intravenous-to-oral antibiotic switch therapy: a cross-sectional study in critical care units. BMC Infect Dis. 2019;19(1):650.</w:t>
      </w:r>
    </w:p>
    <w:p w14:paraId="3C3D97F8" w14:textId="29106AB4" w:rsidR="002947F7" w:rsidRPr="00D62985" w:rsidRDefault="002947F7" w:rsidP="002947F7">
      <w:pPr>
        <w:pStyle w:val="EndNoteBibliography"/>
        <w:rPr>
          <w:color w:val="auto"/>
          <w:szCs w:val="18"/>
        </w:rPr>
      </w:pPr>
      <w:r w:rsidRPr="00D62985">
        <w:rPr>
          <w:color w:val="auto"/>
          <w:szCs w:val="18"/>
        </w:rPr>
        <w:t>9</w:t>
      </w:r>
      <w:r w:rsidR="005E0486">
        <w:rPr>
          <w:color w:val="auto"/>
          <w:szCs w:val="18"/>
        </w:rPr>
        <w:t>5</w:t>
      </w:r>
      <w:r w:rsidRPr="00D62985">
        <w:rPr>
          <w:color w:val="auto"/>
          <w:szCs w:val="18"/>
        </w:rPr>
        <w:t>.</w:t>
      </w:r>
      <w:r w:rsidRPr="00D62985">
        <w:rPr>
          <w:color w:val="auto"/>
          <w:szCs w:val="18"/>
        </w:rPr>
        <w:tab/>
        <w:t>Dellsperger S, Kramer S, Stoller M, Burger A, Geissbühler E, Amsler I, et al. Early Switch From Intravenous to Oral Antibiotics in Skin and Soft Tissue Infections: An Algorithm-Based Prospective Multicenter Pilot Trial. Open Forum Infect Dis. 2022;9(7):ofac197.</w:t>
      </w:r>
    </w:p>
    <w:p w14:paraId="21FBDE69" w14:textId="75DA5082" w:rsidR="002947F7" w:rsidRPr="00D62985" w:rsidRDefault="002947F7" w:rsidP="002947F7">
      <w:pPr>
        <w:pStyle w:val="EndNoteBibliography"/>
        <w:rPr>
          <w:color w:val="auto"/>
          <w:szCs w:val="18"/>
        </w:rPr>
      </w:pPr>
      <w:r w:rsidRPr="00D62985">
        <w:rPr>
          <w:color w:val="auto"/>
          <w:szCs w:val="18"/>
        </w:rPr>
        <w:t>9</w:t>
      </w:r>
      <w:r w:rsidR="005E0486">
        <w:rPr>
          <w:color w:val="auto"/>
          <w:szCs w:val="18"/>
        </w:rPr>
        <w:t>6</w:t>
      </w:r>
      <w:r w:rsidRPr="00D62985">
        <w:rPr>
          <w:color w:val="auto"/>
          <w:szCs w:val="18"/>
        </w:rPr>
        <w:t>.</w:t>
      </w:r>
      <w:r w:rsidRPr="00D62985">
        <w:rPr>
          <w:color w:val="auto"/>
          <w:szCs w:val="18"/>
        </w:rPr>
        <w:tab/>
        <w:t>Nathwani D, Lawson W, Dryden M, Stephens J, Corman S, Solem C, et al. Implementing criteria-based early switch/early discharge programmes: a European perspective. Clin Microbiol Infect. 2015;21 Suppl 2:S47-55.</w:t>
      </w:r>
    </w:p>
    <w:p w14:paraId="56902966" w14:textId="534F7241" w:rsidR="002947F7" w:rsidRPr="00D62985" w:rsidRDefault="002947F7" w:rsidP="002947F7">
      <w:pPr>
        <w:pStyle w:val="EndNoteBibliography"/>
        <w:rPr>
          <w:color w:val="auto"/>
          <w:szCs w:val="18"/>
        </w:rPr>
      </w:pPr>
      <w:r w:rsidRPr="00D62985">
        <w:rPr>
          <w:color w:val="auto"/>
          <w:szCs w:val="18"/>
        </w:rPr>
        <w:t>9</w:t>
      </w:r>
      <w:r w:rsidR="005E0486">
        <w:rPr>
          <w:color w:val="auto"/>
          <w:szCs w:val="18"/>
        </w:rPr>
        <w:t>7</w:t>
      </w:r>
      <w:r w:rsidRPr="00D62985">
        <w:rPr>
          <w:color w:val="auto"/>
          <w:szCs w:val="18"/>
        </w:rPr>
        <w:t>.</w:t>
      </w:r>
      <w:r w:rsidRPr="00D62985">
        <w:rPr>
          <w:color w:val="auto"/>
          <w:szCs w:val="18"/>
        </w:rPr>
        <w:tab/>
        <w:t>Cyriac JM, James E. Switch over from intravenous to oral therapy: A concise overview. J Pharmacol Pharmacother. 2014;5(2):83-7.</w:t>
      </w:r>
    </w:p>
    <w:p w14:paraId="7391244A" w14:textId="29DEF82A" w:rsidR="002947F7" w:rsidRPr="00D62985" w:rsidRDefault="002947F7" w:rsidP="002947F7">
      <w:pPr>
        <w:pStyle w:val="EndNoteBibliography"/>
        <w:rPr>
          <w:color w:val="auto"/>
          <w:szCs w:val="18"/>
        </w:rPr>
      </w:pPr>
      <w:r w:rsidRPr="00D62985">
        <w:rPr>
          <w:color w:val="auto"/>
          <w:szCs w:val="18"/>
        </w:rPr>
        <w:t>9</w:t>
      </w:r>
      <w:r w:rsidR="005E0486">
        <w:rPr>
          <w:color w:val="auto"/>
          <w:szCs w:val="18"/>
        </w:rPr>
        <w:t>8</w:t>
      </w:r>
      <w:r w:rsidRPr="00D62985">
        <w:rPr>
          <w:color w:val="auto"/>
          <w:szCs w:val="18"/>
        </w:rPr>
        <w:t>.</w:t>
      </w:r>
      <w:r w:rsidRPr="00D62985">
        <w:rPr>
          <w:color w:val="auto"/>
          <w:szCs w:val="18"/>
        </w:rPr>
        <w:tab/>
        <w:t>Saleem Z, Moore CE, Kalungia AC, Schellack N, Ogunleye O, Chigome A, et al. Status and implications of the knowledge, attitudes and practices towards AWaRe antibiotic use, resistance and stewardship among low- and middle-income countries. JAC-Antimicrobial Resistance. 2025;7(2).</w:t>
      </w:r>
    </w:p>
    <w:p w14:paraId="222A1CDA" w14:textId="69E320D9" w:rsidR="002947F7" w:rsidRPr="00D62985" w:rsidRDefault="005E0486" w:rsidP="002947F7">
      <w:pPr>
        <w:pStyle w:val="EndNoteBibliography"/>
        <w:rPr>
          <w:color w:val="auto"/>
          <w:szCs w:val="18"/>
        </w:rPr>
      </w:pPr>
      <w:r>
        <w:rPr>
          <w:color w:val="auto"/>
          <w:szCs w:val="18"/>
        </w:rPr>
        <w:t>99</w:t>
      </w:r>
      <w:r w:rsidR="002947F7" w:rsidRPr="00D62985">
        <w:rPr>
          <w:color w:val="auto"/>
          <w:szCs w:val="18"/>
        </w:rPr>
        <w:t>.</w:t>
      </w:r>
      <w:r w:rsidR="002947F7" w:rsidRPr="00D62985">
        <w:rPr>
          <w:color w:val="auto"/>
          <w:szCs w:val="18"/>
        </w:rPr>
        <w:tab/>
        <w:t>Miljković N, Polidori P, Kohl S. Managing antibiotic shortages: lessons from EAHP and ECDC surveys. Eur J Hosp Pharm. 2022;29(2):90-4.</w:t>
      </w:r>
    </w:p>
    <w:p w14:paraId="44A19550" w14:textId="49700A82" w:rsidR="002947F7" w:rsidRPr="00D62985" w:rsidRDefault="002947F7" w:rsidP="002947F7">
      <w:pPr>
        <w:pStyle w:val="EndNoteBibliography"/>
        <w:rPr>
          <w:color w:val="auto"/>
          <w:szCs w:val="18"/>
        </w:rPr>
      </w:pPr>
      <w:r w:rsidRPr="00D62985">
        <w:rPr>
          <w:color w:val="auto"/>
          <w:szCs w:val="18"/>
        </w:rPr>
        <w:t>10</w:t>
      </w:r>
      <w:r w:rsidR="005E0486">
        <w:rPr>
          <w:color w:val="auto"/>
          <w:szCs w:val="18"/>
        </w:rPr>
        <w:t>0</w:t>
      </w:r>
      <w:r w:rsidRPr="00D62985">
        <w:rPr>
          <w:color w:val="auto"/>
          <w:szCs w:val="18"/>
        </w:rPr>
        <w:t>.</w:t>
      </w:r>
      <w:r w:rsidRPr="00D62985">
        <w:rPr>
          <w:color w:val="auto"/>
          <w:szCs w:val="18"/>
        </w:rPr>
        <w:tab/>
        <w:t>Pandey AK, Cohn J, Nampoothiri V, Gadde U, Ghataure A, Kakkar AK, et al. A systematic review of antibiotic drug shortages and the strategies employed for managing these shortages. Clin Microbiol Infect. 2025;31(3):345-53.</w:t>
      </w:r>
    </w:p>
    <w:p w14:paraId="05E9E7CC" w14:textId="6A5009B8" w:rsidR="002947F7" w:rsidRPr="00D62985" w:rsidRDefault="002947F7" w:rsidP="002947F7">
      <w:pPr>
        <w:pStyle w:val="EndNoteBibliography"/>
        <w:rPr>
          <w:color w:val="auto"/>
          <w:szCs w:val="18"/>
        </w:rPr>
      </w:pPr>
      <w:r w:rsidRPr="00D62985">
        <w:rPr>
          <w:color w:val="auto"/>
          <w:szCs w:val="18"/>
        </w:rPr>
        <w:t>10</w:t>
      </w:r>
      <w:r w:rsidR="005E0486">
        <w:rPr>
          <w:color w:val="auto"/>
          <w:szCs w:val="18"/>
        </w:rPr>
        <w:t>1</w:t>
      </w:r>
      <w:r w:rsidRPr="00D62985">
        <w:rPr>
          <w:color w:val="auto"/>
          <w:szCs w:val="18"/>
        </w:rPr>
        <w:t>.</w:t>
      </w:r>
      <w:r w:rsidRPr="00D62985">
        <w:rPr>
          <w:color w:val="auto"/>
          <w:szCs w:val="18"/>
        </w:rPr>
        <w:tab/>
        <w:t>Chigome AK, Matlala M, Godman B, Meyer JC. Availability and Use of Therapeutic Interchange Policies in Managing Antimicrobial Shortages among South African Public Sector Hospitals; Findings and Implications. Antibiotics 2019;9(1).</w:t>
      </w:r>
    </w:p>
    <w:p w14:paraId="796E2664" w14:textId="1B91D8A6" w:rsidR="002947F7" w:rsidRPr="00D62985" w:rsidRDefault="002947F7" w:rsidP="002947F7">
      <w:pPr>
        <w:pStyle w:val="EndNoteBibliography"/>
        <w:rPr>
          <w:color w:val="auto"/>
          <w:szCs w:val="18"/>
        </w:rPr>
      </w:pPr>
      <w:r w:rsidRPr="00D62985">
        <w:rPr>
          <w:color w:val="auto"/>
          <w:szCs w:val="18"/>
        </w:rPr>
        <w:t>10</w:t>
      </w:r>
      <w:r w:rsidR="005E0486">
        <w:rPr>
          <w:color w:val="auto"/>
          <w:szCs w:val="18"/>
        </w:rPr>
        <w:t>2</w:t>
      </w:r>
      <w:r w:rsidRPr="00D62985">
        <w:rPr>
          <w:color w:val="auto"/>
          <w:szCs w:val="18"/>
        </w:rPr>
        <w:t>.</w:t>
      </w:r>
      <w:r w:rsidRPr="00D62985">
        <w:rPr>
          <w:color w:val="auto"/>
          <w:szCs w:val="18"/>
        </w:rPr>
        <w:tab/>
        <w:t>Falco MF, Meyer JC, Putter SJ, Underwood RS, Nabayiga H, Opanga S, et al. Perceptions of and Practical Experience with the National Surveillance Centre in Managing Medicines Availability Amongst Users within Public Healthcare Facilities in South Africa: Findings and Implications. Healthcare. 2023;11(13):1838.</w:t>
      </w:r>
    </w:p>
    <w:p w14:paraId="11C3CDC1" w14:textId="453114FF" w:rsidR="002947F7" w:rsidRPr="00D62985" w:rsidRDefault="002947F7" w:rsidP="002947F7">
      <w:pPr>
        <w:pStyle w:val="EndNoteBibliography"/>
        <w:rPr>
          <w:color w:val="auto"/>
          <w:szCs w:val="18"/>
        </w:rPr>
      </w:pPr>
      <w:r w:rsidRPr="00D62985">
        <w:rPr>
          <w:color w:val="auto"/>
          <w:szCs w:val="18"/>
        </w:rPr>
        <w:t>10</w:t>
      </w:r>
      <w:r w:rsidR="005E0486">
        <w:rPr>
          <w:color w:val="auto"/>
          <w:szCs w:val="18"/>
        </w:rPr>
        <w:t>3</w:t>
      </w:r>
      <w:r w:rsidRPr="00D62985">
        <w:rPr>
          <w:color w:val="auto"/>
          <w:szCs w:val="18"/>
        </w:rPr>
        <w:t>.</w:t>
      </w:r>
      <w:r w:rsidRPr="00D62985">
        <w:rPr>
          <w:color w:val="auto"/>
          <w:szCs w:val="18"/>
        </w:rPr>
        <w:tab/>
        <w:t>Chowdhury K, Haque M, Nusrat N, Adnan N, Islam S, Lutfor AB, et al. Management of Children Admitted to Hospitals across Bangladesh with Suspected or Confirmed COVID-19 and the Implications for the Future: A Nationwide Cross-Sectional Study. Antibiotics. 2022;11(1).</w:t>
      </w:r>
    </w:p>
    <w:p w14:paraId="1FB92FAB" w14:textId="06FF596D" w:rsidR="002947F7" w:rsidRPr="00D62985" w:rsidRDefault="002947F7" w:rsidP="002947F7">
      <w:pPr>
        <w:pStyle w:val="EndNoteBibliography"/>
        <w:rPr>
          <w:color w:val="auto"/>
          <w:szCs w:val="18"/>
        </w:rPr>
      </w:pPr>
      <w:r w:rsidRPr="00D62985">
        <w:rPr>
          <w:color w:val="auto"/>
          <w:szCs w:val="18"/>
        </w:rPr>
        <w:t>10</w:t>
      </w:r>
      <w:r w:rsidR="005E0486">
        <w:rPr>
          <w:color w:val="auto"/>
          <w:szCs w:val="18"/>
        </w:rPr>
        <w:t>4</w:t>
      </w:r>
      <w:r w:rsidRPr="00D62985">
        <w:rPr>
          <w:color w:val="auto"/>
          <w:szCs w:val="18"/>
        </w:rPr>
        <w:t>.</w:t>
      </w:r>
      <w:r w:rsidRPr="00D62985">
        <w:rPr>
          <w:color w:val="auto"/>
          <w:szCs w:val="18"/>
        </w:rPr>
        <w:tab/>
        <w:t>Kumar S, Haque M, Shetty A, Choudhary S, Bhatt R, Sinha V, et al. Characteristics and Management of Children With Suspected COVID-19 Admitted to Hospitals in India: Implications for Future Care. Cureus. 2022;14(7):e27230.</w:t>
      </w:r>
    </w:p>
    <w:p w14:paraId="1E6682B3" w14:textId="0D165576" w:rsidR="002947F7" w:rsidRPr="00D62985" w:rsidRDefault="002947F7" w:rsidP="002947F7">
      <w:pPr>
        <w:pStyle w:val="EndNoteBibliography"/>
        <w:rPr>
          <w:color w:val="auto"/>
          <w:szCs w:val="18"/>
        </w:rPr>
      </w:pPr>
      <w:r w:rsidRPr="00D62985">
        <w:rPr>
          <w:color w:val="auto"/>
          <w:szCs w:val="18"/>
        </w:rPr>
        <w:t>10</w:t>
      </w:r>
      <w:r w:rsidR="005E0486">
        <w:rPr>
          <w:color w:val="auto"/>
          <w:szCs w:val="18"/>
        </w:rPr>
        <w:t>5</w:t>
      </w:r>
      <w:r w:rsidRPr="00D62985">
        <w:rPr>
          <w:color w:val="auto"/>
          <w:szCs w:val="18"/>
        </w:rPr>
        <w:t>.</w:t>
      </w:r>
      <w:r w:rsidRPr="00D62985">
        <w:rPr>
          <w:color w:val="auto"/>
          <w:szCs w:val="18"/>
        </w:rPr>
        <w:tab/>
        <w:t>van der Sandt N, Schellack N, Mabope LA, Mawela MPB, Kruger D, Godman B. Surgical Antimicrobial Prophylaxis Among Pediatric Patients in South Africa Comparing Two Healthcare Settings. Pediatr Infect Dis J. 2019;38(2):122-6.</w:t>
      </w:r>
    </w:p>
    <w:p w14:paraId="5DB0BCC1" w14:textId="2CD93F73" w:rsidR="002947F7" w:rsidRPr="00D62985" w:rsidRDefault="002947F7" w:rsidP="002947F7">
      <w:pPr>
        <w:pStyle w:val="EndNoteBibliography"/>
        <w:rPr>
          <w:color w:val="auto"/>
          <w:szCs w:val="18"/>
        </w:rPr>
      </w:pPr>
      <w:r w:rsidRPr="00D62985">
        <w:rPr>
          <w:color w:val="auto"/>
          <w:szCs w:val="18"/>
        </w:rPr>
        <w:t>10</w:t>
      </w:r>
      <w:r w:rsidR="005E0486">
        <w:rPr>
          <w:color w:val="auto"/>
          <w:szCs w:val="18"/>
        </w:rPr>
        <w:t>6</w:t>
      </w:r>
      <w:r w:rsidRPr="00D62985">
        <w:rPr>
          <w:color w:val="auto"/>
          <w:szCs w:val="18"/>
        </w:rPr>
        <w:t>.</w:t>
      </w:r>
      <w:r w:rsidRPr="00D62985">
        <w:rPr>
          <w:color w:val="auto"/>
          <w:szCs w:val="18"/>
        </w:rPr>
        <w:tab/>
        <w:t>Guma SP, Godman B, Campbell SM, Mahomed O. Determinants of the Empiric Use of Antibiotics by General practitioners in South Africa: Observational, Analytic, Cross-Sectional Study. Antibiotics. 2022;11(10):1423.</w:t>
      </w:r>
    </w:p>
    <w:p w14:paraId="60462D00" w14:textId="037CE2A8" w:rsidR="002947F7" w:rsidRPr="00D62985" w:rsidRDefault="002947F7" w:rsidP="002947F7">
      <w:pPr>
        <w:pStyle w:val="EndNoteBibliography"/>
        <w:rPr>
          <w:color w:val="auto"/>
          <w:szCs w:val="18"/>
        </w:rPr>
      </w:pPr>
      <w:r w:rsidRPr="00D62985">
        <w:rPr>
          <w:color w:val="auto"/>
          <w:szCs w:val="18"/>
        </w:rPr>
        <w:t>10</w:t>
      </w:r>
      <w:r w:rsidR="005E0486">
        <w:rPr>
          <w:color w:val="auto"/>
          <w:szCs w:val="18"/>
        </w:rPr>
        <w:t>7</w:t>
      </w:r>
      <w:r w:rsidRPr="00D62985">
        <w:rPr>
          <w:color w:val="auto"/>
          <w:szCs w:val="18"/>
        </w:rPr>
        <w:t>.</w:t>
      </w:r>
      <w:r w:rsidRPr="00D62985">
        <w:rPr>
          <w:color w:val="auto"/>
          <w:szCs w:val="18"/>
        </w:rPr>
        <w:tab/>
        <w:t>Etando A, Amu AA, Haque M, Schellack N, Kurdi A, Alrasheedy AA, et al. Challenges and Innovations Brought about by the COVID-19 Pandemic Regarding Medical and Pharmacy Education Especially in Africa and Implications for the Future. Healthcare. 2021;9(12).</w:t>
      </w:r>
    </w:p>
    <w:p w14:paraId="7F39409F" w14:textId="691001C6" w:rsidR="002947F7" w:rsidRPr="00D62985" w:rsidRDefault="002947F7" w:rsidP="002947F7">
      <w:pPr>
        <w:pStyle w:val="EndNoteBibliography"/>
        <w:rPr>
          <w:color w:val="auto"/>
          <w:szCs w:val="18"/>
        </w:rPr>
      </w:pPr>
      <w:r w:rsidRPr="00D62985">
        <w:rPr>
          <w:color w:val="auto"/>
          <w:szCs w:val="18"/>
        </w:rPr>
        <w:t>10</w:t>
      </w:r>
      <w:r w:rsidR="005E0486">
        <w:rPr>
          <w:color w:val="auto"/>
          <w:szCs w:val="18"/>
        </w:rPr>
        <w:t>8</w:t>
      </w:r>
      <w:r w:rsidRPr="00D62985">
        <w:rPr>
          <w:color w:val="auto"/>
          <w:szCs w:val="18"/>
        </w:rPr>
        <w:t>.</w:t>
      </w:r>
      <w:r w:rsidRPr="00D62985">
        <w:rPr>
          <w:color w:val="auto"/>
          <w:szCs w:val="18"/>
        </w:rPr>
        <w:tab/>
        <w:t xml:space="preserve">Godman, B.; Egwuenu, A.;Wesangula, E.; Schellack, N.; Kalungia, A.C.; Tiroyakgosi, C.; Kgatlwane, J.; Mwita, J.C.; Patrick, O.; Niba, L.L.; et al. Tackling antimicrobial resistance across sub-Saharan Africa: Current challenges and implications for the future. Expert Opin. Drug Saf. </w:t>
      </w:r>
      <w:r w:rsidRPr="00D62985">
        <w:rPr>
          <w:b/>
          <w:bCs/>
          <w:color w:val="auto"/>
          <w:szCs w:val="18"/>
        </w:rPr>
        <w:t>2022</w:t>
      </w:r>
      <w:r w:rsidRPr="00D62985">
        <w:rPr>
          <w:color w:val="auto"/>
          <w:szCs w:val="18"/>
        </w:rPr>
        <w:t>, 21, 1089–1111</w:t>
      </w:r>
    </w:p>
    <w:p w14:paraId="52711BFB" w14:textId="2620F25B" w:rsidR="002947F7" w:rsidRPr="00D62985" w:rsidRDefault="002947F7" w:rsidP="002947F7">
      <w:pPr>
        <w:pStyle w:val="EndNoteBibliography"/>
        <w:rPr>
          <w:color w:val="auto"/>
          <w:szCs w:val="18"/>
        </w:rPr>
      </w:pPr>
      <w:r w:rsidRPr="00D62985">
        <w:rPr>
          <w:color w:val="auto"/>
          <w:szCs w:val="18"/>
        </w:rPr>
        <w:t>1</w:t>
      </w:r>
      <w:r w:rsidR="005E0486">
        <w:rPr>
          <w:color w:val="auto"/>
          <w:szCs w:val="18"/>
        </w:rPr>
        <w:t>09</w:t>
      </w:r>
      <w:r w:rsidRPr="00D62985">
        <w:rPr>
          <w:color w:val="auto"/>
          <w:szCs w:val="18"/>
        </w:rPr>
        <w:t>.</w:t>
      </w:r>
      <w:r w:rsidRPr="00D62985">
        <w:rPr>
          <w:color w:val="auto"/>
          <w:szCs w:val="18"/>
        </w:rPr>
        <w:tab/>
        <w:t>Skosana PP, Schellack N, Godman B, Kurdi A, Bennie M, Kruger D, et al. A national, multicentre, web-based point prevalence survey of antimicrobial use and quality indices among hospitalised paediatric patients across South Africa. J Glob Antimicrob Resist. 2022;29:542-50.</w:t>
      </w:r>
    </w:p>
    <w:p w14:paraId="120B4AC0" w14:textId="584B4EB7" w:rsidR="002947F7" w:rsidRPr="00D62985" w:rsidRDefault="002947F7" w:rsidP="002947F7">
      <w:pPr>
        <w:pStyle w:val="MDPI21heading1"/>
        <w:ind w:left="0"/>
        <w:rPr>
          <w:sz w:val="18"/>
          <w:szCs w:val="18"/>
        </w:rPr>
      </w:pPr>
      <w:r w:rsidRPr="00D62985">
        <w:rPr>
          <w:color w:val="auto"/>
          <w:sz w:val="18"/>
          <w:szCs w:val="18"/>
        </w:rPr>
        <w:fldChar w:fldCharType="end"/>
      </w:r>
      <w:bookmarkEnd w:id="8"/>
    </w:p>
    <w:p w14:paraId="1667F9C1" w14:textId="29B64D40" w:rsidR="003D68CC" w:rsidRDefault="003D68CC" w:rsidP="003D68CC">
      <w:pPr>
        <w:pStyle w:val="MDPI63notes"/>
      </w:pPr>
      <w:r w:rsidRPr="00CA736E">
        <w:rPr>
          <w:b/>
        </w:rPr>
        <w:t>Disclaimer/Publisher’s Note:</w:t>
      </w:r>
      <w:r w:rsidRPr="00CA736E">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p w14:paraId="25EC8D0D" w14:textId="77777777" w:rsidR="00547F03" w:rsidRDefault="00547F03" w:rsidP="00547F03">
      <w:pPr>
        <w:pStyle w:val="NoSpacing"/>
        <w:rPr>
          <w:rFonts w:cstheme="minorHAnsi"/>
          <w:b/>
          <w:bCs/>
        </w:rPr>
      </w:pPr>
    </w:p>
    <w:p w14:paraId="79736B90" w14:textId="3E824061" w:rsidR="00547F03" w:rsidRPr="00547F03" w:rsidRDefault="00547F03" w:rsidP="00547F03">
      <w:pPr>
        <w:pStyle w:val="NoSpacing"/>
        <w:rPr>
          <w:rFonts w:ascii="Palatino Linotype" w:hAnsi="Palatino Linotype" w:cstheme="minorHAnsi"/>
          <w:b/>
          <w:bCs/>
          <w:sz w:val="20"/>
          <w:szCs w:val="20"/>
        </w:rPr>
      </w:pPr>
      <w:r w:rsidRPr="00547F03">
        <w:rPr>
          <w:rFonts w:ascii="Palatino Linotype" w:hAnsi="Palatino Linotype" w:cstheme="minorHAnsi"/>
          <w:b/>
          <w:bCs/>
          <w:sz w:val="20"/>
          <w:szCs w:val="20"/>
        </w:rPr>
        <w:t>Supplementary Table 1. Summary of findings regarding antibiotic use in the treatment of Community-Acquired Pneumonia in Children in Vietnam</w:t>
      </w:r>
    </w:p>
    <w:p w14:paraId="5BF265F4" w14:textId="77777777" w:rsidR="00547F03" w:rsidRPr="008C109E" w:rsidRDefault="00547F03" w:rsidP="00547F03">
      <w:pPr>
        <w:pStyle w:val="NoSpacing"/>
        <w:rPr>
          <w:rFonts w:cstheme="minorHAnsi"/>
          <w:sz w:val="18"/>
          <w:szCs w:val="18"/>
        </w:rPr>
      </w:pPr>
    </w:p>
    <w:tbl>
      <w:tblPr>
        <w:tblStyle w:val="TableGrid"/>
        <w:tblW w:w="10632" w:type="dxa"/>
        <w:jc w:val="center"/>
        <w:tblLook w:val="04A0" w:firstRow="1" w:lastRow="0" w:firstColumn="1" w:lastColumn="0" w:noHBand="0" w:noVBand="1"/>
      </w:tblPr>
      <w:tblGrid>
        <w:gridCol w:w="1371"/>
        <w:gridCol w:w="1465"/>
        <w:gridCol w:w="2268"/>
        <w:gridCol w:w="3063"/>
        <w:gridCol w:w="2465"/>
      </w:tblGrid>
      <w:tr w:rsidR="00547F03" w:rsidRPr="008C109E" w14:paraId="574D30CA" w14:textId="77777777" w:rsidTr="007411BA">
        <w:trPr>
          <w:jc w:val="center"/>
        </w:trPr>
        <w:tc>
          <w:tcPr>
            <w:tcW w:w="1371" w:type="dxa"/>
            <w:shd w:val="clear" w:color="auto" w:fill="D0CECE" w:themeFill="background2" w:themeFillShade="E6"/>
            <w:vAlign w:val="center"/>
          </w:tcPr>
          <w:p w14:paraId="7D3E182E" w14:textId="77777777" w:rsidR="00547F03" w:rsidRPr="00547F03" w:rsidRDefault="00547F03" w:rsidP="007411BA">
            <w:pPr>
              <w:pStyle w:val="NoSpacing"/>
              <w:jc w:val="center"/>
              <w:rPr>
                <w:rFonts w:ascii="Palatino Linotype" w:hAnsi="Palatino Linotype" w:cstheme="minorHAnsi"/>
                <w:b/>
                <w:bCs/>
                <w:sz w:val="18"/>
                <w:szCs w:val="18"/>
              </w:rPr>
            </w:pPr>
            <w:bookmarkStart w:id="9" w:name="_Hlk197841978"/>
            <w:r w:rsidRPr="00547F03">
              <w:rPr>
                <w:rFonts w:ascii="Palatino Linotype" w:hAnsi="Palatino Linotype" w:cstheme="minorHAnsi"/>
                <w:b/>
                <w:bCs/>
                <w:sz w:val="18"/>
                <w:szCs w:val="18"/>
              </w:rPr>
              <w:t>Location and Study Period</w:t>
            </w:r>
          </w:p>
          <w:p w14:paraId="5232950C" w14:textId="77777777" w:rsidR="00547F03" w:rsidRPr="00547F03" w:rsidRDefault="00547F03" w:rsidP="007411BA">
            <w:pPr>
              <w:pStyle w:val="NoSpacing"/>
              <w:jc w:val="center"/>
              <w:rPr>
                <w:rFonts w:ascii="Palatino Linotype" w:hAnsi="Palatino Linotype" w:cstheme="minorHAnsi"/>
                <w:b/>
                <w:bCs/>
                <w:sz w:val="18"/>
                <w:szCs w:val="18"/>
              </w:rPr>
            </w:pPr>
          </w:p>
        </w:tc>
        <w:tc>
          <w:tcPr>
            <w:tcW w:w="1465" w:type="dxa"/>
            <w:shd w:val="clear" w:color="auto" w:fill="D0CECE" w:themeFill="background2" w:themeFillShade="E6"/>
          </w:tcPr>
          <w:p w14:paraId="798CBC68" w14:textId="77777777" w:rsidR="00547F03" w:rsidRPr="00547F03" w:rsidRDefault="00547F03" w:rsidP="007411BA">
            <w:pPr>
              <w:pStyle w:val="NoSpacing"/>
              <w:jc w:val="center"/>
              <w:rPr>
                <w:rFonts w:ascii="Palatino Linotype" w:hAnsi="Palatino Linotype" w:cstheme="minorHAnsi"/>
                <w:b/>
                <w:bCs/>
                <w:sz w:val="18"/>
                <w:szCs w:val="18"/>
              </w:rPr>
            </w:pPr>
            <w:r w:rsidRPr="00547F03">
              <w:rPr>
                <w:rFonts w:ascii="Palatino Linotype" w:hAnsi="Palatino Linotype" w:cstheme="minorHAnsi"/>
                <w:b/>
                <w:bCs/>
                <w:sz w:val="18"/>
                <w:szCs w:val="18"/>
              </w:rPr>
              <w:t>Sample Size</w:t>
            </w:r>
          </w:p>
          <w:p w14:paraId="2724D3D3" w14:textId="77777777" w:rsidR="00547F03" w:rsidRPr="00547F03" w:rsidRDefault="00547F03" w:rsidP="007411BA">
            <w:pPr>
              <w:pStyle w:val="NoSpacing"/>
              <w:jc w:val="center"/>
              <w:rPr>
                <w:rFonts w:ascii="Palatino Linotype" w:hAnsi="Palatino Linotype" w:cstheme="minorHAnsi"/>
                <w:b/>
                <w:bCs/>
                <w:sz w:val="18"/>
                <w:szCs w:val="18"/>
              </w:rPr>
            </w:pPr>
          </w:p>
        </w:tc>
        <w:tc>
          <w:tcPr>
            <w:tcW w:w="2268" w:type="dxa"/>
            <w:shd w:val="clear" w:color="auto" w:fill="D0CECE" w:themeFill="background2" w:themeFillShade="E6"/>
            <w:vAlign w:val="center"/>
          </w:tcPr>
          <w:p w14:paraId="4ADF0AD0" w14:textId="77777777" w:rsidR="00547F03" w:rsidRPr="00547F03" w:rsidRDefault="00547F03" w:rsidP="007411BA">
            <w:pPr>
              <w:pStyle w:val="NoSpacing"/>
              <w:jc w:val="center"/>
              <w:rPr>
                <w:rFonts w:ascii="Palatino Linotype" w:hAnsi="Palatino Linotype" w:cstheme="minorHAnsi"/>
                <w:b/>
                <w:bCs/>
                <w:sz w:val="18"/>
                <w:szCs w:val="18"/>
              </w:rPr>
            </w:pPr>
            <w:r w:rsidRPr="00547F03">
              <w:rPr>
                <w:rFonts w:ascii="Palatino Linotype" w:hAnsi="Palatino Linotype" w:cstheme="minorHAnsi"/>
                <w:b/>
                <w:bCs/>
                <w:sz w:val="18"/>
                <w:szCs w:val="18"/>
              </w:rPr>
              <w:t>Patient Characteristics</w:t>
            </w:r>
          </w:p>
          <w:p w14:paraId="69AE9A23" w14:textId="77777777" w:rsidR="00547F03" w:rsidRPr="00547F03" w:rsidRDefault="00547F03" w:rsidP="007411BA">
            <w:pPr>
              <w:pStyle w:val="NoSpacing"/>
              <w:jc w:val="center"/>
              <w:rPr>
                <w:rFonts w:ascii="Palatino Linotype" w:hAnsi="Palatino Linotype" w:cstheme="minorHAnsi"/>
                <w:b/>
                <w:bCs/>
                <w:sz w:val="18"/>
                <w:szCs w:val="18"/>
              </w:rPr>
            </w:pPr>
          </w:p>
        </w:tc>
        <w:tc>
          <w:tcPr>
            <w:tcW w:w="3063" w:type="dxa"/>
            <w:shd w:val="clear" w:color="auto" w:fill="D0CECE" w:themeFill="background2" w:themeFillShade="E6"/>
            <w:vAlign w:val="center"/>
          </w:tcPr>
          <w:p w14:paraId="6A5C22FA" w14:textId="77777777" w:rsidR="00547F03" w:rsidRPr="00547F03" w:rsidRDefault="00547F03" w:rsidP="007411BA">
            <w:pPr>
              <w:pStyle w:val="NoSpacing"/>
              <w:jc w:val="center"/>
              <w:rPr>
                <w:rFonts w:ascii="Palatino Linotype" w:hAnsi="Palatino Linotype" w:cstheme="minorHAnsi"/>
                <w:b/>
                <w:bCs/>
                <w:sz w:val="18"/>
                <w:szCs w:val="18"/>
              </w:rPr>
            </w:pPr>
            <w:r w:rsidRPr="00547F03">
              <w:rPr>
                <w:rFonts w:ascii="Palatino Linotype" w:hAnsi="Palatino Linotype" w:cstheme="minorHAnsi"/>
                <w:b/>
                <w:bCs/>
                <w:sz w:val="18"/>
                <w:szCs w:val="18"/>
              </w:rPr>
              <w:t>Initial Antibiotic Regimen Characteristics</w:t>
            </w:r>
          </w:p>
          <w:p w14:paraId="6BB6D118" w14:textId="77777777" w:rsidR="00547F03" w:rsidRPr="00547F03" w:rsidRDefault="00547F03" w:rsidP="007411BA">
            <w:pPr>
              <w:pStyle w:val="NoSpacing"/>
              <w:jc w:val="center"/>
              <w:rPr>
                <w:rFonts w:ascii="Palatino Linotype" w:hAnsi="Palatino Linotype" w:cstheme="minorHAnsi"/>
                <w:b/>
                <w:bCs/>
                <w:sz w:val="18"/>
                <w:szCs w:val="18"/>
              </w:rPr>
            </w:pPr>
          </w:p>
        </w:tc>
        <w:tc>
          <w:tcPr>
            <w:tcW w:w="2465" w:type="dxa"/>
            <w:shd w:val="clear" w:color="auto" w:fill="D0CECE" w:themeFill="background2" w:themeFillShade="E6"/>
            <w:vAlign w:val="center"/>
          </w:tcPr>
          <w:p w14:paraId="5F8084B8" w14:textId="77777777" w:rsidR="00547F03" w:rsidRPr="00547F03" w:rsidRDefault="00547F03" w:rsidP="007411BA">
            <w:pPr>
              <w:pStyle w:val="NoSpacing"/>
              <w:jc w:val="center"/>
              <w:rPr>
                <w:rFonts w:ascii="Palatino Linotype" w:hAnsi="Palatino Linotype" w:cstheme="minorHAnsi"/>
                <w:b/>
                <w:bCs/>
                <w:sz w:val="18"/>
                <w:szCs w:val="18"/>
              </w:rPr>
            </w:pPr>
            <w:r w:rsidRPr="00547F03">
              <w:rPr>
                <w:rFonts w:ascii="Palatino Linotype" w:hAnsi="Palatino Linotype" w:cstheme="minorHAnsi"/>
                <w:b/>
                <w:bCs/>
                <w:sz w:val="18"/>
                <w:szCs w:val="18"/>
              </w:rPr>
              <w:t>Antibiotics Used Initially and Appropriateness</w:t>
            </w:r>
          </w:p>
          <w:p w14:paraId="6070828C" w14:textId="77777777" w:rsidR="00547F03" w:rsidRPr="00547F03" w:rsidRDefault="00547F03" w:rsidP="007411BA">
            <w:pPr>
              <w:pStyle w:val="NoSpacing"/>
              <w:jc w:val="center"/>
              <w:rPr>
                <w:rFonts w:ascii="Palatino Linotype" w:hAnsi="Palatino Linotype" w:cstheme="minorHAnsi"/>
                <w:b/>
                <w:bCs/>
                <w:sz w:val="18"/>
                <w:szCs w:val="18"/>
              </w:rPr>
            </w:pPr>
          </w:p>
        </w:tc>
      </w:tr>
      <w:tr w:rsidR="00547F03" w:rsidRPr="008C109E" w14:paraId="2547F008" w14:textId="77777777" w:rsidTr="007411BA">
        <w:trPr>
          <w:jc w:val="center"/>
        </w:trPr>
        <w:tc>
          <w:tcPr>
            <w:tcW w:w="1371" w:type="dxa"/>
          </w:tcPr>
          <w:p w14:paraId="47559FDB"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Bach Mai Hospital – 2018 [1]</w:t>
            </w:r>
          </w:p>
          <w:p w14:paraId="3AE272AB" w14:textId="77777777" w:rsidR="00547F03" w:rsidRPr="00547F03" w:rsidRDefault="00547F03" w:rsidP="007411BA">
            <w:pPr>
              <w:pStyle w:val="NoSpacing"/>
              <w:jc w:val="left"/>
              <w:rPr>
                <w:rFonts w:ascii="Palatino Linotype" w:hAnsi="Palatino Linotype" w:cstheme="minorHAnsi"/>
                <w:color w:val="auto"/>
                <w:sz w:val="18"/>
                <w:szCs w:val="18"/>
              </w:rPr>
            </w:pPr>
          </w:p>
        </w:tc>
        <w:tc>
          <w:tcPr>
            <w:tcW w:w="1465" w:type="dxa"/>
          </w:tcPr>
          <w:p w14:paraId="1C55E95C"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193 children with CAP, aged 2 months to 5 years</w:t>
            </w:r>
          </w:p>
          <w:p w14:paraId="26E61CBB" w14:textId="77777777" w:rsidR="00547F03" w:rsidRPr="00547F03" w:rsidRDefault="00547F03" w:rsidP="007411BA">
            <w:pPr>
              <w:pStyle w:val="NoSpacing"/>
              <w:jc w:val="left"/>
              <w:rPr>
                <w:rFonts w:ascii="Palatino Linotype" w:hAnsi="Palatino Linotype" w:cstheme="minorHAnsi"/>
                <w:color w:val="auto"/>
                <w:sz w:val="18"/>
                <w:szCs w:val="18"/>
              </w:rPr>
            </w:pPr>
          </w:p>
        </w:tc>
        <w:tc>
          <w:tcPr>
            <w:tcW w:w="2268" w:type="dxa"/>
          </w:tcPr>
          <w:p w14:paraId="64E8EF26" w14:textId="77777777" w:rsidR="00547F03" w:rsidRPr="00547F03" w:rsidRDefault="00547F03" w:rsidP="00547F03">
            <w:pPr>
              <w:pStyle w:val="NoSpacing"/>
              <w:numPr>
                <w:ilvl w:val="0"/>
                <w:numId w:val="33"/>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Prior antibiotic use*: 52.3%</w:t>
            </w:r>
          </w:p>
          <w:p w14:paraId="572B6E01" w14:textId="77777777" w:rsidR="00547F03" w:rsidRPr="00547F03" w:rsidRDefault="00547F03" w:rsidP="00547F03">
            <w:pPr>
              <w:pStyle w:val="NoSpacing"/>
              <w:numPr>
                <w:ilvl w:val="0"/>
                <w:numId w:val="33"/>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Co-morbidities: 12.4% </w:t>
            </w:r>
          </w:p>
          <w:p w14:paraId="3827F71A"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b/>
                <w:bCs/>
                <w:color w:val="auto"/>
                <w:sz w:val="18"/>
                <w:szCs w:val="18"/>
              </w:rPr>
              <w:t>Classified [2]</w:t>
            </w:r>
            <w:r w:rsidRPr="00547F03">
              <w:rPr>
                <w:rFonts w:ascii="Palatino Linotype" w:hAnsi="Palatino Linotype" w:cstheme="minorHAnsi"/>
                <w:color w:val="auto"/>
                <w:sz w:val="18"/>
                <w:szCs w:val="18"/>
              </w:rPr>
              <w:t xml:space="preserve">: </w:t>
            </w:r>
          </w:p>
          <w:p w14:paraId="703F7902" w14:textId="77777777" w:rsidR="00547F03" w:rsidRPr="00547F03" w:rsidRDefault="00547F03" w:rsidP="00547F03">
            <w:pPr>
              <w:pStyle w:val="NoSpacing"/>
              <w:numPr>
                <w:ilvl w:val="0"/>
                <w:numId w:val="28"/>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P: 49.7% </w:t>
            </w:r>
          </w:p>
          <w:p w14:paraId="4E123664" w14:textId="77777777" w:rsidR="00547F03" w:rsidRPr="00547F03" w:rsidRDefault="00547F03" w:rsidP="00547F03">
            <w:pPr>
              <w:pStyle w:val="NoSpacing"/>
              <w:numPr>
                <w:ilvl w:val="0"/>
                <w:numId w:val="28"/>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SP: 47.7% </w:t>
            </w:r>
          </w:p>
          <w:p w14:paraId="2BBD6D20" w14:textId="77777777" w:rsidR="00547F03" w:rsidRPr="00547F03" w:rsidRDefault="00547F03" w:rsidP="00547F03">
            <w:pPr>
              <w:pStyle w:val="NoSpacing"/>
              <w:numPr>
                <w:ilvl w:val="0"/>
                <w:numId w:val="28"/>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VSP: 1.6%</w:t>
            </w:r>
          </w:p>
        </w:tc>
        <w:tc>
          <w:tcPr>
            <w:tcW w:w="3063" w:type="dxa"/>
          </w:tcPr>
          <w:p w14:paraId="1D103374" w14:textId="77777777" w:rsidR="00547F03" w:rsidRPr="00547F03" w:rsidRDefault="00547F03" w:rsidP="007411BA">
            <w:pPr>
              <w:pStyle w:val="NoSpacing"/>
              <w:jc w:val="left"/>
              <w:rPr>
                <w:rFonts w:ascii="Palatino Linotype" w:hAnsi="Palatino Linotype" w:cstheme="minorHAnsi"/>
                <w:b/>
                <w:bCs/>
                <w:color w:val="auto"/>
                <w:sz w:val="18"/>
                <w:szCs w:val="18"/>
              </w:rPr>
            </w:pPr>
            <w:r w:rsidRPr="00547F03">
              <w:rPr>
                <w:rFonts w:ascii="Palatino Linotype" w:hAnsi="Palatino Linotype" w:cstheme="minorHAnsi"/>
                <w:b/>
                <w:bCs/>
                <w:color w:val="auto"/>
                <w:sz w:val="18"/>
                <w:szCs w:val="18"/>
              </w:rPr>
              <w:t xml:space="preserve">P Patients: </w:t>
            </w:r>
          </w:p>
          <w:p w14:paraId="11929FEB" w14:textId="77777777" w:rsidR="00547F03" w:rsidRPr="00547F03" w:rsidRDefault="00547F03" w:rsidP="00547F03">
            <w:pPr>
              <w:pStyle w:val="NoSpacing"/>
              <w:numPr>
                <w:ilvl w:val="0"/>
                <w:numId w:val="32"/>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Single regimen: 94.8% </w:t>
            </w:r>
          </w:p>
          <w:p w14:paraId="410DA561" w14:textId="77777777" w:rsidR="00547F03" w:rsidRPr="00547F03" w:rsidRDefault="00547F03" w:rsidP="00547F03">
            <w:pPr>
              <w:pStyle w:val="NoSpacing"/>
              <w:numPr>
                <w:ilvl w:val="0"/>
                <w:numId w:val="32"/>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Combined regimen: 5.2%  </w:t>
            </w:r>
          </w:p>
          <w:p w14:paraId="438E5E1E"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b/>
                <w:bCs/>
                <w:color w:val="auto"/>
                <w:sz w:val="18"/>
                <w:szCs w:val="18"/>
              </w:rPr>
              <w:t>SP Patients:</w:t>
            </w:r>
            <w:r w:rsidRPr="00547F03">
              <w:rPr>
                <w:rFonts w:ascii="Palatino Linotype" w:hAnsi="Palatino Linotype" w:cstheme="minorHAnsi"/>
                <w:color w:val="auto"/>
                <w:sz w:val="18"/>
                <w:szCs w:val="18"/>
              </w:rPr>
              <w:t xml:space="preserve">  </w:t>
            </w:r>
          </w:p>
          <w:p w14:paraId="47BD839C" w14:textId="77777777" w:rsidR="00547F03" w:rsidRPr="00547F03" w:rsidRDefault="00547F03" w:rsidP="00547F03">
            <w:pPr>
              <w:pStyle w:val="NoSpacing"/>
              <w:numPr>
                <w:ilvl w:val="0"/>
                <w:numId w:val="37"/>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Single regimen: 79.3% </w:t>
            </w:r>
          </w:p>
          <w:p w14:paraId="4C6EC1ED" w14:textId="77777777" w:rsidR="00547F03" w:rsidRPr="00547F03" w:rsidRDefault="00547F03" w:rsidP="00547F03">
            <w:pPr>
              <w:pStyle w:val="NoSpacing"/>
              <w:numPr>
                <w:ilvl w:val="0"/>
                <w:numId w:val="37"/>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Combined regimen: 20.7%  </w:t>
            </w:r>
          </w:p>
          <w:p w14:paraId="50127B29"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b/>
                <w:bCs/>
                <w:color w:val="auto"/>
                <w:sz w:val="18"/>
                <w:szCs w:val="18"/>
              </w:rPr>
              <w:t>VSP Patients:</w:t>
            </w:r>
            <w:r w:rsidRPr="00547F03">
              <w:rPr>
                <w:rFonts w:ascii="Palatino Linotype" w:hAnsi="Palatino Linotype" w:cstheme="minorHAnsi"/>
                <w:color w:val="auto"/>
                <w:sz w:val="18"/>
                <w:szCs w:val="18"/>
              </w:rPr>
              <w:t xml:space="preserve"> </w:t>
            </w:r>
          </w:p>
          <w:p w14:paraId="700BBA78" w14:textId="77777777" w:rsidR="00547F03" w:rsidRPr="00547F03" w:rsidRDefault="00547F03" w:rsidP="00547F03">
            <w:pPr>
              <w:pStyle w:val="NoSpacing"/>
              <w:numPr>
                <w:ilvl w:val="0"/>
                <w:numId w:val="38"/>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Single regimen: 80.0% </w:t>
            </w:r>
          </w:p>
          <w:p w14:paraId="0CFD80FD" w14:textId="77777777" w:rsidR="00547F03" w:rsidRPr="00547F03" w:rsidRDefault="00547F03" w:rsidP="00547F03">
            <w:pPr>
              <w:pStyle w:val="NoSpacing"/>
              <w:numPr>
                <w:ilvl w:val="0"/>
                <w:numId w:val="38"/>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Combined regimen: 20.0%</w:t>
            </w:r>
          </w:p>
        </w:tc>
        <w:tc>
          <w:tcPr>
            <w:tcW w:w="2465" w:type="dxa"/>
          </w:tcPr>
          <w:p w14:paraId="744A12E5" w14:textId="77777777" w:rsidR="00547F03" w:rsidRPr="00547F03" w:rsidRDefault="00547F03" w:rsidP="00547F03">
            <w:pPr>
              <w:pStyle w:val="NoSpacing"/>
              <w:numPr>
                <w:ilvl w:val="0"/>
                <w:numId w:val="36"/>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Penicillin ± β-lactamase inhibitor: 66.3% </w:t>
            </w:r>
          </w:p>
          <w:p w14:paraId="58C3C2BE" w14:textId="77777777" w:rsidR="00547F03" w:rsidRPr="00547F03" w:rsidRDefault="00547F03" w:rsidP="00547F03">
            <w:pPr>
              <w:pStyle w:val="NoSpacing"/>
              <w:numPr>
                <w:ilvl w:val="0"/>
                <w:numId w:val="36"/>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C2G: 0.4% </w:t>
            </w:r>
          </w:p>
          <w:p w14:paraId="6912CE0F" w14:textId="77777777" w:rsidR="00547F03" w:rsidRPr="00547F03" w:rsidRDefault="00547F03" w:rsidP="00547F03">
            <w:pPr>
              <w:pStyle w:val="NoSpacing"/>
              <w:numPr>
                <w:ilvl w:val="0"/>
                <w:numId w:val="36"/>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C3G: 23.7% </w:t>
            </w:r>
          </w:p>
          <w:p w14:paraId="1D5E8EE8" w14:textId="77777777" w:rsidR="00547F03" w:rsidRDefault="00547F03" w:rsidP="00547F03">
            <w:pPr>
              <w:pStyle w:val="NoSpacing"/>
              <w:numPr>
                <w:ilvl w:val="0"/>
                <w:numId w:val="36"/>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Macrolide: 6.2% </w:t>
            </w:r>
          </w:p>
          <w:p w14:paraId="117809E4" w14:textId="6E6B1702" w:rsidR="00547F03" w:rsidRPr="00547F03" w:rsidRDefault="00547F03" w:rsidP="00547F03">
            <w:pPr>
              <w:pStyle w:val="NoSpacing"/>
              <w:numPr>
                <w:ilvl w:val="0"/>
                <w:numId w:val="36"/>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Aminoglycoside: 9.8% </w:t>
            </w:r>
          </w:p>
          <w:p w14:paraId="45202DA5" w14:textId="77777777" w:rsidR="00547F03" w:rsidRPr="00547F03" w:rsidRDefault="00547F03" w:rsidP="00547F03">
            <w:pPr>
              <w:pStyle w:val="NoSpacing"/>
              <w:numPr>
                <w:ilvl w:val="0"/>
                <w:numId w:val="36"/>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Glycopeptide: 0.8%</w:t>
            </w:r>
          </w:p>
          <w:p w14:paraId="7E83E728" w14:textId="77777777" w:rsidR="00547F03" w:rsidRPr="00547F03" w:rsidRDefault="00547F03" w:rsidP="007411BA">
            <w:pPr>
              <w:pStyle w:val="NoSpacing"/>
              <w:jc w:val="left"/>
              <w:rPr>
                <w:rFonts w:ascii="Palatino Linotype" w:hAnsi="Palatino Linotype" w:cstheme="minorHAnsi"/>
                <w:color w:val="auto"/>
                <w:sz w:val="18"/>
                <w:szCs w:val="18"/>
              </w:rPr>
            </w:pPr>
          </w:p>
        </w:tc>
      </w:tr>
      <w:tr w:rsidR="00547F03" w:rsidRPr="008C109E" w14:paraId="5335689A" w14:textId="77777777" w:rsidTr="007411BA">
        <w:trPr>
          <w:jc w:val="center"/>
        </w:trPr>
        <w:tc>
          <w:tcPr>
            <w:tcW w:w="1371" w:type="dxa"/>
          </w:tcPr>
          <w:p w14:paraId="53D0182E"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National Children’s Hospital</w:t>
            </w:r>
            <w:r w:rsidRPr="00547F03">
              <w:rPr>
                <w:rFonts w:ascii="Palatino Linotype" w:hAnsi="Palatino Linotype" w:cstheme="minorHAnsi"/>
                <w:color w:val="auto"/>
                <w:sz w:val="18"/>
                <w:szCs w:val="18"/>
                <w:lang w:val="vi-VN"/>
              </w:rPr>
              <w:t>,</w:t>
            </w:r>
            <w:r w:rsidRPr="00547F03">
              <w:rPr>
                <w:rFonts w:ascii="Palatino Linotype" w:hAnsi="Palatino Linotype" w:cstheme="minorHAnsi"/>
                <w:color w:val="auto"/>
                <w:sz w:val="18"/>
                <w:szCs w:val="18"/>
              </w:rPr>
              <w:t xml:space="preserve"> </w:t>
            </w:r>
            <w:r w:rsidRPr="00547F03">
              <w:rPr>
                <w:rFonts w:ascii="Palatino Linotype" w:hAnsi="Palatino Linotype" w:cstheme="minorHAnsi"/>
                <w:color w:val="auto"/>
                <w:sz w:val="18"/>
                <w:szCs w:val="18"/>
                <w:lang w:val="vi-VN"/>
              </w:rPr>
              <w:t>2017</w:t>
            </w:r>
            <w:r w:rsidRPr="00547F03">
              <w:rPr>
                <w:rFonts w:ascii="Palatino Linotype" w:hAnsi="Palatino Linotype" w:cstheme="minorHAnsi"/>
                <w:color w:val="auto"/>
                <w:sz w:val="18"/>
                <w:szCs w:val="18"/>
              </w:rPr>
              <w:t xml:space="preserve"> [3]</w:t>
            </w:r>
          </w:p>
          <w:p w14:paraId="713C7C2B" w14:textId="77777777" w:rsidR="00547F03" w:rsidRPr="00547F03" w:rsidRDefault="00547F03" w:rsidP="007411BA">
            <w:pPr>
              <w:pStyle w:val="NoSpacing"/>
              <w:jc w:val="left"/>
              <w:rPr>
                <w:rFonts w:ascii="Palatino Linotype" w:hAnsi="Palatino Linotype" w:cstheme="minorHAnsi"/>
                <w:color w:val="auto"/>
                <w:sz w:val="18"/>
                <w:szCs w:val="18"/>
              </w:rPr>
            </w:pPr>
          </w:p>
        </w:tc>
        <w:tc>
          <w:tcPr>
            <w:tcW w:w="1465" w:type="dxa"/>
          </w:tcPr>
          <w:p w14:paraId="38746732" w14:textId="77777777" w:rsidR="00547F03" w:rsidRPr="00547F03" w:rsidRDefault="00547F03" w:rsidP="007411BA">
            <w:pPr>
              <w:pStyle w:val="NoSpacing"/>
              <w:jc w:val="left"/>
              <w:rPr>
                <w:rFonts w:ascii="Palatino Linotype" w:hAnsi="Palatino Linotype" w:cstheme="minorHAnsi"/>
                <w:b/>
                <w:bCs/>
                <w:i/>
                <w:iCs/>
                <w:color w:val="auto"/>
                <w:sz w:val="18"/>
                <w:szCs w:val="18"/>
              </w:rPr>
            </w:pPr>
            <w:r w:rsidRPr="00547F03">
              <w:rPr>
                <w:rFonts w:ascii="Palatino Linotype" w:hAnsi="Palatino Linotype" w:cstheme="minorHAnsi"/>
                <w:color w:val="auto"/>
                <w:sz w:val="18"/>
                <w:szCs w:val="18"/>
              </w:rPr>
              <w:t>209</w:t>
            </w:r>
            <w:r w:rsidRPr="00547F03">
              <w:rPr>
                <w:rFonts w:ascii="Palatino Linotype" w:hAnsi="Palatino Linotype" w:cstheme="minorHAnsi"/>
                <w:b/>
                <w:bCs/>
                <w:i/>
                <w:iCs/>
                <w:color w:val="auto"/>
                <w:sz w:val="18"/>
                <w:szCs w:val="18"/>
              </w:rPr>
              <w:t xml:space="preserve"> </w:t>
            </w:r>
            <w:r w:rsidRPr="00547F03">
              <w:rPr>
                <w:rFonts w:ascii="Palatino Linotype" w:hAnsi="Palatino Linotype" w:cstheme="minorHAnsi"/>
                <w:color w:val="auto"/>
                <w:sz w:val="18"/>
                <w:szCs w:val="18"/>
              </w:rPr>
              <w:t>children with CAP, aged 2 months to 5 years</w:t>
            </w:r>
          </w:p>
        </w:tc>
        <w:tc>
          <w:tcPr>
            <w:tcW w:w="2268" w:type="dxa"/>
          </w:tcPr>
          <w:p w14:paraId="64A7C074" w14:textId="77777777" w:rsidR="00547F03" w:rsidRPr="00547F03" w:rsidRDefault="00547F03" w:rsidP="00547F03">
            <w:pPr>
              <w:pStyle w:val="NoSpacing"/>
              <w:numPr>
                <w:ilvl w:val="0"/>
                <w:numId w:val="34"/>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Prior antibiotic use*: 29.67% </w:t>
            </w:r>
          </w:p>
          <w:p w14:paraId="128F136F" w14:textId="77777777" w:rsidR="00547F03" w:rsidRPr="00547F03" w:rsidRDefault="00547F03" w:rsidP="00547F03">
            <w:pPr>
              <w:pStyle w:val="NoSpacing"/>
              <w:numPr>
                <w:ilvl w:val="0"/>
                <w:numId w:val="34"/>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Co-morbidities: 10.05% </w:t>
            </w:r>
          </w:p>
          <w:p w14:paraId="15E95561" w14:textId="77777777" w:rsidR="00547F03" w:rsidRPr="00547F03" w:rsidRDefault="00547F03" w:rsidP="007411BA">
            <w:pPr>
              <w:pStyle w:val="NoSpacing"/>
              <w:jc w:val="left"/>
              <w:rPr>
                <w:rFonts w:ascii="Palatino Linotype" w:hAnsi="Palatino Linotype" w:cstheme="minorHAnsi"/>
                <w:b/>
                <w:bCs/>
                <w:color w:val="auto"/>
                <w:sz w:val="18"/>
                <w:szCs w:val="18"/>
              </w:rPr>
            </w:pPr>
            <w:r w:rsidRPr="00547F03">
              <w:rPr>
                <w:rFonts w:ascii="Palatino Linotype" w:hAnsi="Palatino Linotype" w:cstheme="minorHAnsi"/>
                <w:b/>
                <w:bCs/>
                <w:color w:val="auto"/>
                <w:sz w:val="18"/>
                <w:szCs w:val="18"/>
              </w:rPr>
              <w:t xml:space="preserve">Classified [4]: </w:t>
            </w:r>
          </w:p>
          <w:p w14:paraId="337D2BBA" w14:textId="77777777" w:rsidR="00547F03" w:rsidRPr="00547F03" w:rsidRDefault="00547F03" w:rsidP="00547F03">
            <w:pPr>
              <w:pStyle w:val="NoSpacing"/>
              <w:numPr>
                <w:ilvl w:val="0"/>
                <w:numId w:val="35"/>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P: 47.85% </w:t>
            </w:r>
          </w:p>
          <w:p w14:paraId="64034EF7" w14:textId="77777777" w:rsidR="00547F03" w:rsidRPr="00547F03" w:rsidRDefault="00547F03" w:rsidP="00547F03">
            <w:pPr>
              <w:pStyle w:val="NoSpacing"/>
              <w:numPr>
                <w:ilvl w:val="0"/>
                <w:numId w:val="35"/>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SP: 47.37% </w:t>
            </w:r>
          </w:p>
          <w:p w14:paraId="6DF9561C" w14:textId="77777777" w:rsidR="00547F03" w:rsidRPr="00547F03" w:rsidRDefault="00547F03" w:rsidP="00547F03">
            <w:pPr>
              <w:pStyle w:val="NoSpacing"/>
              <w:numPr>
                <w:ilvl w:val="0"/>
                <w:numId w:val="35"/>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VSP: 4.78%</w:t>
            </w:r>
          </w:p>
        </w:tc>
        <w:tc>
          <w:tcPr>
            <w:tcW w:w="3063" w:type="dxa"/>
          </w:tcPr>
          <w:p w14:paraId="11695E18"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Mostly single antibiotic regimen: 78.74%</w:t>
            </w:r>
          </w:p>
          <w:p w14:paraId="124B842E" w14:textId="77777777" w:rsidR="00547F03" w:rsidRPr="00547F03" w:rsidRDefault="00547F03" w:rsidP="007411BA">
            <w:pPr>
              <w:pStyle w:val="NoSpacing"/>
              <w:jc w:val="left"/>
              <w:rPr>
                <w:rFonts w:ascii="Palatino Linotype" w:hAnsi="Palatino Linotype" w:cstheme="minorHAnsi"/>
                <w:color w:val="auto"/>
                <w:sz w:val="18"/>
                <w:szCs w:val="18"/>
              </w:rPr>
            </w:pPr>
          </w:p>
          <w:p w14:paraId="761A9ACB" w14:textId="77777777" w:rsidR="00547F03" w:rsidRPr="00547F03" w:rsidRDefault="00547F03" w:rsidP="007411BA">
            <w:pPr>
              <w:pStyle w:val="NoSpacing"/>
              <w:jc w:val="left"/>
              <w:rPr>
                <w:rFonts w:ascii="Palatino Linotype" w:hAnsi="Palatino Linotype" w:cstheme="minorHAnsi"/>
                <w:b/>
                <w:bCs/>
                <w:i/>
                <w:iCs/>
                <w:color w:val="auto"/>
                <w:sz w:val="18"/>
                <w:szCs w:val="18"/>
              </w:rPr>
            </w:pPr>
          </w:p>
        </w:tc>
        <w:tc>
          <w:tcPr>
            <w:tcW w:w="2465" w:type="dxa"/>
          </w:tcPr>
          <w:p w14:paraId="75B165E3"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Penicillin ± β-lactamase inhibitor: 52.15%</w:t>
            </w:r>
          </w:p>
          <w:p w14:paraId="319EB751" w14:textId="77777777" w:rsidR="00547F03" w:rsidRPr="00547F03" w:rsidRDefault="00547F03" w:rsidP="007411BA">
            <w:pPr>
              <w:pStyle w:val="NoSpacing"/>
              <w:jc w:val="left"/>
              <w:rPr>
                <w:rFonts w:ascii="Palatino Linotype" w:hAnsi="Palatino Linotype" w:cstheme="minorHAnsi"/>
                <w:color w:val="auto"/>
                <w:sz w:val="18"/>
                <w:szCs w:val="18"/>
              </w:rPr>
            </w:pPr>
          </w:p>
          <w:p w14:paraId="30EB7006"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Duration treatment antibiotics: </w:t>
            </w:r>
            <w:r w:rsidRPr="00547F03">
              <w:rPr>
                <w:rFonts w:ascii="Palatino Linotype" w:hAnsi="Palatino Linotype"/>
                <w:color w:val="auto"/>
                <w:sz w:val="18"/>
                <w:szCs w:val="18"/>
              </w:rPr>
              <w:t xml:space="preserve"> 6.0 (4.0–8.0) days</w:t>
            </w:r>
          </w:p>
        </w:tc>
      </w:tr>
      <w:bookmarkEnd w:id="9"/>
      <w:tr w:rsidR="00547F03" w:rsidRPr="008C109E" w14:paraId="74AB455F" w14:textId="77777777" w:rsidTr="007411BA">
        <w:trPr>
          <w:jc w:val="center"/>
        </w:trPr>
        <w:tc>
          <w:tcPr>
            <w:tcW w:w="1371" w:type="dxa"/>
          </w:tcPr>
          <w:p w14:paraId="42FAAE4B" w14:textId="77777777" w:rsidR="00547F03" w:rsidRPr="00547F03" w:rsidRDefault="00547F03" w:rsidP="007411BA">
            <w:pPr>
              <w:pStyle w:val="NoSpacing"/>
              <w:rPr>
                <w:rFonts w:ascii="Palatino Linotype" w:hAnsi="Palatino Linotype" w:cstheme="minorHAnsi"/>
                <w:color w:val="auto"/>
                <w:sz w:val="18"/>
                <w:szCs w:val="18"/>
              </w:rPr>
            </w:pPr>
            <w:r w:rsidRPr="00547F03">
              <w:rPr>
                <w:rFonts w:ascii="Palatino Linotype" w:hAnsi="Palatino Linotype" w:cstheme="minorHAnsi"/>
                <w:color w:val="auto"/>
                <w:sz w:val="18"/>
                <w:szCs w:val="18"/>
              </w:rPr>
              <w:t>Nghe An Obstetrics and</w:t>
            </w:r>
          </w:p>
          <w:p w14:paraId="25FD3EA0" w14:textId="77777777" w:rsidR="00547F03" w:rsidRPr="00547F03" w:rsidRDefault="00547F03" w:rsidP="007411BA">
            <w:pPr>
              <w:pStyle w:val="NoSpacing"/>
              <w:jc w:val="left"/>
              <w:rPr>
                <w:rFonts w:ascii="Palatino Linotype" w:hAnsi="Palatino Linotype" w:cstheme="minorHAnsi"/>
                <w:color w:val="auto"/>
                <w:sz w:val="18"/>
                <w:szCs w:val="18"/>
              </w:rPr>
            </w:pPr>
            <w:proofErr w:type="spellStart"/>
            <w:r w:rsidRPr="00547F03">
              <w:rPr>
                <w:rFonts w:ascii="Palatino Linotype" w:hAnsi="Palatino Linotype" w:cstheme="minorHAnsi"/>
                <w:color w:val="auto"/>
                <w:sz w:val="18"/>
                <w:szCs w:val="18"/>
              </w:rPr>
              <w:t>Pediatrics</w:t>
            </w:r>
            <w:proofErr w:type="spellEnd"/>
            <w:r w:rsidRPr="00547F03">
              <w:rPr>
                <w:rFonts w:ascii="Palatino Linotype" w:hAnsi="Palatino Linotype" w:cstheme="minorHAnsi"/>
                <w:color w:val="auto"/>
                <w:sz w:val="18"/>
                <w:szCs w:val="18"/>
              </w:rPr>
              <w:t xml:space="preserve"> Hospital in 2021 [5] </w:t>
            </w:r>
          </w:p>
          <w:p w14:paraId="7F584F9F" w14:textId="77777777" w:rsidR="00547F03" w:rsidRPr="00547F03" w:rsidRDefault="00547F03" w:rsidP="007411BA">
            <w:pPr>
              <w:pStyle w:val="NoSpacing"/>
              <w:jc w:val="left"/>
              <w:rPr>
                <w:rFonts w:ascii="Palatino Linotype" w:hAnsi="Palatino Linotype" w:cstheme="minorHAnsi"/>
                <w:color w:val="auto"/>
                <w:sz w:val="18"/>
                <w:szCs w:val="18"/>
              </w:rPr>
            </w:pPr>
          </w:p>
        </w:tc>
        <w:tc>
          <w:tcPr>
            <w:tcW w:w="1465" w:type="dxa"/>
          </w:tcPr>
          <w:p w14:paraId="79F37C3F"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90 children with CAP, aged 2 months to 5 years</w:t>
            </w:r>
          </w:p>
          <w:p w14:paraId="0CF275E6" w14:textId="77777777" w:rsidR="00547F03" w:rsidRPr="00547F03" w:rsidRDefault="00547F03" w:rsidP="007411BA">
            <w:pPr>
              <w:pStyle w:val="NoSpacing"/>
              <w:jc w:val="left"/>
              <w:rPr>
                <w:rFonts w:ascii="Palatino Linotype" w:hAnsi="Palatino Linotype" w:cstheme="minorHAnsi"/>
                <w:color w:val="auto"/>
                <w:sz w:val="18"/>
                <w:szCs w:val="18"/>
              </w:rPr>
            </w:pPr>
          </w:p>
        </w:tc>
        <w:tc>
          <w:tcPr>
            <w:tcW w:w="2268" w:type="dxa"/>
          </w:tcPr>
          <w:p w14:paraId="4CA1B984" w14:textId="77777777" w:rsidR="00547F03" w:rsidRPr="00547F03" w:rsidRDefault="00547F03" w:rsidP="00547F03">
            <w:pPr>
              <w:pStyle w:val="NoSpacing"/>
              <w:numPr>
                <w:ilvl w:val="0"/>
                <w:numId w:val="39"/>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Prior antibiotic use*: 51.1%. </w:t>
            </w:r>
          </w:p>
          <w:p w14:paraId="7356E94C" w14:textId="77777777" w:rsidR="00547F03" w:rsidRPr="00547F03" w:rsidRDefault="00547F03" w:rsidP="00547F03">
            <w:pPr>
              <w:pStyle w:val="NoSpacing"/>
              <w:numPr>
                <w:ilvl w:val="0"/>
                <w:numId w:val="39"/>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Co-morbidities: N/A</w:t>
            </w:r>
          </w:p>
          <w:p w14:paraId="6840FB79" w14:textId="77777777" w:rsidR="00547F03" w:rsidRPr="00547F03" w:rsidRDefault="00547F03" w:rsidP="007411BA">
            <w:pPr>
              <w:pStyle w:val="NoSpacing"/>
              <w:jc w:val="left"/>
              <w:rPr>
                <w:rFonts w:ascii="Palatino Linotype" w:hAnsi="Palatino Linotype" w:cstheme="minorHAnsi"/>
                <w:b/>
                <w:bCs/>
                <w:color w:val="auto"/>
                <w:sz w:val="18"/>
                <w:szCs w:val="18"/>
              </w:rPr>
            </w:pPr>
            <w:r w:rsidRPr="00547F03">
              <w:rPr>
                <w:rFonts w:ascii="Palatino Linotype" w:hAnsi="Palatino Linotype" w:cstheme="minorHAnsi"/>
                <w:b/>
                <w:bCs/>
                <w:color w:val="auto"/>
                <w:sz w:val="18"/>
                <w:szCs w:val="18"/>
              </w:rPr>
              <w:t xml:space="preserve">Classified [4]: </w:t>
            </w:r>
          </w:p>
          <w:p w14:paraId="1FFC3C55" w14:textId="77777777" w:rsidR="00547F03" w:rsidRPr="00547F03" w:rsidRDefault="00547F03" w:rsidP="00547F03">
            <w:pPr>
              <w:pStyle w:val="NoSpacing"/>
              <w:numPr>
                <w:ilvl w:val="0"/>
                <w:numId w:val="29"/>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P: 17.8%, </w:t>
            </w:r>
          </w:p>
          <w:p w14:paraId="2AA34785" w14:textId="77777777" w:rsidR="00547F03" w:rsidRPr="00547F03" w:rsidRDefault="00547F03" w:rsidP="00547F03">
            <w:pPr>
              <w:pStyle w:val="NoSpacing"/>
              <w:numPr>
                <w:ilvl w:val="0"/>
                <w:numId w:val="34"/>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SP: 82.2%, </w:t>
            </w:r>
          </w:p>
        </w:tc>
        <w:tc>
          <w:tcPr>
            <w:tcW w:w="3063" w:type="dxa"/>
          </w:tcPr>
          <w:p w14:paraId="54FB8D76" w14:textId="77777777" w:rsidR="00547F03" w:rsidRPr="00547F03" w:rsidRDefault="00547F03" w:rsidP="007411BA">
            <w:pPr>
              <w:pStyle w:val="NoSpacing"/>
              <w:ind w:left="360"/>
              <w:jc w:val="left"/>
              <w:rPr>
                <w:rFonts w:ascii="Palatino Linotype" w:hAnsi="Palatino Linotype" w:cstheme="minorHAnsi"/>
                <w:color w:val="auto"/>
                <w:sz w:val="18"/>
                <w:szCs w:val="18"/>
              </w:rPr>
            </w:pPr>
          </w:p>
          <w:p w14:paraId="516EC108" w14:textId="77777777" w:rsidR="00547F03" w:rsidRPr="00547F03" w:rsidRDefault="00547F03" w:rsidP="00547F03">
            <w:pPr>
              <w:pStyle w:val="NoSpacing"/>
              <w:numPr>
                <w:ilvl w:val="0"/>
                <w:numId w:val="30"/>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Single regimen: 90.0%</w:t>
            </w:r>
          </w:p>
          <w:p w14:paraId="20F02F98" w14:textId="77777777" w:rsidR="00547F03" w:rsidRPr="00547F03" w:rsidRDefault="00547F03" w:rsidP="00547F03">
            <w:pPr>
              <w:pStyle w:val="NoSpacing"/>
              <w:numPr>
                <w:ilvl w:val="0"/>
                <w:numId w:val="30"/>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Combined</w:t>
            </w:r>
            <w:r w:rsidRPr="00547F03">
              <w:rPr>
                <w:rFonts w:ascii="Palatino Linotype" w:hAnsi="Palatino Linotype" w:cstheme="minorHAnsi"/>
                <w:color w:val="auto"/>
                <w:sz w:val="18"/>
                <w:szCs w:val="18"/>
                <w:lang w:val="vi-VN"/>
              </w:rPr>
              <w:t xml:space="preserve"> </w:t>
            </w:r>
            <w:r w:rsidRPr="00547F03">
              <w:rPr>
                <w:rFonts w:ascii="Palatino Linotype" w:hAnsi="Palatino Linotype" w:cstheme="minorHAnsi"/>
                <w:color w:val="auto"/>
                <w:sz w:val="18"/>
                <w:szCs w:val="18"/>
              </w:rPr>
              <w:t xml:space="preserve">regimen: 10.0% </w:t>
            </w:r>
          </w:p>
          <w:p w14:paraId="395E8BF9" w14:textId="77777777" w:rsidR="00547F03" w:rsidRPr="00547F03" w:rsidRDefault="00547F03" w:rsidP="007411BA">
            <w:pPr>
              <w:pStyle w:val="NoSpacing"/>
              <w:jc w:val="left"/>
              <w:rPr>
                <w:rFonts w:ascii="Palatino Linotype" w:hAnsi="Palatino Linotype" w:cstheme="minorHAnsi"/>
                <w:color w:val="auto"/>
                <w:sz w:val="18"/>
                <w:szCs w:val="18"/>
              </w:rPr>
            </w:pPr>
          </w:p>
        </w:tc>
        <w:tc>
          <w:tcPr>
            <w:tcW w:w="2465" w:type="dxa"/>
          </w:tcPr>
          <w:p w14:paraId="7B2C9A4F"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Penicillin/β-lactamase inhibitor: 17.2%</w:t>
            </w:r>
          </w:p>
          <w:p w14:paraId="7928B425"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C3G: 52.5%</w:t>
            </w:r>
          </w:p>
          <w:p w14:paraId="2993DB91"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Macrolide: 27.3%</w:t>
            </w:r>
          </w:p>
          <w:p w14:paraId="285B0159"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Aminoglycoside: 3.0%</w:t>
            </w:r>
          </w:p>
          <w:p w14:paraId="464F8B99" w14:textId="77777777" w:rsidR="00547F03" w:rsidRPr="00547F03" w:rsidRDefault="00547F03" w:rsidP="007411BA">
            <w:pPr>
              <w:pStyle w:val="NoSpacing"/>
              <w:jc w:val="left"/>
              <w:rPr>
                <w:rFonts w:ascii="Palatino Linotype" w:hAnsi="Palatino Linotype" w:cstheme="minorHAnsi"/>
                <w:color w:val="auto"/>
                <w:sz w:val="18"/>
                <w:szCs w:val="18"/>
              </w:rPr>
            </w:pPr>
          </w:p>
        </w:tc>
      </w:tr>
      <w:tr w:rsidR="00547F03" w:rsidRPr="008C109E" w14:paraId="43108BDB" w14:textId="77777777" w:rsidTr="007411BA">
        <w:trPr>
          <w:jc w:val="center"/>
        </w:trPr>
        <w:tc>
          <w:tcPr>
            <w:tcW w:w="1371" w:type="dxa"/>
          </w:tcPr>
          <w:p w14:paraId="699130B7" w14:textId="77777777" w:rsidR="00547F03" w:rsidRPr="00547F03" w:rsidRDefault="00547F03" w:rsidP="007411BA">
            <w:pPr>
              <w:pStyle w:val="NoSpacing"/>
              <w:jc w:val="left"/>
              <w:rPr>
                <w:rFonts w:ascii="Palatino Linotype" w:hAnsi="Palatino Linotype" w:cstheme="minorHAnsi"/>
                <w:sz w:val="18"/>
                <w:szCs w:val="18"/>
              </w:rPr>
            </w:pPr>
            <w:r w:rsidRPr="00547F03">
              <w:rPr>
                <w:rFonts w:ascii="Palatino Linotype" w:hAnsi="Palatino Linotype" w:cstheme="minorHAnsi"/>
                <w:sz w:val="18"/>
                <w:szCs w:val="18"/>
              </w:rPr>
              <w:t>Phu Tho General Hospital – 2021 [6]</w:t>
            </w:r>
          </w:p>
          <w:p w14:paraId="0206C935" w14:textId="77777777" w:rsidR="00547F03" w:rsidRPr="00547F03" w:rsidRDefault="00547F03" w:rsidP="007411BA">
            <w:pPr>
              <w:pStyle w:val="NoSpacing"/>
              <w:rPr>
                <w:rFonts w:ascii="Palatino Linotype" w:hAnsi="Palatino Linotype" w:cstheme="minorHAnsi"/>
                <w:color w:val="auto"/>
                <w:sz w:val="18"/>
                <w:szCs w:val="18"/>
              </w:rPr>
            </w:pPr>
          </w:p>
        </w:tc>
        <w:tc>
          <w:tcPr>
            <w:tcW w:w="1465" w:type="dxa"/>
          </w:tcPr>
          <w:p w14:paraId="596198DF" w14:textId="77777777" w:rsidR="00547F03" w:rsidRPr="00547F03" w:rsidRDefault="00547F03" w:rsidP="007411BA">
            <w:pPr>
              <w:pStyle w:val="NoSpacing"/>
              <w:jc w:val="left"/>
              <w:rPr>
                <w:rFonts w:ascii="Palatino Linotype" w:hAnsi="Palatino Linotype" w:cstheme="minorHAnsi"/>
                <w:sz w:val="18"/>
                <w:szCs w:val="18"/>
              </w:rPr>
            </w:pPr>
            <w:r w:rsidRPr="00547F03">
              <w:rPr>
                <w:rFonts w:ascii="Palatino Linotype" w:hAnsi="Palatino Linotype" w:cstheme="minorHAnsi"/>
                <w:sz w:val="18"/>
                <w:szCs w:val="18"/>
              </w:rPr>
              <w:t>159 children with CAP, aged 2 months to 5 years</w:t>
            </w:r>
          </w:p>
          <w:p w14:paraId="103279B6" w14:textId="77777777" w:rsidR="00547F03" w:rsidRPr="00547F03" w:rsidRDefault="00547F03" w:rsidP="007411BA">
            <w:pPr>
              <w:pStyle w:val="NoSpacing"/>
              <w:jc w:val="left"/>
              <w:rPr>
                <w:rFonts w:ascii="Palatino Linotype" w:hAnsi="Palatino Linotype" w:cstheme="minorHAnsi"/>
                <w:color w:val="auto"/>
                <w:sz w:val="18"/>
                <w:szCs w:val="18"/>
              </w:rPr>
            </w:pPr>
          </w:p>
        </w:tc>
        <w:tc>
          <w:tcPr>
            <w:tcW w:w="2268" w:type="dxa"/>
          </w:tcPr>
          <w:p w14:paraId="7B73E54C" w14:textId="77777777" w:rsidR="00547F03" w:rsidRPr="00547F03" w:rsidRDefault="00547F03" w:rsidP="00547F03">
            <w:pPr>
              <w:pStyle w:val="NoSpacing"/>
              <w:numPr>
                <w:ilvl w:val="0"/>
                <w:numId w:val="40"/>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 xml:space="preserve">Prior antibiotic use*: 85.12%. </w:t>
            </w:r>
          </w:p>
          <w:p w14:paraId="28309EEE" w14:textId="77777777" w:rsidR="00547F03" w:rsidRPr="00547F03" w:rsidRDefault="00547F03" w:rsidP="00547F03">
            <w:pPr>
              <w:pStyle w:val="NoSpacing"/>
              <w:numPr>
                <w:ilvl w:val="0"/>
                <w:numId w:val="40"/>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 xml:space="preserve">Co-morbidities: 35.46%. </w:t>
            </w:r>
          </w:p>
          <w:p w14:paraId="6C4DCFEC" w14:textId="77777777" w:rsidR="00547F03" w:rsidRPr="00547F03" w:rsidRDefault="00547F03" w:rsidP="007411BA">
            <w:pPr>
              <w:pStyle w:val="NoSpacing"/>
              <w:jc w:val="left"/>
              <w:rPr>
                <w:rFonts w:ascii="Palatino Linotype" w:hAnsi="Palatino Linotype" w:cstheme="minorHAnsi"/>
                <w:b/>
                <w:bCs/>
                <w:sz w:val="18"/>
                <w:szCs w:val="18"/>
              </w:rPr>
            </w:pPr>
            <w:r w:rsidRPr="00547F03">
              <w:rPr>
                <w:rFonts w:ascii="Palatino Linotype" w:hAnsi="Palatino Linotype" w:cstheme="minorHAnsi"/>
                <w:b/>
                <w:bCs/>
                <w:sz w:val="18"/>
                <w:szCs w:val="18"/>
              </w:rPr>
              <w:t xml:space="preserve">Classified per [4]: </w:t>
            </w:r>
          </w:p>
          <w:p w14:paraId="002E8B2C" w14:textId="77777777" w:rsidR="00547F03" w:rsidRPr="00547F03" w:rsidRDefault="00547F03" w:rsidP="00547F03">
            <w:pPr>
              <w:pStyle w:val="NoSpacing"/>
              <w:numPr>
                <w:ilvl w:val="0"/>
                <w:numId w:val="43"/>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P: 96.5%,</w:t>
            </w:r>
          </w:p>
          <w:p w14:paraId="149DC2F8" w14:textId="77777777" w:rsidR="00547F03" w:rsidRPr="00547F03" w:rsidRDefault="00547F03" w:rsidP="00547F03">
            <w:pPr>
              <w:pStyle w:val="NoSpacing"/>
              <w:numPr>
                <w:ilvl w:val="0"/>
                <w:numId w:val="43"/>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SP: 3.6%.</w:t>
            </w:r>
          </w:p>
          <w:p w14:paraId="034D6F7A" w14:textId="77777777" w:rsidR="00547F03" w:rsidRPr="00547F03" w:rsidRDefault="00547F03" w:rsidP="00547F03">
            <w:pPr>
              <w:pStyle w:val="NoSpacing"/>
              <w:numPr>
                <w:ilvl w:val="0"/>
                <w:numId w:val="39"/>
              </w:numPr>
              <w:spacing w:line="240" w:lineRule="auto"/>
              <w:jc w:val="left"/>
              <w:rPr>
                <w:rFonts w:ascii="Palatino Linotype" w:hAnsi="Palatino Linotype" w:cstheme="minorHAnsi"/>
                <w:color w:val="auto"/>
                <w:sz w:val="18"/>
                <w:szCs w:val="18"/>
              </w:rPr>
            </w:pPr>
          </w:p>
        </w:tc>
        <w:tc>
          <w:tcPr>
            <w:tcW w:w="3063" w:type="dxa"/>
          </w:tcPr>
          <w:p w14:paraId="4CBA52D3" w14:textId="77777777" w:rsidR="00547F03" w:rsidRPr="00547F03" w:rsidRDefault="00547F03" w:rsidP="007411BA">
            <w:pPr>
              <w:pStyle w:val="NoSpacing"/>
              <w:jc w:val="left"/>
              <w:rPr>
                <w:rFonts w:ascii="Palatino Linotype" w:hAnsi="Palatino Linotype" w:cstheme="minorHAnsi"/>
                <w:b/>
                <w:bCs/>
                <w:sz w:val="18"/>
                <w:szCs w:val="18"/>
              </w:rPr>
            </w:pPr>
            <w:r w:rsidRPr="00547F03">
              <w:rPr>
                <w:rFonts w:ascii="Palatino Linotype" w:hAnsi="Palatino Linotype" w:cstheme="minorHAnsi"/>
                <w:b/>
                <w:bCs/>
                <w:sz w:val="18"/>
                <w:szCs w:val="18"/>
              </w:rPr>
              <w:t xml:space="preserve">P Patients: </w:t>
            </w:r>
          </w:p>
          <w:p w14:paraId="23083AD6" w14:textId="77777777" w:rsidR="00547F03" w:rsidRPr="00547F03" w:rsidRDefault="00547F03" w:rsidP="00547F03">
            <w:pPr>
              <w:pStyle w:val="NoSpacing"/>
              <w:numPr>
                <w:ilvl w:val="0"/>
                <w:numId w:val="41"/>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Single regimen: 87.5%</w:t>
            </w:r>
          </w:p>
          <w:p w14:paraId="0DC5D9B2" w14:textId="77777777" w:rsidR="00547F03" w:rsidRPr="00547F03" w:rsidRDefault="00547F03" w:rsidP="00547F03">
            <w:pPr>
              <w:pStyle w:val="NoSpacing"/>
              <w:numPr>
                <w:ilvl w:val="0"/>
                <w:numId w:val="41"/>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Combined regimen: 12.5%.</w:t>
            </w:r>
          </w:p>
          <w:p w14:paraId="7A3D2CBF" w14:textId="77777777" w:rsidR="00547F03" w:rsidRPr="00547F03" w:rsidRDefault="00547F03" w:rsidP="007411BA">
            <w:pPr>
              <w:pStyle w:val="NoSpacing"/>
              <w:jc w:val="left"/>
              <w:rPr>
                <w:rFonts w:ascii="Palatino Linotype" w:hAnsi="Palatino Linotype" w:cstheme="minorHAnsi"/>
                <w:sz w:val="18"/>
                <w:szCs w:val="18"/>
              </w:rPr>
            </w:pPr>
            <w:r w:rsidRPr="00547F03">
              <w:rPr>
                <w:rFonts w:ascii="Palatino Linotype" w:hAnsi="Palatino Linotype" w:cstheme="minorHAnsi"/>
                <w:sz w:val="18"/>
                <w:szCs w:val="18"/>
              </w:rPr>
              <w:t xml:space="preserve"> </w:t>
            </w:r>
            <w:r w:rsidRPr="00547F03">
              <w:rPr>
                <w:rFonts w:ascii="Palatino Linotype" w:hAnsi="Palatino Linotype" w:cstheme="minorHAnsi"/>
                <w:b/>
                <w:bCs/>
                <w:sz w:val="18"/>
                <w:szCs w:val="18"/>
              </w:rPr>
              <w:t>SP Patients</w:t>
            </w:r>
            <w:r w:rsidRPr="00547F03">
              <w:rPr>
                <w:rFonts w:ascii="Palatino Linotype" w:hAnsi="Palatino Linotype" w:cstheme="minorHAnsi"/>
                <w:sz w:val="18"/>
                <w:szCs w:val="18"/>
              </w:rPr>
              <w:t xml:space="preserve">: </w:t>
            </w:r>
          </w:p>
          <w:p w14:paraId="17EA863D" w14:textId="77777777" w:rsidR="00547F03" w:rsidRPr="00547F03" w:rsidRDefault="00547F03" w:rsidP="00547F03">
            <w:pPr>
              <w:pStyle w:val="NoSpacing"/>
              <w:numPr>
                <w:ilvl w:val="0"/>
                <w:numId w:val="42"/>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Single regimen: 80.0%</w:t>
            </w:r>
          </w:p>
          <w:p w14:paraId="1B2C868A" w14:textId="77777777" w:rsidR="00547F03" w:rsidRPr="00547F03" w:rsidRDefault="00547F03" w:rsidP="00547F03">
            <w:pPr>
              <w:pStyle w:val="NoSpacing"/>
              <w:numPr>
                <w:ilvl w:val="0"/>
                <w:numId w:val="42"/>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Combined regimen: 20.0%.</w:t>
            </w:r>
          </w:p>
          <w:p w14:paraId="16320E56" w14:textId="77777777" w:rsidR="00547F03" w:rsidRPr="00547F03" w:rsidRDefault="00547F03" w:rsidP="007411BA">
            <w:pPr>
              <w:pStyle w:val="NoSpacing"/>
              <w:ind w:left="360"/>
              <w:jc w:val="left"/>
              <w:rPr>
                <w:rFonts w:ascii="Palatino Linotype" w:hAnsi="Palatino Linotype" w:cstheme="minorHAnsi"/>
                <w:color w:val="auto"/>
                <w:sz w:val="18"/>
                <w:szCs w:val="18"/>
              </w:rPr>
            </w:pPr>
          </w:p>
        </w:tc>
        <w:tc>
          <w:tcPr>
            <w:tcW w:w="2465" w:type="dxa"/>
          </w:tcPr>
          <w:p w14:paraId="195CC78C" w14:textId="77777777" w:rsidR="00547F03" w:rsidRPr="00547F03" w:rsidRDefault="00547F03" w:rsidP="00547F03">
            <w:pPr>
              <w:pStyle w:val="NoSpacing"/>
              <w:numPr>
                <w:ilvl w:val="0"/>
                <w:numId w:val="42"/>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 xml:space="preserve">Penicillin ± β-lactamase inhibitor: 0%, </w:t>
            </w:r>
          </w:p>
          <w:p w14:paraId="175FF238" w14:textId="77777777" w:rsidR="00547F03" w:rsidRPr="00547F03" w:rsidRDefault="00547F03" w:rsidP="00547F03">
            <w:pPr>
              <w:pStyle w:val="NoSpacing"/>
              <w:numPr>
                <w:ilvl w:val="0"/>
                <w:numId w:val="42"/>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 xml:space="preserve">C3G: 63.7%, </w:t>
            </w:r>
          </w:p>
          <w:p w14:paraId="56DC1633" w14:textId="77777777" w:rsidR="00547F03" w:rsidRPr="00547F03" w:rsidRDefault="00547F03" w:rsidP="00547F03">
            <w:pPr>
              <w:pStyle w:val="NoSpacing"/>
              <w:numPr>
                <w:ilvl w:val="0"/>
                <w:numId w:val="42"/>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C4G: 10.6%, Carbapenem: 0.4%</w:t>
            </w:r>
          </w:p>
          <w:p w14:paraId="544C83C9" w14:textId="77777777" w:rsidR="00547F03" w:rsidRPr="00547F03" w:rsidRDefault="00547F03" w:rsidP="00547F03">
            <w:pPr>
              <w:pStyle w:val="NoSpacing"/>
              <w:numPr>
                <w:ilvl w:val="0"/>
                <w:numId w:val="42"/>
              </w:numPr>
              <w:spacing w:line="240" w:lineRule="auto"/>
              <w:jc w:val="left"/>
              <w:rPr>
                <w:rFonts w:ascii="Palatino Linotype" w:hAnsi="Palatino Linotype" w:cstheme="minorHAnsi"/>
                <w:sz w:val="18"/>
                <w:szCs w:val="18"/>
              </w:rPr>
            </w:pPr>
            <w:r w:rsidRPr="00547F03">
              <w:rPr>
                <w:rFonts w:ascii="Palatino Linotype" w:hAnsi="Palatino Linotype" w:cstheme="minorHAnsi"/>
                <w:sz w:val="18"/>
                <w:szCs w:val="18"/>
              </w:rPr>
              <w:t>Macrolide: 1.3%</w:t>
            </w:r>
          </w:p>
          <w:p w14:paraId="16688705"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sz w:val="18"/>
                <w:szCs w:val="18"/>
              </w:rPr>
              <w:t>Aminoglycoside:</w:t>
            </w:r>
            <w:r w:rsidRPr="00547F03">
              <w:rPr>
                <w:rFonts w:ascii="Palatino Linotype" w:hAnsi="Palatino Linotype" w:cstheme="minorHAnsi"/>
                <w:sz w:val="18"/>
                <w:szCs w:val="18"/>
                <w:lang w:val="vi-VN"/>
              </w:rPr>
              <w:t xml:space="preserve"> </w:t>
            </w:r>
            <w:r w:rsidRPr="00547F03">
              <w:rPr>
                <w:rFonts w:ascii="Palatino Linotype" w:hAnsi="Palatino Linotype" w:cstheme="minorHAnsi"/>
                <w:sz w:val="18"/>
                <w:szCs w:val="18"/>
              </w:rPr>
              <w:t>23.9%.</w:t>
            </w:r>
          </w:p>
        </w:tc>
      </w:tr>
      <w:tr w:rsidR="00547F03" w:rsidRPr="008C109E" w14:paraId="54BD7E11" w14:textId="77777777" w:rsidTr="007411BA">
        <w:trPr>
          <w:jc w:val="center"/>
        </w:trPr>
        <w:tc>
          <w:tcPr>
            <w:tcW w:w="1371" w:type="dxa"/>
          </w:tcPr>
          <w:p w14:paraId="6CD21D82"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Quang Nam Central General Hospital, 2024 [7]</w:t>
            </w:r>
          </w:p>
        </w:tc>
        <w:tc>
          <w:tcPr>
            <w:tcW w:w="1465" w:type="dxa"/>
          </w:tcPr>
          <w:p w14:paraId="53C2F2F8"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170 children with CAP, aged 2 months to 5 years</w:t>
            </w:r>
          </w:p>
        </w:tc>
        <w:tc>
          <w:tcPr>
            <w:tcW w:w="2268" w:type="dxa"/>
          </w:tcPr>
          <w:p w14:paraId="78EFFFEA" w14:textId="77777777" w:rsidR="00547F03" w:rsidRPr="00547F03" w:rsidRDefault="00547F03" w:rsidP="00547F03">
            <w:pPr>
              <w:pStyle w:val="NoSpacing"/>
              <w:numPr>
                <w:ilvl w:val="0"/>
                <w:numId w:val="39"/>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Prior antibiotic use*: N/A</w:t>
            </w:r>
          </w:p>
          <w:p w14:paraId="2A399C76" w14:textId="77777777" w:rsidR="00547F03" w:rsidRPr="00547F03" w:rsidRDefault="00547F03" w:rsidP="00547F03">
            <w:pPr>
              <w:pStyle w:val="NoSpacing"/>
              <w:numPr>
                <w:ilvl w:val="0"/>
                <w:numId w:val="39"/>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Co-morbidities: 84.7%</w:t>
            </w:r>
          </w:p>
          <w:p w14:paraId="7F34166F" w14:textId="77777777" w:rsidR="00547F03" w:rsidRPr="00547F03" w:rsidRDefault="00547F03" w:rsidP="007411BA">
            <w:pPr>
              <w:pStyle w:val="NoSpacing"/>
              <w:jc w:val="left"/>
              <w:rPr>
                <w:rFonts w:ascii="Palatino Linotype" w:hAnsi="Palatino Linotype" w:cstheme="minorHAnsi"/>
                <w:b/>
                <w:bCs/>
                <w:color w:val="auto"/>
                <w:sz w:val="18"/>
                <w:szCs w:val="18"/>
              </w:rPr>
            </w:pPr>
            <w:r w:rsidRPr="00547F03">
              <w:rPr>
                <w:rFonts w:ascii="Palatino Linotype" w:hAnsi="Palatino Linotype" w:cstheme="minorHAnsi"/>
                <w:b/>
                <w:bCs/>
                <w:color w:val="auto"/>
                <w:sz w:val="18"/>
                <w:szCs w:val="18"/>
              </w:rPr>
              <w:t xml:space="preserve">Classified [4]: </w:t>
            </w:r>
          </w:p>
          <w:p w14:paraId="0C4D89AD" w14:textId="77777777" w:rsidR="00547F03" w:rsidRPr="00547F03" w:rsidRDefault="00547F03" w:rsidP="00547F03">
            <w:pPr>
              <w:pStyle w:val="NoSpacing"/>
              <w:numPr>
                <w:ilvl w:val="0"/>
                <w:numId w:val="29"/>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P: 87.6%, </w:t>
            </w:r>
          </w:p>
          <w:p w14:paraId="15A77450" w14:textId="77777777" w:rsidR="00547F03" w:rsidRPr="00547F03" w:rsidRDefault="00547F03" w:rsidP="00547F03">
            <w:pPr>
              <w:pStyle w:val="NoSpacing"/>
              <w:numPr>
                <w:ilvl w:val="0"/>
                <w:numId w:val="34"/>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SP: 12.4%,</w:t>
            </w:r>
          </w:p>
        </w:tc>
        <w:tc>
          <w:tcPr>
            <w:tcW w:w="3063" w:type="dxa"/>
          </w:tcPr>
          <w:p w14:paraId="5425D8F5" w14:textId="77777777" w:rsidR="00547F03" w:rsidRPr="00547F03" w:rsidRDefault="00547F03" w:rsidP="007411BA">
            <w:pPr>
              <w:pStyle w:val="NoSpacing"/>
              <w:jc w:val="left"/>
              <w:rPr>
                <w:rFonts w:ascii="Palatino Linotype" w:hAnsi="Palatino Linotype" w:cstheme="minorHAnsi"/>
                <w:b/>
                <w:bCs/>
                <w:color w:val="auto"/>
                <w:sz w:val="18"/>
                <w:szCs w:val="18"/>
              </w:rPr>
            </w:pPr>
            <w:r w:rsidRPr="00547F03">
              <w:rPr>
                <w:rFonts w:ascii="Palatino Linotype" w:hAnsi="Palatino Linotype" w:cstheme="minorHAnsi"/>
                <w:b/>
                <w:bCs/>
                <w:color w:val="auto"/>
                <w:sz w:val="18"/>
                <w:szCs w:val="18"/>
              </w:rPr>
              <w:t xml:space="preserve">P Patients: </w:t>
            </w:r>
          </w:p>
          <w:p w14:paraId="4B011C2D" w14:textId="77777777" w:rsidR="00547F03" w:rsidRPr="00547F03" w:rsidRDefault="00547F03" w:rsidP="00547F03">
            <w:pPr>
              <w:pStyle w:val="NoSpacing"/>
              <w:numPr>
                <w:ilvl w:val="0"/>
                <w:numId w:val="32"/>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Single regimen: 57.7% </w:t>
            </w:r>
          </w:p>
          <w:p w14:paraId="04A2B6C7" w14:textId="77777777" w:rsidR="00547F03" w:rsidRPr="00547F03" w:rsidRDefault="00547F03" w:rsidP="00547F03">
            <w:pPr>
              <w:pStyle w:val="NoSpacing"/>
              <w:numPr>
                <w:ilvl w:val="0"/>
                <w:numId w:val="32"/>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Combined regimen: 42.3%  </w:t>
            </w:r>
          </w:p>
          <w:p w14:paraId="714AAE42"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b/>
                <w:bCs/>
                <w:color w:val="auto"/>
                <w:sz w:val="18"/>
                <w:szCs w:val="18"/>
              </w:rPr>
              <w:t>SP Patients:</w:t>
            </w:r>
            <w:r w:rsidRPr="00547F03">
              <w:rPr>
                <w:rFonts w:ascii="Palatino Linotype" w:hAnsi="Palatino Linotype" w:cstheme="minorHAnsi"/>
                <w:color w:val="auto"/>
                <w:sz w:val="18"/>
                <w:szCs w:val="18"/>
              </w:rPr>
              <w:t xml:space="preserve">  </w:t>
            </w:r>
          </w:p>
          <w:p w14:paraId="590BFC22" w14:textId="77777777" w:rsidR="00547F03" w:rsidRPr="00547F03" w:rsidRDefault="00547F03" w:rsidP="00547F03">
            <w:pPr>
              <w:pStyle w:val="NoSpacing"/>
              <w:numPr>
                <w:ilvl w:val="0"/>
                <w:numId w:val="37"/>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Single regimen: 61.9% </w:t>
            </w:r>
          </w:p>
          <w:p w14:paraId="3BD47C65" w14:textId="77777777" w:rsidR="00547F03" w:rsidRPr="00547F03" w:rsidRDefault="00547F03" w:rsidP="00547F03">
            <w:pPr>
              <w:pStyle w:val="NoSpacing"/>
              <w:numPr>
                <w:ilvl w:val="0"/>
                <w:numId w:val="37"/>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Combined regimen: 38.1%  </w:t>
            </w:r>
          </w:p>
          <w:p w14:paraId="61B4F293" w14:textId="77777777" w:rsidR="00547F03" w:rsidRPr="00547F03" w:rsidRDefault="00547F03" w:rsidP="007411BA">
            <w:pPr>
              <w:pStyle w:val="NoSpacing"/>
              <w:jc w:val="left"/>
              <w:rPr>
                <w:rFonts w:ascii="Palatino Linotype" w:hAnsi="Palatino Linotype" w:cstheme="minorHAnsi"/>
                <w:color w:val="auto"/>
                <w:sz w:val="18"/>
                <w:szCs w:val="18"/>
              </w:rPr>
            </w:pPr>
          </w:p>
        </w:tc>
        <w:tc>
          <w:tcPr>
            <w:tcW w:w="2465" w:type="dxa"/>
          </w:tcPr>
          <w:p w14:paraId="75CAE0F8"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Penicillin/β-lactamase inhibitor: 8.8%</w:t>
            </w:r>
          </w:p>
          <w:p w14:paraId="032575B2"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C3G: 41.2%</w:t>
            </w:r>
          </w:p>
          <w:p w14:paraId="4F20DAD8"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C3G+Aminoside: 17.6%</w:t>
            </w:r>
          </w:p>
          <w:p w14:paraId="3A787E9E" w14:textId="3A62EACF"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Penicillin/β-lactamase + am</w:t>
            </w:r>
            <w:r>
              <w:rPr>
                <w:rFonts w:ascii="Palatino Linotype" w:hAnsi="Palatino Linotype" w:cstheme="minorHAnsi"/>
                <w:color w:val="auto"/>
                <w:sz w:val="18"/>
                <w:szCs w:val="18"/>
              </w:rPr>
              <w:t>i</w:t>
            </w:r>
            <w:r w:rsidRPr="00547F03">
              <w:rPr>
                <w:rFonts w:ascii="Palatino Linotype" w:hAnsi="Palatino Linotype" w:cstheme="minorHAnsi"/>
                <w:color w:val="auto"/>
                <w:sz w:val="18"/>
                <w:szCs w:val="18"/>
              </w:rPr>
              <w:t>n</w:t>
            </w:r>
            <w:r>
              <w:rPr>
                <w:rFonts w:ascii="Palatino Linotype" w:hAnsi="Palatino Linotype" w:cstheme="minorHAnsi"/>
                <w:color w:val="auto"/>
                <w:sz w:val="18"/>
                <w:szCs w:val="18"/>
              </w:rPr>
              <w:t>oglyc</w:t>
            </w:r>
            <w:r w:rsidRPr="00547F03">
              <w:rPr>
                <w:rFonts w:ascii="Palatino Linotype" w:hAnsi="Palatino Linotype" w:cstheme="minorHAnsi"/>
                <w:color w:val="auto"/>
                <w:sz w:val="18"/>
                <w:szCs w:val="18"/>
              </w:rPr>
              <w:t>oside: 11.8%</w:t>
            </w:r>
          </w:p>
          <w:p w14:paraId="3B9E3E54"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Others: 20.6%</w:t>
            </w:r>
          </w:p>
          <w:p w14:paraId="40C9E891" w14:textId="77777777" w:rsidR="00547F03" w:rsidRPr="00547F03" w:rsidRDefault="00547F03" w:rsidP="007411BA">
            <w:pPr>
              <w:pStyle w:val="NoSpacing"/>
              <w:jc w:val="left"/>
              <w:rPr>
                <w:rFonts w:ascii="Palatino Linotype" w:hAnsi="Palatino Linotype" w:cstheme="minorHAnsi"/>
                <w:color w:val="auto"/>
                <w:sz w:val="18"/>
                <w:szCs w:val="18"/>
              </w:rPr>
            </w:pPr>
          </w:p>
          <w:p w14:paraId="1CEBEA87"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Dosage of antibiotics appropriate:  49.8%</w:t>
            </w:r>
          </w:p>
          <w:p w14:paraId="21910D71"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Duration treatment antibiotics: 6.4±2.1 days</w:t>
            </w:r>
          </w:p>
        </w:tc>
      </w:tr>
      <w:tr w:rsidR="00547F03" w:rsidRPr="008C109E" w14:paraId="28F71721" w14:textId="77777777" w:rsidTr="007411BA">
        <w:trPr>
          <w:jc w:val="center"/>
        </w:trPr>
        <w:tc>
          <w:tcPr>
            <w:tcW w:w="1371" w:type="dxa"/>
          </w:tcPr>
          <w:p w14:paraId="049A4019" w14:textId="77777777" w:rsidR="00547F03" w:rsidRPr="00547F03" w:rsidRDefault="00547F03" w:rsidP="007411BA">
            <w:pPr>
              <w:pStyle w:val="NoSpacing"/>
              <w:rPr>
                <w:rFonts w:ascii="Palatino Linotype" w:hAnsi="Palatino Linotype" w:cstheme="minorHAnsi"/>
                <w:color w:val="auto"/>
                <w:sz w:val="18"/>
                <w:szCs w:val="18"/>
              </w:rPr>
            </w:pPr>
            <w:r w:rsidRPr="00547F03">
              <w:rPr>
                <w:rFonts w:ascii="Palatino Linotype" w:hAnsi="Palatino Linotype" w:cstheme="minorHAnsi"/>
                <w:color w:val="auto"/>
                <w:sz w:val="18"/>
                <w:szCs w:val="18"/>
              </w:rPr>
              <w:t>Can Tho</w:t>
            </w:r>
          </w:p>
          <w:p w14:paraId="2C99C478"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Children's Hospital, 2024 [8]</w:t>
            </w:r>
          </w:p>
        </w:tc>
        <w:tc>
          <w:tcPr>
            <w:tcW w:w="1465" w:type="dxa"/>
          </w:tcPr>
          <w:p w14:paraId="2212EAB7" w14:textId="77777777" w:rsidR="00547F03" w:rsidRPr="00547F03" w:rsidRDefault="00547F03" w:rsidP="007411BA">
            <w:pPr>
              <w:pStyle w:val="NoSpacing"/>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301 children with CAP, 86.4% aged under 5 years</w:t>
            </w:r>
          </w:p>
        </w:tc>
        <w:tc>
          <w:tcPr>
            <w:tcW w:w="2268" w:type="dxa"/>
          </w:tcPr>
          <w:p w14:paraId="4AC32E05" w14:textId="77777777" w:rsidR="00547F03" w:rsidRPr="00547F03" w:rsidRDefault="00547F03" w:rsidP="00547F03">
            <w:pPr>
              <w:pStyle w:val="NoSpacing"/>
              <w:numPr>
                <w:ilvl w:val="0"/>
                <w:numId w:val="39"/>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Prior antibiotic use*: N/A</w:t>
            </w:r>
          </w:p>
          <w:p w14:paraId="3CC950DB" w14:textId="77777777" w:rsidR="00547F03" w:rsidRPr="00547F03" w:rsidRDefault="00547F03" w:rsidP="00547F03">
            <w:pPr>
              <w:pStyle w:val="NoSpacing"/>
              <w:numPr>
                <w:ilvl w:val="0"/>
                <w:numId w:val="39"/>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Co-morbidities: N/A</w:t>
            </w:r>
          </w:p>
          <w:p w14:paraId="122FAFA3" w14:textId="77777777" w:rsidR="00547F03" w:rsidRPr="00547F03" w:rsidRDefault="00547F03" w:rsidP="007411BA">
            <w:pPr>
              <w:pStyle w:val="NoSpacing"/>
              <w:jc w:val="left"/>
              <w:rPr>
                <w:rFonts w:ascii="Palatino Linotype" w:hAnsi="Palatino Linotype" w:cstheme="minorHAnsi"/>
                <w:b/>
                <w:bCs/>
                <w:color w:val="auto"/>
                <w:sz w:val="18"/>
                <w:szCs w:val="18"/>
              </w:rPr>
            </w:pPr>
            <w:r w:rsidRPr="00547F03">
              <w:rPr>
                <w:rFonts w:ascii="Palatino Linotype" w:hAnsi="Palatino Linotype" w:cstheme="minorHAnsi"/>
                <w:b/>
                <w:bCs/>
                <w:color w:val="auto"/>
                <w:sz w:val="18"/>
                <w:szCs w:val="18"/>
              </w:rPr>
              <w:t xml:space="preserve">Classified [4]: </w:t>
            </w:r>
          </w:p>
          <w:p w14:paraId="4A71BE08" w14:textId="77777777" w:rsidR="00547F03" w:rsidRPr="00547F03" w:rsidRDefault="00547F03" w:rsidP="00547F03">
            <w:pPr>
              <w:pStyle w:val="NoSpacing"/>
              <w:numPr>
                <w:ilvl w:val="0"/>
                <w:numId w:val="29"/>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P: 88.0%, </w:t>
            </w:r>
          </w:p>
          <w:p w14:paraId="08940D21" w14:textId="77777777" w:rsidR="00547F03" w:rsidRPr="00547F03" w:rsidRDefault="00547F03" w:rsidP="00547F03">
            <w:pPr>
              <w:pStyle w:val="NoSpacing"/>
              <w:numPr>
                <w:ilvl w:val="0"/>
                <w:numId w:val="34"/>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SP: 12.0%,</w:t>
            </w:r>
          </w:p>
        </w:tc>
        <w:tc>
          <w:tcPr>
            <w:tcW w:w="3063" w:type="dxa"/>
          </w:tcPr>
          <w:p w14:paraId="32C864C2" w14:textId="77777777" w:rsidR="00547F03" w:rsidRPr="00547F03" w:rsidRDefault="00547F03" w:rsidP="00547F03">
            <w:pPr>
              <w:pStyle w:val="NoSpacing"/>
              <w:numPr>
                <w:ilvl w:val="0"/>
                <w:numId w:val="39"/>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Single regimen: 66.4% </w:t>
            </w:r>
          </w:p>
          <w:p w14:paraId="4CCE420A" w14:textId="77777777" w:rsidR="00547F03" w:rsidRPr="00547F03" w:rsidRDefault="00547F03" w:rsidP="00547F03">
            <w:pPr>
              <w:pStyle w:val="NoSpacing"/>
              <w:numPr>
                <w:ilvl w:val="0"/>
                <w:numId w:val="39"/>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 xml:space="preserve">Combined regimen: 33.6%  </w:t>
            </w:r>
          </w:p>
          <w:p w14:paraId="1FC85220" w14:textId="77777777" w:rsidR="00547F03" w:rsidRPr="00547F03" w:rsidRDefault="00547F03" w:rsidP="007411BA">
            <w:pPr>
              <w:pStyle w:val="NoSpacing"/>
              <w:jc w:val="left"/>
              <w:rPr>
                <w:rFonts w:ascii="Palatino Linotype" w:hAnsi="Palatino Linotype" w:cstheme="minorHAnsi"/>
                <w:color w:val="auto"/>
                <w:sz w:val="18"/>
                <w:szCs w:val="18"/>
              </w:rPr>
            </w:pPr>
          </w:p>
        </w:tc>
        <w:tc>
          <w:tcPr>
            <w:tcW w:w="2465" w:type="dxa"/>
          </w:tcPr>
          <w:p w14:paraId="63035CF4"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Penicillin/β-lactamase inhibitor: 32.9%</w:t>
            </w:r>
          </w:p>
          <w:p w14:paraId="1311F9D9"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C2G: 23,9%</w:t>
            </w:r>
          </w:p>
          <w:p w14:paraId="33AAC151"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C3G: 57.8%</w:t>
            </w:r>
          </w:p>
          <w:p w14:paraId="38C6FED8"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Macrolide: 15.9%</w:t>
            </w:r>
          </w:p>
          <w:p w14:paraId="452B63B5"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Aminoglycoside: 7.0%</w:t>
            </w:r>
          </w:p>
          <w:p w14:paraId="2C9CFC49"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Carbapenem: 1.7%</w:t>
            </w:r>
          </w:p>
          <w:p w14:paraId="1D8734B8" w14:textId="5350CCA2"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Glycopeptid</w:t>
            </w:r>
            <w:r>
              <w:rPr>
                <w:rFonts w:ascii="Palatino Linotype" w:hAnsi="Palatino Linotype" w:cstheme="minorHAnsi"/>
                <w:color w:val="auto"/>
                <w:sz w:val="18"/>
                <w:szCs w:val="18"/>
              </w:rPr>
              <w:t>e</w:t>
            </w:r>
            <w:r w:rsidRPr="00547F03">
              <w:rPr>
                <w:rFonts w:ascii="Palatino Linotype" w:hAnsi="Palatino Linotype" w:cstheme="minorHAnsi"/>
                <w:color w:val="auto"/>
                <w:sz w:val="18"/>
                <w:szCs w:val="18"/>
              </w:rPr>
              <w:t>: 1.3%</w:t>
            </w:r>
          </w:p>
          <w:p w14:paraId="66FE3329" w14:textId="77777777" w:rsidR="00547F03" w:rsidRPr="00547F03" w:rsidRDefault="00547F03" w:rsidP="007411BA">
            <w:pPr>
              <w:pStyle w:val="NoSpacing"/>
              <w:jc w:val="left"/>
              <w:rPr>
                <w:rFonts w:ascii="Palatino Linotype" w:hAnsi="Palatino Linotype" w:cstheme="minorHAnsi"/>
                <w:color w:val="auto"/>
                <w:sz w:val="18"/>
                <w:szCs w:val="18"/>
              </w:rPr>
            </w:pPr>
          </w:p>
          <w:p w14:paraId="40FD8E33"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Dosage of antibiotics appropriate:  87.7%</w:t>
            </w:r>
          </w:p>
          <w:p w14:paraId="5A45205B" w14:textId="77777777" w:rsidR="00547F03" w:rsidRPr="00547F03" w:rsidRDefault="00547F03" w:rsidP="00547F03">
            <w:pPr>
              <w:pStyle w:val="NoSpacing"/>
              <w:numPr>
                <w:ilvl w:val="0"/>
                <w:numId w:val="31"/>
              </w:numPr>
              <w:spacing w:line="240" w:lineRule="auto"/>
              <w:jc w:val="left"/>
              <w:rPr>
                <w:rFonts w:ascii="Palatino Linotype" w:hAnsi="Palatino Linotype" w:cstheme="minorHAnsi"/>
                <w:color w:val="auto"/>
                <w:sz w:val="18"/>
                <w:szCs w:val="18"/>
              </w:rPr>
            </w:pPr>
            <w:r w:rsidRPr="00547F03">
              <w:rPr>
                <w:rFonts w:ascii="Palatino Linotype" w:hAnsi="Palatino Linotype" w:cstheme="minorHAnsi"/>
                <w:color w:val="auto"/>
                <w:sz w:val="18"/>
                <w:szCs w:val="18"/>
              </w:rPr>
              <w:t>Duration treatment antibiotics: 6-10 days (63.5%)</w:t>
            </w:r>
          </w:p>
        </w:tc>
      </w:tr>
    </w:tbl>
    <w:p w14:paraId="2A3F1F30" w14:textId="77777777" w:rsidR="00547F03" w:rsidRPr="00547F03" w:rsidRDefault="00547F03" w:rsidP="00547F03">
      <w:pPr>
        <w:pStyle w:val="NoSpacing"/>
        <w:rPr>
          <w:rFonts w:ascii="Palatino Linotype" w:hAnsi="Palatino Linotype" w:cstheme="minorHAnsi"/>
          <w:sz w:val="18"/>
          <w:szCs w:val="18"/>
        </w:rPr>
      </w:pPr>
      <w:r w:rsidRPr="00547F03">
        <w:rPr>
          <w:rFonts w:ascii="Palatino Linotype" w:hAnsi="Palatino Linotype" w:cstheme="minorHAnsi"/>
          <w:sz w:val="18"/>
          <w:szCs w:val="18"/>
        </w:rPr>
        <w:t>NB</w:t>
      </w:r>
      <w:r w:rsidRPr="00547F03">
        <w:rPr>
          <w:rFonts w:ascii="Palatino Linotype" w:hAnsi="Palatino Linotype" w:cstheme="minorHAnsi"/>
          <w:sz w:val="18"/>
          <w:szCs w:val="18"/>
          <w:lang w:val="vi-VN"/>
        </w:rPr>
        <w:t xml:space="preserve">: </w:t>
      </w:r>
      <w:r w:rsidRPr="00547F03">
        <w:rPr>
          <w:rFonts w:ascii="Palatino Linotype" w:hAnsi="Palatino Linotype" w:cstheme="minorHAnsi"/>
          <w:sz w:val="18"/>
          <w:szCs w:val="18"/>
        </w:rPr>
        <w:t xml:space="preserve">C2G: </w:t>
      </w:r>
      <w:r w:rsidRPr="00547F03">
        <w:rPr>
          <w:rFonts w:ascii="Palatino Linotype" w:hAnsi="Palatino Linotype"/>
          <w:sz w:val="18"/>
          <w:szCs w:val="18"/>
        </w:rPr>
        <w:t xml:space="preserve">second-generation cephalosporins; C3G: third-generation cephalosporins; </w:t>
      </w:r>
      <w:r w:rsidRPr="00547F03">
        <w:rPr>
          <w:rFonts w:ascii="Palatino Linotype" w:hAnsi="Palatino Linotype" w:cstheme="minorHAnsi"/>
          <w:sz w:val="18"/>
          <w:szCs w:val="18"/>
        </w:rPr>
        <w:t xml:space="preserve">P: Pneumonia; SP: Severe Pneumonia; VSP: Very Severe Pneumonia. Regimen: Treatment regimen; Co-morbidities: Coexisting conditions. </w:t>
      </w:r>
    </w:p>
    <w:bookmarkStart w:id="10" w:name="_Hlk197697936"/>
    <w:p w14:paraId="529C31E1" w14:textId="77777777" w:rsidR="00547F03" w:rsidRDefault="00547F03" w:rsidP="00547F03">
      <w:r>
        <w:fldChar w:fldCharType="begin"/>
      </w:r>
      <w:r>
        <w:instrText xml:space="preserve"> ADDIN EN.REFLIST </w:instrText>
      </w:r>
      <w:r>
        <w:fldChar w:fldCharType="separate"/>
      </w:r>
      <w:r>
        <w:fldChar w:fldCharType="end"/>
      </w:r>
      <w:bookmarkEnd w:id="10"/>
    </w:p>
    <w:p w14:paraId="4D325C7B" w14:textId="77777777" w:rsidR="00547F03" w:rsidRPr="00547F03" w:rsidRDefault="00547F03" w:rsidP="00547F03">
      <w:pPr>
        <w:pStyle w:val="NoSpacing"/>
        <w:rPr>
          <w:rFonts w:ascii="Palatino Linotype" w:hAnsi="Palatino Linotype"/>
          <w:b/>
          <w:bCs/>
          <w:sz w:val="18"/>
          <w:szCs w:val="18"/>
        </w:rPr>
      </w:pPr>
      <w:r w:rsidRPr="00547F03">
        <w:rPr>
          <w:rFonts w:ascii="Palatino Linotype" w:hAnsi="Palatino Linotype"/>
          <w:b/>
          <w:bCs/>
          <w:sz w:val="18"/>
          <w:szCs w:val="18"/>
        </w:rPr>
        <w:t>References</w:t>
      </w:r>
    </w:p>
    <w:p w14:paraId="2012A910" w14:textId="77777777" w:rsidR="00547F03" w:rsidRPr="00547F03" w:rsidRDefault="00547F03" w:rsidP="00547F03">
      <w:pPr>
        <w:pStyle w:val="NoSpacing"/>
        <w:rPr>
          <w:rFonts w:ascii="Palatino Linotype" w:hAnsi="Palatino Linotype"/>
          <w:sz w:val="18"/>
          <w:szCs w:val="18"/>
        </w:rPr>
      </w:pPr>
      <w:r w:rsidRPr="00547F03">
        <w:rPr>
          <w:rFonts w:ascii="Palatino Linotype" w:hAnsi="Palatino Linotype"/>
          <w:sz w:val="18"/>
          <w:szCs w:val="18"/>
        </w:rPr>
        <w:t xml:space="preserve">[1] Bui T. Analysis of Antibiotic Usage in the Treatment of Community-Acquired Pneumonia at the </w:t>
      </w:r>
      <w:proofErr w:type="spellStart"/>
      <w:r w:rsidRPr="00547F03">
        <w:rPr>
          <w:rFonts w:ascii="Palatino Linotype" w:hAnsi="Palatino Linotype"/>
          <w:sz w:val="18"/>
          <w:szCs w:val="18"/>
        </w:rPr>
        <w:t>Pediatrics</w:t>
      </w:r>
      <w:proofErr w:type="spellEnd"/>
      <w:r w:rsidRPr="00547F03">
        <w:rPr>
          <w:rFonts w:ascii="Palatino Linotype" w:hAnsi="Palatino Linotype"/>
          <w:sz w:val="18"/>
          <w:szCs w:val="18"/>
        </w:rPr>
        <w:t xml:space="preserve"> Department of Bach Mai Hospital in 2018. 2019: Specialist Pharmacist Level I Thesis, Hanoi University of Pharmacy, Hanoi, Vietnam</w:t>
      </w:r>
    </w:p>
    <w:p w14:paraId="06EC7E24" w14:textId="77777777" w:rsidR="00547F03" w:rsidRPr="00547F03" w:rsidRDefault="00547F03" w:rsidP="00547F03">
      <w:pPr>
        <w:pStyle w:val="NoSpacing"/>
        <w:rPr>
          <w:rFonts w:ascii="Palatino Linotype" w:hAnsi="Palatino Linotype"/>
          <w:sz w:val="18"/>
          <w:szCs w:val="18"/>
        </w:rPr>
      </w:pPr>
      <w:r w:rsidRPr="00547F03">
        <w:rPr>
          <w:rFonts w:ascii="Palatino Linotype" w:hAnsi="Palatino Linotype"/>
          <w:sz w:val="18"/>
          <w:szCs w:val="18"/>
        </w:rPr>
        <w:t>[2] Ministry of Health (2015), Guidelines for the use of antibiotics, Issued with Decision No. 708/QD-BYT, Hanoi, Vietnam - Classified: 3 types P/SP/VSP</w:t>
      </w:r>
    </w:p>
    <w:p w14:paraId="39AFEED0" w14:textId="77777777" w:rsidR="00547F03" w:rsidRPr="00547F03" w:rsidRDefault="00547F03" w:rsidP="00547F03">
      <w:pPr>
        <w:pStyle w:val="NoSpacing"/>
        <w:rPr>
          <w:rFonts w:ascii="Palatino Linotype" w:hAnsi="Palatino Linotype"/>
          <w:sz w:val="18"/>
          <w:szCs w:val="18"/>
        </w:rPr>
      </w:pPr>
      <w:r w:rsidRPr="00547F03">
        <w:rPr>
          <w:rFonts w:ascii="Palatino Linotype" w:hAnsi="Palatino Linotype"/>
          <w:sz w:val="18"/>
          <w:szCs w:val="18"/>
        </w:rPr>
        <w:t>[3] Pham T, Ha et al. Analysis of antibiotic use in the treatment of community-acquired pneumonia at the National Children's Hospital. Scientific report at the 6th Hanoi Hospital Pharmaceutical Science Conference. 2018</w:t>
      </w:r>
    </w:p>
    <w:p w14:paraId="2D698332" w14:textId="77777777" w:rsidR="00547F03" w:rsidRPr="00547F03" w:rsidRDefault="00547F03" w:rsidP="00547F03">
      <w:pPr>
        <w:pStyle w:val="NoSpacing"/>
        <w:rPr>
          <w:rFonts w:ascii="Palatino Linotype" w:hAnsi="Palatino Linotype"/>
          <w:sz w:val="18"/>
          <w:szCs w:val="18"/>
        </w:rPr>
      </w:pPr>
      <w:r w:rsidRPr="00547F03">
        <w:rPr>
          <w:rFonts w:ascii="Palatino Linotype" w:hAnsi="Palatino Linotype"/>
          <w:sz w:val="18"/>
          <w:szCs w:val="18"/>
        </w:rPr>
        <w:t>[4] Ministry of Health. Guidelines for diagnosis and treatment of some common diseases in children. Issued with Decision No. 3312/QD-BYT dated August 7, 2015. 2015 - Classified CAP: 2 types P/SP</w:t>
      </w:r>
    </w:p>
    <w:p w14:paraId="43DAE2A4" w14:textId="77777777" w:rsidR="00547F03" w:rsidRPr="00547F03" w:rsidRDefault="00547F03" w:rsidP="00547F03">
      <w:pPr>
        <w:pStyle w:val="NoSpacing"/>
        <w:rPr>
          <w:rFonts w:ascii="Palatino Linotype" w:hAnsi="Palatino Linotype"/>
          <w:sz w:val="18"/>
          <w:szCs w:val="18"/>
        </w:rPr>
      </w:pPr>
      <w:r w:rsidRPr="00547F03">
        <w:rPr>
          <w:rFonts w:ascii="Palatino Linotype" w:hAnsi="Palatino Linotype"/>
          <w:sz w:val="18"/>
          <w:szCs w:val="18"/>
        </w:rPr>
        <w:t xml:space="preserve">[5] Thị Kiều Anh T, Văn Tuấn N.  Study on the status of antibiotic use in the treatment of pneumonia in patients from 2 months to 5 years old at Nghe An obstetrics and </w:t>
      </w:r>
      <w:proofErr w:type="spellStart"/>
      <w:r w:rsidRPr="00547F03">
        <w:rPr>
          <w:rFonts w:ascii="Palatino Linotype" w:hAnsi="Palatino Linotype"/>
          <w:sz w:val="18"/>
          <w:szCs w:val="18"/>
        </w:rPr>
        <w:t>pediatrics</w:t>
      </w:r>
      <w:proofErr w:type="spellEnd"/>
      <w:r w:rsidRPr="00547F03">
        <w:rPr>
          <w:rFonts w:ascii="Palatino Linotype" w:hAnsi="Palatino Linotype"/>
          <w:sz w:val="18"/>
          <w:szCs w:val="18"/>
        </w:rPr>
        <w:t xml:space="preserve"> hospital. Vietnam Medical Journal. </w:t>
      </w:r>
      <w:proofErr w:type="gramStart"/>
      <w:r w:rsidRPr="00547F03">
        <w:rPr>
          <w:rFonts w:ascii="Palatino Linotype" w:hAnsi="Palatino Linotype"/>
          <w:sz w:val="18"/>
          <w:szCs w:val="18"/>
        </w:rPr>
        <w:t>2021;505:254</w:t>
      </w:r>
      <w:proofErr w:type="gramEnd"/>
      <w:r w:rsidRPr="00547F03">
        <w:rPr>
          <w:rFonts w:ascii="Palatino Linotype" w:hAnsi="Palatino Linotype"/>
          <w:sz w:val="18"/>
          <w:szCs w:val="18"/>
        </w:rPr>
        <w:t>-7</w:t>
      </w:r>
    </w:p>
    <w:p w14:paraId="3F358060" w14:textId="77777777" w:rsidR="00547F03" w:rsidRPr="00547F03" w:rsidRDefault="00547F03" w:rsidP="00547F03">
      <w:pPr>
        <w:pStyle w:val="NoSpacing"/>
        <w:rPr>
          <w:rFonts w:ascii="Palatino Linotype" w:hAnsi="Palatino Linotype"/>
          <w:sz w:val="18"/>
          <w:szCs w:val="18"/>
        </w:rPr>
      </w:pPr>
      <w:r w:rsidRPr="00547F03">
        <w:rPr>
          <w:rFonts w:ascii="Palatino Linotype" w:hAnsi="Palatino Linotype"/>
          <w:sz w:val="18"/>
          <w:szCs w:val="18"/>
        </w:rPr>
        <w:t xml:space="preserve">[6] Tran T. Analysis of Antibiotic Usage in the Treatment of Community-Acquired Pneumonia in Children Aged 2 Months to 5 Years at the </w:t>
      </w:r>
      <w:proofErr w:type="spellStart"/>
      <w:r w:rsidRPr="00547F03">
        <w:rPr>
          <w:rFonts w:ascii="Palatino Linotype" w:hAnsi="Palatino Linotype"/>
          <w:sz w:val="18"/>
          <w:szCs w:val="18"/>
        </w:rPr>
        <w:t>Pediatric</w:t>
      </w:r>
      <w:proofErr w:type="spellEnd"/>
      <w:r w:rsidRPr="00547F03">
        <w:rPr>
          <w:rFonts w:ascii="Palatino Linotype" w:hAnsi="Palatino Linotype"/>
          <w:sz w:val="18"/>
          <w:szCs w:val="18"/>
        </w:rPr>
        <w:t xml:space="preserve"> Department of Phu Tho Provincial General Hospital in the First Half of 2019</w:t>
      </w:r>
      <w:proofErr w:type="gramStart"/>
      <w:r w:rsidRPr="00547F03">
        <w:rPr>
          <w:rFonts w:ascii="Palatino Linotype" w:hAnsi="Palatino Linotype"/>
          <w:sz w:val="18"/>
          <w:szCs w:val="18"/>
        </w:rPr>
        <w:t>. .</w:t>
      </w:r>
      <w:proofErr w:type="gramEnd"/>
      <w:r w:rsidRPr="00547F03">
        <w:rPr>
          <w:rFonts w:ascii="Palatino Linotype" w:hAnsi="Palatino Linotype"/>
          <w:sz w:val="18"/>
          <w:szCs w:val="18"/>
        </w:rPr>
        <w:t xml:space="preserve"> Specialist Pharmacist Level I Thesis, Hanoi University of Pharmacy, Hanoi, Vietnam, 2020</w:t>
      </w:r>
    </w:p>
    <w:p w14:paraId="028AB1B4" w14:textId="77777777" w:rsidR="00547F03" w:rsidRPr="00547F03" w:rsidRDefault="00547F03" w:rsidP="00547F03">
      <w:pPr>
        <w:pStyle w:val="NoSpacing"/>
        <w:rPr>
          <w:rFonts w:ascii="Palatino Linotype" w:hAnsi="Palatino Linotype"/>
          <w:sz w:val="18"/>
          <w:szCs w:val="18"/>
        </w:rPr>
      </w:pPr>
      <w:r w:rsidRPr="00547F03">
        <w:rPr>
          <w:rFonts w:ascii="Palatino Linotype" w:hAnsi="Palatino Linotype"/>
          <w:sz w:val="18"/>
          <w:szCs w:val="18"/>
        </w:rPr>
        <w:t xml:space="preserve">[7] Nguyen DBT, Nguyen MH, Nguyen HA, Phan TQ, Nguyen DH. Research on antibiotic use patterns in the treatment of community - acquired pneumonia in children from 2 months to 5 years old at the department of </w:t>
      </w:r>
      <w:proofErr w:type="spellStart"/>
      <w:r w:rsidRPr="00547F03">
        <w:rPr>
          <w:rFonts w:ascii="Palatino Linotype" w:hAnsi="Palatino Linotype"/>
          <w:sz w:val="18"/>
          <w:szCs w:val="18"/>
        </w:rPr>
        <w:t>pediatrics</w:t>
      </w:r>
      <w:proofErr w:type="spellEnd"/>
      <w:r w:rsidRPr="00547F03">
        <w:rPr>
          <w:rFonts w:ascii="Palatino Linotype" w:hAnsi="Palatino Linotype"/>
          <w:sz w:val="18"/>
          <w:szCs w:val="18"/>
        </w:rPr>
        <w:t xml:space="preserve">, </w:t>
      </w:r>
      <w:proofErr w:type="spellStart"/>
      <w:r w:rsidRPr="00547F03">
        <w:rPr>
          <w:rFonts w:ascii="Palatino Linotype" w:hAnsi="Palatino Linotype"/>
          <w:sz w:val="18"/>
          <w:szCs w:val="18"/>
        </w:rPr>
        <w:t>quang</w:t>
      </w:r>
      <w:proofErr w:type="spellEnd"/>
      <w:r w:rsidRPr="00547F03">
        <w:rPr>
          <w:rFonts w:ascii="Palatino Linotype" w:hAnsi="Palatino Linotype"/>
          <w:sz w:val="18"/>
          <w:szCs w:val="18"/>
        </w:rPr>
        <w:t xml:space="preserve"> </w:t>
      </w:r>
      <w:proofErr w:type="spellStart"/>
      <w:r w:rsidRPr="00547F03">
        <w:rPr>
          <w:rFonts w:ascii="Palatino Linotype" w:hAnsi="Palatino Linotype"/>
          <w:sz w:val="18"/>
          <w:szCs w:val="18"/>
        </w:rPr>
        <w:t>nam</w:t>
      </w:r>
      <w:proofErr w:type="spellEnd"/>
      <w:r w:rsidRPr="00547F03">
        <w:rPr>
          <w:rFonts w:ascii="Palatino Linotype" w:hAnsi="Palatino Linotype"/>
          <w:sz w:val="18"/>
          <w:szCs w:val="18"/>
        </w:rPr>
        <w:t xml:space="preserve"> central general hospital. </w:t>
      </w:r>
      <w:proofErr w:type="spellStart"/>
      <w:r w:rsidRPr="00547F03">
        <w:rPr>
          <w:rFonts w:ascii="Palatino Linotype" w:hAnsi="Palatino Linotype"/>
          <w:sz w:val="18"/>
          <w:szCs w:val="18"/>
        </w:rPr>
        <w:t>Cantho</w:t>
      </w:r>
      <w:proofErr w:type="spellEnd"/>
      <w:r w:rsidRPr="00547F03">
        <w:rPr>
          <w:rFonts w:ascii="Palatino Linotype" w:hAnsi="Palatino Linotype"/>
          <w:sz w:val="18"/>
          <w:szCs w:val="18"/>
        </w:rPr>
        <w:t xml:space="preserve"> Journal of Medicine and Pharmacy. 2024 (74):195-202.</w:t>
      </w:r>
    </w:p>
    <w:p w14:paraId="1DCFFD2A" w14:textId="77777777" w:rsidR="00547F03" w:rsidRPr="00547F03" w:rsidRDefault="00547F03" w:rsidP="00547F03">
      <w:pPr>
        <w:pStyle w:val="NoSpacing"/>
        <w:rPr>
          <w:rFonts w:ascii="Palatino Linotype" w:hAnsi="Palatino Linotype"/>
          <w:sz w:val="18"/>
          <w:szCs w:val="18"/>
        </w:rPr>
      </w:pPr>
      <w:r w:rsidRPr="00547F03">
        <w:rPr>
          <w:rFonts w:ascii="Palatino Linotype" w:hAnsi="Palatino Linotype"/>
          <w:sz w:val="18"/>
          <w:szCs w:val="18"/>
        </w:rPr>
        <w:t xml:space="preserve">[8] Thiện NT HM, Quang NN, </w:t>
      </w:r>
      <w:proofErr w:type="spellStart"/>
      <w:r w:rsidRPr="00547F03">
        <w:rPr>
          <w:rFonts w:ascii="Palatino Linotype" w:hAnsi="Palatino Linotype"/>
          <w:sz w:val="18"/>
          <w:szCs w:val="18"/>
        </w:rPr>
        <w:t>Thuận</w:t>
      </w:r>
      <w:proofErr w:type="spellEnd"/>
      <w:r w:rsidRPr="00547F03">
        <w:rPr>
          <w:rFonts w:ascii="Palatino Linotype" w:hAnsi="Palatino Linotype"/>
          <w:sz w:val="18"/>
          <w:szCs w:val="18"/>
        </w:rPr>
        <w:t xml:space="preserve"> NH. Analysing of antibiotic use in the treatment of community-acquired pneumonia in children at Can Tho children's hospital in 2024. Vietnam Medical Journal. </w:t>
      </w:r>
      <w:proofErr w:type="gramStart"/>
      <w:r w:rsidRPr="00547F03">
        <w:rPr>
          <w:rFonts w:ascii="Palatino Linotype" w:hAnsi="Palatino Linotype"/>
          <w:sz w:val="18"/>
          <w:szCs w:val="18"/>
        </w:rPr>
        <w:t>2025;3:387</w:t>
      </w:r>
      <w:proofErr w:type="gramEnd"/>
      <w:r w:rsidRPr="00547F03">
        <w:rPr>
          <w:rFonts w:ascii="Palatino Linotype" w:hAnsi="Palatino Linotype"/>
          <w:sz w:val="18"/>
          <w:szCs w:val="18"/>
        </w:rPr>
        <w:t>- 9</w:t>
      </w:r>
    </w:p>
    <w:p w14:paraId="4F3005A2" w14:textId="77777777" w:rsidR="00547F03" w:rsidRPr="00547F03" w:rsidRDefault="00547F03" w:rsidP="00547F03">
      <w:pPr>
        <w:pStyle w:val="NoSpacing"/>
        <w:rPr>
          <w:rFonts w:ascii="Palatino Linotype" w:hAnsi="Palatino Linotype"/>
          <w:sz w:val="18"/>
          <w:szCs w:val="18"/>
        </w:rPr>
      </w:pPr>
    </w:p>
    <w:p w14:paraId="3E12B8C0" w14:textId="1683EF78" w:rsidR="007713AF" w:rsidRPr="00CA736E" w:rsidRDefault="007713AF" w:rsidP="00517440">
      <w:pPr>
        <w:pStyle w:val="MDPI63notes"/>
      </w:pPr>
    </w:p>
    <w:sectPr w:rsidR="007713AF" w:rsidRPr="00CA736E" w:rsidSect="00517440">
      <w:headerReference w:type="even" r:id="rId20"/>
      <w:headerReference w:type="default" r:id="rId21"/>
      <w:headerReference w:type="first" r:id="rId22"/>
      <w:footerReference w:type="first" r:id="rId23"/>
      <w:type w:val="continuous"/>
      <w:pgSz w:w="11906" w:h="16838" w:code="9"/>
      <w:pgMar w:top="1417" w:right="720" w:bottom="907" w:left="720" w:header="720" w:footer="612"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B4D2" w14:textId="77777777" w:rsidR="00CF1F71" w:rsidRDefault="00CF1F71">
      <w:pPr>
        <w:spacing w:line="240" w:lineRule="auto"/>
      </w:pPr>
      <w:r>
        <w:separator/>
      </w:r>
    </w:p>
  </w:endnote>
  <w:endnote w:type="continuationSeparator" w:id="0">
    <w:p w14:paraId="732AB32D" w14:textId="77777777" w:rsidR="00CF1F71" w:rsidRDefault="00CF1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D7F2" w14:textId="77777777" w:rsidR="00C57F0D" w:rsidRDefault="00C57F0D" w:rsidP="0090652B">
    <w:pPr>
      <w:pBdr>
        <w:top w:val="single" w:sz="4" w:space="0" w:color="000000"/>
      </w:pBdr>
      <w:tabs>
        <w:tab w:val="right" w:pos="8844"/>
      </w:tabs>
      <w:adjustRightInd w:val="0"/>
      <w:snapToGrid w:val="0"/>
      <w:spacing w:before="480" w:line="100" w:lineRule="exact"/>
      <w:jc w:val="left"/>
      <w:rPr>
        <w:i/>
        <w:sz w:val="16"/>
        <w:szCs w:val="16"/>
      </w:rPr>
    </w:pPr>
  </w:p>
  <w:p w14:paraId="389E1636" w14:textId="77777777" w:rsidR="00C57F0D" w:rsidRPr="00372FCD" w:rsidRDefault="00C57F0D" w:rsidP="00F65BDA">
    <w:pPr>
      <w:tabs>
        <w:tab w:val="right" w:pos="10466"/>
      </w:tabs>
      <w:adjustRightInd w:val="0"/>
      <w:snapToGrid w:val="0"/>
      <w:spacing w:line="240" w:lineRule="auto"/>
      <w:rPr>
        <w:sz w:val="16"/>
        <w:szCs w:val="16"/>
        <w:lang w:val="fr-CH"/>
      </w:rPr>
    </w:pPr>
    <w:r w:rsidRPr="00C37D73">
      <w:rPr>
        <w:i/>
        <w:sz w:val="16"/>
        <w:szCs w:val="16"/>
      </w:rPr>
      <w:t>Antibiotics</w:t>
    </w:r>
    <w:r>
      <w:rPr>
        <w:i/>
        <w:sz w:val="16"/>
        <w:szCs w:val="16"/>
      </w:rPr>
      <w:t xml:space="preserve"> </w:t>
    </w:r>
    <w:r>
      <w:rPr>
        <w:b/>
        <w:bCs/>
        <w:iCs/>
        <w:sz w:val="16"/>
        <w:szCs w:val="16"/>
      </w:rPr>
      <w:t>2025</w:t>
    </w:r>
    <w:r w:rsidRPr="008A3AB2">
      <w:rPr>
        <w:bCs/>
        <w:iCs/>
        <w:sz w:val="16"/>
        <w:szCs w:val="16"/>
      </w:rPr>
      <w:t>,</w:t>
    </w:r>
    <w:r>
      <w:rPr>
        <w:bCs/>
        <w:i/>
        <w:iCs/>
        <w:sz w:val="16"/>
        <w:szCs w:val="16"/>
      </w:rPr>
      <w:t xml:space="preserve"> 14</w:t>
    </w:r>
    <w:r w:rsidRPr="008A3AB2">
      <w:rPr>
        <w:bCs/>
        <w:iCs/>
        <w:sz w:val="16"/>
        <w:szCs w:val="16"/>
      </w:rPr>
      <w:t xml:space="preserve">, </w:t>
    </w:r>
    <w:r>
      <w:rPr>
        <w:bCs/>
        <w:iCs/>
        <w:sz w:val="16"/>
        <w:szCs w:val="16"/>
      </w:rPr>
      <w:t>x</w:t>
    </w:r>
    <w:r w:rsidRPr="00372FCD">
      <w:rPr>
        <w:sz w:val="16"/>
        <w:szCs w:val="16"/>
        <w:lang w:val="fr-CH"/>
      </w:rPr>
      <w:tab/>
    </w:r>
    <w:r>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1E475" w14:textId="77777777" w:rsidR="00CF1F71" w:rsidRDefault="00CF1F71">
      <w:pPr>
        <w:spacing w:line="240" w:lineRule="auto"/>
      </w:pPr>
      <w:r>
        <w:separator/>
      </w:r>
    </w:p>
  </w:footnote>
  <w:footnote w:type="continuationSeparator" w:id="0">
    <w:p w14:paraId="57328E3D" w14:textId="77777777" w:rsidR="00CF1F71" w:rsidRDefault="00CF1F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C5E4" w14:textId="77777777" w:rsidR="00C57F0D" w:rsidRDefault="00C57F0D" w:rsidP="00464DC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0CEE" w14:textId="2FFED577" w:rsidR="00C57F0D" w:rsidRPr="00517440" w:rsidRDefault="00C57F0D" w:rsidP="00F65BDA">
    <w:pPr>
      <w:tabs>
        <w:tab w:val="right" w:pos="10466"/>
      </w:tabs>
      <w:adjustRightInd w:val="0"/>
      <w:snapToGrid w:val="0"/>
      <w:spacing w:line="240" w:lineRule="auto"/>
      <w:rPr>
        <w:sz w:val="16"/>
      </w:rPr>
    </w:pPr>
    <w:r>
      <w:rPr>
        <w:i/>
        <w:sz w:val="16"/>
      </w:rPr>
      <w:t xml:space="preserve">Antibiotics </w:t>
    </w:r>
    <w:r>
      <w:rPr>
        <w:b/>
        <w:sz w:val="16"/>
      </w:rPr>
      <w:t>2025</w:t>
    </w:r>
    <w:r w:rsidRPr="008A3AB2">
      <w:rPr>
        <w:sz w:val="16"/>
      </w:rPr>
      <w:t>,</w:t>
    </w:r>
    <w:r>
      <w:rPr>
        <w:i/>
        <w:sz w:val="16"/>
      </w:rPr>
      <w:t xml:space="preserve"> 14</w:t>
    </w:r>
    <w:r>
      <w:rPr>
        <w:sz w:val="16"/>
      </w:rPr>
      <w:t>, x FOR PEER REVIEW</w:t>
    </w:r>
    <w:r>
      <w:rPr>
        <w:sz w:val="16"/>
      </w:rPr>
      <w:ptab w:relativeTo="margin" w:alignment="right" w:leader="none"/>
    </w:r>
    <w:r>
      <w:rPr>
        <w:sz w:val="16"/>
      </w:rPr>
      <w:fldChar w:fldCharType="begin"/>
    </w:r>
    <w:r>
      <w:rPr>
        <w:sz w:val="16"/>
      </w:rPr>
      <w:instrText xml:space="preserve"> PAGE   \* MERGEFORMAT </w:instrText>
    </w:r>
    <w:r>
      <w:rPr>
        <w:sz w:val="16"/>
      </w:rPr>
      <w:fldChar w:fldCharType="separate"/>
    </w:r>
    <w:r w:rsidR="007A4620">
      <w:rPr>
        <w:sz w:val="16"/>
      </w:rPr>
      <w:t>20</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7A4620">
      <w:rPr>
        <w:sz w:val="16"/>
      </w:rPr>
      <w:t>20</w:t>
    </w:r>
    <w:r>
      <w:rPr>
        <w:sz w:val="16"/>
      </w:rPr>
      <w:fldChar w:fldCharType="end"/>
    </w:r>
  </w:p>
  <w:p w14:paraId="54910158" w14:textId="77777777" w:rsidR="00C57F0D" w:rsidRPr="009F24DC" w:rsidRDefault="00C57F0D" w:rsidP="0090652B">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C57F0D" w:rsidRPr="00F65BDA" w14:paraId="45B38108" w14:textId="77777777" w:rsidTr="001524B1">
      <w:trPr>
        <w:trHeight w:val="686"/>
      </w:trPr>
      <w:tc>
        <w:tcPr>
          <w:tcW w:w="3679" w:type="dxa"/>
          <w:shd w:val="clear" w:color="auto" w:fill="auto"/>
          <w:vAlign w:val="center"/>
        </w:tcPr>
        <w:p w14:paraId="02ECEC1E" w14:textId="77777777" w:rsidR="00C57F0D" w:rsidRPr="001E6690" w:rsidRDefault="00C57F0D" w:rsidP="00F65BDA">
          <w:pPr>
            <w:pStyle w:val="Header"/>
            <w:pBdr>
              <w:bottom w:val="none" w:sz="0" w:space="0" w:color="auto"/>
            </w:pBdr>
            <w:jc w:val="left"/>
            <w:rPr>
              <w:rFonts w:eastAsia="DengXian"/>
              <w:b/>
              <w:bCs/>
            </w:rPr>
          </w:pPr>
          <w:r>
            <w:rPr>
              <w:rFonts w:eastAsia="DengXian"/>
              <w:b/>
              <w:bCs/>
              <w:lang w:eastAsia="en-US"/>
            </w:rPr>
            <w:drawing>
              <wp:inline distT="0" distB="0" distL="0" distR="0" wp14:anchorId="7041B1E4" wp14:editId="23527629">
                <wp:extent cx="1463324" cy="432000"/>
                <wp:effectExtent l="0" t="0" r="3810" b="6350"/>
                <wp:docPr id="2005312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97486" name=""/>
                        <pic:cNvPicPr/>
                      </pic:nvPicPr>
                      <pic:blipFill>
                        <a:blip r:embed="rId1"/>
                        <a:stretch>
                          <a:fillRect/>
                        </a:stretch>
                      </pic:blipFill>
                      <pic:spPr>
                        <a:xfrm>
                          <a:off x="0" y="0"/>
                          <a:ext cx="1463324" cy="432000"/>
                        </a:xfrm>
                        <a:prstGeom prst="rect">
                          <a:avLst/>
                        </a:prstGeom>
                      </pic:spPr>
                    </pic:pic>
                  </a:graphicData>
                </a:graphic>
              </wp:inline>
            </w:drawing>
          </w:r>
        </w:p>
      </w:tc>
      <w:tc>
        <w:tcPr>
          <w:tcW w:w="4535" w:type="dxa"/>
          <w:shd w:val="clear" w:color="auto" w:fill="auto"/>
          <w:vAlign w:val="center"/>
        </w:tcPr>
        <w:p w14:paraId="562AEE86" w14:textId="77777777" w:rsidR="00C57F0D" w:rsidRPr="001E6690" w:rsidRDefault="00C57F0D" w:rsidP="00F65BDA">
          <w:pPr>
            <w:pStyle w:val="Header"/>
            <w:pBdr>
              <w:bottom w:val="none" w:sz="0" w:space="0" w:color="auto"/>
            </w:pBdr>
            <w:rPr>
              <w:rFonts w:eastAsia="DengXian"/>
              <w:b/>
              <w:bCs/>
            </w:rPr>
          </w:pPr>
        </w:p>
      </w:tc>
      <w:tc>
        <w:tcPr>
          <w:tcW w:w="2273" w:type="dxa"/>
          <w:shd w:val="clear" w:color="auto" w:fill="auto"/>
          <w:vAlign w:val="center"/>
        </w:tcPr>
        <w:p w14:paraId="480D6A4A" w14:textId="77777777" w:rsidR="00C57F0D" w:rsidRPr="001E6690" w:rsidRDefault="00C57F0D" w:rsidP="001524B1">
          <w:pPr>
            <w:pStyle w:val="Header"/>
            <w:pBdr>
              <w:bottom w:val="none" w:sz="0" w:space="0" w:color="auto"/>
            </w:pBdr>
            <w:jc w:val="right"/>
            <w:rPr>
              <w:rFonts w:eastAsia="DengXian"/>
              <w:b/>
              <w:bCs/>
            </w:rPr>
          </w:pPr>
          <w:r>
            <w:rPr>
              <w:rFonts w:eastAsia="DengXian"/>
              <w:b/>
              <w:bCs/>
              <w:lang w:eastAsia="en-US"/>
            </w:rPr>
            <w:drawing>
              <wp:inline distT="0" distB="0" distL="0" distR="0" wp14:anchorId="2D8BBFF6" wp14:editId="65501BA1">
                <wp:extent cx="540000" cy="360000"/>
                <wp:effectExtent l="0" t="0" r="0" b="2540"/>
                <wp:docPr id="617759017" name="Picture 1"/>
                <wp:cNvGraphicFramePr/>
                <a:graphic xmlns:a="http://schemas.openxmlformats.org/drawingml/2006/main">
                  <a:graphicData uri="http://schemas.openxmlformats.org/drawingml/2006/picture">
                    <pic:pic xmlns:pic="http://schemas.openxmlformats.org/drawingml/2006/picture">
                      <pic:nvPicPr>
                        <pic:cNvPr id="1313756440" name=""/>
                        <pic:cNvPicPr/>
                      </pic:nvPicPr>
                      <pic:blipFill>
                        <a:blip r:embed="rId2"/>
                        <a:stretch>
                          <a:fillRect/>
                        </a:stretch>
                      </pic:blipFill>
                      <pic:spPr>
                        <a:xfrm>
                          <a:off x="0" y="0"/>
                          <a:ext cx="540000" cy="360000"/>
                        </a:xfrm>
                        <a:prstGeom prst="rect">
                          <a:avLst/>
                        </a:prstGeom>
                      </pic:spPr>
                    </pic:pic>
                  </a:graphicData>
                </a:graphic>
              </wp:inline>
            </w:drawing>
          </w:r>
        </w:p>
      </w:tc>
    </w:tr>
  </w:tbl>
  <w:p w14:paraId="1269FC2E" w14:textId="77777777" w:rsidR="00C57F0D" w:rsidRPr="00356DBC" w:rsidRDefault="00C57F0D" w:rsidP="00517440">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2261"/>
    <w:multiLevelType w:val="hybridMultilevel"/>
    <w:tmpl w:val="4C54A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F31F1"/>
    <w:multiLevelType w:val="hybridMultilevel"/>
    <w:tmpl w:val="50E8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455CA"/>
    <w:multiLevelType w:val="hybridMultilevel"/>
    <w:tmpl w:val="BC4AD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06622"/>
    <w:multiLevelType w:val="hybridMultilevel"/>
    <w:tmpl w:val="DF3EC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341FAE"/>
    <w:multiLevelType w:val="hybridMultilevel"/>
    <w:tmpl w:val="2CF8A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5917B6"/>
    <w:multiLevelType w:val="hybridMultilevel"/>
    <w:tmpl w:val="8A9E4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544C0D"/>
    <w:multiLevelType w:val="hybridMultilevel"/>
    <w:tmpl w:val="9BEC5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75352D"/>
    <w:multiLevelType w:val="hybridMultilevel"/>
    <w:tmpl w:val="875EB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01549D"/>
    <w:multiLevelType w:val="hybridMultilevel"/>
    <w:tmpl w:val="8D86F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3A4084"/>
    <w:multiLevelType w:val="hybridMultilevel"/>
    <w:tmpl w:val="B766762A"/>
    <w:lvl w:ilvl="0" w:tplc="08090001">
      <w:start w:val="1"/>
      <w:numFmt w:val="bullet"/>
      <w:lvlText w:val=""/>
      <w:lvlJc w:val="left"/>
      <w:pPr>
        <w:ind w:left="3420" w:hanging="360"/>
      </w:pPr>
      <w:rPr>
        <w:rFonts w:ascii="Symbol" w:hAnsi="Symbol" w:hint="default"/>
      </w:rPr>
    </w:lvl>
    <w:lvl w:ilvl="1" w:tplc="08090003" w:tentative="1">
      <w:start w:val="1"/>
      <w:numFmt w:val="bullet"/>
      <w:lvlText w:val="o"/>
      <w:lvlJc w:val="left"/>
      <w:pPr>
        <w:ind w:left="4140" w:hanging="360"/>
      </w:pPr>
      <w:rPr>
        <w:rFonts w:ascii="Courier New" w:hAnsi="Courier New" w:cs="Courier New" w:hint="default"/>
      </w:rPr>
    </w:lvl>
    <w:lvl w:ilvl="2" w:tplc="08090005" w:tentative="1">
      <w:start w:val="1"/>
      <w:numFmt w:val="bullet"/>
      <w:lvlText w:val=""/>
      <w:lvlJc w:val="left"/>
      <w:pPr>
        <w:ind w:left="4860" w:hanging="360"/>
      </w:pPr>
      <w:rPr>
        <w:rFonts w:ascii="Wingdings" w:hAnsi="Wingdings" w:hint="default"/>
      </w:rPr>
    </w:lvl>
    <w:lvl w:ilvl="3" w:tplc="08090001" w:tentative="1">
      <w:start w:val="1"/>
      <w:numFmt w:val="bullet"/>
      <w:lvlText w:val=""/>
      <w:lvlJc w:val="left"/>
      <w:pPr>
        <w:ind w:left="5580" w:hanging="360"/>
      </w:pPr>
      <w:rPr>
        <w:rFonts w:ascii="Symbol" w:hAnsi="Symbol" w:hint="default"/>
      </w:rPr>
    </w:lvl>
    <w:lvl w:ilvl="4" w:tplc="08090003" w:tentative="1">
      <w:start w:val="1"/>
      <w:numFmt w:val="bullet"/>
      <w:lvlText w:val="o"/>
      <w:lvlJc w:val="left"/>
      <w:pPr>
        <w:ind w:left="6300" w:hanging="360"/>
      </w:pPr>
      <w:rPr>
        <w:rFonts w:ascii="Courier New" w:hAnsi="Courier New" w:cs="Courier New" w:hint="default"/>
      </w:rPr>
    </w:lvl>
    <w:lvl w:ilvl="5" w:tplc="08090005" w:tentative="1">
      <w:start w:val="1"/>
      <w:numFmt w:val="bullet"/>
      <w:lvlText w:val=""/>
      <w:lvlJc w:val="left"/>
      <w:pPr>
        <w:ind w:left="7020" w:hanging="360"/>
      </w:pPr>
      <w:rPr>
        <w:rFonts w:ascii="Wingdings" w:hAnsi="Wingdings" w:hint="default"/>
      </w:rPr>
    </w:lvl>
    <w:lvl w:ilvl="6" w:tplc="08090001" w:tentative="1">
      <w:start w:val="1"/>
      <w:numFmt w:val="bullet"/>
      <w:lvlText w:val=""/>
      <w:lvlJc w:val="left"/>
      <w:pPr>
        <w:ind w:left="7740" w:hanging="360"/>
      </w:pPr>
      <w:rPr>
        <w:rFonts w:ascii="Symbol" w:hAnsi="Symbol" w:hint="default"/>
      </w:rPr>
    </w:lvl>
    <w:lvl w:ilvl="7" w:tplc="08090003" w:tentative="1">
      <w:start w:val="1"/>
      <w:numFmt w:val="bullet"/>
      <w:lvlText w:val="o"/>
      <w:lvlJc w:val="left"/>
      <w:pPr>
        <w:ind w:left="8460" w:hanging="360"/>
      </w:pPr>
      <w:rPr>
        <w:rFonts w:ascii="Courier New" w:hAnsi="Courier New" w:cs="Courier New" w:hint="default"/>
      </w:rPr>
    </w:lvl>
    <w:lvl w:ilvl="8" w:tplc="08090005" w:tentative="1">
      <w:start w:val="1"/>
      <w:numFmt w:val="bullet"/>
      <w:lvlText w:val=""/>
      <w:lvlJc w:val="left"/>
      <w:pPr>
        <w:ind w:left="9180" w:hanging="360"/>
      </w:pPr>
      <w:rPr>
        <w:rFonts w:ascii="Wingdings" w:hAnsi="Wingdings" w:hint="default"/>
      </w:rPr>
    </w:lvl>
  </w:abstractNum>
  <w:abstractNum w:abstractNumId="10" w15:restartNumberingAfterBreak="0">
    <w:nsid w:val="18B468F5"/>
    <w:multiLevelType w:val="hybridMultilevel"/>
    <w:tmpl w:val="C92AF13A"/>
    <w:lvl w:ilvl="0" w:tplc="1D6892E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6195E"/>
    <w:multiLevelType w:val="hybridMultilevel"/>
    <w:tmpl w:val="D616A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3" w15:restartNumberingAfterBreak="0">
    <w:nsid w:val="231767D1"/>
    <w:multiLevelType w:val="hybridMultilevel"/>
    <w:tmpl w:val="030E6D8A"/>
    <w:lvl w:ilvl="0" w:tplc="08090001">
      <w:start w:val="1"/>
      <w:numFmt w:val="bullet"/>
      <w:lvlText w:val=""/>
      <w:lvlJc w:val="left"/>
      <w:pPr>
        <w:ind w:left="3420" w:hanging="360"/>
      </w:pPr>
      <w:rPr>
        <w:rFonts w:ascii="Symbol" w:hAnsi="Symbol" w:hint="default"/>
      </w:rPr>
    </w:lvl>
    <w:lvl w:ilvl="1" w:tplc="08090003" w:tentative="1">
      <w:start w:val="1"/>
      <w:numFmt w:val="bullet"/>
      <w:lvlText w:val="o"/>
      <w:lvlJc w:val="left"/>
      <w:pPr>
        <w:ind w:left="4140" w:hanging="360"/>
      </w:pPr>
      <w:rPr>
        <w:rFonts w:ascii="Courier New" w:hAnsi="Courier New" w:cs="Courier New" w:hint="default"/>
      </w:rPr>
    </w:lvl>
    <w:lvl w:ilvl="2" w:tplc="08090005" w:tentative="1">
      <w:start w:val="1"/>
      <w:numFmt w:val="bullet"/>
      <w:lvlText w:val=""/>
      <w:lvlJc w:val="left"/>
      <w:pPr>
        <w:ind w:left="4860" w:hanging="360"/>
      </w:pPr>
      <w:rPr>
        <w:rFonts w:ascii="Wingdings" w:hAnsi="Wingdings" w:hint="default"/>
      </w:rPr>
    </w:lvl>
    <w:lvl w:ilvl="3" w:tplc="08090001" w:tentative="1">
      <w:start w:val="1"/>
      <w:numFmt w:val="bullet"/>
      <w:lvlText w:val=""/>
      <w:lvlJc w:val="left"/>
      <w:pPr>
        <w:ind w:left="5580" w:hanging="360"/>
      </w:pPr>
      <w:rPr>
        <w:rFonts w:ascii="Symbol" w:hAnsi="Symbol" w:hint="default"/>
      </w:rPr>
    </w:lvl>
    <w:lvl w:ilvl="4" w:tplc="08090003" w:tentative="1">
      <w:start w:val="1"/>
      <w:numFmt w:val="bullet"/>
      <w:lvlText w:val="o"/>
      <w:lvlJc w:val="left"/>
      <w:pPr>
        <w:ind w:left="6300" w:hanging="360"/>
      </w:pPr>
      <w:rPr>
        <w:rFonts w:ascii="Courier New" w:hAnsi="Courier New" w:cs="Courier New" w:hint="default"/>
      </w:rPr>
    </w:lvl>
    <w:lvl w:ilvl="5" w:tplc="08090005" w:tentative="1">
      <w:start w:val="1"/>
      <w:numFmt w:val="bullet"/>
      <w:lvlText w:val=""/>
      <w:lvlJc w:val="left"/>
      <w:pPr>
        <w:ind w:left="7020" w:hanging="360"/>
      </w:pPr>
      <w:rPr>
        <w:rFonts w:ascii="Wingdings" w:hAnsi="Wingdings" w:hint="default"/>
      </w:rPr>
    </w:lvl>
    <w:lvl w:ilvl="6" w:tplc="08090001" w:tentative="1">
      <w:start w:val="1"/>
      <w:numFmt w:val="bullet"/>
      <w:lvlText w:val=""/>
      <w:lvlJc w:val="left"/>
      <w:pPr>
        <w:ind w:left="7740" w:hanging="360"/>
      </w:pPr>
      <w:rPr>
        <w:rFonts w:ascii="Symbol" w:hAnsi="Symbol" w:hint="default"/>
      </w:rPr>
    </w:lvl>
    <w:lvl w:ilvl="7" w:tplc="08090003" w:tentative="1">
      <w:start w:val="1"/>
      <w:numFmt w:val="bullet"/>
      <w:lvlText w:val="o"/>
      <w:lvlJc w:val="left"/>
      <w:pPr>
        <w:ind w:left="8460" w:hanging="360"/>
      </w:pPr>
      <w:rPr>
        <w:rFonts w:ascii="Courier New" w:hAnsi="Courier New" w:cs="Courier New" w:hint="default"/>
      </w:rPr>
    </w:lvl>
    <w:lvl w:ilvl="8" w:tplc="08090005" w:tentative="1">
      <w:start w:val="1"/>
      <w:numFmt w:val="bullet"/>
      <w:lvlText w:val=""/>
      <w:lvlJc w:val="left"/>
      <w:pPr>
        <w:ind w:left="9180" w:hanging="360"/>
      </w:pPr>
      <w:rPr>
        <w:rFonts w:ascii="Wingdings" w:hAnsi="Wingdings" w:hint="default"/>
      </w:rPr>
    </w:lvl>
  </w:abstractNum>
  <w:abstractNum w:abstractNumId="1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035FE"/>
    <w:multiLevelType w:val="hybridMultilevel"/>
    <w:tmpl w:val="32BE0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9" w15:restartNumberingAfterBreak="0">
    <w:nsid w:val="37A4534A"/>
    <w:multiLevelType w:val="hybridMultilevel"/>
    <w:tmpl w:val="293E9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532358"/>
    <w:multiLevelType w:val="hybridMultilevel"/>
    <w:tmpl w:val="F6EEB9FA"/>
    <w:lvl w:ilvl="0" w:tplc="14EA940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A6E8D"/>
    <w:multiLevelType w:val="hybridMultilevel"/>
    <w:tmpl w:val="AF20D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AB7440"/>
    <w:multiLevelType w:val="hybridMultilevel"/>
    <w:tmpl w:val="9E14E096"/>
    <w:lvl w:ilvl="0" w:tplc="E77E4FE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3" w15:restartNumberingAfterBreak="0">
    <w:nsid w:val="4DCC613D"/>
    <w:multiLevelType w:val="hybridMultilevel"/>
    <w:tmpl w:val="449EB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6" w15:restartNumberingAfterBreak="0">
    <w:nsid w:val="58C8403F"/>
    <w:multiLevelType w:val="hybridMultilevel"/>
    <w:tmpl w:val="3DDA47D6"/>
    <w:lvl w:ilvl="0" w:tplc="748452B4">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97EC6"/>
    <w:multiLevelType w:val="hybridMultilevel"/>
    <w:tmpl w:val="91526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F02C22"/>
    <w:multiLevelType w:val="hybridMultilevel"/>
    <w:tmpl w:val="80CA5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B52FFD"/>
    <w:multiLevelType w:val="hybridMultilevel"/>
    <w:tmpl w:val="FB5C7AC0"/>
    <w:lvl w:ilvl="0" w:tplc="027E1E62">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3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71865"/>
    <w:multiLevelType w:val="hybridMultilevel"/>
    <w:tmpl w:val="104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4935053">
    <w:abstractNumId w:val="15"/>
  </w:num>
  <w:num w:numId="2" w16cid:durableId="1772118044">
    <w:abstractNumId w:val="18"/>
  </w:num>
  <w:num w:numId="3" w16cid:durableId="1890606689">
    <w:abstractNumId w:val="14"/>
  </w:num>
  <w:num w:numId="4" w16cid:durableId="870797769">
    <w:abstractNumId w:val="16"/>
  </w:num>
  <w:num w:numId="5" w16cid:durableId="1694112831">
    <w:abstractNumId w:val="25"/>
  </w:num>
  <w:num w:numId="6" w16cid:durableId="659577293">
    <w:abstractNumId w:val="12"/>
  </w:num>
  <w:num w:numId="7" w16cid:durableId="1351101880">
    <w:abstractNumId w:val="25"/>
  </w:num>
  <w:num w:numId="8" w16cid:durableId="2069306308">
    <w:abstractNumId w:val="12"/>
  </w:num>
  <w:num w:numId="9" w16cid:durableId="421340953">
    <w:abstractNumId w:val="25"/>
  </w:num>
  <w:num w:numId="10" w16cid:durableId="476918406">
    <w:abstractNumId w:val="12"/>
  </w:num>
  <w:num w:numId="11" w16cid:durableId="1077484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217877">
    <w:abstractNumId w:val="30"/>
  </w:num>
  <w:num w:numId="13" w16cid:durableId="681319530">
    <w:abstractNumId w:val="25"/>
  </w:num>
  <w:num w:numId="14" w16cid:durableId="2122411825">
    <w:abstractNumId w:val="12"/>
  </w:num>
  <w:num w:numId="15" w16cid:durableId="136186267">
    <w:abstractNumId w:val="10"/>
  </w:num>
  <w:num w:numId="16" w16cid:durableId="709305081">
    <w:abstractNumId w:val="24"/>
  </w:num>
  <w:num w:numId="17" w16cid:durableId="1757483304">
    <w:abstractNumId w:val="10"/>
  </w:num>
  <w:num w:numId="18" w16cid:durableId="2071346032">
    <w:abstractNumId w:val="25"/>
  </w:num>
  <w:num w:numId="19" w16cid:durableId="1083600488">
    <w:abstractNumId w:val="12"/>
  </w:num>
  <w:num w:numId="20" w16cid:durableId="1553081710">
    <w:abstractNumId w:val="10"/>
  </w:num>
  <w:num w:numId="21" w16cid:durableId="41442168">
    <w:abstractNumId w:val="20"/>
  </w:num>
  <w:num w:numId="22" w16cid:durableId="145126535">
    <w:abstractNumId w:val="22"/>
  </w:num>
  <w:num w:numId="23" w16cid:durableId="1252543879">
    <w:abstractNumId w:val="26"/>
  </w:num>
  <w:num w:numId="24" w16cid:durableId="608197479">
    <w:abstractNumId w:val="9"/>
  </w:num>
  <w:num w:numId="25" w16cid:durableId="1322923556">
    <w:abstractNumId w:val="13"/>
  </w:num>
  <w:num w:numId="26" w16cid:durableId="945041991">
    <w:abstractNumId w:val="29"/>
  </w:num>
  <w:num w:numId="27" w16cid:durableId="367337238">
    <w:abstractNumId w:val="21"/>
  </w:num>
  <w:num w:numId="28" w16cid:durableId="1976593765">
    <w:abstractNumId w:val="1"/>
  </w:num>
  <w:num w:numId="29" w16cid:durableId="1048530665">
    <w:abstractNumId w:val="8"/>
  </w:num>
  <w:num w:numId="30" w16cid:durableId="1603948205">
    <w:abstractNumId w:val="31"/>
  </w:num>
  <w:num w:numId="31" w16cid:durableId="1492941899">
    <w:abstractNumId w:val="6"/>
  </w:num>
  <w:num w:numId="32" w16cid:durableId="1161970909">
    <w:abstractNumId w:val="3"/>
  </w:num>
  <w:num w:numId="33" w16cid:durableId="1478837482">
    <w:abstractNumId w:val="5"/>
  </w:num>
  <w:num w:numId="34" w16cid:durableId="255213636">
    <w:abstractNumId w:val="19"/>
  </w:num>
  <w:num w:numId="35" w16cid:durableId="1390611426">
    <w:abstractNumId w:val="4"/>
  </w:num>
  <w:num w:numId="36" w16cid:durableId="527333264">
    <w:abstractNumId w:val="11"/>
  </w:num>
  <w:num w:numId="37" w16cid:durableId="218323094">
    <w:abstractNumId w:val="17"/>
  </w:num>
  <w:num w:numId="38" w16cid:durableId="1972975986">
    <w:abstractNumId w:val="7"/>
  </w:num>
  <w:num w:numId="39" w16cid:durableId="1192109097">
    <w:abstractNumId w:val="28"/>
  </w:num>
  <w:num w:numId="40" w16cid:durableId="821314053">
    <w:abstractNumId w:val="0"/>
  </w:num>
  <w:num w:numId="41" w16cid:durableId="1801336731">
    <w:abstractNumId w:val="2"/>
  </w:num>
  <w:num w:numId="42" w16cid:durableId="357392141">
    <w:abstractNumId w:val="23"/>
  </w:num>
  <w:num w:numId="43" w16cid:durableId="18127434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xs200zl92xd3ewrrqpesva5s2tvadas9ws&quot;&gt;My EndNote Library&lt;record-ids&gt;&lt;item&gt;6878&lt;/item&gt;&lt;/record-ids&gt;&lt;/item&gt;&lt;/Libraries&gt;"/>
  </w:docVars>
  <w:rsids>
    <w:rsidRoot w:val="001A7C42"/>
    <w:rsid w:val="00014445"/>
    <w:rsid w:val="00015B14"/>
    <w:rsid w:val="00016223"/>
    <w:rsid w:val="0001638E"/>
    <w:rsid w:val="000224C0"/>
    <w:rsid w:val="00023454"/>
    <w:rsid w:val="00027156"/>
    <w:rsid w:val="00027F3A"/>
    <w:rsid w:val="00030737"/>
    <w:rsid w:val="000316F3"/>
    <w:rsid w:val="00034F14"/>
    <w:rsid w:val="0003517D"/>
    <w:rsid w:val="00036FCB"/>
    <w:rsid w:val="00037FB9"/>
    <w:rsid w:val="00040ACB"/>
    <w:rsid w:val="000427B3"/>
    <w:rsid w:val="00042FB9"/>
    <w:rsid w:val="00044C4E"/>
    <w:rsid w:val="00045B43"/>
    <w:rsid w:val="00050766"/>
    <w:rsid w:val="00050E9F"/>
    <w:rsid w:val="000510DC"/>
    <w:rsid w:val="000523DB"/>
    <w:rsid w:val="000544AA"/>
    <w:rsid w:val="00054863"/>
    <w:rsid w:val="000551CF"/>
    <w:rsid w:val="00061865"/>
    <w:rsid w:val="0006748E"/>
    <w:rsid w:val="000804E5"/>
    <w:rsid w:val="00082F2C"/>
    <w:rsid w:val="00083FFF"/>
    <w:rsid w:val="00091E17"/>
    <w:rsid w:val="00093479"/>
    <w:rsid w:val="00095DE8"/>
    <w:rsid w:val="000B0B09"/>
    <w:rsid w:val="000B15A6"/>
    <w:rsid w:val="000B2122"/>
    <w:rsid w:val="000B6C48"/>
    <w:rsid w:val="000C1572"/>
    <w:rsid w:val="000C24E0"/>
    <w:rsid w:val="000C55CF"/>
    <w:rsid w:val="000C7A20"/>
    <w:rsid w:val="000D04B1"/>
    <w:rsid w:val="000D1C19"/>
    <w:rsid w:val="000D3EFD"/>
    <w:rsid w:val="000D4C88"/>
    <w:rsid w:val="000D7E58"/>
    <w:rsid w:val="000E03D8"/>
    <w:rsid w:val="000E5489"/>
    <w:rsid w:val="000E5987"/>
    <w:rsid w:val="000E6653"/>
    <w:rsid w:val="000E6CC8"/>
    <w:rsid w:val="000F086A"/>
    <w:rsid w:val="000F59C9"/>
    <w:rsid w:val="000F65CA"/>
    <w:rsid w:val="000F6793"/>
    <w:rsid w:val="001009FF"/>
    <w:rsid w:val="00101C20"/>
    <w:rsid w:val="001027E4"/>
    <w:rsid w:val="001134A3"/>
    <w:rsid w:val="00125C09"/>
    <w:rsid w:val="00126845"/>
    <w:rsid w:val="00131FF5"/>
    <w:rsid w:val="00135F5E"/>
    <w:rsid w:val="00137E26"/>
    <w:rsid w:val="00141D05"/>
    <w:rsid w:val="0014320C"/>
    <w:rsid w:val="00143FFF"/>
    <w:rsid w:val="00146EBF"/>
    <w:rsid w:val="00150B58"/>
    <w:rsid w:val="001524B1"/>
    <w:rsid w:val="001551DB"/>
    <w:rsid w:val="00162C27"/>
    <w:rsid w:val="00162D82"/>
    <w:rsid w:val="00162EBD"/>
    <w:rsid w:val="0016398D"/>
    <w:rsid w:val="00166B96"/>
    <w:rsid w:val="00170F31"/>
    <w:rsid w:val="001715AF"/>
    <w:rsid w:val="00175C3B"/>
    <w:rsid w:val="00182030"/>
    <w:rsid w:val="00183133"/>
    <w:rsid w:val="00184B7E"/>
    <w:rsid w:val="001851F0"/>
    <w:rsid w:val="00186DF1"/>
    <w:rsid w:val="00190E37"/>
    <w:rsid w:val="00192888"/>
    <w:rsid w:val="00194547"/>
    <w:rsid w:val="00195298"/>
    <w:rsid w:val="00196260"/>
    <w:rsid w:val="001A2BD3"/>
    <w:rsid w:val="001A3A00"/>
    <w:rsid w:val="001A7C42"/>
    <w:rsid w:val="001B4AC3"/>
    <w:rsid w:val="001B7092"/>
    <w:rsid w:val="001B77E9"/>
    <w:rsid w:val="001B7D7D"/>
    <w:rsid w:val="001C0740"/>
    <w:rsid w:val="001C4DFF"/>
    <w:rsid w:val="001C5C1A"/>
    <w:rsid w:val="001C64EA"/>
    <w:rsid w:val="001C686D"/>
    <w:rsid w:val="001D3BF9"/>
    <w:rsid w:val="001E2AEB"/>
    <w:rsid w:val="001E46EC"/>
    <w:rsid w:val="001E6690"/>
    <w:rsid w:val="001E6ADF"/>
    <w:rsid w:val="001F038B"/>
    <w:rsid w:val="001F2D4E"/>
    <w:rsid w:val="001F3FAB"/>
    <w:rsid w:val="001F4DA9"/>
    <w:rsid w:val="001F4E7F"/>
    <w:rsid w:val="001F62D3"/>
    <w:rsid w:val="00202F28"/>
    <w:rsid w:val="00203C67"/>
    <w:rsid w:val="00206712"/>
    <w:rsid w:val="002121AD"/>
    <w:rsid w:val="00212E8E"/>
    <w:rsid w:val="002134FE"/>
    <w:rsid w:val="00213702"/>
    <w:rsid w:val="00213A4D"/>
    <w:rsid w:val="00223606"/>
    <w:rsid w:val="00224C5E"/>
    <w:rsid w:val="00226A3E"/>
    <w:rsid w:val="00235473"/>
    <w:rsid w:val="00240AB1"/>
    <w:rsid w:val="00240F7A"/>
    <w:rsid w:val="002445D7"/>
    <w:rsid w:val="00244C09"/>
    <w:rsid w:val="00245DCE"/>
    <w:rsid w:val="00246EA0"/>
    <w:rsid w:val="0025009E"/>
    <w:rsid w:val="00251C70"/>
    <w:rsid w:val="00253582"/>
    <w:rsid w:val="002541B5"/>
    <w:rsid w:val="00261043"/>
    <w:rsid w:val="00263F21"/>
    <w:rsid w:val="0026517B"/>
    <w:rsid w:val="002679C5"/>
    <w:rsid w:val="00267ADA"/>
    <w:rsid w:val="00290151"/>
    <w:rsid w:val="002947F7"/>
    <w:rsid w:val="00296E54"/>
    <w:rsid w:val="002A3CE7"/>
    <w:rsid w:val="002A71B9"/>
    <w:rsid w:val="002B0524"/>
    <w:rsid w:val="002B0588"/>
    <w:rsid w:val="002B6575"/>
    <w:rsid w:val="002C3620"/>
    <w:rsid w:val="002C6B5B"/>
    <w:rsid w:val="002C7BDF"/>
    <w:rsid w:val="002D1BF5"/>
    <w:rsid w:val="002D2663"/>
    <w:rsid w:val="002D3091"/>
    <w:rsid w:val="002E38B4"/>
    <w:rsid w:val="002E4B3A"/>
    <w:rsid w:val="002E60BC"/>
    <w:rsid w:val="002F060B"/>
    <w:rsid w:val="002F6511"/>
    <w:rsid w:val="003037B3"/>
    <w:rsid w:val="003069F6"/>
    <w:rsid w:val="0031265E"/>
    <w:rsid w:val="00312B1C"/>
    <w:rsid w:val="00315476"/>
    <w:rsid w:val="003256B0"/>
    <w:rsid w:val="00326141"/>
    <w:rsid w:val="003301F1"/>
    <w:rsid w:val="00330740"/>
    <w:rsid w:val="003310D1"/>
    <w:rsid w:val="00333EA0"/>
    <w:rsid w:val="003344FD"/>
    <w:rsid w:val="00340312"/>
    <w:rsid w:val="00342295"/>
    <w:rsid w:val="00342DB5"/>
    <w:rsid w:val="00350D30"/>
    <w:rsid w:val="00352C40"/>
    <w:rsid w:val="00353AE7"/>
    <w:rsid w:val="00356DBC"/>
    <w:rsid w:val="0036075D"/>
    <w:rsid w:val="00366B67"/>
    <w:rsid w:val="0036770D"/>
    <w:rsid w:val="0037204C"/>
    <w:rsid w:val="00372FF5"/>
    <w:rsid w:val="003732A4"/>
    <w:rsid w:val="0037621D"/>
    <w:rsid w:val="003778E4"/>
    <w:rsid w:val="003902EB"/>
    <w:rsid w:val="003A0E06"/>
    <w:rsid w:val="003A221B"/>
    <w:rsid w:val="003A232E"/>
    <w:rsid w:val="003A5237"/>
    <w:rsid w:val="003A70B6"/>
    <w:rsid w:val="003B2CD7"/>
    <w:rsid w:val="003B7CAC"/>
    <w:rsid w:val="003C1244"/>
    <w:rsid w:val="003C2D5A"/>
    <w:rsid w:val="003C33E3"/>
    <w:rsid w:val="003C4625"/>
    <w:rsid w:val="003C71DD"/>
    <w:rsid w:val="003D090F"/>
    <w:rsid w:val="003D68CC"/>
    <w:rsid w:val="003E16FC"/>
    <w:rsid w:val="003E46E4"/>
    <w:rsid w:val="003E6129"/>
    <w:rsid w:val="003F02D2"/>
    <w:rsid w:val="003F0513"/>
    <w:rsid w:val="003F21AC"/>
    <w:rsid w:val="003F7EE1"/>
    <w:rsid w:val="004015DC"/>
    <w:rsid w:val="00401D30"/>
    <w:rsid w:val="00407437"/>
    <w:rsid w:val="00407711"/>
    <w:rsid w:val="00413082"/>
    <w:rsid w:val="00415791"/>
    <w:rsid w:val="00421DB9"/>
    <w:rsid w:val="004259CB"/>
    <w:rsid w:val="004305E0"/>
    <w:rsid w:val="00434115"/>
    <w:rsid w:val="0043449B"/>
    <w:rsid w:val="004362E7"/>
    <w:rsid w:val="00443CCD"/>
    <w:rsid w:val="00443F5C"/>
    <w:rsid w:val="004443CB"/>
    <w:rsid w:val="00445DA1"/>
    <w:rsid w:val="00451964"/>
    <w:rsid w:val="0045269A"/>
    <w:rsid w:val="004537FE"/>
    <w:rsid w:val="00464DCD"/>
    <w:rsid w:val="004668D3"/>
    <w:rsid w:val="00467004"/>
    <w:rsid w:val="00473671"/>
    <w:rsid w:val="00473A1A"/>
    <w:rsid w:val="0048033F"/>
    <w:rsid w:val="004815C0"/>
    <w:rsid w:val="004857E8"/>
    <w:rsid w:val="004916C0"/>
    <w:rsid w:val="00494147"/>
    <w:rsid w:val="00495684"/>
    <w:rsid w:val="00497594"/>
    <w:rsid w:val="004A3030"/>
    <w:rsid w:val="004A5E58"/>
    <w:rsid w:val="004A6550"/>
    <w:rsid w:val="004A69B4"/>
    <w:rsid w:val="004A6A6F"/>
    <w:rsid w:val="004A7B30"/>
    <w:rsid w:val="004B2059"/>
    <w:rsid w:val="004B6C25"/>
    <w:rsid w:val="004C4AF8"/>
    <w:rsid w:val="004C4E63"/>
    <w:rsid w:val="004D0E10"/>
    <w:rsid w:val="004E2764"/>
    <w:rsid w:val="004E375C"/>
    <w:rsid w:val="004F1683"/>
    <w:rsid w:val="004F6659"/>
    <w:rsid w:val="00501E9B"/>
    <w:rsid w:val="00502F40"/>
    <w:rsid w:val="00505488"/>
    <w:rsid w:val="005119F5"/>
    <w:rsid w:val="00513EFB"/>
    <w:rsid w:val="005152EB"/>
    <w:rsid w:val="00517440"/>
    <w:rsid w:val="00520B78"/>
    <w:rsid w:val="005246FA"/>
    <w:rsid w:val="005306A9"/>
    <w:rsid w:val="00533CBF"/>
    <w:rsid w:val="00536493"/>
    <w:rsid w:val="00544D8D"/>
    <w:rsid w:val="005451CC"/>
    <w:rsid w:val="00545B6D"/>
    <w:rsid w:val="0054619F"/>
    <w:rsid w:val="00546E47"/>
    <w:rsid w:val="00547F03"/>
    <w:rsid w:val="00552C0D"/>
    <w:rsid w:val="00556272"/>
    <w:rsid w:val="00557FE8"/>
    <w:rsid w:val="0056045E"/>
    <w:rsid w:val="0056103B"/>
    <w:rsid w:val="0056140F"/>
    <w:rsid w:val="00562C32"/>
    <w:rsid w:val="00564777"/>
    <w:rsid w:val="00565635"/>
    <w:rsid w:val="00570279"/>
    <w:rsid w:val="005713C1"/>
    <w:rsid w:val="005748E5"/>
    <w:rsid w:val="00575266"/>
    <w:rsid w:val="00584CB9"/>
    <w:rsid w:val="005863EE"/>
    <w:rsid w:val="00586C0C"/>
    <w:rsid w:val="005909E8"/>
    <w:rsid w:val="00592AFC"/>
    <w:rsid w:val="005943E2"/>
    <w:rsid w:val="005B0A3E"/>
    <w:rsid w:val="005B5432"/>
    <w:rsid w:val="005B6527"/>
    <w:rsid w:val="005C2A8D"/>
    <w:rsid w:val="005C4875"/>
    <w:rsid w:val="005D0B65"/>
    <w:rsid w:val="005D67FA"/>
    <w:rsid w:val="005E0486"/>
    <w:rsid w:val="005E318F"/>
    <w:rsid w:val="005E6783"/>
    <w:rsid w:val="005E7C00"/>
    <w:rsid w:val="005F1B7A"/>
    <w:rsid w:val="005F2679"/>
    <w:rsid w:val="005F2863"/>
    <w:rsid w:val="005F5BE9"/>
    <w:rsid w:val="005F64CC"/>
    <w:rsid w:val="005F6874"/>
    <w:rsid w:val="005F78ED"/>
    <w:rsid w:val="0060034B"/>
    <w:rsid w:val="006003A3"/>
    <w:rsid w:val="0062196F"/>
    <w:rsid w:val="00622745"/>
    <w:rsid w:val="00622D08"/>
    <w:rsid w:val="00623ECB"/>
    <w:rsid w:val="00630A8A"/>
    <w:rsid w:val="00632B1F"/>
    <w:rsid w:val="00632F9E"/>
    <w:rsid w:val="00633227"/>
    <w:rsid w:val="00635DCE"/>
    <w:rsid w:val="006363F3"/>
    <w:rsid w:val="006376AA"/>
    <w:rsid w:val="00637718"/>
    <w:rsid w:val="006438F5"/>
    <w:rsid w:val="00646D93"/>
    <w:rsid w:val="00651059"/>
    <w:rsid w:val="00653326"/>
    <w:rsid w:val="00653E1D"/>
    <w:rsid w:val="00654932"/>
    <w:rsid w:val="00655F5B"/>
    <w:rsid w:val="00656952"/>
    <w:rsid w:val="006614EE"/>
    <w:rsid w:val="00661D77"/>
    <w:rsid w:val="00662616"/>
    <w:rsid w:val="00665D93"/>
    <w:rsid w:val="006726AE"/>
    <w:rsid w:val="00672E91"/>
    <w:rsid w:val="00681243"/>
    <w:rsid w:val="00681CFA"/>
    <w:rsid w:val="006833C1"/>
    <w:rsid w:val="00683A86"/>
    <w:rsid w:val="006856EF"/>
    <w:rsid w:val="0069039E"/>
    <w:rsid w:val="00691FFC"/>
    <w:rsid w:val="00692393"/>
    <w:rsid w:val="00694222"/>
    <w:rsid w:val="00695513"/>
    <w:rsid w:val="006A2477"/>
    <w:rsid w:val="006A6A92"/>
    <w:rsid w:val="006B6BB7"/>
    <w:rsid w:val="006B74DB"/>
    <w:rsid w:val="006C1DB0"/>
    <w:rsid w:val="006C67A0"/>
    <w:rsid w:val="006D4379"/>
    <w:rsid w:val="006D4EE2"/>
    <w:rsid w:val="006E215A"/>
    <w:rsid w:val="006E5C03"/>
    <w:rsid w:val="006E64AA"/>
    <w:rsid w:val="006E7C40"/>
    <w:rsid w:val="006F076B"/>
    <w:rsid w:val="006F27CB"/>
    <w:rsid w:val="007045B0"/>
    <w:rsid w:val="00705D88"/>
    <w:rsid w:val="00707D63"/>
    <w:rsid w:val="007109F5"/>
    <w:rsid w:val="00710A9F"/>
    <w:rsid w:val="00721BB1"/>
    <w:rsid w:val="00724758"/>
    <w:rsid w:val="00727965"/>
    <w:rsid w:val="0073208A"/>
    <w:rsid w:val="0073340A"/>
    <w:rsid w:val="00736450"/>
    <w:rsid w:val="00740199"/>
    <w:rsid w:val="007426F2"/>
    <w:rsid w:val="00743CA8"/>
    <w:rsid w:val="0074524B"/>
    <w:rsid w:val="00745384"/>
    <w:rsid w:val="00746843"/>
    <w:rsid w:val="00747B61"/>
    <w:rsid w:val="00750AF3"/>
    <w:rsid w:val="0075131D"/>
    <w:rsid w:val="00754559"/>
    <w:rsid w:val="007607A8"/>
    <w:rsid w:val="00764BEB"/>
    <w:rsid w:val="007713AF"/>
    <w:rsid w:val="0077600A"/>
    <w:rsid w:val="00780989"/>
    <w:rsid w:val="0078107A"/>
    <w:rsid w:val="00782DFC"/>
    <w:rsid w:val="00786753"/>
    <w:rsid w:val="00794364"/>
    <w:rsid w:val="00796D64"/>
    <w:rsid w:val="007977BF"/>
    <w:rsid w:val="007A1E78"/>
    <w:rsid w:val="007A4286"/>
    <w:rsid w:val="007A4620"/>
    <w:rsid w:val="007A7927"/>
    <w:rsid w:val="007B07CE"/>
    <w:rsid w:val="007B15BC"/>
    <w:rsid w:val="007B244B"/>
    <w:rsid w:val="007B2A65"/>
    <w:rsid w:val="007B528E"/>
    <w:rsid w:val="007B6CD8"/>
    <w:rsid w:val="007B7D8E"/>
    <w:rsid w:val="007C2208"/>
    <w:rsid w:val="007C2930"/>
    <w:rsid w:val="007C3198"/>
    <w:rsid w:val="007C7415"/>
    <w:rsid w:val="007D2F53"/>
    <w:rsid w:val="007D40D5"/>
    <w:rsid w:val="007D47A5"/>
    <w:rsid w:val="007D5387"/>
    <w:rsid w:val="007D72DD"/>
    <w:rsid w:val="007E187B"/>
    <w:rsid w:val="007E52D6"/>
    <w:rsid w:val="007F1448"/>
    <w:rsid w:val="007F3D95"/>
    <w:rsid w:val="007F69C3"/>
    <w:rsid w:val="007F6CEB"/>
    <w:rsid w:val="0080619A"/>
    <w:rsid w:val="008067B9"/>
    <w:rsid w:val="008068F3"/>
    <w:rsid w:val="00811D14"/>
    <w:rsid w:val="00815147"/>
    <w:rsid w:val="008167CF"/>
    <w:rsid w:val="00816C64"/>
    <w:rsid w:val="0082039E"/>
    <w:rsid w:val="00824A59"/>
    <w:rsid w:val="0082533A"/>
    <w:rsid w:val="00830C72"/>
    <w:rsid w:val="00834D5F"/>
    <w:rsid w:val="00836140"/>
    <w:rsid w:val="0084266F"/>
    <w:rsid w:val="00847ECD"/>
    <w:rsid w:val="00850E8C"/>
    <w:rsid w:val="00851BEB"/>
    <w:rsid w:val="00852316"/>
    <w:rsid w:val="0085667E"/>
    <w:rsid w:val="008601B0"/>
    <w:rsid w:val="00862098"/>
    <w:rsid w:val="00862403"/>
    <w:rsid w:val="00863076"/>
    <w:rsid w:val="00867B28"/>
    <w:rsid w:val="00870732"/>
    <w:rsid w:val="00876A8E"/>
    <w:rsid w:val="008777FC"/>
    <w:rsid w:val="0088501A"/>
    <w:rsid w:val="00887B3D"/>
    <w:rsid w:val="00894BBB"/>
    <w:rsid w:val="008A3AB2"/>
    <w:rsid w:val="008B1A30"/>
    <w:rsid w:val="008B1E97"/>
    <w:rsid w:val="008B47FA"/>
    <w:rsid w:val="008B4EC1"/>
    <w:rsid w:val="008B7EE1"/>
    <w:rsid w:val="008C1106"/>
    <w:rsid w:val="008D120C"/>
    <w:rsid w:val="008D52B8"/>
    <w:rsid w:val="008D5EF7"/>
    <w:rsid w:val="008D7D9E"/>
    <w:rsid w:val="008E0F57"/>
    <w:rsid w:val="008E3522"/>
    <w:rsid w:val="008E573B"/>
    <w:rsid w:val="008F1120"/>
    <w:rsid w:val="008F1263"/>
    <w:rsid w:val="008F5EB6"/>
    <w:rsid w:val="008F7DBB"/>
    <w:rsid w:val="00901EB7"/>
    <w:rsid w:val="0090652B"/>
    <w:rsid w:val="00906DEF"/>
    <w:rsid w:val="009079D5"/>
    <w:rsid w:val="00913AD3"/>
    <w:rsid w:val="009170EE"/>
    <w:rsid w:val="00924BC6"/>
    <w:rsid w:val="009319D9"/>
    <w:rsid w:val="00932F80"/>
    <w:rsid w:val="009338FC"/>
    <w:rsid w:val="009349AF"/>
    <w:rsid w:val="00941C49"/>
    <w:rsid w:val="00945FE8"/>
    <w:rsid w:val="00946ECB"/>
    <w:rsid w:val="00951A63"/>
    <w:rsid w:val="00955C79"/>
    <w:rsid w:val="00955D8F"/>
    <w:rsid w:val="009608B5"/>
    <w:rsid w:val="009641EE"/>
    <w:rsid w:val="009648DF"/>
    <w:rsid w:val="00964D20"/>
    <w:rsid w:val="00971DDE"/>
    <w:rsid w:val="00982948"/>
    <w:rsid w:val="00990F12"/>
    <w:rsid w:val="009912F8"/>
    <w:rsid w:val="00991C7D"/>
    <w:rsid w:val="00993C9C"/>
    <w:rsid w:val="009A10BC"/>
    <w:rsid w:val="009A192D"/>
    <w:rsid w:val="009A686A"/>
    <w:rsid w:val="009B0F3A"/>
    <w:rsid w:val="009B13D9"/>
    <w:rsid w:val="009B35D7"/>
    <w:rsid w:val="009C20DB"/>
    <w:rsid w:val="009C30AF"/>
    <w:rsid w:val="009C3E96"/>
    <w:rsid w:val="009D4350"/>
    <w:rsid w:val="009D63EF"/>
    <w:rsid w:val="009E1E6C"/>
    <w:rsid w:val="009F455D"/>
    <w:rsid w:val="009F70E6"/>
    <w:rsid w:val="00A07073"/>
    <w:rsid w:val="00A10818"/>
    <w:rsid w:val="00A11897"/>
    <w:rsid w:val="00A13A33"/>
    <w:rsid w:val="00A15409"/>
    <w:rsid w:val="00A2177C"/>
    <w:rsid w:val="00A23FDF"/>
    <w:rsid w:val="00A27924"/>
    <w:rsid w:val="00A27F6B"/>
    <w:rsid w:val="00A32074"/>
    <w:rsid w:val="00A32980"/>
    <w:rsid w:val="00A3630A"/>
    <w:rsid w:val="00A3710E"/>
    <w:rsid w:val="00A4108B"/>
    <w:rsid w:val="00A43987"/>
    <w:rsid w:val="00A43A9C"/>
    <w:rsid w:val="00A44880"/>
    <w:rsid w:val="00A4622F"/>
    <w:rsid w:val="00A47EC6"/>
    <w:rsid w:val="00A50991"/>
    <w:rsid w:val="00A54F31"/>
    <w:rsid w:val="00A55A81"/>
    <w:rsid w:val="00A55BB6"/>
    <w:rsid w:val="00A65A11"/>
    <w:rsid w:val="00A66E5B"/>
    <w:rsid w:val="00A71B89"/>
    <w:rsid w:val="00A7616F"/>
    <w:rsid w:val="00A77439"/>
    <w:rsid w:val="00A77E31"/>
    <w:rsid w:val="00A819C7"/>
    <w:rsid w:val="00A82859"/>
    <w:rsid w:val="00A828FF"/>
    <w:rsid w:val="00A86CD0"/>
    <w:rsid w:val="00A87CDB"/>
    <w:rsid w:val="00AA505C"/>
    <w:rsid w:val="00AB01C9"/>
    <w:rsid w:val="00AB2F8E"/>
    <w:rsid w:val="00AB33BC"/>
    <w:rsid w:val="00AB471F"/>
    <w:rsid w:val="00AB4D58"/>
    <w:rsid w:val="00AB5ECB"/>
    <w:rsid w:val="00AB6463"/>
    <w:rsid w:val="00AC110F"/>
    <w:rsid w:val="00AC315D"/>
    <w:rsid w:val="00AC4210"/>
    <w:rsid w:val="00AC7AC5"/>
    <w:rsid w:val="00AD1361"/>
    <w:rsid w:val="00AD2380"/>
    <w:rsid w:val="00AD450A"/>
    <w:rsid w:val="00AD6F68"/>
    <w:rsid w:val="00AE1BBE"/>
    <w:rsid w:val="00AE52CF"/>
    <w:rsid w:val="00AE757A"/>
    <w:rsid w:val="00AF0F86"/>
    <w:rsid w:val="00AF13DE"/>
    <w:rsid w:val="00AF3EAA"/>
    <w:rsid w:val="00AF4A53"/>
    <w:rsid w:val="00AF4B69"/>
    <w:rsid w:val="00AF6A39"/>
    <w:rsid w:val="00AF72C6"/>
    <w:rsid w:val="00B02299"/>
    <w:rsid w:val="00B04D9D"/>
    <w:rsid w:val="00B050DB"/>
    <w:rsid w:val="00B05D82"/>
    <w:rsid w:val="00B106CF"/>
    <w:rsid w:val="00B10F2C"/>
    <w:rsid w:val="00B112A9"/>
    <w:rsid w:val="00B210E0"/>
    <w:rsid w:val="00B214DB"/>
    <w:rsid w:val="00B222CD"/>
    <w:rsid w:val="00B25057"/>
    <w:rsid w:val="00B32C60"/>
    <w:rsid w:val="00B33E17"/>
    <w:rsid w:val="00B3676C"/>
    <w:rsid w:val="00B40676"/>
    <w:rsid w:val="00B45832"/>
    <w:rsid w:val="00B51144"/>
    <w:rsid w:val="00B51E7A"/>
    <w:rsid w:val="00B6002B"/>
    <w:rsid w:val="00B61165"/>
    <w:rsid w:val="00B6301D"/>
    <w:rsid w:val="00B64E10"/>
    <w:rsid w:val="00B7124D"/>
    <w:rsid w:val="00B722D3"/>
    <w:rsid w:val="00B73310"/>
    <w:rsid w:val="00B73479"/>
    <w:rsid w:val="00B74EEC"/>
    <w:rsid w:val="00B7528A"/>
    <w:rsid w:val="00B777AB"/>
    <w:rsid w:val="00B8042E"/>
    <w:rsid w:val="00B86197"/>
    <w:rsid w:val="00B931DD"/>
    <w:rsid w:val="00B93DA7"/>
    <w:rsid w:val="00B9619D"/>
    <w:rsid w:val="00BA0434"/>
    <w:rsid w:val="00BA1E10"/>
    <w:rsid w:val="00BA2BC0"/>
    <w:rsid w:val="00BA36EA"/>
    <w:rsid w:val="00BA502D"/>
    <w:rsid w:val="00BB106B"/>
    <w:rsid w:val="00BB1E53"/>
    <w:rsid w:val="00BB2589"/>
    <w:rsid w:val="00BB454B"/>
    <w:rsid w:val="00BB6B54"/>
    <w:rsid w:val="00BB79E1"/>
    <w:rsid w:val="00BC00D5"/>
    <w:rsid w:val="00BD0A17"/>
    <w:rsid w:val="00BD51F5"/>
    <w:rsid w:val="00BD5783"/>
    <w:rsid w:val="00BD71FA"/>
    <w:rsid w:val="00BE0B62"/>
    <w:rsid w:val="00BE2625"/>
    <w:rsid w:val="00BE4D3A"/>
    <w:rsid w:val="00BE60BD"/>
    <w:rsid w:val="00BE654D"/>
    <w:rsid w:val="00BE6F5B"/>
    <w:rsid w:val="00BF7244"/>
    <w:rsid w:val="00C05CFF"/>
    <w:rsid w:val="00C06941"/>
    <w:rsid w:val="00C10194"/>
    <w:rsid w:val="00C16643"/>
    <w:rsid w:val="00C2274A"/>
    <w:rsid w:val="00C2549A"/>
    <w:rsid w:val="00C25918"/>
    <w:rsid w:val="00C27097"/>
    <w:rsid w:val="00C345F1"/>
    <w:rsid w:val="00C35F14"/>
    <w:rsid w:val="00C42A71"/>
    <w:rsid w:val="00C44C93"/>
    <w:rsid w:val="00C47491"/>
    <w:rsid w:val="00C5034E"/>
    <w:rsid w:val="00C51057"/>
    <w:rsid w:val="00C51C19"/>
    <w:rsid w:val="00C523FA"/>
    <w:rsid w:val="00C52BE2"/>
    <w:rsid w:val="00C53BA5"/>
    <w:rsid w:val="00C55456"/>
    <w:rsid w:val="00C57F0D"/>
    <w:rsid w:val="00C611A1"/>
    <w:rsid w:val="00C61DA5"/>
    <w:rsid w:val="00C633C9"/>
    <w:rsid w:val="00C735CD"/>
    <w:rsid w:val="00C7381B"/>
    <w:rsid w:val="00C73893"/>
    <w:rsid w:val="00C773C3"/>
    <w:rsid w:val="00C77F02"/>
    <w:rsid w:val="00C861CA"/>
    <w:rsid w:val="00C87E84"/>
    <w:rsid w:val="00C90DA1"/>
    <w:rsid w:val="00C9410A"/>
    <w:rsid w:val="00C94FBF"/>
    <w:rsid w:val="00C96881"/>
    <w:rsid w:val="00CA1A56"/>
    <w:rsid w:val="00CA1CC8"/>
    <w:rsid w:val="00CA224B"/>
    <w:rsid w:val="00CA736E"/>
    <w:rsid w:val="00CB24E1"/>
    <w:rsid w:val="00CC42A7"/>
    <w:rsid w:val="00CC4D40"/>
    <w:rsid w:val="00CC7FDF"/>
    <w:rsid w:val="00CD1390"/>
    <w:rsid w:val="00CD3C51"/>
    <w:rsid w:val="00CD64D8"/>
    <w:rsid w:val="00CD779D"/>
    <w:rsid w:val="00CE09F8"/>
    <w:rsid w:val="00CE2914"/>
    <w:rsid w:val="00CE3A5B"/>
    <w:rsid w:val="00CE5C40"/>
    <w:rsid w:val="00CE6518"/>
    <w:rsid w:val="00CE6755"/>
    <w:rsid w:val="00CF14E4"/>
    <w:rsid w:val="00CF1F71"/>
    <w:rsid w:val="00CF35C1"/>
    <w:rsid w:val="00CF483D"/>
    <w:rsid w:val="00CF6C0B"/>
    <w:rsid w:val="00D00655"/>
    <w:rsid w:val="00D00CEB"/>
    <w:rsid w:val="00D01D36"/>
    <w:rsid w:val="00D02DDE"/>
    <w:rsid w:val="00D079D4"/>
    <w:rsid w:val="00D109C1"/>
    <w:rsid w:val="00D176B8"/>
    <w:rsid w:val="00D217E9"/>
    <w:rsid w:val="00D3204A"/>
    <w:rsid w:val="00D3227E"/>
    <w:rsid w:val="00D46384"/>
    <w:rsid w:val="00D47626"/>
    <w:rsid w:val="00D5392A"/>
    <w:rsid w:val="00D557EC"/>
    <w:rsid w:val="00D57A9A"/>
    <w:rsid w:val="00D62985"/>
    <w:rsid w:val="00D639AC"/>
    <w:rsid w:val="00D66135"/>
    <w:rsid w:val="00D764F8"/>
    <w:rsid w:val="00D811D2"/>
    <w:rsid w:val="00D92771"/>
    <w:rsid w:val="00D93229"/>
    <w:rsid w:val="00D95A2F"/>
    <w:rsid w:val="00DA2FE8"/>
    <w:rsid w:val="00DA504F"/>
    <w:rsid w:val="00DB0AC5"/>
    <w:rsid w:val="00DB358C"/>
    <w:rsid w:val="00DB56CC"/>
    <w:rsid w:val="00DB6FA8"/>
    <w:rsid w:val="00DC272F"/>
    <w:rsid w:val="00DC34D9"/>
    <w:rsid w:val="00DC6B79"/>
    <w:rsid w:val="00DC7895"/>
    <w:rsid w:val="00DD0932"/>
    <w:rsid w:val="00DD0E2D"/>
    <w:rsid w:val="00DD185B"/>
    <w:rsid w:val="00DD1A36"/>
    <w:rsid w:val="00DD2301"/>
    <w:rsid w:val="00DD522A"/>
    <w:rsid w:val="00DE0FF6"/>
    <w:rsid w:val="00DE202D"/>
    <w:rsid w:val="00DE6198"/>
    <w:rsid w:val="00DE7D7D"/>
    <w:rsid w:val="00DF28A0"/>
    <w:rsid w:val="00E01EFB"/>
    <w:rsid w:val="00E07087"/>
    <w:rsid w:val="00E079D3"/>
    <w:rsid w:val="00E1180F"/>
    <w:rsid w:val="00E11A8C"/>
    <w:rsid w:val="00E11C49"/>
    <w:rsid w:val="00E12E5A"/>
    <w:rsid w:val="00E17D87"/>
    <w:rsid w:val="00E220D2"/>
    <w:rsid w:val="00E231C0"/>
    <w:rsid w:val="00E23C33"/>
    <w:rsid w:val="00E2561E"/>
    <w:rsid w:val="00E31432"/>
    <w:rsid w:val="00E35EA0"/>
    <w:rsid w:val="00E40396"/>
    <w:rsid w:val="00E4481B"/>
    <w:rsid w:val="00E45BCF"/>
    <w:rsid w:val="00E5039B"/>
    <w:rsid w:val="00E55BCB"/>
    <w:rsid w:val="00E610E8"/>
    <w:rsid w:val="00E61CA7"/>
    <w:rsid w:val="00E63E2D"/>
    <w:rsid w:val="00E6559E"/>
    <w:rsid w:val="00E738FF"/>
    <w:rsid w:val="00E818E9"/>
    <w:rsid w:val="00E8297F"/>
    <w:rsid w:val="00E851CF"/>
    <w:rsid w:val="00E90C90"/>
    <w:rsid w:val="00E932EC"/>
    <w:rsid w:val="00E96F73"/>
    <w:rsid w:val="00EA0144"/>
    <w:rsid w:val="00EA50E1"/>
    <w:rsid w:val="00EA5C5A"/>
    <w:rsid w:val="00EA6AC3"/>
    <w:rsid w:val="00EB1BC6"/>
    <w:rsid w:val="00EB3C70"/>
    <w:rsid w:val="00EB5BC1"/>
    <w:rsid w:val="00EB756D"/>
    <w:rsid w:val="00EC23A3"/>
    <w:rsid w:val="00EC5FEA"/>
    <w:rsid w:val="00EC75A8"/>
    <w:rsid w:val="00ED248E"/>
    <w:rsid w:val="00ED3273"/>
    <w:rsid w:val="00ED795B"/>
    <w:rsid w:val="00ED7BD4"/>
    <w:rsid w:val="00EE257A"/>
    <w:rsid w:val="00EE32DA"/>
    <w:rsid w:val="00EE41B3"/>
    <w:rsid w:val="00EE4FEE"/>
    <w:rsid w:val="00EF19A1"/>
    <w:rsid w:val="00EF2013"/>
    <w:rsid w:val="00EF41CF"/>
    <w:rsid w:val="00EF51A2"/>
    <w:rsid w:val="00F02EA1"/>
    <w:rsid w:val="00F039E8"/>
    <w:rsid w:val="00F04625"/>
    <w:rsid w:val="00F058A2"/>
    <w:rsid w:val="00F06C90"/>
    <w:rsid w:val="00F11CB8"/>
    <w:rsid w:val="00F13EE5"/>
    <w:rsid w:val="00F1718E"/>
    <w:rsid w:val="00F171E0"/>
    <w:rsid w:val="00F214C6"/>
    <w:rsid w:val="00F224F9"/>
    <w:rsid w:val="00F22A38"/>
    <w:rsid w:val="00F23B21"/>
    <w:rsid w:val="00F249C2"/>
    <w:rsid w:val="00F25DFF"/>
    <w:rsid w:val="00F34600"/>
    <w:rsid w:val="00F40D23"/>
    <w:rsid w:val="00F4198C"/>
    <w:rsid w:val="00F41D9C"/>
    <w:rsid w:val="00F47738"/>
    <w:rsid w:val="00F55094"/>
    <w:rsid w:val="00F551A6"/>
    <w:rsid w:val="00F55567"/>
    <w:rsid w:val="00F57792"/>
    <w:rsid w:val="00F6330A"/>
    <w:rsid w:val="00F65BDA"/>
    <w:rsid w:val="00F666DB"/>
    <w:rsid w:val="00F673F4"/>
    <w:rsid w:val="00F736EA"/>
    <w:rsid w:val="00F740FA"/>
    <w:rsid w:val="00F75B23"/>
    <w:rsid w:val="00F75D54"/>
    <w:rsid w:val="00F80885"/>
    <w:rsid w:val="00F856C8"/>
    <w:rsid w:val="00F85D5B"/>
    <w:rsid w:val="00F93681"/>
    <w:rsid w:val="00F95B7C"/>
    <w:rsid w:val="00F96724"/>
    <w:rsid w:val="00F96D6C"/>
    <w:rsid w:val="00FA0FD0"/>
    <w:rsid w:val="00FA2E9B"/>
    <w:rsid w:val="00FA3F45"/>
    <w:rsid w:val="00FA507E"/>
    <w:rsid w:val="00FA633F"/>
    <w:rsid w:val="00FA710C"/>
    <w:rsid w:val="00FB1E5D"/>
    <w:rsid w:val="00FB1E65"/>
    <w:rsid w:val="00FC5834"/>
    <w:rsid w:val="00FC74B2"/>
    <w:rsid w:val="00FD0797"/>
    <w:rsid w:val="00FD1248"/>
    <w:rsid w:val="00FD25E4"/>
    <w:rsid w:val="00FD60F8"/>
    <w:rsid w:val="00FE13CE"/>
    <w:rsid w:val="00FE2187"/>
    <w:rsid w:val="00FE27C5"/>
    <w:rsid w:val="00FE6A72"/>
    <w:rsid w:val="00FE7FE7"/>
    <w:rsid w:val="00FF0187"/>
    <w:rsid w:val="00FF24D9"/>
    <w:rsid w:val="00FF25EE"/>
    <w:rsid w:val="00FF2840"/>
    <w:rsid w:val="00FF4872"/>
    <w:rsid w:val="00FF4920"/>
    <w:rsid w:val="00FF5C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71D69"/>
  <w15:chartTrackingRefBased/>
  <w15:docId w15:val="{44013E27-37AE-481A-8D5D-A886AF86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3AF"/>
    <w:pPr>
      <w:spacing w:line="280" w:lineRule="atLeast"/>
      <w:jc w:val="both"/>
    </w:pPr>
    <w:rPr>
      <w:rFonts w:ascii="Palatino Linotype" w:hAnsi="Palatino Linotype"/>
      <w:noProof/>
      <w:color w:val="000000"/>
    </w:rPr>
  </w:style>
  <w:style w:type="paragraph" w:styleId="Heading1">
    <w:name w:val="heading 1"/>
    <w:basedOn w:val="Normal"/>
    <w:next w:val="Normal"/>
    <w:link w:val="Heading1Char"/>
    <w:uiPriority w:val="9"/>
    <w:qFormat/>
    <w:rsid w:val="003778E4"/>
    <w:pPr>
      <w:keepNext/>
      <w:keepLines/>
      <w:spacing w:before="240" w:line="259" w:lineRule="auto"/>
      <w:jc w:val="left"/>
      <w:outlineLvl w:val="0"/>
    </w:pPr>
    <w:rPr>
      <w:rFonts w:asciiTheme="majorHAnsi" w:eastAsiaTheme="majorEastAsia" w:hAnsiTheme="majorHAnsi" w:cstheme="majorBidi"/>
      <w:noProof w:val="0"/>
      <w:color w:val="2F5496"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7713A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7713A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7713A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7713A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713A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7713AF"/>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7713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7713AF"/>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F23B21"/>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7713A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713A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7713AF"/>
    <w:rPr>
      <w:rFonts w:ascii="Palatino Linotype" w:hAnsi="Palatino Linotype"/>
      <w:noProof/>
      <w:color w:val="000000"/>
      <w:szCs w:val="18"/>
    </w:rPr>
  </w:style>
  <w:style w:type="paragraph" w:customStyle="1" w:styleId="MDPI32textnoindent">
    <w:name w:val="MDPI_3.2_text_no_indent"/>
    <w:basedOn w:val="MDPI31text"/>
    <w:qFormat/>
    <w:rsid w:val="007713AF"/>
    <w:pPr>
      <w:ind w:firstLine="0"/>
    </w:pPr>
  </w:style>
  <w:style w:type="paragraph" w:customStyle="1" w:styleId="MDPI31text">
    <w:name w:val="MDPI_3.1_text"/>
    <w:link w:val="MDPI31textChar"/>
    <w:qFormat/>
    <w:rsid w:val="00D00CEB"/>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7713AF"/>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7713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7713A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7713AF"/>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0E5987"/>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0E5987"/>
    <w:pPr>
      <w:numPr>
        <w:numId w:val="20"/>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7713AF"/>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7713AF"/>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7713AF"/>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B7D8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7713AF"/>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7713AF"/>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7713A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2theorem">
    <w:name w:val="MDPI_8.2_theorem"/>
    <w:qFormat/>
    <w:rsid w:val="007713AF"/>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7713AF"/>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7713AF"/>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7713AF"/>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7713AF"/>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3C1244"/>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7713AF"/>
    <w:rPr>
      <w:rFonts w:cs="Tahoma"/>
      <w:szCs w:val="18"/>
    </w:rPr>
  </w:style>
  <w:style w:type="character" w:customStyle="1" w:styleId="BalloonTextChar">
    <w:name w:val="Balloon Text Char"/>
    <w:link w:val="BalloonText"/>
    <w:uiPriority w:val="99"/>
    <w:rsid w:val="007713AF"/>
    <w:rPr>
      <w:rFonts w:ascii="Palatino Linotype" w:hAnsi="Palatino Linotype" w:cs="Tahoma"/>
      <w:noProof/>
      <w:color w:val="000000"/>
      <w:szCs w:val="18"/>
    </w:rPr>
  </w:style>
  <w:style w:type="character" w:styleId="LineNumber">
    <w:name w:val="line number"/>
    <w:uiPriority w:val="99"/>
    <w:rsid w:val="007F69C3"/>
    <w:rPr>
      <w:rFonts w:ascii="Palatino Linotype" w:hAnsi="Palatino Linotype"/>
      <w:sz w:val="16"/>
    </w:rPr>
  </w:style>
  <w:style w:type="table" w:customStyle="1" w:styleId="MDPI41threelinetable">
    <w:name w:val="MDPI_4.1_three_line_table"/>
    <w:basedOn w:val="TableNormal"/>
    <w:uiPriority w:val="99"/>
    <w:rsid w:val="007713AF"/>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7713AF"/>
    <w:rPr>
      <w:color w:val="0000FF"/>
      <w:u w:val="single"/>
    </w:rPr>
  </w:style>
  <w:style w:type="character" w:customStyle="1" w:styleId="UnresolvedMention1">
    <w:name w:val="Unresolved Mention1"/>
    <w:uiPriority w:val="99"/>
    <w:semiHidden/>
    <w:unhideWhenUsed/>
    <w:rsid w:val="002C3620"/>
    <w:rPr>
      <w:color w:val="605E5C"/>
      <w:shd w:val="clear" w:color="auto" w:fill="E1DFDD"/>
    </w:rPr>
  </w:style>
  <w:style w:type="paragraph" w:styleId="Footer">
    <w:name w:val="footer"/>
    <w:basedOn w:val="Normal"/>
    <w:link w:val="FooterChar"/>
    <w:uiPriority w:val="99"/>
    <w:rsid w:val="007713A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7713AF"/>
    <w:rPr>
      <w:rFonts w:ascii="Palatino Linotype" w:hAnsi="Palatino Linotype"/>
      <w:noProof/>
      <w:color w:val="000000"/>
      <w:szCs w:val="18"/>
    </w:rPr>
  </w:style>
  <w:style w:type="table" w:styleId="PlainTable4">
    <w:name w:val="Plain Table 4"/>
    <w:basedOn w:val="TableNormal"/>
    <w:uiPriority w:val="44"/>
    <w:rsid w:val="008A3A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7713AF"/>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7713AF"/>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7713AF"/>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584CB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7713AF"/>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7713AF"/>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DB0AC5"/>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7713AF"/>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7713AF"/>
  </w:style>
  <w:style w:type="paragraph" w:styleId="Bibliography">
    <w:name w:val="Bibliography"/>
    <w:basedOn w:val="Normal"/>
    <w:next w:val="Normal"/>
    <w:uiPriority w:val="37"/>
    <w:semiHidden/>
    <w:unhideWhenUsed/>
    <w:rsid w:val="007713AF"/>
  </w:style>
  <w:style w:type="paragraph" w:styleId="BodyText">
    <w:name w:val="Body Text"/>
    <w:link w:val="BodyTextChar"/>
    <w:rsid w:val="007713A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7713AF"/>
    <w:rPr>
      <w:rFonts w:ascii="Palatino Linotype" w:hAnsi="Palatino Linotype"/>
      <w:color w:val="000000"/>
      <w:sz w:val="24"/>
      <w:lang w:eastAsia="de-DE"/>
    </w:rPr>
  </w:style>
  <w:style w:type="character" w:styleId="CommentReference">
    <w:name w:val="annotation reference"/>
    <w:rsid w:val="007713AF"/>
    <w:rPr>
      <w:sz w:val="21"/>
      <w:szCs w:val="21"/>
    </w:rPr>
  </w:style>
  <w:style w:type="paragraph" w:styleId="CommentText">
    <w:name w:val="annotation text"/>
    <w:basedOn w:val="Normal"/>
    <w:link w:val="CommentTextChar"/>
    <w:rsid w:val="007713AF"/>
  </w:style>
  <w:style w:type="character" w:customStyle="1" w:styleId="CommentTextChar">
    <w:name w:val="Comment Text Char"/>
    <w:link w:val="CommentText"/>
    <w:rsid w:val="007713AF"/>
    <w:rPr>
      <w:rFonts w:ascii="Palatino Linotype" w:hAnsi="Palatino Linotype"/>
      <w:noProof/>
      <w:color w:val="000000"/>
    </w:rPr>
  </w:style>
  <w:style w:type="paragraph" w:styleId="CommentSubject">
    <w:name w:val="annotation subject"/>
    <w:basedOn w:val="CommentText"/>
    <w:next w:val="CommentText"/>
    <w:link w:val="CommentSubjectChar"/>
    <w:rsid w:val="007713AF"/>
    <w:rPr>
      <w:b/>
      <w:bCs/>
    </w:rPr>
  </w:style>
  <w:style w:type="character" w:customStyle="1" w:styleId="CommentSubjectChar">
    <w:name w:val="Comment Subject Char"/>
    <w:link w:val="CommentSubject"/>
    <w:rsid w:val="007713AF"/>
    <w:rPr>
      <w:rFonts w:ascii="Palatino Linotype" w:hAnsi="Palatino Linotype"/>
      <w:b/>
      <w:bCs/>
      <w:noProof/>
      <w:color w:val="000000"/>
    </w:rPr>
  </w:style>
  <w:style w:type="character" w:styleId="EndnoteReference">
    <w:name w:val="endnote reference"/>
    <w:rsid w:val="007713AF"/>
    <w:rPr>
      <w:vertAlign w:val="superscript"/>
    </w:rPr>
  </w:style>
  <w:style w:type="paragraph" w:styleId="EndnoteText">
    <w:name w:val="endnote text"/>
    <w:basedOn w:val="Normal"/>
    <w:link w:val="EndnoteTextChar"/>
    <w:semiHidden/>
    <w:unhideWhenUsed/>
    <w:rsid w:val="007713AF"/>
    <w:pPr>
      <w:spacing w:line="240" w:lineRule="auto"/>
    </w:pPr>
  </w:style>
  <w:style w:type="character" w:customStyle="1" w:styleId="EndnoteTextChar">
    <w:name w:val="Endnote Text Char"/>
    <w:link w:val="EndnoteText"/>
    <w:semiHidden/>
    <w:rsid w:val="007713AF"/>
    <w:rPr>
      <w:rFonts w:ascii="Palatino Linotype" w:hAnsi="Palatino Linotype"/>
      <w:noProof/>
      <w:color w:val="000000"/>
    </w:rPr>
  </w:style>
  <w:style w:type="character" w:styleId="FollowedHyperlink">
    <w:name w:val="FollowedHyperlink"/>
    <w:rsid w:val="007713AF"/>
    <w:rPr>
      <w:color w:val="954F72"/>
      <w:u w:val="single"/>
    </w:rPr>
  </w:style>
  <w:style w:type="paragraph" w:styleId="FootnoteText">
    <w:name w:val="footnote text"/>
    <w:basedOn w:val="Normal"/>
    <w:link w:val="FootnoteTextChar"/>
    <w:semiHidden/>
    <w:unhideWhenUsed/>
    <w:rsid w:val="007713AF"/>
    <w:pPr>
      <w:spacing w:line="240" w:lineRule="auto"/>
    </w:pPr>
  </w:style>
  <w:style w:type="character" w:customStyle="1" w:styleId="FootnoteTextChar">
    <w:name w:val="Footnote Text Char"/>
    <w:link w:val="FootnoteText"/>
    <w:semiHidden/>
    <w:rsid w:val="007713AF"/>
    <w:rPr>
      <w:rFonts w:ascii="Palatino Linotype" w:hAnsi="Palatino Linotype"/>
      <w:noProof/>
      <w:color w:val="000000"/>
    </w:rPr>
  </w:style>
  <w:style w:type="paragraph" w:styleId="NormalWeb">
    <w:name w:val="Normal (Web)"/>
    <w:basedOn w:val="Normal"/>
    <w:uiPriority w:val="99"/>
    <w:rsid w:val="007713AF"/>
    <w:rPr>
      <w:szCs w:val="24"/>
    </w:rPr>
  </w:style>
  <w:style w:type="paragraph" w:customStyle="1" w:styleId="MsoFootnoteText0">
    <w:name w:val="MsoFootnoteText"/>
    <w:basedOn w:val="NormalWeb"/>
    <w:qFormat/>
    <w:rsid w:val="007713AF"/>
    <w:rPr>
      <w:rFonts w:ascii="Times New Roman" w:hAnsi="Times New Roman"/>
    </w:rPr>
  </w:style>
  <w:style w:type="character" w:styleId="PageNumber">
    <w:name w:val="page number"/>
    <w:rsid w:val="007713AF"/>
  </w:style>
  <w:style w:type="character" w:styleId="PlaceholderText">
    <w:name w:val="Placeholder Text"/>
    <w:uiPriority w:val="99"/>
    <w:semiHidden/>
    <w:rsid w:val="007713AF"/>
    <w:rPr>
      <w:color w:val="808080"/>
    </w:rPr>
  </w:style>
  <w:style w:type="paragraph" w:customStyle="1" w:styleId="MDPI71footnotes">
    <w:name w:val="MDPI_7.1_footnotes"/>
    <w:qFormat/>
    <w:rsid w:val="0025009E"/>
    <w:pPr>
      <w:numPr>
        <w:numId w:val="21"/>
      </w:numPr>
      <w:adjustRightInd w:val="0"/>
      <w:snapToGrid w:val="0"/>
      <w:spacing w:line="280" w:lineRule="atLeast"/>
    </w:pPr>
    <w:rPr>
      <w:rFonts w:ascii="Palatino Linotype" w:eastAsiaTheme="minorEastAsia" w:hAnsi="Palatino Linotype"/>
      <w:noProof/>
      <w:color w:val="000000"/>
      <w:sz w:val="18"/>
    </w:rPr>
  </w:style>
  <w:style w:type="paragraph" w:styleId="NoSpacing">
    <w:name w:val="No Spacing"/>
    <w:link w:val="NoSpacingChar"/>
    <w:uiPriority w:val="1"/>
    <w:qFormat/>
    <w:rsid w:val="003A5237"/>
    <w:rPr>
      <w:rFonts w:asciiTheme="minorHAnsi" w:eastAsiaTheme="minorHAnsi" w:hAnsiTheme="minorHAnsi" w:cstheme="minorBidi"/>
      <w:kern w:val="2"/>
      <w:sz w:val="22"/>
      <w:szCs w:val="22"/>
      <w:lang w:val="en-GB" w:eastAsia="en-US"/>
      <w14:ligatures w14:val="standardContextual"/>
    </w:rPr>
  </w:style>
  <w:style w:type="paragraph" w:customStyle="1" w:styleId="EndNoteBibliographyTitle">
    <w:name w:val="EndNote Bibliography Title"/>
    <w:basedOn w:val="Normal"/>
    <w:link w:val="EndNoteBibliographyTitleChar"/>
    <w:rsid w:val="002B0588"/>
    <w:pPr>
      <w:jc w:val="center"/>
    </w:pPr>
    <w:rPr>
      <w:sz w:val="18"/>
    </w:rPr>
  </w:style>
  <w:style w:type="character" w:customStyle="1" w:styleId="MDPI31textChar">
    <w:name w:val="MDPI_3.1_text Char"/>
    <w:basedOn w:val="DefaultParagraphFont"/>
    <w:link w:val="MDPI31text"/>
    <w:rsid w:val="002B0588"/>
    <w:rPr>
      <w:rFonts w:ascii="Palatino Linotype" w:eastAsia="Times New Roman" w:hAnsi="Palatino Linotype"/>
      <w:snapToGrid w:val="0"/>
      <w:color w:val="000000"/>
      <w:szCs w:val="22"/>
      <w:lang w:eastAsia="de-DE" w:bidi="en-US"/>
    </w:rPr>
  </w:style>
  <w:style w:type="character" w:customStyle="1" w:styleId="EndNoteBibliographyTitleChar">
    <w:name w:val="EndNote Bibliography Title Char"/>
    <w:basedOn w:val="MDPI31textChar"/>
    <w:link w:val="EndNoteBibliographyTitle"/>
    <w:rsid w:val="002B0588"/>
    <w:rPr>
      <w:rFonts w:ascii="Palatino Linotype" w:eastAsia="Times New Roman" w:hAnsi="Palatino Linotype"/>
      <w:noProof/>
      <w:snapToGrid/>
      <w:color w:val="000000"/>
      <w:sz w:val="18"/>
      <w:szCs w:val="22"/>
      <w:lang w:eastAsia="de-DE" w:bidi="en-US"/>
    </w:rPr>
  </w:style>
  <w:style w:type="paragraph" w:customStyle="1" w:styleId="EndNoteBibliography">
    <w:name w:val="EndNote Bibliography"/>
    <w:basedOn w:val="Normal"/>
    <w:link w:val="EndNoteBibliographyChar"/>
    <w:rsid w:val="002B0588"/>
    <w:pPr>
      <w:spacing w:line="240" w:lineRule="atLeast"/>
    </w:pPr>
    <w:rPr>
      <w:sz w:val="18"/>
    </w:rPr>
  </w:style>
  <w:style w:type="character" w:customStyle="1" w:styleId="EndNoteBibliographyChar">
    <w:name w:val="EndNote Bibliography Char"/>
    <w:basedOn w:val="MDPI31textChar"/>
    <w:link w:val="EndNoteBibliography"/>
    <w:rsid w:val="002B0588"/>
    <w:rPr>
      <w:rFonts w:ascii="Palatino Linotype" w:eastAsia="Times New Roman" w:hAnsi="Palatino Linotype"/>
      <w:noProof/>
      <w:snapToGrid/>
      <w:color w:val="000000"/>
      <w:sz w:val="18"/>
      <w:szCs w:val="22"/>
      <w:lang w:eastAsia="de-DE" w:bidi="en-US"/>
    </w:rPr>
  </w:style>
  <w:style w:type="character" w:customStyle="1" w:styleId="Heading1Char">
    <w:name w:val="Heading 1 Char"/>
    <w:basedOn w:val="DefaultParagraphFont"/>
    <w:link w:val="Heading1"/>
    <w:uiPriority w:val="9"/>
    <w:rsid w:val="003778E4"/>
    <w:rPr>
      <w:rFonts w:asciiTheme="majorHAnsi" w:eastAsiaTheme="majorEastAsia" w:hAnsiTheme="majorHAnsi" w:cstheme="majorBidi"/>
      <w:color w:val="2F5496" w:themeColor="accent1" w:themeShade="BF"/>
      <w:kern w:val="2"/>
      <w:sz w:val="32"/>
      <w:szCs w:val="32"/>
      <w:lang w:eastAsia="en-US"/>
      <w14:ligatures w14:val="standardContextual"/>
    </w:rPr>
  </w:style>
  <w:style w:type="table" w:styleId="PlainTable5">
    <w:name w:val="Plain Table 5"/>
    <w:basedOn w:val="TableNormal"/>
    <w:uiPriority w:val="45"/>
    <w:rsid w:val="008B1A30"/>
    <w:pPr>
      <w:spacing w:before="120"/>
      <w:jc w:val="both"/>
    </w:pPr>
    <w:rPr>
      <w:rFonts w:ascii="Times New Roman" w:eastAsiaTheme="minorHAnsi" w:hAnsi="Times New Roman"/>
      <w:sz w:val="26"/>
      <w:szCs w:val="24"/>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37621D"/>
    <w:rPr>
      <w:b/>
      <w:bCs/>
    </w:rPr>
  </w:style>
  <w:style w:type="character" w:customStyle="1" w:styleId="UnresolvedMention2">
    <w:name w:val="Unresolved Mention2"/>
    <w:basedOn w:val="DefaultParagraphFont"/>
    <w:uiPriority w:val="99"/>
    <w:semiHidden/>
    <w:unhideWhenUsed/>
    <w:rsid w:val="00A65A11"/>
    <w:rPr>
      <w:color w:val="605E5C"/>
      <w:shd w:val="clear" w:color="auto" w:fill="E1DFDD"/>
    </w:rPr>
  </w:style>
  <w:style w:type="paragraph" w:styleId="Revision">
    <w:name w:val="Revision"/>
    <w:hidden/>
    <w:uiPriority w:val="99"/>
    <w:semiHidden/>
    <w:rsid w:val="00A65A11"/>
    <w:rPr>
      <w:rFonts w:ascii="Palatino Linotype" w:hAnsi="Palatino Linotype"/>
      <w:noProof/>
      <w:color w:val="000000"/>
    </w:rPr>
  </w:style>
  <w:style w:type="character" w:styleId="UnresolvedMention">
    <w:name w:val="Unresolved Mention"/>
    <w:basedOn w:val="DefaultParagraphFont"/>
    <w:uiPriority w:val="99"/>
    <w:semiHidden/>
    <w:unhideWhenUsed/>
    <w:rsid w:val="00B32C60"/>
    <w:rPr>
      <w:color w:val="605E5C"/>
      <w:shd w:val="clear" w:color="auto" w:fill="E1DFDD"/>
    </w:rPr>
  </w:style>
  <w:style w:type="character" w:customStyle="1" w:styleId="NoSpacingChar">
    <w:name w:val="No Spacing Char"/>
    <w:basedOn w:val="DefaultParagraphFont"/>
    <w:link w:val="NoSpacing"/>
    <w:uiPriority w:val="1"/>
    <w:rsid w:val="00547F03"/>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051463">
      <w:bodyDiv w:val="1"/>
      <w:marLeft w:val="0"/>
      <w:marRight w:val="0"/>
      <w:marTop w:val="0"/>
      <w:marBottom w:val="0"/>
      <w:divBdr>
        <w:top w:val="none" w:sz="0" w:space="0" w:color="auto"/>
        <w:left w:val="none" w:sz="0" w:space="0" w:color="auto"/>
        <w:bottom w:val="none" w:sz="0" w:space="0" w:color="auto"/>
        <w:right w:val="none" w:sz="0" w:space="0" w:color="auto"/>
      </w:divBdr>
    </w:div>
    <w:div w:id="1513641399">
      <w:bodyDiv w:val="1"/>
      <w:marLeft w:val="0"/>
      <w:marRight w:val="0"/>
      <w:marTop w:val="0"/>
      <w:marBottom w:val="0"/>
      <w:divBdr>
        <w:top w:val="none" w:sz="0" w:space="0" w:color="auto"/>
        <w:left w:val="none" w:sz="0" w:space="0" w:color="auto"/>
        <w:bottom w:val="none" w:sz="0" w:space="0" w:color="auto"/>
        <w:right w:val="none" w:sz="0" w:space="0" w:color="auto"/>
      </w:divBdr>
    </w:div>
    <w:div w:id="2005939273">
      <w:bodyDiv w:val="1"/>
      <w:marLeft w:val="0"/>
      <w:marRight w:val="0"/>
      <w:marTop w:val="0"/>
      <w:marBottom w:val="0"/>
      <w:divBdr>
        <w:top w:val="none" w:sz="0" w:space="0" w:color="auto"/>
        <w:left w:val="none" w:sz="0" w:space="0" w:color="auto"/>
        <w:bottom w:val="none" w:sz="0" w:space="0" w:color="auto"/>
        <w:right w:val="none" w:sz="0" w:space="0" w:color="auto"/>
      </w:divBdr>
    </w:div>
    <w:div w:id="2098674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_ntp@hup.edu.vn" TargetMode="External"/><Relationship Id="rId13" Type="http://schemas.openxmlformats.org/officeDocument/2006/relationships/hyperlink" Target="mailto:brian.godman@smu.ac.za" TargetMode="External"/><Relationship Id="rId18" Type="http://schemas.openxmlformats.org/officeDocument/2006/relationships/hyperlink" Target="https://www.un.org/pga/wp-content/uploads/sites/108/2024/09/FINAL-Text-AMR-to-PGA.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sefah@uhas.edu.gh" TargetMode="External"/><Relationship Id="rId17" Type="http://schemas.openxmlformats.org/officeDocument/2006/relationships/hyperlink" Target="https://www.who.int/publications/i/item/978924150976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huy_ntp@hup.edu.v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tthuongbve@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ian.Godman@strath.ac.uk" TargetMode="External"/><Relationship Id="rId23" Type="http://schemas.openxmlformats.org/officeDocument/2006/relationships/footer" Target="footer1.xml"/><Relationship Id="rId10" Type="http://schemas.openxmlformats.org/officeDocument/2006/relationships/hyperlink" Target="mailto:hominhan1604@gmail.com" TargetMode="External"/><Relationship Id="rId19" Type="http://schemas.openxmlformats.org/officeDocument/2006/relationships/hyperlink" Target="https://kcb.vn/van-ban/huong-dan-chan-doan-va-dieu-tri-mot-so-benh-thuong-gap-o-tre-em.html" TargetMode="External"/><Relationship Id="rId4" Type="http://schemas.openxmlformats.org/officeDocument/2006/relationships/settings" Target="settings.xml"/><Relationship Id="rId9" Type="http://schemas.openxmlformats.org/officeDocument/2006/relationships/hyperlink" Target="mailto:anh.hoangminh.rg@gmail.com" TargetMode="External"/><Relationship Id="rId14" Type="http://schemas.openxmlformats.org/officeDocument/2006/relationships/hyperlink" Target="mailto:Hannelie.meyer@smu.ac.za"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l\Downloads\antibiotics-template%20(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49130-A37F-44D8-AB45-07AF42F4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antibiotics-template (40)</Template>
  <TotalTime>3</TotalTime>
  <Pages>1</Pages>
  <Words>11380</Words>
  <Characters>64866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76094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Brian Godman</dc:creator>
  <cp:keywords/>
  <dc:description/>
  <cp:lastModifiedBy>Brian Godman</cp:lastModifiedBy>
  <cp:revision>4</cp:revision>
  <cp:lastPrinted>2025-07-08T09:51:00Z</cp:lastPrinted>
  <dcterms:created xsi:type="dcterms:W3CDTF">2025-07-11T05:24:00Z</dcterms:created>
  <dcterms:modified xsi:type="dcterms:W3CDTF">2025-07-11T05:27:00Z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454a0d9665e248b25bc084b05c9c25d22c4049ed1a4fdf1ae4bf506f97ada112</vt:lpwstr>
  </property>
</Properties>
</file>