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64958" w14:textId="12C0D1FD" w:rsidR="0008608F" w:rsidRPr="0008608F" w:rsidRDefault="0008608F" w:rsidP="0008608F">
      <w:pPr>
        <w:spacing w:line="276" w:lineRule="auto"/>
        <w:rPr>
          <w:rFonts w:ascii="Calibri" w:hAnsi="Calibri" w:cs="Calibri"/>
        </w:rPr>
      </w:pPr>
      <w:r w:rsidRPr="0008608F">
        <w:rPr>
          <w:rFonts w:ascii="Calibri" w:hAnsi="Calibri" w:cs="Calibri"/>
          <w:b/>
          <w:bCs/>
        </w:rPr>
        <w:t xml:space="preserve">Supplementary Data S2. </w:t>
      </w:r>
      <w:r>
        <w:rPr>
          <w:rFonts w:ascii="Calibri" w:hAnsi="Calibri" w:cs="Calibri"/>
          <w:b/>
          <w:bCs/>
        </w:rPr>
        <w:t>Appendix</w:t>
      </w:r>
    </w:p>
    <w:p w14:paraId="41AF7D50" w14:textId="77777777" w:rsidR="0008608F" w:rsidRPr="0008608F" w:rsidRDefault="0008608F" w:rsidP="0008608F">
      <w:pPr>
        <w:spacing w:line="276" w:lineRule="auto"/>
        <w:rPr>
          <w:rFonts w:ascii="Calibri" w:hAnsi="Calibri" w:cs="Calibri"/>
        </w:rPr>
      </w:pPr>
    </w:p>
    <w:p w14:paraId="56E6088F" w14:textId="05986035" w:rsidR="0008608F" w:rsidRPr="0008608F" w:rsidRDefault="0008608F" w:rsidP="0008608F">
      <w:pPr>
        <w:spacing w:line="276" w:lineRule="auto"/>
        <w:rPr>
          <w:rFonts w:ascii="Calibri" w:hAnsi="Calibri" w:cs="Calibri"/>
        </w:rPr>
      </w:pPr>
      <w:r w:rsidRPr="0008608F">
        <w:rPr>
          <w:rFonts w:ascii="Calibri" w:eastAsiaTheme="minorEastAsia" w:hAnsi="Calibri" w:cs="Calibri"/>
          <w:b/>
          <w:bCs/>
        </w:rPr>
        <w:t>Literature search details</w:t>
      </w:r>
    </w:p>
    <w:p w14:paraId="51E346DE" w14:textId="77777777" w:rsidR="0008608F" w:rsidRPr="0008608F" w:rsidRDefault="0008608F" w:rsidP="0008608F">
      <w:pPr>
        <w:spacing w:line="276" w:lineRule="auto"/>
        <w:jc w:val="both"/>
        <w:rPr>
          <w:rFonts w:ascii="Calibri" w:eastAsiaTheme="minorEastAsia" w:hAnsi="Calibri" w:cs="Calibri"/>
          <w:b/>
          <w:bCs/>
        </w:rPr>
      </w:pPr>
      <w:r w:rsidRPr="0008608F">
        <w:rPr>
          <w:rFonts w:ascii="Calibri" w:eastAsiaTheme="minorEastAsia" w:hAnsi="Calibri" w:cs="Calibri"/>
          <w:b/>
          <w:bCs/>
        </w:rPr>
        <w:t>Domains 1-3</w:t>
      </w:r>
    </w:p>
    <w:p w14:paraId="21EA9ACD" w14:textId="27835208" w:rsidR="0008608F" w:rsidRPr="0008608F" w:rsidRDefault="0008608F" w:rsidP="0008608F">
      <w:pPr>
        <w:spacing w:line="276" w:lineRule="auto"/>
        <w:jc w:val="both"/>
        <w:rPr>
          <w:rFonts w:ascii="Calibri" w:eastAsiaTheme="minorEastAsia" w:hAnsi="Calibri" w:cs="Calibri"/>
          <w:lang w:val="en-US"/>
        </w:rPr>
      </w:pPr>
      <w:r w:rsidRPr="0008608F">
        <w:rPr>
          <w:rFonts w:ascii="Calibri" w:eastAsiaTheme="minorEastAsia" w:hAnsi="Calibri" w:cs="Calibri"/>
        </w:rPr>
        <w:t>We searched PubMed for articles from December 2021 to October 2023. Search terms included "Anti-Neutrophil Cytoplasmic Antibody-Associated Vasculitis", “Granulomatosis with Polyangiitis", "Microscopic Polyangiitis" and “Churg-Strauss Syndrome". Case reports and non-English reports were excluded. For recommendations guiding treatment decisions, the search was limited to randomised control trials and systematic reviews.  For other aspects of the commentary, all study designs, including observational studies, were considered.</w:t>
      </w:r>
    </w:p>
    <w:p w14:paraId="404178FF" w14:textId="77777777" w:rsidR="0008608F" w:rsidRPr="0008608F" w:rsidRDefault="0008608F" w:rsidP="0008608F">
      <w:pPr>
        <w:spacing w:line="276" w:lineRule="auto"/>
        <w:jc w:val="both"/>
        <w:rPr>
          <w:rFonts w:ascii="Calibri" w:eastAsiaTheme="minorEastAsia" w:hAnsi="Calibri" w:cs="Calibri"/>
          <w:lang w:val="en-US"/>
        </w:rPr>
      </w:pPr>
      <w:r w:rsidRPr="0008608F">
        <w:rPr>
          <w:rFonts w:ascii="Calibri" w:eastAsiaTheme="minorEastAsia" w:hAnsi="Calibri" w:cs="Calibri"/>
        </w:rPr>
        <w:t xml:space="preserve">In total, 715 studies were identified. 627 studies were excluded after screening title and abstract. 88 studies were assessed for full-text eligibility. 16 studies were included on the management of GPA and/or MPA. 11 studies on EGPA were identified and sent to the relevant subgroup. 8 studies in paediatric populations were identified. </w:t>
      </w:r>
    </w:p>
    <w:p w14:paraId="2ACBB644" w14:textId="77777777" w:rsidR="0008608F" w:rsidRPr="0008608F" w:rsidRDefault="0008608F" w:rsidP="0008608F">
      <w:pPr>
        <w:spacing w:line="276" w:lineRule="auto"/>
        <w:jc w:val="both"/>
        <w:rPr>
          <w:rFonts w:ascii="Calibri" w:eastAsiaTheme="minorEastAsia" w:hAnsi="Calibri" w:cs="Calibri"/>
          <w:lang w:val="en-US"/>
        </w:rPr>
      </w:pPr>
    </w:p>
    <w:p w14:paraId="641C0A32" w14:textId="77777777" w:rsidR="0008608F" w:rsidRPr="0008608F" w:rsidRDefault="0008608F" w:rsidP="0008608F">
      <w:pPr>
        <w:spacing w:line="276" w:lineRule="auto"/>
        <w:jc w:val="both"/>
        <w:rPr>
          <w:rFonts w:ascii="Calibri" w:eastAsiaTheme="minorEastAsia" w:hAnsi="Calibri" w:cs="Calibri"/>
          <w:b/>
          <w:bCs/>
        </w:rPr>
      </w:pPr>
      <w:r w:rsidRPr="0008608F">
        <w:rPr>
          <w:rFonts w:ascii="Calibri" w:eastAsiaTheme="minorEastAsia" w:hAnsi="Calibri" w:cs="Calibri"/>
          <w:b/>
          <w:bCs/>
        </w:rPr>
        <w:t>PRISMA for search strategy</w:t>
      </w:r>
    </w:p>
    <w:p w14:paraId="22C0028C" w14:textId="77777777" w:rsidR="0008608F" w:rsidRPr="0008608F" w:rsidRDefault="0008608F" w:rsidP="0008608F">
      <w:pPr>
        <w:spacing w:line="276" w:lineRule="auto"/>
        <w:jc w:val="both"/>
        <w:rPr>
          <w:rFonts w:ascii="Calibri" w:eastAsiaTheme="minorEastAsia" w:hAnsi="Calibri" w:cs="Calibri"/>
        </w:rPr>
      </w:pPr>
      <w:r w:rsidRPr="0008608F">
        <w:rPr>
          <w:rFonts w:ascii="Calibri" w:eastAsiaTheme="minorEastAsia" w:hAnsi="Calibri" w:cs="Calibri"/>
        </w:rPr>
        <w:t>715 references imported for screening as 715 studies</w:t>
      </w:r>
    </w:p>
    <w:p w14:paraId="3B2E7B4B" w14:textId="77777777" w:rsidR="0008608F" w:rsidRPr="0008608F" w:rsidRDefault="0008608F" w:rsidP="0008608F">
      <w:pPr>
        <w:spacing w:line="276" w:lineRule="auto"/>
        <w:jc w:val="both"/>
        <w:rPr>
          <w:rFonts w:ascii="Calibri" w:eastAsiaTheme="minorEastAsia" w:hAnsi="Calibri" w:cs="Calibri"/>
          <w:lang w:val="en-US"/>
        </w:rPr>
      </w:pPr>
      <w:r w:rsidRPr="0008608F">
        <w:rPr>
          <w:rFonts w:ascii="Calibri" w:hAnsi="Calibri" w:cs="Calibri"/>
        </w:rPr>
        <w:tab/>
      </w:r>
      <w:r w:rsidRPr="0008608F">
        <w:rPr>
          <w:rFonts w:ascii="Calibri" w:eastAsiaTheme="minorEastAsia" w:hAnsi="Calibri" w:cs="Calibri"/>
          <w:lang w:val="en-US"/>
        </w:rPr>
        <w:t>0 duplicates identified manually</w:t>
      </w:r>
    </w:p>
    <w:p w14:paraId="013CBC33" w14:textId="77777777" w:rsidR="0008608F" w:rsidRPr="0008608F" w:rsidRDefault="0008608F" w:rsidP="0008608F">
      <w:pPr>
        <w:spacing w:line="276" w:lineRule="auto"/>
        <w:jc w:val="both"/>
        <w:rPr>
          <w:rFonts w:ascii="Calibri" w:eastAsiaTheme="minorEastAsia" w:hAnsi="Calibri" w:cs="Calibri"/>
          <w:lang w:val="en-US"/>
        </w:rPr>
      </w:pPr>
      <w:r w:rsidRPr="0008608F">
        <w:rPr>
          <w:rFonts w:ascii="Calibri" w:hAnsi="Calibri" w:cs="Calibri"/>
        </w:rPr>
        <w:tab/>
      </w:r>
      <w:r w:rsidRPr="0008608F">
        <w:rPr>
          <w:rFonts w:ascii="Calibri" w:eastAsiaTheme="minorEastAsia" w:hAnsi="Calibri" w:cs="Calibri"/>
          <w:lang w:val="en-US"/>
        </w:rPr>
        <w:t>0 duplicates identified by Covidence</w:t>
      </w:r>
    </w:p>
    <w:p w14:paraId="120C9CBD" w14:textId="77777777" w:rsidR="0008608F" w:rsidRPr="0008608F" w:rsidRDefault="0008608F" w:rsidP="0008608F">
      <w:pPr>
        <w:spacing w:line="276" w:lineRule="auto"/>
        <w:jc w:val="both"/>
        <w:rPr>
          <w:rFonts w:ascii="Calibri" w:eastAsiaTheme="minorEastAsia" w:hAnsi="Calibri" w:cs="Calibri"/>
        </w:rPr>
      </w:pPr>
      <w:r w:rsidRPr="0008608F">
        <w:rPr>
          <w:rFonts w:ascii="Calibri" w:eastAsiaTheme="minorEastAsia" w:hAnsi="Calibri" w:cs="Calibri"/>
        </w:rPr>
        <w:t>715 studies screened against title and abstract</w:t>
      </w:r>
    </w:p>
    <w:p w14:paraId="08E5B896" w14:textId="77777777" w:rsidR="0008608F" w:rsidRPr="0008608F" w:rsidRDefault="0008608F" w:rsidP="0008608F">
      <w:pPr>
        <w:spacing w:line="276" w:lineRule="auto"/>
        <w:jc w:val="both"/>
        <w:rPr>
          <w:rFonts w:ascii="Calibri" w:eastAsiaTheme="minorEastAsia" w:hAnsi="Calibri" w:cs="Calibri"/>
        </w:rPr>
      </w:pPr>
      <w:r w:rsidRPr="0008608F">
        <w:rPr>
          <w:rFonts w:ascii="Calibri" w:hAnsi="Calibri" w:cs="Calibri"/>
        </w:rPr>
        <w:tab/>
      </w:r>
      <w:r w:rsidRPr="0008608F">
        <w:rPr>
          <w:rFonts w:ascii="Calibri" w:eastAsiaTheme="minorEastAsia" w:hAnsi="Calibri" w:cs="Calibri"/>
        </w:rPr>
        <w:t>627 studies excluded</w:t>
      </w:r>
    </w:p>
    <w:p w14:paraId="6FE6FAC3" w14:textId="77777777" w:rsidR="0008608F" w:rsidRPr="0008608F" w:rsidRDefault="0008608F" w:rsidP="0008608F">
      <w:pPr>
        <w:spacing w:line="276" w:lineRule="auto"/>
        <w:jc w:val="both"/>
        <w:rPr>
          <w:rFonts w:ascii="Calibri" w:eastAsiaTheme="minorEastAsia" w:hAnsi="Calibri" w:cs="Calibri"/>
        </w:rPr>
      </w:pPr>
      <w:r w:rsidRPr="0008608F">
        <w:rPr>
          <w:rFonts w:ascii="Calibri" w:eastAsiaTheme="minorEastAsia" w:hAnsi="Calibri" w:cs="Calibri"/>
        </w:rPr>
        <w:t>88 studies assessed for full-text eligibility</w:t>
      </w:r>
    </w:p>
    <w:p w14:paraId="0B2F101A" w14:textId="77777777" w:rsidR="0008608F" w:rsidRPr="0008608F" w:rsidRDefault="0008608F" w:rsidP="0008608F">
      <w:pPr>
        <w:spacing w:line="276" w:lineRule="auto"/>
        <w:jc w:val="both"/>
        <w:rPr>
          <w:rFonts w:ascii="Calibri" w:eastAsiaTheme="minorEastAsia" w:hAnsi="Calibri" w:cs="Calibri"/>
          <w:b/>
          <w:bCs/>
          <w:i/>
          <w:iCs/>
        </w:rPr>
      </w:pPr>
      <w:r w:rsidRPr="0008608F">
        <w:rPr>
          <w:rFonts w:ascii="Calibri" w:eastAsiaTheme="minorEastAsia" w:hAnsi="Calibri" w:cs="Calibri"/>
          <w:b/>
          <w:bCs/>
          <w:i/>
          <w:iCs/>
        </w:rPr>
        <w:t>16 studies included (GPA or MPA)</w:t>
      </w:r>
    </w:p>
    <w:p w14:paraId="27897E0D" w14:textId="77777777" w:rsidR="0008608F" w:rsidRPr="0008608F" w:rsidRDefault="0008608F" w:rsidP="0008608F">
      <w:pPr>
        <w:spacing w:line="276" w:lineRule="auto"/>
        <w:jc w:val="both"/>
        <w:rPr>
          <w:rFonts w:ascii="Calibri" w:eastAsiaTheme="minorEastAsia" w:hAnsi="Calibri" w:cs="Calibri"/>
          <w:b/>
          <w:bCs/>
          <w:i/>
          <w:iCs/>
        </w:rPr>
      </w:pPr>
      <w:r w:rsidRPr="0008608F">
        <w:rPr>
          <w:rFonts w:ascii="Calibri" w:eastAsiaTheme="minorEastAsia" w:hAnsi="Calibri" w:cs="Calibri"/>
          <w:b/>
          <w:bCs/>
          <w:i/>
          <w:iCs/>
        </w:rPr>
        <w:t>11 EGPA</w:t>
      </w:r>
    </w:p>
    <w:p w14:paraId="60B592EF" w14:textId="77777777" w:rsidR="0008608F" w:rsidRPr="0008608F" w:rsidRDefault="0008608F" w:rsidP="0008608F">
      <w:pPr>
        <w:spacing w:line="276" w:lineRule="auto"/>
        <w:jc w:val="both"/>
        <w:rPr>
          <w:rFonts w:ascii="Calibri" w:eastAsiaTheme="minorEastAsia" w:hAnsi="Calibri" w:cs="Calibri"/>
          <w:b/>
          <w:bCs/>
          <w:i/>
          <w:iCs/>
          <w:lang w:val="en-US"/>
        </w:rPr>
      </w:pPr>
      <w:r w:rsidRPr="0008608F">
        <w:rPr>
          <w:rFonts w:ascii="Calibri" w:eastAsiaTheme="minorEastAsia" w:hAnsi="Calibri" w:cs="Calibri"/>
          <w:b/>
          <w:bCs/>
          <w:i/>
          <w:iCs/>
        </w:rPr>
        <w:t>8 Paediatric populations</w:t>
      </w:r>
    </w:p>
    <w:p w14:paraId="22690164" w14:textId="77777777" w:rsidR="0008608F" w:rsidRPr="0008608F" w:rsidRDefault="0008608F" w:rsidP="0008608F">
      <w:pPr>
        <w:spacing w:line="276" w:lineRule="auto"/>
        <w:jc w:val="both"/>
        <w:rPr>
          <w:rFonts w:ascii="Calibri" w:eastAsiaTheme="minorEastAsia" w:hAnsi="Calibri" w:cs="Calibri"/>
          <w:highlight w:val="yellow"/>
        </w:rPr>
      </w:pPr>
    </w:p>
    <w:p w14:paraId="3167296D" w14:textId="77777777" w:rsidR="0008608F" w:rsidRPr="0008608F" w:rsidRDefault="0008608F" w:rsidP="0008608F">
      <w:pPr>
        <w:spacing w:line="276" w:lineRule="auto"/>
        <w:jc w:val="both"/>
        <w:rPr>
          <w:rFonts w:ascii="Calibri" w:eastAsiaTheme="minorEastAsia" w:hAnsi="Calibri" w:cs="Calibri"/>
          <w:b/>
          <w:bCs/>
        </w:rPr>
      </w:pPr>
      <w:r w:rsidRPr="0008608F">
        <w:rPr>
          <w:rFonts w:ascii="Calibri" w:eastAsiaTheme="minorEastAsia" w:hAnsi="Calibri" w:cs="Calibri"/>
          <w:b/>
          <w:bCs/>
        </w:rPr>
        <w:t>Domain 4</w:t>
      </w:r>
    </w:p>
    <w:p w14:paraId="5DAD1B1B" w14:textId="77777777" w:rsidR="0008608F" w:rsidRPr="0008608F" w:rsidRDefault="0008608F" w:rsidP="0008608F">
      <w:pPr>
        <w:spacing w:line="276" w:lineRule="auto"/>
        <w:jc w:val="both"/>
        <w:rPr>
          <w:rFonts w:ascii="Calibri" w:eastAsiaTheme="minorEastAsia" w:hAnsi="Calibri" w:cs="Calibri"/>
          <w:lang w:val="en-US"/>
        </w:rPr>
      </w:pPr>
      <w:r w:rsidRPr="0008608F">
        <w:rPr>
          <w:rFonts w:ascii="Calibri" w:eastAsiaTheme="minorEastAsia" w:hAnsi="Calibri" w:cs="Calibri"/>
        </w:rPr>
        <w:t>To identify empirical studies on experiences and outcomes related to service delivery in RAIRDs, we searched PubMed for articles since database inception date to 10 May 2024, with no language restrictions using the search terms “vasculitis”, “lupus”, “connective tissue disease”, “scleroderma”, “Sjogren*”, “rare autoimmune”, “rare disease*”,“service*”, specific components of vasculitis services (“</w:t>
      </w:r>
      <w:proofErr w:type="spellStart"/>
      <w:r w:rsidRPr="0008608F">
        <w:rPr>
          <w:rFonts w:ascii="Calibri" w:eastAsiaTheme="minorEastAsia" w:hAnsi="Calibri" w:cs="Calibri"/>
        </w:rPr>
        <w:t>multidiscip</w:t>
      </w:r>
      <w:proofErr w:type="spellEnd"/>
      <w:r w:rsidRPr="0008608F">
        <w:rPr>
          <w:rFonts w:ascii="Calibri" w:eastAsiaTheme="minorEastAsia" w:hAnsi="Calibri" w:cs="Calibri"/>
        </w:rPr>
        <w:t xml:space="preserve">* team”, “clinics”, “wait*” “quality of care”), </w:t>
      </w:r>
      <w:r w:rsidRPr="0008608F">
        <w:rPr>
          <w:rFonts w:ascii="Calibri" w:eastAsiaTheme="minorEastAsia" w:hAnsi="Calibri" w:cs="Calibri"/>
        </w:rPr>
        <w:lastRenderedPageBreak/>
        <w:t>professional*”, “experience*”  and “population-based AND outcome”. 91 studies were identified, 11 duplicates removed. 76 were excluded after title and abstract screening, 4 studies were included.</w:t>
      </w:r>
    </w:p>
    <w:p w14:paraId="54F5B2D9" w14:textId="77777777" w:rsidR="0008608F" w:rsidRPr="0008608F" w:rsidRDefault="0008608F" w:rsidP="0008608F">
      <w:pPr>
        <w:spacing w:line="276" w:lineRule="auto"/>
        <w:jc w:val="both"/>
        <w:rPr>
          <w:rFonts w:ascii="Calibri" w:eastAsiaTheme="minorEastAsia" w:hAnsi="Calibri" w:cs="Calibri"/>
        </w:rPr>
      </w:pPr>
    </w:p>
    <w:p w14:paraId="205E03D6" w14:textId="29F0EEBF" w:rsidR="0008608F" w:rsidRPr="0008608F" w:rsidRDefault="0008608F" w:rsidP="0008608F">
      <w:pPr>
        <w:spacing w:line="276" w:lineRule="auto"/>
        <w:jc w:val="both"/>
        <w:rPr>
          <w:rFonts w:ascii="Calibri" w:eastAsiaTheme="minorEastAsia" w:hAnsi="Calibri" w:cs="Calibri"/>
          <w:b/>
          <w:bCs/>
          <w:color w:val="303030"/>
        </w:rPr>
      </w:pPr>
      <w:r w:rsidRPr="0008608F">
        <w:rPr>
          <w:rFonts w:ascii="Calibri" w:eastAsiaTheme="minorEastAsia" w:hAnsi="Calibri" w:cs="Calibri"/>
          <w:b/>
          <w:bCs/>
          <w:color w:val="303030"/>
        </w:rPr>
        <w:t>Domain 5</w:t>
      </w:r>
    </w:p>
    <w:p w14:paraId="314A433D" w14:textId="7D03C385" w:rsidR="0008608F" w:rsidRPr="0008608F" w:rsidRDefault="0008608F" w:rsidP="0008608F">
      <w:pPr>
        <w:spacing w:line="276" w:lineRule="auto"/>
        <w:jc w:val="both"/>
        <w:rPr>
          <w:rFonts w:ascii="Calibri" w:eastAsiaTheme="minorEastAsia" w:hAnsi="Calibri" w:cs="Calibri"/>
        </w:rPr>
      </w:pPr>
      <w:r w:rsidRPr="0008608F">
        <w:rPr>
          <w:rFonts w:ascii="Calibri" w:eastAsiaTheme="minorEastAsia" w:hAnsi="Calibri" w:cs="Calibri"/>
        </w:rPr>
        <w:t xml:space="preserve">We searched </w:t>
      </w:r>
      <w:proofErr w:type="spellStart"/>
      <w:r w:rsidRPr="0008608F">
        <w:rPr>
          <w:rFonts w:ascii="Calibri" w:eastAsiaTheme="minorEastAsia" w:hAnsi="Calibri" w:cs="Calibri"/>
        </w:rPr>
        <w:t>Pubmed</w:t>
      </w:r>
      <w:proofErr w:type="spellEnd"/>
      <w:r w:rsidRPr="0008608F">
        <w:rPr>
          <w:rFonts w:ascii="Calibri" w:eastAsiaTheme="minorEastAsia" w:hAnsi="Calibri" w:cs="Calibri"/>
        </w:rPr>
        <w:t xml:space="preserve"> for studies on patient education and support in Anca Associated Vasculitis from November 2021-December 2024, restricted to English language only.  Search terms were: “patient education”, “patient information”, “vasculitis”, “self -management” AND Anca associated vasculitis. 8 studies identified, 4 excluded not related to AAV. 4 studies were included. </w:t>
      </w:r>
    </w:p>
    <w:p w14:paraId="09023ED3" w14:textId="77777777" w:rsidR="0008608F" w:rsidRPr="0008608F" w:rsidRDefault="0008608F" w:rsidP="0008608F">
      <w:pPr>
        <w:spacing w:line="276" w:lineRule="auto"/>
        <w:jc w:val="both"/>
        <w:rPr>
          <w:rFonts w:ascii="Calibri" w:eastAsiaTheme="minorEastAsia" w:hAnsi="Calibri" w:cs="Calibri"/>
        </w:rPr>
      </w:pPr>
      <w:r w:rsidRPr="0008608F">
        <w:rPr>
          <w:rFonts w:ascii="Calibri" w:eastAsiaTheme="minorEastAsia" w:hAnsi="Calibri" w:cs="Calibri"/>
          <w:color w:val="000000" w:themeColor="text1"/>
        </w:rPr>
        <w:t xml:space="preserve">We separately searched on Medline, EMBASE, </w:t>
      </w:r>
      <w:proofErr w:type="spellStart"/>
      <w:r w:rsidRPr="0008608F">
        <w:rPr>
          <w:rFonts w:ascii="Calibri" w:eastAsiaTheme="minorEastAsia" w:hAnsi="Calibri" w:cs="Calibri"/>
          <w:color w:val="000000" w:themeColor="text1"/>
        </w:rPr>
        <w:t>Emcare</w:t>
      </w:r>
      <w:proofErr w:type="spellEnd"/>
      <w:r w:rsidRPr="0008608F">
        <w:rPr>
          <w:rFonts w:ascii="Calibri" w:eastAsiaTheme="minorEastAsia" w:hAnsi="Calibri" w:cs="Calibri"/>
          <w:color w:val="000000" w:themeColor="text1"/>
        </w:rPr>
        <w:t xml:space="preserve"> and CINAHL for studies on shared decision making from December 2104 - December 2024, restricted to English language only. Search terms were “Vasculitis”/ exp *Rheumatic Diseases/ *Decision Making, Shared/ or "shared decision making". </w:t>
      </w:r>
      <w:r w:rsidRPr="0008608F">
        <w:rPr>
          <w:rFonts w:ascii="Calibri" w:eastAsiaTheme="minorEastAsia" w:hAnsi="Calibri" w:cs="Calibri"/>
        </w:rPr>
        <w:t xml:space="preserve">112 studies identified, 6 duplicates excluded,106 excluded after title and abstract, reason 1 not English, 42 not rheumatology ,34 Rheumatoid arthritis, 12 Juvenile Idiopathic Arthritis ,17 osteoarthritis. No studies were found relating to AAV.   </w:t>
      </w:r>
    </w:p>
    <w:p w14:paraId="3630D8F4" w14:textId="77777777" w:rsidR="0008608F" w:rsidRPr="0008608F" w:rsidRDefault="0008608F" w:rsidP="0008608F">
      <w:pPr>
        <w:spacing w:line="276" w:lineRule="auto"/>
        <w:jc w:val="both"/>
        <w:rPr>
          <w:rFonts w:ascii="Calibri" w:eastAsiaTheme="minorEastAsia" w:hAnsi="Calibri" w:cs="Calibri"/>
        </w:rPr>
      </w:pPr>
    </w:p>
    <w:p w14:paraId="14642896" w14:textId="1470C61F" w:rsidR="0008608F" w:rsidRPr="0008608F" w:rsidRDefault="0008608F" w:rsidP="0008608F">
      <w:pPr>
        <w:spacing w:line="276" w:lineRule="auto"/>
        <w:jc w:val="both"/>
        <w:rPr>
          <w:rFonts w:ascii="Calibri" w:eastAsiaTheme="minorEastAsia" w:hAnsi="Calibri" w:cs="Calibri"/>
          <w:b/>
          <w:bCs/>
        </w:rPr>
      </w:pPr>
      <w:r w:rsidRPr="0008608F">
        <w:rPr>
          <w:rFonts w:ascii="Calibri" w:eastAsiaTheme="minorEastAsia" w:hAnsi="Calibri" w:cs="Calibri"/>
          <w:b/>
          <w:bCs/>
        </w:rPr>
        <w:t>2014 Guidelines for management of AAV – unchanged</w:t>
      </w:r>
    </w:p>
    <w:p w14:paraId="6175AE79"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 xml:space="preserve">1. CYC should be given by </w:t>
      </w:r>
      <w:proofErr w:type="spellStart"/>
      <w:r w:rsidRPr="0008608F">
        <w:rPr>
          <w:rFonts w:ascii="Calibri" w:eastAsiaTheme="minorEastAsia" w:hAnsi="Calibri" w:cs="Calibri"/>
        </w:rPr>
        <w:t>i.v.</w:t>
      </w:r>
      <w:proofErr w:type="spellEnd"/>
      <w:r w:rsidRPr="0008608F">
        <w:rPr>
          <w:rFonts w:ascii="Calibri" w:eastAsiaTheme="minorEastAsia" w:hAnsi="Calibri" w:cs="Calibri"/>
        </w:rPr>
        <w:t xml:space="preserve"> pulses initially at 2-week intervals and then at 3-week</w:t>
      </w:r>
    </w:p>
    <w:p w14:paraId="7AB349B2"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intervals following the CYCLOPS trial regimen (A). The standard dose is 15 mg/kg,</w:t>
      </w:r>
    </w:p>
    <w:p w14:paraId="4B1F2787"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 xml:space="preserve">reduced for age and renal function. Because of the lower toxicity, the </w:t>
      </w:r>
      <w:proofErr w:type="spellStart"/>
      <w:r w:rsidRPr="0008608F">
        <w:rPr>
          <w:rFonts w:ascii="Calibri" w:eastAsiaTheme="minorEastAsia" w:hAnsi="Calibri" w:cs="Calibri"/>
        </w:rPr>
        <w:t>i.v.</w:t>
      </w:r>
      <w:proofErr w:type="spellEnd"/>
      <w:r w:rsidRPr="0008608F">
        <w:rPr>
          <w:rFonts w:ascii="Calibri" w:eastAsiaTheme="minorEastAsia" w:hAnsi="Calibri" w:cs="Calibri"/>
        </w:rPr>
        <w:t xml:space="preserve"> regimen is</w:t>
      </w:r>
    </w:p>
    <w:p w14:paraId="053C353F"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preferred (B). Each individual course of CYC should be ≥3 months and ≤6 months</w:t>
      </w:r>
    </w:p>
    <w:p w14:paraId="71D36523"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(B). Lifetime exposure to CYC should be ≤25 g since the long-term toxicity of CYC is</w:t>
      </w:r>
    </w:p>
    <w:p w14:paraId="55DBD2D8"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determined by cumulative dose (C). Patients on CYC should be monitored regularly</w:t>
      </w:r>
    </w:p>
    <w:p w14:paraId="6D348E4B"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 xml:space="preserve">and the dose should be reduced if there is CYC-induced </w:t>
      </w:r>
      <w:proofErr w:type="spellStart"/>
      <w:r w:rsidRPr="0008608F">
        <w:rPr>
          <w:rFonts w:ascii="Calibri" w:eastAsiaTheme="minorEastAsia" w:hAnsi="Calibri" w:cs="Calibri"/>
        </w:rPr>
        <w:t>leucopenia</w:t>
      </w:r>
      <w:proofErr w:type="spellEnd"/>
      <w:r w:rsidRPr="0008608F">
        <w:rPr>
          <w:rFonts w:ascii="Calibri" w:eastAsiaTheme="minorEastAsia" w:hAnsi="Calibri" w:cs="Calibri"/>
        </w:rPr>
        <w:t>/neutropenia (B).</w:t>
      </w:r>
    </w:p>
    <w:p w14:paraId="1443CDAF" w14:textId="77777777" w:rsidR="0008608F" w:rsidRPr="0008608F" w:rsidRDefault="0008608F" w:rsidP="0008608F">
      <w:pPr>
        <w:spacing w:after="0" w:line="276" w:lineRule="auto"/>
        <w:jc w:val="both"/>
        <w:rPr>
          <w:rFonts w:ascii="Calibri" w:eastAsiaTheme="minorEastAsia" w:hAnsi="Calibri" w:cs="Calibri"/>
        </w:rPr>
      </w:pPr>
      <w:proofErr w:type="gramStart"/>
      <w:r w:rsidRPr="0008608F">
        <w:rPr>
          <w:rFonts w:ascii="Calibri" w:eastAsiaTheme="minorEastAsia" w:hAnsi="Calibri" w:cs="Calibri"/>
        </w:rPr>
        <w:t>Patients</w:t>
      </w:r>
      <w:proofErr w:type="gramEnd"/>
      <w:r w:rsidRPr="0008608F">
        <w:rPr>
          <w:rFonts w:ascii="Calibri" w:eastAsiaTheme="minorEastAsia" w:hAnsi="Calibri" w:cs="Calibri"/>
        </w:rPr>
        <w:t xml:space="preserve"> intolerant to CYC can be effectively treated with RTX (B).</w:t>
      </w:r>
    </w:p>
    <w:p w14:paraId="08365E90" w14:textId="77777777" w:rsidR="0008608F" w:rsidRPr="0008608F" w:rsidRDefault="0008608F" w:rsidP="0008608F">
      <w:pPr>
        <w:spacing w:after="0" w:line="276" w:lineRule="auto"/>
        <w:jc w:val="both"/>
        <w:rPr>
          <w:rFonts w:ascii="Calibri" w:eastAsiaTheme="minorEastAsia" w:hAnsi="Calibri" w:cs="Calibri"/>
        </w:rPr>
      </w:pPr>
    </w:p>
    <w:p w14:paraId="28D65F54"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2. Assessment and monitoring of disease status</w:t>
      </w:r>
    </w:p>
    <w:p w14:paraId="4313E904"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Validated tools [such as the BVAS, Vasculitis Damage Index (VDI) and 36-item Short</w:t>
      </w:r>
    </w:p>
    <w:p w14:paraId="6DDF0D93"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Form (SF-36)] should be used by trained staff to assess disease activity, extent of</w:t>
      </w:r>
    </w:p>
    <w:p w14:paraId="2118B96A"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damage and quality of life (D). ANCA should be detected using IIF with ELISA to</w:t>
      </w:r>
    </w:p>
    <w:p w14:paraId="4C8DD878"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confirm PR3 or MPO specificity (C) and checked at diagnosis, relapse, change of</w:t>
      </w:r>
    </w:p>
    <w:p w14:paraId="78B65FF0"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therapy, every 6 months while on treatment and annually while off treatment (B).</w:t>
      </w:r>
    </w:p>
    <w:p w14:paraId="078B6D0E"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Results should be available within 1 working day (D). Treatment should not be</w:t>
      </w:r>
    </w:p>
    <w:p w14:paraId="0AE37719"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 xml:space="preserve">escalated solely </w:t>
      </w:r>
      <w:proofErr w:type="gramStart"/>
      <w:r w:rsidRPr="0008608F">
        <w:rPr>
          <w:rFonts w:ascii="Calibri" w:eastAsiaTheme="minorEastAsia" w:hAnsi="Calibri" w:cs="Calibri"/>
        </w:rPr>
        <w:t>on the basis of</w:t>
      </w:r>
      <w:proofErr w:type="gramEnd"/>
      <w:r w:rsidRPr="0008608F">
        <w:rPr>
          <w:rFonts w:ascii="Calibri" w:eastAsiaTheme="minorEastAsia" w:hAnsi="Calibri" w:cs="Calibri"/>
        </w:rPr>
        <w:t xml:space="preserve"> an increase in ANCA (B).</w:t>
      </w:r>
    </w:p>
    <w:p w14:paraId="535CB8B9" w14:textId="77777777" w:rsidR="0008608F" w:rsidRPr="0008608F" w:rsidRDefault="0008608F" w:rsidP="0008608F">
      <w:pPr>
        <w:spacing w:after="0" w:line="276" w:lineRule="auto"/>
        <w:jc w:val="both"/>
        <w:rPr>
          <w:rFonts w:ascii="Calibri" w:eastAsiaTheme="minorEastAsia" w:hAnsi="Calibri" w:cs="Calibri"/>
        </w:rPr>
      </w:pPr>
    </w:p>
    <w:p w14:paraId="2727655A"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3. Detection and prevention of potential adverse effects of immunosuppressive</w:t>
      </w:r>
    </w:p>
    <w:p w14:paraId="2D6806DD"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therapy should be considered:</w:t>
      </w:r>
    </w:p>
    <w:p w14:paraId="0ADC059C"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lastRenderedPageBreak/>
        <w:t>Routine blood test monitoring [full blood count (FBC), urea and electrolytes (</w:t>
      </w:r>
      <w:proofErr w:type="spellStart"/>
      <w:r w:rsidRPr="0008608F">
        <w:rPr>
          <w:rFonts w:ascii="Calibri" w:eastAsiaTheme="minorEastAsia" w:hAnsi="Calibri" w:cs="Calibri"/>
        </w:rPr>
        <w:t>U&amp;</w:t>
      </w:r>
      <w:proofErr w:type="gramStart"/>
      <w:r w:rsidRPr="0008608F">
        <w:rPr>
          <w:rFonts w:ascii="Calibri" w:eastAsiaTheme="minorEastAsia" w:hAnsi="Calibri" w:cs="Calibri"/>
        </w:rPr>
        <w:t>amp;Es</w:t>
      </w:r>
      <w:proofErr w:type="spellEnd"/>
      <w:proofErr w:type="gramEnd"/>
      <w:r w:rsidRPr="0008608F">
        <w:rPr>
          <w:rFonts w:ascii="Calibri" w:eastAsiaTheme="minorEastAsia" w:hAnsi="Calibri" w:cs="Calibri"/>
        </w:rPr>
        <w:t>),</w:t>
      </w:r>
    </w:p>
    <w:p w14:paraId="35CFE36D"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liver function tests (LFTs)] (C)</w:t>
      </w:r>
    </w:p>
    <w:p w14:paraId="03549774"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 xml:space="preserve">Regular urinalysis and </w:t>
      </w:r>
      <w:proofErr w:type="spellStart"/>
      <w:r w:rsidRPr="0008608F">
        <w:rPr>
          <w:rFonts w:ascii="Calibri" w:eastAsiaTheme="minorEastAsia" w:hAnsi="Calibri" w:cs="Calibri"/>
        </w:rPr>
        <w:t>mesna</w:t>
      </w:r>
      <w:proofErr w:type="spellEnd"/>
      <w:r w:rsidRPr="0008608F">
        <w:rPr>
          <w:rFonts w:ascii="Calibri" w:eastAsiaTheme="minorEastAsia" w:hAnsi="Calibri" w:cs="Calibri"/>
        </w:rPr>
        <w:t xml:space="preserve"> for protection against CYC-induced urothelial toxicity</w:t>
      </w:r>
    </w:p>
    <w:p w14:paraId="5F430239"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(C)</w:t>
      </w:r>
    </w:p>
    <w:p w14:paraId="28B930AF"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Serum immunoglobulin measurement before each cycle of RTX therapy (C)</w:t>
      </w:r>
    </w:p>
    <w:p w14:paraId="638D6A3C"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 xml:space="preserve">Trimethoprim/sulfamethoxazole as prophylaxis against Pneumocystis </w:t>
      </w:r>
      <w:proofErr w:type="spellStart"/>
      <w:r w:rsidRPr="0008608F">
        <w:rPr>
          <w:rFonts w:ascii="Calibri" w:eastAsiaTheme="minorEastAsia" w:hAnsi="Calibri" w:cs="Calibri"/>
        </w:rPr>
        <w:t>jiroveci</w:t>
      </w:r>
      <w:proofErr w:type="spellEnd"/>
      <w:r w:rsidRPr="0008608F">
        <w:rPr>
          <w:rFonts w:ascii="Calibri" w:eastAsiaTheme="minorEastAsia" w:hAnsi="Calibri" w:cs="Calibri"/>
        </w:rPr>
        <w:t> (B)</w:t>
      </w:r>
    </w:p>
    <w:p w14:paraId="433176A2"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Antifungal prophylaxis (C)</w:t>
      </w:r>
    </w:p>
    <w:p w14:paraId="5BA101D6"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Staphylococcal aureus treatment with long-term nasal mupirocin (C)</w:t>
      </w:r>
    </w:p>
    <w:p w14:paraId="4AD0588A"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Screening for cervical intraepithelial neoplasia (CIN) (female patients) (C)</w:t>
      </w:r>
    </w:p>
    <w:p w14:paraId="35E19241"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Counselling about the possibility of infertility following CYC treatment (C)</w:t>
      </w:r>
    </w:p>
    <w:p w14:paraId="29B4A593"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Prophylaxis against osteoporosis where appropriate (A)</w:t>
      </w:r>
    </w:p>
    <w:p w14:paraId="1240C9B4"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Tuberculosis screening (C)</w:t>
      </w:r>
    </w:p>
    <w:p w14:paraId="5A86B4F0"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Vaccination against pneumococcal infection, influenza and hepatitis B (C)</w:t>
      </w:r>
    </w:p>
    <w:p w14:paraId="7CD83E04" w14:textId="77777777" w:rsidR="0008608F" w:rsidRPr="0008608F" w:rsidRDefault="0008608F" w:rsidP="0008608F">
      <w:pPr>
        <w:spacing w:after="0" w:line="276" w:lineRule="auto"/>
        <w:jc w:val="both"/>
        <w:rPr>
          <w:rFonts w:ascii="Calibri" w:eastAsiaTheme="minorEastAsia" w:hAnsi="Calibri" w:cs="Calibri"/>
        </w:rPr>
      </w:pPr>
      <w:r w:rsidRPr="0008608F">
        <w:rPr>
          <w:rFonts w:ascii="Calibri" w:eastAsiaTheme="minorEastAsia" w:hAnsi="Calibri" w:cs="Calibri"/>
        </w:rPr>
        <w:t>Cardiovascular and thromboembolic risk assessment (C)</w:t>
      </w:r>
    </w:p>
    <w:p w14:paraId="51BF7914" w14:textId="48C8C38D" w:rsidR="00C5363F" w:rsidRPr="0008608F" w:rsidRDefault="00C5363F">
      <w:pPr>
        <w:rPr>
          <w:rFonts w:ascii="Calibri" w:hAnsi="Calibri" w:cs="Calibri"/>
        </w:rPr>
      </w:pPr>
    </w:p>
    <w:sectPr w:rsidR="00C5363F" w:rsidRPr="000860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08F"/>
    <w:rsid w:val="0008608F"/>
    <w:rsid w:val="00527793"/>
    <w:rsid w:val="00C5363F"/>
    <w:rsid w:val="00E91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6403F"/>
  <w15:chartTrackingRefBased/>
  <w15:docId w15:val="{FFAAE0D9-F415-41BC-94C0-9423CBA7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0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860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60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60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60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60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60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60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60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0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860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60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60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60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60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60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60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608F"/>
    <w:rPr>
      <w:rFonts w:eastAsiaTheme="majorEastAsia" w:cstheme="majorBidi"/>
      <w:color w:val="272727" w:themeColor="text1" w:themeTint="D8"/>
    </w:rPr>
  </w:style>
  <w:style w:type="paragraph" w:styleId="Title">
    <w:name w:val="Title"/>
    <w:basedOn w:val="Normal"/>
    <w:next w:val="Normal"/>
    <w:link w:val="TitleChar"/>
    <w:uiPriority w:val="10"/>
    <w:qFormat/>
    <w:rsid w:val="000860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60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60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60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608F"/>
    <w:pPr>
      <w:spacing w:before="160"/>
      <w:jc w:val="center"/>
    </w:pPr>
    <w:rPr>
      <w:i/>
      <w:iCs/>
      <w:color w:val="404040" w:themeColor="text1" w:themeTint="BF"/>
    </w:rPr>
  </w:style>
  <w:style w:type="character" w:customStyle="1" w:styleId="QuoteChar">
    <w:name w:val="Quote Char"/>
    <w:basedOn w:val="DefaultParagraphFont"/>
    <w:link w:val="Quote"/>
    <w:uiPriority w:val="29"/>
    <w:rsid w:val="0008608F"/>
    <w:rPr>
      <w:i/>
      <w:iCs/>
      <w:color w:val="404040" w:themeColor="text1" w:themeTint="BF"/>
    </w:rPr>
  </w:style>
  <w:style w:type="paragraph" w:styleId="ListParagraph">
    <w:name w:val="List Paragraph"/>
    <w:basedOn w:val="Normal"/>
    <w:uiPriority w:val="34"/>
    <w:qFormat/>
    <w:rsid w:val="0008608F"/>
    <w:pPr>
      <w:ind w:left="720"/>
      <w:contextualSpacing/>
    </w:pPr>
  </w:style>
  <w:style w:type="character" w:styleId="IntenseEmphasis">
    <w:name w:val="Intense Emphasis"/>
    <w:basedOn w:val="DefaultParagraphFont"/>
    <w:uiPriority w:val="21"/>
    <w:qFormat/>
    <w:rsid w:val="0008608F"/>
    <w:rPr>
      <w:i/>
      <w:iCs/>
      <w:color w:val="0F4761" w:themeColor="accent1" w:themeShade="BF"/>
    </w:rPr>
  </w:style>
  <w:style w:type="paragraph" w:styleId="IntenseQuote">
    <w:name w:val="Intense Quote"/>
    <w:basedOn w:val="Normal"/>
    <w:next w:val="Normal"/>
    <w:link w:val="IntenseQuoteChar"/>
    <w:uiPriority w:val="30"/>
    <w:qFormat/>
    <w:rsid w:val="000860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608F"/>
    <w:rPr>
      <w:i/>
      <w:iCs/>
      <w:color w:val="0F4761" w:themeColor="accent1" w:themeShade="BF"/>
    </w:rPr>
  </w:style>
  <w:style w:type="character" w:styleId="IntenseReference">
    <w:name w:val="Intense Reference"/>
    <w:basedOn w:val="DefaultParagraphFont"/>
    <w:uiPriority w:val="32"/>
    <w:qFormat/>
    <w:rsid w:val="0008608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1</cp:revision>
  <cp:lastPrinted>2025-04-24T11:45:00Z</cp:lastPrinted>
  <dcterms:created xsi:type="dcterms:W3CDTF">2025-04-24T11:44:00Z</dcterms:created>
  <dcterms:modified xsi:type="dcterms:W3CDTF">2025-04-24T11:54:00Z</dcterms:modified>
</cp:coreProperties>
</file>