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06649" w14:textId="77777777" w:rsidR="00457A82" w:rsidRPr="00774E67" w:rsidRDefault="00457A82" w:rsidP="00457A82">
      <w:pPr>
        <w:rPr>
          <w:b/>
        </w:rPr>
      </w:pPr>
      <w:r w:rsidRPr="008F6419">
        <w:rPr>
          <w:rFonts w:cstheme="minorHAnsi"/>
          <w:b/>
        </w:rPr>
        <w:t xml:space="preserve">Title </w:t>
      </w:r>
    </w:p>
    <w:p w14:paraId="62F01BB8" w14:textId="77777777" w:rsidR="00031F3B" w:rsidRPr="00031F3B" w:rsidRDefault="00031F3B" w:rsidP="00031F3B">
      <w:pPr>
        <w:rPr>
          <w:rFonts w:eastAsia="Times New Roman" w:cstheme="minorHAnsi"/>
          <w:color w:val="000000"/>
          <w:lang w:eastAsia="en-GB"/>
        </w:rPr>
      </w:pPr>
      <w:r w:rsidRPr="00031F3B">
        <w:rPr>
          <w:rFonts w:eastAsia="Times New Roman" w:cstheme="minorHAnsi"/>
          <w:color w:val="000000"/>
          <w:lang w:eastAsia="en-GB"/>
        </w:rPr>
        <w:t>Perioperative medicine for Older People undergoing Surgery Scale Up (POPS-SUp): Study Protocol</w:t>
      </w:r>
    </w:p>
    <w:p w14:paraId="6A614B21" w14:textId="77777777" w:rsidR="00457A82" w:rsidRPr="008F6419" w:rsidRDefault="00457A82" w:rsidP="00457A82">
      <w:pPr>
        <w:textAlignment w:val="baseline"/>
        <w:rPr>
          <w:rFonts w:eastAsia="Times New Roman" w:cstheme="minorHAnsi"/>
          <w:color w:val="000000"/>
          <w:lang w:eastAsia="en-GB"/>
        </w:rPr>
      </w:pPr>
    </w:p>
    <w:p w14:paraId="516E9444" w14:textId="77777777" w:rsidR="00457A82" w:rsidRPr="008F6419" w:rsidRDefault="00457A82" w:rsidP="00457A82">
      <w:pPr>
        <w:textAlignment w:val="baseline"/>
        <w:rPr>
          <w:rFonts w:eastAsia="Times New Roman" w:cstheme="minorHAnsi"/>
          <w:b/>
          <w:lang w:eastAsia="en-GB"/>
        </w:rPr>
      </w:pPr>
      <w:bookmarkStart w:id="0" w:name="_GoBack"/>
      <w:bookmarkEnd w:id="0"/>
      <w:r w:rsidRPr="008F6419">
        <w:rPr>
          <w:rFonts w:eastAsia="Times New Roman" w:cstheme="minorHAnsi"/>
          <w:b/>
          <w:lang w:eastAsia="en-GB"/>
        </w:rPr>
        <w:t xml:space="preserve">Authors </w:t>
      </w:r>
    </w:p>
    <w:p w14:paraId="1A3AD8F6" w14:textId="77777777" w:rsidR="00457A82" w:rsidRPr="00F96FDC" w:rsidRDefault="00457A82" w:rsidP="00457A82">
      <w:pPr>
        <w:textAlignment w:val="baseline"/>
        <w:rPr>
          <w:rFonts w:eastAsia="Times New Roman" w:cstheme="minorHAnsi"/>
          <w:vertAlign w:val="superscript"/>
          <w:lang w:eastAsia="en-GB"/>
        </w:rPr>
      </w:pPr>
      <w:r w:rsidRPr="008F6419">
        <w:rPr>
          <w:rFonts w:eastAsia="Times New Roman" w:cstheme="minorHAnsi"/>
          <w:lang w:eastAsia="en-GB"/>
        </w:rPr>
        <w:t xml:space="preserve">Jugdeep </w:t>
      </w:r>
      <w:r>
        <w:rPr>
          <w:rFonts w:eastAsia="Times New Roman" w:cstheme="minorHAnsi"/>
          <w:lang w:eastAsia="en-GB"/>
        </w:rPr>
        <w:t xml:space="preserve">K </w:t>
      </w:r>
      <w:r w:rsidRPr="008F6419">
        <w:rPr>
          <w:rFonts w:eastAsia="Times New Roman" w:cstheme="minorHAnsi"/>
          <w:lang w:eastAsia="en-GB"/>
        </w:rPr>
        <w:t>Dhesi</w:t>
      </w:r>
      <w:r>
        <w:rPr>
          <w:rFonts w:eastAsia="Times New Roman" w:cstheme="minorHAnsi"/>
          <w:lang w:eastAsia="en-GB"/>
        </w:rPr>
        <w:t>*</w:t>
      </w:r>
      <w:r w:rsidRPr="008F6419">
        <w:rPr>
          <w:rFonts w:eastAsia="Times New Roman" w:cstheme="minorHAnsi"/>
          <w:vertAlign w:val="superscript"/>
          <w:lang w:eastAsia="en-GB"/>
        </w:rPr>
        <w:t>1</w:t>
      </w:r>
      <w:r>
        <w:rPr>
          <w:rFonts w:eastAsia="Times New Roman" w:cstheme="minorHAnsi"/>
          <w:vertAlign w:val="superscript"/>
          <w:lang w:eastAsia="en-GB"/>
        </w:rPr>
        <w:t>,2</w:t>
      </w:r>
      <w:r w:rsidRPr="008F6419">
        <w:rPr>
          <w:rFonts w:eastAsia="Times New Roman" w:cstheme="minorHAnsi"/>
          <w:lang w:eastAsia="en-GB"/>
        </w:rPr>
        <w:t>, Jud</w:t>
      </w:r>
      <w:r>
        <w:rPr>
          <w:rFonts w:eastAsia="Times New Roman" w:cstheme="minorHAnsi"/>
          <w:lang w:eastAsia="en-GB"/>
        </w:rPr>
        <w:t xml:space="preserve">ith SL </w:t>
      </w:r>
      <w:r w:rsidRPr="008F6419">
        <w:rPr>
          <w:rFonts w:eastAsia="Times New Roman" w:cstheme="minorHAnsi"/>
          <w:lang w:eastAsia="en-GB"/>
        </w:rPr>
        <w:t>Partridge</w:t>
      </w:r>
      <w:r>
        <w:rPr>
          <w:rFonts w:eastAsia="Times New Roman" w:cstheme="minorHAnsi"/>
          <w:lang w:eastAsia="en-GB"/>
        </w:rPr>
        <w:t>*</w:t>
      </w:r>
      <w:r w:rsidRPr="008F6419">
        <w:rPr>
          <w:rFonts w:eastAsia="Times New Roman" w:cstheme="minorHAnsi"/>
          <w:vertAlign w:val="superscript"/>
          <w:lang w:eastAsia="en-GB"/>
        </w:rPr>
        <w:t>1</w:t>
      </w:r>
      <w:r>
        <w:rPr>
          <w:rFonts w:eastAsia="Times New Roman" w:cstheme="minorHAnsi"/>
          <w:vertAlign w:val="superscript"/>
          <w:lang w:eastAsia="en-GB"/>
        </w:rPr>
        <w:t>,2</w:t>
      </w:r>
      <w:r w:rsidRPr="008F6419">
        <w:rPr>
          <w:rFonts w:eastAsia="Times New Roman" w:cstheme="minorHAnsi"/>
          <w:lang w:eastAsia="en-GB"/>
        </w:rPr>
        <w:t xml:space="preserve">, Bridget </w:t>
      </w:r>
      <w:r>
        <w:rPr>
          <w:rFonts w:eastAsia="Times New Roman" w:cstheme="minorHAnsi"/>
          <w:lang w:eastAsia="en-GB"/>
        </w:rPr>
        <w:t xml:space="preserve">C </w:t>
      </w:r>
      <w:r w:rsidRPr="008F6419">
        <w:rPr>
          <w:rFonts w:eastAsia="Times New Roman" w:cstheme="minorHAnsi"/>
          <w:lang w:eastAsia="en-GB"/>
        </w:rPr>
        <w:t>Strasser</w:t>
      </w:r>
      <w:r w:rsidRPr="008F6419">
        <w:rPr>
          <w:rFonts w:eastAsia="Times New Roman" w:cstheme="minorHAnsi"/>
          <w:vertAlign w:val="superscript"/>
          <w:lang w:eastAsia="en-GB"/>
        </w:rPr>
        <w:t>1</w:t>
      </w:r>
      <w:r>
        <w:rPr>
          <w:rFonts w:eastAsia="Times New Roman" w:cstheme="minorHAnsi"/>
          <w:vertAlign w:val="superscript"/>
          <w:lang w:eastAsia="en-GB"/>
        </w:rPr>
        <w:t>,2</w:t>
      </w:r>
      <w:r w:rsidRPr="008F6419">
        <w:rPr>
          <w:rFonts w:eastAsia="Times New Roman" w:cstheme="minorHAnsi"/>
          <w:lang w:eastAsia="en-GB"/>
        </w:rPr>
        <w:t xml:space="preserve">, </w:t>
      </w:r>
      <w:r w:rsidRPr="008F6419">
        <w:rPr>
          <w:rFonts w:cstheme="minorHAnsi"/>
        </w:rPr>
        <w:t>Lindsay Bearne</w:t>
      </w:r>
      <w:r>
        <w:rPr>
          <w:rFonts w:cstheme="minorHAnsi"/>
          <w:vertAlign w:val="superscript"/>
        </w:rPr>
        <w:t>3</w:t>
      </w:r>
      <w:r w:rsidRPr="008F6419">
        <w:rPr>
          <w:rFonts w:eastAsia="Times New Roman" w:cstheme="minorHAnsi"/>
          <w:lang w:eastAsia="en-GB"/>
        </w:rPr>
        <w:t xml:space="preserve">, </w:t>
      </w:r>
      <w:r>
        <w:rPr>
          <w:rFonts w:eastAsia="Times New Roman" w:cstheme="minorHAnsi"/>
          <w:lang w:eastAsia="en-GB"/>
        </w:rPr>
        <w:t>Nathan Hall</w:t>
      </w:r>
      <w:r>
        <w:rPr>
          <w:rFonts w:eastAsia="Times New Roman" w:cstheme="minorHAnsi"/>
          <w:vertAlign w:val="superscript"/>
          <w:lang w:eastAsia="en-GB"/>
        </w:rPr>
        <w:t>4</w:t>
      </w:r>
      <w:r>
        <w:rPr>
          <w:rFonts w:eastAsia="Times New Roman" w:cstheme="minorHAnsi"/>
          <w:lang w:eastAsia="en-GB"/>
        </w:rPr>
        <w:t>, Andrew Healey</w:t>
      </w:r>
      <w:r>
        <w:rPr>
          <w:rFonts w:eastAsia="Times New Roman" w:cstheme="minorHAnsi"/>
          <w:vertAlign w:val="superscript"/>
          <w:lang w:eastAsia="en-GB"/>
        </w:rPr>
        <w:t>5</w:t>
      </w:r>
      <w:r w:rsidRPr="008F6419">
        <w:rPr>
          <w:rFonts w:eastAsia="Times New Roman" w:cstheme="minorHAnsi"/>
          <w:lang w:eastAsia="en-GB"/>
        </w:rPr>
        <w:t>,</w:t>
      </w:r>
      <w:r>
        <w:rPr>
          <w:rFonts w:cstheme="minorHAnsi"/>
        </w:rPr>
        <w:t xml:space="preserve"> John SM Houghton</w:t>
      </w:r>
      <w:r>
        <w:rPr>
          <w:rFonts w:cstheme="minorHAnsi"/>
          <w:vertAlign w:val="superscript"/>
        </w:rPr>
        <w:t>6</w:t>
      </w:r>
      <w:r>
        <w:rPr>
          <w:rFonts w:cstheme="minorHAnsi"/>
        </w:rPr>
        <w:t>, Laura Magill</w:t>
      </w:r>
      <w:r>
        <w:rPr>
          <w:rFonts w:cstheme="minorHAnsi"/>
          <w:vertAlign w:val="superscript"/>
        </w:rPr>
        <w:t>7</w:t>
      </w:r>
      <w:r>
        <w:rPr>
          <w:rFonts w:cstheme="minorHAnsi"/>
        </w:rPr>
        <w:t xml:space="preserve">, </w:t>
      </w:r>
      <w:r w:rsidRPr="008F6419">
        <w:rPr>
          <w:rFonts w:eastAsia="Times New Roman" w:cstheme="minorHAnsi"/>
          <w:lang w:eastAsia="en-GB"/>
        </w:rPr>
        <w:t>Bijan Modarai</w:t>
      </w:r>
      <w:r>
        <w:rPr>
          <w:rFonts w:eastAsia="Times New Roman" w:cstheme="minorHAnsi"/>
          <w:vertAlign w:val="superscript"/>
          <w:lang w:eastAsia="en-GB"/>
        </w:rPr>
        <w:t>8</w:t>
      </w:r>
      <w:r w:rsidRPr="008F6419">
        <w:rPr>
          <w:rFonts w:eastAsia="Times New Roman" w:cstheme="minorHAnsi"/>
          <w:lang w:eastAsia="en-GB"/>
        </w:rPr>
        <w:t xml:space="preserve">, Iain </w:t>
      </w:r>
      <w:r>
        <w:rPr>
          <w:rFonts w:eastAsia="Times New Roman" w:cstheme="minorHAnsi"/>
          <w:lang w:eastAsia="en-GB"/>
        </w:rPr>
        <w:t xml:space="preserve">K </w:t>
      </w:r>
      <w:r w:rsidRPr="008F6419">
        <w:rPr>
          <w:rFonts w:eastAsia="Times New Roman" w:cstheme="minorHAnsi"/>
          <w:lang w:eastAsia="en-GB"/>
        </w:rPr>
        <w:t>Moppett</w:t>
      </w:r>
      <w:r>
        <w:rPr>
          <w:rFonts w:eastAsia="Times New Roman" w:cstheme="minorHAnsi"/>
          <w:vertAlign w:val="superscript"/>
          <w:lang w:eastAsia="en-GB"/>
        </w:rPr>
        <w:t>9</w:t>
      </w:r>
      <w:r w:rsidRPr="008F6419">
        <w:rPr>
          <w:rFonts w:eastAsia="Times New Roman" w:cstheme="minorHAnsi"/>
          <w:lang w:eastAsia="en-GB"/>
        </w:rPr>
        <w:t xml:space="preserve">, </w:t>
      </w:r>
      <w:r w:rsidRPr="008F6419">
        <w:rPr>
          <w:rFonts w:cstheme="minorHAnsi"/>
        </w:rPr>
        <w:t>Lawrence Mudford</w:t>
      </w:r>
      <w:r>
        <w:rPr>
          <w:rFonts w:cstheme="minorHAnsi"/>
          <w:vertAlign w:val="superscript"/>
        </w:rPr>
        <w:t>10</w:t>
      </w:r>
      <w:r w:rsidRPr="008F6419">
        <w:rPr>
          <w:rFonts w:cstheme="minorHAnsi"/>
        </w:rPr>
        <w:t>, John Norrie</w:t>
      </w:r>
      <w:r>
        <w:rPr>
          <w:rFonts w:cstheme="minorHAnsi"/>
          <w:vertAlign w:val="superscript"/>
        </w:rPr>
        <w:t>11</w:t>
      </w:r>
      <w:r w:rsidRPr="008F6419">
        <w:rPr>
          <w:rFonts w:eastAsia="Times New Roman" w:cstheme="minorHAnsi"/>
          <w:lang w:eastAsia="en-GB"/>
        </w:rPr>
        <w:t xml:space="preserve">, Rupert </w:t>
      </w:r>
      <w:r>
        <w:rPr>
          <w:rFonts w:eastAsia="Times New Roman" w:cstheme="minorHAnsi"/>
          <w:lang w:eastAsia="en-GB"/>
        </w:rPr>
        <w:t xml:space="preserve">M </w:t>
      </w:r>
      <w:r w:rsidRPr="008F6419">
        <w:rPr>
          <w:rFonts w:eastAsia="Times New Roman" w:cstheme="minorHAnsi"/>
          <w:lang w:eastAsia="en-GB"/>
        </w:rPr>
        <w:t>Pearse</w:t>
      </w:r>
      <w:r>
        <w:rPr>
          <w:rFonts w:eastAsia="Times New Roman" w:cstheme="minorHAnsi"/>
          <w:vertAlign w:val="superscript"/>
          <w:lang w:eastAsia="en-GB"/>
        </w:rPr>
        <w:t>12</w:t>
      </w:r>
      <w:r w:rsidRPr="008F6419">
        <w:rPr>
          <w:rFonts w:eastAsia="Times New Roman" w:cstheme="minorHAnsi"/>
          <w:lang w:eastAsia="en-GB"/>
        </w:rPr>
        <w:t>, Thomas Pinkney</w:t>
      </w:r>
      <w:r>
        <w:rPr>
          <w:rFonts w:eastAsia="Times New Roman" w:cstheme="minorHAnsi"/>
          <w:vertAlign w:val="superscript"/>
          <w:lang w:eastAsia="en-GB"/>
        </w:rPr>
        <w:t>7</w:t>
      </w:r>
      <w:r w:rsidRPr="008F6419">
        <w:rPr>
          <w:rFonts w:eastAsia="Times New Roman" w:cstheme="minorHAnsi"/>
          <w:lang w:eastAsia="en-GB"/>
        </w:rPr>
        <w:t>, Athanasios Saratzis</w:t>
      </w:r>
      <w:r>
        <w:rPr>
          <w:rFonts w:eastAsia="Times New Roman" w:cstheme="minorHAnsi"/>
          <w:vertAlign w:val="superscript"/>
          <w:lang w:eastAsia="en-GB"/>
        </w:rPr>
        <w:t>6</w:t>
      </w:r>
      <w:r w:rsidRPr="008F6419">
        <w:rPr>
          <w:rFonts w:eastAsia="Times New Roman" w:cstheme="minorHAnsi"/>
          <w:lang w:eastAsia="en-GB"/>
        </w:rPr>
        <w:t>, Rob</w:t>
      </w:r>
      <w:r>
        <w:rPr>
          <w:rFonts w:eastAsia="Times New Roman" w:cstheme="minorHAnsi"/>
          <w:lang w:eastAsia="en-GB"/>
        </w:rPr>
        <w:t>ert</w:t>
      </w:r>
      <w:r w:rsidRPr="008F6419">
        <w:rPr>
          <w:rFonts w:eastAsia="Times New Roman" w:cstheme="minorHAnsi"/>
          <w:lang w:eastAsia="en-GB"/>
        </w:rPr>
        <w:t xml:space="preserve"> Sayers</w:t>
      </w:r>
      <w:r>
        <w:rPr>
          <w:rFonts w:eastAsia="Times New Roman" w:cstheme="minorHAnsi"/>
          <w:vertAlign w:val="superscript"/>
          <w:lang w:eastAsia="en-GB"/>
        </w:rPr>
        <w:t>6</w:t>
      </w:r>
      <w:r w:rsidRPr="008F6419">
        <w:rPr>
          <w:rFonts w:eastAsia="Times New Roman" w:cstheme="minorHAnsi"/>
          <w:lang w:eastAsia="en-GB"/>
        </w:rPr>
        <w:t xml:space="preserve">, </w:t>
      </w:r>
      <w:r w:rsidRPr="008F6419">
        <w:rPr>
          <w:rFonts w:cstheme="minorHAnsi"/>
        </w:rPr>
        <w:t>Cec</w:t>
      </w:r>
      <w:r>
        <w:rPr>
          <w:rFonts w:cstheme="minorHAnsi"/>
        </w:rPr>
        <w:t>i</w:t>
      </w:r>
      <w:r w:rsidRPr="008F6419">
        <w:rPr>
          <w:rFonts w:cstheme="minorHAnsi"/>
        </w:rPr>
        <w:t>lia Vindrola</w:t>
      </w:r>
      <w:r>
        <w:rPr>
          <w:rFonts w:cstheme="minorHAnsi"/>
        </w:rPr>
        <w:t>-Padros</w:t>
      </w:r>
      <w:r>
        <w:rPr>
          <w:rFonts w:cstheme="minorHAnsi"/>
          <w:vertAlign w:val="superscript"/>
        </w:rPr>
        <w:t>13</w:t>
      </w:r>
      <w:r w:rsidRPr="008F6419">
        <w:rPr>
          <w:rFonts w:eastAsia="Times New Roman" w:cstheme="minorHAnsi"/>
          <w:lang w:eastAsia="en-GB"/>
        </w:rPr>
        <w:t xml:space="preserve">, </w:t>
      </w:r>
      <w:r>
        <w:rPr>
          <w:rFonts w:eastAsia="Times New Roman" w:cstheme="minorHAnsi"/>
          <w:lang w:eastAsia="en-GB"/>
        </w:rPr>
        <w:t>Justin Waring</w:t>
      </w:r>
      <w:r>
        <w:rPr>
          <w:rFonts w:eastAsia="Times New Roman" w:cstheme="minorHAnsi"/>
          <w:vertAlign w:val="superscript"/>
          <w:lang w:eastAsia="en-GB"/>
        </w:rPr>
        <w:t>14</w:t>
      </w:r>
    </w:p>
    <w:p w14:paraId="5EA20A31" w14:textId="77777777" w:rsidR="00457A82" w:rsidRDefault="00457A82" w:rsidP="00457A82">
      <w:pPr>
        <w:textAlignment w:val="baseline"/>
        <w:rPr>
          <w:rFonts w:eastAsia="Times New Roman" w:cstheme="minorHAnsi"/>
          <w:lang w:eastAsia="en-GB"/>
        </w:rPr>
      </w:pPr>
    </w:p>
    <w:p w14:paraId="096DD5D1" w14:textId="77777777" w:rsidR="00457A82" w:rsidRDefault="00457A82" w:rsidP="00457A82">
      <w:pPr>
        <w:textAlignment w:val="baseline"/>
        <w:rPr>
          <w:rFonts w:eastAsia="Times New Roman" w:cstheme="minorHAnsi"/>
          <w:lang w:eastAsia="en-GB"/>
        </w:rPr>
      </w:pPr>
      <w:r w:rsidRPr="00052DBE">
        <w:rPr>
          <w:rFonts w:eastAsia="Times New Roman" w:cstheme="minorHAnsi"/>
          <w:lang w:eastAsia="en-GB"/>
        </w:rPr>
        <w:t>*</w:t>
      </w:r>
      <w:r>
        <w:rPr>
          <w:rFonts w:eastAsia="Times New Roman" w:cstheme="minorHAnsi"/>
          <w:lang w:eastAsia="en-GB"/>
        </w:rPr>
        <w:t xml:space="preserve">Co-first authors </w:t>
      </w:r>
    </w:p>
    <w:p w14:paraId="55B06880" w14:textId="77777777" w:rsidR="00457A82" w:rsidRDefault="00457A82" w:rsidP="00457A82">
      <w:pPr>
        <w:textAlignment w:val="baseline"/>
        <w:rPr>
          <w:rFonts w:eastAsia="Times New Roman" w:cstheme="minorHAnsi"/>
          <w:lang w:eastAsia="en-GB"/>
        </w:rPr>
      </w:pPr>
    </w:p>
    <w:p w14:paraId="6BA5CB77" w14:textId="77777777" w:rsidR="00457A82" w:rsidRDefault="00457A82" w:rsidP="00457A82">
      <w:pPr>
        <w:pStyle w:val="ListParagraph"/>
        <w:numPr>
          <w:ilvl w:val="0"/>
          <w:numId w:val="3"/>
        </w:numPr>
        <w:spacing w:after="0" w:line="240" w:lineRule="auto"/>
        <w:textAlignment w:val="baseline"/>
        <w:rPr>
          <w:rFonts w:eastAsia="Times New Roman" w:cstheme="minorHAnsi"/>
          <w:lang w:eastAsia="en-GB"/>
        </w:rPr>
      </w:pPr>
      <w:r>
        <w:rPr>
          <w:rFonts w:eastAsia="Times New Roman" w:cstheme="minorHAnsi"/>
          <w:lang w:eastAsia="en-GB"/>
        </w:rPr>
        <w:t>Perioperative medicine for Older People undergoing Surgery (POPS), Guy’s and St Thomas’ NHS Foundation Trust</w:t>
      </w:r>
    </w:p>
    <w:p w14:paraId="527B93AF" w14:textId="77777777" w:rsidR="00457A82" w:rsidRDefault="00457A82" w:rsidP="00457A82">
      <w:pPr>
        <w:pStyle w:val="ListParagraph"/>
        <w:numPr>
          <w:ilvl w:val="0"/>
          <w:numId w:val="3"/>
        </w:numPr>
        <w:spacing w:after="0" w:line="240" w:lineRule="auto"/>
        <w:textAlignment w:val="baseline"/>
        <w:rPr>
          <w:rFonts w:eastAsia="Times New Roman" w:cstheme="minorHAnsi"/>
          <w:lang w:eastAsia="en-GB"/>
        </w:rPr>
      </w:pPr>
      <w:r>
        <w:rPr>
          <w:rFonts w:eastAsia="Times New Roman" w:cstheme="minorHAnsi"/>
          <w:lang w:eastAsia="en-GB"/>
        </w:rPr>
        <w:t>Ageing Research, Population Health Sciences, Life Sciences and Medicine, King’s College London</w:t>
      </w:r>
    </w:p>
    <w:p w14:paraId="69DD795D" w14:textId="77777777" w:rsidR="00457A82" w:rsidRDefault="00457A82" w:rsidP="00457A82">
      <w:pPr>
        <w:pStyle w:val="ListParagraph"/>
        <w:numPr>
          <w:ilvl w:val="0"/>
          <w:numId w:val="3"/>
        </w:numPr>
        <w:spacing w:after="0" w:line="240" w:lineRule="auto"/>
        <w:textAlignment w:val="baseline"/>
        <w:rPr>
          <w:rFonts w:eastAsia="Times New Roman" w:cstheme="minorHAnsi"/>
          <w:lang w:eastAsia="en-GB"/>
        </w:rPr>
      </w:pPr>
      <w:r>
        <w:rPr>
          <w:rFonts w:eastAsia="Times New Roman" w:cstheme="minorHAnsi"/>
          <w:lang w:eastAsia="en-GB"/>
        </w:rPr>
        <w:t>Population Health Research Institute, City St Georges, University of London</w:t>
      </w:r>
    </w:p>
    <w:p w14:paraId="7085C7FD" w14:textId="77777777" w:rsidR="00457A82" w:rsidRPr="003D5A82" w:rsidRDefault="00457A82" w:rsidP="00457A82">
      <w:pPr>
        <w:pStyle w:val="ListParagraph"/>
        <w:numPr>
          <w:ilvl w:val="0"/>
          <w:numId w:val="3"/>
        </w:numPr>
        <w:spacing w:after="0" w:line="240" w:lineRule="auto"/>
        <w:textAlignment w:val="baseline"/>
        <w:rPr>
          <w:rFonts w:eastAsia="Times New Roman" w:cstheme="minorHAnsi"/>
          <w:lang w:eastAsia="en-GB"/>
        </w:rPr>
      </w:pPr>
      <w:r>
        <w:rPr>
          <w:rFonts w:eastAsia="Times New Roman" w:cstheme="minorHAnsi"/>
          <w:lang w:eastAsia="en-GB"/>
        </w:rPr>
        <w:t>NHS England</w:t>
      </w:r>
    </w:p>
    <w:p w14:paraId="575621A1" w14:textId="77777777" w:rsidR="00457A82" w:rsidRPr="00D369EB" w:rsidRDefault="00457A82" w:rsidP="00457A82">
      <w:pPr>
        <w:pStyle w:val="ListParagraph"/>
        <w:numPr>
          <w:ilvl w:val="0"/>
          <w:numId w:val="3"/>
        </w:numPr>
        <w:spacing w:after="0" w:line="240" w:lineRule="auto"/>
        <w:textAlignment w:val="baseline"/>
        <w:rPr>
          <w:rFonts w:eastAsia="Times New Roman" w:cstheme="minorHAnsi"/>
          <w:lang w:eastAsia="en-GB"/>
        </w:rPr>
      </w:pPr>
      <w:r w:rsidRPr="00D369EB">
        <w:rPr>
          <w:rFonts w:eastAsia="Times New Roman" w:cstheme="minorHAnsi"/>
          <w:lang w:eastAsia="en-GB"/>
        </w:rPr>
        <w:t>Health Services and Population Research Department, Institute of Psychiatry, Psychology and Neuroscience, King’s College London</w:t>
      </w:r>
    </w:p>
    <w:p w14:paraId="1E550CE9" w14:textId="77777777" w:rsidR="00457A82" w:rsidRPr="003D5A82" w:rsidRDefault="00457A82" w:rsidP="00457A82">
      <w:pPr>
        <w:pStyle w:val="ListParagraph"/>
        <w:numPr>
          <w:ilvl w:val="0"/>
          <w:numId w:val="3"/>
        </w:numPr>
        <w:spacing w:after="0" w:line="240" w:lineRule="auto"/>
        <w:textAlignment w:val="baseline"/>
        <w:rPr>
          <w:rFonts w:eastAsia="Times New Roman" w:cstheme="minorHAnsi"/>
          <w:lang w:eastAsia="en-GB"/>
        </w:rPr>
      </w:pPr>
      <w:r w:rsidRPr="003D5A82">
        <w:rPr>
          <w:rFonts w:eastAsia="Times New Roman" w:cstheme="minorHAnsi"/>
          <w:lang w:eastAsia="en-GB"/>
        </w:rPr>
        <w:t>University of Leicester, Department of Cardiovascular Sciences, NIHR Leicester Biomedical Research Centre</w:t>
      </w:r>
    </w:p>
    <w:p w14:paraId="3FDCFDF1" w14:textId="77777777" w:rsidR="00457A82" w:rsidRDefault="00457A82" w:rsidP="00457A82">
      <w:pPr>
        <w:pStyle w:val="ListParagraph"/>
        <w:numPr>
          <w:ilvl w:val="0"/>
          <w:numId w:val="3"/>
        </w:numPr>
        <w:spacing w:after="0" w:line="240" w:lineRule="auto"/>
        <w:textAlignment w:val="baseline"/>
        <w:rPr>
          <w:rFonts w:eastAsia="Times New Roman" w:cstheme="minorHAnsi"/>
          <w:lang w:eastAsia="en-GB"/>
        </w:rPr>
      </w:pPr>
      <w:r w:rsidRPr="001244B2">
        <w:rPr>
          <w:rFonts w:eastAsia="Times New Roman" w:cstheme="minorHAnsi"/>
          <w:lang w:eastAsia="en-GB"/>
        </w:rPr>
        <w:t>Birmingham Centre for Observational and Prospective Studies (BiCOPS)</w:t>
      </w:r>
      <w:r>
        <w:rPr>
          <w:rFonts w:eastAsia="Times New Roman" w:cstheme="minorHAnsi"/>
          <w:lang w:eastAsia="en-GB"/>
        </w:rPr>
        <w:t>, University of Birmingham</w:t>
      </w:r>
    </w:p>
    <w:p w14:paraId="1C06E257" w14:textId="77777777" w:rsidR="00457A82" w:rsidRDefault="00457A82" w:rsidP="00457A82">
      <w:pPr>
        <w:pStyle w:val="ListParagraph"/>
        <w:numPr>
          <w:ilvl w:val="0"/>
          <w:numId w:val="3"/>
        </w:numPr>
        <w:spacing w:after="0" w:line="240" w:lineRule="auto"/>
        <w:textAlignment w:val="baseline"/>
        <w:rPr>
          <w:rFonts w:eastAsia="Times New Roman" w:cstheme="minorHAnsi"/>
          <w:lang w:eastAsia="en-GB"/>
        </w:rPr>
      </w:pPr>
      <w:r>
        <w:rPr>
          <w:rFonts w:eastAsia="Times New Roman" w:cstheme="minorHAnsi"/>
          <w:lang w:eastAsia="en-GB"/>
        </w:rPr>
        <w:t>Cardiovascular and Metabolic Medicine &amp; Sciences, British Heart Foundation Centre, Life Sciences and Medicine, King’s College London</w:t>
      </w:r>
    </w:p>
    <w:p w14:paraId="4F25EAA3" w14:textId="77777777" w:rsidR="00457A82" w:rsidRPr="003D5A82" w:rsidRDefault="00457A82" w:rsidP="00457A82">
      <w:pPr>
        <w:pStyle w:val="ListParagraph"/>
        <w:numPr>
          <w:ilvl w:val="0"/>
          <w:numId w:val="3"/>
        </w:numPr>
        <w:spacing w:after="0" w:line="240" w:lineRule="auto"/>
        <w:textAlignment w:val="baseline"/>
        <w:rPr>
          <w:rFonts w:eastAsia="Times New Roman" w:cstheme="minorHAnsi"/>
          <w:lang w:eastAsia="en-GB"/>
        </w:rPr>
      </w:pPr>
      <w:r w:rsidRPr="003D5A82">
        <w:rPr>
          <w:rFonts w:eastAsia="Times New Roman" w:cstheme="minorHAnsi"/>
          <w:lang w:eastAsia="en-GB"/>
        </w:rPr>
        <w:t>University of Nottingham &amp; Nottingham University Hospitals NHS Trust</w:t>
      </w:r>
    </w:p>
    <w:p w14:paraId="7CA7508B" w14:textId="77777777" w:rsidR="00457A82" w:rsidRDefault="00457A82" w:rsidP="00457A82">
      <w:pPr>
        <w:pStyle w:val="ListParagraph"/>
        <w:numPr>
          <w:ilvl w:val="0"/>
          <w:numId w:val="3"/>
        </w:numPr>
        <w:spacing w:after="0" w:line="240" w:lineRule="auto"/>
        <w:textAlignment w:val="baseline"/>
        <w:rPr>
          <w:rFonts w:eastAsia="Times New Roman" w:cstheme="minorHAnsi"/>
          <w:lang w:eastAsia="en-GB"/>
        </w:rPr>
      </w:pPr>
      <w:r>
        <w:rPr>
          <w:rFonts w:eastAsia="Times New Roman" w:cstheme="minorHAnsi"/>
          <w:lang w:eastAsia="en-GB"/>
        </w:rPr>
        <w:t>Centre for Perioperative Care (CPOC)</w:t>
      </w:r>
    </w:p>
    <w:p w14:paraId="39C9E2D3" w14:textId="77777777" w:rsidR="00457A82" w:rsidRDefault="00457A82" w:rsidP="00457A82">
      <w:pPr>
        <w:pStyle w:val="ListParagraph"/>
        <w:numPr>
          <w:ilvl w:val="0"/>
          <w:numId w:val="3"/>
        </w:numPr>
        <w:spacing w:after="0" w:line="240" w:lineRule="auto"/>
        <w:textAlignment w:val="baseline"/>
        <w:rPr>
          <w:rFonts w:eastAsia="Times New Roman" w:cstheme="minorHAnsi"/>
          <w:lang w:eastAsia="en-GB"/>
        </w:rPr>
      </w:pPr>
      <w:r>
        <w:rPr>
          <w:rFonts w:eastAsia="Times New Roman" w:cstheme="minorHAnsi"/>
          <w:lang w:eastAsia="en-GB"/>
        </w:rPr>
        <w:t>School of Medicine, Dentistry and Biomedical Sciences, Queen’s University, Belfast</w:t>
      </w:r>
    </w:p>
    <w:p w14:paraId="110F9BEF" w14:textId="77777777" w:rsidR="00457A82" w:rsidRDefault="00457A82" w:rsidP="00457A82">
      <w:pPr>
        <w:pStyle w:val="ListParagraph"/>
        <w:numPr>
          <w:ilvl w:val="0"/>
          <w:numId w:val="3"/>
        </w:numPr>
        <w:spacing w:after="0" w:line="240" w:lineRule="auto"/>
        <w:textAlignment w:val="baseline"/>
        <w:rPr>
          <w:rFonts w:eastAsia="Times New Roman" w:cstheme="minorHAnsi"/>
          <w:lang w:eastAsia="en-GB"/>
        </w:rPr>
      </w:pPr>
      <w:r>
        <w:rPr>
          <w:rFonts w:eastAsia="Times New Roman" w:cstheme="minorHAnsi"/>
          <w:lang w:eastAsia="en-GB"/>
        </w:rPr>
        <w:t>Critical Care and Perioperative Medicine Research Group, Queen Mary University of London</w:t>
      </w:r>
    </w:p>
    <w:p w14:paraId="1EDDED27" w14:textId="77777777" w:rsidR="00457A82" w:rsidRDefault="00457A82" w:rsidP="00457A82">
      <w:pPr>
        <w:pStyle w:val="ListParagraph"/>
        <w:numPr>
          <w:ilvl w:val="0"/>
          <w:numId w:val="3"/>
        </w:numPr>
        <w:spacing w:after="0" w:line="240" w:lineRule="auto"/>
        <w:textAlignment w:val="baseline"/>
        <w:rPr>
          <w:rFonts w:eastAsia="Times New Roman" w:cstheme="minorHAnsi"/>
          <w:lang w:eastAsia="en-GB"/>
        </w:rPr>
      </w:pPr>
      <w:r>
        <w:rPr>
          <w:rFonts w:eastAsia="Times New Roman" w:cstheme="minorHAnsi"/>
          <w:lang w:eastAsia="en-GB"/>
        </w:rPr>
        <w:t xml:space="preserve">Department or Targeted Intervention, University College London </w:t>
      </w:r>
    </w:p>
    <w:p w14:paraId="42DFB607" w14:textId="77777777" w:rsidR="00457A82" w:rsidRDefault="00457A82" w:rsidP="00457A82">
      <w:pPr>
        <w:pStyle w:val="ListParagraph"/>
        <w:numPr>
          <w:ilvl w:val="0"/>
          <w:numId w:val="3"/>
        </w:numPr>
        <w:spacing w:after="0" w:line="240" w:lineRule="auto"/>
        <w:textAlignment w:val="baseline"/>
        <w:rPr>
          <w:rFonts w:eastAsia="Times New Roman" w:cstheme="minorHAnsi"/>
          <w:lang w:eastAsia="en-GB"/>
        </w:rPr>
      </w:pPr>
      <w:r>
        <w:rPr>
          <w:rFonts w:eastAsia="Times New Roman" w:cstheme="minorHAnsi"/>
          <w:lang w:eastAsia="en-GB"/>
        </w:rPr>
        <w:t>School of Social Sciences, Loughborough University</w:t>
      </w:r>
    </w:p>
    <w:p w14:paraId="1B57019D" w14:textId="77777777" w:rsidR="00457A82" w:rsidRPr="006F1F07" w:rsidRDefault="00457A82" w:rsidP="00457A82">
      <w:pPr>
        <w:textAlignment w:val="baseline"/>
        <w:rPr>
          <w:rFonts w:eastAsia="Times New Roman" w:cstheme="minorHAnsi"/>
          <w:lang w:eastAsia="en-GB"/>
        </w:rPr>
      </w:pPr>
    </w:p>
    <w:p w14:paraId="73E59A0E" w14:textId="77777777" w:rsidR="00457A82" w:rsidRDefault="00457A82" w:rsidP="00457A82">
      <w:pPr>
        <w:rPr>
          <w:b/>
        </w:rPr>
      </w:pPr>
    </w:p>
    <w:p w14:paraId="4A5409DD" w14:textId="77777777" w:rsidR="00457A82" w:rsidRDefault="00457A82" w:rsidP="00457A82">
      <w:pPr>
        <w:rPr>
          <w:b/>
        </w:rPr>
      </w:pPr>
      <w:r>
        <w:rPr>
          <w:b/>
        </w:rPr>
        <w:t>Corresponding author</w:t>
      </w:r>
    </w:p>
    <w:p w14:paraId="150B4A04" w14:textId="77777777" w:rsidR="00457A82" w:rsidRPr="006F1F07" w:rsidRDefault="00457A82" w:rsidP="00457A82">
      <w:pPr>
        <w:rPr>
          <w:bCs/>
        </w:rPr>
      </w:pPr>
      <w:r w:rsidRPr="006F1F07">
        <w:rPr>
          <w:bCs/>
        </w:rPr>
        <w:t>Dr Bridget Strasser</w:t>
      </w:r>
    </w:p>
    <w:p w14:paraId="6D23300D" w14:textId="77777777" w:rsidR="00457A82" w:rsidRPr="006F1F07" w:rsidRDefault="00457A82" w:rsidP="00457A82">
      <w:pPr>
        <w:rPr>
          <w:bCs/>
        </w:rPr>
      </w:pPr>
      <w:r w:rsidRPr="006F1F07">
        <w:rPr>
          <w:bCs/>
        </w:rPr>
        <w:t xml:space="preserve">Guy's Hospital, Great Maze Pond, London, SE1 9RT </w:t>
      </w:r>
    </w:p>
    <w:p w14:paraId="79F75031" w14:textId="77777777" w:rsidR="00457A82" w:rsidRDefault="00611677" w:rsidP="00457A82">
      <w:pPr>
        <w:rPr>
          <w:bCs/>
        </w:rPr>
      </w:pPr>
      <w:hyperlink r:id="rId7" w:history="1">
        <w:r w:rsidR="00457A82" w:rsidRPr="006F1F07">
          <w:rPr>
            <w:rStyle w:val="Hyperlink"/>
            <w:bCs/>
          </w:rPr>
          <w:t>Bridget.strasser@gstt.nhs.uk</w:t>
        </w:r>
      </w:hyperlink>
    </w:p>
    <w:p w14:paraId="1FCC502E" w14:textId="77777777" w:rsidR="00457A82" w:rsidRPr="006F1F07" w:rsidRDefault="00457A82" w:rsidP="00457A82">
      <w:pPr>
        <w:rPr>
          <w:bCs/>
        </w:rPr>
      </w:pPr>
      <w:r>
        <w:rPr>
          <w:bCs/>
        </w:rPr>
        <w:t xml:space="preserve">ORCID ID: </w:t>
      </w:r>
      <w:hyperlink r:id="rId8" w:tgtFrame="_blank" w:tooltip="Click for public view of ORCID" w:history="1">
        <w:r w:rsidRPr="00030822">
          <w:rPr>
            <w:rStyle w:val="Hyperlink"/>
            <w:bCs/>
          </w:rPr>
          <w:t>0009-0008-5461-5330</w:t>
        </w:r>
      </w:hyperlink>
    </w:p>
    <w:p w14:paraId="10D239C1" w14:textId="77777777" w:rsidR="00E93849" w:rsidRPr="00BA67BD" w:rsidRDefault="00E93849" w:rsidP="00EE61CE">
      <w:pPr>
        <w:spacing w:line="360" w:lineRule="auto"/>
        <w:jc w:val="both"/>
        <w:rPr>
          <w:rFonts w:cstheme="minorHAnsi"/>
          <w:b/>
          <w:bCs/>
          <w:sz w:val="22"/>
          <w:szCs w:val="22"/>
          <w:lang w:val="en-US"/>
        </w:rPr>
      </w:pPr>
    </w:p>
    <w:p w14:paraId="004B3884" w14:textId="77777777" w:rsidR="009A15BB" w:rsidRDefault="009A15BB" w:rsidP="00EE61CE">
      <w:pPr>
        <w:spacing w:line="276" w:lineRule="auto"/>
        <w:jc w:val="both"/>
        <w:rPr>
          <w:b/>
          <w:bCs/>
          <w:sz w:val="22"/>
          <w:szCs w:val="22"/>
          <w:lang w:val="en-US"/>
        </w:rPr>
      </w:pPr>
    </w:p>
    <w:p w14:paraId="553F415D" w14:textId="77777777" w:rsidR="009A15BB" w:rsidRDefault="009A15BB" w:rsidP="00EE61CE">
      <w:pPr>
        <w:spacing w:line="276" w:lineRule="auto"/>
        <w:jc w:val="both"/>
        <w:rPr>
          <w:b/>
          <w:bCs/>
          <w:sz w:val="22"/>
          <w:szCs w:val="22"/>
          <w:lang w:val="en-US"/>
        </w:rPr>
      </w:pPr>
    </w:p>
    <w:p w14:paraId="106AE222" w14:textId="77777777" w:rsidR="009A15BB" w:rsidRDefault="009A15BB" w:rsidP="00EE61CE">
      <w:pPr>
        <w:spacing w:line="276" w:lineRule="auto"/>
        <w:jc w:val="both"/>
        <w:rPr>
          <w:b/>
          <w:bCs/>
          <w:sz w:val="22"/>
          <w:szCs w:val="22"/>
          <w:lang w:val="en-US"/>
        </w:rPr>
      </w:pPr>
    </w:p>
    <w:p w14:paraId="017371B5" w14:textId="77777777" w:rsidR="009A15BB" w:rsidRDefault="009A15BB" w:rsidP="00EE61CE">
      <w:pPr>
        <w:spacing w:line="276" w:lineRule="auto"/>
        <w:jc w:val="both"/>
        <w:rPr>
          <w:b/>
          <w:bCs/>
          <w:sz w:val="22"/>
          <w:szCs w:val="22"/>
          <w:lang w:val="en-US"/>
        </w:rPr>
      </w:pPr>
    </w:p>
    <w:p w14:paraId="0D5D9B37" w14:textId="77777777" w:rsidR="009A15BB" w:rsidRDefault="009A15BB" w:rsidP="00EE61CE">
      <w:pPr>
        <w:spacing w:line="276" w:lineRule="auto"/>
        <w:jc w:val="both"/>
        <w:rPr>
          <w:b/>
          <w:bCs/>
          <w:sz w:val="22"/>
          <w:szCs w:val="22"/>
          <w:lang w:val="en-US"/>
        </w:rPr>
      </w:pPr>
    </w:p>
    <w:p w14:paraId="7210B930" w14:textId="44DDD5BD" w:rsidR="00862305" w:rsidRPr="00E01251" w:rsidRDefault="001F47C8" w:rsidP="00EE61CE">
      <w:pPr>
        <w:spacing w:line="276" w:lineRule="auto"/>
        <w:jc w:val="both"/>
        <w:rPr>
          <w:b/>
          <w:bCs/>
          <w:sz w:val="22"/>
          <w:szCs w:val="22"/>
          <w:lang w:val="en-US"/>
        </w:rPr>
      </w:pPr>
      <w:r w:rsidRPr="00E01251">
        <w:rPr>
          <w:b/>
          <w:bCs/>
          <w:sz w:val="22"/>
          <w:szCs w:val="22"/>
          <w:lang w:val="en-US"/>
        </w:rPr>
        <w:t>Supplementary Materials - Index</w:t>
      </w:r>
    </w:p>
    <w:p w14:paraId="537CBA07" w14:textId="77777777" w:rsidR="001F47C8" w:rsidRDefault="001F47C8" w:rsidP="00EE61CE">
      <w:pPr>
        <w:spacing w:line="276" w:lineRule="auto"/>
        <w:jc w:val="both"/>
        <w:rPr>
          <w:sz w:val="22"/>
          <w:szCs w:val="22"/>
          <w:lang w:val="en-U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4721"/>
      </w:tblGrid>
      <w:tr w:rsidR="00AB38B0" w14:paraId="0EA617DE" w14:textId="77777777" w:rsidTr="00F3194F">
        <w:tc>
          <w:tcPr>
            <w:tcW w:w="4721" w:type="dxa"/>
            <w:tcBorders>
              <w:top w:val="single" w:sz="4" w:space="0" w:color="auto"/>
              <w:left w:val="single" w:sz="4" w:space="0" w:color="auto"/>
              <w:bottom w:val="single" w:sz="4" w:space="0" w:color="auto"/>
              <w:right w:val="single" w:sz="4" w:space="0" w:color="auto"/>
            </w:tcBorders>
          </w:tcPr>
          <w:p w14:paraId="28F8F56E" w14:textId="3CA9EF36" w:rsidR="00AB38B0" w:rsidRPr="00AB38B0" w:rsidRDefault="00AB38B0" w:rsidP="00457A82">
            <w:pPr>
              <w:spacing w:line="360" w:lineRule="auto"/>
              <w:jc w:val="both"/>
              <w:rPr>
                <w:b/>
                <w:bCs/>
                <w:lang w:val="en-US"/>
              </w:rPr>
            </w:pPr>
            <w:r>
              <w:rPr>
                <w:b/>
                <w:bCs/>
                <w:lang w:val="en-US"/>
              </w:rPr>
              <w:t>Supplementary figures and tables</w:t>
            </w:r>
          </w:p>
        </w:tc>
        <w:tc>
          <w:tcPr>
            <w:tcW w:w="4721" w:type="dxa"/>
            <w:tcBorders>
              <w:top w:val="single" w:sz="4" w:space="0" w:color="auto"/>
              <w:left w:val="single" w:sz="4" w:space="0" w:color="auto"/>
              <w:bottom w:val="single" w:sz="4" w:space="0" w:color="auto"/>
              <w:right w:val="single" w:sz="4" w:space="0" w:color="auto"/>
            </w:tcBorders>
          </w:tcPr>
          <w:p w14:paraId="71EC3B26" w14:textId="3EE4B4F7" w:rsidR="00AB38B0" w:rsidRDefault="000772B6" w:rsidP="00C833A3">
            <w:pPr>
              <w:spacing w:line="360" w:lineRule="auto"/>
              <w:jc w:val="right"/>
              <w:rPr>
                <w:i/>
                <w:iCs/>
                <w:lang w:val="en-US"/>
              </w:rPr>
            </w:pPr>
            <w:r>
              <w:rPr>
                <w:i/>
                <w:iCs/>
                <w:lang w:val="en-US"/>
              </w:rPr>
              <w:t>Page</w:t>
            </w:r>
          </w:p>
        </w:tc>
      </w:tr>
      <w:tr w:rsidR="00F3194F" w14:paraId="4FC5CFF8" w14:textId="77777777" w:rsidTr="00F3194F">
        <w:trPr>
          <w:trHeight w:val="668"/>
        </w:trPr>
        <w:tc>
          <w:tcPr>
            <w:tcW w:w="4721" w:type="dxa"/>
            <w:tcBorders>
              <w:top w:val="single" w:sz="4" w:space="0" w:color="auto"/>
              <w:left w:val="single" w:sz="4" w:space="0" w:color="auto"/>
              <w:bottom w:val="single" w:sz="4" w:space="0" w:color="auto"/>
              <w:right w:val="single" w:sz="4" w:space="0" w:color="auto"/>
            </w:tcBorders>
          </w:tcPr>
          <w:p w14:paraId="74A7908F" w14:textId="1021AB4F" w:rsidR="00F3194F" w:rsidRDefault="00F3194F" w:rsidP="00AB38B0">
            <w:pPr>
              <w:rPr>
                <w:color w:val="000000"/>
                <w:lang w:val="en-AU"/>
              </w:rPr>
            </w:pPr>
            <w:r>
              <w:rPr>
                <w:color w:val="000000"/>
                <w:lang w:val="en-AU"/>
              </w:rPr>
              <w:lastRenderedPageBreak/>
              <w:t>Table 1:</w:t>
            </w:r>
            <w:r w:rsidRPr="00E42748">
              <w:t xml:space="preserve"> The perioperative medicine for older people undergoing surgery (POPS) logic model</w:t>
            </w:r>
            <w:r>
              <w:t xml:space="preserve"> (18)</w:t>
            </w:r>
          </w:p>
        </w:tc>
        <w:tc>
          <w:tcPr>
            <w:tcW w:w="4721" w:type="dxa"/>
            <w:tcBorders>
              <w:top w:val="single" w:sz="4" w:space="0" w:color="auto"/>
              <w:left w:val="single" w:sz="4" w:space="0" w:color="auto"/>
              <w:bottom w:val="single" w:sz="4" w:space="0" w:color="auto"/>
              <w:right w:val="single" w:sz="4" w:space="0" w:color="auto"/>
            </w:tcBorders>
          </w:tcPr>
          <w:p w14:paraId="5B61BE13" w14:textId="5221E990" w:rsidR="00F3194F" w:rsidRDefault="000772B6" w:rsidP="00F46283">
            <w:pPr>
              <w:spacing w:line="360" w:lineRule="auto"/>
              <w:jc w:val="right"/>
              <w:rPr>
                <w:i/>
                <w:iCs/>
                <w:lang w:val="en-US"/>
              </w:rPr>
            </w:pPr>
            <w:r>
              <w:rPr>
                <w:i/>
                <w:iCs/>
                <w:lang w:val="en-US"/>
              </w:rPr>
              <w:t>3-8</w:t>
            </w:r>
          </w:p>
        </w:tc>
      </w:tr>
      <w:tr w:rsidR="00F3194F" w14:paraId="311EAC4F" w14:textId="77777777" w:rsidTr="00F3194F">
        <w:trPr>
          <w:trHeight w:val="668"/>
        </w:trPr>
        <w:tc>
          <w:tcPr>
            <w:tcW w:w="4721" w:type="dxa"/>
            <w:tcBorders>
              <w:top w:val="single" w:sz="4" w:space="0" w:color="auto"/>
              <w:left w:val="single" w:sz="4" w:space="0" w:color="auto"/>
              <w:bottom w:val="single" w:sz="4" w:space="0" w:color="auto"/>
              <w:right w:val="single" w:sz="4" w:space="0" w:color="auto"/>
            </w:tcBorders>
          </w:tcPr>
          <w:p w14:paraId="0231F65C" w14:textId="77777777" w:rsidR="00F3194F" w:rsidRDefault="00F3194F" w:rsidP="00F3194F">
            <w:r>
              <w:rPr>
                <w:color w:val="000000"/>
                <w:lang w:val="en-AU"/>
              </w:rPr>
              <w:t xml:space="preserve">Table 2: </w:t>
            </w:r>
            <w:r>
              <w:t>Routinely collected clinical data</w:t>
            </w:r>
          </w:p>
          <w:p w14:paraId="4F745307" w14:textId="77777777" w:rsidR="00F3194F" w:rsidRDefault="00F3194F" w:rsidP="00F3194F">
            <w:pPr>
              <w:rPr>
                <w:color w:val="000000"/>
                <w:lang w:val="en-AU"/>
              </w:rPr>
            </w:pPr>
          </w:p>
        </w:tc>
        <w:tc>
          <w:tcPr>
            <w:tcW w:w="4721" w:type="dxa"/>
            <w:tcBorders>
              <w:top w:val="single" w:sz="4" w:space="0" w:color="auto"/>
              <w:left w:val="single" w:sz="4" w:space="0" w:color="auto"/>
              <w:bottom w:val="single" w:sz="4" w:space="0" w:color="auto"/>
              <w:right w:val="single" w:sz="4" w:space="0" w:color="auto"/>
            </w:tcBorders>
          </w:tcPr>
          <w:p w14:paraId="3CA2157A" w14:textId="3F61EFBB" w:rsidR="00F3194F" w:rsidRDefault="000772B6" w:rsidP="00F3194F">
            <w:pPr>
              <w:spacing w:line="360" w:lineRule="auto"/>
              <w:jc w:val="right"/>
              <w:rPr>
                <w:i/>
                <w:iCs/>
                <w:lang w:val="en-US"/>
              </w:rPr>
            </w:pPr>
            <w:r>
              <w:rPr>
                <w:i/>
                <w:iCs/>
                <w:lang w:val="en-US"/>
              </w:rPr>
              <w:t>9-12</w:t>
            </w:r>
          </w:p>
        </w:tc>
      </w:tr>
      <w:tr w:rsidR="00C833A3" w14:paraId="7BD2935A" w14:textId="77777777" w:rsidTr="00F3194F">
        <w:tc>
          <w:tcPr>
            <w:tcW w:w="4721" w:type="dxa"/>
            <w:tcBorders>
              <w:top w:val="single" w:sz="4" w:space="0" w:color="auto"/>
              <w:left w:val="single" w:sz="4" w:space="0" w:color="auto"/>
              <w:bottom w:val="single" w:sz="4" w:space="0" w:color="auto"/>
              <w:right w:val="single" w:sz="4" w:space="0" w:color="auto"/>
            </w:tcBorders>
          </w:tcPr>
          <w:p w14:paraId="320851EC" w14:textId="3AC52A3A" w:rsidR="00C833A3" w:rsidRPr="00BA67BD" w:rsidRDefault="00C833A3" w:rsidP="00C833A3">
            <w:pPr>
              <w:spacing w:line="360" w:lineRule="auto"/>
              <w:jc w:val="both"/>
              <w:rPr>
                <w:b/>
                <w:bCs/>
                <w:lang w:val="en-US"/>
              </w:rPr>
            </w:pPr>
            <w:r w:rsidRPr="00BA67BD">
              <w:rPr>
                <w:b/>
                <w:bCs/>
                <w:lang w:val="en-US"/>
              </w:rPr>
              <w:t>References</w:t>
            </w:r>
          </w:p>
        </w:tc>
        <w:tc>
          <w:tcPr>
            <w:tcW w:w="4721" w:type="dxa"/>
            <w:tcBorders>
              <w:top w:val="single" w:sz="4" w:space="0" w:color="auto"/>
              <w:left w:val="single" w:sz="4" w:space="0" w:color="auto"/>
              <w:bottom w:val="single" w:sz="4" w:space="0" w:color="auto"/>
              <w:right w:val="single" w:sz="4" w:space="0" w:color="auto"/>
            </w:tcBorders>
          </w:tcPr>
          <w:p w14:paraId="043B8E66" w14:textId="4F19FA74" w:rsidR="00C833A3" w:rsidRPr="00E01251" w:rsidRDefault="00AB5500" w:rsidP="00C833A3">
            <w:pPr>
              <w:spacing w:line="360" w:lineRule="auto"/>
              <w:jc w:val="right"/>
              <w:rPr>
                <w:i/>
                <w:iCs/>
                <w:lang w:val="en-US"/>
              </w:rPr>
            </w:pPr>
            <w:r>
              <w:rPr>
                <w:i/>
                <w:iCs/>
                <w:lang w:val="en-US"/>
              </w:rPr>
              <w:t>13-15</w:t>
            </w:r>
          </w:p>
        </w:tc>
      </w:tr>
      <w:tr w:rsidR="00C833A3" w14:paraId="40B3B9A0" w14:textId="77777777" w:rsidTr="00F3194F">
        <w:tc>
          <w:tcPr>
            <w:tcW w:w="4721" w:type="dxa"/>
            <w:tcBorders>
              <w:top w:val="single" w:sz="4" w:space="0" w:color="auto"/>
            </w:tcBorders>
          </w:tcPr>
          <w:p w14:paraId="7BE7165D" w14:textId="11C0318E" w:rsidR="00C833A3" w:rsidRDefault="00C833A3" w:rsidP="00C833A3">
            <w:pPr>
              <w:spacing w:line="360" w:lineRule="auto"/>
              <w:jc w:val="both"/>
              <w:rPr>
                <w:lang w:val="en-US"/>
              </w:rPr>
            </w:pPr>
          </w:p>
        </w:tc>
        <w:tc>
          <w:tcPr>
            <w:tcW w:w="4721" w:type="dxa"/>
            <w:tcBorders>
              <w:top w:val="single" w:sz="4" w:space="0" w:color="auto"/>
            </w:tcBorders>
          </w:tcPr>
          <w:p w14:paraId="6B51EB10" w14:textId="2E7B77D3" w:rsidR="00C833A3" w:rsidRPr="00E01251" w:rsidRDefault="00AB38B0" w:rsidP="00C833A3">
            <w:pPr>
              <w:spacing w:line="360" w:lineRule="auto"/>
              <w:jc w:val="right"/>
              <w:rPr>
                <w:i/>
                <w:iCs/>
                <w:lang w:val="en-US"/>
              </w:rPr>
            </w:pPr>
            <w:r>
              <w:rPr>
                <w:i/>
                <w:iCs/>
                <w:lang w:val="en-US"/>
              </w:rPr>
              <w:t>`</w:t>
            </w:r>
          </w:p>
        </w:tc>
      </w:tr>
    </w:tbl>
    <w:p w14:paraId="1B3B0DE7" w14:textId="12176073" w:rsidR="00BA67BD" w:rsidRDefault="00BA67BD" w:rsidP="009A15BB">
      <w:pPr>
        <w:jc w:val="both"/>
        <w:rPr>
          <w:b/>
          <w:bCs/>
          <w:sz w:val="22"/>
          <w:szCs w:val="22"/>
          <w:lang w:val="en-US"/>
        </w:rPr>
      </w:pPr>
    </w:p>
    <w:p w14:paraId="342B438E" w14:textId="77777777" w:rsidR="000772B6" w:rsidRDefault="000772B6" w:rsidP="009A15BB">
      <w:pPr>
        <w:jc w:val="both"/>
        <w:rPr>
          <w:b/>
          <w:bCs/>
          <w:sz w:val="22"/>
          <w:szCs w:val="22"/>
          <w:lang w:val="en-US"/>
        </w:rPr>
      </w:pPr>
    </w:p>
    <w:p w14:paraId="67C70293" w14:textId="77777777" w:rsidR="000772B6" w:rsidRDefault="000772B6" w:rsidP="009A15BB">
      <w:pPr>
        <w:jc w:val="both"/>
        <w:rPr>
          <w:b/>
          <w:bCs/>
          <w:sz w:val="22"/>
          <w:szCs w:val="22"/>
          <w:lang w:val="en-US"/>
        </w:rPr>
      </w:pPr>
    </w:p>
    <w:p w14:paraId="4D7F74A9" w14:textId="77777777" w:rsidR="000772B6" w:rsidRDefault="000772B6" w:rsidP="009A15BB">
      <w:pPr>
        <w:jc w:val="both"/>
        <w:rPr>
          <w:b/>
          <w:bCs/>
          <w:sz w:val="22"/>
          <w:szCs w:val="22"/>
          <w:lang w:val="en-US"/>
        </w:rPr>
      </w:pPr>
    </w:p>
    <w:p w14:paraId="39DDAA1F" w14:textId="77777777" w:rsidR="000772B6" w:rsidRDefault="000772B6" w:rsidP="009A15BB">
      <w:pPr>
        <w:jc w:val="both"/>
        <w:rPr>
          <w:b/>
          <w:bCs/>
          <w:sz w:val="22"/>
          <w:szCs w:val="22"/>
          <w:lang w:val="en-US"/>
        </w:rPr>
      </w:pPr>
    </w:p>
    <w:p w14:paraId="739BE215" w14:textId="77777777" w:rsidR="000772B6" w:rsidRDefault="000772B6" w:rsidP="009A15BB">
      <w:pPr>
        <w:jc w:val="both"/>
        <w:rPr>
          <w:b/>
          <w:bCs/>
          <w:sz w:val="22"/>
          <w:szCs w:val="22"/>
          <w:lang w:val="en-US"/>
        </w:rPr>
      </w:pPr>
    </w:p>
    <w:p w14:paraId="4C6AFB49" w14:textId="77777777" w:rsidR="000772B6" w:rsidRDefault="000772B6" w:rsidP="009A15BB">
      <w:pPr>
        <w:jc w:val="both"/>
        <w:rPr>
          <w:b/>
          <w:bCs/>
          <w:sz w:val="22"/>
          <w:szCs w:val="22"/>
          <w:lang w:val="en-US"/>
        </w:rPr>
      </w:pPr>
    </w:p>
    <w:p w14:paraId="39798212" w14:textId="77777777" w:rsidR="000772B6" w:rsidRDefault="000772B6" w:rsidP="009A15BB">
      <w:pPr>
        <w:jc w:val="both"/>
        <w:rPr>
          <w:b/>
          <w:bCs/>
          <w:sz w:val="22"/>
          <w:szCs w:val="22"/>
          <w:lang w:val="en-US"/>
        </w:rPr>
      </w:pPr>
    </w:p>
    <w:p w14:paraId="11746E37" w14:textId="77777777" w:rsidR="000772B6" w:rsidRDefault="000772B6" w:rsidP="009A15BB">
      <w:pPr>
        <w:jc w:val="both"/>
        <w:rPr>
          <w:b/>
          <w:bCs/>
          <w:sz w:val="22"/>
          <w:szCs w:val="22"/>
          <w:lang w:val="en-US"/>
        </w:rPr>
      </w:pPr>
    </w:p>
    <w:p w14:paraId="4B620B2E" w14:textId="77777777" w:rsidR="000772B6" w:rsidRDefault="000772B6" w:rsidP="009A15BB">
      <w:pPr>
        <w:jc w:val="both"/>
        <w:rPr>
          <w:b/>
          <w:bCs/>
          <w:sz w:val="22"/>
          <w:szCs w:val="22"/>
          <w:lang w:val="en-US"/>
        </w:rPr>
      </w:pPr>
    </w:p>
    <w:p w14:paraId="28E321A5" w14:textId="77777777" w:rsidR="000772B6" w:rsidRDefault="000772B6" w:rsidP="009A15BB">
      <w:pPr>
        <w:jc w:val="both"/>
        <w:rPr>
          <w:b/>
          <w:bCs/>
          <w:sz w:val="22"/>
          <w:szCs w:val="22"/>
          <w:lang w:val="en-US"/>
        </w:rPr>
      </w:pPr>
    </w:p>
    <w:p w14:paraId="6FA0B083" w14:textId="77777777" w:rsidR="000772B6" w:rsidRDefault="000772B6" w:rsidP="009A15BB">
      <w:pPr>
        <w:jc w:val="both"/>
        <w:rPr>
          <w:b/>
          <w:bCs/>
          <w:sz w:val="22"/>
          <w:szCs w:val="22"/>
          <w:lang w:val="en-US"/>
        </w:rPr>
      </w:pPr>
    </w:p>
    <w:p w14:paraId="65030A8C" w14:textId="77777777" w:rsidR="000772B6" w:rsidRDefault="000772B6" w:rsidP="009A15BB">
      <w:pPr>
        <w:jc w:val="both"/>
        <w:rPr>
          <w:b/>
          <w:bCs/>
          <w:sz w:val="22"/>
          <w:szCs w:val="22"/>
          <w:lang w:val="en-US"/>
        </w:rPr>
      </w:pPr>
    </w:p>
    <w:p w14:paraId="003B735F" w14:textId="77777777" w:rsidR="000772B6" w:rsidRDefault="000772B6" w:rsidP="009A15BB">
      <w:pPr>
        <w:jc w:val="both"/>
        <w:rPr>
          <w:b/>
          <w:bCs/>
          <w:sz w:val="22"/>
          <w:szCs w:val="22"/>
          <w:lang w:val="en-US"/>
        </w:rPr>
      </w:pPr>
    </w:p>
    <w:p w14:paraId="5018BB77" w14:textId="77777777" w:rsidR="000772B6" w:rsidRDefault="000772B6" w:rsidP="009A15BB">
      <w:pPr>
        <w:jc w:val="both"/>
        <w:rPr>
          <w:b/>
          <w:bCs/>
          <w:sz w:val="22"/>
          <w:szCs w:val="22"/>
          <w:lang w:val="en-US"/>
        </w:rPr>
      </w:pPr>
    </w:p>
    <w:p w14:paraId="3093BEA5" w14:textId="77777777" w:rsidR="000772B6" w:rsidRDefault="000772B6" w:rsidP="009A15BB">
      <w:pPr>
        <w:jc w:val="both"/>
        <w:rPr>
          <w:b/>
          <w:bCs/>
          <w:sz w:val="22"/>
          <w:szCs w:val="22"/>
          <w:lang w:val="en-US"/>
        </w:rPr>
      </w:pPr>
    </w:p>
    <w:p w14:paraId="02F255F7" w14:textId="77777777" w:rsidR="000772B6" w:rsidRDefault="000772B6" w:rsidP="009A15BB">
      <w:pPr>
        <w:jc w:val="both"/>
        <w:rPr>
          <w:b/>
          <w:bCs/>
          <w:sz w:val="22"/>
          <w:szCs w:val="22"/>
          <w:lang w:val="en-US"/>
        </w:rPr>
      </w:pPr>
    </w:p>
    <w:p w14:paraId="001AA907" w14:textId="77777777" w:rsidR="000772B6" w:rsidRDefault="000772B6" w:rsidP="009A15BB">
      <w:pPr>
        <w:jc w:val="both"/>
        <w:rPr>
          <w:b/>
          <w:bCs/>
          <w:sz w:val="22"/>
          <w:szCs w:val="22"/>
          <w:lang w:val="en-US"/>
        </w:rPr>
      </w:pPr>
    </w:p>
    <w:p w14:paraId="55F4EED5" w14:textId="77777777" w:rsidR="000772B6" w:rsidRDefault="000772B6" w:rsidP="009A15BB">
      <w:pPr>
        <w:jc w:val="both"/>
        <w:rPr>
          <w:b/>
          <w:bCs/>
          <w:sz w:val="22"/>
          <w:szCs w:val="22"/>
          <w:lang w:val="en-US"/>
        </w:rPr>
      </w:pPr>
    </w:p>
    <w:p w14:paraId="02CEAABE" w14:textId="77777777" w:rsidR="000772B6" w:rsidRDefault="000772B6" w:rsidP="009A15BB">
      <w:pPr>
        <w:jc w:val="both"/>
        <w:rPr>
          <w:b/>
          <w:bCs/>
          <w:sz w:val="22"/>
          <w:szCs w:val="22"/>
          <w:lang w:val="en-US"/>
        </w:rPr>
      </w:pPr>
    </w:p>
    <w:p w14:paraId="341D4DC5" w14:textId="77777777" w:rsidR="000772B6" w:rsidRDefault="000772B6" w:rsidP="009A15BB">
      <w:pPr>
        <w:jc w:val="both"/>
        <w:rPr>
          <w:b/>
          <w:bCs/>
          <w:sz w:val="22"/>
          <w:szCs w:val="22"/>
          <w:lang w:val="en-US"/>
        </w:rPr>
      </w:pPr>
    </w:p>
    <w:p w14:paraId="4130B994" w14:textId="77777777" w:rsidR="000772B6" w:rsidRDefault="000772B6" w:rsidP="009A15BB">
      <w:pPr>
        <w:jc w:val="both"/>
        <w:rPr>
          <w:b/>
          <w:bCs/>
          <w:sz w:val="22"/>
          <w:szCs w:val="22"/>
          <w:lang w:val="en-US"/>
        </w:rPr>
      </w:pPr>
    </w:p>
    <w:p w14:paraId="56F1ECAC" w14:textId="77777777" w:rsidR="000772B6" w:rsidRDefault="000772B6" w:rsidP="009A15BB">
      <w:pPr>
        <w:jc w:val="both"/>
        <w:rPr>
          <w:b/>
          <w:bCs/>
          <w:sz w:val="22"/>
          <w:szCs w:val="22"/>
          <w:lang w:val="en-US"/>
        </w:rPr>
      </w:pPr>
    </w:p>
    <w:p w14:paraId="28126230" w14:textId="77777777" w:rsidR="000772B6" w:rsidRDefault="000772B6" w:rsidP="009A15BB">
      <w:pPr>
        <w:jc w:val="both"/>
        <w:rPr>
          <w:b/>
          <w:bCs/>
          <w:sz w:val="22"/>
          <w:szCs w:val="22"/>
          <w:lang w:val="en-US"/>
        </w:rPr>
      </w:pPr>
    </w:p>
    <w:p w14:paraId="0DE21379" w14:textId="77777777" w:rsidR="000772B6" w:rsidRDefault="000772B6" w:rsidP="009A15BB">
      <w:pPr>
        <w:jc w:val="both"/>
        <w:rPr>
          <w:b/>
          <w:bCs/>
          <w:sz w:val="22"/>
          <w:szCs w:val="22"/>
          <w:lang w:val="en-US"/>
        </w:rPr>
      </w:pPr>
    </w:p>
    <w:p w14:paraId="0698E76E" w14:textId="77777777" w:rsidR="000772B6" w:rsidRDefault="000772B6" w:rsidP="009A15BB">
      <w:pPr>
        <w:jc w:val="both"/>
        <w:rPr>
          <w:b/>
          <w:bCs/>
          <w:sz w:val="22"/>
          <w:szCs w:val="22"/>
          <w:lang w:val="en-US"/>
        </w:rPr>
      </w:pPr>
    </w:p>
    <w:p w14:paraId="30DD284C" w14:textId="77777777" w:rsidR="000772B6" w:rsidRDefault="000772B6" w:rsidP="009A15BB">
      <w:pPr>
        <w:jc w:val="both"/>
        <w:rPr>
          <w:b/>
          <w:bCs/>
          <w:sz w:val="22"/>
          <w:szCs w:val="22"/>
          <w:lang w:val="en-US"/>
        </w:rPr>
      </w:pPr>
    </w:p>
    <w:p w14:paraId="038093FE" w14:textId="77777777" w:rsidR="000772B6" w:rsidRDefault="000772B6" w:rsidP="009A15BB">
      <w:pPr>
        <w:jc w:val="both"/>
        <w:rPr>
          <w:b/>
          <w:bCs/>
          <w:sz w:val="22"/>
          <w:szCs w:val="22"/>
          <w:lang w:val="en-US"/>
        </w:rPr>
      </w:pPr>
    </w:p>
    <w:p w14:paraId="61AD3AE6" w14:textId="77777777" w:rsidR="000772B6" w:rsidRDefault="000772B6" w:rsidP="009A15BB">
      <w:pPr>
        <w:jc w:val="both"/>
        <w:rPr>
          <w:b/>
          <w:bCs/>
          <w:sz w:val="22"/>
          <w:szCs w:val="22"/>
          <w:lang w:val="en-US"/>
        </w:rPr>
      </w:pPr>
    </w:p>
    <w:p w14:paraId="5FD00134" w14:textId="77777777" w:rsidR="000772B6" w:rsidRDefault="000772B6" w:rsidP="009A15BB">
      <w:pPr>
        <w:jc w:val="both"/>
        <w:rPr>
          <w:b/>
          <w:bCs/>
          <w:sz w:val="22"/>
          <w:szCs w:val="22"/>
          <w:lang w:val="en-US"/>
        </w:rPr>
      </w:pPr>
    </w:p>
    <w:p w14:paraId="0BE036AE" w14:textId="77777777" w:rsidR="000772B6" w:rsidRDefault="000772B6" w:rsidP="009A15BB">
      <w:pPr>
        <w:jc w:val="both"/>
        <w:rPr>
          <w:b/>
          <w:bCs/>
          <w:sz w:val="22"/>
          <w:szCs w:val="22"/>
          <w:lang w:val="en-US"/>
        </w:rPr>
      </w:pPr>
    </w:p>
    <w:p w14:paraId="5CDA5902" w14:textId="77777777" w:rsidR="000772B6" w:rsidRDefault="000772B6" w:rsidP="009A15BB">
      <w:pPr>
        <w:jc w:val="both"/>
        <w:rPr>
          <w:b/>
          <w:bCs/>
          <w:sz w:val="22"/>
          <w:szCs w:val="22"/>
          <w:lang w:val="en-US"/>
        </w:rPr>
      </w:pPr>
    </w:p>
    <w:p w14:paraId="6547B49F" w14:textId="77777777" w:rsidR="000772B6" w:rsidRDefault="000772B6" w:rsidP="009A15BB">
      <w:pPr>
        <w:jc w:val="both"/>
        <w:rPr>
          <w:b/>
          <w:bCs/>
          <w:sz w:val="22"/>
          <w:szCs w:val="22"/>
          <w:lang w:val="en-US"/>
        </w:rPr>
      </w:pPr>
    </w:p>
    <w:p w14:paraId="2CA537FA" w14:textId="77777777" w:rsidR="000772B6" w:rsidRDefault="000772B6" w:rsidP="009A15BB">
      <w:pPr>
        <w:jc w:val="both"/>
        <w:rPr>
          <w:b/>
          <w:bCs/>
          <w:sz w:val="22"/>
          <w:szCs w:val="22"/>
          <w:lang w:val="en-US"/>
        </w:rPr>
      </w:pPr>
    </w:p>
    <w:p w14:paraId="03D16D62" w14:textId="77777777" w:rsidR="000772B6" w:rsidRDefault="000772B6" w:rsidP="009A15BB">
      <w:pPr>
        <w:jc w:val="both"/>
        <w:rPr>
          <w:b/>
          <w:bCs/>
          <w:sz w:val="22"/>
          <w:szCs w:val="22"/>
          <w:lang w:val="en-US"/>
        </w:rPr>
      </w:pPr>
    </w:p>
    <w:p w14:paraId="73042F4D" w14:textId="77777777" w:rsidR="000772B6" w:rsidRDefault="000772B6" w:rsidP="009A15BB">
      <w:pPr>
        <w:jc w:val="both"/>
        <w:rPr>
          <w:b/>
          <w:bCs/>
          <w:sz w:val="22"/>
          <w:szCs w:val="22"/>
          <w:lang w:val="en-US"/>
        </w:rPr>
      </w:pPr>
    </w:p>
    <w:p w14:paraId="091A4B47" w14:textId="77777777" w:rsidR="000772B6" w:rsidRDefault="000772B6" w:rsidP="009A15BB">
      <w:pPr>
        <w:jc w:val="both"/>
        <w:rPr>
          <w:b/>
          <w:bCs/>
          <w:sz w:val="22"/>
          <w:szCs w:val="22"/>
          <w:lang w:val="en-US"/>
        </w:rPr>
      </w:pPr>
    </w:p>
    <w:p w14:paraId="6CA267B0" w14:textId="77777777" w:rsidR="000772B6" w:rsidRDefault="000772B6" w:rsidP="009A15BB">
      <w:pPr>
        <w:jc w:val="both"/>
        <w:rPr>
          <w:b/>
          <w:bCs/>
          <w:sz w:val="22"/>
          <w:szCs w:val="22"/>
          <w:lang w:val="en-US"/>
        </w:rPr>
      </w:pPr>
    </w:p>
    <w:p w14:paraId="5771D273" w14:textId="2DF57644" w:rsidR="000772B6" w:rsidRDefault="000772B6" w:rsidP="009A15BB">
      <w:pPr>
        <w:jc w:val="both"/>
        <w:rPr>
          <w:b/>
          <w:bCs/>
          <w:sz w:val="22"/>
          <w:szCs w:val="22"/>
          <w:lang w:val="en-US"/>
        </w:rPr>
        <w:sectPr w:rsidR="000772B6" w:rsidSect="000772B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014" w:header="708" w:footer="708" w:gutter="0"/>
          <w:cols w:space="708"/>
          <w:docGrid w:linePitch="360"/>
        </w:sectPr>
      </w:pPr>
    </w:p>
    <w:p w14:paraId="1EF98C40" w14:textId="736E4415" w:rsidR="000772B6" w:rsidRDefault="000772B6" w:rsidP="009A15BB">
      <w:pPr>
        <w:jc w:val="both"/>
        <w:rPr>
          <w:b/>
          <w:bCs/>
          <w:sz w:val="22"/>
          <w:szCs w:val="22"/>
          <w:lang w:val="en-US"/>
        </w:rPr>
      </w:pPr>
      <w:r>
        <w:rPr>
          <w:b/>
          <w:bCs/>
          <w:sz w:val="22"/>
          <w:szCs w:val="22"/>
          <w:lang w:val="en-US"/>
        </w:rPr>
        <w:lastRenderedPageBreak/>
        <w:t>Supplementary table 1:</w:t>
      </w:r>
    </w:p>
    <w:p w14:paraId="63F83F9E" w14:textId="77777777" w:rsidR="000772B6" w:rsidRPr="00E42748" w:rsidRDefault="000772B6" w:rsidP="000772B6">
      <w:r>
        <w:t xml:space="preserve">Supplementary table 1: </w:t>
      </w:r>
      <w:r w:rsidRPr="00E42748">
        <w:t>The perioperative medicine for older people undergoing surgery (POPS) logic model</w:t>
      </w:r>
      <w:r>
        <w:t xml:space="preserve"> (18) </w:t>
      </w:r>
    </w:p>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2255"/>
        <w:gridCol w:w="1912"/>
        <w:gridCol w:w="1999"/>
        <w:gridCol w:w="2133"/>
        <w:gridCol w:w="1980"/>
        <w:gridCol w:w="1998"/>
        <w:gridCol w:w="1681"/>
      </w:tblGrid>
      <w:tr w:rsidR="000772B6" w:rsidRPr="00E42748" w14:paraId="00349B30" w14:textId="77777777" w:rsidTr="006F1F07">
        <w:trPr>
          <w:tblHeader/>
          <w:tblCellSpacing w:w="15" w:type="dxa"/>
        </w:trPr>
        <w:tc>
          <w:tcPr>
            <w:tcW w:w="0" w:type="auto"/>
            <w:tcMar>
              <w:top w:w="56" w:type="dxa"/>
              <w:left w:w="56" w:type="dxa"/>
              <w:bottom w:w="56" w:type="dxa"/>
              <w:right w:w="56" w:type="dxa"/>
            </w:tcMar>
            <w:hideMark/>
          </w:tcPr>
          <w:p w14:paraId="45AD7FF7" w14:textId="77777777" w:rsidR="000772B6" w:rsidRPr="00E42748" w:rsidRDefault="000772B6" w:rsidP="006F1F07">
            <w:pPr>
              <w:rPr>
                <w:b/>
                <w:bCs/>
              </w:rPr>
            </w:pPr>
            <w:r w:rsidRPr="00E42748">
              <w:rPr>
                <w:b/>
                <w:bCs/>
              </w:rPr>
              <w:t>Inputs</w:t>
            </w:r>
          </w:p>
        </w:tc>
        <w:tc>
          <w:tcPr>
            <w:tcW w:w="0" w:type="auto"/>
            <w:tcMar>
              <w:top w:w="56" w:type="dxa"/>
              <w:left w:w="56" w:type="dxa"/>
              <w:bottom w:w="56" w:type="dxa"/>
              <w:right w:w="56" w:type="dxa"/>
            </w:tcMar>
            <w:hideMark/>
          </w:tcPr>
          <w:p w14:paraId="2C131254" w14:textId="77777777" w:rsidR="000772B6" w:rsidRPr="00E42748" w:rsidRDefault="000772B6" w:rsidP="006F1F07">
            <w:pPr>
              <w:rPr>
                <w:b/>
                <w:bCs/>
              </w:rPr>
            </w:pPr>
            <w:r w:rsidRPr="00E42748">
              <w:rPr>
                <w:b/>
                <w:bCs/>
              </w:rPr>
              <w:t>Core components</w:t>
            </w:r>
          </w:p>
        </w:tc>
        <w:tc>
          <w:tcPr>
            <w:tcW w:w="0" w:type="auto"/>
            <w:tcMar>
              <w:top w:w="56" w:type="dxa"/>
              <w:left w:w="56" w:type="dxa"/>
              <w:bottom w:w="56" w:type="dxa"/>
              <w:right w:w="56" w:type="dxa"/>
            </w:tcMar>
            <w:hideMark/>
          </w:tcPr>
          <w:p w14:paraId="72B2F40F" w14:textId="77777777" w:rsidR="000772B6" w:rsidRPr="00E42748" w:rsidRDefault="000772B6" w:rsidP="006F1F07">
            <w:pPr>
              <w:rPr>
                <w:b/>
                <w:bCs/>
              </w:rPr>
            </w:pPr>
            <w:r w:rsidRPr="00E42748">
              <w:rPr>
                <w:b/>
                <w:bCs/>
              </w:rPr>
              <w:t>Mechanism (process changes)</w:t>
            </w:r>
          </w:p>
        </w:tc>
        <w:tc>
          <w:tcPr>
            <w:tcW w:w="0" w:type="auto"/>
            <w:tcMar>
              <w:top w:w="56" w:type="dxa"/>
              <w:left w:w="56" w:type="dxa"/>
              <w:bottom w:w="56" w:type="dxa"/>
              <w:right w:w="56" w:type="dxa"/>
            </w:tcMar>
            <w:hideMark/>
          </w:tcPr>
          <w:p w14:paraId="5649D198" w14:textId="77777777" w:rsidR="000772B6" w:rsidRPr="00E42748" w:rsidRDefault="000772B6" w:rsidP="006F1F07">
            <w:pPr>
              <w:rPr>
                <w:b/>
                <w:bCs/>
              </w:rPr>
            </w:pPr>
            <w:r w:rsidRPr="00E42748">
              <w:rPr>
                <w:b/>
                <w:bCs/>
              </w:rPr>
              <w:t>Contextual factors (which enable or hinder implementation)</w:t>
            </w:r>
          </w:p>
        </w:tc>
        <w:tc>
          <w:tcPr>
            <w:tcW w:w="0" w:type="auto"/>
            <w:tcMar>
              <w:top w:w="56" w:type="dxa"/>
              <w:left w:w="56" w:type="dxa"/>
              <w:bottom w:w="56" w:type="dxa"/>
              <w:right w:w="56" w:type="dxa"/>
            </w:tcMar>
            <w:hideMark/>
          </w:tcPr>
          <w:p w14:paraId="68FA8E81" w14:textId="77777777" w:rsidR="000772B6" w:rsidRPr="00E42748" w:rsidRDefault="000772B6" w:rsidP="006F1F07">
            <w:pPr>
              <w:rPr>
                <w:b/>
                <w:bCs/>
              </w:rPr>
            </w:pPr>
            <w:r w:rsidRPr="00E42748">
              <w:rPr>
                <w:b/>
                <w:bCs/>
              </w:rPr>
              <w:t>Short-term outcomes</w:t>
            </w:r>
          </w:p>
        </w:tc>
        <w:tc>
          <w:tcPr>
            <w:tcW w:w="0" w:type="auto"/>
            <w:tcMar>
              <w:top w:w="56" w:type="dxa"/>
              <w:left w:w="56" w:type="dxa"/>
              <w:bottom w:w="56" w:type="dxa"/>
              <w:right w:w="56" w:type="dxa"/>
            </w:tcMar>
            <w:hideMark/>
          </w:tcPr>
          <w:p w14:paraId="6F39E658" w14:textId="77777777" w:rsidR="000772B6" w:rsidRPr="00E42748" w:rsidRDefault="000772B6" w:rsidP="006F1F07">
            <w:pPr>
              <w:rPr>
                <w:b/>
                <w:bCs/>
              </w:rPr>
            </w:pPr>
            <w:r w:rsidRPr="00E42748">
              <w:rPr>
                <w:b/>
                <w:bCs/>
              </w:rPr>
              <w:t>Long-term outcomes</w:t>
            </w:r>
          </w:p>
        </w:tc>
        <w:tc>
          <w:tcPr>
            <w:tcW w:w="0" w:type="auto"/>
            <w:tcMar>
              <w:top w:w="56" w:type="dxa"/>
              <w:left w:w="56" w:type="dxa"/>
              <w:bottom w:w="56" w:type="dxa"/>
              <w:right w:w="56" w:type="dxa"/>
            </w:tcMar>
            <w:hideMark/>
          </w:tcPr>
          <w:p w14:paraId="1B46A4FF" w14:textId="77777777" w:rsidR="000772B6" w:rsidRPr="00E42748" w:rsidRDefault="000772B6" w:rsidP="006F1F07">
            <w:pPr>
              <w:rPr>
                <w:b/>
                <w:bCs/>
              </w:rPr>
            </w:pPr>
            <w:r w:rsidRPr="00E42748">
              <w:rPr>
                <w:b/>
                <w:bCs/>
              </w:rPr>
              <w:t>Wider impact of POPS service</w:t>
            </w:r>
          </w:p>
        </w:tc>
      </w:tr>
      <w:tr w:rsidR="000772B6" w:rsidRPr="00E42748" w14:paraId="291639A6" w14:textId="77777777" w:rsidTr="006F1F07">
        <w:trPr>
          <w:tblCellSpacing w:w="15" w:type="dxa"/>
        </w:trPr>
        <w:tc>
          <w:tcPr>
            <w:tcW w:w="0" w:type="auto"/>
            <w:tcMar>
              <w:top w:w="56" w:type="dxa"/>
              <w:left w:w="56" w:type="dxa"/>
              <w:bottom w:w="56" w:type="dxa"/>
              <w:right w:w="56" w:type="dxa"/>
            </w:tcMar>
            <w:hideMark/>
          </w:tcPr>
          <w:p w14:paraId="7D323E06" w14:textId="77777777" w:rsidR="000772B6" w:rsidRPr="00E42748" w:rsidRDefault="000772B6" w:rsidP="006F1F07">
            <w:r w:rsidRPr="00E42748">
              <w:rPr>
                <w:b/>
                <w:bCs/>
              </w:rPr>
              <w:t>MDT POPS team</w:t>
            </w:r>
            <w:r w:rsidRPr="00E42748">
              <w:br/>
              <w:t>Consultant with expertise in CGA in perioperative setting</w:t>
            </w:r>
            <w:r w:rsidRPr="00E42748">
              <w:br/>
              <w:t>CNS</w:t>
            </w:r>
            <w:r w:rsidRPr="00E42748">
              <w:br/>
              <w:t>OT</w:t>
            </w:r>
            <w:r w:rsidRPr="00E42748">
              <w:br/>
              <w:t>Administrator</w:t>
            </w:r>
          </w:p>
        </w:tc>
        <w:tc>
          <w:tcPr>
            <w:tcW w:w="0" w:type="auto"/>
            <w:tcMar>
              <w:top w:w="56" w:type="dxa"/>
              <w:left w:w="56" w:type="dxa"/>
              <w:bottom w:w="56" w:type="dxa"/>
              <w:right w:w="56" w:type="dxa"/>
            </w:tcMar>
            <w:hideMark/>
          </w:tcPr>
          <w:p w14:paraId="0B82783A" w14:textId="77777777" w:rsidR="000772B6" w:rsidRPr="00E42748" w:rsidRDefault="000772B6" w:rsidP="006F1F07">
            <w:r w:rsidRPr="00E42748">
              <w:t>Deliver preoperative CGA and optimisation through multidisciplinary working.</w:t>
            </w:r>
          </w:p>
        </w:tc>
        <w:tc>
          <w:tcPr>
            <w:tcW w:w="0" w:type="auto"/>
            <w:tcMar>
              <w:top w:w="56" w:type="dxa"/>
              <w:left w:w="56" w:type="dxa"/>
              <w:bottom w:w="56" w:type="dxa"/>
              <w:right w:w="56" w:type="dxa"/>
            </w:tcMar>
            <w:hideMark/>
          </w:tcPr>
          <w:p w14:paraId="274AF727" w14:textId="77777777" w:rsidR="000772B6" w:rsidRPr="00E42748" w:rsidRDefault="000772B6" w:rsidP="006F1F07">
            <w:r w:rsidRPr="00E42748">
              <w:t>Preoperative CGA and optimisation outpatient clinic.</w:t>
            </w:r>
            <w:r w:rsidRPr="00E42748">
              <w:br/>
              <w:t>Effective screening and referral criteria.</w:t>
            </w:r>
            <w:r w:rsidRPr="00E42748">
              <w:br/>
              <w:t>Evidence-based perioperative medicine.</w:t>
            </w:r>
            <w:r w:rsidRPr="00E42748">
              <w:br/>
              <w:t>‘Hands on’ delivery of clinical optimisation plan.</w:t>
            </w:r>
          </w:p>
        </w:tc>
        <w:tc>
          <w:tcPr>
            <w:tcW w:w="0" w:type="auto"/>
            <w:tcMar>
              <w:top w:w="56" w:type="dxa"/>
              <w:left w:w="56" w:type="dxa"/>
              <w:bottom w:w="56" w:type="dxa"/>
              <w:right w:w="56" w:type="dxa"/>
            </w:tcMar>
            <w:hideMark/>
          </w:tcPr>
          <w:p w14:paraId="01F861D9" w14:textId="77777777" w:rsidR="000772B6" w:rsidRPr="00E42748" w:rsidRDefault="000772B6" w:rsidP="006F1F07">
            <w:r w:rsidRPr="00E42748">
              <w:t>‘Buy-in’ from board, surgeons, anaesthetists and other key stakeholders.</w:t>
            </w:r>
            <w:r w:rsidRPr="00E42748">
              <w:br/>
              <w:t>Skills and engagement of medical and AHP staff equipped to deliver CGA and optimisation in the perioperative period.</w:t>
            </w:r>
            <w:r w:rsidRPr="00E42748">
              <w:br/>
              <w:t>IT infrastructure, technical support and physical space.</w:t>
            </w:r>
            <w:r w:rsidRPr="00E42748">
              <w:br/>
              <w:t>Funding.</w:t>
            </w:r>
          </w:p>
        </w:tc>
        <w:tc>
          <w:tcPr>
            <w:tcW w:w="0" w:type="auto"/>
            <w:tcMar>
              <w:top w:w="56" w:type="dxa"/>
              <w:left w:w="56" w:type="dxa"/>
              <w:bottom w:w="56" w:type="dxa"/>
              <w:right w:w="56" w:type="dxa"/>
            </w:tcMar>
            <w:hideMark/>
          </w:tcPr>
          <w:p w14:paraId="30CE6AAB" w14:textId="77777777" w:rsidR="000772B6" w:rsidRPr="00E42748" w:rsidRDefault="000772B6" w:rsidP="006F1F07">
            <w:r w:rsidRPr="00E42748">
              <w:t>Improved quantification of perioperative risk.</w:t>
            </w:r>
            <w:r w:rsidRPr="00E42748">
              <w:br/>
              <w:t>Improved shared decision making.</w:t>
            </w:r>
            <w:r w:rsidRPr="00E42748">
              <w:br/>
              <w:t>Improved identification of underlying medical issues.</w:t>
            </w:r>
            <w:r w:rsidRPr="00E42748">
              <w:br/>
              <w:t>Improved medical optimisation.</w:t>
            </w:r>
            <w:r w:rsidRPr="00E42748">
              <w:br/>
              <w:t>Improved identification and management of barriers to early discharge.</w:t>
            </w:r>
            <w:r w:rsidRPr="00E42748">
              <w:br/>
              <w:t>Reduced variation in patient care.</w:t>
            </w:r>
          </w:p>
        </w:tc>
        <w:tc>
          <w:tcPr>
            <w:tcW w:w="0" w:type="auto"/>
            <w:tcMar>
              <w:top w:w="56" w:type="dxa"/>
              <w:left w:w="56" w:type="dxa"/>
              <w:bottom w:w="56" w:type="dxa"/>
              <w:right w:w="56" w:type="dxa"/>
            </w:tcMar>
            <w:hideMark/>
          </w:tcPr>
          <w:p w14:paraId="79DEFBBC" w14:textId="77777777" w:rsidR="000772B6" w:rsidRPr="00E42748" w:rsidRDefault="000772B6" w:rsidP="006F1F07">
            <w:r w:rsidRPr="00E42748">
              <w:rPr>
                <w:b/>
                <w:bCs/>
              </w:rPr>
              <w:t>Patient outcomes</w:t>
            </w:r>
            <w:r w:rsidRPr="00E42748">
              <w:br/>
              <w:t>Embedding of multidisciplinary and patient-centred shared decision making in clinical practice.</w:t>
            </w:r>
            <w:r w:rsidRPr="00E42748">
              <w:br/>
              <w:t>Provision of timely surgical care.</w:t>
            </w:r>
            <w:r w:rsidRPr="00E42748">
              <w:br/>
              <w:t>Avoidance of inappropriate procedures.</w:t>
            </w:r>
            <w:r w:rsidRPr="00E42748">
              <w:br/>
              <w:t>Reduced postoperative morbidity and harm.</w:t>
            </w:r>
            <w:r w:rsidRPr="00E42748">
              <w:br/>
              <w:t>Improved patient reported outcomes (short- and long-term).</w:t>
            </w:r>
            <w:r w:rsidRPr="00E42748">
              <w:br/>
            </w:r>
            <w:r w:rsidRPr="00E42748">
              <w:rPr>
                <w:b/>
                <w:bCs/>
              </w:rPr>
              <w:t>Service outcomes</w:t>
            </w:r>
            <w:r w:rsidRPr="00E42748">
              <w:br/>
              <w:t>Improved quality of care.</w:t>
            </w:r>
            <w:r w:rsidRPr="00E42748">
              <w:br/>
              <w:t>Reduced length of stay.</w:t>
            </w:r>
            <w:r w:rsidRPr="00E42748">
              <w:br/>
            </w:r>
            <w:r w:rsidRPr="00E42748">
              <w:lastRenderedPageBreak/>
              <w:t>Reduced same day cancellation of surgery.</w:t>
            </w:r>
            <w:r w:rsidRPr="00E42748">
              <w:br/>
              <w:t>Reduced readmissions.</w:t>
            </w:r>
            <w:r w:rsidRPr="00E42748">
              <w:br/>
              <w:t>Reduced financial cost.</w:t>
            </w:r>
            <w:r w:rsidRPr="00E42748">
              <w:br/>
            </w:r>
            <w:r w:rsidRPr="00E42748">
              <w:rPr>
                <w:b/>
                <w:bCs/>
              </w:rPr>
              <w:t>Implementation outcomes</w:t>
            </w:r>
            <w:r w:rsidRPr="00E42748">
              <w:br/>
              <w:t>Acceptability of service to providers, patients and carers.</w:t>
            </w:r>
            <w:r w:rsidRPr="00E42748">
              <w:br/>
              <w:t>Maintenance of fidelity while adapting service to the local context.</w:t>
            </w:r>
            <w:r w:rsidRPr="00E42748">
              <w:br/>
              <w:t>Development of ‘big data’ through collation of audit and quality improvement work at POPS sites.</w:t>
            </w:r>
            <w:r w:rsidRPr="00E42748">
              <w:br/>
              <w:t xml:space="preserve">Development of a workforce equipped to </w:t>
            </w:r>
            <w:r w:rsidRPr="00E42748">
              <w:lastRenderedPageBreak/>
              <w:t>deliver perioperative medicine services for complex older patients.</w:t>
            </w:r>
          </w:p>
        </w:tc>
        <w:tc>
          <w:tcPr>
            <w:tcW w:w="0" w:type="auto"/>
            <w:tcMar>
              <w:top w:w="56" w:type="dxa"/>
              <w:left w:w="56" w:type="dxa"/>
              <w:bottom w:w="56" w:type="dxa"/>
              <w:right w:w="56" w:type="dxa"/>
            </w:tcMar>
            <w:hideMark/>
          </w:tcPr>
          <w:p w14:paraId="7A6C556D" w14:textId="77777777" w:rsidR="000772B6" w:rsidRPr="00E42748" w:rsidRDefault="000772B6" w:rsidP="006F1F07">
            <w:r w:rsidRPr="00E42748">
              <w:lastRenderedPageBreak/>
              <w:t>Improved health literacy with consequently improved patient navigation of health services.</w:t>
            </w:r>
            <w:r w:rsidRPr="00E42748">
              <w:br/>
              <w:t>Integrated healthcare.</w:t>
            </w:r>
            <w:r w:rsidRPr="00E42748">
              <w:br/>
              <w:t>Improved health outcomes.</w:t>
            </w:r>
            <w:r w:rsidRPr="00E42748">
              <w:br/>
              <w:t>Development of evidence base in perioperative medicine through big data.</w:t>
            </w:r>
            <w:r w:rsidRPr="00E42748">
              <w:br/>
              <w:t xml:space="preserve">Influence on policy and funding streams for perioperative </w:t>
            </w:r>
            <w:r w:rsidRPr="00E42748">
              <w:lastRenderedPageBreak/>
              <w:t>medicine services.</w:t>
            </w:r>
          </w:p>
        </w:tc>
      </w:tr>
      <w:tr w:rsidR="000772B6" w:rsidRPr="00E42748" w14:paraId="4C5EFC97" w14:textId="77777777" w:rsidTr="006F1F07">
        <w:trPr>
          <w:tblCellSpacing w:w="15" w:type="dxa"/>
        </w:trPr>
        <w:tc>
          <w:tcPr>
            <w:tcW w:w="0" w:type="auto"/>
            <w:tcMar>
              <w:top w:w="56" w:type="dxa"/>
              <w:left w:w="56" w:type="dxa"/>
              <w:bottom w:w="56" w:type="dxa"/>
              <w:right w:w="56" w:type="dxa"/>
            </w:tcMar>
            <w:hideMark/>
          </w:tcPr>
          <w:p w14:paraId="54AE634E" w14:textId="77777777" w:rsidR="000772B6" w:rsidRPr="00E42748" w:rsidRDefault="000772B6" w:rsidP="006F1F07">
            <w:r w:rsidRPr="00E42748">
              <w:rPr>
                <w:b/>
                <w:bCs/>
              </w:rPr>
              <w:lastRenderedPageBreak/>
              <w:t>Other key stakeholders</w:t>
            </w:r>
            <w:r w:rsidRPr="00E42748">
              <w:br/>
              <w:t>Trust executive/board</w:t>
            </w:r>
            <w:r w:rsidRPr="00E42748">
              <w:br/>
              <w:t>Surgeons</w:t>
            </w:r>
            <w:r w:rsidRPr="00E42748">
              <w:br/>
              <w:t>Anaesthetists</w:t>
            </w:r>
            <w:r w:rsidRPr="00E42748">
              <w:br/>
              <w:t>Other AHPs</w:t>
            </w:r>
            <w:r w:rsidRPr="00E42748">
              <w:br/>
              <w:t>Surgical pathway coordinators</w:t>
            </w:r>
            <w:r w:rsidRPr="00E42748">
              <w:br/>
              <w:t>Evaluator</w:t>
            </w:r>
            <w:r w:rsidRPr="00E42748">
              <w:br/>
              <w:t>Patients and relatives</w:t>
            </w:r>
          </w:p>
        </w:tc>
        <w:tc>
          <w:tcPr>
            <w:tcW w:w="0" w:type="auto"/>
            <w:tcMar>
              <w:top w:w="56" w:type="dxa"/>
              <w:left w:w="56" w:type="dxa"/>
              <w:bottom w:w="56" w:type="dxa"/>
              <w:right w:w="56" w:type="dxa"/>
            </w:tcMar>
            <w:hideMark/>
          </w:tcPr>
          <w:p w14:paraId="4124848C" w14:textId="77777777" w:rsidR="000772B6" w:rsidRPr="00E42748" w:rsidRDefault="000772B6" w:rsidP="006F1F07">
            <w:r w:rsidRPr="00E42748">
              <w:t>Provide postoperative CGA on the surgical ward.</w:t>
            </w:r>
          </w:p>
        </w:tc>
        <w:tc>
          <w:tcPr>
            <w:tcW w:w="0" w:type="auto"/>
            <w:tcMar>
              <w:top w:w="56" w:type="dxa"/>
              <w:left w:w="56" w:type="dxa"/>
              <w:bottom w:w="56" w:type="dxa"/>
              <w:right w:w="56" w:type="dxa"/>
            </w:tcMar>
            <w:hideMark/>
          </w:tcPr>
          <w:p w14:paraId="30FDC733" w14:textId="77777777" w:rsidR="000772B6" w:rsidRPr="00E42748" w:rsidRDefault="000772B6" w:rsidP="006F1F07">
            <w:r w:rsidRPr="00E42748">
              <w:t>CGA and optimisation conducted using scheduled ward rounds, board rounds, multidisciplinary team meetings.</w:t>
            </w:r>
            <w:r w:rsidRPr="00E42748">
              <w:br/>
              <w:t>Proactive communication between healthcare professionals, patients and families.</w:t>
            </w:r>
          </w:p>
        </w:tc>
        <w:tc>
          <w:tcPr>
            <w:tcW w:w="0" w:type="auto"/>
            <w:tcMar>
              <w:top w:w="56" w:type="dxa"/>
              <w:left w:w="56" w:type="dxa"/>
              <w:bottom w:w="56" w:type="dxa"/>
              <w:right w:w="56" w:type="dxa"/>
            </w:tcMar>
            <w:hideMark/>
          </w:tcPr>
          <w:p w14:paraId="12CFCF4A" w14:textId="77777777" w:rsidR="000772B6" w:rsidRPr="00E42748" w:rsidRDefault="000772B6" w:rsidP="006F1F07">
            <w:r w:rsidRPr="00E42748">
              <w:t>‘Buy-in’ from ward teams.</w:t>
            </w:r>
            <w:r w:rsidRPr="00E42748">
              <w:br/>
              <w:t>Staff attitudes and behaviours.</w:t>
            </w:r>
            <w:r w:rsidRPr="00E42748">
              <w:br/>
              <w:t>Skills and engagement of medical and AHP staff equipped to deliver CGA and optimisation in the perioperative period.</w:t>
            </w:r>
            <w:r w:rsidRPr="00E42748">
              <w:br/>
              <w:t>IT infrastructure, technical support and physical space.</w:t>
            </w:r>
            <w:r w:rsidRPr="00E42748">
              <w:br/>
              <w:t>Funding.</w:t>
            </w:r>
          </w:p>
        </w:tc>
        <w:tc>
          <w:tcPr>
            <w:tcW w:w="0" w:type="auto"/>
            <w:tcMar>
              <w:top w:w="56" w:type="dxa"/>
              <w:left w:w="56" w:type="dxa"/>
              <w:bottom w:w="56" w:type="dxa"/>
              <w:right w:w="56" w:type="dxa"/>
            </w:tcMar>
            <w:hideMark/>
          </w:tcPr>
          <w:p w14:paraId="4950029A" w14:textId="77777777" w:rsidR="000772B6" w:rsidRPr="00E42748" w:rsidRDefault="000772B6" w:rsidP="006F1F07">
            <w:r w:rsidRPr="00E42748">
              <w:t>Fewer acute postoperative complications.</w:t>
            </w:r>
            <w:r w:rsidRPr="00E42748">
              <w:br/>
              <w:t>Improved early identification of postoperative complications with standardised management.</w:t>
            </w:r>
            <w:r w:rsidRPr="00E42748">
              <w:br/>
              <w:t>Safe and effective discharge planning.</w:t>
            </w:r>
          </w:p>
        </w:tc>
        <w:tc>
          <w:tcPr>
            <w:tcW w:w="0" w:type="auto"/>
            <w:tcMar>
              <w:top w:w="56" w:type="dxa"/>
              <w:left w:w="56" w:type="dxa"/>
              <w:bottom w:w="56" w:type="dxa"/>
              <w:right w:w="56" w:type="dxa"/>
            </w:tcMar>
            <w:hideMark/>
          </w:tcPr>
          <w:p w14:paraId="1D80BB0B" w14:textId="77777777" w:rsidR="000772B6" w:rsidRPr="00E42748" w:rsidRDefault="000772B6" w:rsidP="006F1F07"/>
        </w:tc>
        <w:tc>
          <w:tcPr>
            <w:tcW w:w="0" w:type="auto"/>
            <w:tcMar>
              <w:top w:w="56" w:type="dxa"/>
              <w:left w:w="56" w:type="dxa"/>
              <w:bottom w:w="56" w:type="dxa"/>
              <w:right w:w="56" w:type="dxa"/>
            </w:tcMar>
            <w:hideMark/>
          </w:tcPr>
          <w:p w14:paraId="6E945A74" w14:textId="77777777" w:rsidR="000772B6" w:rsidRPr="00E42748" w:rsidRDefault="000772B6" w:rsidP="006F1F07"/>
        </w:tc>
      </w:tr>
      <w:tr w:rsidR="000772B6" w:rsidRPr="00E42748" w14:paraId="2CD6ABC0" w14:textId="77777777" w:rsidTr="006F1F07">
        <w:trPr>
          <w:tblCellSpacing w:w="15" w:type="dxa"/>
        </w:trPr>
        <w:tc>
          <w:tcPr>
            <w:tcW w:w="0" w:type="auto"/>
            <w:tcMar>
              <w:top w:w="56" w:type="dxa"/>
              <w:left w:w="56" w:type="dxa"/>
              <w:bottom w:w="56" w:type="dxa"/>
              <w:right w:w="56" w:type="dxa"/>
            </w:tcMar>
            <w:hideMark/>
          </w:tcPr>
          <w:p w14:paraId="730D0EA2" w14:textId="77777777" w:rsidR="000772B6" w:rsidRPr="00E42748" w:rsidRDefault="000772B6" w:rsidP="006F1F07">
            <w:r w:rsidRPr="00E42748">
              <w:rPr>
                <w:b/>
                <w:bCs/>
              </w:rPr>
              <w:t>Resources</w:t>
            </w:r>
            <w:r w:rsidRPr="00E42748">
              <w:br/>
              <w:t>Funding</w:t>
            </w:r>
            <w:r w:rsidRPr="00E42748">
              <w:br/>
              <w:t>Clinic space</w:t>
            </w:r>
            <w:r w:rsidRPr="00E42748">
              <w:br/>
              <w:t>Office space</w:t>
            </w:r>
            <w:r w:rsidRPr="00E42748">
              <w:br/>
              <w:t>Equipment</w:t>
            </w:r>
            <w:r w:rsidRPr="00E42748">
              <w:br/>
            </w:r>
            <w:r w:rsidRPr="00E42748">
              <w:lastRenderedPageBreak/>
              <w:t>Supporting pro formas (in paper or electronic format)</w:t>
            </w:r>
            <w:r w:rsidRPr="00E42748">
              <w:br/>
              <w:t>Clinical reference guide</w:t>
            </w:r>
            <w:r w:rsidRPr="00E42748">
              <w:br/>
              <w:t>Clinical guidelines/protocols</w:t>
            </w:r>
          </w:p>
        </w:tc>
        <w:tc>
          <w:tcPr>
            <w:tcW w:w="0" w:type="auto"/>
            <w:tcMar>
              <w:top w:w="56" w:type="dxa"/>
              <w:left w:w="56" w:type="dxa"/>
              <w:bottom w:w="56" w:type="dxa"/>
              <w:right w:w="56" w:type="dxa"/>
            </w:tcMar>
            <w:hideMark/>
          </w:tcPr>
          <w:p w14:paraId="56F75EA0" w14:textId="77777777" w:rsidR="000772B6" w:rsidRPr="00E42748" w:rsidRDefault="000772B6" w:rsidP="006F1F07">
            <w:r w:rsidRPr="00E42748">
              <w:lastRenderedPageBreak/>
              <w:t>Ensure ownership of patient care.</w:t>
            </w:r>
          </w:p>
        </w:tc>
        <w:tc>
          <w:tcPr>
            <w:tcW w:w="0" w:type="auto"/>
            <w:tcMar>
              <w:top w:w="56" w:type="dxa"/>
              <w:left w:w="56" w:type="dxa"/>
              <w:bottom w:w="56" w:type="dxa"/>
              <w:right w:w="56" w:type="dxa"/>
            </w:tcMar>
            <w:hideMark/>
          </w:tcPr>
          <w:p w14:paraId="6AF6110A" w14:textId="77777777" w:rsidR="000772B6" w:rsidRPr="00E42748" w:rsidRDefault="000772B6" w:rsidP="006F1F07">
            <w:r w:rsidRPr="00E42748">
              <w:t xml:space="preserve">Fostering an environment that promotes shared decision making </w:t>
            </w:r>
            <w:r w:rsidRPr="00E42748">
              <w:lastRenderedPageBreak/>
              <w:t>with the patient at the centre.</w:t>
            </w:r>
          </w:p>
        </w:tc>
        <w:tc>
          <w:tcPr>
            <w:tcW w:w="0" w:type="auto"/>
            <w:tcMar>
              <w:top w:w="56" w:type="dxa"/>
              <w:left w:w="56" w:type="dxa"/>
              <w:bottom w:w="56" w:type="dxa"/>
              <w:right w:w="56" w:type="dxa"/>
            </w:tcMar>
            <w:hideMark/>
          </w:tcPr>
          <w:p w14:paraId="7CF8A291" w14:textId="77777777" w:rsidR="000772B6" w:rsidRPr="00E42748" w:rsidRDefault="000772B6" w:rsidP="006F1F07">
            <w:r w:rsidRPr="00E42748">
              <w:lastRenderedPageBreak/>
              <w:t>Professional jurisdictions, norms and codes of behaviour.</w:t>
            </w:r>
            <w:r w:rsidRPr="00E42748">
              <w:br/>
              <w:t xml:space="preserve">Readiness for </w:t>
            </w:r>
            <w:r w:rsidRPr="00E42748">
              <w:lastRenderedPageBreak/>
              <w:t>change within the clinical team and the organisation (open to new ways of delivering collaborative patient-centred care).</w:t>
            </w:r>
          </w:p>
        </w:tc>
        <w:tc>
          <w:tcPr>
            <w:tcW w:w="0" w:type="auto"/>
            <w:tcMar>
              <w:top w:w="56" w:type="dxa"/>
              <w:left w:w="56" w:type="dxa"/>
              <w:bottom w:w="56" w:type="dxa"/>
              <w:right w:w="56" w:type="dxa"/>
            </w:tcMar>
            <w:hideMark/>
          </w:tcPr>
          <w:p w14:paraId="69819121" w14:textId="77777777" w:rsidR="000772B6" w:rsidRPr="00E42748" w:rsidRDefault="000772B6" w:rsidP="006F1F07">
            <w:r w:rsidRPr="00E42748">
              <w:lastRenderedPageBreak/>
              <w:t>Reduced number of specialist referrals.</w:t>
            </w:r>
            <w:r w:rsidRPr="00E42748">
              <w:br/>
              <w:t xml:space="preserve">Single point of access: improved </w:t>
            </w:r>
            <w:r w:rsidRPr="00E42748">
              <w:lastRenderedPageBreak/>
              <w:t>communication with patient and primary care to facilitate patient navigation of perioperative pathway.</w:t>
            </w:r>
            <w:r w:rsidRPr="00E42748">
              <w:br/>
              <w:t>Improved shared decision making.</w:t>
            </w:r>
            <w:r w:rsidRPr="00E42748">
              <w:br/>
              <w:t>Improved delivery of holistic care, with focus on perioperative and longer-term outcomes.</w:t>
            </w:r>
          </w:p>
        </w:tc>
        <w:tc>
          <w:tcPr>
            <w:tcW w:w="0" w:type="auto"/>
            <w:tcMar>
              <w:top w:w="56" w:type="dxa"/>
              <w:left w:w="56" w:type="dxa"/>
              <w:bottom w:w="56" w:type="dxa"/>
              <w:right w:w="56" w:type="dxa"/>
            </w:tcMar>
            <w:hideMark/>
          </w:tcPr>
          <w:p w14:paraId="2AA993F4" w14:textId="77777777" w:rsidR="000772B6" w:rsidRPr="00E42748" w:rsidRDefault="000772B6" w:rsidP="006F1F07"/>
        </w:tc>
        <w:tc>
          <w:tcPr>
            <w:tcW w:w="0" w:type="auto"/>
            <w:tcMar>
              <w:top w:w="56" w:type="dxa"/>
              <w:left w:w="56" w:type="dxa"/>
              <w:bottom w:w="56" w:type="dxa"/>
              <w:right w:w="56" w:type="dxa"/>
            </w:tcMar>
            <w:hideMark/>
          </w:tcPr>
          <w:p w14:paraId="469DBFDF" w14:textId="77777777" w:rsidR="000772B6" w:rsidRPr="00E42748" w:rsidRDefault="000772B6" w:rsidP="006F1F07"/>
        </w:tc>
      </w:tr>
      <w:tr w:rsidR="000772B6" w:rsidRPr="00E42748" w14:paraId="7252F203" w14:textId="77777777" w:rsidTr="006F1F07">
        <w:trPr>
          <w:tblCellSpacing w:w="15" w:type="dxa"/>
        </w:trPr>
        <w:tc>
          <w:tcPr>
            <w:tcW w:w="0" w:type="auto"/>
            <w:tcMar>
              <w:top w:w="56" w:type="dxa"/>
              <w:left w:w="56" w:type="dxa"/>
              <w:bottom w:w="56" w:type="dxa"/>
              <w:right w:w="56" w:type="dxa"/>
            </w:tcMar>
            <w:hideMark/>
          </w:tcPr>
          <w:p w14:paraId="4287A124" w14:textId="77777777" w:rsidR="000772B6" w:rsidRPr="00E42748" w:rsidRDefault="000772B6" w:rsidP="006F1F07">
            <w:r w:rsidRPr="00E42748">
              <w:rPr>
                <w:b/>
                <w:bCs/>
              </w:rPr>
              <w:t>Education resources</w:t>
            </w:r>
            <w:r w:rsidRPr="00E42748">
              <w:br/>
              <w:t>Doctor/CNS curriculum / competency framework</w:t>
            </w:r>
            <w:r w:rsidRPr="00E42748">
              <w:br/>
              <w:t>Teaching schedules</w:t>
            </w:r>
            <w:r w:rsidRPr="00E42748">
              <w:br/>
              <w:t>Teaching materials (eg slide-packs)</w:t>
            </w:r>
          </w:p>
        </w:tc>
        <w:tc>
          <w:tcPr>
            <w:tcW w:w="0" w:type="auto"/>
            <w:tcMar>
              <w:top w:w="56" w:type="dxa"/>
              <w:left w:w="56" w:type="dxa"/>
              <w:bottom w:w="56" w:type="dxa"/>
              <w:right w:w="56" w:type="dxa"/>
            </w:tcMar>
            <w:hideMark/>
          </w:tcPr>
          <w:p w14:paraId="683DCB5A" w14:textId="77777777" w:rsidR="000772B6" w:rsidRPr="00E42748" w:rsidRDefault="000772B6" w:rsidP="006F1F07">
            <w:r w:rsidRPr="00E42748">
              <w:t>Facilitate proactive liaison with other teams.</w:t>
            </w:r>
          </w:p>
        </w:tc>
        <w:tc>
          <w:tcPr>
            <w:tcW w:w="0" w:type="auto"/>
            <w:tcMar>
              <w:top w:w="56" w:type="dxa"/>
              <w:left w:w="56" w:type="dxa"/>
              <w:bottom w:w="56" w:type="dxa"/>
              <w:right w:w="56" w:type="dxa"/>
            </w:tcMar>
            <w:hideMark/>
          </w:tcPr>
          <w:p w14:paraId="25AF1D67" w14:textId="77777777" w:rsidR="000772B6" w:rsidRPr="00E42748" w:rsidRDefault="000772B6" w:rsidP="006F1F07">
            <w:r w:rsidRPr="00E42748">
              <w:t>Joint ward rounds, board rounds, clinic consults between surgery, medicine and anaesthetics.</w:t>
            </w:r>
            <w:r w:rsidRPr="00E42748">
              <w:br/>
              <w:t xml:space="preserve">Joint audit meetings / teaching sessions between surgery, </w:t>
            </w:r>
            <w:r w:rsidRPr="00E42748">
              <w:lastRenderedPageBreak/>
              <w:t>medicine and anaesthetics.</w:t>
            </w:r>
          </w:p>
        </w:tc>
        <w:tc>
          <w:tcPr>
            <w:tcW w:w="0" w:type="auto"/>
            <w:tcMar>
              <w:top w:w="56" w:type="dxa"/>
              <w:left w:w="56" w:type="dxa"/>
              <w:bottom w:w="56" w:type="dxa"/>
              <w:right w:w="56" w:type="dxa"/>
            </w:tcMar>
            <w:hideMark/>
          </w:tcPr>
          <w:p w14:paraId="4A07CCDD" w14:textId="77777777" w:rsidR="000772B6" w:rsidRPr="00E42748" w:rsidRDefault="000772B6" w:rsidP="006F1F07">
            <w:r w:rsidRPr="00E42748">
              <w:lastRenderedPageBreak/>
              <w:t>Buy-in from all stakeholders.</w:t>
            </w:r>
            <w:r w:rsidRPr="00E42748">
              <w:br/>
              <w:t>Promotion of collaborative working (on individual, team and organisational level).</w:t>
            </w:r>
            <w:r w:rsidRPr="00E42748">
              <w:br/>
              <w:t xml:space="preserve">Trusted informal and formal peer review and </w:t>
            </w:r>
            <w:r w:rsidRPr="00E42748">
              <w:lastRenderedPageBreak/>
              <w:t>accountability with willingness to engage with feedback processes.</w:t>
            </w:r>
            <w:r w:rsidRPr="00E42748">
              <w:br/>
              <w:t>Avoidance of silo working and poor communication (whether due to IT or other systems).</w:t>
            </w:r>
          </w:p>
        </w:tc>
        <w:tc>
          <w:tcPr>
            <w:tcW w:w="0" w:type="auto"/>
            <w:tcMar>
              <w:top w:w="56" w:type="dxa"/>
              <w:left w:w="56" w:type="dxa"/>
              <w:bottom w:w="56" w:type="dxa"/>
              <w:right w:w="56" w:type="dxa"/>
            </w:tcMar>
            <w:hideMark/>
          </w:tcPr>
          <w:p w14:paraId="284B08F6" w14:textId="77777777" w:rsidR="000772B6" w:rsidRPr="00E42748" w:rsidRDefault="000772B6" w:rsidP="006F1F07">
            <w:r w:rsidRPr="00E42748">
              <w:lastRenderedPageBreak/>
              <w:t>Informed and therefore improved clinical decision making.</w:t>
            </w:r>
            <w:r w:rsidRPr="00E42748">
              <w:br/>
              <w:t>Reduced silo culture.</w:t>
            </w:r>
            <w:r w:rsidRPr="00E42748">
              <w:br/>
              <w:t>Positive influence on behaviours and attitudes of junior medical and nursing staff.</w:t>
            </w:r>
          </w:p>
        </w:tc>
        <w:tc>
          <w:tcPr>
            <w:tcW w:w="0" w:type="auto"/>
            <w:tcMar>
              <w:top w:w="56" w:type="dxa"/>
              <w:left w:w="56" w:type="dxa"/>
              <w:bottom w:w="56" w:type="dxa"/>
              <w:right w:w="56" w:type="dxa"/>
            </w:tcMar>
            <w:hideMark/>
          </w:tcPr>
          <w:p w14:paraId="61A39491" w14:textId="77777777" w:rsidR="000772B6" w:rsidRPr="00E42748" w:rsidRDefault="000772B6" w:rsidP="006F1F07"/>
        </w:tc>
        <w:tc>
          <w:tcPr>
            <w:tcW w:w="0" w:type="auto"/>
            <w:tcMar>
              <w:top w:w="56" w:type="dxa"/>
              <w:left w:w="56" w:type="dxa"/>
              <w:bottom w:w="56" w:type="dxa"/>
              <w:right w:w="56" w:type="dxa"/>
            </w:tcMar>
            <w:hideMark/>
          </w:tcPr>
          <w:p w14:paraId="5B87584A" w14:textId="77777777" w:rsidR="000772B6" w:rsidRPr="00E42748" w:rsidRDefault="000772B6" w:rsidP="006F1F07"/>
        </w:tc>
      </w:tr>
      <w:tr w:rsidR="000772B6" w:rsidRPr="00E42748" w14:paraId="372EF22F" w14:textId="77777777" w:rsidTr="006F1F07">
        <w:trPr>
          <w:tblCellSpacing w:w="15" w:type="dxa"/>
        </w:trPr>
        <w:tc>
          <w:tcPr>
            <w:tcW w:w="0" w:type="auto"/>
            <w:tcMar>
              <w:top w:w="56" w:type="dxa"/>
              <w:left w:w="56" w:type="dxa"/>
              <w:bottom w:w="56" w:type="dxa"/>
              <w:right w:w="56" w:type="dxa"/>
            </w:tcMar>
            <w:hideMark/>
          </w:tcPr>
          <w:p w14:paraId="731B42D7" w14:textId="77777777" w:rsidR="000772B6" w:rsidRPr="00E42748" w:rsidRDefault="000772B6" w:rsidP="006F1F07"/>
        </w:tc>
        <w:tc>
          <w:tcPr>
            <w:tcW w:w="0" w:type="auto"/>
            <w:tcMar>
              <w:top w:w="56" w:type="dxa"/>
              <w:left w:w="56" w:type="dxa"/>
              <w:bottom w:w="56" w:type="dxa"/>
              <w:right w:w="56" w:type="dxa"/>
            </w:tcMar>
            <w:hideMark/>
          </w:tcPr>
          <w:p w14:paraId="77E02591" w14:textId="77777777" w:rsidR="000772B6" w:rsidRPr="00E42748" w:rsidRDefault="000772B6" w:rsidP="006F1F07">
            <w:r w:rsidRPr="00E42748">
              <w:t>Provide education and training to POPS team and key stakeholders.</w:t>
            </w:r>
          </w:p>
        </w:tc>
        <w:tc>
          <w:tcPr>
            <w:tcW w:w="0" w:type="auto"/>
            <w:tcMar>
              <w:top w:w="56" w:type="dxa"/>
              <w:left w:w="56" w:type="dxa"/>
              <w:bottom w:w="56" w:type="dxa"/>
              <w:right w:w="56" w:type="dxa"/>
            </w:tcMar>
            <w:hideMark/>
          </w:tcPr>
          <w:p w14:paraId="6D0E286E" w14:textId="77777777" w:rsidR="000772B6" w:rsidRPr="00E42748" w:rsidRDefault="000772B6" w:rsidP="006F1F07">
            <w:r w:rsidRPr="00E42748">
              <w:t>Predefined curriculum.</w:t>
            </w:r>
            <w:r w:rsidRPr="00E42748">
              <w:br/>
              <w:t>Structured teaching programme.</w:t>
            </w:r>
          </w:p>
        </w:tc>
        <w:tc>
          <w:tcPr>
            <w:tcW w:w="0" w:type="auto"/>
            <w:tcMar>
              <w:top w:w="56" w:type="dxa"/>
              <w:left w:w="56" w:type="dxa"/>
              <w:bottom w:w="56" w:type="dxa"/>
              <w:right w:w="56" w:type="dxa"/>
            </w:tcMar>
            <w:hideMark/>
          </w:tcPr>
          <w:p w14:paraId="5331EE6F" w14:textId="77777777" w:rsidR="000772B6" w:rsidRPr="00E42748" w:rsidRDefault="000772B6" w:rsidP="006F1F07">
            <w:r w:rsidRPr="00E42748">
              <w:t>Scheduled protected teaching sessions.</w:t>
            </w:r>
          </w:p>
        </w:tc>
        <w:tc>
          <w:tcPr>
            <w:tcW w:w="0" w:type="auto"/>
            <w:tcMar>
              <w:top w:w="56" w:type="dxa"/>
              <w:left w:w="56" w:type="dxa"/>
              <w:bottom w:w="56" w:type="dxa"/>
              <w:right w:w="56" w:type="dxa"/>
            </w:tcMar>
            <w:hideMark/>
          </w:tcPr>
          <w:p w14:paraId="3D94F682" w14:textId="77777777" w:rsidR="000772B6" w:rsidRPr="00E42748" w:rsidRDefault="000772B6" w:rsidP="006F1F07">
            <w:r w:rsidRPr="00E42748">
              <w:t>An ‘upskilled’ workforce able to provide care for complex older patients.</w:t>
            </w:r>
            <w:r w:rsidRPr="00E42748">
              <w:br/>
              <w:t>Improved knowledge and skills in perioperative medicine (doctors and AHPs).</w:t>
            </w:r>
            <w:r w:rsidRPr="00E42748">
              <w:br/>
              <w:t>Creation of teaching and mentoring opportunities.</w:t>
            </w:r>
          </w:p>
        </w:tc>
        <w:tc>
          <w:tcPr>
            <w:tcW w:w="0" w:type="auto"/>
            <w:tcMar>
              <w:top w:w="56" w:type="dxa"/>
              <w:left w:w="56" w:type="dxa"/>
              <w:bottom w:w="56" w:type="dxa"/>
              <w:right w:w="56" w:type="dxa"/>
            </w:tcMar>
            <w:hideMark/>
          </w:tcPr>
          <w:p w14:paraId="16C1BF6E" w14:textId="77777777" w:rsidR="000772B6" w:rsidRPr="00E42748" w:rsidRDefault="000772B6" w:rsidP="006F1F07"/>
        </w:tc>
        <w:tc>
          <w:tcPr>
            <w:tcW w:w="0" w:type="auto"/>
            <w:tcMar>
              <w:top w:w="56" w:type="dxa"/>
              <w:left w:w="56" w:type="dxa"/>
              <w:bottom w:w="56" w:type="dxa"/>
              <w:right w:w="56" w:type="dxa"/>
            </w:tcMar>
            <w:hideMark/>
          </w:tcPr>
          <w:p w14:paraId="21D9AF83" w14:textId="77777777" w:rsidR="000772B6" w:rsidRPr="00E42748" w:rsidRDefault="000772B6" w:rsidP="006F1F07"/>
        </w:tc>
      </w:tr>
      <w:tr w:rsidR="000772B6" w:rsidRPr="00E42748" w14:paraId="52E01531" w14:textId="77777777" w:rsidTr="006F1F07">
        <w:trPr>
          <w:tblCellSpacing w:w="15" w:type="dxa"/>
        </w:trPr>
        <w:tc>
          <w:tcPr>
            <w:tcW w:w="0" w:type="auto"/>
            <w:tcMar>
              <w:top w:w="56" w:type="dxa"/>
              <w:left w:w="56" w:type="dxa"/>
              <w:bottom w:w="56" w:type="dxa"/>
              <w:right w:w="56" w:type="dxa"/>
            </w:tcMar>
            <w:hideMark/>
          </w:tcPr>
          <w:p w14:paraId="1F0DB464" w14:textId="77777777" w:rsidR="000772B6" w:rsidRPr="00E42748" w:rsidRDefault="000772B6" w:rsidP="006F1F07"/>
        </w:tc>
        <w:tc>
          <w:tcPr>
            <w:tcW w:w="0" w:type="auto"/>
            <w:tcMar>
              <w:top w:w="56" w:type="dxa"/>
              <w:left w:w="56" w:type="dxa"/>
              <w:bottom w:w="56" w:type="dxa"/>
              <w:right w:w="56" w:type="dxa"/>
            </w:tcMar>
            <w:hideMark/>
          </w:tcPr>
          <w:p w14:paraId="6BCE2675" w14:textId="77777777" w:rsidR="000772B6" w:rsidRPr="00E42748" w:rsidRDefault="000772B6" w:rsidP="006F1F07">
            <w:r w:rsidRPr="00E42748">
              <w:t xml:space="preserve">Establish governance </w:t>
            </w:r>
            <w:r w:rsidRPr="00E42748">
              <w:lastRenderedPageBreak/>
              <w:t>structure and evaluation programme.</w:t>
            </w:r>
          </w:p>
        </w:tc>
        <w:tc>
          <w:tcPr>
            <w:tcW w:w="0" w:type="auto"/>
            <w:tcMar>
              <w:top w:w="56" w:type="dxa"/>
              <w:left w:w="56" w:type="dxa"/>
              <w:bottom w:w="56" w:type="dxa"/>
              <w:right w:w="56" w:type="dxa"/>
            </w:tcMar>
            <w:hideMark/>
          </w:tcPr>
          <w:p w14:paraId="5EA6574E" w14:textId="77777777" w:rsidR="000772B6" w:rsidRPr="00E42748" w:rsidRDefault="000772B6" w:rsidP="006F1F07">
            <w:r w:rsidRPr="00E42748">
              <w:lastRenderedPageBreak/>
              <w:t xml:space="preserve">Structured quality improvement </w:t>
            </w:r>
            <w:r w:rsidRPr="00E42748">
              <w:lastRenderedPageBreak/>
              <w:t>programme underpinned by robust clinical governance meetings.</w:t>
            </w:r>
          </w:p>
        </w:tc>
        <w:tc>
          <w:tcPr>
            <w:tcW w:w="0" w:type="auto"/>
            <w:tcMar>
              <w:top w:w="56" w:type="dxa"/>
              <w:left w:w="56" w:type="dxa"/>
              <w:bottom w:w="56" w:type="dxa"/>
              <w:right w:w="56" w:type="dxa"/>
            </w:tcMar>
            <w:hideMark/>
          </w:tcPr>
          <w:p w14:paraId="2E702E78" w14:textId="77777777" w:rsidR="000772B6" w:rsidRPr="00E42748" w:rsidRDefault="000772B6" w:rsidP="006F1F07">
            <w:r w:rsidRPr="00E42748">
              <w:lastRenderedPageBreak/>
              <w:t>Support from informatics.</w:t>
            </w:r>
            <w:r w:rsidRPr="00E42748">
              <w:br/>
            </w:r>
            <w:r w:rsidRPr="00E42748">
              <w:lastRenderedPageBreak/>
              <w:t>Access to expertise in quality improvement.</w:t>
            </w:r>
          </w:p>
        </w:tc>
        <w:tc>
          <w:tcPr>
            <w:tcW w:w="0" w:type="auto"/>
            <w:tcMar>
              <w:top w:w="56" w:type="dxa"/>
              <w:left w:w="56" w:type="dxa"/>
              <w:bottom w:w="56" w:type="dxa"/>
              <w:right w:w="56" w:type="dxa"/>
            </w:tcMar>
            <w:hideMark/>
          </w:tcPr>
          <w:p w14:paraId="20B370FC" w14:textId="77777777" w:rsidR="000772B6" w:rsidRPr="00E42748" w:rsidRDefault="000772B6" w:rsidP="006F1F07">
            <w:r w:rsidRPr="00E42748">
              <w:lastRenderedPageBreak/>
              <w:t xml:space="preserve">Ensure fidelity to the POPS model of </w:t>
            </w:r>
            <w:r w:rsidRPr="00E42748">
              <w:lastRenderedPageBreak/>
              <w:t>care.</w:t>
            </w:r>
            <w:r w:rsidRPr="00E42748">
              <w:br/>
              <w:t>Reduced unwarranted variation in patient care.</w:t>
            </w:r>
            <w:r w:rsidRPr="00E42748">
              <w:br/>
              <w:t>Improved quality of care.</w:t>
            </w:r>
            <w:r w:rsidRPr="00E42748">
              <w:br/>
              <w:t>Development of an evidence base in issues relevant to complex older surgical patients.</w:t>
            </w:r>
          </w:p>
        </w:tc>
        <w:tc>
          <w:tcPr>
            <w:tcW w:w="0" w:type="auto"/>
            <w:tcMar>
              <w:top w:w="56" w:type="dxa"/>
              <w:left w:w="56" w:type="dxa"/>
              <w:bottom w:w="56" w:type="dxa"/>
              <w:right w:w="56" w:type="dxa"/>
            </w:tcMar>
            <w:hideMark/>
          </w:tcPr>
          <w:p w14:paraId="1F0240A7" w14:textId="77777777" w:rsidR="000772B6" w:rsidRPr="00E42748" w:rsidRDefault="000772B6" w:rsidP="006F1F07"/>
        </w:tc>
        <w:tc>
          <w:tcPr>
            <w:tcW w:w="0" w:type="auto"/>
            <w:tcMar>
              <w:top w:w="56" w:type="dxa"/>
              <w:left w:w="56" w:type="dxa"/>
              <w:bottom w:w="56" w:type="dxa"/>
              <w:right w:w="56" w:type="dxa"/>
            </w:tcMar>
            <w:hideMark/>
          </w:tcPr>
          <w:p w14:paraId="3476F6A0" w14:textId="77777777" w:rsidR="000772B6" w:rsidRPr="00E42748" w:rsidRDefault="000772B6" w:rsidP="006F1F07"/>
        </w:tc>
      </w:tr>
    </w:tbl>
    <w:p w14:paraId="7999D40F" w14:textId="77777777" w:rsidR="000772B6" w:rsidRPr="00E42748" w:rsidRDefault="000772B6" w:rsidP="000772B6">
      <w:r w:rsidRPr="00E42748">
        <w:t>AHPs = allied health professional; CGA = comprehensive geriatric assessment; CNS = clinical nurse specialist; MDT = multidisciplinary team; OT = occupational therapist; POPS = perioperative medicine for older people undergoing surgery.</w:t>
      </w:r>
    </w:p>
    <w:p w14:paraId="476AB6EB" w14:textId="77777777" w:rsidR="000772B6" w:rsidRDefault="000772B6" w:rsidP="009A15BB">
      <w:pPr>
        <w:jc w:val="both"/>
        <w:rPr>
          <w:b/>
          <w:bCs/>
          <w:sz w:val="22"/>
          <w:szCs w:val="22"/>
          <w:lang w:val="en-US"/>
        </w:rPr>
      </w:pPr>
    </w:p>
    <w:p w14:paraId="0801F534" w14:textId="77777777" w:rsidR="000772B6" w:rsidRDefault="000772B6" w:rsidP="009A15BB">
      <w:pPr>
        <w:jc w:val="both"/>
        <w:rPr>
          <w:b/>
          <w:bCs/>
          <w:sz w:val="22"/>
          <w:szCs w:val="22"/>
          <w:lang w:val="en-US"/>
        </w:rPr>
      </w:pPr>
    </w:p>
    <w:p w14:paraId="02073232" w14:textId="77777777" w:rsidR="000772B6" w:rsidRDefault="000772B6" w:rsidP="009A15BB">
      <w:pPr>
        <w:jc w:val="both"/>
        <w:rPr>
          <w:b/>
          <w:bCs/>
          <w:sz w:val="22"/>
          <w:szCs w:val="22"/>
          <w:lang w:val="en-US"/>
        </w:rPr>
      </w:pPr>
    </w:p>
    <w:p w14:paraId="26F54CE2" w14:textId="77777777" w:rsidR="000772B6" w:rsidRDefault="000772B6" w:rsidP="009A15BB">
      <w:pPr>
        <w:jc w:val="both"/>
        <w:rPr>
          <w:b/>
          <w:bCs/>
          <w:sz w:val="22"/>
          <w:szCs w:val="22"/>
          <w:lang w:val="en-US"/>
        </w:rPr>
      </w:pPr>
    </w:p>
    <w:p w14:paraId="4AF479A8" w14:textId="77777777" w:rsidR="000772B6" w:rsidRDefault="000772B6" w:rsidP="009A15BB">
      <w:pPr>
        <w:jc w:val="both"/>
        <w:rPr>
          <w:b/>
          <w:bCs/>
          <w:sz w:val="22"/>
          <w:szCs w:val="22"/>
          <w:lang w:val="en-US"/>
        </w:rPr>
      </w:pPr>
    </w:p>
    <w:p w14:paraId="3D974FC0" w14:textId="77777777" w:rsidR="000772B6" w:rsidRDefault="000772B6" w:rsidP="009A15BB">
      <w:pPr>
        <w:jc w:val="both"/>
        <w:rPr>
          <w:b/>
          <w:bCs/>
          <w:sz w:val="22"/>
          <w:szCs w:val="22"/>
          <w:lang w:val="en-US"/>
        </w:rPr>
      </w:pPr>
    </w:p>
    <w:p w14:paraId="27C00AC1" w14:textId="77777777" w:rsidR="000772B6" w:rsidRDefault="000772B6" w:rsidP="009A15BB">
      <w:pPr>
        <w:jc w:val="both"/>
        <w:rPr>
          <w:b/>
          <w:bCs/>
          <w:sz w:val="22"/>
          <w:szCs w:val="22"/>
          <w:lang w:val="en-US"/>
        </w:rPr>
      </w:pPr>
    </w:p>
    <w:p w14:paraId="1EA65A3F" w14:textId="77777777" w:rsidR="000772B6" w:rsidRDefault="000772B6" w:rsidP="009A15BB">
      <w:pPr>
        <w:jc w:val="both"/>
        <w:rPr>
          <w:b/>
          <w:bCs/>
          <w:sz w:val="22"/>
          <w:szCs w:val="22"/>
          <w:lang w:val="en-US"/>
        </w:rPr>
      </w:pPr>
    </w:p>
    <w:p w14:paraId="46BF8F17" w14:textId="77777777" w:rsidR="000772B6" w:rsidRDefault="000772B6" w:rsidP="009A15BB">
      <w:pPr>
        <w:jc w:val="both"/>
        <w:rPr>
          <w:b/>
          <w:bCs/>
          <w:sz w:val="22"/>
          <w:szCs w:val="22"/>
          <w:lang w:val="en-US"/>
        </w:rPr>
      </w:pPr>
    </w:p>
    <w:p w14:paraId="042E3F41" w14:textId="77777777" w:rsidR="000772B6" w:rsidRDefault="000772B6" w:rsidP="009A15BB">
      <w:pPr>
        <w:jc w:val="both"/>
        <w:rPr>
          <w:b/>
          <w:bCs/>
          <w:sz w:val="22"/>
          <w:szCs w:val="22"/>
          <w:lang w:val="en-US"/>
        </w:rPr>
      </w:pPr>
    </w:p>
    <w:p w14:paraId="368A741D" w14:textId="77777777" w:rsidR="000772B6" w:rsidRDefault="000772B6" w:rsidP="009A15BB">
      <w:pPr>
        <w:jc w:val="both"/>
        <w:rPr>
          <w:b/>
          <w:bCs/>
          <w:sz w:val="22"/>
          <w:szCs w:val="22"/>
          <w:lang w:val="en-US"/>
        </w:rPr>
      </w:pPr>
    </w:p>
    <w:p w14:paraId="10EF1747" w14:textId="77777777" w:rsidR="000772B6" w:rsidRDefault="000772B6" w:rsidP="009A15BB">
      <w:pPr>
        <w:jc w:val="both"/>
        <w:rPr>
          <w:b/>
          <w:bCs/>
          <w:sz w:val="22"/>
          <w:szCs w:val="22"/>
          <w:lang w:val="en-US"/>
        </w:rPr>
      </w:pPr>
    </w:p>
    <w:p w14:paraId="6509F1E3" w14:textId="77777777" w:rsidR="000772B6" w:rsidRDefault="000772B6" w:rsidP="009A15BB">
      <w:pPr>
        <w:jc w:val="both"/>
        <w:rPr>
          <w:b/>
          <w:bCs/>
          <w:sz w:val="22"/>
          <w:szCs w:val="22"/>
          <w:lang w:val="en-US"/>
        </w:rPr>
      </w:pPr>
    </w:p>
    <w:p w14:paraId="6ED93273" w14:textId="77777777" w:rsidR="000772B6" w:rsidRDefault="000772B6" w:rsidP="009A15BB">
      <w:pPr>
        <w:jc w:val="both"/>
        <w:rPr>
          <w:b/>
          <w:bCs/>
          <w:sz w:val="22"/>
          <w:szCs w:val="22"/>
          <w:lang w:val="en-US"/>
        </w:rPr>
      </w:pPr>
    </w:p>
    <w:p w14:paraId="02366AAD" w14:textId="77777777" w:rsidR="000772B6" w:rsidRDefault="000772B6" w:rsidP="009A15BB">
      <w:pPr>
        <w:jc w:val="both"/>
        <w:rPr>
          <w:b/>
          <w:bCs/>
          <w:sz w:val="22"/>
          <w:szCs w:val="22"/>
          <w:lang w:val="en-US"/>
        </w:rPr>
        <w:sectPr w:rsidR="000772B6" w:rsidSect="000772B6">
          <w:pgSz w:w="16838" w:h="11906" w:orient="landscape"/>
          <w:pgMar w:top="1440" w:right="1440" w:bottom="1014" w:left="1440" w:header="708" w:footer="708" w:gutter="0"/>
          <w:cols w:space="708"/>
          <w:docGrid w:linePitch="360"/>
        </w:sectPr>
      </w:pPr>
    </w:p>
    <w:p w14:paraId="7CA7107D" w14:textId="77777777" w:rsidR="000772B6" w:rsidRDefault="000772B6" w:rsidP="000772B6">
      <w:r>
        <w:lastRenderedPageBreak/>
        <w:t>Supplementary table 2: Routinely collected clinical data</w:t>
      </w:r>
    </w:p>
    <w:p w14:paraId="30307A9B" w14:textId="77777777" w:rsidR="000772B6" w:rsidRDefault="000772B6" w:rsidP="000772B6">
      <w:pPr>
        <w:textAlignment w:val="baseline"/>
        <w:rPr>
          <w:rFonts w:ascii="Calibri" w:eastAsia="Times New Roman" w:hAnsi="Calibri" w:cs="Calibri"/>
          <w:color w:val="000000"/>
          <w:lang w:eastAsia="en-GB"/>
        </w:rPr>
      </w:pPr>
    </w:p>
    <w:tbl>
      <w:tblPr>
        <w:tblStyle w:val="TableGrid"/>
        <w:tblW w:w="0" w:type="auto"/>
        <w:tblLook w:val="04A0" w:firstRow="1" w:lastRow="0" w:firstColumn="1" w:lastColumn="0" w:noHBand="0" w:noVBand="1"/>
      </w:tblPr>
      <w:tblGrid>
        <w:gridCol w:w="1867"/>
        <w:gridCol w:w="1704"/>
        <w:gridCol w:w="2283"/>
        <w:gridCol w:w="1633"/>
        <w:gridCol w:w="1523"/>
      </w:tblGrid>
      <w:tr w:rsidR="000772B6" w14:paraId="4BAD3AC7" w14:textId="77777777" w:rsidTr="006F1F07">
        <w:tc>
          <w:tcPr>
            <w:tcW w:w="1867" w:type="dxa"/>
          </w:tcPr>
          <w:p w14:paraId="4EDC6BFE"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Outcomes</w:t>
            </w:r>
          </w:p>
        </w:tc>
        <w:tc>
          <w:tcPr>
            <w:tcW w:w="1705" w:type="dxa"/>
          </w:tcPr>
          <w:p w14:paraId="7927C763"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Data</w:t>
            </w:r>
          </w:p>
        </w:tc>
        <w:tc>
          <w:tcPr>
            <w:tcW w:w="2284" w:type="dxa"/>
          </w:tcPr>
          <w:p w14:paraId="0619122F"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Timing of collection</w:t>
            </w:r>
          </w:p>
        </w:tc>
        <w:tc>
          <w:tcPr>
            <w:tcW w:w="1635" w:type="dxa"/>
          </w:tcPr>
          <w:p w14:paraId="0ADB5A3D"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Who will collect</w:t>
            </w:r>
          </w:p>
        </w:tc>
        <w:tc>
          <w:tcPr>
            <w:tcW w:w="1525" w:type="dxa"/>
          </w:tcPr>
          <w:p w14:paraId="1C217C60"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Consent</w:t>
            </w:r>
          </w:p>
        </w:tc>
      </w:tr>
      <w:tr w:rsidR="000772B6" w14:paraId="08D33564" w14:textId="77777777" w:rsidTr="006F1F07">
        <w:tc>
          <w:tcPr>
            <w:tcW w:w="1867" w:type="dxa"/>
          </w:tcPr>
          <w:p w14:paraId="4FB4BE35"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Primary implementation</w:t>
            </w:r>
          </w:p>
        </w:tc>
        <w:tc>
          <w:tcPr>
            <w:tcW w:w="1705" w:type="dxa"/>
          </w:tcPr>
          <w:p w14:paraId="63F1CFE4"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Reach</w:t>
            </w:r>
          </w:p>
        </w:tc>
        <w:tc>
          <w:tcPr>
            <w:tcW w:w="2284" w:type="dxa"/>
          </w:tcPr>
          <w:p w14:paraId="4EC15976"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Weekly </w:t>
            </w:r>
          </w:p>
        </w:tc>
        <w:tc>
          <w:tcPr>
            <w:tcW w:w="1635" w:type="dxa"/>
          </w:tcPr>
          <w:p w14:paraId="6A91D277"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w:t>
            </w:r>
          </w:p>
        </w:tc>
        <w:tc>
          <w:tcPr>
            <w:tcW w:w="1525" w:type="dxa"/>
          </w:tcPr>
          <w:p w14:paraId="77440DD2"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7602F260" w14:textId="77777777" w:rsidTr="006F1F07">
        <w:tc>
          <w:tcPr>
            <w:tcW w:w="1867" w:type="dxa"/>
          </w:tcPr>
          <w:p w14:paraId="29B3F9CC"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Primary clinical</w:t>
            </w:r>
          </w:p>
        </w:tc>
        <w:tc>
          <w:tcPr>
            <w:tcW w:w="1705" w:type="dxa"/>
          </w:tcPr>
          <w:p w14:paraId="7882D0FC"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Length of stay (days)</w:t>
            </w:r>
          </w:p>
        </w:tc>
        <w:tc>
          <w:tcPr>
            <w:tcW w:w="2284" w:type="dxa"/>
          </w:tcPr>
          <w:p w14:paraId="4D98577F"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Weekly </w:t>
            </w:r>
          </w:p>
        </w:tc>
        <w:tc>
          <w:tcPr>
            <w:tcW w:w="1635" w:type="dxa"/>
          </w:tcPr>
          <w:p w14:paraId="68617807" w14:textId="77777777" w:rsidR="000772B6" w:rsidRDefault="000772B6" w:rsidP="006F1F07">
            <w:pPr>
              <w:textAlignment w:val="baseline"/>
              <w:rPr>
                <w:rFonts w:ascii="Calibri" w:eastAsia="Times New Roman" w:hAnsi="Calibri" w:cs="Calibri"/>
                <w:color w:val="000000"/>
                <w:lang w:eastAsia="en-GB"/>
              </w:rPr>
            </w:pPr>
            <w:r w:rsidRPr="00336FB2">
              <w:rPr>
                <w:rFonts w:ascii="Calibri" w:eastAsia="Times New Roman" w:hAnsi="Calibri" w:cs="Calibri"/>
                <w:color w:val="000000"/>
                <w:lang w:eastAsia="en-GB"/>
              </w:rPr>
              <w:t>Local clinical and research team</w:t>
            </w:r>
          </w:p>
        </w:tc>
        <w:tc>
          <w:tcPr>
            <w:tcW w:w="1525" w:type="dxa"/>
          </w:tcPr>
          <w:p w14:paraId="7E469D06"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No </w:t>
            </w:r>
          </w:p>
        </w:tc>
      </w:tr>
      <w:tr w:rsidR="000772B6" w14:paraId="14CB2946" w14:textId="77777777" w:rsidTr="006F1F07">
        <w:tc>
          <w:tcPr>
            <w:tcW w:w="1867" w:type="dxa"/>
            <w:vMerge w:val="restart"/>
          </w:tcPr>
          <w:p w14:paraId="6A194F2C"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Secondary implementation</w:t>
            </w:r>
          </w:p>
        </w:tc>
        <w:tc>
          <w:tcPr>
            <w:tcW w:w="1705" w:type="dxa"/>
          </w:tcPr>
          <w:p w14:paraId="67FF4664"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F</w:t>
            </w:r>
            <w:r w:rsidRPr="00336FB2">
              <w:rPr>
                <w:rFonts w:ascii="Calibri" w:eastAsia="Times New Roman" w:hAnsi="Calibri" w:cs="Calibri"/>
                <w:color w:val="000000"/>
                <w:lang w:eastAsia="en-GB"/>
              </w:rPr>
              <w:t>idelity to clinical components of perioperative CGA </w:t>
            </w:r>
          </w:p>
        </w:tc>
        <w:tc>
          <w:tcPr>
            <w:tcW w:w="2284" w:type="dxa"/>
          </w:tcPr>
          <w:p w14:paraId="473C4A63"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Collected once in month 3 (preimplementation phase), once </w:t>
            </w:r>
            <w:r w:rsidRPr="004B24FB">
              <w:rPr>
                <w:rFonts w:ascii="Calibri" w:eastAsia="Times New Roman" w:hAnsi="Calibri" w:cs="Calibri"/>
                <w:color w:val="000000"/>
                <w:lang w:eastAsia="en-GB"/>
              </w:rPr>
              <w:t xml:space="preserve">in </w:t>
            </w:r>
            <w:r>
              <w:rPr>
                <w:rFonts w:ascii="Calibri" w:eastAsia="Times New Roman" w:hAnsi="Calibri" w:cs="Calibri"/>
                <w:color w:val="000000"/>
                <w:lang w:eastAsia="en-GB"/>
              </w:rPr>
              <w:t>month 9 (implementation phase) and once in month 12 (postimplementation phase)</w:t>
            </w:r>
          </w:p>
        </w:tc>
        <w:tc>
          <w:tcPr>
            <w:tcW w:w="1635" w:type="dxa"/>
          </w:tcPr>
          <w:p w14:paraId="6EFE8C8E"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Research team</w:t>
            </w:r>
          </w:p>
        </w:tc>
        <w:tc>
          <w:tcPr>
            <w:tcW w:w="1525" w:type="dxa"/>
          </w:tcPr>
          <w:p w14:paraId="36632690" w14:textId="77777777" w:rsidR="000772B6" w:rsidRDefault="000772B6" w:rsidP="006F1F07">
            <w:pPr>
              <w:textAlignment w:val="baseline"/>
              <w:rPr>
                <w:rFonts w:ascii="Calibri" w:eastAsia="Times New Roman" w:hAnsi="Calibri" w:cs="Calibri"/>
                <w:color w:val="000000"/>
                <w:lang w:eastAsia="en-GB"/>
              </w:rPr>
            </w:pPr>
            <w:r w:rsidRPr="004B24FB">
              <w:rPr>
                <w:rFonts w:ascii="Calibri" w:eastAsia="Times New Roman" w:hAnsi="Calibri" w:cs="Calibri"/>
                <w:color w:val="000000"/>
                <w:lang w:eastAsia="en-GB"/>
              </w:rPr>
              <w:t>Yes (written consent from staff members)</w:t>
            </w:r>
          </w:p>
        </w:tc>
      </w:tr>
      <w:tr w:rsidR="000772B6" w14:paraId="00617123" w14:textId="77777777" w:rsidTr="006F1F07">
        <w:tc>
          <w:tcPr>
            <w:tcW w:w="1867" w:type="dxa"/>
            <w:vMerge/>
          </w:tcPr>
          <w:p w14:paraId="50FB166E"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4B98560C"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F</w:t>
            </w:r>
            <w:r w:rsidRPr="00336FB2">
              <w:rPr>
                <w:rFonts w:ascii="Calibri" w:eastAsia="Times New Roman" w:hAnsi="Calibri" w:cs="Calibri"/>
                <w:color w:val="000000"/>
                <w:lang w:eastAsia="en-GB"/>
              </w:rPr>
              <w:t>idelity to core components of POPS services</w:t>
            </w:r>
          </w:p>
        </w:tc>
        <w:tc>
          <w:tcPr>
            <w:tcW w:w="2284" w:type="dxa"/>
          </w:tcPr>
          <w:p w14:paraId="2E29ED44" w14:textId="77777777" w:rsidR="000772B6" w:rsidRDefault="000772B6" w:rsidP="006F1F07">
            <w:pPr>
              <w:textAlignment w:val="baseline"/>
              <w:rPr>
                <w:rFonts w:ascii="Calibri" w:eastAsia="Times New Roman" w:hAnsi="Calibri" w:cs="Calibri"/>
                <w:color w:val="000000"/>
                <w:lang w:eastAsia="en-GB"/>
              </w:rPr>
            </w:pPr>
            <w:r w:rsidRPr="004B24FB">
              <w:rPr>
                <w:rFonts w:ascii="Calibri" w:eastAsia="Times New Roman" w:hAnsi="Calibri" w:cs="Calibri"/>
                <w:color w:val="000000"/>
                <w:lang w:eastAsia="en-GB"/>
              </w:rPr>
              <w:t>Collected once in month 3 (preimplementation phase), once in month 9 (implementation phase) and once in month 12 (postimplementation phase)</w:t>
            </w:r>
          </w:p>
        </w:tc>
        <w:tc>
          <w:tcPr>
            <w:tcW w:w="1635" w:type="dxa"/>
          </w:tcPr>
          <w:p w14:paraId="19801A8E" w14:textId="77777777" w:rsidR="000772B6" w:rsidRDefault="000772B6" w:rsidP="006F1F07">
            <w:pPr>
              <w:textAlignment w:val="baseline"/>
              <w:rPr>
                <w:rFonts w:ascii="Calibri" w:eastAsia="Times New Roman" w:hAnsi="Calibri" w:cs="Calibri"/>
                <w:color w:val="000000"/>
                <w:lang w:eastAsia="en-GB"/>
              </w:rPr>
            </w:pPr>
            <w:r w:rsidRPr="004B24FB">
              <w:rPr>
                <w:rFonts w:ascii="Calibri" w:eastAsia="Times New Roman" w:hAnsi="Calibri" w:cs="Calibri"/>
                <w:color w:val="000000"/>
                <w:lang w:eastAsia="en-GB"/>
              </w:rPr>
              <w:t>Research team</w:t>
            </w:r>
          </w:p>
        </w:tc>
        <w:tc>
          <w:tcPr>
            <w:tcW w:w="1525" w:type="dxa"/>
          </w:tcPr>
          <w:p w14:paraId="62876CAF"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Yes (written consent from staff members)</w:t>
            </w:r>
          </w:p>
        </w:tc>
      </w:tr>
      <w:tr w:rsidR="000772B6" w14:paraId="53A1D608" w14:textId="77777777" w:rsidTr="006F1F07">
        <w:tc>
          <w:tcPr>
            <w:tcW w:w="1867" w:type="dxa"/>
            <w:vMerge/>
          </w:tcPr>
          <w:p w14:paraId="353DECFC"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23B94BE7" w14:textId="77777777" w:rsidR="000772B6" w:rsidRDefault="000772B6" w:rsidP="006F1F07">
            <w:pPr>
              <w:textAlignment w:val="baseline"/>
              <w:rPr>
                <w:rFonts w:ascii="Calibri" w:eastAsia="Times New Roman" w:hAnsi="Calibri" w:cs="Calibri"/>
                <w:color w:val="000000"/>
                <w:lang w:eastAsia="en-GB"/>
              </w:rPr>
            </w:pPr>
            <w:r w:rsidRPr="00336FB2">
              <w:rPr>
                <w:rFonts w:ascii="Calibri" w:eastAsia="Times New Roman" w:hAnsi="Calibri" w:cs="Calibri"/>
                <w:color w:val="000000"/>
                <w:lang w:eastAsia="en-GB"/>
              </w:rPr>
              <w:t xml:space="preserve">Acceptability </w:t>
            </w:r>
          </w:p>
        </w:tc>
        <w:tc>
          <w:tcPr>
            <w:tcW w:w="2284" w:type="dxa"/>
          </w:tcPr>
          <w:p w14:paraId="16A1A24E" w14:textId="77777777" w:rsidR="000772B6" w:rsidRDefault="000772B6" w:rsidP="006F1F07">
            <w:pPr>
              <w:textAlignment w:val="baseline"/>
              <w:rPr>
                <w:rFonts w:ascii="Calibri" w:eastAsia="Times New Roman" w:hAnsi="Calibri" w:cs="Calibri"/>
                <w:color w:val="000000"/>
                <w:lang w:eastAsia="en-GB"/>
              </w:rPr>
            </w:pPr>
            <w:r w:rsidRPr="004B24FB">
              <w:rPr>
                <w:rFonts w:ascii="Calibri" w:eastAsia="Times New Roman" w:hAnsi="Calibri" w:cs="Calibri"/>
                <w:color w:val="000000"/>
                <w:lang w:eastAsia="en-GB"/>
              </w:rPr>
              <w:t>Collected once in month 3 (preimplementation phase), once in month 9 (implementation phase) and once in month 12 (postimplementation phase)</w:t>
            </w:r>
          </w:p>
        </w:tc>
        <w:tc>
          <w:tcPr>
            <w:tcW w:w="1635" w:type="dxa"/>
          </w:tcPr>
          <w:p w14:paraId="51DC4574" w14:textId="77777777" w:rsidR="000772B6" w:rsidRDefault="000772B6" w:rsidP="006F1F07">
            <w:pPr>
              <w:textAlignment w:val="baseline"/>
              <w:rPr>
                <w:rFonts w:ascii="Calibri" w:eastAsia="Times New Roman" w:hAnsi="Calibri" w:cs="Calibri"/>
                <w:color w:val="000000"/>
                <w:lang w:eastAsia="en-GB"/>
              </w:rPr>
            </w:pPr>
            <w:r w:rsidRPr="004B24FB">
              <w:rPr>
                <w:rFonts w:ascii="Calibri" w:eastAsia="Times New Roman" w:hAnsi="Calibri" w:cs="Calibri"/>
                <w:color w:val="000000"/>
                <w:lang w:eastAsia="en-GB"/>
              </w:rPr>
              <w:t>Research team</w:t>
            </w:r>
          </w:p>
        </w:tc>
        <w:tc>
          <w:tcPr>
            <w:tcW w:w="1525" w:type="dxa"/>
          </w:tcPr>
          <w:p w14:paraId="0A61590C"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Yes (written consent from staff members)</w:t>
            </w:r>
          </w:p>
        </w:tc>
      </w:tr>
      <w:tr w:rsidR="000772B6" w14:paraId="5E79B00C" w14:textId="77777777" w:rsidTr="006F1F07">
        <w:tc>
          <w:tcPr>
            <w:tcW w:w="1867" w:type="dxa"/>
            <w:vMerge/>
          </w:tcPr>
          <w:p w14:paraId="029CE559"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58174526" w14:textId="77777777" w:rsidR="000772B6" w:rsidRDefault="000772B6" w:rsidP="006F1F07">
            <w:pPr>
              <w:textAlignment w:val="baseline"/>
              <w:rPr>
                <w:rFonts w:ascii="Calibri" w:eastAsia="Times New Roman" w:hAnsi="Calibri" w:cs="Calibri"/>
                <w:color w:val="000000"/>
                <w:lang w:eastAsia="en-GB"/>
              </w:rPr>
            </w:pPr>
            <w:r w:rsidRPr="00336FB2">
              <w:rPr>
                <w:rFonts w:ascii="Calibri" w:eastAsia="Times New Roman" w:hAnsi="Calibri" w:cs="Calibri"/>
                <w:color w:val="000000"/>
                <w:lang w:eastAsia="en-GB"/>
              </w:rPr>
              <w:t>Feasibility</w:t>
            </w:r>
          </w:p>
        </w:tc>
        <w:tc>
          <w:tcPr>
            <w:tcW w:w="2284" w:type="dxa"/>
          </w:tcPr>
          <w:p w14:paraId="0FC49708" w14:textId="77777777" w:rsidR="000772B6" w:rsidRDefault="000772B6" w:rsidP="006F1F07">
            <w:pPr>
              <w:textAlignment w:val="baseline"/>
              <w:rPr>
                <w:rFonts w:ascii="Calibri" w:eastAsia="Times New Roman" w:hAnsi="Calibri" w:cs="Calibri"/>
                <w:color w:val="000000"/>
                <w:lang w:eastAsia="en-GB"/>
              </w:rPr>
            </w:pPr>
            <w:r w:rsidRPr="004B24FB">
              <w:rPr>
                <w:rFonts w:ascii="Calibri" w:eastAsia="Times New Roman" w:hAnsi="Calibri" w:cs="Calibri"/>
                <w:color w:val="000000"/>
                <w:lang w:eastAsia="en-GB"/>
              </w:rPr>
              <w:t>Collected once in month 3 (preimplementation phase), once in month 9 (implementation phase) and once in month 12 (postimplementation phase)</w:t>
            </w:r>
          </w:p>
        </w:tc>
        <w:tc>
          <w:tcPr>
            <w:tcW w:w="1635" w:type="dxa"/>
          </w:tcPr>
          <w:p w14:paraId="03E2B852" w14:textId="77777777" w:rsidR="000772B6" w:rsidRDefault="000772B6" w:rsidP="006F1F07">
            <w:pPr>
              <w:textAlignment w:val="baseline"/>
              <w:rPr>
                <w:rFonts w:ascii="Calibri" w:eastAsia="Times New Roman" w:hAnsi="Calibri" w:cs="Calibri"/>
                <w:color w:val="000000"/>
                <w:lang w:eastAsia="en-GB"/>
              </w:rPr>
            </w:pPr>
            <w:r w:rsidRPr="004B24FB">
              <w:rPr>
                <w:rFonts w:ascii="Calibri" w:eastAsia="Times New Roman" w:hAnsi="Calibri" w:cs="Calibri"/>
                <w:color w:val="000000"/>
                <w:lang w:eastAsia="en-GB"/>
              </w:rPr>
              <w:t>Research team</w:t>
            </w:r>
          </w:p>
        </w:tc>
        <w:tc>
          <w:tcPr>
            <w:tcW w:w="1525" w:type="dxa"/>
          </w:tcPr>
          <w:p w14:paraId="2BC5CDEC"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Yes (written consent from staff members)</w:t>
            </w:r>
          </w:p>
        </w:tc>
      </w:tr>
      <w:tr w:rsidR="000772B6" w14:paraId="3640DF69" w14:textId="77777777" w:rsidTr="006F1F07">
        <w:tc>
          <w:tcPr>
            <w:tcW w:w="1867" w:type="dxa"/>
          </w:tcPr>
          <w:p w14:paraId="7D63A9FA"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Secondary clinical</w:t>
            </w:r>
          </w:p>
        </w:tc>
        <w:tc>
          <w:tcPr>
            <w:tcW w:w="1705" w:type="dxa"/>
          </w:tcPr>
          <w:p w14:paraId="737CD20E" w14:textId="77777777" w:rsidR="000772B6" w:rsidRPr="00336FB2"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Age </w:t>
            </w:r>
          </w:p>
        </w:tc>
        <w:tc>
          <w:tcPr>
            <w:tcW w:w="2284" w:type="dxa"/>
          </w:tcPr>
          <w:p w14:paraId="1693550E" w14:textId="77777777" w:rsidR="000772B6" w:rsidRPr="004B24FB"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Once</w:t>
            </w:r>
          </w:p>
        </w:tc>
        <w:tc>
          <w:tcPr>
            <w:tcW w:w="1635" w:type="dxa"/>
          </w:tcPr>
          <w:p w14:paraId="2D32B834" w14:textId="77777777" w:rsidR="000772B6" w:rsidRPr="004B24FB"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w:t>
            </w:r>
          </w:p>
        </w:tc>
        <w:tc>
          <w:tcPr>
            <w:tcW w:w="1525" w:type="dxa"/>
          </w:tcPr>
          <w:p w14:paraId="0DD16CA0"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6B3F338E" w14:textId="77777777" w:rsidTr="006F1F07">
        <w:tc>
          <w:tcPr>
            <w:tcW w:w="1867" w:type="dxa"/>
          </w:tcPr>
          <w:p w14:paraId="71C79C34"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11C067A9"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Gender</w:t>
            </w:r>
          </w:p>
        </w:tc>
        <w:tc>
          <w:tcPr>
            <w:tcW w:w="2284" w:type="dxa"/>
          </w:tcPr>
          <w:p w14:paraId="1D55801C"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Once</w:t>
            </w:r>
          </w:p>
        </w:tc>
        <w:tc>
          <w:tcPr>
            <w:tcW w:w="1635" w:type="dxa"/>
          </w:tcPr>
          <w:p w14:paraId="7420711C" w14:textId="77777777" w:rsidR="000772B6" w:rsidRPr="004B24FB"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w:t>
            </w:r>
          </w:p>
        </w:tc>
        <w:tc>
          <w:tcPr>
            <w:tcW w:w="1525" w:type="dxa"/>
          </w:tcPr>
          <w:p w14:paraId="1BA02F31"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39119324" w14:textId="77777777" w:rsidTr="006F1F07">
        <w:tc>
          <w:tcPr>
            <w:tcW w:w="1867" w:type="dxa"/>
          </w:tcPr>
          <w:p w14:paraId="72A9B6BC"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73D43691"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Clinical frailty scale</w:t>
            </w:r>
          </w:p>
        </w:tc>
        <w:tc>
          <w:tcPr>
            <w:tcW w:w="2284" w:type="dxa"/>
          </w:tcPr>
          <w:p w14:paraId="2F3E44A6"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Once</w:t>
            </w:r>
          </w:p>
        </w:tc>
        <w:tc>
          <w:tcPr>
            <w:tcW w:w="1635" w:type="dxa"/>
          </w:tcPr>
          <w:p w14:paraId="02DC6468" w14:textId="77777777" w:rsidR="000772B6" w:rsidRPr="004B24FB"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w:t>
            </w:r>
          </w:p>
        </w:tc>
        <w:tc>
          <w:tcPr>
            <w:tcW w:w="1525" w:type="dxa"/>
          </w:tcPr>
          <w:p w14:paraId="5C04A3ED"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70EDCC40" w14:textId="77777777" w:rsidTr="006F1F07">
        <w:tc>
          <w:tcPr>
            <w:tcW w:w="1867" w:type="dxa"/>
          </w:tcPr>
          <w:p w14:paraId="7246A6F7"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1B80383C"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Number of regular medications</w:t>
            </w:r>
          </w:p>
        </w:tc>
        <w:tc>
          <w:tcPr>
            <w:tcW w:w="2284" w:type="dxa"/>
          </w:tcPr>
          <w:p w14:paraId="20FA1BDB"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Once</w:t>
            </w:r>
          </w:p>
        </w:tc>
        <w:tc>
          <w:tcPr>
            <w:tcW w:w="1635" w:type="dxa"/>
          </w:tcPr>
          <w:p w14:paraId="360B7408" w14:textId="77777777" w:rsidR="000772B6" w:rsidRPr="004B24FB"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w:t>
            </w:r>
          </w:p>
        </w:tc>
        <w:tc>
          <w:tcPr>
            <w:tcW w:w="1525" w:type="dxa"/>
          </w:tcPr>
          <w:p w14:paraId="706F17B7"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7513A953" w14:textId="77777777" w:rsidTr="006F1F07">
        <w:tc>
          <w:tcPr>
            <w:tcW w:w="1867" w:type="dxa"/>
          </w:tcPr>
          <w:p w14:paraId="6DC1AE5B"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3A4AC3AF" w14:textId="77777777" w:rsidR="000772B6" w:rsidRDefault="000772B6" w:rsidP="006F1F07">
            <w:pPr>
              <w:textAlignment w:val="baseline"/>
              <w:rPr>
                <w:rFonts w:ascii="Calibri" w:eastAsia="Times New Roman" w:hAnsi="Calibri" w:cs="Calibri"/>
                <w:color w:val="000000"/>
                <w:lang w:eastAsia="en-GB"/>
              </w:rPr>
            </w:pPr>
            <w:r w:rsidRPr="003F7884">
              <w:rPr>
                <w:rFonts w:ascii="Calibri" w:eastAsia="Times New Roman" w:hAnsi="Calibri" w:cs="Calibri"/>
                <w:color w:val="000000"/>
                <w:lang w:eastAsia="en-GB"/>
              </w:rPr>
              <w:t>Count of comorbidities</w:t>
            </w:r>
          </w:p>
        </w:tc>
        <w:tc>
          <w:tcPr>
            <w:tcW w:w="2284" w:type="dxa"/>
          </w:tcPr>
          <w:p w14:paraId="6141D655"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Once</w:t>
            </w:r>
          </w:p>
        </w:tc>
        <w:tc>
          <w:tcPr>
            <w:tcW w:w="1635" w:type="dxa"/>
          </w:tcPr>
          <w:p w14:paraId="35C858D7" w14:textId="77777777" w:rsidR="000772B6" w:rsidRPr="004B24FB"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teams</w:t>
            </w:r>
          </w:p>
        </w:tc>
        <w:tc>
          <w:tcPr>
            <w:tcW w:w="1525" w:type="dxa"/>
          </w:tcPr>
          <w:p w14:paraId="62050167"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47118264" w14:textId="77777777" w:rsidTr="006F1F07">
        <w:tc>
          <w:tcPr>
            <w:tcW w:w="1867" w:type="dxa"/>
          </w:tcPr>
          <w:p w14:paraId="0E53DE59"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4285C649" w14:textId="77777777" w:rsidR="000772B6" w:rsidRDefault="000772B6" w:rsidP="006F1F07">
            <w:pPr>
              <w:textAlignment w:val="baseline"/>
              <w:rPr>
                <w:rFonts w:ascii="Calibri" w:eastAsia="Times New Roman" w:hAnsi="Calibri" w:cs="Calibri"/>
                <w:color w:val="000000"/>
                <w:lang w:eastAsia="en-GB"/>
              </w:rPr>
            </w:pPr>
            <w:r w:rsidRPr="00336FB2">
              <w:rPr>
                <w:rFonts w:ascii="Calibri" w:eastAsia="Times New Roman" w:hAnsi="Calibri" w:cs="Calibri"/>
                <w:color w:val="000000"/>
                <w:lang w:eastAsia="en-GB"/>
              </w:rPr>
              <w:t>30</w:t>
            </w:r>
            <w:r>
              <w:rPr>
                <w:rFonts w:ascii="Calibri" w:eastAsia="Times New Roman" w:hAnsi="Calibri" w:cs="Calibri"/>
                <w:color w:val="000000"/>
                <w:lang w:eastAsia="en-GB"/>
              </w:rPr>
              <w:t>-day</w:t>
            </w:r>
            <w:r w:rsidRPr="00336FB2">
              <w:rPr>
                <w:rFonts w:ascii="Calibri" w:eastAsia="Times New Roman" w:hAnsi="Calibri" w:cs="Calibri"/>
                <w:color w:val="000000"/>
                <w:lang w:eastAsia="en-GB"/>
              </w:rPr>
              <w:t xml:space="preserve"> readmission</w:t>
            </w:r>
          </w:p>
        </w:tc>
        <w:tc>
          <w:tcPr>
            <w:tcW w:w="2284" w:type="dxa"/>
          </w:tcPr>
          <w:p w14:paraId="2114C313"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Weekly </w:t>
            </w:r>
          </w:p>
        </w:tc>
        <w:tc>
          <w:tcPr>
            <w:tcW w:w="1635" w:type="dxa"/>
          </w:tcPr>
          <w:p w14:paraId="348C809A"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w:t>
            </w:r>
          </w:p>
        </w:tc>
        <w:tc>
          <w:tcPr>
            <w:tcW w:w="1525" w:type="dxa"/>
          </w:tcPr>
          <w:p w14:paraId="0D2E5F7A"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576E3195" w14:textId="77777777" w:rsidTr="006F1F07">
        <w:tc>
          <w:tcPr>
            <w:tcW w:w="1867" w:type="dxa"/>
          </w:tcPr>
          <w:p w14:paraId="05C42394"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509591CC" w14:textId="77777777" w:rsidR="000772B6" w:rsidRDefault="000772B6" w:rsidP="006F1F07">
            <w:pPr>
              <w:textAlignment w:val="baseline"/>
              <w:rPr>
                <w:rFonts w:ascii="Calibri" w:eastAsia="Times New Roman" w:hAnsi="Calibri" w:cs="Calibri"/>
                <w:color w:val="000000"/>
                <w:lang w:eastAsia="en-GB"/>
              </w:rPr>
            </w:pPr>
            <w:r>
              <w:rPr>
                <w:rFonts w:eastAsia="Times New Roman"/>
              </w:rPr>
              <w:t>Postoperative delirium (d</w:t>
            </w:r>
            <w:r w:rsidRPr="00C51FB3">
              <w:rPr>
                <w:rFonts w:eastAsia="Times New Roman"/>
              </w:rPr>
              <w:t>ocumented new confusion or delirium</w:t>
            </w:r>
            <w:r>
              <w:rPr>
                <w:rFonts w:eastAsia="Times New Roman"/>
              </w:rPr>
              <w:t>, documented 4AT or CAM score)</w:t>
            </w:r>
          </w:p>
        </w:tc>
        <w:tc>
          <w:tcPr>
            <w:tcW w:w="2284" w:type="dxa"/>
          </w:tcPr>
          <w:p w14:paraId="15071F52"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Weekly </w:t>
            </w:r>
          </w:p>
        </w:tc>
        <w:tc>
          <w:tcPr>
            <w:tcW w:w="1635" w:type="dxa"/>
          </w:tcPr>
          <w:p w14:paraId="4D4948F5"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w:t>
            </w:r>
          </w:p>
        </w:tc>
        <w:tc>
          <w:tcPr>
            <w:tcW w:w="1525" w:type="dxa"/>
          </w:tcPr>
          <w:p w14:paraId="0F80B360"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75148F9B" w14:textId="77777777" w:rsidTr="006F1F07">
        <w:tc>
          <w:tcPr>
            <w:tcW w:w="1867" w:type="dxa"/>
          </w:tcPr>
          <w:p w14:paraId="3970F473"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3D5EB904" w14:textId="77777777" w:rsidR="000772B6" w:rsidRDefault="000772B6" w:rsidP="006F1F07">
            <w:pPr>
              <w:textAlignment w:val="baseline"/>
              <w:rPr>
                <w:rFonts w:ascii="Calibri" w:eastAsia="Times New Roman" w:hAnsi="Calibri" w:cs="Calibri"/>
                <w:color w:val="000000"/>
                <w:lang w:eastAsia="en-GB"/>
              </w:rPr>
            </w:pPr>
            <w:r>
              <w:rPr>
                <w:rFonts w:eastAsia="Times New Roman"/>
              </w:rPr>
              <w:t>Acute coronary syndrome, MI (troponin rise/ECG changes with treatment for ACS/MI)</w:t>
            </w:r>
          </w:p>
        </w:tc>
        <w:tc>
          <w:tcPr>
            <w:tcW w:w="2284" w:type="dxa"/>
          </w:tcPr>
          <w:p w14:paraId="75ECB51A"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Weekly </w:t>
            </w:r>
          </w:p>
        </w:tc>
        <w:tc>
          <w:tcPr>
            <w:tcW w:w="1635" w:type="dxa"/>
          </w:tcPr>
          <w:p w14:paraId="14ECA0CE"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w:t>
            </w:r>
          </w:p>
        </w:tc>
        <w:tc>
          <w:tcPr>
            <w:tcW w:w="1525" w:type="dxa"/>
          </w:tcPr>
          <w:p w14:paraId="54E1CA23"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329422E3" w14:textId="77777777" w:rsidTr="006F1F07">
        <w:tc>
          <w:tcPr>
            <w:tcW w:w="1867" w:type="dxa"/>
          </w:tcPr>
          <w:p w14:paraId="30D626EB"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229FD7B8"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Cardiac failure (BNP/echo with treatment for heart failure) </w:t>
            </w:r>
          </w:p>
        </w:tc>
        <w:tc>
          <w:tcPr>
            <w:tcW w:w="2284" w:type="dxa"/>
          </w:tcPr>
          <w:p w14:paraId="69237938"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Weekly </w:t>
            </w:r>
          </w:p>
        </w:tc>
        <w:tc>
          <w:tcPr>
            <w:tcW w:w="1635" w:type="dxa"/>
          </w:tcPr>
          <w:p w14:paraId="10EE4F36"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w:t>
            </w:r>
          </w:p>
        </w:tc>
        <w:tc>
          <w:tcPr>
            <w:tcW w:w="1525" w:type="dxa"/>
          </w:tcPr>
          <w:p w14:paraId="21617361"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2663A593" w14:textId="77777777" w:rsidTr="006F1F07">
        <w:tc>
          <w:tcPr>
            <w:tcW w:w="1867" w:type="dxa"/>
          </w:tcPr>
          <w:p w14:paraId="780B1F5A"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5DBEA512"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Arrythmia (ECG/cardiac monitor with treatment for arrythmia)</w:t>
            </w:r>
          </w:p>
        </w:tc>
        <w:tc>
          <w:tcPr>
            <w:tcW w:w="2284" w:type="dxa"/>
          </w:tcPr>
          <w:p w14:paraId="75CF9A99"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Weekly </w:t>
            </w:r>
          </w:p>
        </w:tc>
        <w:tc>
          <w:tcPr>
            <w:tcW w:w="1635" w:type="dxa"/>
          </w:tcPr>
          <w:p w14:paraId="386AD179"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w:t>
            </w:r>
          </w:p>
        </w:tc>
        <w:tc>
          <w:tcPr>
            <w:tcW w:w="1525" w:type="dxa"/>
          </w:tcPr>
          <w:p w14:paraId="74F2EC64"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7AEB1056" w14:textId="77777777" w:rsidTr="006F1F07">
        <w:tc>
          <w:tcPr>
            <w:tcW w:w="1867" w:type="dxa"/>
          </w:tcPr>
          <w:p w14:paraId="57D3CBCC"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733E3151"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Pneumonia (symptoms +/- raised inflammatory markers +/- radiological change with treatment for pneumonia)</w:t>
            </w:r>
          </w:p>
        </w:tc>
        <w:tc>
          <w:tcPr>
            <w:tcW w:w="2284" w:type="dxa"/>
          </w:tcPr>
          <w:p w14:paraId="33F6D2F5"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Weekly </w:t>
            </w:r>
          </w:p>
        </w:tc>
        <w:tc>
          <w:tcPr>
            <w:tcW w:w="1635" w:type="dxa"/>
          </w:tcPr>
          <w:p w14:paraId="1F07D573"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w:t>
            </w:r>
          </w:p>
        </w:tc>
        <w:tc>
          <w:tcPr>
            <w:tcW w:w="1525" w:type="dxa"/>
          </w:tcPr>
          <w:p w14:paraId="0A946B75"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759904D2" w14:textId="77777777" w:rsidTr="006F1F07">
        <w:tc>
          <w:tcPr>
            <w:tcW w:w="1867" w:type="dxa"/>
          </w:tcPr>
          <w:p w14:paraId="26DEB339"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488E4E79"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Acute kidney injury </w:t>
            </w:r>
            <w:r>
              <w:rPr>
                <w:rFonts w:eastAsia="Times New Roman"/>
              </w:rPr>
              <w:t>(i</w:t>
            </w:r>
            <w:r w:rsidRPr="00B700DD">
              <w:rPr>
                <w:rFonts w:eastAsia="Times New Roman"/>
              </w:rPr>
              <w:t xml:space="preserve">ncrease in </w:t>
            </w:r>
            <w:r>
              <w:rPr>
                <w:rFonts w:eastAsia="Times New Roman"/>
              </w:rPr>
              <w:t xml:space="preserve">serum </w:t>
            </w:r>
            <w:r>
              <w:rPr>
                <w:rFonts w:eastAsia="Times New Roman"/>
              </w:rPr>
              <w:lastRenderedPageBreak/>
              <w:t>c</w:t>
            </w:r>
            <w:r w:rsidRPr="00B700DD">
              <w:rPr>
                <w:rFonts w:eastAsia="Times New Roman"/>
              </w:rPr>
              <w:t>r</w:t>
            </w:r>
            <w:r>
              <w:rPr>
                <w:rFonts w:eastAsia="Times New Roman"/>
              </w:rPr>
              <w:t>eatinine</w:t>
            </w:r>
            <w:r w:rsidRPr="00B700DD">
              <w:rPr>
                <w:rFonts w:eastAsia="Times New Roman"/>
              </w:rPr>
              <w:t xml:space="preserve"> by ≥ 0.3 mg/dl (≥ 26.5 µmol/l) within 48 hours; or</w:t>
            </w:r>
            <w:r>
              <w:rPr>
                <w:rFonts w:eastAsia="Times New Roman"/>
              </w:rPr>
              <w:t xml:space="preserve"> i</w:t>
            </w:r>
            <w:r w:rsidRPr="00B700DD">
              <w:rPr>
                <w:rFonts w:eastAsia="Times New Roman"/>
              </w:rPr>
              <w:t>ncrease in serum creatinine to ≥ 1.5 times baseline, which is known or presumed to have occurred within the prior 7 day</w:t>
            </w:r>
            <w:r>
              <w:rPr>
                <w:rFonts w:eastAsia="Times New Roman"/>
              </w:rPr>
              <w:t>s)</w:t>
            </w:r>
          </w:p>
        </w:tc>
        <w:tc>
          <w:tcPr>
            <w:tcW w:w="2284" w:type="dxa"/>
          </w:tcPr>
          <w:p w14:paraId="16655DB6" w14:textId="77777777" w:rsidR="000772B6" w:rsidRDefault="000772B6" w:rsidP="006F1F07">
            <w:pPr>
              <w:textAlignment w:val="baseline"/>
              <w:rPr>
                <w:rFonts w:ascii="Calibri" w:eastAsia="Times New Roman" w:hAnsi="Calibri" w:cs="Calibri"/>
                <w:color w:val="000000"/>
                <w:lang w:eastAsia="en-GB"/>
              </w:rPr>
            </w:pPr>
            <w:r w:rsidRPr="00AD2932">
              <w:rPr>
                <w:rFonts w:ascii="Calibri" w:eastAsia="Times New Roman" w:hAnsi="Calibri" w:cs="Calibri"/>
                <w:color w:val="000000"/>
                <w:lang w:eastAsia="en-GB"/>
              </w:rPr>
              <w:lastRenderedPageBreak/>
              <w:t>Weekly</w:t>
            </w:r>
          </w:p>
        </w:tc>
        <w:tc>
          <w:tcPr>
            <w:tcW w:w="1635" w:type="dxa"/>
          </w:tcPr>
          <w:p w14:paraId="49C8DC38"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w:t>
            </w:r>
          </w:p>
        </w:tc>
        <w:tc>
          <w:tcPr>
            <w:tcW w:w="1525" w:type="dxa"/>
          </w:tcPr>
          <w:p w14:paraId="39B526A9"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547064E0" w14:textId="77777777" w:rsidTr="006F1F07">
        <w:tc>
          <w:tcPr>
            <w:tcW w:w="1867" w:type="dxa"/>
          </w:tcPr>
          <w:p w14:paraId="0A5AEDEB"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5D660CFD" w14:textId="77777777" w:rsidR="000772B6" w:rsidRDefault="000772B6" w:rsidP="006F1F07">
            <w:pPr>
              <w:textAlignment w:val="baseline"/>
              <w:rPr>
                <w:rFonts w:ascii="Calibri" w:eastAsia="Times New Roman" w:hAnsi="Calibri" w:cs="Calibri"/>
                <w:color w:val="000000"/>
                <w:lang w:eastAsia="en-GB"/>
              </w:rPr>
            </w:pPr>
            <w:r>
              <w:rPr>
                <w:rFonts w:eastAsia="Times New Roman"/>
              </w:rPr>
              <w:t>Surgical site infection (clinical evidence or positive swab with treatment for infection)</w:t>
            </w:r>
          </w:p>
        </w:tc>
        <w:tc>
          <w:tcPr>
            <w:tcW w:w="2284" w:type="dxa"/>
          </w:tcPr>
          <w:p w14:paraId="2F0D1DBA"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Weekly </w:t>
            </w:r>
          </w:p>
        </w:tc>
        <w:tc>
          <w:tcPr>
            <w:tcW w:w="1635" w:type="dxa"/>
          </w:tcPr>
          <w:p w14:paraId="253A3DEA"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w:t>
            </w:r>
          </w:p>
        </w:tc>
        <w:tc>
          <w:tcPr>
            <w:tcW w:w="1525" w:type="dxa"/>
          </w:tcPr>
          <w:p w14:paraId="46660F93"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1ABE94DF" w14:textId="77777777" w:rsidTr="006F1F07">
        <w:tc>
          <w:tcPr>
            <w:tcW w:w="1867" w:type="dxa"/>
          </w:tcPr>
          <w:p w14:paraId="76DAC37B"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418A4B48" w14:textId="77777777" w:rsidR="000772B6" w:rsidRDefault="000772B6" w:rsidP="006F1F07">
            <w:pPr>
              <w:textAlignment w:val="baseline"/>
              <w:rPr>
                <w:rFonts w:ascii="Calibri" w:eastAsia="Times New Roman" w:hAnsi="Calibri" w:cs="Calibri"/>
                <w:color w:val="000000"/>
                <w:lang w:eastAsia="en-GB"/>
              </w:rPr>
            </w:pPr>
            <w:r>
              <w:rPr>
                <w:rFonts w:eastAsia="Times New Roman"/>
              </w:rPr>
              <w:t>Urinary tract infection (dysuria/supra public pain / new unexplained delirium with positive urine culture with treatment for UTI)</w:t>
            </w:r>
          </w:p>
        </w:tc>
        <w:tc>
          <w:tcPr>
            <w:tcW w:w="2284" w:type="dxa"/>
          </w:tcPr>
          <w:p w14:paraId="7176DDE6"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Weekly </w:t>
            </w:r>
          </w:p>
        </w:tc>
        <w:tc>
          <w:tcPr>
            <w:tcW w:w="1635" w:type="dxa"/>
          </w:tcPr>
          <w:p w14:paraId="782BAB1A"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w:t>
            </w:r>
          </w:p>
        </w:tc>
        <w:tc>
          <w:tcPr>
            <w:tcW w:w="1525" w:type="dxa"/>
          </w:tcPr>
          <w:p w14:paraId="3E4FE986"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67DA0303" w14:textId="77777777" w:rsidTr="006F1F07">
        <w:tc>
          <w:tcPr>
            <w:tcW w:w="1867" w:type="dxa"/>
          </w:tcPr>
          <w:p w14:paraId="1C61E4AA"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728E0354"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Catheter issue </w:t>
            </w:r>
            <w:r>
              <w:rPr>
                <w:rFonts w:eastAsia="Times New Roman"/>
              </w:rPr>
              <w:t>(failed trial without catheter/ traumatic haematuria)</w:t>
            </w:r>
          </w:p>
        </w:tc>
        <w:tc>
          <w:tcPr>
            <w:tcW w:w="2284" w:type="dxa"/>
          </w:tcPr>
          <w:p w14:paraId="4D22A8D9"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Weekly </w:t>
            </w:r>
          </w:p>
        </w:tc>
        <w:tc>
          <w:tcPr>
            <w:tcW w:w="1635" w:type="dxa"/>
          </w:tcPr>
          <w:p w14:paraId="45B465EC"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w:t>
            </w:r>
          </w:p>
        </w:tc>
        <w:tc>
          <w:tcPr>
            <w:tcW w:w="1525" w:type="dxa"/>
          </w:tcPr>
          <w:p w14:paraId="34B6E773"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0D4B93A0" w14:textId="77777777" w:rsidTr="006F1F07">
        <w:tc>
          <w:tcPr>
            <w:tcW w:w="1867" w:type="dxa"/>
          </w:tcPr>
          <w:p w14:paraId="31B27AEF"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2722EB6E"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Fall</w:t>
            </w:r>
          </w:p>
        </w:tc>
        <w:tc>
          <w:tcPr>
            <w:tcW w:w="2284" w:type="dxa"/>
          </w:tcPr>
          <w:p w14:paraId="01AEB52E"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Weekly </w:t>
            </w:r>
          </w:p>
        </w:tc>
        <w:tc>
          <w:tcPr>
            <w:tcW w:w="1635" w:type="dxa"/>
          </w:tcPr>
          <w:p w14:paraId="26694D80"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w:t>
            </w:r>
          </w:p>
        </w:tc>
        <w:tc>
          <w:tcPr>
            <w:tcW w:w="1525" w:type="dxa"/>
          </w:tcPr>
          <w:p w14:paraId="30CEEC4A"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0C82C293" w14:textId="77777777" w:rsidTr="006F1F07">
        <w:tc>
          <w:tcPr>
            <w:tcW w:w="1867" w:type="dxa"/>
          </w:tcPr>
          <w:p w14:paraId="276B1234"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51A62DC1"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284" w:type="dxa"/>
          </w:tcPr>
          <w:p w14:paraId="6F362F49"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Weekly </w:t>
            </w:r>
          </w:p>
        </w:tc>
        <w:tc>
          <w:tcPr>
            <w:tcW w:w="1635" w:type="dxa"/>
          </w:tcPr>
          <w:p w14:paraId="0CC0EC1F"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w:t>
            </w:r>
          </w:p>
        </w:tc>
        <w:tc>
          <w:tcPr>
            <w:tcW w:w="1525" w:type="dxa"/>
          </w:tcPr>
          <w:p w14:paraId="602F2A9D"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06947176" w14:textId="77777777" w:rsidTr="006F1F07">
        <w:tc>
          <w:tcPr>
            <w:tcW w:w="1867" w:type="dxa"/>
          </w:tcPr>
          <w:p w14:paraId="0F6F2658"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361EC680" w14:textId="77777777" w:rsidR="000772B6" w:rsidRPr="00336FB2"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Same day cancellation</w:t>
            </w:r>
          </w:p>
        </w:tc>
        <w:tc>
          <w:tcPr>
            <w:tcW w:w="2284" w:type="dxa"/>
          </w:tcPr>
          <w:p w14:paraId="55B1EFBF"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Weekly </w:t>
            </w:r>
          </w:p>
        </w:tc>
        <w:tc>
          <w:tcPr>
            <w:tcW w:w="1635" w:type="dxa"/>
          </w:tcPr>
          <w:p w14:paraId="264744A9"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w:t>
            </w:r>
          </w:p>
        </w:tc>
        <w:tc>
          <w:tcPr>
            <w:tcW w:w="1525" w:type="dxa"/>
          </w:tcPr>
          <w:p w14:paraId="1721CBCF"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12B5FB53" w14:textId="77777777" w:rsidTr="006F1F07">
        <w:tc>
          <w:tcPr>
            <w:tcW w:w="1867" w:type="dxa"/>
          </w:tcPr>
          <w:p w14:paraId="07D16442"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06FFE7C9" w14:textId="77777777" w:rsidR="000772B6" w:rsidRPr="00336FB2" w:rsidRDefault="000772B6" w:rsidP="006F1F07">
            <w:pPr>
              <w:textAlignment w:val="baseline"/>
              <w:rPr>
                <w:rFonts w:ascii="Calibri" w:eastAsia="Times New Roman" w:hAnsi="Calibri" w:cs="Calibri"/>
                <w:color w:val="000000"/>
                <w:lang w:eastAsia="en-GB"/>
              </w:rPr>
            </w:pPr>
            <w:r w:rsidRPr="00336FB2">
              <w:rPr>
                <w:rFonts w:ascii="Calibri" w:eastAsia="Times New Roman" w:hAnsi="Calibri" w:cs="Calibri"/>
                <w:color w:val="000000"/>
                <w:lang w:eastAsia="en-GB"/>
              </w:rPr>
              <w:t>Return to preoperative place of residence</w:t>
            </w:r>
          </w:p>
        </w:tc>
        <w:tc>
          <w:tcPr>
            <w:tcW w:w="2284" w:type="dxa"/>
          </w:tcPr>
          <w:p w14:paraId="226BB927"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Weekly </w:t>
            </w:r>
          </w:p>
        </w:tc>
        <w:tc>
          <w:tcPr>
            <w:tcW w:w="1635" w:type="dxa"/>
          </w:tcPr>
          <w:p w14:paraId="19AACA50"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w:t>
            </w:r>
          </w:p>
        </w:tc>
        <w:tc>
          <w:tcPr>
            <w:tcW w:w="1525" w:type="dxa"/>
          </w:tcPr>
          <w:p w14:paraId="48201AEE"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4E6C5A01" w14:textId="77777777" w:rsidTr="006F1F07">
        <w:tc>
          <w:tcPr>
            <w:tcW w:w="1867" w:type="dxa"/>
          </w:tcPr>
          <w:p w14:paraId="6A7750FA"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7E6A7F00" w14:textId="77777777" w:rsidR="000772B6" w:rsidRPr="00336FB2" w:rsidRDefault="000772B6" w:rsidP="006F1F07">
            <w:pPr>
              <w:textAlignment w:val="baseline"/>
              <w:rPr>
                <w:rFonts w:ascii="Calibri" w:eastAsia="Times New Roman" w:hAnsi="Calibri" w:cs="Calibri"/>
                <w:color w:val="000000"/>
                <w:lang w:eastAsia="en-GB"/>
              </w:rPr>
            </w:pPr>
            <w:r w:rsidRPr="00336FB2">
              <w:rPr>
                <w:rFonts w:ascii="Calibri" w:eastAsia="Times New Roman" w:hAnsi="Calibri" w:cs="Calibri"/>
                <w:color w:val="000000"/>
                <w:lang w:eastAsia="en-GB"/>
              </w:rPr>
              <w:t>Operative or non-operative management </w:t>
            </w:r>
          </w:p>
        </w:tc>
        <w:tc>
          <w:tcPr>
            <w:tcW w:w="2284" w:type="dxa"/>
          </w:tcPr>
          <w:p w14:paraId="569730B0"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Weekly </w:t>
            </w:r>
          </w:p>
        </w:tc>
        <w:tc>
          <w:tcPr>
            <w:tcW w:w="1635" w:type="dxa"/>
          </w:tcPr>
          <w:p w14:paraId="0133BC5D"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w:t>
            </w:r>
          </w:p>
        </w:tc>
        <w:tc>
          <w:tcPr>
            <w:tcW w:w="1525" w:type="dxa"/>
          </w:tcPr>
          <w:p w14:paraId="38CDE8E5"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45140D20" w14:textId="77777777" w:rsidTr="006F1F07">
        <w:tc>
          <w:tcPr>
            <w:tcW w:w="1867" w:type="dxa"/>
          </w:tcPr>
          <w:p w14:paraId="2DC5C23D"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16B96AE4" w14:textId="77777777" w:rsidR="000772B6" w:rsidRPr="00336FB2" w:rsidRDefault="000772B6" w:rsidP="006F1F07">
            <w:pPr>
              <w:textAlignment w:val="baseline"/>
              <w:rPr>
                <w:rFonts w:ascii="Calibri" w:eastAsia="Times New Roman" w:hAnsi="Calibri" w:cs="Calibri"/>
                <w:color w:val="000000"/>
                <w:lang w:eastAsia="en-GB"/>
              </w:rPr>
            </w:pPr>
            <w:r w:rsidRPr="00336FB2">
              <w:rPr>
                <w:rFonts w:ascii="Calibri" w:eastAsia="Times New Roman" w:hAnsi="Calibri" w:cs="Calibri"/>
                <w:color w:val="000000"/>
                <w:lang w:eastAsia="en-GB"/>
              </w:rPr>
              <w:t>Was the initially suggested procedure undertaken or did the patient undergo a different or no procedure?</w:t>
            </w:r>
          </w:p>
        </w:tc>
        <w:tc>
          <w:tcPr>
            <w:tcW w:w="2284" w:type="dxa"/>
          </w:tcPr>
          <w:p w14:paraId="6246604D"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Weekly </w:t>
            </w:r>
          </w:p>
        </w:tc>
        <w:tc>
          <w:tcPr>
            <w:tcW w:w="1635" w:type="dxa"/>
          </w:tcPr>
          <w:p w14:paraId="40E96202"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w:t>
            </w:r>
          </w:p>
        </w:tc>
        <w:tc>
          <w:tcPr>
            <w:tcW w:w="1525" w:type="dxa"/>
          </w:tcPr>
          <w:p w14:paraId="5461C01D"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2F83AAC3" w14:textId="77777777" w:rsidTr="006F1F07">
        <w:tc>
          <w:tcPr>
            <w:tcW w:w="1867" w:type="dxa"/>
          </w:tcPr>
          <w:p w14:paraId="2D485061"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4A406537" w14:textId="77777777" w:rsidR="000772B6" w:rsidRPr="00336FB2" w:rsidRDefault="000772B6" w:rsidP="006F1F07">
            <w:pPr>
              <w:textAlignment w:val="baseline"/>
              <w:rPr>
                <w:rFonts w:ascii="Calibri" w:eastAsia="Times New Roman" w:hAnsi="Calibri" w:cs="Calibri"/>
                <w:color w:val="000000"/>
                <w:lang w:eastAsia="en-GB"/>
              </w:rPr>
            </w:pPr>
            <w:r w:rsidRPr="00336FB2">
              <w:rPr>
                <w:rFonts w:ascii="Calibri" w:eastAsia="Times New Roman" w:hAnsi="Calibri" w:cs="Calibri"/>
                <w:color w:val="000000"/>
                <w:lang w:eastAsia="en-GB"/>
              </w:rPr>
              <w:t>Clinician defined, ‘medically fit for discharge’ </w:t>
            </w:r>
          </w:p>
        </w:tc>
        <w:tc>
          <w:tcPr>
            <w:tcW w:w="2284" w:type="dxa"/>
          </w:tcPr>
          <w:p w14:paraId="2377CFDD"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Weekly </w:t>
            </w:r>
          </w:p>
        </w:tc>
        <w:tc>
          <w:tcPr>
            <w:tcW w:w="1635" w:type="dxa"/>
          </w:tcPr>
          <w:p w14:paraId="466E25CE"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w:t>
            </w:r>
          </w:p>
        </w:tc>
        <w:tc>
          <w:tcPr>
            <w:tcW w:w="1525" w:type="dxa"/>
          </w:tcPr>
          <w:p w14:paraId="0AAD257C"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72B52172" w14:textId="77777777" w:rsidTr="006F1F07">
        <w:tc>
          <w:tcPr>
            <w:tcW w:w="1867" w:type="dxa"/>
          </w:tcPr>
          <w:p w14:paraId="693AD4D4"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1103A8A1"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Health economic metrics for opportunity cost </w:t>
            </w:r>
          </w:p>
          <w:p w14:paraId="5468D345"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Investigations</w:t>
            </w:r>
          </w:p>
          <w:p w14:paraId="547DF367"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Referrals to other teams</w:t>
            </w:r>
          </w:p>
          <w:p w14:paraId="7EEFA17D" w14:textId="77777777" w:rsidR="000772B6" w:rsidRPr="00336FB2"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Level 2/3 care. </w:t>
            </w:r>
          </w:p>
        </w:tc>
        <w:tc>
          <w:tcPr>
            <w:tcW w:w="2284" w:type="dxa"/>
          </w:tcPr>
          <w:p w14:paraId="4A1327E7" w14:textId="77777777" w:rsidR="000772B6" w:rsidRDefault="000772B6" w:rsidP="006F1F07">
            <w:pPr>
              <w:textAlignment w:val="baseline"/>
              <w:rPr>
                <w:rFonts w:ascii="Calibri" w:eastAsia="Times New Roman" w:hAnsi="Calibri" w:cs="Calibri"/>
                <w:color w:val="000000"/>
                <w:lang w:eastAsia="en-GB"/>
              </w:rPr>
            </w:pPr>
            <w:r w:rsidRPr="0016357F">
              <w:rPr>
                <w:rFonts w:ascii="Calibri" w:eastAsia="Times New Roman" w:hAnsi="Calibri" w:cs="Calibri"/>
                <w:color w:val="000000"/>
                <w:lang w:eastAsia="en-GB"/>
              </w:rPr>
              <w:t xml:space="preserve">Collected once </w:t>
            </w:r>
            <w:r>
              <w:rPr>
                <w:rFonts w:ascii="Calibri" w:eastAsia="Times New Roman" w:hAnsi="Calibri" w:cs="Calibri"/>
                <w:color w:val="000000"/>
                <w:lang w:eastAsia="en-GB"/>
              </w:rPr>
              <w:t>at end of</w:t>
            </w:r>
            <w:r w:rsidRPr="0016357F">
              <w:rPr>
                <w:rFonts w:ascii="Calibri" w:eastAsia="Times New Roman" w:hAnsi="Calibri" w:cs="Calibri"/>
                <w:color w:val="000000"/>
                <w:lang w:eastAsia="en-GB"/>
              </w:rPr>
              <w:t xml:space="preserve"> month 3 (preimplementation phase), once </w:t>
            </w:r>
            <w:r>
              <w:rPr>
                <w:rFonts w:ascii="Calibri" w:eastAsia="Times New Roman" w:hAnsi="Calibri" w:cs="Calibri"/>
                <w:color w:val="000000"/>
                <w:lang w:eastAsia="en-GB"/>
              </w:rPr>
              <w:t>at end of</w:t>
            </w:r>
            <w:r w:rsidRPr="0016357F">
              <w:rPr>
                <w:rFonts w:ascii="Calibri" w:eastAsia="Times New Roman" w:hAnsi="Calibri" w:cs="Calibri"/>
                <w:color w:val="000000"/>
                <w:lang w:eastAsia="en-GB"/>
              </w:rPr>
              <w:t xml:space="preserve"> month 9 (implementation phase) and once </w:t>
            </w:r>
            <w:r>
              <w:rPr>
                <w:rFonts w:ascii="Calibri" w:eastAsia="Times New Roman" w:hAnsi="Calibri" w:cs="Calibri"/>
                <w:color w:val="000000"/>
                <w:lang w:eastAsia="en-GB"/>
              </w:rPr>
              <w:t>at end of</w:t>
            </w:r>
            <w:r w:rsidRPr="0016357F">
              <w:rPr>
                <w:rFonts w:ascii="Calibri" w:eastAsia="Times New Roman" w:hAnsi="Calibri" w:cs="Calibri"/>
                <w:color w:val="000000"/>
                <w:lang w:eastAsia="en-GB"/>
              </w:rPr>
              <w:t xml:space="preserve"> month 12 (postimplementation phase)</w:t>
            </w:r>
          </w:p>
        </w:tc>
        <w:tc>
          <w:tcPr>
            <w:tcW w:w="1635" w:type="dxa"/>
          </w:tcPr>
          <w:p w14:paraId="5BEEAD8C"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Local clinical and research team</w:t>
            </w:r>
          </w:p>
        </w:tc>
        <w:tc>
          <w:tcPr>
            <w:tcW w:w="1525" w:type="dxa"/>
          </w:tcPr>
          <w:p w14:paraId="6E84AB86"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2F2D2D99" w14:textId="77777777" w:rsidTr="006F1F07">
        <w:tc>
          <w:tcPr>
            <w:tcW w:w="1867" w:type="dxa"/>
          </w:tcPr>
          <w:p w14:paraId="29D116AA"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555F4229" w14:textId="77777777" w:rsidR="000772B6" w:rsidRPr="00336FB2" w:rsidRDefault="000772B6" w:rsidP="006F1F07">
            <w:pPr>
              <w:textAlignment w:val="baseline"/>
              <w:rPr>
                <w:rFonts w:ascii="Calibri" w:eastAsia="Times New Roman" w:hAnsi="Calibri" w:cs="Calibri"/>
                <w:color w:val="000000"/>
                <w:lang w:eastAsia="en-GB"/>
              </w:rPr>
            </w:pPr>
            <w:r w:rsidRPr="00336FB2">
              <w:rPr>
                <w:rFonts w:ascii="Calibri" w:eastAsia="Times New Roman" w:hAnsi="Calibri" w:cs="Calibri"/>
                <w:color w:val="000000"/>
                <w:lang w:eastAsia="en-GB"/>
              </w:rPr>
              <w:t>Days alive and out of hospital 90 days</w:t>
            </w:r>
          </w:p>
        </w:tc>
        <w:tc>
          <w:tcPr>
            <w:tcW w:w="2284" w:type="dxa"/>
          </w:tcPr>
          <w:p w14:paraId="427A06E5"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12 months</w:t>
            </w:r>
          </w:p>
        </w:tc>
        <w:tc>
          <w:tcPr>
            <w:tcW w:w="1635" w:type="dxa"/>
          </w:tcPr>
          <w:p w14:paraId="5E675D86"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Research team</w:t>
            </w:r>
          </w:p>
        </w:tc>
        <w:tc>
          <w:tcPr>
            <w:tcW w:w="1525" w:type="dxa"/>
          </w:tcPr>
          <w:p w14:paraId="3E7BD1D2"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2502AE88" w14:textId="77777777" w:rsidTr="006F1F07">
        <w:tc>
          <w:tcPr>
            <w:tcW w:w="1867" w:type="dxa"/>
          </w:tcPr>
          <w:p w14:paraId="733B04EB"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3A38B05F" w14:textId="77777777" w:rsidR="000772B6" w:rsidRPr="00336FB2" w:rsidRDefault="000772B6" w:rsidP="006F1F07">
            <w:pPr>
              <w:textAlignment w:val="baseline"/>
              <w:rPr>
                <w:rFonts w:ascii="Calibri" w:eastAsia="Times New Roman" w:hAnsi="Calibri" w:cs="Calibri"/>
                <w:color w:val="000000"/>
                <w:lang w:eastAsia="en-GB"/>
              </w:rPr>
            </w:pPr>
            <w:r w:rsidRPr="00336FB2">
              <w:rPr>
                <w:rFonts w:ascii="Calibri" w:eastAsia="Times New Roman" w:hAnsi="Calibri" w:cs="Calibri"/>
                <w:color w:val="000000"/>
                <w:lang w:eastAsia="en-GB"/>
              </w:rPr>
              <w:t>90 day and 12 month mortality</w:t>
            </w:r>
          </w:p>
        </w:tc>
        <w:tc>
          <w:tcPr>
            <w:tcW w:w="2284" w:type="dxa"/>
          </w:tcPr>
          <w:p w14:paraId="2BD2EFE0"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12 months</w:t>
            </w:r>
          </w:p>
        </w:tc>
        <w:tc>
          <w:tcPr>
            <w:tcW w:w="1635" w:type="dxa"/>
          </w:tcPr>
          <w:p w14:paraId="5649232A"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Research team</w:t>
            </w:r>
          </w:p>
        </w:tc>
        <w:tc>
          <w:tcPr>
            <w:tcW w:w="1525" w:type="dxa"/>
          </w:tcPr>
          <w:p w14:paraId="4ED6E457"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0772B6" w14:paraId="6DB83FFF" w14:textId="77777777" w:rsidTr="006F1F07">
        <w:tc>
          <w:tcPr>
            <w:tcW w:w="1867" w:type="dxa"/>
          </w:tcPr>
          <w:p w14:paraId="72EE5179"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3BB88665" w14:textId="77777777" w:rsidR="000772B6" w:rsidRPr="00336FB2"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SDM Q9*</w:t>
            </w:r>
          </w:p>
        </w:tc>
        <w:tc>
          <w:tcPr>
            <w:tcW w:w="2284" w:type="dxa"/>
          </w:tcPr>
          <w:p w14:paraId="310898B3"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Pre, during and post implementation</w:t>
            </w:r>
          </w:p>
        </w:tc>
        <w:tc>
          <w:tcPr>
            <w:tcW w:w="1635" w:type="dxa"/>
          </w:tcPr>
          <w:p w14:paraId="31D6D3DC"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Research team</w:t>
            </w:r>
          </w:p>
        </w:tc>
        <w:tc>
          <w:tcPr>
            <w:tcW w:w="1525" w:type="dxa"/>
          </w:tcPr>
          <w:p w14:paraId="198A67AE"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Yes</w:t>
            </w:r>
          </w:p>
        </w:tc>
      </w:tr>
      <w:tr w:rsidR="000772B6" w14:paraId="76BB174D" w14:textId="77777777" w:rsidTr="006F1F07">
        <w:tc>
          <w:tcPr>
            <w:tcW w:w="1867" w:type="dxa"/>
          </w:tcPr>
          <w:p w14:paraId="507C05E8" w14:textId="77777777" w:rsidR="000772B6" w:rsidRDefault="000772B6" w:rsidP="006F1F07">
            <w:pPr>
              <w:textAlignment w:val="baseline"/>
              <w:rPr>
                <w:rFonts w:ascii="Calibri" w:eastAsia="Times New Roman" w:hAnsi="Calibri" w:cs="Calibri"/>
                <w:color w:val="000000"/>
                <w:lang w:eastAsia="en-GB"/>
              </w:rPr>
            </w:pPr>
          </w:p>
        </w:tc>
        <w:tc>
          <w:tcPr>
            <w:tcW w:w="1705" w:type="dxa"/>
          </w:tcPr>
          <w:p w14:paraId="40FB8141"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DRS*</w:t>
            </w:r>
          </w:p>
        </w:tc>
        <w:tc>
          <w:tcPr>
            <w:tcW w:w="2284" w:type="dxa"/>
          </w:tcPr>
          <w:p w14:paraId="0B9A6AA4"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Pre, during and post implementation</w:t>
            </w:r>
          </w:p>
        </w:tc>
        <w:tc>
          <w:tcPr>
            <w:tcW w:w="1635" w:type="dxa"/>
          </w:tcPr>
          <w:p w14:paraId="3DF9C8C1"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Research team</w:t>
            </w:r>
          </w:p>
        </w:tc>
        <w:tc>
          <w:tcPr>
            <w:tcW w:w="1525" w:type="dxa"/>
          </w:tcPr>
          <w:p w14:paraId="32977047" w14:textId="77777777" w:rsidR="000772B6" w:rsidRDefault="000772B6" w:rsidP="006F1F07">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Yes</w:t>
            </w:r>
          </w:p>
        </w:tc>
      </w:tr>
    </w:tbl>
    <w:p w14:paraId="0279D811" w14:textId="77777777" w:rsidR="000772B6" w:rsidRDefault="000772B6" w:rsidP="000772B6">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w:t>
      </w:r>
    </w:p>
    <w:p w14:paraId="1762B7A8" w14:textId="77777777" w:rsidR="000772B6" w:rsidRPr="00EC1520" w:rsidRDefault="000772B6" w:rsidP="000772B6">
      <w:pPr>
        <w:textAlignment w:val="baseline"/>
        <w:rPr>
          <w:rFonts w:ascii="Calibri" w:eastAsia="Times New Roman" w:hAnsi="Calibri" w:cs="Calibri"/>
          <w:color w:val="000000"/>
          <w:lang w:eastAsia="en-GB"/>
        </w:rPr>
      </w:pPr>
      <w:r w:rsidRPr="00EC1520">
        <w:rPr>
          <w:rFonts w:ascii="Calibri" w:eastAsia="Times New Roman" w:hAnsi="Calibri" w:cs="Calibri"/>
          <w:color w:val="000000"/>
          <w:lang w:eastAsia="en-GB"/>
        </w:rPr>
        <w:t xml:space="preserve">-Shared decision making (SDMQ9) (collected in a purposively sampled consented subgroup of patients) to be collected in the preimplementation and in postimplementation phase    </w:t>
      </w:r>
    </w:p>
    <w:p w14:paraId="412C5358" w14:textId="77777777" w:rsidR="000772B6" w:rsidRDefault="000772B6" w:rsidP="000772B6">
      <w:pPr>
        <w:textAlignment w:val="baseline"/>
        <w:rPr>
          <w:rFonts w:ascii="Calibri" w:eastAsia="Times New Roman" w:hAnsi="Calibri" w:cs="Calibri"/>
          <w:color w:val="000000"/>
          <w:lang w:eastAsia="en-GB"/>
        </w:rPr>
      </w:pPr>
      <w:r w:rsidRPr="00EC1520">
        <w:rPr>
          <w:rFonts w:ascii="Calibri" w:eastAsia="Times New Roman" w:hAnsi="Calibri" w:cs="Calibri"/>
          <w:color w:val="000000"/>
          <w:lang w:eastAsia="en-GB"/>
        </w:rPr>
        <w:t>-Decisional regret (Decision Regret Scale) (collected in a purposively sampled consented subgroup of patients) to be collected in the preimplementation and in postimplementation phase</w:t>
      </w:r>
      <w:r>
        <w:rPr>
          <w:rFonts w:ascii="Calibri" w:eastAsia="Times New Roman" w:hAnsi="Calibri" w:cs="Calibri"/>
          <w:color w:val="000000"/>
          <w:lang w:eastAsia="en-GB"/>
        </w:rPr>
        <w:t xml:space="preserve"> </w:t>
      </w:r>
      <w:r w:rsidRPr="00EC1520">
        <w:rPr>
          <w:rFonts w:ascii="Calibri" w:eastAsia="Times New Roman" w:hAnsi="Calibri" w:cs="Calibri"/>
          <w:color w:val="000000"/>
          <w:lang w:eastAsia="en-GB"/>
        </w:rPr>
        <w:t>(6 patients per site to be consented in each of the pre and post implementation phases across 18 sites. Purposive sampling to include elective/emergency, surgery/no surgery and LoS&lt;/&gt; 5 days.  Applies to SDMQ9 and DRS. Estimated total 216 patients)</w:t>
      </w:r>
    </w:p>
    <w:p w14:paraId="5C8620FF" w14:textId="77777777" w:rsidR="000772B6" w:rsidRDefault="000772B6" w:rsidP="000772B6"/>
    <w:p w14:paraId="698F88F7" w14:textId="77777777" w:rsidR="000772B6" w:rsidRDefault="000772B6" w:rsidP="000772B6"/>
    <w:p w14:paraId="38329528" w14:textId="77777777" w:rsidR="000772B6" w:rsidRDefault="000772B6" w:rsidP="000772B6"/>
    <w:p w14:paraId="5BCD7072" w14:textId="77777777" w:rsidR="000772B6" w:rsidRDefault="000772B6" w:rsidP="000772B6"/>
    <w:p w14:paraId="39CBAB7D" w14:textId="77777777" w:rsidR="000772B6" w:rsidRDefault="000772B6" w:rsidP="000772B6"/>
    <w:p w14:paraId="77771CB2" w14:textId="77777777" w:rsidR="000772B6" w:rsidRDefault="000772B6" w:rsidP="000772B6"/>
    <w:p w14:paraId="7CDA882F" w14:textId="77777777" w:rsidR="000772B6" w:rsidRDefault="000772B6" w:rsidP="000772B6"/>
    <w:p w14:paraId="41125B8F" w14:textId="77777777" w:rsidR="000772B6" w:rsidRDefault="000772B6" w:rsidP="000772B6"/>
    <w:p w14:paraId="181D2569" w14:textId="5AE330AF" w:rsidR="000772B6" w:rsidRDefault="000772B6" w:rsidP="000772B6">
      <w:pPr>
        <w:rPr>
          <w:b/>
          <w:bCs/>
        </w:rPr>
      </w:pPr>
      <w:r>
        <w:rPr>
          <w:b/>
          <w:bCs/>
        </w:rPr>
        <w:lastRenderedPageBreak/>
        <w:t>References</w:t>
      </w:r>
    </w:p>
    <w:p w14:paraId="5E4F345E" w14:textId="407BF6AA" w:rsidR="000772B6" w:rsidRDefault="000772B6" w:rsidP="000772B6">
      <w:pPr>
        <w:autoSpaceDE w:val="0"/>
        <w:autoSpaceDN w:val="0"/>
        <w:ind w:hanging="640"/>
        <w:rPr>
          <w:rFonts w:eastAsia="Times New Roman"/>
        </w:rPr>
      </w:pPr>
      <w:r>
        <w:rPr>
          <w:rFonts w:eastAsia="Times New Roman"/>
        </w:rPr>
        <w:t>1.</w:t>
      </w:r>
      <w:r>
        <w:rPr>
          <w:rFonts w:eastAsia="Times New Roman"/>
        </w:rPr>
        <w:tab/>
        <w:t xml:space="preserve">Fowler AJ, Abbott TEF, Prowle J, Pearse RM. Age of patients undergoing surgery. British Journal of Surgery. 2019 Jul 1;106(8):1012–8. </w:t>
      </w:r>
    </w:p>
    <w:p w14:paraId="1F98E3E0" w14:textId="77777777" w:rsidR="000772B6" w:rsidRDefault="000772B6" w:rsidP="000772B6">
      <w:pPr>
        <w:autoSpaceDE w:val="0"/>
        <w:autoSpaceDN w:val="0"/>
        <w:ind w:hanging="640"/>
        <w:rPr>
          <w:rFonts w:eastAsia="Times New Roman"/>
        </w:rPr>
      </w:pPr>
      <w:r>
        <w:rPr>
          <w:rFonts w:eastAsia="Times New Roman"/>
        </w:rPr>
        <w:t>2.</w:t>
      </w:r>
      <w:r>
        <w:rPr>
          <w:rFonts w:eastAsia="Times New Roman"/>
        </w:rPr>
        <w:tab/>
        <w:t xml:space="preserve">Parmar KL, Law J, Carter B, Hewitt J, Boyle JM, Casey P, et al. Frailty in Older Patients Undergoing Emergency Laparotomy. Ann Surg. 2021 Apr;273(4):709–18. </w:t>
      </w:r>
    </w:p>
    <w:p w14:paraId="476AC72A" w14:textId="77777777" w:rsidR="000772B6" w:rsidRDefault="000772B6" w:rsidP="000772B6">
      <w:pPr>
        <w:autoSpaceDE w:val="0"/>
        <w:autoSpaceDN w:val="0"/>
        <w:ind w:hanging="640"/>
        <w:rPr>
          <w:rFonts w:eastAsia="Times New Roman"/>
        </w:rPr>
      </w:pPr>
      <w:r>
        <w:rPr>
          <w:rFonts w:eastAsia="Times New Roman"/>
        </w:rPr>
        <w:t>3.</w:t>
      </w:r>
      <w:r>
        <w:rPr>
          <w:rFonts w:eastAsia="Times New Roman"/>
        </w:rPr>
        <w:tab/>
        <w:t xml:space="preserve">Fowler AJ, Wahedally MAH, Abbott TEF, Smuk M, Prowle JR, Pearse RM, et al. Death after surgery among patients with chronic disease: prospective study of routinely collected data in the English NHS. Br J Anaesth. 2022 Feb;128(2):333–42. </w:t>
      </w:r>
    </w:p>
    <w:p w14:paraId="66677856" w14:textId="77777777" w:rsidR="000772B6" w:rsidRDefault="000772B6" w:rsidP="000772B6">
      <w:pPr>
        <w:autoSpaceDE w:val="0"/>
        <w:autoSpaceDN w:val="0"/>
        <w:ind w:hanging="640"/>
        <w:rPr>
          <w:rFonts w:eastAsia="Times New Roman"/>
        </w:rPr>
      </w:pPr>
      <w:r>
        <w:rPr>
          <w:rFonts w:eastAsia="Times New Roman"/>
        </w:rPr>
        <w:t>4.</w:t>
      </w:r>
      <w:r>
        <w:rPr>
          <w:rFonts w:eastAsia="Times New Roman"/>
        </w:rPr>
        <w:tab/>
        <w:t xml:space="preserve">Hamel MB, Henderson WG, Khuri SF, Daley J. Surgical Outcomes for Patients Aged 80 and Older: Morbidity and Mortality from Major Noncardiac Surgery. J Am Geriatr Soc. 2005 Mar 24;53(3):424–9. </w:t>
      </w:r>
    </w:p>
    <w:p w14:paraId="2A807288" w14:textId="77777777" w:rsidR="000772B6" w:rsidRDefault="000772B6" w:rsidP="000772B6">
      <w:pPr>
        <w:autoSpaceDE w:val="0"/>
        <w:autoSpaceDN w:val="0"/>
        <w:ind w:hanging="640"/>
        <w:rPr>
          <w:rFonts w:eastAsia="Times New Roman"/>
        </w:rPr>
      </w:pPr>
      <w:r>
        <w:rPr>
          <w:rFonts w:eastAsia="Times New Roman"/>
        </w:rPr>
        <w:t>5.</w:t>
      </w:r>
      <w:r>
        <w:rPr>
          <w:rFonts w:eastAsia="Times New Roman"/>
        </w:rPr>
        <w:tab/>
        <w:t xml:space="preserve">BGS. Comprehensive Geriatric Assessment Toolkit for Primary Care Practitioners. 2015. </w:t>
      </w:r>
    </w:p>
    <w:p w14:paraId="1CB6857A" w14:textId="77777777" w:rsidR="000772B6" w:rsidRDefault="000772B6" w:rsidP="000772B6">
      <w:pPr>
        <w:autoSpaceDE w:val="0"/>
        <w:autoSpaceDN w:val="0"/>
        <w:ind w:hanging="640"/>
        <w:rPr>
          <w:rFonts w:eastAsia="Times New Roman"/>
        </w:rPr>
      </w:pPr>
      <w:r>
        <w:rPr>
          <w:rFonts w:eastAsia="Times New Roman"/>
        </w:rPr>
        <w:t>6.</w:t>
      </w:r>
      <w:r>
        <w:rPr>
          <w:rFonts w:eastAsia="Times New Roman"/>
        </w:rPr>
        <w:tab/>
        <w:t xml:space="preserve">Ellis G, Gardner M, Tsiachristas A, Langhorne P, Burke O, Harwood RH, et al. Comprehensive geriatric assessment for older adults admitted to hospital. Cochrane Database of Systematic Reviews. 2017 Sep 12;2017(9). </w:t>
      </w:r>
    </w:p>
    <w:p w14:paraId="212B6A65" w14:textId="77777777" w:rsidR="000772B6" w:rsidRDefault="000772B6" w:rsidP="000772B6">
      <w:pPr>
        <w:autoSpaceDE w:val="0"/>
        <w:autoSpaceDN w:val="0"/>
        <w:ind w:hanging="640"/>
        <w:rPr>
          <w:rFonts w:eastAsia="Times New Roman"/>
        </w:rPr>
      </w:pPr>
      <w:r>
        <w:rPr>
          <w:rFonts w:eastAsia="Times New Roman"/>
        </w:rPr>
        <w:t>7.</w:t>
      </w:r>
      <w:r>
        <w:rPr>
          <w:rFonts w:eastAsia="Times New Roman"/>
        </w:rPr>
        <w:tab/>
        <w:t xml:space="preserve">Partridge JSL, Harari D, Martin FC, Peacock JL, Bell R, Mohammed A, et al. Randomized clinical trial of comprehensive geriatric assessment and optimization in vascular surgery. British Journal of Surgery. 2017 Apr 13;104(6):679–87. </w:t>
      </w:r>
    </w:p>
    <w:p w14:paraId="199D6CB3" w14:textId="77777777" w:rsidR="000772B6" w:rsidRDefault="000772B6" w:rsidP="000772B6">
      <w:pPr>
        <w:autoSpaceDE w:val="0"/>
        <w:autoSpaceDN w:val="0"/>
        <w:ind w:hanging="640"/>
        <w:rPr>
          <w:rFonts w:eastAsia="Times New Roman"/>
        </w:rPr>
      </w:pPr>
      <w:r>
        <w:rPr>
          <w:rFonts w:eastAsia="Times New Roman"/>
        </w:rPr>
        <w:t>8.</w:t>
      </w:r>
      <w:r>
        <w:rPr>
          <w:rFonts w:eastAsia="Times New Roman"/>
        </w:rPr>
        <w:tab/>
        <w:t xml:space="preserve">Partridge JSL, Healey A, Modarai B, Harari D, Martin FC, Dhesi JK. Preoperative comprehensive geriatric assessment and optimisation prior to elective arterial vascular surgery: a health economic analysis. Age Ageing. 2021 Sep 11;50(5):1770–7. </w:t>
      </w:r>
    </w:p>
    <w:p w14:paraId="475FD7DC" w14:textId="77777777" w:rsidR="000772B6" w:rsidRDefault="000772B6" w:rsidP="000772B6">
      <w:pPr>
        <w:autoSpaceDE w:val="0"/>
        <w:autoSpaceDN w:val="0"/>
        <w:ind w:hanging="640"/>
        <w:rPr>
          <w:rFonts w:eastAsia="Times New Roman"/>
        </w:rPr>
      </w:pPr>
      <w:r>
        <w:rPr>
          <w:rFonts w:eastAsia="Times New Roman"/>
        </w:rPr>
        <w:t>9.</w:t>
      </w:r>
      <w:r>
        <w:rPr>
          <w:rFonts w:eastAsia="Times New Roman"/>
        </w:rPr>
        <w:tab/>
        <w:t xml:space="preserve">Eamer G, Taheri A, Chen SS, Daviduck Q, Chambers T, Shi X, et al. Comprehensive geriatric assessment for older people admitted to a surgical service. Cochrane Database of Systematic Reviews. 2018 Jan 31;2018(3). </w:t>
      </w:r>
    </w:p>
    <w:p w14:paraId="42E8DBAD" w14:textId="77777777" w:rsidR="000772B6" w:rsidRDefault="000772B6" w:rsidP="000772B6">
      <w:pPr>
        <w:autoSpaceDE w:val="0"/>
        <w:autoSpaceDN w:val="0"/>
        <w:ind w:hanging="640"/>
        <w:rPr>
          <w:rFonts w:eastAsia="Times New Roman"/>
        </w:rPr>
      </w:pPr>
      <w:r>
        <w:rPr>
          <w:rFonts w:eastAsia="Times New Roman"/>
        </w:rPr>
        <w:t>10.</w:t>
      </w:r>
      <w:r>
        <w:rPr>
          <w:rFonts w:eastAsia="Times New Roman"/>
        </w:rPr>
        <w:tab/>
        <w:t xml:space="preserve">Aitken RM, Partridge JSL, Oliver CM, Murray D, Hare S, Lockwood S, et al. Older patients undergoing emergency laparotomy: observations from the National Emergency Laparotomy Audit (NELA) years 1–4. Age Ageing. 2020 Jul 1;49(4):656–63. </w:t>
      </w:r>
    </w:p>
    <w:p w14:paraId="7A4063FF" w14:textId="77777777" w:rsidR="000772B6" w:rsidRDefault="000772B6" w:rsidP="000772B6">
      <w:pPr>
        <w:autoSpaceDE w:val="0"/>
        <w:autoSpaceDN w:val="0"/>
        <w:ind w:hanging="640"/>
        <w:rPr>
          <w:rFonts w:eastAsia="Times New Roman"/>
        </w:rPr>
      </w:pPr>
      <w:r>
        <w:rPr>
          <w:rFonts w:eastAsia="Times New Roman"/>
        </w:rPr>
        <w:t>11.</w:t>
      </w:r>
      <w:r>
        <w:rPr>
          <w:rFonts w:eastAsia="Times New Roman"/>
        </w:rPr>
        <w:tab/>
        <w:t xml:space="preserve">Centre of Perioperative Care. Guideline for Perioperative Care for People Living with Frailty. 2021. </w:t>
      </w:r>
    </w:p>
    <w:p w14:paraId="134919E9" w14:textId="77777777" w:rsidR="000772B6" w:rsidRDefault="000772B6" w:rsidP="000772B6">
      <w:pPr>
        <w:autoSpaceDE w:val="0"/>
        <w:autoSpaceDN w:val="0"/>
        <w:ind w:hanging="640"/>
        <w:rPr>
          <w:rFonts w:eastAsia="Times New Roman"/>
        </w:rPr>
      </w:pPr>
      <w:r>
        <w:rPr>
          <w:rFonts w:eastAsia="Times New Roman"/>
        </w:rPr>
        <w:t>12.</w:t>
      </w:r>
      <w:r>
        <w:rPr>
          <w:rFonts w:eastAsia="Times New Roman"/>
        </w:rPr>
        <w:tab/>
        <w:t xml:space="preserve">The Royal College of Surgeons of England and Department of Health. The Higher Risk General Surgical Patient. 2021. </w:t>
      </w:r>
    </w:p>
    <w:p w14:paraId="7673C540" w14:textId="77777777" w:rsidR="000772B6" w:rsidRDefault="000772B6" w:rsidP="000772B6">
      <w:pPr>
        <w:autoSpaceDE w:val="0"/>
        <w:autoSpaceDN w:val="0"/>
        <w:ind w:hanging="640"/>
        <w:rPr>
          <w:rFonts w:eastAsia="Times New Roman"/>
        </w:rPr>
      </w:pPr>
      <w:r>
        <w:rPr>
          <w:rFonts w:eastAsia="Times New Roman"/>
        </w:rPr>
        <w:t>13.</w:t>
      </w:r>
      <w:r>
        <w:rPr>
          <w:rFonts w:eastAsia="Times New Roman"/>
        </w:rPr>
        <w:tab/>
        <w:t xml:space="preserve">National Emergency Laparotomy Audit. National Emergency Laparotomy Audit. </w:t>
      </w:r>
    </w:p>
    <w:p w14:paraId="52631EA3" w14:textId="77777777" w:rsidR="000772B6" w:rsidRDefault="000772B6" w:rsidP="000772B6">
      <w:pPr>
        <w:autoSpaceDE w:val="0"/>
        <w:autoSpaceDN w:val="0"/>
        <w:ind w:hanging="640"/>
        <w:rPr>
          <w:rFonts w:eastAsia="Times New Roman"/>
        </w:rPr>
      </w:pPr>
      <w:r>
        <w:rPr>
          <w:rFonts w:eastAsia="Times New Roman"/>
        </w:rPr>
        <w:t>14.</w:t>
      </w:r>
      <w:r>
        <w:rPr>
          <w:rFonts w:eastAsia="Times New Roman"/>
        </w:rPr>
        <w:tab/>
        <w:t xml:space="preserve">Joughin AL, Partridge JSL, O’Halloran T, Dhesi JK. Where are we now in perioperative medicine? Results from a repeated UK survey of geriatric medicine delivered services for older people. Age Ageing. 2019 May 1;48(3):458–62. </w:t>
      </w:r>
    </w:p>
    <w:p w14:paraId="3F9B2CC1" w14:textId="77777777" w:rsidR="000772B6" w:rsidRDefault="000772B6" w:rsidP="000772B6">
      <w:pPr>
        <w:autoSpaceDE w:val="0"/>
        <w:autoSpaceDN w:val="0"/>
        <w:ind w:hanging="640"/>
        <w:rPr>
          <w:rFonts w:eastAsia="Times New Roman"/>
        </w:rPr>
      </w:pPr>
      <w:r>
        <w:rPr>
          <w:rFonts w:eastAsia="Times New Roman"/>
        </w:rPr>
        <w:t>15.</w:t>
      </w:r>
      <w:r>
        <w:rPr>
          <w:rFonts w:eastAsia="Times New Roman"/>
        </w:rPr>
        <w:tab/>
        <w:t>NHS England, Getting it right first time. Anaesthesia and Perioperative Medicine [Internet]. 2021 [cited 2024 Dec 3]. Available from: https://gettingitrightfirsttime.co.uk/medical_specialties/apom/</w:t>
      </w:r>
    </w:p>
    <w:p w14:paraId="3F10C447" w14:textId="77777777" w:rsidR="000772B6" w:rsidRDefault="000772B6" w:rsidP="000772B6">
      <w:pPr>
        <w:autoSpaceDE w:val="0"/>
        <w:autoSpaceDN w:val="0"/>
        <w:ind w:hanging="640"/>
        <w:rPr>
          <w:rFonts w:eastAsia="Times New Roman"/>
        </w:rPr>
      </w:pPr>
      <w:r>
        <w:rPr>
          <w:rFonts w:eastAsia="Times New Roman"/>
        </w:rPr>
        <w:t>16.</w:t>
      </w:r>
      <w:r>
        <w:rPr>
          <w:rFonts w:eastAsia="Times New Roman"/>
        </w:rPr>
        <w:tab/>
        <w:t xml:space="preserve">Horton T, Illingworth J, Warburton W. The Spread Challenge. 2018 Sep. </w:t>
      </w:r>
    </w:p>
    <w:p w14:paraId="01469B4F" w14:textId="77777777" w:rsidR="000772B6" w:rsidRDefault="000772B6" w:rsidP="000772B6">
      <w:pPr>
        <w:autoSpaceDE w:val="0"/>
        <w:autoSpaceDN w:val="0"/>
        <w:ind w:hanging="640"/>
        <w:rPr>
          <w:rFonts w:eastAsia="Times New Roman"/>
        </w:rPr>
      </w:pPr>
      <w:r>
        <w:rPr>
          <w:rFonts w:eastAsia="Times New Roman"/>
        </w:rPr>
        <w:t>17.</w:t>
      </w:r>
      <w:r>
        <w:rPr>
          <w:rFonts w:eastAsia="Times New Roman"/>
        </w:rPr>
        <w:tab/>
        <w:t xml:space="preserve">Fulop NJ, Ramsay AIG, Perry C, Boaden RJ, McKevitt C, Rudd AG, et al. Explaining outcomes in major system change: a qualitative study of implementing centralised acute stroke services in two large metropolitan regions in England. Implementation Science. 2015 Dec 3;11(1):80. </w:t>
      </w:r>
    </w:p>
    <w:p w14:paraId="0CC0CC11" w14:textId="77777777" w:rsidR="000772B6" w:rsidRDefault="000772B6" w:rsidP="000772B6">
      <w:pPr>
        <w:autoSpaceDE w:val="0"/>
        <w:autoSpaceDN w:val="0"/>
        <w:ind w:hanging="640"/>
        <w:rPr>
          <w:rFonts w:eastAsia="Times New Roman"/>
        </w:rPr>
      </w:pPr>
      <w:r>
        <w:rPr>
          <w:rFonts w:eastAsia="Times New Roman"/>
        </w:rPr>
        <w:t>18.</w:t>
      </w:r>
      <w:r>
        <w:rPr>
          <w:rFonts w:eastAsia="Times New Roman"/>
        </w:rPr>
        <w:tab/>
        <w:t xml:space="preserve">Jasper E V, Dhesi JK, Partridge JS, Sadler E, Sevdalis N. Scaling up perioperative medicine for older people undergoing surgery (POPS) services; use of a logic model approach. Clinical Medicine. 2019 Nov;19(6):478–84. </w:t>
      </w:r>
    </w:p>
    <w:p w14:paraId="5B615BA7" w14:textId="77777777" w:rsidR="000772B6" w:rsidRDefault="000772B6" w:rsidP="000772B6">
      <w:pPr>
        <w:autoSpaceDE w:val="0"/>
        <w:autoSpaceDN w:val="0"/>
        <w:ind w:hanging="640"/>
        <w:rPr>
          <w:rFonts w:eastAsia="Times New Roman"/>
        </w:rPr>
      </w:pPr>
      <w:r>
        <w:rPr>
          <w:rFonts w:eastAsia="Times New Roman"/>
        </w:rPr>
        <w:lastRenderedPageBreak/>
        <w:t>19.</w:t>
      </w:r>
      <w:r>
        <w:rPr>
          <w:rFonts w:eastAsia="Times New Roman"/>
        </w:rPr>
        <w:tab/>
        <w:t xml:space="preserve">Kriston L, Scholl I, Hölzel L, Simon D, Loh A, Härter M. The 9-item Shared Decision Making Questionnaire (SDM-Q-9). Development and psychometric properties in a primary care sample. Patient Educ Couns. 2010;80(1):94–9. </w:t>
      </w:r>
    </w:p>
    <w:p w14:paraId="4105F2D7" w14:textId="77777777" w:rsidR="000772B6" w:rsidRDefault="000772B6" w:rsidP="000772B6">
      <w:pPr>
        <w:autoSpaceDE w:val="0"/>
        <w:autoSpaceDN w:val="0"/>
        <w:ind w:hanging="640"/>
        <w:rPr>
          <w:rFonts w:eastAsia="Times New Roman"/>
        </w:rPr>
      </w:pPr>
      <w:r>
        <w:rPr>
          <w:rFonts w:eastAsia="Times New Roman"/>
        </w:rPr>
        <w:t>20.</w:t>
      </w:r>
      <w:r>
        <w:rPr>
          <w:rFonts w:eastAsia="Times New Roman"/>
        </w:rPr>
        <w:tab/>
        <w:t xml:space="preserve">Brehaut JC, O’Connor AM, Wood TJ, Hack TF, Siminoff L, Gordon E, et al. Validation of a Decision Regret Scale. Medical Decision Making. 2003 Jul 1;23(4):281–92. </w:t>
      </w:r>
    </w:p>
    <w:p w14:paraId="1C420A2F" w14:textId="77777777" w:rsidR="000772B6" w:rsidRDefault="000772B6" w:rsidP="000772B6">
      <w:pPr>
        <w:autoSpaceDE w:val="0"/>
        <w:autoSpaceDN w:val="0"/>
        <w:ind w:hanging="640"/>
        <w:rPr>
          <w:rFonts w:eastAsia="Times New Roman"/>
        </w:rPr>
      </w:pPr>
      <w:r>
        <w:rPr>
          <w:rFonts w:eastAsia="Times New Roman"/>
        </w:rPr>
        <w:t>21.</w:t>
      </w:r>
      <w:r>
        <w:rPr>
          <w:rFonts w:eastAsia="Times New Roman"/>
        </w:rPr>
        <w:tab/>
        <w:t xml:space="preserve">Cruz M, Bender M, Ombao H. A robust interrupted time series model for analyzing complex health care intervention data. Stat Med. 2017 Dec 20;36(29):4660–76. </w:t>
      </w:r>
    </w:p>
    <w:p w14:paraId="2C8D6C04" w14:textId="77777777" w:rsidR="000772B6" w:rsidRDefault="000772B6" w:rsidP="000772B6">
      <w:pPr>
        <w:autoSpaceDE w:val="0"/>
        <w:autoSpaceDN w:val="0"/>
        <w:ind w:hanging="640"/>
        <w:rPr>
          <w:rFonts w:eastAsia="Times New Roman"/>
        </w:rPr>
      </w:pPr>
      <w:r>
        <w:rPr>
          <w:rFonts w:eastAsia="Times New Roman"/>
        </w:rPr>
        <w:t>22.</w:t>
      </w:r>
      <w:r>
        <w:rPr>
          <w:rFonts w:eastAsia="Times New Roman"/>
        </w:rPr>
        <w:tab/>
        <w:t xml:space="preserve">Lopez Bernal J, Cummins S, Gasparrini A. The use of controls in interrupted time series studies of public health interventions. Int J Epidemiol. 2018 Dec 1;47(6):2082–93. </w:t>
      </w:r>
    </w:p>
    <w:p w14:paraId="48759F1C" w14:textId="77777777" w:rsidR="000772B6" w:rsidRDefault="000772B6" w:rsidP="000772B6">
      <w:pPr>
        <w:autoSpaceDE w:val="0"/>
        <w:autoSpaceDN w:val="0"/>
        <w:ind w:hanging="640"/>
        <w:rPr>
          <w:rFonts w:eastAsia="Times New Roman"/>
        </w:rPr>
      </w:pPr>
      <w:r>
        <w:rPr>
          <w:rFonts w:eastAsia="Times New Roman"/>
        </w:rPr>
        <w:t>23.</w:t>
      </w:r>
      <w:r>
        <w:rPr>
          <w:rFonts w:eastAsia="Times New Roman"/>
        </w:rPr>
        <w:tab/>
        <w:t xml:space="preserve">Lopez Bernal J, Soumerai S, Gasparrini A. A methodological framework for model selection in interrupted time series studies. J Clin Epidemiol. 2018 Nov;103:82–91. </w:t>
      </w:r>
    </w:p>
    <w:p w14:paraId="6365BDDA" w14:textId="77777777" w:rsidR="000772B6" w:rsidRDefault="000772B6" w:rsidP="000772B6">
      <w:pPr>
        <w:autoSpaceDE w:val="0"/>
        <w:autoSpaceDN w:val="0"/>
        <w:ind w:hanging="640"/>
        <w:rPr>
          <w:rFonts w:eastAsia="Times New Roman"/>
        </w:rPr>
      </w:pPr>
      <w:r>
        <w:rPr>
          <w:rFonts w:eastAsia="Times New Roman"/>
        </w:rPr>
        <w:t>24.</w:t>
      </w:r>
      <w:r>
        <w:rPr>
          <w:rFonts w:eastAsia="Times New Roman"/>
        </w:rPr>
        <w:tab/>
        <w:t xml:space="preserve">European Medicines Agency. ICH E9 (R1) addendum on estimands and sentitivity analysis in clinical trails to the guideline on statistical principles for clinical trials. 2020. </w:t>
      </w:r>
    </w:p>
    <w:p w14:paraId="51313560" w14:textId="77777777" w:rsidR="000772B6" w:rsidRDefault="000772B6" w:rsidP="000772B6">
      <w:pPr>
        <w:autoSpaceDE w:val="0"/>
        <w:autoSpaceDN w:val="0"/>
        <w:ind w:hanging="640"/>
        <w:rPr>
          <w:rFonts w:eastAsia="Times New Roman"/>
        </w:rPr>
      </w:pPr>
      <w:r>
        <w:rPr>
          <w:rFonts w:eastAsia="Times New Roman"/>
        </w:rPr>
        <w:t>25.</w:t>
      </w:r>
      <w:r>
        <w:rPr>
          <w:rFonts w:eastAsia="Times New Roman"/>
        </w:rPr>
        <w:tab/>
        <w:t xml:space="preserve">Kahan BC, Hindley J, Edwards M, Cro S, Morris TP. The estimands framework: a primer on the ICH E9(R1) addendum. BMJ. 2024 Jan 23;e076316. </w:t>
      </w:r>
    </w:p>
    <w:p w14:paraId="67D99444" w14:textId="77777777" w:rsidR="000772B6" w:rsidRDefault="000772B6" w:rsidP="000772B6">
      <w:pPr>
        <w:autoSpaceDE w:val="0"/>
        <w:autoSpaceDN w:val="0"/>
        <w:ind w:hanging="640"/>
        <w:rPr>
          <w:rFonts w:eastAsia="Times New Roman"/>
        </w:rPr>
      </w:pPr>
      <w:r>
        <w:rPr>
          <w:rFonts w:eastAsia="Times New Roman"/>
        </w:rPr>
        <w:t>26.</w:t>
      </w:r>
      <w:r>
        <w:rPr>
          <w:rFonts w:eastAsia="Times New Roman"/>
        </w:rPr>
        <w:tab/>
        <w:t xml:space="preserve">Turner SL, Karahalios A, Forbes AB, Taljaard M, Grimshaw JM, Cheng AC, et al. Design characteristics and statistical methods used in interrupted time series studies evaluating public health interventions: a review. J Clin Epidemiol. 2020 Jun;122:1–11. </w:t>
      </w:r>
    </w:p>
    <w:p w14:paraId="2119E03A" w14:textId="77777777" w:rsidR="000772B6" w:rsidRDefault="000772B6" w:rsidP="000772B6">
      <w:pPr>
        <w:autoSpaceDE w:val="0"/>
        <w:autoSpaceDN w:val="0"/>
        <w:ind w:hanging="640"/>
        <w:rPr>
          <w:rFonts w:eastAsia="Times New Roman"/>
        </w:rPr>
      </w:pPr>
      <w:r>
        <w:rPr>
          <w:rFonts w:eastAsia="Times New Roman"/>
        </w:rPr>
        <w:t>27.</w:t>
      </w:r>
      <w:r>
        <w:rPr>
          <w:rFonts w:eastAsia="Times New Roman"/>
        </w:rPr>
        <w:tab/>
        <w:t xml:space="preserve">Turner SL, Karahalios A, Forbes AB, Taljaard M, Grimshaw JM, McKenzie JE. Comparison of six statistical methods for interrupted time series studies: empirical evaluation of 190 published series. BMC Med Res Methodol. 2021 Dec 26;21(1):134. </w:t>
      </w:r>
    </w:p>
    <w:p w14:paraId="78BBDDA5" w14:textId="77777777" w:rsidR="000772B6" w:rsidRDefault="000772B6" w:rsidP="000772B6">
      <w:pPr>
        <w:autoSpaceDE w:val="0"/>
        <w:autoSpaceDN w:val="0"/>
        <w:ind w:hanging="640"/>
        <w:rPr>
          <w:rFonts w:eastAsia="Times New Roman"/>
        </w:rPr>
      </w:pPr>
      <w:r>
        <w:rPr>
          <w:rFonts w:eastAsia="Times New Roman"/>
        </w:rPr>
        <w:t>28.</w:t>
      </w:r>
      <w:r>
        <w:rPr>
          <w:rFonts w:eastAsia="Times New Roman"/>
        </w:rPr>
        <w:tab/>
        <w:t xml:space="preserve">Little RJ, D’Agostino R, Cohen ML, Dickersin K, Emerson SS, Farrar JT, et al. The Prevention and Treatment of Missing Data in Clinical Trials. New England Journal of Medicine. 2012 Oct 4;367(14):1355–60. </w:t>
      </w:r>
    </w:p>
    <w:p w14:paraId="5A32F535" w14:textId="77777777" w:rsidR="000772B6" w:rsidRDefault="000772B6" w:rsidP="000772B6">
      <w:pPr>
        <w:autoSpaceDE w:val="0"/>
        <w:autoSpaceDN w:val="0"/>
        <w:ind w:hanging="640"/>
        <w:rPr>
          <w:rFonts w:eastAsia="Times New Roman"/>
        </w:rPr>
      </w:pPr>
      <w:r>
        <w:rPr>
          <w:rFonts w:eastAsia="Times New Roman"/>
        </w:rPr>
        <w:t>29.</w:t>
      </w:r>
      <w:r>
        <w:rPr>
          <w:rFonts w:eastAsia="Times New Roman"/>
        </w:rPr>
        <w:tab/>
        <w:t xml:space="preserve">van Buuren S. Flexible Imputation of Missing Data. 2018. </w:t>
      </w:r>
    </w:p>
    <w:p w14:paraId="6FF5CC3D" w14:textId="77777777" w:rsidR="000772B6" w:rsidRDefault="000772B6" w:rsidP="000772B6">
      <w:pPr>
        <w:autoSpaceDE w:val="0"/>
        <w:autoSpaceDN w:val="0"/>
        <w:ind w:hanging="640"/>
        <w:rPr>
          <w:rFonts w:eastAsia="Times New Roman"/>
        </w:rPr>
      </w:pPr>
      <w:r>
        <w:rPr>
          <w:rFonts w:eastAsia="Times New Roman"/>
        </w:rPr>
        <w:t>30.</w:t>
      </w:r>
      <w:r>
        <w:rPr>
          <w:rFonts w:eastAsia="Times New Roman"/>
        </w:rPr>
        <w:tab/>
        <w:t xml:space="preserve">Molenberghs G, Kenward MG. Missing Data in Clinical Studies. Wiley; 2007. </w:t>
      </w:r>
    </w:p>
    <w:p w14:paraId="43A94622" w14:textId="77777777" w:rsidR="000772B6" w:rsidRDefault="000772B6" w:rsidP="000772B6">
      <w:pPr>
        <w:autoSpaceDE w:val="0"/>
        <w:autoSpaceDN w:val="0"/>
        <w:ind w:hanging="640"/>
        <w:rPr>
          <w:rFonts w:eastAsia="Times New Roman"/>
        </w:rPr>
      </w:pPr>
      <w:r>
        <w:rPr>
          <w:rFonts w:eastAsia="Times New Roman"/>
        </w:rPr>
        <w:t>31.</w:t>
      </w:r>
      <w:r>
        <w:rPr>
          <w:rFonts w:eastAsia="Times New Roman"/>
        </w:rPr>
        <w:tab/>
        <w:t xml:space="preserve">Zhang F, Wagner AK, Ross-Degnan D. Simulation-based power calculation for designing interrupted time series analyses of health policy interventions. J Clin Epidemiol. 2011 Nov;64(11):1252–61. </w:t>
      </w:r>
    </w:p>
    <w:p w14:paraId="4FF45780" w14:textId="77777777" w:rsidR="000772B6" w:rsidRDefault="000772B6" w:rsidP="000772B6">
      <w:pPr>
        <w:autoSpaceDE w:val="0"/>
        <w:autoSpaceDN w:val="0"/>
        <w:ind w:hanging="640"/>
        <w:rPr>
          <w:rFonts w:eastAsia="Times New Roman"/>
        </w:rPr>
      </w:pPr>
      <w:r>
        <w:rPr>
          <w:rFonts w:eastAsia="Times New Roman"/>
        </w:rPr>
        <w:t>32.</w:t>
      </w:r>
      <w:r>
        <w:rPr>
          <w:rFonts w:eastAsia="Times New Roman"/>
        </w:rPr>
        <w:tab/>
        <w:t xml:space="preserve">Hawley S, Ali MS, Berencsi K, Judge A, Prieto-Alhambra D. &lt;p&gt;Sample size and power considerations for ordinary least squares interrupted time series analysis: a simulation study&lt;/p&gt;. Clin Epidemiol. 2019 Feb;Volume 11:197–205. </w:t>
      </w:r>
    </w:p>
    <w:p w14:paraId="6BCD9879" w14:textId="77777777" w:rsidR="000772B6" w:rsidRDefault="000772B6" w:rsidP="000772B6">
      <w:pPr>
        <w:autoSpaceDE w:val="0"/>
        <w:autoSpaceDN w:val="0"/>
        <w:ind w:hanging="640"/>
        <w:rPr>
          <w:rFonts w:eastAsia="Times New Roman"/>
        </w:rPr>
      </w:pPr>
      <w:r>
        <w:rPr>
          <w:rFonts w:eastAsia="Times New Roman"/>
        </w:rPr>
        <w:t>33.</w:t>
      </w:r>
      <w:r>
        <w:rPr>
          <w:rFonts w:eastAsia="Times New Roman"/>
        </w:rPr>
        <w:tab/>
        <w:t xml:space="preserve">SAS Institute Inc. SAS for Windows. </w:t>
      </w:r>
    </w:p>
    <w:p w14:paraId="495F4508" w14:textId="77777777" w:rsidR="000772B6" w:rsidRDefault="000772B6" w:rsidP="000772B6">
      <w:pPr>
        <w:autoSpaceDE w:val="0"/>
        <w:autoSpaceDN w:val="0"/>
        <w:ind w:hanging="640"/>
        <w:rPr>
          <w:rFonts w:eastAsia="Times New Roman"/>
        </w:rPr>
      </w:pPr>
      <w:r>
        <w:rPr>
          <w:rFonts w:eastAsia="Times New Roman"/>
        </w:rPr>
        <w:t>34.</w:t>
      </w:r>
      <w:r>
        <w:rPr>
          <w:rFonts w:eastAsia="Times New Roman"/>
        </w:rPr>
        <w:tab/>
        <w:t xml:space="preserve">R foundation for Statistical Computing. A Language and Environment for Statistical Computing. 2024. </w:t>
      </w:r>
    </w:p>
    <w:p w14:paraId="66E80D1C" w14:textId="77777777" w:rsidR="000772B6" w:rsidRDefault="000772B6" w:rsidP="000772B6">
      <w:pPr>
        <w:autoSpaceDE w:val="0"/>
        <w:autoSpaceDN w:val="0"/>
        <w:ind w:hanging="640"/>
        <w:rPr>
          <w:rFonts w:eastAsia="Times New Roman"/>
        </w:rPr>
      </w:pPr>
      <w:r>
        <w:rPr>
          <w:rFonts w:eastAsia="Times New Roman"/>
        </w:rPr>
        <w:t>35.</w:t>
      </w:r>
      <w:r>
        <w:rPr>
          <w:rFonts w:eastAsia="Times New Roman"/>
        </w:rPr>
        <w:tab/>
        <w:t xml:space="preserve">StataCorp. Stata Statistical Software: Release 18. 2023. </w:t>
      </w:r>
    </w:p>
    <w:p w14:paraId="6F4BD6C4" w14:textId="77777777" w:rsidR="000772B6" w:rsidRDefault="000772B6" w:rsidP="000772B6">
      <w:pPr>
        <w:autoSpaceDE w:val="0"/>
        <w:autoSpaceDN w:val="0"/>
        <w:ind w:hanging="640"/>
        <w:rPr>
          <w:rFonts w:eastAsia="Times New Roman"/>
        </w:rPr>
      </w:pPr>
      <w:r>
        <w:rPr>
          <w:rFonts w:eastAsia="Times New Roman"/>
        </w:rPr>
        <w:t>36.</w:t>
      </w:r>
      <w:r>
        <w:rPr>
          <w:rFonts w:eastAsia="Times New Roman"/>
        </w:rPr>
        <w:tab/>
        <w:t xml:space="preserve">Drummond M, Sculpher M, Claxton K, Stoddart G, Torrance G. Methods for the Economic Evaluation of Health Care Programmes. Fourth. Oxford University Press; 2015. </w:t>
      </w:r>
    </w:p>
    <w:p w14:paraId="4B7B171C" w14:textId="77777777" w:rsidR="000772B6" w:rsidRDefault="000772B6" w:rsidP="000772B6">
      <w:pPr>
        <w:autoSpaceDE w:val="0"/>
        <w:autoSpaceDN w:val="0"/>
        <w:ind w:hanging="640"/>
        <w:rPr>
          <w:rFonts w:eastAsia="Times New Roman"/>
        </w:rPr>
      </w:pPr>
      <w:r>
        <w:rPr>
          <w:rFonts w:eastAsia="Times New Roman"/>
        </w:rPr>
        <w:t>37.</w:t>
      </w:r>
      <w:r>
        <w:rPr>
          <w:rFonts w:eastAsia="Times New Roman"/>
        </w:rPr>
        <w:tab/>
        <w:t xml:space="preserve">National Institute for Health and Care Excellence. Guide to the methods of technology appraisal 2013. 2013 Apr. </w:t>
      </w:r>
    </w:p>
    <w:p w14:paraId="4C327B64" w14:textId="77777777" w:rsidR="000772B6" w:rsidRDefault="000772B6" w:rsidP="000772B6">
      <w:pPr>
        <w:autoSpaceDE w:val="0"/>
        <w:autoSpaceDN w:val="0"/>
        <w:ind w:hanging="640"/>
        <w:rPr>
          <w:rFonts w:eastAsia="Times New Roman"/>
        </w:rPr>
      </w:pPr>
      <w:r>
        <w:rPr>
          <w:rFonts w:eastAsia="Times New Roman"/>
        </w:rPr>
        <w:t>38.</w:t>
      </w:r>
      <w:r>
        <w:rPr>
          <w:rFonts w:eastAsia="Times New Roman"/>
        </w:rPr>
        <w:tab/>
        <w:t xml:space="preserve">Vindrola-Padros C, Chisnall G, Cooper S, Dowrick A, Djellouli N, Symmons SM, et al. Carrying Out Rapid Qualitative Research During a Pandemic: Emerging Lessons From COVID-19. Qual Health Res. 2020 Dec 31;30(14):2192–204. </w:t>
      </w:r>
    </w:p>
    <w:p w14:paraId="47B48C96" w14:textId="77777777" w:rsidR="000772B6" w:rsidRDefault="000772B6" w:rsidP="000772B6">
      <w:pPr>
        <w:autoSpaceDE w:val="0"/>
        <w:autoSpaceDN w:val="0"/>
        <w:ind w:hanging="640"/>
        <w:rPr>
          <w:rFonts w:eastAsia="Times New Roman"/>
        </w:rPr>
      </w:pPr>
      <w:r>
        <w:rPr>
          <w:rFonts w:eastAsia="Times New Roman"/>
        </w:rPr>
        <w:t>39.</w:t>
      </w:r>
      <w:r>
        <w:rPr>
          <w:rFonts w:eastAsia="Times New Roman"/>
        </w:rPr>
        <w:tab/>
        <w:t xml:space="preserve">Gale NK, Heath G, Cameron E, Rashid S, Redwood S. Using the framework method for the analysis of qualitative data in multi-disciplinary health research. BMC Med Res Methodol. 2013 Sep 18;13(1):117. </w:t>
      </w:r>
    </w:p>
    <w:p w14:paraId="7482277D" w14:textId="77777777" w:rsidR="000772B6" w:rsidRDefault="000772B6" w:rsidP="000772B6">
      <w:pPr>
        <w:autoSpaceDE w:val="0"/>
        <w:autoSpaceDN w:val="0"/>
        <w:ind w:hanging="640"/>
        <w:rPr>
          <w:rFonts w:eastAsia="Times New Roman"/>
        </w:rPr>
      </w:pPr>
      <w:r>
        <w:rPr>
          <w:rFonts w:eastAsia="Times New Roman"/>
        </w:rPr>
        <w:lastRenderedPageBreak/>
        <w:t>40.</w:t>
      </w:r>
      <w:r>
        <w:rPr>
          <w:rFonts w:eastAsia="Times New Roman"/>
        </w:rPr>
        <w:tab/>
        <w:t xml:space="preserve">Damschroder LJ, Reardon CM, Opra Widerquist MA, Lowery J. Conceptualizing outcomes for use with the Consolidated Framework for Implementation Research (CFIR): the CFIR Outcomes Addendum. Implementation Science. 2022 Dec 22;17(1):7. </w:t>
      </w:r>
    </w:p>
    <w:p w14:paraId="4031CDD0" w14:textId="77777777" w:rsidR="000772B6" w:rsidRDefault="000772B6" w:rsidP="000772B6">
      <w:pPr>
        <w:autoSpaceDE w:val="0"/>
        <w:autoSpaceDN w:val="0"/>
        <w:ind w:hanging="640"/>
        <w:rPr>
          <w:rFonts w:eastAsia="Times New Roman"/>
        </w:rPr>
      </w:pPr>
      <w:r>
        <w:rPr>
          <w:rFonts w:eastAsia="Times New Roman"/>
        </w:rPr>
        <w:t>41.</w:t>
      </w:r>
      <w:r>
        <w:rPr>
          <w:rFonts w:eastAsia="Times New Roman"/>
        </w:rPr>
        <w:tab/>
        <w:t>NIHR. Improving inclusion of under-served groups in clinical research: Guidance from INCLUDE project [Internet]. 2020 Aug [cited 2024 Nov 14]. Available from: NIHR (2020) Improving inclusion of under-served groups in clinical research: Guidance from the NIHR-INCLUDE project. UK: NIHR. Available at: www.nihr.ac.uk/documents/improving-inclusion-of-under-served-groups-in-clinical-research-guidance-from-include-project/25435</w:t>
      </w:r>
    </w:p>
    <w:p w14:paraId="51B17183" w14:textId="77777777" w:rsidR="000772B6" w:rsidRDefault="000772B6" w:rsidP="000772B6">
      <w:pPr>
        <w:autoSpaceDE w:val="0"/>
        <w:autoSpaceDN w:val="0"/>
        <w:ind w:hanging="640"/>
        <w:rPr>
          <w:rFonts w:eastAsia="Times New Roman"/>
        </w:rPr>
      </w:pPr>
      <w:r>
        <w:rPr>
          <w:rFonts w:eastAsia="Times New Roman"/>
        </w:rPr>
        <w:t>42.</w:t>
      </w:r>
      <w:r>
        <w:rPr>
          <w:rFonts w:eastAsia="Times New Roman"/>
        </w:rPr>
        <w:tab/>
        <w:t xml:space="preserve">Chan AW, Tetzlaff JM, Gotzsche PC, Altman DG, Mann H, Berlin JA, et al. SPIRIT 2013 explanation and elaboration: guidance for protocols of clinical trials. BMJ. 2013 Jan 9;346(jan08 15):e7586–e7586. </w:t>
      </w:r>
    </w:p>
    <w:p w14:paraId="1F5C9D56" w14:textId="77777777" w:rsidR="000772B6" w:rsidRDefault="000772B6" w:rsidP="000772B6">
      <w:pPr>
        <w:autoSpaceDE w:val="0"/>
        <w:autoSpaceDN w:val="0"/>
        <w:ind w:hanging="640"/>
        <w:rPr>
          <w:rFonts w:eastAsia="Times New Roman"/>
        </w:rPr>
      </w:pPr>
      <w:r>
        <w:rPr>
          <w:rFonts w:eastAsia="Times New Roman"/>
        </w:rPr>
        <w:t>43.</w:t>
      </w:r>
      <w:r>
        <w:rPr>
          <w:rFonts w:eastAsia="Times New Roman"/>
        </w:rPr>
        <w:tab/>
        <w:t xml:space="preserve">Husereau D, Drummond M, Augustovski F, de Bekker-Grob E, Briggs AH, Carswell C, et al. Consolidated Health Economic Evaluation Reporting Standards 2022 (CHEERS 2022) statement: updated reporting guidance for health economic evaluations. BMC Med. 2022 Dec 12;20(1):23. </w:t>
      </w:r>
    </w:p>
    <w:p w14:paraId="3F0CB18D" w14:textId="77777777" w:rsidR="000772B6" w:rsidRDefault="000772B6" w:rsidP="000772B6">
      <w:pPr>
        <w:autoSpaceDE w:val="0"/>
        <w:autoSpaceDN w:val="0"/>
        <w:ind w:hanging="640"/>
        <w:rPr>
          <w:rFonts w:eastAsia="Times New Roman"/>
        </w:rPr>
      </w:pPr>
      <w:r>
        <w:rPr>
          <w:rFonts w:eastAsia="Times New Roman"/>
        </w:rPr>
        <w:t>44.</w:t>
      </w:r>
      <w:r>
        <w:rPr>
          <w:rFonts w:eastAsia="Times New Roman"/>
        </w:rPr>
        <w:tab/>
        <w:t xml:space="preserve">Ogrinc G, Davies L, Goodman D, Batalden P, Davidoff F, Stevens D. SQUIRE 2.0 ( </w:t>
      </w:r>
      <w:r>
        <w:rPr>
          <w:rFonts w:eastAsia="Times New Roman"/>
          <w:i/>
          <w:iCs/>
        </w:rPr>
        <w:t>Standards for QUality Improvement Reporting Excellence)</w:t>
      </w:r>
      <w:r>
        <w:rPr>
          <w:rFonts w:eastAsia="Times New Roman"/>
        </w:rPr>
        <w:t xml:space="preserve"> : revised publication guidelines from a detailed consensus process. BMJ Qual Saf. 2016 Dec;25(12):986–92. </w:t>
      </w:r>
    </w:p>
    <w:p w14:paraId="650448BC" w14:textId="77777777" w:rsidR="000772B6" w:rsidRDefault="000772B6" w:rsidP="000772B6">
      <w:pPr>
        <w:autoSpaceDE w:val="0"/>
        <w:autoSpaceDN w:val="0"/>
        <w:ind w:hanging="640"/>
        <w:rPr>
          <w:rFonts w:eastAsia="Times New Roman"/>
        </w:rPr>
      </w:pPr>
      <w:r>
        <w:rPr>
          <w:rFonts w:eastAsia="Times New Roman"/>
        </w:rPr>
        <w:t>45.</w:t>
      </w:r>
      <w:r>
        <w:rPr>
          <w:rFonts w:eastAsia="Times New Roman"/>
        </w:rPr>
        <w:tab/>
        <w:t xml:space="preserve">Handley MA, Lyles CR, McCulloch C, Cattamanchi A. Selecting and Improving Quasi-Experimental Designs in Effectiveness and Implementation Research. Annu Rev Public Health. 2018 Apr 1;39(1):5–25. </w:t>
      </w:r>
    </w:p>
    <w:p w14:paraId="70673E51" w14:textId="77777777" w:rsidR="000772B6" w:rsidRDefault="000772B6" w:rsidP="000772B6">
      <w:pPr>
        <w:rPr>
          <w:color w:val="000000"/>
        </w:rPr>
      </w:pPr>
      <w:r>
        <w:rPr>
          <w:rFonts w:eastAsia="Times New Roman"/>
        </w:rPr>
        <w:t> </w:t>
      </w:r>
    </w:p>
    <w:p w14:paraId="2CCEA139" w14:textId="77777777" w:rsidR="000772B6" w:rsidRDefault="000772B6" w:rsidP="000772B6">
      <w:pPr>
        <w:rPr>
          <w:b/>
          <w:bCs/>
        </w:rPr>
      </w:pPr>
    </w:p>
    <w:p w14:paraId="738A14C7" w14:textId="77777777" w:rsidR="000772B6" w:rsidRPr="000772B6" w:rsidRDefault="000772B6" w:rsidP="000772B6">
      <w:pPr>
        <w:rPr>
          <w:b/>
          <w:bCs/>
        </w:rPr>
      </w:pPr>
    </w:p>
    <w:p w14:paraId="3EE2146D" w14:textId="77777777" w:rsidR="000772B6" w:rsidRDefault="000772B6" w:rsidP="009A15BB">
      <w:pPr>
        <w:jc w:val="both"/>
        <w:rPr>
          <w:b/>
          <w:bCs/>
          <w:sz w:val="22"/>
          <w:szCs w:val="22"/>
          <w:lang w:val="en-US"/>
        </w:rPr>
      </w:pPr>
    </w:p>
    <w:sectPr w:rsidR="000772B6" w:rsidSect="000772B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F5772" w14:textId="77777777" w:rsidR="00611677" w:rsidRDefault="00611677" w:rsidP="0073633C">
      <w:r>
        <w:separator/>
      </w:r>
    </w:p>
  </w:endnote>
  <w:endnote w:type="continuationSeparator" w:id="0">
    <w:p w14:paraId="136EB991" w14:textId="77777777" w:rsidR="00611677" w:rsidRDefault="00611677" w:rsidP="0073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90267783"/>
      <w:docPartObj>
        <w:docPartGallery w:val="Page Numbers (Bottom of Page)"/>
        <w:docPartUnique/>
      </w:docPartObj>
    </w:sdtPr>
    <w:sdtEndPr>
      <w:rPr>
        <w:rStyle w:val="PageNumber"/>
      </w:rPr>
    </w:sdtEndPr>
    <w:sdtContent>
      <w:p w14:paraId="62B3C511" w14:textId="6B5A6662" w:rsidR="0049724B" w:rsidRDefault="0049724B" w:rsidP="00B20B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51E464" w14:textId="77777777" w:rsidR="0049724B" w:rsidRDefault="0049724B" w:rsidP="007363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45188776"/>
      <w:docPartObj>
        <w:docPartGallery w:val="Page Numbers (Bottom of Page)"/>
        <w:docPartUnique/>
      </w:docPartObj>
    </w:sdtPr>
    <w:sdtEndPr>
      <w:rPr>
        <w:rStyle w:val="PageNumber"/>
      </w:rPr>
    </w:sdtEndPr>
    <w:sdtContent>
      <w:p w14:paraId="2A9E22EA" w14:textId="0760A78C" w:rsidR="0049724B" w:rsidRDefault="0049724B" w:rsidP="00B20B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31F3B">
          <w:rPr>
            <w:rStyle w:val="PageNumber"/>
            <w:noProof/>
          </w:rPr>
          <w:t>15</w:t>
        </w:r>
        <w:r>
          <w:rPr>
            <w:rStyle w:val="PageNumber"/>
          </w:rPr>
          <w:fldChar w:fldCharType="end"/>
        </w:r>
      </w:p>
    </w:sdtContent>
  </w:sdt>
  <w:p w14:paraId="7192DFBC" w14:textId="77777777" w:rsidR="0049724B" w:rsidRDefault="0049724B" w:rsidP="0073633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2E811" w14:textId="77777777" w:rsidR="00C833A3" w:rsidRDefault="00C83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7D6CA" w14:textId="77777777" w:rsidR="00611677" w:rsidRDefault="00611677" w:rsidP="0073633C">
      <w:r>
        <w:separator/>
      </w:r>
    </w:p>
  </w:footnote>
  <w:footnote w:type="continuationSeparator" w:id="0">
    <w:p w14:paraId="3F2FA009" w14:textId="77777777" w:rsidR="00611677" w:rsidRDefault="00611677" w:rsidP="00736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CB9E5" w14:textId="77777777" w:rsidR="00C833A3" w:rsidRDefault="00C833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0C57C" w14:textId="77777777" w:rsidR="00C833A3" w:rsidRDefault="00C833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B2A57" w14:textId="77777777" w:rsidR="00C833A3" w:rsidRDefault="00C833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67315"/>
    <w:multiLevelType w:val="hybridMultilevel"/>
    <w:tmpl w:val="116EE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F733A59"/>
    <w:multiLevelType w:val="hybridMultilevel"/>
    <w:tmpl w:val="4D0665DA"/>
    <w:lvl w:ilvl="0" w:tplc="6204C6EA">
      <w:start w:val="1"/>
      <w:numFmt w:val="bullet"/>
      <w:lvlText w:val=""/>
      <w:lvlJc w:val="left"/>
      <w:pPr>
        <w:ind w:left="720" w:hanging="360"/>
      </w:pPr>
      <w:rPr>
        <w:rFonts w:ascii="Wingdings" w:hAnsi="Wingding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8397B0F"/>
    <w:multiLevelType w:val="hybridMultilevel"/>
    <w:tmpl w:val="1514E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70"/>
    <w:rsid w:val="00014489"/>
    <w:rsid w:val="00031F3B"/>
    <w:rsid w:val="000772B6"/>
    <w:rsid w:val="00083A4A"/>
    <w:rsid w:val="00097D47"/>
    <w:rsid w:val="000A20E9"/>
    <w:rsid w:val="000A49F0"/>
    <w:rsid w:val="00106F29"/>
    <w:rsid w:val="0012077C"/>
    <w:rsid w:val="00151172"/>
    <w:rsid w:val="00166F29"/>
    <w:rsid w:val="00172010"/>
    <w:rsid w:val="00180DDE"/>
    <w:rsid w:val="001902C7"/>
    <w:rsid w:val="001C1B66"/>
    <w:rsid w:val="001F47C8"/>
    <w:rsid w:val="00220515"/>
    <w:rsid w:val="00226591"/>
    <w:rsid w:val="00226BA6"/>
    <w:rsid w:val="00230B86"/>
    <w:rsid w:val="00262812"/>
    <w:rsid w:val="002746B0"/>
    <w:rsid w:val="0027752A"/>
    <w:rsid w:val="002837F7"/>
    <w:rsid w:val="002B58D2"/>
    <w:rsid w:val="002C6388"/>
    <w:rsid w:val="002D6814"/>
    <w:rsid w:val="002D7218"/>
    <w:rsid w:val="002F5710"/>
    <w:rsid w:val="003070AB"/>
    <w:rsid w:val="00333333"/>
    <w:rsid w:val="0033381E"/>
    <w:rsid w:val="003724EF"/>
    <w:rsid w:val="003765BC"/>
    <w:rsid w:val="003855F9"/>
    <w:rsid w:val="00396788"/>
    <w:rsid w:val="003B40DC"/>
    <w:rsid w:val="003C45EF"/>
    <w:rsid w:val="003D7562"/>
    <w:rsid w:val="003F59DC"/>
    <w:rsid w:val="00410092"/>
    <w:rsid w:val="0042322F"/>
    <w:rsid w:val="00451A39"/>
    <w:rsid w:val="00455904"/>
    <w:rsid w:val="00457A82"/>
    <w:rsid w:val="00462F61"/>
    <w:rsid w:val="0046713F"/>
    <w:rsid w:val="0049724B"/>
    <w:rsid w:val="004E0C60"/>
    <w:rsid w:val="005006D5"/>
    <w:rsid w:val="0052202A"/>
    <w:rsid w:val="00525501"/>
    <w:rsid w:val="00536261"/>
    <w:rsid w:val="005460AE"/>
    <w:rsid w:val="005471CA"/>
    <w:rsid w:val="005532CF"/>
    <w:rsid w:val="00562A28"/>
    <w:rsid w:val="005E335C"/>
    <w:rsid w:val="00611677"/>
    <w:rsid w:val="006407ED"/>
    <w:rsid w:val="00661FF7"/>
    <w:rsid w:val="00675020"/>
    <w:rsid w:val="006758E8"/>
    <w:rsid w:val="00677EDA"/>
    <w:rsid w:val="006932FE"/>
    <w:rsid w:val="006A1F9F"/>
    <w:rsid w:val="006A69CC"/>
    <w:rsid w:val="006F4EA4"/>
    <w:rsid w:val="006F55AB"/>
    <w:rsid w:val="00715470"/>
    <w:rsid w:val="007173D9"/>
    <w:rsid w:val="00722B4C"/>
    <w:rsid w:val="007343BD"/>
    <w:rsid w:val="007357B8"/>
    <w:rsid w:val="0073633C"/>
    <w:rsid w:val="0074022E"/>
    <w:rsid w:val="007677E1"/>
    <w:rsid w:val="00772374"/>
    <w:rsid w:val="007839DC"/>
    <w:rsid w:val="007D5290"/>
    <w:rsid w:val="007D6929"/>
    <w:rsid w:val="00804451"/>
    <w:rsid w:val="008101FE"/>
    <w:rsid w:val="00811DFE"/>
    <w:rsid w:val="008404CF"/>
    <w:rsid w:val="008518FA"/>
    <w:rsid w:val="008615B6"/>
    <w:rsid w:val="00862305"/>
    <w:rsid w:val="0087497B"/>
    <w:rsid w:val="008A26E1"/>
    <w:rsid w:val="008A3700"/>
    <w:rsid w:val="008E6BBE"/>
    <w:rsid w:val="008F3974"/>
    <w:rsid w:val="009455F0"/>
    <w:rsid w:val="009564DE"/>
    <w:rsid w:val="00965B4D"/>
    <w:rsid w:val="00971FD0"/>
    <w:rsid w:val="00975321"/>
    <w:rsid w:val="009804EA"/>
    <w:rsid w:val="00981698"/>
    <w:rsid w:val="009824A8"/>
    <w:rsid w:val="00990A47"/>
    <w:rsid w:val="009A15BB"/>
    <w:rsid w:val="00A04F3A"/>
    <w:rsid w:val="00A050C3"/>
    <w:rsid w:val="00A079E0"/>
    <w:rsid w:val="00A105FD"/>
    <w:rsid w:val="00A10F92"/>
    <w:rsid w:val="00A42E2F"/>
    <w:rsid w:val="00A50934"/>
    <w:rsid w:val="00A52EDE"/>
    <w:rsid w:val="00A65B53"/>
    <w:rsid w:val="00A66E60"/>
    <w:rsid w:val="00A870C7"/>
    <w:rsid w:val="00A90676"/>
    <w:rsid w:val="00AA260D"/>
    <w:rsid w:val="00AB38B0"/>
    <w:rsid w:val="00AB5500"/>
    <w:rsid w:val="00AD50B4"/>
    <w:rsid w:val="00AE2C56"/>
    <w:rsid w:val="00B07CF2"/>
    <w:rsid w:val="00B11347"/>
    <w:rsid w:val="00B20B36"/>
    <w:rsid w:val="00B24E4E"/>
    <w:rsid w:val="00B31308"/>
    <w:rsid w:val="00B41BE7"/>
    <w:rsid w:val="00B50508"/>
    <w:rsid w:val="00B52062"/>
    <w:rsid w:val="00B64D09"/>
    <w:rsid w:val="00B6635F"/>
    <w:rsid w:val="00B74171"/>
    <w:rsid w:val="00B81F51"/>
    <w:rsid w:val="00B84732"/>
    <w:rsid w:val="00B978BD"/>
    <w:rsid w:val="00BA555E"/>
    <w:rsid w:val="00BA5610"/>
    <w:rsid w:val="00BA67BD"/>
    <w:rsid w:val="00BB15AE"/>
    <w:rsid w:val="00BB76A0"/>
    <w:rsid w:val="00BC1C35"/>
    <w:rsid w:val="00BE5B33"/>
    <w:rsid w:val="00BE5C8B"/>
    <w:rsid w:val="00BE61B6"/>
    <w:rsid w:val="00C00960"/>
    <w:rsid w:val="00C153D2"/>
    <w:rsid w:val="00C31116"/>
    <w:rsid w:val="00C833A3"/>
    <w:rsid w:val="00CB72B8"/>
    <w:rsid w:val="00CC7F5A"/>
    <w:rsid w:val="00D02575"/>
    <w:rsid w:val="00D05C84"/>
    <w:rsid w:val="00D31C0D"/>
    <w:rsid w:val="00D40CFD"/>
    <w:rsid w:val="00D53AED"/>
    <w:rsid w:val="00D556E6"/>
    <w:rsid w:val="00D70EFF"/>
    <w:rsid w:val="00D774EE"/>
    <w:rsid w:val="00E01251"/>
    <w:rsid w:val="00E34550"/>
    <w:rsid w:val="00E568DA"/>
    <w:rsid w:val="00E7177E"/>
    <w:rsid w:val="00E74699"/>
    <w:rsid w:val="00E93849"/>
    <w:rsid w:val="00EA535F"/>
    <w:rsid w:val="00EA68D9"/>
    <w:rsid w:val="00EA6A84"/>
    <w:rsid w:val="00EB647D"/>
    <w:rsid w:val="00EB6DCD"/>
    <w:rsid w:val="00EC7F89"/>
    <w:rsid w:val="00EE61CE"/>
    <w:rsid w:val="00EF1EAB"/>
    <w:rsid w:val="00F0403A"/>
    <w:rsid w:val="00F15C84"/>
    <w:rsid w:val="00F3194F"/>
    <w:rsid w:val="00F46283"/>
    <w:rsid w:val="00F51A6D"/>
    <w:rsid w:val="00F57E4B"/>
    <w:rsid w:val="00F87A59"/>
    <w:rsid w:val="00F968EC"/>
    <w:rsid w:val="00FA2403"/>
    <w:rsid w:val="00FA4A5E"/>
    <w:rsid w:val="00FA6FF5"/>
    <w:rsid w:val="00FC09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E9E01"/>
  <w15:chartTrackingRefBased/>
  <w15:docId w15:val="{AA829D26-7A3F-5540-83A5-A4F92554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633C"/>
    <w:pPr>
      <w:tabs>
        <w:tab w:val="center" w:pos="4513"/>
        <w:tab w:val="right" w:pos="9026"/>
      </w:tabs>
    </w:pPr>
  </w:style>
  <w:style w:type="character" w:customStyle="1" w:styleId="FooterChar">
    <w:name w:val="Footer Char"/>
    <w:basedOn w:val="DefaultParagraphFont"/>
    <w:link w:val="Footer"/>
    <w:uiPriority w:val="99"/>
    <w:rsid w:val="0073633C"/>
  </w:style>
  <w:style w:type="character" w:styleId="PageNumber">
    <w:name w:val="page number"/>
    <w:basedOn w:val="DefaultParagraphFont"/>
    <w:uiPriority w:val="99"/>
    <w:semiHidden/>
    <w:unhideWhenUsed/>
    <w:rsid w:val="0073633C"/>
  </w:style>
  <w:style w:type="paragraph" w:styleId="ListParagraph">
    <w:name w:val="List Paragraph"/>
    <w:basedOn w:val="Normal"/>
    <w:uiPriority w:val="34"/>
    <w:qFormat/>
    <w:rsid w:val="00396788"/>
    <w:pPr>
      <w:spacing w:after="160" w:line="259" w:lineRule="auto"/>
      <w:ind w:left="720"/>
      <w:contextualSpacing/>
    </w:pPr>
    <w:rPr>
      <w:sz w:val="22"/>
      <w:szCs w:val="22"/>
    </w:rPr>
  </w:style>
  <w:style w:type="table" w:styleId="TableGrid">
    <w:name w:val="Table Grid"/>
    <w:basedOn w:val="TableNormal"/>
    <w:uiPriority w:val="39"/>
    <w:rsid w:val="0039678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5B53"/>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6407ED"/>
    <w:rPr>
      <w:sz w:val="16"/>
      <w:szCs w:val="16"/>
    </w:rPr>
  </w:style>
  <w:style w:type="paragraph" w:styleId="CommentText">
    <w:name w:val="annotation text"/>
    <w:basedOn w:val="Normal"/>
    <w:link w:val="CommentTextChar"/>
    <w:uiPriority w:val="99"/>
    <w:unhideWhenUsed/>
    <w:rsid w:val="006407ED"/>
    <w:rPr>
      <w:sz w:val="20"/>
      <w:szCs w:val="20"/>
    </w:rPr>
  </w:style>
  <w:style w:type="character" w:customStyle="1" w:styleId="CommentTextChar">
    <w:name w:val="Comment Text Char"/>
    <w:basedOn w:val="DefaultParagraphFont"/>
    <w:link w:val="CommentText"/>
    <w:uiPriority w:val="99"/>
    <w:rsid w:val="006407ED"/>
    <w:rPr>
      <w:sz w:val="20"/>
      <w:szCs w:val="20"/>
    </w:rPr>
  </w:style>
  <w:style w:type="paragraph" w:styleId="CommentSubject">
    <w:name w:val="annotation subject"/>
    <w:basedOn w:val="CommentText"/>
    <w:next w:val="CommentText"/>
    <w:link w:val="CommentSubjectChar"/>
    <w:uiPriority w:val="99"/>
    <w:semiHidden/>
    <w:unhideWhenUsed/>
    <w:rsid w:val="006407ED"/>
    <w:rPr>
      <w:b/>
      <w:bCs/>
    </w:rPr>
  </w:style>
  <w:style w:type="character" w:customStyle="1" w:styleId="CommentSubjectChar">
    <w:name w:val="Comment Subject Char"/>
    <w:basedOn w:val="CommentTextChar"/>
    <w:link w:val="CommentSubject"/>
    <w:uiPriority w:val="99"/>
    <w:semiHidden/>
    <w:rsid w:val="006407ED"/>
    <w:rPr>
      <w:b/>
      <w:bCs/>
      <w:sz w:val="20"/>
      <w:szCs w:val="20"/>
    </w:rPr>
  </w:style>
  <w:style w:type="paragraph" w:styleId="NoSpacing">
    <w:name w:val="No Spacing"/>
    <w:uiPriority w:val="1"/>
    <w:qFormat/>
    <w:rsid w:val="00722B4C"/>
  </w:style>
  <w:style w:type="table" w:styleId="GridTable3">
    <w:name w:val="Grid Table 3"/>
    <w:basedOn w:val="TableNormal"/>
    <w:uiPriority w:val="48"/>
    <w:rsid w:val="008404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
    <w:name w:val="Grid Table 7 Colorful"/>
    <w:basedOn w:val="TableNormal"/>
    <w:uiPriority w:val="52"/>
    <w:rsid w:val="003F59D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2">
    <w:name w:val="Plain Table 2"/>
    <w:basedOn w:val="TableNormal"/>
    <w:uiPriority w:val="42"/>
    <w:rsid w:val="001F47C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2837F7"/>
    <w:rPr>
      <w:color w:val="0563C1" w:themeColor="hyperlink"/>
      <w:u w:val="single"/>
    </w:rPr>
  </w:style>
  <w:style w:type="table" w:styleId="GridTable5Dark-Accent3">
    <w:name w:val="Grid Table 5 Dark Accent 3"/>
    <w:basedOn w:val="TableNormal"/>
    <w:uiPriority w:val="50"/>
    <w:rsid w:val="002837F7"/>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apple-converted-space">
    <w:name w:val="apple-converted-space"/>
    <w:basedOn w:val="DefaultParagraphFont"/>
    <w:rsid w:val="002837F7"/>
  </w:style>
  <w:style w:type="paragraph" w:styleId="BalloonText">
    <w:name w:val="Balloon Text"/>
    <w:basedOn w:val="Normal"/>
    <w:link w:val="BalloonTextChar"/>
    <w:uiPriority w:val="99"/>
    <w:semiHidden/>
    <w:unhideWhenUsed/>
    <w:rsid w:val="00E74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699"/>
    <w:rPr>
      <w:rFonts w:ascii="Segoe UI" w:hAnsi="Segoe UI" w:cs="Segoe UI"/>
      <w:sz w:val="18"/>
      <w:szCs w:val="18"/>
    </w:rPr>
  </w:style>
  <w:style w:type="paragraph" w:styleId="Header">
    <w:name w:val="header"/>
    <w:basedOn w:val="Normal"/>
    <w:link w:val="HeaderChar"/>
    <w:uiPriority w:val="99"/>
    <w:unhideWhenUsed/>
    <w:rsid w:val="006F4EA4"/>
    <w:pPr>
      <w:tabs>
        <w:tab w:val="center" w:pos="4819"/>
        <w:tab w:val="right" w:pos="9638"/>
      </w:tabs>
    </w:pPr>
  </w:style>
  <w:style w:type="character" w:customStyle="1" w:styleId="HeaderChar">
    <w:name w:val="Header Char"/>
    <w:basedOn w:val="DefaultParagraphFont"/>
    <w:link w:val="Header"/>
    <w:uiPriority w:val="99"/>
    <w:rsid w:val="006F4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804002">
      <w:bodyDiv w:val="1"/>
      <w:marLeft w:val="0"/>
      <w:marRight w:val="0"/>
      <w:marTop w:val="0"/>
      <w:marBottom w:val="0"/>
      <w:divBdr>
        <w:top w:val="none" w:sz="0" w:space="0" w:color="auto"/>
        <w:left w:val="none" w:sz="0" w:space="0" w:color="auto"/>
        <w:bottom w:val="none" w:sz="0" w:space="0" w:color="auto"/>
        <w:right w:val="none" w:sz="0" w:space="0" w:color="auto"/>
      </w:divBdr>
    </w:div>
    <w:div w:id="809782376">
      <w:bodyDiv w:val="1"/>
      <w:marLeft w:val="0"/>
      <w:marRight w:val="0"/>
      <w:marTop w:val="0"/>
      <w:marBottom w:val="0"/>
      <w:divBdr>
        <w:top w:val="none" w:sz="0" w:space="0" w:color="auto"/>
        <w:left w:val="none" w:sz="0" w:space="0" w:color="auto"/>
        <w:bottom w:val="none" w:sz="0" w:space="0" w:color="auto"/>
        <w:right w:val="none" w:sz="0" w:space="0" w:color="auto"/>
      </w:divBdr>
      <w:divsChild>
        <w:div w:id="20202839">
          <w:marLeft w:val="0"/>
          <w:marRight w:val="0"/>
          <w:marTop w:val="0"/>
          <w:marBottom w:val="0"/>
          <w:divBdr>
            <w:top w:val="none" w:sz="0" w:space="0" w:color="auto"/>
            <w:left w:val="none" w:sz="0" w:space="0" w:color="auto"/>
            <w:bottom w:val="none" w:sz="0" w:space="0" w:color="auto"/>
            <w:right w:val="none" w:sz="0" w:space="0" w:color="auto"/>
          </w:divBdr>
          <w:divsChild>
            <w:div w:id="1461191410">
              <w:marLeft w:val="0"/>
              <w:marRight w:val="0"/>
              <w:marTop w:val="0"/>
              <w:marBottom w:val="0"/>
              <w:divBdr>
                <w:top w:val="none" w:sz="0" w:space="0" w:color="auto"/>
                <w:left w:val="none" w:sz="0" w:space="0" w:color="auto"/>
                <w:bottom w:val="none" w:sz="0" w:space="0" w:color="auto"/>
                <w:right w:val="none" w:sz="0" w:space="0" w:color="auto"/>
              </w:divBdr>
              <w:divsChild>
                <w:div w:id="12260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04547">
      <w:bodyDiv w:val="1"/>
      <w:marLeft w:val="0"/>
      <w:marRight w:val="0"/>
      <w:marTop w:val="0"/>
      <w:marBottom w:val="0"/>
      <w:divBdr>
        <w:top w:val="none" w:sz="0" w:space="0" w:color="auto"/>
        <w:left w:val="none" w:sz="0" w:space="0" w:color="auto"/>
        <w:bottom w:val="none" w:sz="0" w:space="0" w:color="auto"/>
        <w:right w:val="none" w:sz="0" w:space="0" w:color="auto"/>
      </w:divBdr>
    </w:div>
    <w:div w:id="1138229803">
      <w:bodyDiv w:val="1"/>
      <w:marLeft w:val="0"/>
      <w:marRight w:val="0"/>
      <w:marTop w:val="0"/>
      <w:marBottom w:val="0"/>
      <w:divBdr>
        <w:top w:val="none" w:sz="0" w:space="0" w:color="auto"/>
        <w:left w:val="none" w:sz="0" w:space="0" w:color="auto"/>
        <w:bottom w:val="none" w:sz="0" w:space="0" w:color="auto"/>
        <w:right w:val="none" w:sz="0" w:space="0" w:color="auto"/>
      </w:divBdr>
    </w:div>
    <w:div w:id="1256356400">
      <w:bodyDiv w:val="1"/>
      <w:marLeft w:val="0"/>
      <w:marRight w:val="0"/>
      <w:marTop w:val="0"/>
      <w:marBottom w:val="0"/>
      <w:divBdr>
        <w:top w:val="none" w:sz="0" w:space="0" w:color="auto"/>
        <w:left w:val="none" w:sz="0" w:space="0" w:color="auto"/>
        <w:bottom w:val="none" w:sz="0" w:space="0" w:color="auto"/>
        <w:right w:val="none" w:sz="0" w:space="0" w:color="auto"/>
      </w:divBdr>
      <w:divsChild>
        <w:div w:id="734859625">
          <w:marLeft w:val="0"/>
          <w:marRight w:val="0"/>
          <w:marTop w:val="0"/>
          <w:marBottom w:val="0"/>
          <w:divBdr>
            <w:top w:val="none" w:sz="0" w:space="0" w:color="auto"/>
            <w:left w:val="none" w:sz="0" w:space="0" w:color="auto"/>
            <w:bottom w:val="none" w:sz="0" w:space="0" w:color="auto"/>
            <w:right w:val="none" w:sz="0" w:space="0" w:color="auto"/>
          </w:divBdr>
        </w:div>
        <w:div w:id="1923102494">
          <w:marLeft w:val="0"/>
          <w:marRight w:val="0"/>
          <w:marTop w:val="0"/>
          <w:marBottom w:val="0"/>
          <w:divBdr>
            <w:top w:val="none" w:sz="0" w:space="0" w:color="auto"/>
            <w:left w:val="none" w:sz="0" w:space="0" w:color="auto"/>
            <w:bottom w:val="none" w:sz="0" w:space="0" w:color="auto"/>
            <w:right w:val="none" w:sz="0" w:space="0" w:color="auto"/>
          </w:divBdr>
        </w:div>
        <w:div w:id="189296755">
          <w:marLeft w:val="0"/>
          <w:marRight w:val="0"/>
          <w:marTop w:val="0"/>
          <w:marBottom w:val="0"/>
          <w:divBdr>
            <w:top w:val="none" w:sz="0" w:space="0" w:color="auto"/>
            <w:left w:val="none" w:sz="0" w:space="0" w:color="auto"/>
            <w:bottom w:val="none" w:sz="0" w:space="0" w:color="auto"/>
            <w:right w:val="none" w:sz="0" w:space="0" w:color="auto"/>
          </w:divBdr>
        </w:div>
        <w:div w:id="533153589">
          <w:marLeft w:val="0"/>
          <w:marRight w:val="0"/>
          <w:marTop w:val="0"/>
          <w:marBottom w:val="0"/>
          <w:divBdr>
            <w:top w:val="none" w:sz="0" w:space="0" w:color="auto"/>
            <w:left w:val="none" w:sz="0" w:space="0" w:color="auto"/>
            <w:bottom w:val="none" w:sz="0" w:space="0" w:color="auto"/>
            <w:right w:val="none" w:sz="0" w:space="0" w:color="auto"/>
          </w:divBdr>
        </w:div>
        <w:div w:id="1562787846">
          <w:marLeft w:val="0"/>
          <w:marRight w:val="0"/>
          <w:marTop w:val="0"/>
          <w:marBottom w:val="0"/>
          <w:divBdr>
            <w:top w:val="none" w:sz="0" w:space="0" w:color="auto"/>
            <w:left w:val="none" w:sz="0" w:space="0" w:color="auto"/>
            <w:bottom w:val="none" w:sz="0" w:space="0" w:color="auto"/>
            <w:right w:val="none" w:sz="0" w:space="0" w:color="auto"/>
          </w:divBdr>
        </w:div>
      </w:divsChild>
    </w:div>
    <w:div w:id="1548570552">
      <w:bodyDiv w:val="1"/>
      <w:marLeft w:val="0"/>
      <w:marRight w:val="0"/>
      <w:marTop w:val="0"/>
      <w:marBottom w:val="0"/>
      <w:divBdr>
        <w:top w:val="none" w:sz="0" w:space="0" w:color="auto"/>
        <w:left w:val="none" w:sz="0" w:space="0" w:color="auto"/>
        <w:bottom w:val="none" w:sz="0" w:space="0" w:color="auto"/>
        <w:right w:val="none" w:sz="0" w:space="0" w:color="auto"/>
      </w:divBdr>
      <w:divsChild>
        <w:div w:id="1564025243">
          <w:marLeft w:val="0"/>
          <w:marRight w:val="0"/>
          <w:marTop w:val="0"/>
          <w:marBottom w:val="0"/>
          <w:divBdr>
            <w:top w:val="none" w:sz="0" w:space="0" w:color="auto"/>
            <w:left w:val="none" w:sz="0" w:space="0" w:color="auto"/>
            <w:bottom w:val="none" w:sz="0" w:space="0" w:color="auto"/>
            <w:right w:val="none" w:sz="0" w:space="0" w:color="auto"/>
          </w:divBdr>
          <w:divsChild>
            <w:div w:id="1629362774">
              <w:marLeft w:val="0"/>
              <w:marRight w:val="0"/>
              <w:marTop w:val="0"/>
              <w:marBottom w:val="0"/>
              <w:divBdr>
                <w:top w:val="none" w:sz="0" w:space="0" w:color="auto"/>
                <w:left w:val="none" w:sz="0" w:space="0" w:color="auto"/>
                <w:bottom w:val="none" w:sz="0" w:space="0" w:color="auto"/>
                <w:right w:val="none" w:sz="0" w:space="0" w:color="auto"/>
              </w:divBdr>
              <w:divsChild>
                <w:div w:id="17112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7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9-0008-5461-533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ridget.strasser@gstt.nhs.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3127</Words>
  <Characters>17828</Characters>
  <Application>Microsoft Office Word</Application>
  <DocSecurity>0</DocSecurity>
  <Lines>148</Lines>
  <Paragraphs>41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Lorenzon</dc:creator>
  <cp:keywords/>
  <dc:description/>
  <cp:lastModifiedBy>Microsoft account</cp:lastModifiedBy>
  <cp:revision>2</cp:revision>
  <dcterms:created xsi:type="dcterms:W3CDTF">2025-04-25T08:57:00Z</dcterms:created>
  <dcterms:modified xsi:type="dcterms:W3CDTF">2025-04-25T08:57:00Z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2022-06-27T13:25:36Z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1f9d2863-bbf9-4942-adae-e903809cef95</vt:lpwstr>
  </property>
  <property fmtid="{D5CDD505-2E9C-101B-9397-08002B2CF9AE}" pid="8" name="MSIP_Label_be5cb09a-2992-49d6-8ac9-5f63e7b1ad2f_ContentBits">
    <vt:lpwstr>0</vt:lpwstr>
  </property>
</Properties>
</file>