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71FF7" w14:textId="0F6EA251" w:rsidR="00F46D08" w:rsidRDefault="00991412">
      <w:r>
        <w:t>Supplemental material</w:t>
      </w:r>
    </w:p>
    <w:p w14:paraId="19B4D1DC" w14:textId="77777777" w:rsidR="007B72B9" w:rsidRDefault="007B72B9" w:rsidP="007B72B9">
      <w:pPr>
        <w:spacing w:after="120" w:line="320" w:lineRule="exact"/>
        <w:rPr>
          <w:b/>
          <w:bCs/>
          <w:u w:val="single"/>
        </w:rPr>
      </w:pPr>
      <w:r>
        <w:rPr>
          <w:b/>
          <w:bCs/>
          <w:u w:val="single"/>
        </w:rPr>
        <w:t>SARS-CoV-2 antigens.</w:t>
      </w:r>
    </w:p>
    <w:p w14:paraId="48E3A7C2" w14:textId="55FAFAAD" w:rsidR="007B72B9" w:rsidRDefault="007B72B9" w:rsidP="007B72B9">
      <w:pPr>
        <w:spacing w:after="120" w:line="320" w:lineRule="exact"/>
      </w:pPr>
      <w:r w:rsidRPr="00420101">
        <w:t xml:space="preserve">Recombinant trimeric spike protein </w:t>
      </w:r>
      <w:r>
        <w:t xml:space="preserve">(Wuhan) produced in CHO was kindly provided by Dr. Svend Kjaer (Crick Institute). Recombinant receptor binding domain (RBD) </w:t>
      </w:r>
      <w:r w:rsidRPr="005F0132">
        <w:t xml:space="preserve">of the SARS-CoV-2 </w:t>
      </w:r>
      <w:r>
        <w:t xml:space="preserve">(Wuhan) </w:t>
      </w:r>
      <w:r w:rsidRPr="005F0132">
        <w:t>Spike (PDB: 6VYB, R319-F541) with a C-terminal 6xHis-tag</w:t>
      </w:r>
      <w:r>
        <w:t xml:space="preserve">  was expressed in </w:t>
      </w:r>
      <w:r w:rsidRPr="005F0132">
        <w:t xml:space="preserve">Expi293F cells </w:t>
      </w:r>
      <w:r>
        <w:t>using an</w:t>
      </w:r>
      <w:r w:rsidRPr="005F0132">
        <w:t xml:space="preserve"> expression vector </w:t>
      </w:r>
      <w:r>
        <w:t>kindly</w:t>
      </w:r>
      <w:r w:rsidRPr="005F0132">
        <w:t xml:space="preserve"> provided by Mark Dürkop </w:t>
      </w:r>
      <w:r>
        <w:t xml:space="preserve">(BOKU </w:t>
      </w:r>
      <w:r w:rsidRPr="005F0132">
        <w:t>University, Vienna</w:t>
      </w:r>
      <w:r>
        <w:t>)</w:t>
      </w:r>
      <w:r w:rsidRPr="005F0132">
        <w:t>.</w:t>
      </w:r>
      <w:r>
        <w:t xml:space="preserve"> Recombinant nucleoprotein (NP) was produced in </w:t>
      </w:r>
      <w:r>
        <w:rPr>
          <w:i/>
          <w:iCs/>
        </w:rPr>
        <w:t>Nicotiana benthamiana</w:t>
      </w:r>
      <w:r>
        <w:t xml:space="preserve"> (Leaf Expression Systems, Norwich).</w:t>
      </w:r>
    </w:p>
    <w:p w14:paraId="6C787A32" w14:textId="77777777" w:rsidR="00991412" w:rsidRPr="00991412" w:rsidRDefault="00991412" w:rsidP="00991412">
      <w:pPr>
        <w:spacing w:after="120" w:line="320" w:lineRule="exact"/>
        <w:rPr>
          <w:b/>
          <w:bCs/>
          <w:u w:val="single"/>
        </w:rPr>
      </w:pPr>
      <w:r w:rsidRPr="00991412">
        <w:rPr>
          <w:b/>
          <w:bCs/>
          <w:u w:val="single"/>
        </w:rPr>
        <w:t>ELISA assays:</w:t>
      </w:r>
    </w:p>
    <w:p w14:paraId="53783322" w14:textId="14F740AA" w:rsidR="00991412" w:rsidRDefault="00991412" w:rsidP="00991412">
      <w:pPr>
        <w:spacing w:after="120" w:line="320" w:lineRule="exact"/>
      </w:pPr>
      <w:r>
        <w:t>SARS-CoV-2 antigens were diluted to 2</w:t>
      </w:r>
      <w:r w:rsidRPr="00A34CC1">
        <w:rPr>
          <w:rFonts w:ascii="Symbol" w:hAnsi="Symbol"/>
        </w:rPr>
        <w:t>m</w:t>
      </w:r>
      <w:r>
        <w:t>g/ml (Spike and RBD) and 0.33</w:t>
      </w:r>
      <w:r w:rsidRPr="00A34CC1">
        <w:rPr>
          <w:rFonts w:ascii="Symbol" w:hAnsi="Symbol"/>
        </w:rPr>
        <w:t>m</w:t>
      </w:r>
      <w:r>
        <w:t>g/ml (NP) in phosphate buffered saline (PBS), pH7.4 with 0.1% sodium azide. ELISA plates (Nunc, MaxiSorp) were coated for 2 hours at 37</w:t>
      </w:r>
      <w:r w:rsidRPr="00A34CC1">
        <w:rPr>
          <w:vertAlign w:val="superscript"/>
        </w:rPr>
        <w:t>o</w:t>
      </w:r>
      <w:r>
        <w:t>C. Blocking was with 5% BSA in dH</w:t>
      </w:r>
      <w:r w:rsidRPr="00A34CC1">
        <w:rPr>
          <w:vertAlign w:val="subscript"/>
        </w:rPr>
        <w:t>2</w:t>
      </w:r>
      <w:r>
        <w:t>O /0.05% Tween 20, for 4 hours at 37</w:t>
      </w:r>
      <w:r w:rsidRPr="00A34CC1">
        <w:rPr>
          <w:vertAlign w:val="superscript"/>
        </w:rPr>
        <w:t>o</w:t>
      </w:r>
      <w:r>
        <w:t>C. The plates were dried at room temperature (RT) and stored at 4</w:t>
      </w:r>
      <w:r w:rsidRPr="00A34CC1">
        <w:rPr>
          <w:vertAlign w:val="superscript"/>
        </w:rPr>
        <w:t>o</w:t>
      </w:r>
      <w:r>
        <w:t>C for up to two weeks.</w:t>
      </w:r>
    </w:p>
    <w:p w14:paraId="454E8CE6" w14:textId="77777777" w:rsidR="00991412" w:rsidRDefault="00991412" w:rsidP="00991412">
      <w:pPr>
        <w:spacing w:after="120" w:line="320" w:lineRule="exact"/>
      </w:pPr>
      <w:r>
        <w:t>Serum aliquots were thawed at RT and diluted 1:100 in PBS (pH7.4). Saliva aliquots were thawed on ice, centrifuged at 13000rpm for 8 minutes at 4</w:t>
      </w:r>
      <w:r w:rsidRPr="00A34CC1">
        <w:rPr>
          <w:vertAlign w:val="superscript"/>
        </w:rPr>
        <w:t>o</w:t>
      </w:r>
      <w:r>
        <w:t xml:space="preserve">C and diluted 1:2 in PBS (pH7.4).  Samples were added to the ELISA wells in duplicate and a 4-fold dilution series. Positive control serum from a convalescent participant was included on all plates. A negative control serum or saliva from a COVID-19 naïve participant was included on serum and saliva assay plates respectively. </w:t>
      </w:r>
    </w:p>
    <w:p w14:paraId="71801C75" w14:textId="77777777" w:rsidR="00991412" w:rsidRDefault="00991412" w:rsidP="00991412">
      <w:pPr>
        <w:spacing w:after="120" w:line="320" w:lineRule="exact"/>
      </w:pPr>
      <w:r>
        <w:t>Incubation of samples was for 2 hours at 37</w:t>
      </w:r>
      <w:r w:rsidRPr="00A34CC1">
        <w:rPr>
          <w:vertAlign w:val="superscript"/>
        </w:rPr>
        <w:t>o</w:t>
      </w:r>
      <w:r>
        <w:t>C for serum, or overnight at 4</w:t>
      </w:r>
      <w:r w:rsidRPr="00A34CC1">
        <w:rPr>
          <w:vertAlign w:val="superscript"/>
        </w:rPr>
        <w:t>o</w:t>
      </w:r>
      <w:r>
        <w:t>C for saliva.  The plates were washed with dH</w:t>
      </w:r>
      <w:r w:rsidRPr="00A34CC1">
        <w:rPr>
          <w:vertAlign w:val="subscript"/>
        </w:rPr>
        <w:t>2</w:t>
      </w:r>
      <w:r>
        <w:t xml:space="preserve">O /0.05% Tween 20. Detection of bound antibodies was with either HRP Goat anti-human IgG Fc antiserum (AP113P, ThermoFisher) at 1:2000 dilution; or HRP Goat anti-human IgA alpha chain (ab97215, Abcam) at 1:4000 dilution </w:t>
      </w:r>
      <w:r w:rsidRPr="006656D6">
        <w:t>in PBS (pH7.4)</w:t>
      </w:r>
      <w:r>
        <w:t xml:space="preserve"> for 2 hours at 37</w:t>
      </w:r>
      <w:r w:rsidRPr="00A34CC1">
        <w:rPr>
          <w:vertAlign w:val="superscript"/>
        </w:rPr>
        <w:t>o</w:t>
      </w:r>
      <w:r>
        <w:t xml:space="preserve">C.  After washing, </w:t>
      </w:r>
      <w:r w:rsidRPr="005F0132">
        <w:t>3,3</w:t>
      </w:r>
      <w:r>
        <w:t>’</w:t>
      </w:r>
      <w:r w:rsidRPr="005F0132">
        <w:t xml:space="preserve"> ,5,5</w:t>
      </w:r>
      <w:r>
        <w:t>’</w:t>
      </w:r>
      <w:r w:rsidRPr="005F0132">
        <w:t>-tetramethylbenzidine (Thermo Fisher Scientific) substrate</w:t>
      </w:r>
      <w:r>
        <w:t xml:space="preserve"> was added. The reaction was stopped with 2M sulphuric acid and plates were read at 450nm using </w:t>
      </w:r>
      <w:r w:rsidRPr="005F0132">
        <w:t>an Infinite F200 Pro plate reader (Tecan)</w:t>
      </w:r>
      <w:r>
        <w:t>.</w:t>
      </w:r>
    </w:p>
    <w:p w14:paraId="1A85AAFA" w14:textId="6DBA2F7D" w:rsidR="00E014AA" w:rsidRDefault="00E014AA" w:rsidP="00E014AA">
      <w:pPr>
        <w:spacing w:after="120" w:line="320" w:lineRule="exact"/>
        <w:rPr>
          <w:b/>
          <w:bCs/>
          <w:u w:val="single"/>
        </w:rPr>
      </w:pPr>
      <w:r>
        <w:rPr>
          <w:b/>
          <w:bCs/>
          <w:u w:val="single"/>
        </w:rPr>
        <w:t>Saliva neutralisation assay</w:t>
      </w:r>
      <w:r>
        <w:rPr>
          <w:b/>
          <w:bCs/>
          <w:u w:val="single"/>
        </w:rPr>
        <w:t xml:space="preserve"> reagents:</w:t>
      </w:r>
    </w:p>
    <w:p w14:paraId="14FD09E5" w14:textId="77777777" w:rsidR="00E014AA" w:rsidRDefault="00E014AA" w:rsidP="00E014AA">
      <w:pPr>
        <w:spacing w:after="120"/>
      </w:pPr>
      <w:r>
        <w:t>Vero E6 cells expressing human ACE-2 and human TMPRSS-2 (Vero-AT) were obtained from NIBSC, UK, and grown at 37°C and 5% CO</w:t>
      </w:r>
      <w:r w:rsidRPr="00E470E0">
        <w:rPr>
          <w:vertAlign w:val="subscript"/>
        </w:rPr>
        <w:t>2</w:t>
      </w:r>
      <w:r>
        <w:t xml:space="preserve"> in Dulbecco-MEM supplemented with 10% heat inactivated foetal calf serum (Gibco, Thermo Fisher Scientific), penicillin (100 U/ml, Sigma), streptomycin (100 </w:t>
      </w:r>
      <w:r w:rsidRPr="00AB205C">
        <w:rPr>
          <w:shd w:val="clear" w:color="auto" w:fill="FFFFFF"/>
        </w:rPr>
        <w:t>µ</w:t>
      </w:r>
      <w:r>
        <w:t xml:space="preserve">g/ml, Sigma), Hygromycin B (250 </w:t>
      </w:r>
      <w:r w:rsidRPr="00AB205C">
        <w:rPr>
          <w:shd w:val="clear" w:color="auto" w:fill="FFFFFF"/>
        </w:rPr>
        <w:t>µ</w:t>
      </w:r>
      <w:r>
        <w:t>g/ml, Thermo Fisher</w:t>
      </w:r>
      <w:r w:rsidRPr="00C91338">
        <w:t xml:space="preserve"> </w:t>
      </w:r>
      <w:r>
        <w:t xml:space="preserve">Scientific) and G418 (250 </w:t>
      </w:r>
      <w:r w:rsidRPr="00AB205C">
        <w:rPr>
          <w:shd w:val="clear" w:color="auto" w:fill="FFFFFF"/>
        </w:rPr>
        <w:t>µ</w:t>
      </w:r>
      <w:r>
        <w:t xml:space="preserve">g/ml, Thermo Fisher Scientific). SARS-CoV-2 (England/2/2020) was obtained from Public Health England and passaged in Vero-AT cells. Virus stocks were quantified by plaque assay and titres expressed as plaque forming units per ml (pfu/ml). </w:t>
      </w:r>
    </w:p>
    <w:p w14:paraId="57F204C2" w14:textId="77777777" w:rsidR="00AF4336" w:rsidRDefault="00AF4336" w:rsidP="00AF4336">
      <w:pPr>
        <w:spacing w:after="120" w:line="320" w:lineRule="exact"/>
        <w:rPr>
          <w:b/>
          <w:bCs/>
          <w:u w:val="single"/>
        </w:rPr>
      </w:pPr>
      <w:r>
        <w:rPr>
          <w:b/>
          <w:bCs/>
          <w:u w:val="single"/>
        </w:rPr>
        <w:t>Statistical analysis</w:t>
      </w:r>
    </w:p>
    <w:p w14:paraId="5A161442" w14:textId="77777777" w:rsidR="00AF4336" w:rsidRDefault="00AF4336" w:rsidP="00AF4336">
      <w:pPr>
        <w:spacing w:after="120" w:line="320" w:lineRule="exact"/>
      </w:pPr>
      <w:r w:rsidRPr="00665F2A">
        <w:lastRenderedPageBreak/>
        <w:t>The non-parametric test of the equality of medians test was utilised, where the null hypothesis is that the samples were drawn from populations with the same median</w:t>
      </w:r>
      <w:r>
        <w:t>,</w:t>
      </w:r>
      <w:r w:rsidRPr="00665F2A">
        <w:t xml:space="preserve"> </w:t>
      </w:r>
      <w:r>
        <w:t>to assess differences in antibody levels in independent cohorts at different times relating to their exposure to SARS-CoV-2, and to assess whether anti-viral neutralisation potency in saliva was greater in convalescent patients compared with vaccinees.</w:t>
      </w:r>
    </w:p>
    <w:p w14:paraId="1C14003F" w14:textId="77777777" w:rsidR="00AF4336" w:rsidRDefault="00AF4336" w:rsidP="00AF4336">
      <w:pPr>
        <w:spacing w:after="120" w:line="320" w:lineRule="exact"/>
      </w:pPr>
      <w:r>
        <w:t xml:space="preserve">To compare antibody responses over the course of the vaccination programme, we compared average values within individuals over time utilizing the sign test </w:t>
      </w:r>
      <w:r>
        <w:fldChar w:fldCharType="begin"/>
      </w:r>
      <w:r>
        <w:instrText xml:space="preserve"> ADDIN EN.CITE &lt;EndNote&gt;&lt;Cite&gt;&lt;Author&gt;Arbuthnot&lt;/Author&gt;&lt;Year&gt;1710&lt;/Year&gt;&lt;RecNum&gt;3196&lt;/RecNum&gt;&lt;DisplayText&gt;[27, 28]&lt;/DisplayText&gt;&lt;record&gt;&lt;rec-number&gt;3196&lt;/rec-number&gt;&lt;foreign-keys&gt;&lt;key app="EN" db-id="tdsvfw59e0etf2e9prc5rv0pewt9r29f9w29" timestamp="1733403836"&gt;3196&lt;/key&gt;&lt;/foreign-keys&gt;&lt;ref-type name="Journal Article"&gt;17&lt;/ref-type&gt;&lt;contributors&gt;&lt;authors&gt;&lt;author&gt;Arbuthnot, J.&lt;/author&gt;&lt;/authors&gt;&lt;/contributors&gt;&lt;titles&gt;&lt;title&gt;II. An argument for divine providence, taken from the constant regularity observ&amp;apos;d in the births of both sexes&lt;/title&gt;&lt;secondary-title&gt;Phil. Trans. R. Soc.&lt;/secondary-title&gt;&lt;/titles&gt;&lt;periodical&gt;&lt;full-title&gt;Phil. Trans. R. Soc.&lt;/full-title&gt;&lt;/periodical&gt;&lt;pages&gt;186-190&lt;/pages&gt;&lt;volume&gt;27&lt;/volume&gt;&lt;dates&gt;&lt;year&gt;1710&lt;/year&gt;&lt;/dates&gt;&lt;urls&gt;&lt;/urls&gt;&lt;/record&gt;&lt;/Cite&gt;&lt;Cite&gt;&lt;Author&gt;Snedecor&lt;/Author&gt;&lt;Year&gt;1989&lt;/Year&gt;&lt;RecNum&gt;3197&lt;/RecNum&gt;&lt;record&gt;&lt;rec-number&gt;3197&lt;/rec-number&gt;&lt;foreign-keys&gt;&lt;key app="EN" db-id="tdsvfw59e0etf2e9prc5rv0pewt9r29f9w29" timestamp="1733404180"&gt;3197&lt;/key&gt;&lt;/foreign-keys&gt;&lt;ref-type name="Book"&gt;6&lt;/ref-type&gt;&lt;contributors&gt;&lt;authors&gt;&lt;author&gt;Snedecor, G.W., Cochran, W.G.&lt;/author&gt;&lt;/authors&gt;&lt;/contributors&gt;&lt;titles&gt;&lt;title&gt;Statistical Methods&lt;/title&gt;&lt;/titles&gt;&lt;edition&gt;8&lt;/edition&gt;&lt;dates&gt;&lt;year&gt;1989&lt;/year&gt;&lt;/dates&gt;&lt;publisher&gt;Ames: Iowa State University Press&lt;/publisher&gt;&lt;urls&gt;&lt;/urls&gt;&lt;/record&gt;&lt;/Cite&gt;&lt;/EndNote&gt;</w:instrText>
      </w:r>
      <w:r>
        <w:fldChar w:fldCharType="separate"/>
      </w:r>
      <w:r>
        <w:rPr>
          <w:noProof/>
        </w:rPr>
        <w:t>[27, 28]</w:t>
      </w:r>
      <w:r>
        <w:fldChar w:fldCharType="end"/>
      </w:r>
      <w:r w:rsidRPr="00CD4D2D">
        <w:t>. We tested</w:t>
      </w:r>
      <w:r>
        <w:rPr>
          <w:b/>
          <w:bCs/>
        </w:rPr>
        <w:t xml:space="preserve"> </w:t>
      </w:r>
      <w:r>
        <w:t xml:space="preserve">for differences in antibody levels for matched pairs of observations (i.e. observations within the same individuals across different time points in the immunisation schedule) where the </w:t>
      </w:r>
      <w:r w:rsidRPr="00E923BC">
        <w:t xml:space="preserve">null hypothesis is that the median of the differences </w:t>
      </w:r>
      <w:r>
        <w:t>between matched pairs</w:t>
      </w:r>
      <w:r w:rsidRPr="007517CC">
        <w:t xml:space="preserve"> </w:t>
      </w:r>
      <w:r w:rsidRPr="00E923BC">
        <w:t>is zero</w:t>
      </w:r>
      <w:r>
        <w:t xml:space="preserve">. </w:t>
      </w:r>
    </w:p>
    <w:p w14:paraId="2C6DCF2C" w14:textId="31DC07A5" w:rsidR="00423CD1" w:rsidRPr="00423CD1" w:rsidRDefault="00423CD1" w:rsidP="00991412">
      <w:pPr>
        <w:spacing w:after="120" w:line="320" w:lineRule="exact"/>
        <w:rPr>
          <w:b/>
          <w:bCs/>
          <w:u w:val="single"/>
        </w:rPr>
      </w:pPr>
      <w:r w:rsidRPr="00423CD1">
        <w:rPr>
          <w:b/>
          <w:bCs/>
          <w:u w:val="single"/>
        </w:rPr>
        <w:t>Legend to Suppl. Figure 1:</w:t>
      </w:r>
    </w:p>
    <w:p w14:paraId="0FAF4F0C" w14:textId="05DF21F6" w:rsidR="00991412" w:rsidRDefault="001A2A17">
      <w:r>
        <w:t xml:space="preserve">Serum and saliva antibodies from Cohort A participants within (&lt;) 100 days of diagnosis or greater than (&gt;) 180 days </w:t>
      </w:r>
      <w:r w:rsidR="00C301F5">
        <w:t>and</w:t>
      </w:r>
      <w:r>
        <w:t xml:space="preserve"> from patients with no history of COVID-19 (No COVID) from Cohort B, sampled before vaccination. The anti-</w:t>
      </w:r>
      <w:r w:rsidR="00C301F5">
        <w:t>nucleo</w:t>
      </w:r>
      <w:r>
        <w:t>protein</w:t>
      </w:r>
      <w:r w:rsidR="00C301F5">
        <w:t xml:space="preserve"> (NP)</w:t>
      </w:r>
      <w:r>
        <w:t xml:space="preserve"> results are shown</w:t>
      </w:r>
      <w:r w:rsidR="00C301F5">
        <w:t>.</w:t>
      </w:r>
    </w:p>
    <w:p w14:paraId="50D409D8" w14:textId="5F60ECC1" w:rsidR="00C301F5" w:rsidRPr="00B80638" w:rsidRDefault="00B80638">
      <w:pPr>
        <w:rPr>
          <w:b/>
          <w:bCs/>
          <w:u w:val="single"/>
        </w:rPr>
      </w:pPr>
      <w:r w:rsidRPr="00B80638">
        <w:rPr>
          <w:b/>
          <w:bCs/>
          <w:u w:val="single"/>
        </w:rPr>
        <w:t>Legend to Suppl. Figure 2:</w:t>
      </w:r>
    </w:p>
    <w:p w14:paraId="6CF5C5B5" w14:textId="61A9311D" w:rsidR="00727C22" w:rsidRDefault="00993CE8" w:rsidP="00CB6060">
      <w:pPr>
        <w:spacing w:after="120" w:line="320" w:lineRule="exact"/>
      </w:pPr>
      <w:r>
        <w:t>C</w:t>
      </w:r>
      <w:r w:rsidR="00CB5536">
        <w:t>onfirm</w:t>
      </w:r>
      <w:r>
        <w:t xml:space="preserve">ation of systemic </w:t>
      </w:r>
      <w:r w:rsidR="000204D1">
        <w:t xml:space="preserve">IgG </w:t>
      </w:r>
      <w:r>
        <w:t>immune response to SARS-CoV-2</w:t>
      </w:r>
      <w:r w:rsidR="00CB5536">
        <w:t xml:space="preserve"> vaccination</w:t>
      </w:r>
      <w:r w:rsidR="00CB6060">
        <w:t>.</w:t>
      </w:r>
      <w:r w:rsidR="00CB5536">
        <w:t xml:space="preserve"> </w:t>
      </w:r>
    </w:p>
    <w:p w14:paraId="4467B8E0" w14:textId="33AB8C92" w:rsidR="00CB5536" w:rsidRDefault="001278CA" w:rsidP="00CB6060">
      <w:pPr>
        <w:spacing w:after="120" w:line="320" w:lineRule="exact"/>
      </w:pPr>
      <w:r>
        <w:t>Panel i)</w:t>
      </w:r>
      <w:r w:rsidR="00CB6060">
        <w:t xml:space="preserve"> </w:t>
      </w:r>
      <w:r w:rsidR="00CB5536">
        <w:t>shows serum IgG to Spike protein before and after first and second immunisations</w:t>
      </w:r>
      <w:r w:rsidR="00A04EEE">
        <w:t xml:space="preserve"> i</w:t>
      </w:r>
      <w:r w:rsidR="009D76BE">
        <w:t>n</w:t>
      </w:r>
      <w:r w:rsidR="00CB5536">
        <w:t xml:space="preserve"> the No COVID history group</w:t>
      </w:r>
      <w:r w:rsidR="00A04EEE">
        <w:t>. P</w:t>
      </w:r>
      <w:r w:rsidR="00CB5536">
        <w:t xml:space="preserve">riming and booster responses were observed after first and second vaccination respectively.  The changes in antibody levels between each adjacent sample point were significant </w:t>
      </w:r>
      <w:r w:rsidR="00727C22">
        <w:t xml:space="preserve">(p&lt;0.05) and shown in Supplementary Table 1. </w:t>
      </w:r>
      <w:r w:rsidR="00CB5536">
        <w:t>The difference between antibody levels reached 3-5 weeks after the first and second vaccination was also significantly different (p&lt;0.05).</w:t>
      </w:r>
    </w:p>
    <w:p w14:paraId="5A2C4E4D" w14:textId="266007E1" w:rsidR="00CB5536" w:rsidRDefault="001278CA" w:rsidP="00727C22">
      <w:pPr>
        <w:spacing w:after="120" w:line="320" w:lineRule="exact"/>
      </w:pPr>
      <w:r>
        <w:t>Panel ii)</w:t>
      </w:r>
      <w:r w:rsidR="00A04EEE">
        <w:t xml:space="preserve"> shows serum IgG to Spike protein before and after first and second immunisations in partici</w:t>
      </w:r>
      <w:r w:rsidR="00CB5536">
        <w:t>pants with a COVID history</w:t>
      </w:r>
      <w:r w:rsidR="00761411">
        <w:t>. T</w:t>
      </w:r>
      <w:r w:rsidR="00CB5536">
        <w:t>he anti-Spike antibody responses were consistent with a previous immunological encounter with SARS-CoV-2.  Specific IgG levels after first vaccination were comparable to the levels in the No COVID group after second vaccination (panel i) and in these patients with previous exposure to SARS-CoV-2, the difference between antibody levels reached 3-5 weeks after the first and second vaccinations was not significant.</w:t>
      </w:r>
    </w:p>
    <w:p w14:paraId="34673E60" w14:textId="7F68B256" w:rsidR="00CA534B" w:rsidRPr="00B80638" w:rsidRDefault="00CA534B" w:rsidP="00CA534B">
      <w:pPr>
        <w:rPr>
          <w:b/>
          <w:bCs/>
          <w:u w:val="single"/>
        </w:rPr>
      </w:pPr>
      <w:r w:rsidRPr="00B80638">
        <w:rPr>
          <w:b/>
          <w:bCs/>
          <w:u w:val="single"/>
        </w:rPr>
        <w:t xml:space="preserve">Legend to Suppl. Figure </w:t>
      </w:r>
      <w:r>
        <w:rPr>
          <w:b/>
          <w:bCs/>
          <w:u w:val="single"/>
        </w:rPr>
        <w:t>3</w:t>
      </w:r>
      <w:r w:rsidRPr="00B80638">
        <w:rPr>
          <w:b/>
          <w:bCs/>
          <w:u w:val="single"/>
        </w:rPr>
        <w:t>:</w:t>
      </w:r>
    </w:p>
    <w:p w14:paraId="24080E60" w14:textId="7D273CF2" w:rsidR="000204D1" w:rsidRDefault="000204D1" w:rsidP="000204D1">
      <w:pPr>
        <w:spacing w:after="120" w:line="320" w:lineRule="exact"/>
      </w:pPr>
      <w:r>
        <w:t xml:space="preserve">Confirmation of systemic IgA immune response to SARS-CoV-2 vaccination. </w:t>
      </w:r>
    </w:p>
    <w:p w14:paraId="641C47EC" w14:textId="33ABA7C2" w:rsidR="000204D1" w:rsidRDefault="000204D1" w:rsidP="000204D1">
      <w:pPr>
        <w:spacing w:after="120" w:line="320" w:lineRule="exact"/>
      </w:pPr>
      <w:r>
        <w:t xml:space="preserve">Panel i) shows serum IgA to Spike protein before and after first and second immunisations in the No COVID history group. </w:t>
      </w:r>
    </w:p>
    <w:p w14:paraId="2C001AC7" w14:textId="645BC6C6" w:rsidR="000204D1" w:rsidRDefault="000204D1" w:rsidP="000204D1">
      <w:pPr>
        <w:spacing w:after="120" w:line="320" w:lineRule="exact"/>
      </w:pPr>
      <w:r>
        <w:t xml:space="preserve">Panel ii) shows serum IgA to Spike protein before and after first and second immunisations in participants with a COVID history. </w:t>
      </w:r>
    </w:p>
    <w:p w14:paraId="591FEC64" w14:textId="77777777" w:rsidR="00423CD1" w:rsidRDefault="00423CD1"/>
    <w:sectPr w:rsidR="00423C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BE6842"/>
    <w:multiLevelType w:val="hybridMultilevel"/>
    <w:tmpl w:val="2EB8C606"/>
    <w:lvl w:ilvl="0" w:tplc="7BDC40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9314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412"/>
    <w:rsid w:val="000204D1"/>
    <w:rsid w:val="000A6D93"/>
    <w:rsid w:val="000F2440"/>
    <w:rsid w:val="001278CA"/>
    <w:rsid w:val="001723D6"/>
    <w:rsid w:val="001A2A17"/>
    <w:rsid w:val="002A49AC"/>
    <w:rsid w:val="00345BCE"/>
    <w:rsid w:val="00423CD1"/>
    <w:rsid w:val="00542BF6"/>
    <w:rsid w:val="00727C22"/>
    <w:rsid w:val="00761411"/>
    <w:rsid w:val="007B72B9"/>
    <w:rsid w:val="0083059B"/>
    <w:rsid w:val="008539B9"/>
    <w:rsid w:val="00991412"/>
    <w:rsid w:val="00993CE8"/>
    <w:rsid w:val="009D76BE"/>
    <w:rsid w:val="00A04EEE"/>
    <w:rsid w:val="00AF4336"/>
    <w:rsid w:val="00B80638"/>
    <w:rsid w:val="00BB25B9"/>
    <w:rsid w:val="00C301F5"/>
    <w:rsid w:val="00CA534B"/>
    <w:rsid w:val="00CB5536"/>
    <w:rsid w:val="00CB6060"/>
    <w:rsid w:val="00E014AA"/>
    <w:rsid w:val="00E739B5"/>
    <w:rsid w:val="00E778E6"/>
    <w:rsid w:val="00EF31BF"/>
    <w:rsid w:val="00F4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81244"/>
  <w15:chartTrackingRefBased/>
  <w15:docId w15:val="{FDFFF3A5-1ADB-4152-865C-4A7FC0766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14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14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14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14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14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14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14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14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14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14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14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14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14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14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14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14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14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14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14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14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14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14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14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14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14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14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14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14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14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985</Words>
  <Characters>5616</Characters>
  <Application>Microsoft Office Word</Application>
  <DocSecurity>0</DocSecurity>
  <Lines>46</Lines>
  <Paragraphs>13</Paragraphs>
  <ScaleCrop>false</ScaleCrop>
  <Company>St Georges, University of London</Company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Ma</dc:creator>
  <cp:keywords/>
  <dc:description/>
  <cp:lastModifiedBy>Julian Ma</cp:lastModifiedBy>
  <cp:revision>23</cp:revision>
  <dcterms:created xsi:type="dcterms:W3CDTF">2024-12-18T11:38:00Z</dcterms:created>
  <dcterms:modified xsi:type="dcterms:W3CDTF">2024-12-19T16:45:00Z</dcterms:modified>
</cp:coreProperties>
</file>