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D68F" w14:textId="6A8E08C8" w:rsidR="00955BCC" w:rsidRPr="00677B20" w:rsidRDefault="00955BCC" w:rsidP="00010AB4">
      <w:pPr>
        <w:spacing w:line="480" w:lineRule="auto"/>
        <w:rPr>
          <w:rFonts w:cs="Times New Roman"/>
          <w:b/>
          <w:bCs/>
          <w:color w:val="000000" w:themeColor="text1"/>
          <w:sz w:val="22"/>
        </w:rPr>
      </w:pPr>
      <w:r w:rsidRPr="00677B20">
        <w:rPr>
          <w:rFonts w:cs="Times New Roman"/>
          <w:b/>
          <w:bCs/>
          <w:color w:val="000000" w:themeColor="text1"/>
          <w:sz w:val="22"/>
        </w:rPr>
        <w:t>Supp</w:t>
      </w:r>
      <w:r w:rsidR="002E0834" w:rsidRPr="00677B20">
        <w:rPr>
          <w:rFonts w:cs="Times New Roman"/>
          <w:b/>
          <w:bCs/>
          <w:color w:val="000000" w:themeColor="text1"/>
          <w:sz w:val="22"/>
        </w:rPr>
        <w:t>orting Information</w:t>
      </w:r>
    </w:p>
    <w:p w14:paraId="33756754" w14:textId="2633D70A" w:rsidR="004D53B5" w:rsidRPr="00677B20" w:rsidRDefault="00601436" w:rsidP="00010AB4">
      <w:pPr>
        <w:spacing w:line="480" w:lineRule="auto"/>
        <w:rPr>
          <w:rFonts w:cs="Times New Roman"/>
          <w:b/>
          <w:bCs/>
          <w:color w:val="000000" w:themeColor="text1"/>
          <w:sz w:val="22"/>
        </w:rPr>
      </w:pPr>
      <w:bookmarkStart w:id="0" w:name="_Hlk150524661"/>
      <w:r w:rsidRPr="00601436">
        <w:rPr>
          <w:rFonts w:cs="Times New Roman"/>
          <w:b/>
          <w:bCs/>
          <w:color w:val="000000" w:themeColor="text1"/>
          <w:sz w:val="22"/>
        </w:rPr>
        <w:t>Treatment patterns, outcomes, and healthcare resource utilization of obstructive hypertrophic cardiomyopathy in England</w:t>
      </w:r>
    </w:p>
    <w:p w14:paraId="3A09CEEB" w14:textId="4616D72D" w:rsidR="004D53B5" w:rsidRPr="00677B20" w:rsidRDefault="004D53B5" w:rsidP="00010AB4">
      <w:pPr>
        <w:spacing w:line="480" w:lineRule="auto"/>
        <w:rPr>
          <w:rFonts w:cs="Times New Roman"/>
          <w:color w:val="000000" w:themeColor="text1"/>
          <w:sz w:val="22"/>
          <w:vertAlign w:val="superscript"/>
        </w:rPr>
      </w:pPr>
      <w:r w:rsidRPr="00677B20">
        <w:rPr>
          <w:rFonts w:cs="Times New Roman"/>
          <w:sz w:val="22"/>
        </w:rPr>
        <w:t>Faizel Osman</w:t>
      </w:r>
      <w:r w:rsidRPr="00677B20">
        <w:rPr>
          <w:rFonts w:cs="Times New Roman"/>
          <w:sz w:val="22"/>
          <w:vertAlign w:val="superscript"/>
        </w:rPr>
        <w:t>1,2</w:t>
      </w:r>
      <w:r w:rsidR="00677B20" w:rsidRPr="00677B20">
        <w:rPr>
          <w:rFonts w:cs="Times New Roman"/>
          <w:sz w:val="22"/>
        </w:rPr>
        <w:t>*</w:t>
      </w:r>
      <w:r w:rsidRPr="00677B20">
        <w:rPr>
          <w:rFonts w:cs="Times New Roman"/>
          <w:sz w:val="22"/>
        </w:rPr>
        <w:t xml:space="preserve">, Carla </w:t>
      </w:r>
      <w:r w:rsidR="00B648B2">
        <w:rPr>
          <w:rFonts w:cs="Times New Roman"/>
          <w:sz w:val="22"/>
        </w:rPr>
        <w:t xml:space="preserve">L. </w:t>
      </w:r>
      <w:r w:rsidRPr="00677B20">
        <w:rPr>
          <w:rFonts w:cs="Times New Roman"/>
          <w:sz w:val="22"/>
        </w:rPr>
        <w:t>Zema</w:t>
      </w:r>
      <w:r w:rsidRPr="00677B20">
        <w:rPr>
          <w:rFonts w:cs="Times New Roman"/>
          <w:sz w:val="22"/>
          <w:vertAlign w:val="superscript"/>
        </w:rPr>
        <w:t>3</w:t>
      </w:r>
      <w:r w:rsidRPr="00677B20">
        <w:rPr>
          <w:rFonts w:cs="Times New Roman"/>
          <w:sz w:val="22"/>
        </w:rPr>
        <w:t>, Michael Hurst</w:t>
      </w:r>
      <w:r w:rsidRPr="00677B20">
        <w:rPr>
          <w:rFonts w:cs="Times New Roman"/>
          <w:sz w:val="22"/>
          <w:vertAlign w:val="superscript"/>
        </w:rPr>
        <w:t>4</w:t>
      </w:r>
      <w:r w:rsidRPr="00677B20">
        <w:rPr>
          <w:rFonts w:cs="Times New Roman"/>
          <w:sz w:val="22"/>
        </w:rPr>
        <w:t>, Belinda Sandler</w:t>
      </w:r>
      <w:r w:rsidRPr="00677B20">
        <w:rPr>
          <w:rFonts w:cs="Times New Roman"/>
          <w:sz w:val="22"/>
          <w:vertAlign w:val="superscript"/>
        </w:rPr>
        <w:t>4</w:t>
      </w:r>
      <w:r w:rsidRPr="00677B20">
        <w:rPr>
          <w:rFonts w:cs="Times New Roman"/>
          <w:sz w:val="22"/>
        </w:rPr>
        <w:t>, Florence Brellier</w:t>
      </w:r>
      <w:r w:rsidRPr="00677B20">
        <w:rPr>
          <w:rFonts w:cs="Times New Roman"/>
          <w:sz w:val="22"/>
          <w:vertAlign w:val="superscript"/>
        </w:rPr>
        <w:t>4</w:t>
      </w:r>
      <w:r w:rsidRPr="00677B20">
        <w:rPr>
          <w:rFonts w:cs="Times New Roman"/>
          <w:sz w:val="22"/>
        </w:rPr>
        <w:t>, Ovie Utuama</w:t>
      </w:r>
      <w:r w:rsidRPr="00677B20">
        <w:rPr>
          <w:rFonts w:cs="Times New Roman"/>
          <w:sz w:val="22"/>
          <w:vertAlign w:val="superscript"/>
        </w:rPr>
        <w:t>3</w:t>
      </w:r>
      <w:r w:rsidRPr="00677B20">
        <w:rPr>
          <w:rFonts w:cs="Times New Roman"/>
          <w:sz w:val="22"/>
        </w:rPr>
        <w:t>, Oksana Kirichek</w:t>
      </w:r>
      <w:r w:rsidRPr="00677B20">
        <w:rPr>
          <w:rFonts w:cs="Times New Roman"/>
          <w:sz w:val="22"/>
          <w:vertAlign w:val="superscript"/>
        </w:rPr>
        <w:t>5</w:t>
      </w:r>
      <w:r w:rsidRPr="00677B20">
        <w:rPr>
          <w:rFonts w:cs="Times New Roman"/>
          <w:sz w:val="22"/>
        </w:rPr>
        <w:t>, John Houghton</w:t>
      </w:r>
      <w:r w:rsidRPr="00677B20">
        <w:rPr>
          <w:rFonts w:cs="Times New Roman"/>
          <w:sz w:val="22"/>
          <w:vertAlign w:val="superscript"/>
        </w:rPr>
        <w:t>5</w:t>
      </w:r>
      <w:r w:rsidRPr="00677B20">
        <w:rPr>
          <w:rFonts w:cs="Times New Roman"/>
          <w:sz w:val="22"/>
        </w:rPr>
        <w:t>, Teresa Lemmer</w:t>
      </w:r>
      <w:r w:rsidRPr="00677B20">
        <w:rPr>
          <w:rFonts w:cs="Times New Roman"/>
          <w:sz w:val="22"/>
          <w:vertAlign w:val="superscript"/>
        </w:rPr>
        <w:t>4</w:t>
      </w:r>
      <w:r w:rsidRPr="00677B20">
        <w:rPr>
          <w:rFonts w:cs="Times New Roman"/>
          <w:sz w:val="22"/>
        </w:rPr>
        <w:t xml:space="preserve"> and </w:t>
      </w:r>
      <w:r w:rsidR="007E3CC4">
        <w:rPr>
          <w:rFonts w:cs="Times New Roman"/>
          <w:sz w:val="22"/>
        </w:rPr>
        <w:t>Maite</w:t>
      </w:r>
      <w:r w:rsidRPr="00677B20">
        <w:rPr>
          <w:rFonts w:cs="Times New Roman"/>
          <w:sz w:val="22"/>
        </w:rPr>
        <w:t xml:space="preserve"> Tome Esteban</w:t>
      </w:r>
      <w:r w:rsidRPr="00677B20">
        <w:rPr>
          <w:rFonts w:cs="Times New Roman"/>
          <w:sz w:val="22"/>
          <w:vertAlign w:val="superscript"/>
        </w:rPr>
        <w:t>6</w:t>
      </w:r>
      <w:r w:rsidR="006D016E" w:rsidRPr="00677B20">
        <w:rPr>
          <w:rFonts w:cs="Times New Roman"/>
          <w:sz w:val="22"/>
          <w:vertAlign w:val="superscript"/>
        </w:rPr>
        <w:t>,7</w:t>
      </w:r>
      <w:r w:rsidRPr="00677B20">
        <w:rPr>
          <w:rFonts w:cs="Times New Roman"/>
          <w:color w:val="000000" w:themeColor="text1"/>
          <w:sz w:val="22"/>
          <w:vertAlign w:val="superscript"/>
        </w:rPr>
        <w:t xml:space="preserve"> </w:t>
      </w:r>
    </w:p>
    <w:p w14:paraId="2553D933" w14:textId="39F118F2" w:rsidR="004D53B5" w:rsidRPr="00677B20" w:rsidRDefault="004D53B5" w:rsidP="00C45A65">
      <w:pPr>
        <w:spacing w:line="480" w:lineRule="auto"/>
        <w:rPr>
          <w:rFonts w:cs="Times New Roman"/>
          <w:color w:val="000000" w:themeColor="text1"/>
          <w:sz w:val="22"/>
          <w:vertAlign w:val="superscript"/>
        </w:rPr>
      </w:pPr>
      <w:r w:rsidRPr="00677B20">
        <w:rPr>
          <w:rFonts w:cs="Times New Roman"/>
          <w:color w:val="000000" w:themeColor="text1"/>
          <w:sz w:val="22"/>
          <w:vertAlign w:val="superscript"/>
        </w:rPr>
        <w:t>1</w:t>
      </w:r>
      <w:r w:rsidRPr="00677B20">
        <w:rPr>
          <w:rFonts w:cs="Times New Roman"/>
          <w:color w:val="000000" w:themeColor="text1"/>
          <w:sz w:val="22"/>
        </w:rPr>
        <w:t>Institute of Cardio-Metabolic Medicine, University Hospitals Coventry and Warwickshire NHS Trust, Coventry, UK;</w:t>
      </w:r>
      <w:r w:rsidRPr="00677B20">
        <w:rPr>
          <w:rFonts w:cs="Times New Roman"/>
          <w:color w:val="000000" w:themeColor="text1"/>
          <w:sz w:val="22"/>
          <w:vertAlign w:val="superscript"/>
        </w:rPr>
        <w:t xml:space="preserve"> 2</w:t>
      </w:r>
      <w:r w:rsidRPr="00677B20">
        <w:rPr>
          <w:rFonts w:cs="Times New Roman"/>
          <w:color w:val="000000" w:themeColor="text1"/>
          <w:sz w:val="22"/>
        </w:rPr>
        <w:t xml:space="preserve">Warwick Medical School, University of Warwick, Coventry, UK; </w:t>
      </w:r>
      <w:r w:rsidRPr="00677B20">
        <w:rPr>
          <w:rFonts w:cs="Times New Roman"/>
          <w:color w:val="000000" w:themeColor="text1"/>
          <w:sz w:val="22"/>
          <w:vertAlign w:val="superscript"/>
        </w:rPr>
        <w:t>3</w:t>
      </w:r>
      <w:r w:rsidRPr="00677B20">
        <w:rPr>
          <w:rFonts w:cs="Times New Roman"/>
          <w:color w:val="000000" w:themeColor="text1"/>
          <w:sz w:val="22"/>
        </w:rPr>
        <w:t xml:space="preserve">Bristol Myers Squibb, Princeton, NJ, USA; </w:t>
      </w:r>
      <w:r w:rsidRPr="00677B20">
        <w:rPr>
          <w:rFonts w:cs="Times New Roman"/>
          <w:color w:val="000000" w:themeColor="text1"/>
          <w:sz w:val="22"/>
          <w:vertAlign w:val="superscript"/>
        </w:rPr>
        <w:t>4</w:t>
      </w:r>
      <w:r w:rsidRPr="00677B20">
        <w:rPr>
          <w:rFonts w:cs="Times New Roman"/>
          <w:color w:val="000000" w:themeColor="text1"/>
          <w:sz w:val="22"/>
        </w:rPr>
        <w:t>Bristol Myers Squibb, Uxbridge, UK;</w:t>
      </w:r>
      <w:r w:rsidRPr="00677B20">
        <w:rPr>
          <w:rFonts w:cs="Times New Roman"/>
          <w:color w:val="000000" w:themeColor="text1"/>
          <w:sz w:val="22"/>
          <w:vertAlign w:val="superscript"/>
        </w:rPr>
        <w:t xml:space="preserve"> 5</w:t>
      </w:r>
      <w:r w:rsidRPr="00677B20">
        <w:rPr>
          <w:rFonts w:cs="Times New Roman"/>
          <w:color w:val="000000" w:themeColor="text1"/>
          <w:sz w:val="22"/>
        </w:rPr>
        <w:t xml:space="preserve">Health Economics and Outcomes Research Ltd, Cardiff, UK; and </w:t>
      </w:r>
      <w:r w:rsidR="00C45A65" w:rsidRPr="00677B20">
        <w:rPr>
          <w:rFonts w:cs="Times New Roman"/>
          <w:color w:val="000000" w:themeColor="text1"/>
          <w:sz w:val="22"/>
          <w:vertAlign w:val="superscript"/>
        </w:rPr>
        <w:t>6</w:t>
      </w:r>
      <w:r w:rsidR="00C45A65" w:rsidRPr="00677B20">
        <w:rPr>
          <w:rFonts w:cs="Times New Roman"/>
          <w:color w:val="000000" w:themeColor="text1"/>
          <w:sz w:val="22"/>
        </w:rPr>
        <w:t>Cardiovascular Clinical Academic Group,</w:t>
      </w:r>
      <w:r w:rsidR="00C45A65" w:rsidRPr="00677B20">
        <w:rPr>
          <w:rFonts w:cs="Times New Roman"/>
          <w:color w:val="000000" w:themeColor="text1"/>
          <w:sz w:val="22"/>
          <w:vertAlign w:val="superscript"/>
        </w:rPr>
        <w:t xml:space="preserve"> </w:t>
      </w:r>
      <w:r w:rsidR="00C45A65" w:rsidRPr="00677B20">
        <w:rPr>
          <w:rFonts w:cs="Times New Roman"/>
          <w:color w:val="000000" w:themeColor="text1"/>
          <w:sz w:val="22"/>
        </w:rPr>
        <w:t xml:space="preserve">St George’s </w:t>
      </w:r>
      <w:r w:rsidR="00677B20">
        <w:rPr>
          <w:rFonts w:cs="Times New Roman"/>
          <w:color w:val="000000" w:themeColor="text1"/>
          <w:sz w:val="22"/>
        </w:rPr>
        <w:t>H</w:t>
      </w:r>
      <w:r w:rsidR="00C45A65" w:rsidRPr="00677B20">
        <w:rPr>
          <w:rFonts w:cs="Times New Roman"/>
          <w:color w:val="000000" w:themeColor="text1"/>
          <w:sz w:val="22"/>
        </w:rPr>
        <w:t xml:space="preserve">ospital NHS Foundation </w:t>
      </w:r>
      <w:r w:rsidR="00677B20">
        <w:rPr>
          <w:rFonts w:cs="Times New Roman"/>
          <w:color w:val="000000" w:themeColor="text1"/>
          <w:sz w:val="22"/>
        </w:rPr>
        <w:t>T</w:t>
      </w:r>
      <w:r w:rsidR="00C45A65" w:rsidRPr="00677B20">
        <w:rPr>
          <w:rFonts w:cs="Times New Roman"/>
          <w:color w:val="000000" w:themeColor="text1"/>
          <w:sz w:val="22"/>
        </w:rPr>
        <w:t xml:space="preserve">rust, London, UK; and </w:t>
      </w:r>
      <w:r w:rsidR="00C45A65" w:rsidRPr="00677B20">
        <w:rPr>
          <w:rFonts w:cs="Times New Roman"/>
          <w:color w:val="000000" w:themeColor="text1"/>
          <w:sz w:val="22"/>
          <w:vertAlign w:val="superscript"/>
        </w:rPr>
        <w:t>7</w:t>
      </w:r>
      <w:r w:rsidR="00C45A65" w:rsidRPr="00677B20">
        <w:rPr>
          <w:rFonts w:cs="Times New Roman"/>
          <w:color w:val="000000" w:themeColor="text1"/>
          <w:sz w:val="22"/>
        </w:rPr>
        <w:t>St George’s</w:t>
      </w:r>
      <w:r w:rsidR="00677B20">
        <w:rPr>
          <w:rFonts w:cs="Times New Roman"/>
          <w:color w:val="000000" w:themeColor="text1"/>
          <w:sz w:val="22"/>
        </w:rPr>
        <w:t>,</w:t>
      </w:r>
      <w:r w:rsidR="00C45A65" w:rsidRPr="00677B20">
        <w:rPr>
          <w:rFonts w:cs="Times New Roman"/>
          <w:color w:val="000000" w:themeColor="text1"/>
          <w:sz w:val="22"/>
        </w:rPr>
        <w:t xml:space="preserve"> University of London, London, UK</w:t>
      </w:r>
    </w:p>
    <w:p w14:paraId="312F5513" w14:textId="5D30E39D" w:rsidR="007E3F18" w:rsidRPr="003275AF" w:rsidRDefault="004D53B5" w:rsidP="007E3F18">
      <w:pPr>
        <w:rPr>
          <w:rFonts w:cs="Times New Roman"/>
          <w:color w:val="000000" w:themeColor="text1"/>
          <w:sz w:val="22"/>
        </w:rPr>
      </w:pPr>
      <w:r w:rsidRPr="00677B20">
        <w:rPr>
          <w:rFonts w:cs="Times New Roman"/>
          <w:color w:val="000000" w:themeColor="text1"/>
          <w:sz w:val="22"/>
        </w:rPr>
        <w:t xml:space="preserve">*Correspondence to: </w:t>
      </w:r>
      <w:r w:rsidR="00677B20" w:rsidRPr="003275AF">
        <w:rPr>
          <w:rFonts w:cs="Times New Roman"/>
          <w:color w:val="000000" w:themeColor="text1"/>
          <w:sz w:val="22"/>
        </w:rPr>
        <w:t>Faizel Osman</w:t>
      </w:r>
      <w:r w:rsidR="00677B20">
        <w:rPr>
          <w:rFonts w:cs="Times New Roman"/>
          <w:color w:val="000000" w:themeColor="text1"/>
          <w:sz w:val="22"/>
        </w:rPr>
        <w:t>. E</w:t>
      </w:r>
      <w:r w:rsidR="00677B20" w:rsidRPr="003275AF">
        <w:rPr>
          <w:rFonts w:cs="Times New Roman"/>
          <w:color w:val="000000" w:themeColor="text1"/>
          <w:sz w:val="22"/>
        </w:rPr>
        <w:t xml:space="preserve">mail: </w:t>
      </w:r>
      <w:hyperlink r:id="rId8" w:history="1">
        <w:r w:rsidR="007E3F18" w:rsidRPr="00CF592D">
          <w:rPr>
            <w:rStyle w:val="Hyperlink"/>
            <w:rFonts w:cs="Times New Roman"/>
            <w:sz w:val="22"/>
          </w:rPr>
          <w:t>faizel.osman@uhcw.nhs.uk</w:t>
        </w:r>
      </w:hyperlink>
      <w:bookmarkEnd w:id="0"/>
      <w:r w:rsidR="007E3F18">
        <w:rPr>
          <w:rFonts w:cs="Times New Roman"/>
          <w:color w:val="000000" w:themeColor="text1"/>
          <w:sz w:val="22"/>
        </w:rPr>
        <w:t xml:space="preserve">. </w:t>
      </w:r>
      <w:bookmarkStart w:id="1" w:name="_Hlk165389322"/>
      <w:r w:rsidR="007E3F18">
        <w:rPr>
          <w:rFonts w:cs="Times New Roman"/>
          <w:color w:val="000000" w:themeColor="text1"/>
          <w:sz w:val="22"/>
        </w:rPr>
        <w:t xml:space="preserve">Telephone: </w:t>
      </w:r>
      <w:r w:rsidR="007E3F18" w:rsidRPr="001036F2">
        <w:rPr>
          <w:rFonts w:cs="Times New Roman"/>
          <w:color w:val="000000" w:themeColor="text1"/>
          <w:sz w:val="22"/>
        </w:rPr>
        <w:t>02476 96 5668</w:t>
      </w:r>
      <w:r w:rsidR="007E3F18">
        <w:rPr>
          <w:rFonts w:cs="Times New Roman"/>
          <w:color w:val="000000" w:themeColor="text1"/>
          <w:sz w:val="22"/>
        </w:rPr>
        <w:t xml:space="preserve">. Fax: </w:t>
      </w:r>
      <w:r w:rsidR="007E3F18" w:rsidRPr="001036F2">
        <w:rPr>
          <w:rFonts w:cs="Times New Roman"/>
          <w:color w:val="000000" w:themeColor="text1"/>
          <w:sz w:val="22"/>
        </w:rPr>
        <w:t>02476 96 5657</w:t>
      </w:r>
      <w:r w:rsidR="007E3F18">
        <w:rPr>
          <w:rFonts w:cs="Times New Roman"/>
          <w:color w:val="000000" w:themeColor="text1"/>
          <w:sz w:val="22"/>
        </w:rPr>
        <w:t>.</w:t>
      </w:r>
    </w:p>
    <w:bookmarkEnd w:id="1"/>
    <w:p w14:paraId="599C94E3" w14:textId="7FDF86DA" w:rsidR="00955BCC" w:rsidRPr="00677B20" w:rsidRDefault="00955BCC" w:rsidP="00010AB4">
      <w:pPr>
        <w:spacing w:line="480" w:lineRule="auto"/>
        <w:rPr>
          <w:rFonts w:cs="Times New Roman"/>
          <w:color w:val="000000" w:themeColor="text1"/>
          <w:sz w:val="22"/>
        </w:rPr>
      </w:pPr>
      <w:r w:rsidRPr="00677B20">
        <w:rPr>
          <w:rFonts w:cs="Times New Roman"/>
          <w:color w:val="000000" w:themeColor="text1"/>
          <w:sz w:val="22"/>
        </w:rPr>
        <w:br w:type="page"/>
      </w:r>
    </w:p>
    <w:p w14:paraId="6947A1D2" w14:textId="45D2C6CC" w:rsidR="00955BCC" w:rsidRPr="00677B20" w:rsidRDefault="00955BCC" w:rsidP="00D7428A">
      <w:pPr>
        <w:spacing w:after="160" w:line="480" w:lineRule="auto"/>
        <w:rPr>
          <w:rFonts w:cs="Times New Roman"/>
          <w:b/>
          <w:bCs/>
          <w:color w:val="000000" w:themeColor="text1"/>
          <w:szCs w:val="24"/>
        </w:rPr>
      </w:pPr>
      <w:r w:rsidRPr="00677B20">
        <w:rPr>
          <w:rFonts w:cs="Times New Roman"/>
          <w:b/>
          <w:bCs/>
          <w:color w:val="000000" w:themeColor="text1"/>
          <w:szCs w:val="24"/>
        </w:rPr>
        <w:lastRenderedPageBreak/>
        <w:t xml:space="preserve"> Supplementary tables </w:t>
      </w:r>
    </w:p>
    <w:p w14:paraId="3716E2E9" w14:textId="70088983" w:rsidR="00955BCC" w:rsidRPr="00677B20" w:rsidRDefault="00955BCC" w:rsidP="005153A5">
      <w:pPr>
        <w:spacing w:after="0"/>
      </w:pPr>
      <w:bookmarkStart w:id="2" w:name="_Ref134609636"/>
      <w:bookmarkStart w:id="3" w:name="_Toc134799440"/>
      <w:r w:rsidRPr="00677B20">
        <w:rPr>
          <w:b/>
          <w:bCs/>
        </w:rPr>
        <w:t>Table S</w:t>
      </w:r>
      <w:r w:rsidR="005E76A6" w:rsidRPr="00677B20">
        <w:rPr>
          <w:b/>
          <w:bCs/>
        </w:rPr>
        <w:t>1</w:t>
      </w:r>
      <w:r w:rsidRPr="00677B20">
        <w:rPr>
          <w:b/>
          <w:bCs/>
        </w:rPr>
        <w:t xml:space="preserve"> </w:t>
      </w:r>
      <w:r w:rsidRPr="00677B20">
        <w:t xml:space="preserve">Baseline patient demographics of the overall HCM cohort stratified by </w:t>
      </w:r>
      <w:r w:rsidR="00C82E15" w:rsidRPr="00677B20">
        <w:t>HCM</w:t>
      </w:r>
      <w:r w:rsidR="00C82E15">
        <w:t> </w:t>
      </w:r>
      <w:r w:rsidR="00134FF0" w:rsidRPr="00677B20">
        <w:t>subtype</w:t>
      </w:r>
    </w:p>
    <w:tbl>
      <w:tblPr>
        <w:tblpPr w:leftFromText="180" w:rightFromText="180" w:vertAnchor="text" w:horzAnchor="margin" w:tblpXSpec="center" w:tblpY="226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6"/>
        <w:gridCol w:w="2256"/>
        <w:gridCol w:w="2254"/>
      </w:tblGrid>
      <w:tr w:rsidR="00955BCC" w:rsidRPr="00677B20" w14:paraId="3BE30262" w14:textId="359916C2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noWrap/>
            <w:hideMark/>
          </w:tcPr>
          <w:p w14:paraId="040BD845" w14:textId="7ABEE336" w:rsidR="00955BCC" w:rsidRPr="00677B20" w:rsidRDefault="00955BCC" w:rsidP="00220BC7">
            <w:pPr>
              <w:pStyle w:val="Table"/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Baseline </w:t>
            </w:r>
            <w:r w:rsidR="00D63D76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c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haracteristics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</w:tcPr>
          <w:p w14:paraId="55747774" w14:textId="419191CB" w:rsidR="00955BCC" w:rsidRPr="00677B20" w:rsidRDefault="00955BCC" w:rsidP="00220BC7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Overall HCM 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br/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n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=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6440)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</w:tcPr>
          <w:p w14:paraId="2D8B3E89" w14:textId="288FAF50" w:rsidR="0070455C" w:rsidRPr="00677B20" w:rsidRDefault="00955BCC" w:rsidP="00220BC7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Obstructive HCM</w:t>
            </w:r>
          </w:p>
          <w:p w14:paraId="7017734E" w14:textId="493718CC" w:rsidR="00955BCC" w:rsidRPr="00677B20" w:rsidRDefault="00955BCC" w:rsidP="00220BC7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n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=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3730)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</w:tcPr>
          <w:p w14:paraId="4EAF7331" w14:textId="4551CAB8" w:rsidR="00955BCC" w:rsidRPr="00677B20" w:rsidRDefault="00955BCC" w:rsidP="00220BC7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Non-obstructive HCM 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eastAsia="en-GB"/>
              </w:rPr>
              <w:t>n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=</w:t>
            </w:r>
            <w:r w:rsidR="0070455C"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000000" w:themeColor="text1"/>
                <w:lang w:eastAsia="en-GB"/>
              </w:rPr>
              <w:t>2710)</w:t>
            </w:r>
          </w:p>
        </w:tc>
      </w:tr>
      <w:tr w:rsidR="00955BCC" w:rsidRPr="00677B20" w14:paraId="647A8EAB" w14:textId="24B8B806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EDF2C71" w14:textId="2B34BAF7" w:rsidR="00955BCC" w:rsidRPr="00677B20" w:rsidRDefault="00955BC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Age,</w:t>
            </w:r>
            <w:r w:rsidR="001E6270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years</w:t>
            </w:r>
            <w:r w:rsidR="00EA5DC9">
              <w:rPr>
                <w:rFonts w:ascii="Times New Roman" w:hAnsi="Times New Roman" w:cs="Times New Roman"/>
                <w:color w:val="000000" w:themeColor="text1"/>
                <w:lang w:eastAsia="en-GB"/>
              </w:rPr>
              <w:t>, mean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="00F5157C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SD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2B89F6E" w14:textId="3A5CD4F9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61.0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</w:t>
            </w:r>
            <w:r w:rsidR="002047B1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.6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C8F12A" w14:textId="1BF90DCD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61.2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15.5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AD8A68E" w14:textId="21D0509C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60.8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15.7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</w:tr>
      <w:tr w:rsidR="00955BCC" w:rsidRPr="00677B20" w14:paraId="24323BE8" w14:textId="64E30FC5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CC02457" w14:textId="2C66B890" w:rsidR="00955BCC" w:rsidRPr="00677B20" w:rsidRDefault="00955BC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Male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23EFEDE" w14:textId="60DC7B50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3988 (61.9)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C43548" w14:textId="0AD924F1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2257 (60.5)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33CF290" w14:textId="6C9ECF11" w:rsidR="00955BC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1731</w:t>
            </w:r>
            <w:r w:rsidR="00955BCC"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63.9</w:t>
            </w:r>
            <w:r w:rsidR="00955BCC" w:rsidRPr="00677B20">
              <w:rPr>
                <w:rFonts w:ascii="Times New Roman" w:hAnsi="Times New Roman" w:cs="Times New Roman"/>
                <w:color w:val="auto"/>
                <w:lang w:eastAsia="en-GB"/>
              </w:rPr>
              <w:t>)</w:t>
            </w:r>
          </w:p>
        </w:tc>
      </w:tr>
      <w:tr w:rsidR="00955BCC" w:rsidRPr="00677B20" w14:paraId="0B9DAD63" w14:textId="5B890FB6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630F299" w14:textId="656B24A2" w:rsidR="00955BCC" w:rsidRPr="00677B20" w:rsidRDefault="00955BC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White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ED79DB8" w14:textId="12D759AA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5094 (79.1)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CA4FEC" w14:textId="28E0A68B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3013 (80.8)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C68CD6D" w14:textId="78C99844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2081 (76.</w:t>
            </w:r>
            <w:r w:rsidR="002047B1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</w:tr>
      <w:tr w:rsidR="00D109C7" w:rsidRPr="00677B20" w14:paraId="0DFAAE44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134A5CB" w14:textId="6387675B" w:rsidR="00D109C7" w:rsidRPr="00677B20" w:rsidRDefault="00D109C7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Asian/British Asian ethnicity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BC92B6B" w14:textId="2874F38E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583 (9.1)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939D6E" w14:textId="10EEB8CD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333 (8.9)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D0B8504" w14:textId="2966266F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250 (9.2)</w:t>
            </w:r>
          </w:p>
        </w:tc>
      </w:tr>
      <w:tr w:rsidR="00D109C7" w:rsidRPr="00677B20" w14:paraId="3F5395EA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1151398" w14:textId="44D6AB5D" w:rsidR="00D109C7" w:rsidRPr="00677B20" w:rsidRDefault="00D109C7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Black/Black British ethnicity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09D8D14" w14:textId="32C26997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467 (7.3)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3A2776" w14:textId="2AA0B935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233 (6.3)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D08A2A0" w14:textId="1D51F4E9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234 (8.6)</w:t>
            </w:r>
          </w:p>
        </w:tc>
      </w:tr>
      <w:tr w:rsidR="00D109C7" w:rsidRPr="00677B20" w14:paraId="1D514C66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17C5325" w14:textId="2B455F90" w:rsidR="00D109C7" w:rsidRPr="00677B20" w:rsidRDefault="00D109C7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Mixed ethnicity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98E7BCC" w14:textId="0B730E81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76 (1.2)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301448" w14:textId="06EADC59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43 (1.2)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186D976" w14:textId="1C660434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33 (1.2)</w:t>
            </w:r>
          </w:p>
        </w:tc>
      </w:tr>
      <w:tr w:rsidR="00D109C7" w:rsidRPr="00677B20" w14:paraId="21246B6B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971C818" w14:textId="4E215411" w:rsidR="00D109C7" w:rsidRPr="00677B20" w:rsidRDefault="00D109C7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Other ethnicity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D1615C4" w14:textId="61971573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109 (1.7)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4DB9E6" w14:textId="5654B5CD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60 (1.6)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7E18125" w14:textId="26FB11CA" w:rsidR="00D109C7" w:rsidRPr="00677B20" w:rsidRDefault="00D109C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49 (1.8)</w:t>
            </w:r>
          </w:p>
        </w:tc>
      </w:tr>
      <w:tr w:rsidR="00955BCC" w:rsidRPr="00677B20" w14:paraId="7FE2CAB5" w14:textId="33173566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B116570" w14:textId="1149491D" w:rsidR="00955BCC" w:rsidRPr="00677B20" w:rsidRDefault="00955BC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Age</w:t>
            </w:r>
            <w:r w:rsidR="00E456CA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-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adjusted CCI </w:t>
            </w:r>
            <w:r w:rsidR="001E6270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s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core</w:t>
            </w:r>
            <w:r w:rsidR="00C204F8">
              <w:rPr>
                <w:rFonts w:ascii="Times New Roman" w:hAnsi="Times New Roman" w:cs="Times New Roman"/>
                <w:color w:val="000000" w:themeColor="text1"/>
                <w:lang w:eastAsia="en-GB"/>
              </w:rPr>
              <w:t>, mean</w:t>
            </w:r>
            <w:r w:rsidR="00C204F8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C204F8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="00C204F8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SD</w:t>
            </w:r>
            <w:r w:rsidR="00C204F8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56D558D" w14:textId="6221239E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2.94 (2.39)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7D038" w14:textId="080624DF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2.96 (2.40)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57BF7EC" w14:textId="06A640F9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2.90 (2.37)</w:t>
            </w:r>
          </w:p>
        </w:tc>
      </w:tr>
      <w:tr w:rsidR="00955BCC" w:rsidRPr="00677B20" w14:paraId="319FD104" w14:textId="60A891AC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A8787E0" w14:textId="5B19831A" w:rsidR="00955BCC" w:rsidRPr="00677B20" w:rsidRDefault="00955BC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Patients with at least one</w:t>
            </w:r>
            <w:r w:rsidR="00FF0131"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documented 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medica</w:t>
            </w:r>
            <w:r w:rsidR="00FF0131"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l </w:t>
            </w:r>
            <w:proofErr w:type="spellStart"/>
            <w:r w:rsidR="00FF0131" w:rsidRPr="00677B20">
              <w:rPr>
                <w:rFonts w:ascii="Times New Roman" w:hAnsi="Times New Roman" w:cs="Times New Roman"/>
                <w:color w:val="auto"/>
                <w:lang w:eastAsia="en-GB"/>
              </w:rPr>
              <w:t>condition</w:t>
            </w:r>
            <w:r w:rsidR="00F2772B">
              <w:rPr>
                <w:rFonts w:ascii="Times New Roman" w:hAnsi="Times New Roman" w:cs="Times New Roman"/>
                <w:color w:val="auto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C747B9B" w14:textId="3E72AA84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503</w:t>
            </w:r>
            <w:r w:rsidR="00A90509" w:rsidRPr="00677B20">
              <w:rPr>
                <w:rFonts w:ascii="Times New Roman" w:hAnsi="Times New Roman" w:cs="Times New Roman"/>
                <w:color w:val="auto"/>
              </w:rPr>
              <w:t>6</w:t>
            </w:r>
            <w:r w:rsidRPr="00677B20">
              <w:rPr>
                <w:rFonts w:ascii="Times New Roman" w:hAnsi="Times New Roman" w:cs="Times New Roman"/>
                <w:color w:val="auto"/>
              </w:rPr>
              <w:t xml:space="preserve"> (78.2)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6E458" w14:textId="7451EA48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293</w:t>
            </w:r>
            <w:r w:rsidR="007464FA" w:rsidRPr="00677B20">
              <w:rPr>
                <w:rFonts w:ascii="Times New Roman" w:hAnsi="Times New Roman" w:cs="Times New Roman"/>
                <w:color w:val="auto"/>
              </w:rPr>
              <w:t>7</w:t>
            </w:r>
            <w:r w:rsidRPr="00677B20">
              <w:rPr>
                <w:rFonts w:ascii="Times New Roman" w:hAnsi="Times New Roman" w:cs="Times New Roman"/>
                <w:color w:val="auto"/>
              </w:rPr>
              <w:t xml:space="preserve"> (78.</w:t>
            </w:r>
            <w:r w:rsidR="00A90509" w:rsidRPr="00677B20">
              <w:rPr>
                <w:rFonts w:ascii="Times New Roman" w:hAnsi="Times New Roman" w:cs="Times New Roman"/>
                <w:color w:val="auto"/>
              </w:rPr>
              <w:t>7</w:t>
            </w:r>
            <w:r w:rsidRPr="00677B20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262C156" w14:textId="036B47EC" w:rsidR="00955BCC" w:rsidRPr="00677B20" w:rsidRDefault="00955BC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2099 (77.5)</w:t>
            </w:r>
          </w:p>
        </w:tc>
      </w:tr>
      <w:tr w:rsidR="000E6A2B" w:rsidRPr="00677B20" w14:paraId="139D391B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D966FF4" w14:textId="0CEADED8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Asthma,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F5194DF" w14:textId="6EA27D01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808 (12.6)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C8EF73" w14:textId="2E14A6DF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481 (12.9)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296F0B6" w14:textId="30156373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327 (12.1)</w:t>
            </w:r>
          </w:p>
        </w:tc>
      </w:tr>
      <w:tr w:rsidR="0007172C" w:rsidRPr="00677B20" w14:paraId="0970A6C5" w14:textId="3672164B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B2258F3" w14:textId="69AE420D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AF</w:t>
            </w:r>
            <w:r w:rsidR="00EA5DC9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or 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flutter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FBB3B97" w14:textId="3F24BB0A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95</w:t>
            </w:r>
            <w:r w:rsidR="00DB0B6E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(14.</w:t>
            </w:r>
            <w:r w:rsidR="00DB0B6E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E9FD79" w14:textId="068A6411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573 (15.4)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7AE0132" w14:textId="1D49E20F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383 (14.1)</w:t>
            </w:r>
          </w:p>
        </w:tc>
      </w:tr>
      <w:tr w:rsidR="0007172C" w:rsidRPr="00677B20" w14:paraId="6B689AB4" w14:textId="06098408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1BA919B" w14:textId="7EB581D7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Cardiac arrest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D70D06F" w14:textId="7F4D604F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65 (1.0)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F90618" w14:textId="53B9AEC5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40 (1.1)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B6BA367" w14:textId="6BB47C18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25 (0.9)</w:t>
            </w:r>
          </w:p>
        </w:tc>
      </w:tr>
      <w:tr w:rsidR="000E6A2B" w:rsidRPr="00677B20" w14:paraId="666372A1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4AF3DFB" w14:textId="20DA95D0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Cardiac </w:t>
            </w:r>
            <w:proofErr w:type="spellStart"/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dysrhythmias</w:t>
            </w:r>
            <w:r w:rsidR="0014636A" w:rsidRPr="00FE2ABF">
              <w:rPr>
                <w:rFonts w:ascii="Times New Roman" w:hAnsi="Times New Roman" w:cs="Times New Roman"/>
                <w:color w:val="auto"/>
                <w:vertAlign w:val="superscript"/>
                <w:lang w:eastAsia="en-GB"/>
              </w:rPr>
              <w:t>b</w:t>
            </w:r>
            <w:proofErr w:type="spellEnd"/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220BC7">
              <w:rPr>
                <w:rFonts w:ascii="Times New Roman" w:hAnsi="Times New Roman" w:cs="Times New Roman"/>
                <w:color w:val="000000" w:themeColor="text1"/>
                <w:lang w:eastAsia="en-GB"/>
              </w:rPr>
              <w:br/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1E9A87D" w14:textId="4BA1985F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731 (11.4)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F1A93C" w14:textId="3CE10E19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431 (11.6)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0F65D3A" w14:textId="57BDCAC0" w:rsidR="000E6A2B" w:rsidRPr="00677B20" w:rsidRDefault="00156357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</w:t>
            </w:r>
            <w:r w:rsidR="000E6A2B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00 (11.1)</w:t>
            </w:r>
          </w:p>
        </w:tc>
      </w:tr>
      <w:tr w:rsidR="000E6A2B" w:rsidRPr="00677B20" w14:paraId="7FB70635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2F3108C" w14:textId="1BBC2214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CKD,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1CE9CFB" w14:textId="094F1DC3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667 (10.4)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692605" w14:textId="3A4F233A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394 (10.</w:t>
            </w:r>
            <w:r w:rsidR="0040632F" w:rsidRPr="00677B20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77B2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2E469AE" w14:textId="2010FFFC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273 (10.1)</w:t>
            </w:r>
          </w:p>
        </w:tc>
      </w:tr>
      <w:tr w:rsidR="000E6A2B" w:rsidRPr="00677B20" w14:paraId="75B4FEE6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4964270" w14:textId="1DC5CA41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Conduction disorders, </w:t>
            </w:r>
            <w:r w:rsidR="00220BC7">
              <w:rPr>
                <w:rFonts w:ascii="Times New Roman" w:hAnsi="Times New Roman" w:cs="Times New Roman"/>
                <w:color w:val="000000" w:themeColor="text1"/>
                <w:lang w:eastAsia="en-GB"/>
              </w:rPr>
              <w:br/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37F7DBC" w14:textId="24813D01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544 (8.5)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074DDF" w14:textId="1C179F08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317 (8.5)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C431CCF" w14:textId="11D6C2E7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227 (8.4)</w:t>
            </w:r>
          </w:p>
        </w:tc>
      </w:tr>
      <w:tr w:rsidR="000E6A2B" w:rsidRPr="00677B20" w14:paraId="2831FA5D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E7AFC4F" w14:textId="5EAE04C1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COPD,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F2E44C7" w14:textId="308EC73B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465 (7.2)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117DA8" w14:textId="5D4250F0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287 (7.7)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30E5726" w14:textId="3D75E8D9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178 (6.6)</w:t>
            </w:r>
          </w:p>
        </w:tc>
      </w:tr>
      <w:tr w:rsidR="000E6A2B" w:rsidRPr="00677B20" w14:paraId="313EB890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09E39F7" w14:textId="256C3C0E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lastRenderedPageBreak/>
              <w:t xml:space="preserve">Deep vein thrombosis/pulmonary embolism,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122750C" w14:textId="61F561BC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85 (1.3)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F12FAA" w14:textId="4A484618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56 (1.5)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CBE7295" w14:textId="1C224BBC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29 (1.1)</w:t>
            </w:r>
          </w:p>
        </w:tc>
      </w:tr>
      <w:tr w:rsidR="000E6A2B" w:rsidRPr="00677B20" w14:paraId="63EC4488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10CB0A2" w14:textId="2CBBE185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Depression,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EE1333C" w14:textId="42145232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521 (8.1)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774C5A" w14:textId="565B8EE9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327 (8.8)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BB90471" w14:textId="334A495E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194 (7.2)</w:t>
            </w:r>
          </w:p>
        </w:tc>
      </w:tr>
      <w:tr w:rsidR="000E6A2B" w:rsidRPr="00677B20" w14:paraId="3A2EC3CB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D9D68B7" w14:textId="3AEF8996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Dilated cardiomyopathy,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AC708A1" w14:textId="10105842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104 (1.6)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A2BB4B" w14:textId="70A23090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60 (1.6)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DF7E591" w14:textId="1DD15AF8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44 (1.6)</w:t>
            </w:r>
          </w:p>
        </w:tc>
      </w:tr>
      <w:tr w:rsidR="000E6A2B" w:rsidRPr="00677B20" w14:paraId="59FF36B7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52F3FB8" w14:textId="11BDB286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Heart transplant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ation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0AC3589" w14:textId="55535ECF" w:rsidR="000E6A2B" w:rsidRPr="00FE2ABF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FE2ABF">
              <w:rPr>
                <w:rFonts w:ascii="Times New Roman" w:hAnsi="Times New Roman" w:cs="Times New Roman"/>
                <w:color w:val="auto"/>
                <w:lang w:eastAsia="en-GB"/>
              </w:rPr>
              <w:t>NR</w:t>
            </w:r>
            <w:r w:rsidR="0014636A" w:rsidRPr="00FE2ABF">
              <w:rPr>
                <w:rFonts w:ascii="Times New Roman" w:hAnsi="Times New Roman" w:cs="Times New Roman"/>
                <w:color w:val="auto"/>
                <w:vertAlign w:val="superscript"/>
                <w:lang w:eastAsia="en-GB"/>
              </w:rPr>
              <w:t>c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8E8B61" w14:textId="2D90B8AA" w:rsidR="000E6A2B" w:rsidRPr="00FE2ABF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2ABF">
              <w:rPr>
                <w:rFonts w:ascii="Times New Roman" w:hAnsi="Times New Roman" w:cs="Times New Roman"/>
                <w:color w:val="auto"/>
                <w:lang w:eastAsia="en-GB"/>
              </w:rPr>
              <w:t>NR</w:t>
            </w:r>
            <w:r w:rsidR="0014636A" w:rsidRPr="00FE2ABF">
              <w:rPr>
                <w:rFonts w:ascii="Times New Roman" w:hAnsi="Times New Roman" w:cs="Times New Roman"/>
                <w:color w:val="auto"/>
                <w:vertAlign w:val="superscript"/>
                <w:lang w:eastAsia="en-GB"/>
              </w:rPr>
              <w:t>c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C85F470" w14:textId="0B650617" w:rsidR="000E6A2B" w:rsidRPr="00FE2ABF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FE2ABF">
              <w:rPr>
                <w:rFonts w:ascii="Times New Roman" w:hAnsi="Times New Roman" w:cs="Times New Roman"/>
                <w:color w:val="auto"/>
                <w:lang w:eastAsia="en-GB"/>
              </w:rPr>
              <w:t>NR</w:t>
            </w:r>
            <w:r w:rsidR="0014636A" w:rsidRPr="00FE2ABF">
              <w:rPr>
                <w:rFonts w:ascii="Times New Roman" w:hAnsi="Times New Roman" w:cs="Times New Roman"/>
                <w:color w:val="auto"/>
                <w:vertAlign w:val="superscript"/>
                <w:lang w:eastAsia="en-GB"/>
              </w:rPr>
              <w:t>c</w:t>
            </w:r>
          </w:p>
        </w:tc>
      </w:tr>
      <w:tr w:rsidR="0007172C" w:rsidRPr="00677B20" w14:paraId="5275BC5B" w14:textId="2FF85735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703E800" w14:textId="49D4AAFE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Hypertension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BE7FE2C" w14:textId="11A23217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</w:t>
            </w:r>
            <w:r w:rsidR="00DB0B6E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112 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(48.</w:t>
            </w:r>
            <w:r w:rsidR="00DB0B6E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EC455" w14:textId="2AF8303C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1778 (47.7)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78EF5BA" w14:textId="75353B01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1334 (49.2)</w:t>
            </w:r>
          </w:p>
        </w:tc>
      </w:tr>
      <w:tr w:rsidR="000E6A2B" w:rsidRPr="00677B20" w14:paraId="1CEF6284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C431B50" w14:textId="358A183B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ICD </w:t>
            </w:r>
            <w:r w:rsidR="00B345CD">
              <w:rPr>
                <w:rFonts w:ascii="Times New Roman" w:hAnsi="Times New Roman" w:cs="Times New Roman"/>
                <w:color w:val="000000" w:themeColor="text1"/>
                <w:lang w:eastAsia="en-GB"/>
              </w:rPr>
              <w:t>i</w:t>
            </w:r>
            <w:r w:rsidR="00B345CD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nsertion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57B88D5" w14:textId="2A95D75F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148 (2.3)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3D12C4" w14:textId="2394566C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106 (2.8)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505DCAC" w14:textId="679A03B3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42 (1.6)</w:t>
            </w:r>
          </w:p>
        </w:tc>
      </w:tr>
      <w:tr w:rsidR="000E6A2B" w:rsidRPr="00677B20" w14:paraId="35FA58E4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ED117CA" w14:textId="0B3C1161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Ischaemic heart disease,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68A6949" w14:textId="54E2425A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1631 (25.3)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F60B9C" w14:textId="387B729A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956 (25.6)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8281D56" w14:textId="585EED8C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675 (24.9)</w:t>
            </w:r>
          </w:p>
        </w:tc>
      </w:tr>
      <w:tr w:rsidR="0007172C" w:rsidRPr="00677B20" w14:paraId="5FFF6FC7" w14:textId="0823BD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9C7DC75" w14:textId="6096EFB0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Myocardial infarction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220BC7">
              <w:rPr>
                <w:rFonts w:ascii="Times New Roman" w:hAnsi="Times New Roman" w:cs="Times New Roman"/>
                <w:color w:val="000000" w:themeColor="text1"/>
                <w:lang w:eastAsia="en-GB"/>
              </w:rPr>
              <w:br/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3612F79" w14:textId="608432D3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50</w:t>
            </w:r>
            <w:r w:rsidR="001B466B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(7.8)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670CEC" w14:textId="2040ADD4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296 (7.9)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6679D03" w14:textId="3B640BC1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208 (7.7)</w:t>
            </w:r>
          </w:p>
        </w:tc>
      </w:tr>
      <w:tr w:rsidR="000E6A2B" w:rsidRPr="00677B20" w14:paraId="7F5E9313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EAC927F" w14:textId="1B1A0AAE" w:rsidR="000E6A2B" w:rsidRPr="00677B20" w:rsidRDefault="00677B2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Obstructive 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HCM </w:t>
            </w:r>
            <w:r w:rsidR="000E6A2B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family history, </w:t>
            </w:r>
            <w:r w:rsidR="000E6A2B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0E6A2B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D7CBB0D" w14:textId="69E80E0D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87 (1.4)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209BF2" w14:textId="69EA6F1A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65 (1.7)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F0B4B8F" w14:textId="3E70BA6D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22 (0.8)</w:t>
            </w:r>
          </w:p>
        </w:tc>
      </w:tr>
      <w:tr w:rsidR="000E6A2B" w:rsidRPr="00677B20" w14:paraId="36507674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F5F6AE4" w14:textId="3F26F679" w:rsidR="000E6A2B" w:rsidRPr="00677B20" w:rsidRDefault="000E6A2B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Pacemaker,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A9463C1" w14:textId="3F8F3474" w:rsidR="000E6A2B" w:rsidRPr="00677B20" w:rsidRDefault="000E6A2B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227 (3.5)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C39C10" w14:textId="078EEB7C" w:rsidR="000E6A2B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146 (3.9)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046C717" w14:textId="65A959C0" w:rsidR="000E6A2B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81 (3.0)</w:t>
            </w:r>
          </w:p>
        </w:tc>
      </w:tr>
      <w:tr w:rsidR="00CF0C80" w:rsidRPr="00677B20" w14:paraId="7A6F551A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D0D1108" w14:textId="73FD0BE8" w:rsidR="00CF0C80" w:rsidRPr="00677B20" w:rsidRDefault="00CF0C8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Peripheral vascular disease,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9532E34" w14:textId="5AD58B13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100 (1.6)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2079FA" w14:textId="08BA8AAD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56 (1.5)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3F433AC" w14:textId="1B9656EC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44 (1.6)</w:t>
            </w:r>
          </w:p>
        </w:tc>
      </w:tr>
      <w:tr w:rsidR="0007172C" w:rsidRPr="00677B20" w14:paraId="276D7510" w14:textId="6AC757A4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5701083" w14:textId="6C25B211" w:rsidR="0007172C" w:rsidRPr="00677B20" w:rsidRDefault="00C54EC5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SRT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7366F06" w14:textId="3ADBB02D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 (</w:t>
            </w:r>
            <w:r w:rsidR="00D62A10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0.1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4DEF35" w14:textId="713DB70D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6 (0.</w:t>
            </w:r>
            <w:r w:rsidR="002047B1" w:rsidRPr="00677B2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77B2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EDE764F" w14:textId="3E8E0E4C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 (0.0)</w:t>
            </w:r>
          </w:p>
        </w:tc>
      </w:tr>
      <w:tr w:rsidR="0007172C" w:rsidRPr="00677B20" w14:paraId="16716693" w14:textId="23DE735C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D30C1C7" w14:textId="04DAFD6B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Stroke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286B666" w14:textId="3F4184FA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719 (11.2)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104F5B" w14:textId="77350FF4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405 (10.9)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DC129E8" w14:textId="4D4D2703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314 (11.6)</w:t>
            </w:r>
          </w:p>
        </w:tc>
      </w:tr>
      <w:tr w:rsidR="00CF0C80" w:rsidRPr="00677B20" w14:paraId="69AD0090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CE7CFA4" w14:textId="5F3E6CAD" w:rsidR="00CF0C80" w:rsidRPr="00677B20" w:rsidRDefault="00CF0C8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T</w:t>
            </w:r>
            <w:r w:rsid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1DM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4159E8B" w14:textId="3F8131F7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50 (0.8)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701DC6" w14:textId="5D5747FC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29 (0.8)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43328B1" w14:textId="51233C2A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21 (0.8)</w:t>
            </w:r>
          </w:p>
        </w:tc>
      </w:tr>
      <w:tr w:rsidR="0007172C" w:rsidRPr="00677B20" w14:paraId="3E9D895A" w14:textId="554E7AE3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778DF36" w14:textId="4717610B" w:rsidR="0007172C" w:rsidRPr="00677B20" w:rsidRDefault="0007172C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T</w:t>
            </w:r>
            <w:r w:rsid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2DM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="00B91513"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317CAE0" w14:textId="0D6D37E9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82</w:t>
            </w:r>
            <w:r w:rsidR="00274A14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6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(12.8)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CEA5F4" w14:textId="10B25512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460 (12.3)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CC14C6C" w14:textId="67C03F6F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366 (13.5)</w:t>
            </w:r>
          </w:p>
        </w:tc>
      </w:tr>
      <w:tr w:rsidR="00CF0C80" w:rsidRPr="00677B20" w14:paraId="655DA88C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86F3311" w14:textId="4517EF8D" w:rsidR="00CF0C80" w:rsidRPr="00677B20" w:rsidRDefault="00CF0C8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Unspecified diabetes, </w:t>
            </w:r>
            <w:r w:rsidR="00220BC7">
              <w:rPr>
                <w:rFonts w:ascii="Times New Roman" w:hAnsi="Times New Roman" w:cs="Times New Roman"/>
                <w:color w:val="000000" w:themeColor="text1"/>
                <w:lang w:eastAsia="en-GB"/>
              </w:rPr>
              <w:br/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D0714E1" w14:textId="642364BB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51 (0.8)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B8BF52" w14:textId="46CEF604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33 (0.9)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190A6D9" w14:textId="4B392590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18 (0.7)</w:t>
            </w:r>
          </w:p>
        </w:tc>
      </w:tr>
      <w:tr w:rsidR="00CF0C80" w:rsidRPr="00677B20" w14:paraId="3C49F504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9A9B237" w14:textId="2173102D" w:rsidR="00CF0C80" w:rsidRPr="00677B20" w:rsidRDefault="00CF0C8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Transient ischaemic attack,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E26A460" w14:textId="1EE06539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107 (1.7)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7CB9C9" w14:textId="6F1AA52E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58 (1.6)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AF035BB" w14:textId="705F7AF1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49 (1.8)</w:t>
            </w:r>
          </w:p>
        </w:tc>
      </w:tr>
      <w:tr w:rsidR="00CF0C80" w:rsidRPr="00677B20" w14:paraId="3074AC75" w14:textId="77777777" w:rsidTr="00220BC7">
        <w:trPr>
          <w:trHeight w:val="283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EFF03A7" w14:textId="53783CFD" w:rsidR="00CF0C80" w:rsidRPr="00677B20" w:rsidRDefault="00CF0C80" w:rsidP="00220BC7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Ventricular assist device, </w:t>
            </w:r>
            <w:r w:rsidRPr="001335E8">
              <w:rPr>
                <w:rFonts w:ascii="Times New Roman" w:hAnsi="Times New Roman" w:cs="Times New Roman"/>
                <w:i/>
                <w:iCs/>
                <w:color w:val="000000" w:themeColor="text1"/>
                <w:lang w:eastAsia="en-GB"/>
              </w:rPr>
              <w:t>n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(%)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83BEFDD" w14:textId="5F4F5183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 (0)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6DD518" w14:textId="0ADE7A97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 (0)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694AB19" w14:textId="5854B7B3" w:rsidR="00CF0C80" w:rsidRPr="00677B20" w:rsidRDefault="00CF0C80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0 (0)</w:t>
            </w:r>
          </w:p>
        </w:tc>
      </w:tr>
      <w:tr w:rsidR="0007172C" w:rsidRPr="00677B20" w14:paraId="7CA50835" w14:textId="01E503D5" w:rsidTr="001335E8">
        <w:trPr>
          <w:trHeight w:val="109"/>
          <w:jc w:val="center"/>
        </w:trPr>
        <w:tc>
          <w:tcPr>
            <w:tcW w:w="124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CAB0B6D" w14:textId="019FDD71" w:rsidR="0007172C" w:rsidRPr="00677B20" w:rsidRDefault="0007172C" w:rsidP="0060603C">
            <w:pPr>
              <w:pStyle w:val="Table"/>
              <w:spacing w:line="480" w:lineRule="auto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lastRenderedPageBreak/>
              <w:t>Follow-up, years</w:t>
            </w:r>
            <w:r w:rsidR="00EA5DC9">
              <w:rPr>
                <w:rFonts w:ascii="Times New Roman" w:hAnsi="Times New Roman" w:cs="Times New Roman"/>
                <w:color w:val="000000" w:themeColor="text1"/>
                <w:lang w:eastAsia="en-GB"/>
              </w:rPr>
              <w:t>, mean</w:t>
            </w:r>
            <w:r w:rsidR="00B91513"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 [SD]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8E22440" w14:textId="3D77D1A3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4.8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3.0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2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9561F2" w14:textId="3B48D85A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 xml:space="preserve">5.2 </w:t>
            </w:r>
            <w:r w:rsidR="007E3CC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="007E3CC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BDB71AF" w14:textId="408A2937" w:rsidR="0007172C" w:rsidRPr="00677B20" w:rsidRDefault="0007172C" w:rsidP="00220BC7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 xml:space="preserve">4.4 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2.8</w:t>
            </w:r>
            <w:r w:rsidR="007E3CC4">
              <w:rPr>
                <w:rFonts w:ascii="Times New Roman" w:hAnsi="Times New Roman" w:cs="Times New Roman"/>
                <w:color w:val="000000" w:themeColor="text1"/>
                <w:lang w:eastAsia="en-GB"/>
              </w:rPr>
              <w:t>)</w:t>
            </w:r>
          </w:p>
        </w:tc>
      </w:tr>
    </w:tbl>
    <w:p w14:paraId="3DB5EBDC" w14:textId="15A5E255" w:rsidR="00FF0131" w:rsidRPr="00677B20" w:rsidRDefault="00FF0131" w:rsidP="0014636A">
      <w:pPr>
        <w:rPr>
          <w:sz w:val="20"/>
          <w:szCs w:val="20"/>
        </w:rPr>
      </w:pPr>
      <w:bookmarkStart w:id="4" w:name="_Ref100575951"/>
      <w:bookmarkStart w:id="5" w:name="_Toc99643712"/>
      <w:bookmarkStart w:id="6" w:name="_Toc134799435"/>
      <w:r w:rsidRPr="00677B20">
        <w:rPr>
          <w:sz w:val="20"/>
          <w:szCs w:val="20"/>
        </w:rPr>
        <w:t xml:space="preserve">AF, atrial fibrillation; CCI, </w:t>
      </w:r>
      <w:proofErr w:type="spellStart"/>
      <w:r w:rsidRPr="00677B20">
        <w:rPr>
          <w:sz w:val="20"/>
          <w:szCs w:val="20"/>
        </w:rPr>
        <w:t>Charlson's</w:t>
      </w:r>
      <w:proofErr w:type="spellEnd"/>
      <w:r w:rsidRPr="00677B20">
        <w:rPr>
          <w:sz w:val="20"/>
          <w:szCs w:val="20"/>
        </w:rPr>
        <w:t xml:space="preserve"> Comorbidity Index; CKD: chronic kidney disease; COPD, chronic obstructive pulmonary disease; HCM, hypertrophic cardiomyopathy; ICD, </w:t>
      </w:r>
      <w:r w:rsidR="00B345CD">
        <w:rPr>
          <w:sz w:val="20"/>
          <w:szCs w:val="20"/>
        </w:rPr>
        <w:t>i</w:t>
      </w:r>
      <w:r w:rsidR="00B345CD" w:rsidRPr="00677B20">
        <w:rPr>
          <w:sz w:val="20"/>
          <w:szCs w:val="20"/>
        </w:rPr>
        <w:t xml:space="preserve">mplantable </w:t>
      </w:r>
      <w:r w:rsidRPr="00677B20">
        <w:rPr>
          <w:sz w:val="20"/>
          <w:szCs w:val="20"/>
        </w:rPr>
        <w:t>cardioverter</w:t>
      </w:r>
      <w:r w:rsidR="00B345CD">
        <w:rPr>
          <w:sz w:val="20"/>
          <w:szCs w:val="20"/>
        </w:rPr>
        <w:t>‑</w:t>
      </w:r>
      <w:r w:rsidRPr="00677B20">
        <w:rPr>
          <w:sz w:val="20"/>
          <w:szCs w:val="20"/>
        </w:rPr>
        <w:t xml:space="preserve">defibrillator; NR, not reported; SD, standard deviation; SRT, septal reduction therapy; </w:t>
      </w:r>
      <w:r w:rsidR="00E20FDB">
        <w:rPr>
          <w:sz w:val="20"/>
          <w:szCs w:val="20"/>
        </w:rPr>
        <w:br/>
      </w:r>
      <w:r w:rsidRPr="00677B20">
        <w:rPr>
          <w:sz w:val="20"/>
          <w:szCs w:val="20"/>
        </w:rPr>
        <w:t>T1DM, type 1 diabetes mellitus; T2DM, type 2 diabetes mellitus</w:t>
      </w:r>
      <w:r w:rsidR="00220BC7">
        <w:rPr>
          <w:sz w:val="20"/>
          <w:szCs w:val="20"/>
        </w:rPr>
        <w:t>.</w:t>
      </w:r>
    </w:p>
    <w:p w14:paraId="072623F4" w14:textId="7421BBF6" w:rsidR="00FF0131" w:rsidRPr="00677B20" w:rsidRDefault="00FF0131" w:rsidP="0014636A">
      <w:pPr>
        <w:rPr>
          <w:sz w:val="20"/>
          <w:szCs w:val="20"/>
        </w:rPr>
      </w:pPr>
      <w:r w:rsidRPr="00677B20">
        <w:rPr>
          <w:sz w:val="20"/>
          <w:szCs w:val="20"/>
        </w:rPr>
        <w:t>Ethnicities will not equate to the sum total owing to missing/unknown data.</w:t>
      </w:r>
    </w:p>
    <w:p w14:paraId="26CB3F34" w14:textId="70A978C0" w:rsidR="009E4B23" w:rsidRPr="00677B20" w:rsidRDefault="009E4B23" w:rsidP="00FF0131">
      <w:pPr>
        <w:spacing w:after="0"/>
        <w:rPr>
          <w:sz w:val="20"/>
          <w:szCs w:val="20"/>
        </w:rPr>
      </w:pPr>
      <w:r w:rsidRPr="00677B20">
        <w:rPr>
          <w:sz w:val="20"/>
        </w:rPr>
        <w:t xml:space="preserve">Unspecified HCM cohort was included within the non-obstructive HCM cohort. </w:t>
      </w:r>
      <w:r w:rsidR="00B345CD">
        <w:rPr>
          <w:sz w:val="20"/>
        </w:rPr>
        <w:t>The</w:t>
      </w:r>
      <w:r w:rsidR="00220BC7">
        <w:rPr>
          <w:sz w:val="20"/>
        </w:rPr>
        <w:t xml:space="preserve"> </w:t>
      </w:r>
      <w:r w:rsidRPr="00677B20">
        <w:rPr>
          <w:sz w:val="20"/>
        </w:rPr>
        <w:t>22 patients who had a diagnosis of non-obstructive HCM followed by a diagnosis of obstructive HCM during the follow-up period were assigned to the obstructive HCM cohort only for the purpose of this analysis</w:t>
      </w:r>
      <w:r w:rsidR="003C77E3" w:rsidRPr="00677B20">
        <w:rPr>
          <w:sz w:val="20"/>
        </w:rPr>
        <w:t>.</w:t>
      </w:r>
    </w:p>
    <w:p w14:paraId="210CE104" w14:textId="77777777" w:rsidR="0014636A" w:rsidRDefault="0014636A" w:rsidP="00F2772B">
      <w:pPr>
        <w:spacing w:after="0"/>
        <w:rPr>
          <w:sz w:val="20"/>
          <w:szCs w:val="20"/>
          <w:vertAlign w:val="superscript"/>
        </w:rPr>
      </w:pPr>
    </w:p>
    <w:p w14:paraId="7F073DE2" w14:textId="2D088E27" w:rsidR="00F2772B" w:rsidRDefault="00F2772B" w:rsidP="00F2772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  <w:vertAlign w:val="superscript"/>
        </w:rPr>
        <w:t>a</w:t>
      </w:r>
      <w:r w:rsidR="00143D0F" w:rsidRPr="00677B20">
        <w:rPr>
          <w:sz w:val="20"/>
          <w:szCs w:val="20"/>
        </w:rPr>
        <w:t>Documented</w:t>
      </w:r>
      <w:proofErr w:type="spellEnd"/>
      <w:r w:rsidR="00143D0F" w:rsidRPr="00677B20">
        <w:rPr>
          <w:sz w:val="20"/>
          <w:szCs w:val="20"/>
        </w:rPr>
        <w:t xml:space="preserve"> medical conditions that occurred in the 2 years before index obstructive HCM diagnosis, based on a pre</w:t>
      </w:r>
      <w:r w:rsidR="00C27F9F">
        <w:rPr>
          <w:sz w:val="20"/>
          <w:szCs w:val="20"/>
        </w:rPr>
        <w:t>-</w:t>
      </w:r>
      <w:r w:rsidR="00143D0F" w:rsidRPr="00677B20">
        <w:rPr>
          <w:sz w:val="20"/>
          <w:szCs w:val="20"/>
        </w:rPr>
        <w:t xml:space="preserve">specified </w:t>
      </w:r>
      <w:r w:rsidR="00143D0F" w:rsidRPr="00FE2ABF">
        <w:rPr>
          <w:sz w:val="20"/>
          <w:szCs w:val="20"/>
        </w:rPr>
        <w:t xml:space="preserve">list </w:t>
      </w:r>
      <w:r w:rsidR="006A7131" w:rsidRPr="00FE2ABF">
        <w:rPr>
          <w:sz w:val="20"/>
          <w:szCs w:val="20"/>
        </w:rPr>
        <w:t>informed by expert clinical opinion of the most common comorbid conditions observed in clinics considered relevant to understand the clinical and economic burden of HCM</w:t>
      </w:r>
      <w:r w:rsidR="00143D0F" w:rsidRPr="00677B20">
        <w:rPr>
          <w:sz w:val="20"/>
          <w:szCs w:val="20"/>
        </w:rPr>
        <w:t>.</w:t>
      </w:r>
      <w:r w:rsidR="00FF0131" w:rsidRPr="00677B20">
        <w:rPr>
          <w:sz w:val="20"/>
          <w:szCs w:val="20"/>
        </w:rPr>
        <w:t xml:space="preserve"> These include asthma, AF</w:t>
      </w:r>
      <w:r w:rsidR="00EA5DC9">
        <w:rPr>
          <w:sz w:val="20"/>
          <w:szCs w:val="20"/>
        </w:rPr>
        <w:t xml:space="preserve"> or </w:t>
      </w:r>
      <w:r w:rsidR="00FF0131" w:rsidRPr="00677B20">
        <w:rPr>
          <w:sz w:val="20"/>
          <w:szCs w:val="20"/>
        </w:rPr>
        <w:t xml:space="preserve">flutter, cardiac arrest, cardiac dysrhythmias, CKD, conduction disorders, COPD, previous deep vein thrombosis/pulmonary embolism, depression, dilated cardiomyopathy, heart transplant, ventricular assist device, previous </w:t>
      </w:r>
      <w:proofErr w:type="gramStart"/>
      <w:r w:rsidR="00FF0131" w:rsidRPr="00677B20">
        <w:rPr>
          <w:sz w:val="20"/>
          <w:szCs w:val="20"/>
        </w:rPr>
        <w:t>stroke</w:t>
      </w:r>
      <w:proofErr w:type="gramEnd"/>
      <w:r w:rsidR="00EA5DC9">
        <w:rPr>
          <w:sz w:val="20"/>
          <w:szCs w:val="20"/>
        </w:rPr>
        <w:t xml:space="preserve"> or </w:t>
      </w:r>
      <w:r w:rsidR="00FF0131" w:rsidRPr="00677B20">
        <w:rPr>
          <w:sz w:val="20"/>
          <w:szCs w:val="20"/>
        </w:rPr>
        <w:t>transient ischaemic attack, SRT, peripheral vascular disease, ischaemic heart disease, myocardial infarction, T1DM, T2DM, ICD insertion, pacemaker, hypertension, obstructive HCM family history. Patients may have had comorbid medical conditions; therefore, the listed medical conditions do not equate to the sum total of ‘Patients with at least one documented medical condition’.</w:t>
      </w:r>
    </w:p>
    <w:p w14:paraId="4115CCA0" w14:textId="77777777" w:rsidR="0014636A" w:rsidRDefault="0014636A" w:rsidP="00F2772B">
      <w:pPr>
        <w:spacing w:after="0"/>
        <w:rPr>
          <w:b/>
          <w:bCs/>
          <w:color w:val="FF0000"/>
          <w:sz w:val="20"/>
          <w:szCs w:val="20"/>
          <w:vertAlign w:val="superscript"/>
        </w:rPr>
      </w:pPr>
    </w:p>
    <w:p w14:paraId="375C73F5" w14:textId="0621285B" w:rsidR="0014636A" w:rsidRPr="00FE2ABF" w:rsidRDefault="0014636A" w:rsidP="00F2772B">
      <w:pPr>
        <w:spacing w:after="0"/>
        <w:rPr>
          <w:sz w:val="20"/>
          <w:szCs w:val="20"/>
        </w:rPr>
      </w:pPr>
      <w:proofErr w:type="spellStart"/>
      <w:r w:rsidRPr="00FE2ABF">
        <w:rPr>
          <w:sz w:val="20"/>
          <w:szCs w:val="20"/>
          <w:vertAlign w:val="superscript"/>
        </w:rPr>
        <w:t>b</w:t>
      </w:r>
      <w:r w:rsidRPr="00FE2ABF">
        <w:rPr>
          <w:rFonts w:eastAsia="Times New Roman" w:cs="Times New Roman"/>
          <w:sz w:val="20"/>
          <w:szCs w:val="20"/>
          <w:lang w:eastAsia="en-GB"/>
        </w:rPr>
        <w:t>i</w:t>
      </w:r>
      <w:r w:rsidRPr="00FE2ABF">
        <w:rPr>
          <w:rFonts w:eastAsia="Times New Roman" w:cs="Times New Roman"/>
          <w:sz w:val="20"/>
          <w:szCs w:val="20"/>
          <w:lang w:eastAsia="en-GB"/>
        </w:rPr>
        <w:t>ncludes</w:t>
      </w:r>
      <w:proofErr w:type="spellEnd"/>
      <w:r w:rsidRPr="00FE2ABF">
        <w:rPr>
          <w:rFonts w:eastAsia="Times New Roman" w:cs="Times New Roman"/>
          <w:sz w:val="20"/>
          <w:szCs w:val="20"/>
          <w:lang w:eastAsia="en-GB"/>
        </w:rPr>
        <w:t xml:space="preserve"> paroxysmal tachycardia (ICD-10: I47), atrial fibrillation and flutter (ICD-10: I48), and other cardiac arrhythmias (ICD-10: I49).</w:t>
      </w:r>
    </w:p>
    <w:p w14:paraId="56C58F92" w14:textId="77777777" w:rsidR="0014636A" w:rsidRDefault="0014636A" w:rsidP="00F2772B">
      <w:pPr>
        <w:spacing w:after="0"/>
        <w:rPr>
          <w:sz w:val="20"/>
          <w:szCs w:val="20"/>
          <w:vertAlign w:val="superscript"/>
        </w:rPr>
      </w:pPr>
    </w:p>
    <w:p w14:paraId="3ABE77AD" w14:textId="7C57FE59" w:rsidR="00F2772B" w:rsidRPr="00677B20" w:rsidRDefault="0014636A" w:rsidP="00F2772B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="00F2772B" w:rsidRPr="00677B20">
        <w:rPr>
          <w:sz w:val="20"/>
          <w:szCs w:val="20"/>
        </w:rPr>
        <w:t>Primary suppression applied to cells with &lt; 5 observations.</w:t>
      </w:r>
    </w:p>
    <w:p w14:paraId="30F95796" w14:textId="0BE5840A" w:rsidR="00D63D76" w:rsidRPr="00677B20" w:rsidRDefault="00D63D76" w:rsidP="00FF0131">
      <w:r w:rsidRPr="00677B20">
        <w:br w:type="page"/>
      </w:r>
    </w:p>
    <w:p w14:paraId="4CD15C0C" w14:textId="50367068" w:rsidR="00955BCC" w:rsidRPr="00677B20" w:rsidRDefault="00955BCC" w:rsidP="001335E8">
      <w:pPr>
        <w:pStyle w:val="Caption"/>
        <w:spacing w:line="480" w:lineRule="auto"/>
        <w:jc w:val="left"/>
        <w:rPr>
          <w:rFonts w:ascii="Times New Roman" w:hAnsi="Times New Roman"/>
          <w:color w:val="auto"/>
          <w:sz w:val="22"/>
          <w:szCs w:val="22"/>
        </w:rPr>
      </w:pPr>
      <w:r w:rsidRPr="00677B20">
        <w:rPr>
          <w:rFonts w:ascii="Times New Roman" w:hAnsi="Times New Roman"/>
          <w:color w:val="auto"/>
          <w:sz w:val="22"/>
          <w:szCs w:val="22"/>
        </w:rPr>
        <w:lastRenderedPageBreak/>
        <w:t>Table</w:t>
      </w:r>
      <w:bookmarkEnd w:id="4"/>
      <w:r w:rsidRPr="00677B20">
        <w:rPr>
          <w:rFonts w:ascii="Times New Roman" w:hAnsi="Times New Roman"/>
          <w:color w:val="auto"/>
          <w:sz w:val="22"/>
          <w:szCs w:val="22"/>
        </w:rPr>
        <w:t xml:space="preserve"> S</w:t>
      </w:r>
      <w:r w:rsidR="005E76A6" w:rsidRPr="00677B20">
        <w:rPr>
          <w:rFonts w:ascii="Times New Roman" w:hAnsi="Times New Roman"/>
          <w:color w:val="auto"/>
          <w:sz w:val="22"/>
          <w:szCs w:val="22"/>
        </w:rPr>
        <w:t>2</w:t>
      </w:r>
      <w:r w:rsidRPr="00677B20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Baseline active prescriptions for medication in the overall HCM cohort stratified by </w:t>
      </w:r>
      <w:bookmarkEnd w:id="5"/>
      <w:r w:rsidR="0060603C" w:rsidRPr="00677B20">
        <w:rPr>
          <w:rFonts w:ascii="Times New Roman" w:hAnsi="Times New Roman"/>
          <w:b w:val="0"/>
          <w:bCs w:val="0"/>
          <w:color w:val="auto"/>
          <w:sz w:val="22"/>
          <w:szCs w:val="22"/>
        </w:rPr>
        <w:t>HCM</w:t>
      </w:r>
      <w:r w:rsidR="0060603C">
        <w:rPr>
          <w:rFonts w:ascii="Times New Roman" w:hAnsi="Times New Roman"/>
          <w:b w:val="0"/>
          <w:bCs w:val="0"/>
          <w:color w:val="auto"/>
          <w:sz w:val="22"/>
          <w:szCs w:val="22"/>
        </w:rPr>
        <w:t> 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22"/>
        </w:rPr>
        <w:t>cohort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5BCC" w:rsidRPr="00677B20" w14:paraId="70C8C7CC" w14:textId="77777777" w:rsidTr="005967FB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C518F2" w14:textId="6A245E02" w:rsidR="00955BCC" w:rsidRPr="00677B20" w:rsidRDefault="00955BCC" w:rsidP="001335E8">
            <w:pPr>
              <w:pStyle w:val="Table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Medication</w:t>
            </w:r>
            <w:r w:rsidR="002E0E7F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, </w:t>
            </w:r>
            <w:r w:rsidR="002E0E7F" w:rsidRPr="001335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GB"/>
              </w:rPr>
              <w:t>n</w:t>
            </w:r>
            <w:r w:rsidR="002E0E7F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(%)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5AB490" w14:textId="77777777" w:rsidR="00955BCC" w:rsidRPr="00677B20" w:rsidRDefault="00955BCC" w:rsidP="002E0E7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Overall HCM</w:t>
            </w:r>
          </w:p>
          <w:p w14:paraId="0CCDB814" w14:textId="5A7B0CB0" w:rsidR="00955BCC" w:rsidRPr="00677B20" w:rsidRDefault="00955BCC" w:rsidP="002E0E7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GB"/>
              </w:rPr>
              <w:t>n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=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6440)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1BA0D8" w14:textId="60D647FC" w:rsidR="00955BCC" w:rsidRPr="00677B20" w:rsidRDefault="00955BCC" w:rsidP="002E0E7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Obstructive HCM 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br/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GB"/>
              </w:rPr>
              <w:t>n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=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3730)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F6668A" w14:textId="66DAF58C" w:rsidR="00955BCC" w:rsidRPr="00677B20" w:rsidRDefault="00955BCC" w:rsidP="002E0E7F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Non-obstructive HCM (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GB"/>
              </w:rPr>
              <w:t>n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=</w:t>
            </w:r>
            <w:r w:rsidR="00BD147D"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>2710)</w:t>
            </w:r>
          </w:p>
        </w:tc>
      </w:tr>
      <w:tr w:rsidR="004D48CD" w:rsidRPr="00677B20" w14:paraId="525FC582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1A5CD20" w14:textId="5BB5BC3A" w:rsidR="004D48CD" w:rsidRPr="00677B20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Patients with</w:t>
            </w:r>
            <w:r w:rsidR="00143D0F"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no known baseline active prescription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BB33BF" w14:textId="12DCEE17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131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3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(20.4)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BCE82D" w14:textId="3C4DB802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682 (18.3)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23CC42" w14:textId="77777777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631 (23.3)</w:t>
            </w:r>
          </w:p>
        </w:tc>
      </w:tr>
      <w:tr w:rsidR="004D48CD" w:rsidRPr="00677B20" w14:paraId="7CDB43D8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F28FBA5" w14:textId="33CC45B3" w:rsidR="004D48CD" w:rsidRPr="00677B20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Patients with at least one known </w:t>
            </w:r>
            <w:r w:rsidR="00143D0F" w:rsidRPr="00677B20">
              <w:rPr>
                <w:rFonts w:ascii="Times New Roman" w:hAnsi="Times New Roman" w:cs="Times New Roman"/>
                <w:color w:val="auto"/>
                <w:lang w:eastAsia="en-GB"/>
              </w:rPr>
              <w:t>baseline active prescription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4AC69B" w14:textId="229B4F19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512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7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(79.6)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B1DDBC" w14:textId="72466B31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3048 (81.7)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943C55" w14:textId="69B9922A" w:rsidR="004D48CD" w:rsidRPr="00677B20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2079 (76.7)</w:t>
            </w:r>
          </w:p>
        </w:tc>
      </w:tr>
      <w:tr w:rsidR="004D48CD" w:rsidRPr="00677B20" w14:paraId="677CE498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2C6B3CD" w14:textId="63C071E8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Blood</w:t>
            </w:r>
            <w:r w:rsidR="005A598E" w:rsidRPr="00677B20">
              <w:rPr>
                <w:rFonts w:ascii="Times New Roman" w:hAnsi="Times New Roman" w:cs="Times New Roman"/>
                <w:color w:val="auto"/>
                <w:lang w:eastAsia="en-GB"/>
              </w:rPr>
              <w:t>-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pressure lowering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EC7C8B" w14:textId="257E5F98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478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4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(74.3)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729566" w14:textId="190151BE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2866 (76.8)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DA3DAC" w14:textId="694A0411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1918 (70.8)</w:t>
            </w:r>
          </w:p>
        </w:tc>
      </w:tr>
      <w:tr w:rsidR="004D48CD" w:rsidRPr="00677B20" w14:paraId="312D4429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D5A97D3" w14:textId="77777777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Amiodarone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7F561D" w14:textId="77777777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283 (4.4)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1775EB" w14:textId="09C64092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193 (5.</w:t>
            </w:r>
            <w:r w:rsidR="002047B1" w:rsidRPr="00677B2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77B2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139AFA" w14:textId="77777777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90 (3.3)</w:t>
            </w:r>
          </w:p>
        </w:tc>
      </w:tr>
      <w:tr w:rsidR="004D48CD" w:rsidRPr="00677B20" w14:paraId="01121899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09C9C7B" w14:textId="77777777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Statins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2BEE62" w14:textId="3E674B11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300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2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(46.6)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64D4F5" w14:textId="0C3F2D6D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1760 (47.2)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4A8D0F" w14:textId="66ABDD20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1242 (45.8)</w:t>
            </w:r>
          </w:p>
        </w:tc>
      </w:tr>
      <w:tr w:rsidR="004D48CD" w:rsidRPr="00677B20" w14:paraId="1CDF84C9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E465624" w14:textId="77777777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Antiplatelet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636229" w14:textId="168CBA9A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219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8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(34.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1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B9A9B5" w14:textId="3D707148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1291 (34.6)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B048A5" w14:textId="77777777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907 (33.5)</w:t>
            </w:r>
          </w:p>
        </w:tc>
      </w:tr>
      <w:tr w:rsidR="004D48CD" w:rsidRPr="00677B20" w14:paraId="3B1FD7D6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45F5D841" w14:textId="77777777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Anticoagulant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76092A" w14:textId="7C9E0933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100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5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(15.6)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4A31AD" w14:textId="08BEAEEB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599 (16.1)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609423" w14:textId="77777777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406 (15.0)</w:t>
            </w:r>
          </w:p>
        </w:tc>
      </w:tr>
      <w:tr w:rsidR="004D48CD" w:rsidRPr="00677B20" w14:paraId="252FD53C" w14:textId="77777777" w:rsidTr="001335E8">
        <w:trPr>
          <w:trHeight w:val="283"/>
        </w:trPr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4FA7ED68" w14:textId="77777777" w:rsidR="004D48CD" w:rsidRPr="00677B20" w:rsidDel="0026312D" w:rsidRDefault="004D48C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Aspirin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4B7F40" w14:textId="36F08C0B" w:rsidR="004D48CD" w:rsidRPr="00677B20" w:rsidDel="00756E6A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201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8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 xml:space="preserve"> (31.</w:t>
            </w:r>
            <w:r w:rsidR="00055D76" w:rsidRPr="00677B20">
              <w:rPr>
                <w:rFonts w:ascii="Times New Roman" w:hAnsi="Times New Roman" w:cs="Times New Roman"/>
                <w:color w:val="auto"/>
                <w:lang w:eastAsia="en-GB"/>
              </w:rPr>
              <w:t>3</w:t>
            </w:r>
            <w:r w:rsidRPr="00677B20">
              <w:rPr>
                <w:rFonts w:ascii="Times New Roman" w:hAnsi="Times New Roman" w:cs="Times New Roman"/>
                <w:color w:val="auto"/>
                <w:lang w:eastAsia="en-GB"/>
              </w:rPr>
              <w:t>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5DBD9A" w14:textId="2AF7253A" w:rsidR="004D48CD" w:rsidRPr="00677B20" w:rsidDel="004D411F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</w:rPr>
              <w:t>1194 (32.0)</w:t>
            </w:r>
          </w:p>
        </w:tc>
        <w:tc>
          <w:tcPr>
            <w:tcW w:w="2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3F8075" w14:textId="77777777" w:rsidR="004D48CD" w:rsidRPr="00677B20" w:rsidDel="00D01274" w:rsidRDefault="004D48CD" w:rsidP="0060603C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824 (30.4)</w:t>
            </w:r>
          </w:p>
        </w:tc>
      </w:tr>
    </w:tbl>
    <w:p w14:paraId="534649BA" w14:textId="23358936" w:rsidR="00B91513" w:rsidRPr="00677B20" w:rsidRDefault="00BD147D" w:rsidP="001335E8">
      <w:pPr>
        <w:pStyle w:val="Caption"/>
        <w:spacing w:before="0" w:after="0" w:line="240" w:lineRule="auto"/>
        <w:jc w:val="left"/>
        <w:rPr>
          <w:rFonts w:ascii="Times New Roman" w:hAnsi="Times New Roman"/>
          <w:b w:val="0"/>
          <w:bCs w:val="0"/>
          <w:color w:val="auto"/>
          <w:sz w:val="20"/>
          <w:szCs w:val="16"/>
        </w:rPr>
      </w:pPr>
      <w:r w:rsidRPr="00677B20">
        <w:rPr>
          <w:rFonts w:ascii="Times New Roman" w:hAnsi="Times New Roman"/>
          <w:b w:val="0"/>
          <w:bCs w:val="0"/>
          <w:color w:val="auto"/>
          <w:sz w:val="20"/>
          <w:szCs w:val="16"/>
        </w:rPr>
        <w:t>HCM, hypertrophic cardiomyopathy</w:t>
      </w:r>
      <w:r w:rsidR="0060603C">
        <w:rPr>
          <w:rFonts w:ascii="Times New Roman" w:hAnsi="Times New Roman"/>
          <w:b w:val="0"/>
          <w:bCs w:val="0"/>
          <w:color w:val="auto"/>
          <w:sz w:val="20"/>
          <w:szCs w:val="16"/>
        </w:rPr>
        <w:t>.</w:t>
      </w:r>
      <w:r w:rsidR="00D07DEA" w:rsidRPr="00677B20">
        <w:rPr>
          <w:rFonts w:ascii="Times New Roman" w:hAnsi="Times New Roman"/>
          <w:b w:val="0"/>
          <w:bCs w:val="0"/>
          <w:color w:val="auto"/>
          <w:sz w:val="20"/>
          <w:szCs w:val="16"/>
        </w:rPr>
        <w:br/>
      </w:r>
      <w:bookmarkStart w:id="7" w:name="_Hlk155783249"/>
      <w:r w:rsidR="00B91513" w:rsidRPr="00677B20">
        <w:rPr>
          <w:rFonts w:ascii="Times New Roman" w:hAnsi="Times New Roman"/>
          <w:b w:val="0"/>
          <w:bCs w:val="0"/>
          <w:color w:val="auto"/>
          <w:sz w:val="20"/>
        </w:rPr>
        <w:t>Unspecified HCM cohort was included within the non-obstructive HCM cohort</w:t>
      </w:r>
      <w:bookmarkEnd w:id="7"/>
      <w:r w:rsidR="00B91513" w:rsidRPr="00677B20">
        <w:rPr>
          <w:rFonts w:ascii="Times New Roman" w:hAnsi="Times New Roman"/>
          <w:b w:val="0"/>
          <w:bCs w:val="0"/>
          <w:color w:val="auto"/>
          <w:sz w:val="20"/>
        </w:rPr>
        <w:t xml:space="preserve">. </w:t>
      </w:r>
      <w:bookmarkStart w:id="8" w:name="_Hlk155783218"/>
      <w:r w:rsidR="0060603C">
        <w:rPr>
          <w:rFonts w:ascii="Times New Roman" w:hAnsi="Times New Roman"/>
          <w:b w:val="0"/>
          <w:bCs w:val="0"/>
          <w:color w:val="auto"/>
          <w:sz w:val="20"/>
        </w:rPr>
        <w:t xml:space="preserve">The </w:t>
      </w:r>
      <w:r w:rsidR="00B91513" w:rsidRPr="00677B20">
        <w:rPr>
          <w:rFonts w:ascii="Times New Roman" w:hAnsi="Times New Roman"/>
          <w:b w:val="0"/>
          <w:bCs w:val="0"/>
          <w:color w:val="auto"/>
          <w:sz w:val="20"/>
        </w:rPr>
        <w:t>22 patients who had a diagnosis of non-obstructive HCM followed by a diagnosis of obstructive HCM during the follow-up period were assigned to the obstructive HCM cohort only for the purpose of this analysis.</w:t>
      </w:r>
    </w:p>
    <w:bookmarkEnd w:id="8"/>
    <w:p w14:paraId="2D904CDC" w14:textId="65DC08E9" w:rsidR="001B0762" w:rsidRPr="00677B20" w:rsidRDefault="001B0762" w:rsidP="001B0762">
      <w:pPr>
        <w:pStyle w:val="Caption"/>
        <w:spacing w:before="0" w:line="240" w:lineRule="auto"/>
        <w:jc w:val="left"/>
        <w:rPr>
          <w:rFonts w:ascii="Times New Roman" w:hAnsi="Times New Roman"/>
          <w:b w:val="0"/>
          <w:bCs w:val="0"/>
          <w:color w:val="auto"/>
          <w:sz w:val="20"/>
          <w:szCs w:val="16"/>
        </w:rPr>
      </w:pPr>
      <w:r w:rsidRPr="00677B20">
        <w:rPr>
          <w:rFonts w:ascii="Times New Roman" w:hAnsi="Times New Roman"/>
          <w:b w:val="0"/>
          <w:bCs w:val="0"/>
          <w:color w:val="auto"/>
          <w:sz w:val="20"/>
          <w:szCs w:val="16"/>
        </w:rPr>
        <w:t>Baseline active prescriptions were based on prescribing dates before the index date within a 6-week look</w:t>
      </w:r>
      <w:r w:rsidR="0060603C">
        <w:rPr>
          <w:rFonts w:ascii="Times New Roman" w:hAnsi="Times New Roman"/>
          <w:b w:val="0"/>
          <w:bCs w:val="0"/>
          <w:color w:val="auto"/>
          <w:sz w:val="20"/>
          <w:szCs w:val="16"/>
        </w:rPr>
        <w:t>-</w:t>
      </w:r>
      <w:r w:rsidRPr="00677B20">
        <w:rPr>
          <w:rFonts w:ascii="Times New Roman" w:hAnsi="Times New Roman"/>
          <w:b w:val="0"/>
          <w:bCs w:val="0"/>
          <w:color w:val="auto"/>
          <w:sz w:val="20"/>
          <w:szCs w:val="16"/>
        </w:rPr>
        <w:t>back period. The look-back period for all other characteristics and outcomes is 2 years before</w:t>
      </w:r>
      <w:r w:rsidR="0060603C">
        <w:rPr>
          <w:rFonts w:ascii="Times New Roman" w:hAnsi="Times New Roman"/>
          <w:b w:val="0"/>
          <w:bCs w:val="0"/>
          <w:color w:val="auto"/>
          <w:sz w:val="20"/>
          <w:szCs w:val="16"/>
        </w:rPr>
        <w:t xml:space="preserve"> the</w:t>
      </w:r>
      <w:r w:rsidRPr="00677B20">
        <w:rPr>
          <w:rFonts w:ascii="Times New Roman" w:hAnsi="Times New Roman"/>
          <w:b w:val="0"/>
          <w:bCs w:val="0"/>
          <w:color w:val="auto"/>
          <w:sz w:val="20"/>
          <w:szCs w:val="16"/>
        </w:rPr>
        <w:t xml:space="preserve"> index date.</w:t>
      </w:r>
    </w:p>
    <w:p w14:paraId="577FB10A" w14:textId="715F4DF1" w:rsidR="00955BCC" w:rsidRPr="00677B20" w:rsidRDefault="00955BCC" w:rsidP="00010AB4">
      <w:pPr>
        <w:spacing w:before="200" w:after="60" w:line="480" w:lineRule="auto"/>
        <w:rPr>
          <w:rFonts w:eastAsia="Calibri" w:cs="Times New Roman"/>
          <w:b/>
          <w:bCs/>
          <w:sz w:val="36"/>
          <w:szCs w:val="28"/>
        </w:rPr>
      </w:pPr>
      <w:r w:rsidRPr="00677B20">
        <w:rPr>
          <w:rFonts w:cs="Times New Roman"/>
          <w:sz w:val="36"/>
          <w:szCs w:val="32"/>
        </w:rPr>
        <w:br w:type="page"/>
      </w:r>
    </w:p>
    <w:p w14:paraId="2FC3BE3B" w14:textId="26D322B9" w:rsidR="00955BCC" w:rsidRPr="00677B20" w:rsidRDefault="00955BCC" w:rsidP="005153A5">
      <w:pPr>
        <w:spacing w:after="160" w:line="480" w:lineRule="auto"/>
        <w:rPr>
          <w:sz w:val="22"/>
          <w:szCs w:val="18"/>
        </w:rPr>
      </w:pPr>
      <w:bookmarkStart w:id="9" w:name="_Ref132987303"/>
      <w:bookmarkStart w:id="10" w:name="_Toc134799442"/>
      <w:bookmarkEnd w:id="2"/>
      <w:bookmarkEnd w:id="3"/>
      <w:r w:rsidRPr="00677B20">
        <w:rPr>
          <w:b/>
          <w:bCs/>
          <w:sz w:val="22"/>
          <w:szCs w:val="18"/>
        </w:rPr>
        <w:lastRenderedPageBreak/>
        <w:t>Table</w:t>
      </w:r>
      <w:bookmarkEnd w:id="9"/>
      <w:r w:rsidRPr="00677B20">
        <w:rPr>
          <w:b/>
          <w:bCs/>
          <w:sz w:val="22"/>
          <w:szCs w:val="18"/>
        </w:rPr>
        <w:t xml:space="preserve"> S</w:t>
      </w:r>
      <w:r w:rsidR="008E7F66" w:rsidRPr="00677B20">
        <w:rPr>
          <w:b/>
          <w:bCs/>
          <w:sz w:val="22"/>
          <w:szCs w:val="18"/>
        </w:rPr>
        <w:t>3</w:t>
      </w:r>
      <w:r w:rsidRPr="00677B20">
        <w:rPr>
          <w:sz w:val="22"/>
          <w:szCs w:val="18"/>
        </w:rPr>
        <w:t xml:space="preserve"> Top 20 </w:t>
      </w:r>
      <w:r w:rsidR="001B0EB9" w:rsidRPr="00677B20">
        <w:rPr>
          <w:sz w:val="22"/>
          <w:szCs w:val="18"/>
        </w:rPr>
        <w:t>initial treatments observed</w:t>
      </w:r>
      <w:r w:rsidRPr="00677B20">
        <w:rPr>
          <w:sz w:val="22"/>
          <w:szCs w:val="18"/>
        </w:rPr>
        <w:t xml:space="preserve"> in the obstructive HCM cohort</w:t>
      </w:r>
      <w:bookmarkEnd w:id="10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01"/>
        <w:gridCol w:w="1488"/>
        <w:gridCol w:w="1527"/>
      </w:tblGrid>
      <w:tr w:rsidR="00DE35E9" w:rsidRPr="00677B20" w14:paraId="70360940" w14:textId="77777777" w:rsidTr="00DE35E9">
        <w:trPr>
          <w:trHeight w:val="283"/>
        </w:trPr>
        <w:tc>
          <w:tcPr>
            <w:tcW w:w="3328" w:type="pct"/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871313E" w14:textId="3AEBB75C" w:rsidR="00DE35E9" w:rsidRPr="00677B20" w:rsidRDefault="00DE35E9" w:rsidP="00081342">
            <w:pPr>
              <w:pStyle w:val="Table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 xml:space="preserve">Treatment </w:t>
            </w:r>
          </w:p>
        </w:tc>
        <w:tc>
          <w:tcPr>
            <w:tcW w:w="825" w:type="pct"/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097B0E97" w14:textId="427B8F09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Patient</w:t>
            </w:r>
            <w:r w:rsidR="00D93B88"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s</w:t>
            </w:r>
            <w:r w:rsidR="00C82E15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,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 xml:space="preserve"> </w:t>
            </w:r>
            <w:r w:rsidRPr="00677B2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24"/>
              </w:rPr>
              <w:t>n</w:t>
            </w:r>
          </w:p>
        </w:tc>
        <w:tc>
          <w:tcPr>
            <w:tcW w:w="847" w:type="pct"/>
            <w:shd w:val="clear" w:color="auto" w:fill="E0E2E6" w:themeFill="background2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0EB5C05" w14:textId="7D2A42F1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Patient</w:t>
            </w:r>
            <w:r w:rsidR="00D93B88"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s</w:t>
            </w:r>
            <w:r w:rsidR="00C82E15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>,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kern w:val="24"/>
              </w:rPr>
              <w:t xml:space="preserve"> %</w:t>
            </w:r>
          </w:p>
        </w:tc>
      </w:tr>
      <w:tr w:rsidR="00DE35E9" w:rsidRPr="00677B20" w14:paraId="5C6ABA7F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40DC97E" w14:textId="097FB425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7FF7E0AE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1995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373615B" w14:textId="6F7D2F5C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64.7</w:t>
            </w:r>
          </w:p>
        </w:tc>
      </w:tr>
      <w:tr w:rsidR="00DE35E9" w:rsidRPr="00677B20" w14:paraId="7908586C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05817D32" w14:textId="032EAAA4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atenolol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3AC9F96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282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20730EB7" w14:textId="464B63B1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9.1</w:t>
            </w:r>
          </w:p>
        </w:tc>
      </w:tr>
      <w:tr w:rsidR="00DE35E9" w:rsidRPr="00677B20" w14:paraId="346DC03D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0350E2F" w14:textId="3054F5B9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C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verapamil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1E6E1118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260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7F928E65" w14:textId="3D0759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8.4</w:t>
            </w:r>
          </w:p>
        </w:tc>
      </w:tr>
      <w:tr w:rsidR="00DE35E9" w:rsidRPr="00677B20" w14:paraId="274B2705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7174AE43" w14:textId="46639120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C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diltiazem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244E32D5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139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700DDD5" w14:textId="0AC9E81A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4.5</w:t>
            </w:r>
          </w:p>
        </w:tc>
      </w:tr>
      <w:tr w:rsidR="00DE35E9" w:rsidRPr="00677B20" w14:paraId="1C49E98E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0924C136" w14:textId="74C35E13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nebivolol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6214F8A6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47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993F5CF" w14:textId="0E07C7D8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1.5</w:t>
            </w:r>
          </w:p>
        </w:tc>
      </w:tr>
      <w:tr w:rsidR="00DE35E9" w:rsidRPr="00677B20" w14:paraId="31D314BA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A91C0E1" w14:textId="557D446F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 + disopyramide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24A15ED7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46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14:paraId="5DC0358C" w14:textId="62E2BC1A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lang w:eastAsia="en-GB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1.5</w:t>
            </w:r>
          </w:p>
        </w:tc>
      </w:tr>
      <w:tr w:rsidR="00DE35E9" w:rsidRPr="00677B20" w14:paraId="3D191B0A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9CEE762" w14:textId="41B73F39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propranolol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18F5CD6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46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3E96D76" w14:textId="48320F72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1.5</w:t>
            </w:r>
          </w:p>
        </w:tc>
      </w:tr>
      <w:tr w:rsidR="00DE35E9" w:rsidRPr="00677B20" w14:paraId="599DC6A0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72F19F1" w14:textId="2E0152F0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carvedilol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502D4B8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40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48A76A17" w14:textId="673A22B1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1.3</w:t>
            </w:r>
          </w:p>
        </w:tc>
      </w:tr>
      <w:tr w:rsidR="00DE35E9" w:rsidRPr="00677B20" w14:paraId="39EACB40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4D9D2E7" w14:textId="7DEAF52C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metoprolol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37C952E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40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D73AE19" w14:textId="66D2F76E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1.3</w:t>
            </w:r>
          </w:p>
        </w:tc>
      </w:tr>
      <w:tr w:rsidR="00DE35E9" w:rsidRPr="00677B20" w14:paraId="10FEF84B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F842BBD" w14:textId="7A28EC14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 + 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diltiazem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C8EFB88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37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4544C46" w14:textId="00F9DFD4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1.2</w:t>
            </w:r>
          </w:p>
        </w:tc>
      </w:tr>
      <w:tr w:rsidR="00DE35E9" w:rsidRPr="00677B20" w14:paraId="53920AC0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0880713" w14:textId="0422DC8C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 + 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verapamil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D8435BA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22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40DE188" w14:textId="00BC6D30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0.7</w:t>
            </w:r>
          </w:p>
        </w:tc>
      </w:tr>
      <w:tr w:rsidR="00DE35E9" w:rsidRPr="00677B20" w14:paraId="1089BFAF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4B35AC4" w14:textId="6033A99A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atenolol + 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FADE414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19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D1382B3" w14:textId="161FE5CB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0.6</w:t>
            </w:r>
          </w:p>
        </w:tc>
      </w:tr>
      <w:tr w:rsidR="00DE35E9" w:rsidRPr="00677B20" w14:paraId="2CF51E08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F8B47F6" w14:textId="77777777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Disopyramide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D54625C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18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94E53E3" w14:textId="491F58CB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0.6</w:t>
            </w:r>
          </w:p>
        </w:tc>
      </w:tr>
      <w:tr w:rsidR="00DE35E9" w:rsidRPr="00677B20" w14:paraId="1595A526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28DE854" w14:textId="38FE5CE7" w:rsidR="00DE35E9" w:rsidRPr="00677B20" w:rsidRDefault="005F266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BB</w:t>
            </w:r>
            <w:r w:rsidR="00DE35E9"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atenolol + disopyramide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916CD09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15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AC4A909" w14:textId="676DCA98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0.5</w:t>
            </w:r>
          </w:p>
        </w:tc>
      </w:tr>
      <w:tr w:rsidR="00DE35E9" w:rsidRPr="00677B20" w14:paraId="25C773F8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8ED656B" w14:textId="113EC93C" w:rsidR="00DE35E9" w:rsidRPr="00677B20" w:rsidRDefault="005F266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CCB</w:t>
            </w:r>
            <w:r w:rsidR="00DE35E9"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verapamil + disopyramide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36587FB5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14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C280151" w14:textId="2409474C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0.5</w:t>
            </w:r>
          </w:p>
        </w:tc>
      </w:tr>
      <w:tr w:rsidR="00DE35E9" w:rsidRPr="00677B20" w14:paraId="60054BED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FB8A82A" w14:textId="0FB6569D" w:rsidR="00DE35E9" w:rsidRPr="00677B20" w:rsidRDefault="005F266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BB</w:t>
            </w:r>
            <w:r w:rsidR="00DE35E9"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atenolol + C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CB</w:t>
            </w:r>
            <w:r w:rsidR="00DE35E9"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diltiazem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A184082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13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2F6F6869" w14:textId="4E25E2F4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0.4</w:t>
            </w:r>
          </w:p>
        </w:tc>
      </w:tr>
      <w:tr w:rsidR="00DE35E9" w:rsidRPr="00677B20" w14:paraId="4D9BAD94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463E9D63" w14:textId="61257D74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nadolol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B28B415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5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39170A9" w14:textId="394B1D8C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0.2</w:t>
            </w:r>
          </w:p>
        </w:tc>
      </w:tr>
      <w:tr w:rsidR="00DE35E9" w:rsidRPr="00677B20" w14:paraId="20800201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85EEAB8" w14:textId="2D1D2F84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C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diltiazem + disopyramide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C5F7A86" w14:textId="77777777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5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5EC2CD1" w14:textId="477A3DAC" w:rsidR="00DE35E9" w:rsidRPr="00677B20" w:rsidRDefault="00DE35E9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0.2</w:t>
            </w:r>
          </w:p>
        </w:tc>
      </w:tr>
      <w:tr w:rsidR="00DE35E9" w:rsidRPr="00677B20" w14:paraId="66CC9FBD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69D99D0E" w14:textId="7F5EE971" w:rsidR="00DE35E9" w:rsidRPr="00677B20" w:rsidRDefault="00DE35E9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atenolol + C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CB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verapamil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5C6B00DE" w14:textId="772E985F" w:rsidR="00DE35E9" w:rsidRPr="00677B20" w:rsidRDefault="005656BD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NR</w:t>
            </w:r>
            <w:r w:rsidR="005F266D" w:rsidRPr="00677B20"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GB"/>
              </w:rPr>
              <w:t>a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100D3C3D" w14:textId="51986C52" w:rsidR="00DE35E9" w:rsidRPr="00677B20" w:rsidRDefault="005656BD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NR</w:t>
            </w:r>
            <w:r w:rsidR="005F266D" w:rsidRPr="00677B20"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GB"/>
              </w:rPr>
              <w:t>a</w:t>
            </w:r>
          </w:p>
        </w:tc>
      </w:tr>
      <w:tr w:rsidR="005656BD" w:rsidRPr="00677B20" w14:paraId="5883D748" w14:textId="77777777" w:rsidTr="00525722">
        <w:trPr>
          <w:trHeight w:val="283"/>
        </w:trPr>
        <w:tc>
          <w:tcPr>
            <w:tcW w:w="3328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7CEDAB71" w14:textId="4C0F4FFA" w:rsidR="005656BD" w:rsidRPr="00677B20" w:rsidRDefault="005656BD" w:rsidP="00010AB4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bisoprolol + B</w:t>
            </w:r>
            <w:r w:rsidR="005F266D" w:rsidRPr="00677B20">
              <w:rPr>
                <w:rFonts w:ascii="Times New Roman" w:hAnsi="Times New Roman" w:cs="Times New Roman"/>
                <w:color w:val="auto"/>
                <w:kern w:val="24"/>
              </w:rPr>
              <w:t>B</w:t>
            </w:r>
            <w:r w:rsidRPr="00677B20">
              <w:rPr>
                <w:rFonts w:ascii="Times New Roman" w:hAnsi="Times New Roman" w:cs="Times New Roman"/>
                <w:color w:val="auto"/>
                <w:kern w:val="24"/>
              </w:rPr>
              <w:t xml:space="preserve"> – propranolol</w:t>
            </w:r>
          </w:p>
        </w:tc>
        <w:tc>
          <w:tcPr>
            <w:tcW w:w="825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44D710A7" w14:textId="027BF846" w:rsidR="005656BD" w:rsidRPr="00677B20" w:rsidRDefault="005656BD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NR</w:t>
            </w:r>
            <w:r w:rsidR="005F266D" w:rsidRPr="00677B20"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GB"/>
              </w:rPr>
              <w:t>a</w:t>
            </w:r>
          </w:p>
        </w:tc>
        <w:tc>
          <w:tcPr>
            <w:tcW w:w="847" w:type="pct"/>
            <w:shd w:val="clear" w:color="000000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14:paraId="09A6A13A" w14:textId="68F04FB9" w:rsidR="005656BD" w:rsidRPr="00677B20" w:rsidRDefault="005656BD" w:rsidP="00081342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677B20">
              <w:rPr>
                <w:rFonts w:ascii="Times New Roman" w:hAnsi="Times New Roman" w:cs="Times New Roman"/>
                <w:color w:val="000000" w:themeColor="text1"/>
                <w:lang w:eastAsia="en-GB"/>
              </w:rPr>
              <w:t>NR</w:t>
            </w:r>
            <w:r w:rsidR="005F266D" w:rsidRPr="00677B20">
              <w:rPr>
                <w:rFonts w:ascii="Times New Roman" w:hAnsi="Times New Roman" w:cs="Times New Roman"/>
                <w:color w:val="000000" w:themeColor="text1"/>
                <w:vertAlign w:val="superscript"/>
                <w:lang w:eastAsia="en-GB"/>
              </w:rPr>
              <w:t>a</w:t>
            </w:r>
          </w:p>
        </w:tc>
      </w:tr>
    </w:tbl>
    <w:p w14:paraId="5F175A20" w14:textId="427F2D88" w:rsidR="00955BCC" w:rsidRPr="00677B20" w:rsidRDefault="005F266D" w:rsidP="006523C1">
      <w:pPr>
        <w:spacing w:after="160" w:line="240" w:lineRule="auto"/>
        <w:rPr>
          <w:rFonts w:cs="Times New Roman"/>
          <w:color w:val="000000" w:themeColor="text1"/>
          <w:sz w:val="20"/>
          <w:szCs w:val="20"/>
        </w:rPr>
      </w:pPr>
      <w:r w:rsidRPr="00677B20">
        <w:rPr>
          <w:rFonts w:cs="Times New Roman"/>
          <w:sz w:val="20"/>
          <w:szCs w:val="20"/>
        </w:rPr>
        <w:t>BB, beta-blocker; CCB, calcium</w:t>
      </w:r>
      <w:r w:rsidR="00E56C04" w:rsidRPr="00677B20">
        <w:rPr>
          <w:rFonts w:cs="Times New Roman"/>
          <w:sz w:val="20"/>
          <w:szCs w:val="20"/>
        </w:rPr>
        <w:t xml:space="preserve"> </w:t>
      </w:r>
      <w:r w:rsidRPr="00677B20">
        <w:rPr>
          <w:rFonts w:cs="Times New Roman"/>
          <w:sz w:val="20"/>
          <w:szCs w:val="20"/>
        </w:rPr>
        <w:t>channel</w:t>
      </w:r>
      <w:r w:rsidR="00E56C04" w:rsidRPr="00677B20">
        <w:rPr>
          <w:rFonts w:cs="Times New Roman"/>
          <w:sz w:val="20"/>
          <w:szCs w:val="20"/>
        </w:rPr>
        <w:t xml:space="preserve"> </w:t>
      </w:r>
      <w:r w:rsidRPr="00677B20">
        <w:rPr>
          <w:rFonts w:cs="Times New Roman"/>
          <w:sz w:val="20"/>
          <w:szCs w:val="20"/>
        </w:rPr>
        <w:t>blocker;</w:t>
      </w:r>
      <w:r w:rsidR="00081342" w:rsidRPr="00677B20">
        <w:rPr>
          <w:rFonts w:cs="Times New Roman"/>
          <w:sz w:val="20"/>
          <w:szCs w:val="20"/>
        </w:rPr>
        <w:t xml:space="preserve"> 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HCM, hypertrophic cardiomyopathy; NR, not </w:t>
      </w:r>
      <w:r w:rsidR="00EA5DC9" w:rsidRPr="00677B20">
        <w:rPr>
          <w:rFonts w:cs="Times New Roman"/>
          <w:color w:val="000000" w:themeColor="text1"/>
          <w:sz w:val="20"/>
          <w:szCs w:val="20"/>
        </w:rPr>
        <w:t>re</w:t>
      </w:r>
      <w:r w:rsidR="00EA5DC9">
        <w:rPr>
          <w:rFonts w:cs="Times New Roman"/>
          <w:color w:val="000000" w:themeColor="text1"/>
          <w:sz w:val="20"/>
          <w:szCs w:val="20"/>
        </w:rPr>
        <w:t>porte</w:t>
      </w:r>
      <w:r w:rsidR="00EA5DC9" w:rsidRPr="00677B20">
        <w:rPr>
          <w:rFonts w:cs="Times New Roman"/>
          <w:color w:val="000000" w:themeColor="text1"/>
          <w:sz w:val="20"/>
          <w:szCs w:val="20"/>
        </w:rPr>
        <w:t>d</w:t>
      </w:r>
      <w:r w:rsidRPr="00677B20">
        <w:rPr>
          <w:rFonts w:cs="Times New Roman"/>
          <w:color w:val="000000" w:themeColor="text1"/>
          <w:sz w:val="20"/>
          <w:szCs w:val="20"/>
        </w:rPr>
        <w:t>.</w:t>
      </w:r>
      <w:r w:rsidR="00D07DEA" w:rsidRPr="00677B20">
        <w:rPr>
          <w:rFonts w:cs="Times New Roman"/>
          <w:color w:val="000000" w:themeColor="text1"/>
          <w:sz w:val="20"/>
          <w:szCs w:val="20"/>
        </w:rPr>
        <w:br/>
      </w:r>
      <w:proofErr w:type="spellStart"/>
      <w:r w:rsidRPr="00677B20">
        <w:rPr>
          <w:rFonts w:cs="Times New Roman"/>
          <w:color w:val="000000" w:themeColor="text1"/>
          <w:sz w:val="20"/>
          <w:szCs w:val="20"/>
          <w:vertAlign w:val="superscript"/>
          <w:lang w:eastAsia="en-GB"/>
        </w:rPr>
        <w:t>a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Primary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suppression applied to cells with </w:t>
      </w:r>
      <w:r w:rsidR="003C77E3" w:rsidRPr="00677B20">
        <w:rPr>
          <w:rFonts w:cs="Times New Roman"/>
          <w:color w:val="000000" w:themeColor="text1"/>
          <w:sz w:val="20"/>
          <w:szCs w:val="20"/>
        </w:rPr>
        <w:t xml:space="preserve">&lt; </w:t>
      </w:r>
      <w:r w:rsidR="00B7417D" w:rsidRPr="00677B20">
        <w:rPr>
          <w:rFonts w:cs="Times New Roman"/>
          <w:color w:val="000000" w:themeColor="text1"/>
          <w:sz w:val="20"/>
          <w:szCs w:val="20"/>
        </w:rPr>
        <w:t>5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observations</w:t>
      </w:r>
      <w:r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668D724A" w14:textId="77777777" w:rsidR="005F266D" w:rsidRPr="00677B20" w:rsidRDefault="005F266D" w:rsidP="00010AB4">
      <w:pPr>
        <w:spacing w:after="160" w:line="480" w:lineRule="auto"/>
        <w:rPr>
          <w:rFonts w:eastAsia="Calibri" w:cs="Times New Roman"/>
          <w:b/>
          <w:bCs/>
          <w:sz w:val="22"/>
          <w:szCs w:val="18"/>
        </w:rPr>
      </w:pPr>
      <w:bookmarkStart w:id="11" w:name="_Ref132979435"/>
      <w:bookmarkStart w:id="12" w:name="_Toc134799448"/>
      <w:r w:rsidRPr="00677B20">
        <w:rPr>
          <w:sz w:val="22"/>
          <w:szCs w:val="18"/>
        </w:rPr>
        <w:br w:type="page"/>
      </w:r>
    </w:p>
    <w:p w14:paraId="1DE961F5" w14:textId="35D195D0" w:rsidR="00955BCC" w:rsidRPr="00677B20" w:rsidRDefault="00955BCC" w:rsidP="00010AB4">
      <w:pPr>
        <w:pStyle w:val="Caption"/>
        <w:spacing w:line="480" w:lineRule="auto"/>
        <w:rPr>
          <w:rFonts w:ascii="Times New Roman" w:hAnsi="Times New Roman"/>
          <w:color w:val="auto"/>
          <w:sz w:val="22"/>
          <w:szCs w:val="18"/>
        </w:rPr>
      </w:pPr>
      <w:r w:rsidRPr="00677B20">
        <w:rPr>
          <w:rFonts w:ascii="Times New Roman" w:hAnsi="Times New Roman"/>
          <w:color w:val="auto"/>
          <w:sz w:val="22"/>
          <w:szCs w:val="18"/>
        </w:rPr>
        <w:lastRenderedPageBreak/>
        <w:t>Table</w:t>
      </w:r>
      <w:bookmarkEnd w:id="11"/>
      <w:r w:rsidRPr="00677B20">
        <w:rPr>
          <w:rFonts w:ascii="Times New Roman" w:hAnsi="Times New Roman"/>
          <w:color w:val="auto"/>
          <w:sz w:val="22"/>
          <w:szCs w:val="18"/>
        </w:rPr>
        <w:t xml:space="preserve"> S</w:t>
      </w:r>
      <w:r w:rsidR="008E7F66" w:rsidRPr="00677B20">
        <w:rPr>
          <w:rFonts w:ascii="Times New Roman" w:hAnsi="Times New Roman"/>
          <w:color w:val="auto"/>
          <w:sz w:val="22"/>
          <w:szCs w:val="18"/>
        </w:rPr>
        <w:t>4</w:t>
      </w:r>
      <w:r w:rsidRPr="00677B20">
        <w:rPr>
          <w:rFonts w:ascii="Times New Roman" w:hAnsi="Times New Roman"/>
          <w:color w:val="auto"/>
          <w:sz w:val="22"/>
          <w:szCs w:val="18"/>
        </w:rPr>
        <w:t xml:space="preserve"> 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 xml:space="preserve">Incidence rates of events per 100 </w:t>
      </w:r>
      <w:r w:rsidR="00D93B88"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>PY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 xml:space="preserve"> in the obstructive HCM cohort stratified by NYHA class</w:t>
      </w:r>
      <w:bookmarkEnd w:id="12"/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587"/>
        <w:gridCol w:w="1796"/>
        <w:gridCol w:w="1897"/>
        <w:gridCol w:w="1911"/>
      </w:tblGrid>
      <w:tr w:rsidR="002F06FE" w:rsidRPr="00677B20" w14:paraId="36E32AA2" w14:textId="77777777" w:rsidTr="001335E8">
        <w:trPr>
          <w:trHeight w:val="283"/>
        </w:trPr>
        <w:tc>
          <w:tcPr>
            <w:tcW w:w="1012" w:type="pct"/>
            <w:vMerge w:val="restart"/>
            <w:shd w:val="clear" w:color="auto" w:fill="E0E2E6" w:themeFill="background2" w:themeFillTint="33"/>
            <w:noWrap/>
          </w:tcPr>
          <w:p w14:paraId="783A8062" w14:textId="1FF46D08" w:rsidR="002F06FE" w:rsidRPr="00677B20" w:rsidRDefault="002F06FE" w:rsidP="001335E8">
            <w:pPr>
              <w:pStyle w:val="Table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>Outcome</w:t>
            </w:r>
          </w:p>
        </w:tc>
        <w:tc>
          <w:tcPr>
            <w:tcW w:w="3988" w:type="pct"/>
            <w:gridSpan w:val="4"/>
            <w:shd w:val="clear" w:color="auto" w:fill="E0E2E6" w:themeFill="background2" w:themeFillTint="33"/>
            <w:noWrap/>
          </w:tcPr>
          <w:p w14:paraId="7B744760" w14:textId="773B2557" w:rsidR="002F06FE" w:rsidRPr="00677B20" w:rsidRDefault="002F06FE" w:rsidP="00010AB4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Incidence </w:t>
            </w:r>
            <w:r w:rsidR="004306FB"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rate 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>per 100 PY by NYHA class,</w:t>
            </w:r>
            <w:r w:rsidRPr="00677B20">
              <w:rPr>
                <w:rFonts w:ascii="Times New Roman" w:hAnsi="Times New Roman" w:cs="Times New Roman"/>
                <w:b/>
                <w:bCs/>
                <w:color w:val="auto"/>
                <w:lang w:eastAsia="en-GB"/>
              </w:rPr>
              <w:t xml:space="preserve"> mean (95% CI)</w:t>
            </w:r>
          </w:p>
        </w:tc>
      </w:tr>
      <w:tr w:rsidR="002F06FE" w:rsidRPr="00677B20" w14:paraId="4B8D8457" w14:textId="77777777" w:rsidTr="001335E8">
        <w:trPr>
          <w:trHeight w:val="283"/>
        </w:trPr>
        <w:tc>
          <w:tcPr>
            <w:tcW w:w="1012" w:type="pct"/>
            <w:vMerge/>
            <w:shd w:val="clear" w:color="auto" w:fill="E0E2E6" w:themeFill="background2" w:themeFillTint="33"/>
            <w:noWrap/>
            <w:hideMark/>
          </w:tcPr>
          <w:p w14:paraId="605B5F82" w14:textId="77777777" w:rsidR="00955BCC" w:rsidRPr="00677B20" w:rsidRDefault="00955BCC" w:rsidP="001335E8">
            <w:pPr>
              <w:pStyle w:val="Table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80" w:type="pct"/>
            <w:shd w:val="clear" w:color="auto" w:fill="E0E2E6" w:themeFill="background2" w:themeFillTint="33"/>
            <w:noWrap/>
            <w:hideMark/>
          </w:tcPr>
          <w:p w14:paraId="2C6BE913" w14:textId="4FF5E8B8" w:rsidR="00955BCC" w:rsidRPr="00677B20" w:rsidRDefault="00D93B88" w:rsidP="00010AB4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NYHA class </w:t>
            </w:r>
            <w:r w:rsidR="00955BCC" w:rsidRPr="00677B20"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</w:p>
        </w:tc>
        <w:tc>
          <w:tcPr>
            <w:tcW w:w="996" w:type="pct"/>
            <w:shd w:val="clear" w:color="auto" w:fill="E0E2E6" w:themeFill="background2" w:themeFillTint="33"/>
            <w:noWrap/>
            <w:hideMark/>
          </w:tcPr>
          <w:p w14:paraId="42D9587E" w14:textId="55977DB6" w:rsidR="00955BCC" w:rsidRPr="00677B20" w:rsidRDefault="00D93B88" w:rsidP="00010AB4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NYHA class </w:t>
            </w:r>
            <w:r w:rsidR="00955BCC" w:rsidRPr="00677B20">
              <w:rPr>
                <w:rFonts w:ascii="Times New Roman" w:hAnsi="Times New Roman" w:cs="Times New Roman"/>
                <w:b/>
                <w:bCs/>
                <w:color w:val="auto"/>
              </w:rPr>
              <w:t>II</w:t>
            </w:r>
          </w:p>
        </w:tc>
        <w:tc>
          <w:tcPr>
            <w:tcW w:w="1052" w:type="pct"/>
            <w:shd w:val="clear" w:color="auto" w:fill="E0E2E6" w:themeFill="background2" w:themeFillTint="33"/>
          </w:tcPr>
          <w:p w14:paraId="2724A467" w14:textId="078618D4" w:rsidR="00955BCC" w:rsidRPr="00677B20" w:rsidRDefault="00D93B88" w:rsidP="00010AB4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NYHA class </w:t>
            </w:r>
            <w:r w:rsidR="00955BCC" w:rsidRPr="00677B20">
              <w:rPr>
                <w:rFonts w:ascii="Times New Roman" w:hAnsi="Times New Roman" w:cs="Times New Roman"/>
                <w:b/>
                <w:bCs/>
                <w:color w:val="auto"/>
              </w:rPr>
              <w:t>III</w:t>
            </w:r>
          </w:p>
        </w:tc>
        <w:tc>
          <w:tcPr>
            <w:tcW w:w="1060" w:type="pct"/>
            <w:shd w:val="clear" w:color="auto" w:fill="E0E2E6" w:themeFill="background2" w:themeFillTint="33"/>
          </w:tcPr>
          <w:p w14:paraId="43C3D9F6" w14:textId="5994FF96" w:rsidR="00955BCC" w:rsidRPr="00677B20" w:rsidRDefault="00D93B88" w:rsidP="00010AB4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7B2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NYHA class </w:t>
            </w:r>
            <w:r w:rsidR="00955BCC" w:rsidRPr="00677B20">
              <w:rPr>
                <w:rFonts w:ascii="Times New Roman" w:hAnsi="Times New Roman" w:cs="Times New Roman"/>
                <w:b/>
                <w:bCs/>
                <w:color w:val="auto"/>
              </w:rPr>
              <w:t>IV</w:t>
            </w:r>
          </w:p>
        </w:tc>
      </w:tr>
      <w:tr w:rsidR="00955BCC" w:rsidRPr="00677B20" w14:paraId="2696F935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0F1ACC82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All-cause mortality</w:t>
            </w:r>
          </w:p>
        </w:tc>
        <w:tc>
          <w:tcPr>
            <w:tcW w:w="880" w:type="pct"/>
            <w:noWrap/>
            <w:hideMark/>
          </w:tcPr>
          <w:p w14:paraId="122454F8" w14:textId="43A63138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1.13 (0.72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1.78)</w:t>
            </w:r>
          </w:p>
        </w:tc>
        <w:tc>
          <w:tcPr>
            <w:tcW w:w="996" w:type="pct"/>
            <w:noWrap/>
            <w:hideMark/>
          </w:tcPr>
          <w:p w14:paraId="16DC7B59" w14:textId="5B2D7590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1.48 (0.58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3.80)</w:t>
            </w:r>
          </w:p>
        </w:tc>
        <w:tc>
          <w:tcPr>
            <w:tcW w:w="1052" w:type="pct"/>
          </w:tcPr>
          <w:p w14:paraId="2374C33A" w14:textId="15E0B49A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2.47 (0.98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6.26)</w:t>
            </w:r>
          </w:p>
        </w:tc>
        <w:tc>
          <w:tcPr>
            <w:tcW w:w="1060" w:type="pct"/>
          </w:tcPr>
          <w:p w14:paraId="51723CE5" w14:textId="6A45050B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1.81 (0.58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5.72)</w:t>
            </w:r>
          </w:p>
        </w:tc>
      </w:tr>
      <w:tr w:rsidR="00955BCC" w:rsidRPr="00677B20" w14:paraId="41C96C82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08E31BD5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bookmarkStart w:id="13" w:name="_Hlk132979058"/>
            <w:r w:rsidRPr="00677B20">
              <w:rPr>
                <w:rFonts w:ascii="Times New Roman" w:hAnsi="Times New Roman" w:cs="Times New Roman"/>
                <w:color w:val="auto"/>
              </w:rPr>
              <w:t>Heart failure</w:t>
            </w:r>
          </w:p>
        </w:tc>
        <w:tc>
          <w:tcPr>
            <w:tcW w:w="880" w:type="pct"/>
            <w:noWrap/>
          </w:tcPr>
          <w:p w14:paraId="0BAF68FD" w14:textId="33FB6A5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1.96 (1.38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2.78)</w:t>
            </w:r>
          </w:p>
        </w:tc>
        <w:tc>
          <w:tcPr>
            <w:tcW w:w="996" w:type="pct"/>
            <w:noWrap/>
          </w:tcPr>
          <w:p w14:paraId="635B64A3" w14:textId="033B4D7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2.58 (1.25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5.33)</w:t>
            </w:r>
          </w:p>
        </w:tc>
        <w:tc>
          <w:tcPr>
            <w:tcW w:w="1052" w:type="pct"/>
          </w:tcPr>
          <w:p w14:paraId="443099EE" w14:textId="12353DF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12.43 (6.12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25.24)</w:t>
            </w:r>
          </w:p>
        </w:tc>
        <w:tc>
          <w:tcPr>
            <w:tcW w:w="1060" w:type="pct"/>
          </w:tcPr>
          <w:p w14:paraId="178E1BB3" w14:textId="51626BC8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33.27 (15.39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71.91)</w:t>
            </w:r>
          </w:p>
        </w:tc>
      </w:tr>
      <w:bookmarkEnd w:id="13"/>
      <w:tr w:rsidR="00955BCC" w:rsidRPr="00677B20" w14:paraId="7FDCA142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67547FD4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SRT</w:t>
            </w:r>
          </w:p>
        </w:tc>
        <w:tc>
          <w:tcPr>
            <w:tcW w:w="880" w:type="pct"/>
            <w:noWrap/>
          </w:tcPr>
          <w:p w14:paraId="2FB8E898" w14:textId="0696F72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0.82 (0.45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1.49)</w:t>
            </w:r>
          </w:p>
        </w:tc>
        <w:tc>
          <w:tcPr>
            <w:tcW w:w="996" w:type="pct"/>
            <w:noWrap/>
          </w:tcPr>
          <w:p w14:paraId="63BFDD5E" w14:textId="7125C7EE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0.61 (0.17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2.19)</w:t>
            </w:r>
          </w:p>
        </w:tc>
        <w:tc>
          <w:tcPr>
            <w:tcW w:w="1052" w:type="pct"/>
          </w:tcPr>
          <w:p w14:paraId="529C4A4C" w14:textId="6D1C9F2F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0.98 (0.28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3.39)</w:t>
            </w:r>
          </w:p>
        </w:tc>
        <w:tc>
          <w:tcPr>
            <w:tcW w:w="1060" w:type="pct"/>
          </w:tcPr>
          <w:p w14:paraId="50DB15B5" w14:textId="721E20F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1.15 (0.26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5.15)</w:t>
            </w:r>
          </w:p>
        </w:tc>
      </w:tr>
      <w:tr w:rsidR="00955BCC" w:rsidRPr="00677B20" w14:paraId="27C94635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4E235F61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Dilated cardiomyopathy</w:t>
            </w:r>
          </w:p>
        </w:tc>
        <w:tc>
          <w:tcPr>
            <w:tcW w:w="880" w:type="pct"/>
            <w:noWrap/>
          </w:tcPr>
          <w:p w14:paraId="3E0EF690" w14:textId="10DFE04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0.18 (0.06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0.55)</w:t>
            </w:r>
          </w:p>
        </w:tc>
        <w:tc>
          <w:tcPr>
            <w:tcW w:w="996" w:type="pct"/>
            <w:noWrap/>
          </w:tcPr>
          <w:p w14:paraId="5F15C27C" w14:textId="4D44795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0.41 (0.04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4.17)</w:t>
            </w:r>
          </w:p>
        </w:tc>
        <w:tc>
          <w:tcPr>
            <w:tcW w:w="1052" w:type="pct"/>
          </w:tcPr>
          <w:p w14:paraId="60D2F685" w14:textId="0D36521F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0.87 (0.09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8.58)</w:t>
            </w:r>
          </w:p>
        </w:tc>
        <w:tc>
          <w:tcPr>
            <w:tcW w:w="1060" w:type="pct"/>
          </w:tcPr>
          <w:p w14:paraId="1848469A" w14:textId="4C56E56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3.70 (0.36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38.15)</w:t>
            </w:r>
          </w:p>
        </w:tc>
      </w:tr>
      <w:tr w:rsidR="00955BCC" w:rsidRPr="00677B20" w14:paraId="10717299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6F9724EF" w14:textId="61C0E4AE" w:rsidR="00955BCC" w:rsidRPr="00677B20" w:rsidRDefault="001335E8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Ischaemic s</w:t>
            </w:r>
            <w:r w:rsidR="00955BCC" w:rsidRPr="00677B20">
              <w:rPr>
                <w:rFonts w:ascii="Times New Roman" w:hAnsi="Times New Roman" w:cs="Times New Roman"/>
                <w:color w:val="auto"/>
              </w:rPr>
              <w:t>troke</w:t>
            </w:r>
          </w:p>
        </w:tc>
        <w:tc>
          <w:tcPr>
            <w:tcW w:w="880" w:type="pct"/>
            <w:noWrap/>
          </w:tcPr>
          <w:p w14:paraId="1470E22F" w14:textId="795B294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6.10 (4.55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8.18)</w:t>
            </w:r>
          </w:p>
        </w:tc>
        <w:tc>
          <w:tcPr>
            <w:tcW w:w="996" w:type="pct"/>
            <w:noWrap/>
          </w:tcPr>
          <w:p w14:paraId="49A1D434" w14:textId="798741D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16.95 (9.39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30.61)</w:t>
            </w:r>
          </w:p>
        </w:tc>
        <w:tc>
          <w:tcPr>
            <w:tcW w:w="1052" w:type="pct"/>
          </w:tcPr>
          <w:p w14:paraId="6056B265" w14:textId="33DAA39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23.65 (13.07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42.81)</w:t>
            </w:r>
          </w:p>
        </w:tc>
        <w:tc>
          <w:tcPr>
            <w:tcW w:w="1060" w:type="pct"/>
          </w:tcPr>
          <w:p w14:paraId="7906AEEB" w14:textId="530EA72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34.27 (18.34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64.05)</w:t>
            </w:r>
          </w:p>
        </w:tc>
      </w:tr>
      <w:tr w:rsidR="00955BCC" w:rsidRPr="00677B20" w14:paraId="3D67060F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6B46098F" w14:textId="7C9ABD0F" w:rsidR="00955BCC" w:rsidRPr="00677B20" w:rsidRDefault="00D93B88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AF</w:t>
            </w:r>
            <w:r w:rsidR="00955BCC" w:rsidRPr="00677B20">
              <w:rPr>
                <w:rFonts w:ascii="Times New Roman" w:hAnsi="Times New Roman" w:cs="Times New Roman"/>
                <w:color w:val="auto"/>
              </w:rPr>
              <w:t xml:space="preserve"> or flutter</w:t>
            </w:r>
          </w:p>
        </w:tc>
        <w:tc>
          <w:tcPr>
            <w:tcW w:w="880" w:type="pct"/>
            <w:noWrap/>
          </w:tcPr>
          <w:p w14:paraId="78E992B4" w14:textId="527400E0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5.96 (4.80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7.41)</w:t>
            </w:r>
          </w:p>
        </w:tc>
        <w:tc>
          <w:tcPr>
            <w:tcW w:w="996" w:type="pct"/>
            <w:noWrap/>
          </w:tcPr>
          <w:p w14:paraId="33AE08FD" w14:textId="7681485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6.42 (4.08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10.10)</w:t>
            </w:r>
          </w:p>
        </w:tc>
        <w:tc>
          <w:tcPr>
            <w:tcW w:w="1052" w:type="pct"/>
          </w:tcPr>
          <w:p w14:paraId="369BA6A8" w14:textId="4357CDE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11.61 (7.41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18.18)</w:t>
            </w:r>
          </w:p>
        </w:tc>
        <w:tc>
          <w:tcPr>
            <w:tcW w:w="1060" w:type="pct"/>
          </w:tcPr>
          <w:p w14:paraId="0C553F38" w14:textId="78E6C6D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4" w:name="_Hlk132979191"/>
            <w:r w:rsidRPr="00677B20">
              <w:rPr>
                <w:rFonts w:ascii="Times New Roman" w:hAnsi="Times New Roman" w:cs="Times New Roman"/>
                <w:color w:val="auto"/>
              </w:rPr>
              <w:t>19.41 (11.3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33.35)</w:t>
            </w:r>
            <w:bookmarkEnd w:id="14"/>
          </w:p>
        </w:tc>
      </w:tr>
      <w:tr w:rsidR="00955BCC" w:rsidRPr="00677B20" w14:paraId="787E7192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34604890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Pacemaker</w:t>
            </w:r>
          </w:p>
        </w:tc>
        <w:tc>
          <w:tcPr>
            <w:tcW w:w="880" w:type="pct"/>
            <w:noWrap/>
          </w:tcPr>
          <w:p w14:paraId="6CCC915B" w14:textId="1D9C1159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2.75 (2.02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3.74)</w:t>
            </w:r>
          </w:p>
        </w:tc>
        <w:tc>
          <w:tcPr>
            <w:tcW w:w="996" w:type="pct"/>
            <w:noWrap/>
          </w:tcPr>
          <w:p w14:paraId="7EF1301D" w14:textId="77FE2E2D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3.32 (1.75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6.30)</w:t>
            </w:r>
          </w:p>
        </w:tc>
        <w:tc>
          <w:tcPr>
            <w:tcW w:w="1052" w:type="pct"/>
          </w:tcPr>
          <w:p w14:paraId="05CFC3A5" w14:textId="0662112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5.60 (2.98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10.52)</w:t>
            </w:r>
          </w:p>
        </w:tc>
        <w:tc>
          <w:tcPr>
            <w:tcW w:w="1060" w:type="pct"/>
          </w:tcPr>
          <w:p w14:paraId="0E915534" w14:textId="71C56693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8.13 (3.87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17.05)</w:t>
            </w:r>
          </w:p>
        </w:tc>
      </w:tr>
      <w:tr w:rsidR="00955BCC" w:rsidRPr="00677B20" w14:paraId="6CCFF57A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25D7EB65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ICD insertion</w:t>
            </w:r>
          </w:p>
        </w:tc>
        <w:tc>
          <w:tcPr>
            <w:tcW w:w="880" w:type="pct"/>
            <w:noWrap/>
          </w:tcPr>
          <w:p w14:paraId="676E572F" w14:textId="46BDBBB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1.81 (1.25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2.61)</w:t>
            </w:r>
          </w:p>
        </w:tc>
        <w:tc>
          <w:tcPr>
            <w:tcW w:w="996" w:type="pct"/>
            <w:noWrap/>
          </w:tcPr>
          <w:p w14:paraId="0F138995" w14:textId="1D894790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3.56 (1.67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7.57)</w:t>
            </w:r>
          </w:p>
        </w:tc>
        <w:tc>
          <w:tcPr>
            <w:tcW w:w="1052" w:type="pct"/>
          </w:tcPr>
          <w:p w14:paraId="7B91D4FE" w14:textId="25DE7CAF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3.05 (1.43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6.51)</w:t>
            </w:r>
          </w:p>
        </w:tc>
        <w:tc>
          <w:tcPr>
            <w:tcW w:w="1060" w:type="pct"/>
          </w:tcPr>
          <w:p w14:paraId="24A5197F" w14:textId="3F3810A3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4.86 (2.00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11.80)</w:t>
            </w:r>
          </w:p>
        </w:tc>
      </w:tr>
      <w:tr w:rsidR="00955BCC" w:rsidRPr="00677B20" w14:paraId="246CFB53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01092915" w14:textId="3654F769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 xml:space="preserve">Myocardial </w:t>
            </w:r>
            <w:r w:rsidR="00C82E15">
              <w:rPr>
                <w:rFonts w:ascii="Times New Roman" w:hAnsi="Times New Roman" w:cs="Times New Roman"/>
                <w:color w:val="auto"/>
              </w:rPr>
              <w:t>i</w:t>
            </w:r>
            <w:r w:rsidR="00C82E15" w:rsidRPr="00677B20">
              <w:rPr>
                <w:rFonts w:ascii="Times New Roman" w:hAnsi="Times New Roman" w:cs="Times New Roman"/>
                <w:color w:val="auto"/>
              </w:rPr>
              <w:t>nfarction</w:t>
            </w:r>
          </w:p>
        </w:tc>
        <w:tc>
          <w:tcPr>
            <w:tcW w:w="880" w:type="pct"/>
            <w:noWrap/>
          </w:tcPr>
          <w:p w14:paraId="5779C380" w14:textId="76EF216B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3.00 (2.17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4.14)</w:t>
            </w:r>
          </w:p>
        </w:tc>
        <w:tc>
          <w:tcPr>
            <w:tcW w:w="996" w:type="pct"/>
            <w:noWrap/>
          </w:tcPr>
          <w:p w14:paraId="754DDA2B" w14:textId="2315BCE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5.19 (2.67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10.09)</w:t>
            </w:r>
          </w:p>
        </w:tc>
        <w:tc>
          <w:tcPr>
            <w:tcW w:w="1052" w:type="pct"/>
          </w:tcPr>
          <w:p w14:paraId="46B792AA" w14:textId="6B4B2512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11.91 (6.10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23.22)</w:t>
            </w:r>
          </w:p>
        </w:tc>
        <w:tc>
          <w:tcPr>
            <w:tcW w:w="1060" w:type="pct"/>
          </w:tcPr>
          <w:p w14:paraId="0B826518" w14:textId="7056D134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21.59 (9.91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47.00)</w:t>
            </w:r>
          </w:p>
        </w:tc>
      </w:tr>
      <w:tr w:rsidR="00955BCC" w:rsidRPr="00677B20" w14:paraId="26239E45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03F25C13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Deep vein thrombosis or pulmonary embolism</w:t>
            </w:r>
          </w:p>
        </w:tc>
        <w:tc>
          <w:tcPr>
            <w:tcW w:w="880" w:type="pct"/>
            <w:noWrap/>
          </w:tcPr>
          <w:p w14:paraId="03C2EBDE" w14:textId="1D8D343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1.21 (0.69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2.12)</w:t>
            </w:r>
          </w:p>
        </w:tc>
        <w:tc>
          <w:tcPr>
            <w:tcW w:w="996" w:type="pct"/>
            <w:noWrap/>
          </w:tcPr>
          <w:p w14:paraId="67DF6881" w14:textId="017BCDFE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0.98 (0.31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3.15)</w:t>
            </w:r>
          </w:p>
        </w:tc>
        <w:tc>
          <w:tcPr>
            <w:tcW w:w="1052" w:type="pct"/>
          </w:tcPr>
          <w:p w14:paraId="00B91A4C" w14:textId="43228CFC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2.03 (0.62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6.68)</w:t>
            </w:r>
          </w:p>
        </w:tc>
        <w:tc>
          <w:tcPr>
            <w:tcW w:w="1060" w:type="pct"/>
          </w:tcPr>
          <w:p w14:paraId="58328BA2" w14:textId="103E4264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8.49 (1.21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59.42)</w:t>
            </w:r>
          </w:p>
        </w:tc>
      </w:tr>
      <w:tr w:rsidR="00955BCC" w:rsidRPr="00677B20" w14:paraId="7E53B64F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3F7B88E5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Cardiac arrest or ventricular fibrillation</w:t>
            </w:r>
          </w:p>
        </w:tc>
        <w:tc>
          <w:tcPr>
            <w:tcW w:w="880" w:type="pct"/>
            <w:noWrap/>
          </w:tcPr>
          <w:p w14:paraId="013F8C24" w14:textId="7B75E62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0.71 (0.39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1.31)</w:t>
            </w:r>
          </w:p>
        </w:tc>
        <w:tc>
          <w:tcPr>
            <w:tcW w:w="996" w:type="pct"/>
            <w:noWrap/>
          </w:tcPr>
          <w:p w14:paraId="7DEFF779" w14:textId="2994963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0.84 (0.24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2.88)</w:t>
            </w:r>
          </w:p>
        </w:tc>
        <w:tc>
          <w:tcPr>
            <w:tcW w:w="1052" w:type="pct"/>
          </w:tcPr>
          <w:p w14:paraId="79F5D836" w14:textId="627198BE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1.32 (0.37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4.70)</w:t>
            </w:r>
          </w:p>
        </w:tc>
        <w:tc>
          <w:tcPr>
            <w:tcW w:w="1060" w:type="pct"/>
          </w:tcPr>
          <w:p w14:paraId="677493B7" w14:textId="32AC03D8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1.40 (0.30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6.51)</w:t>
            </w:r>
          </w:p>
        </w:tc>
      </w:tr>
      <w:tr w:rsidR="00955BCC" w:rsidRPr="00677B20" w14:paraId="24B96679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6C85E4F0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Ventricular tachycardia</w:t>
            </w:r>
          </w:p>
        </w:tc>
        <w:tc>
          <w:tcPr>
            <w:tcW w:w="880" w:type="pct"/>
            <w:noWrap/>
          </w:tcPr>
          <w:p w14:paraId="67ACCF49" w14:textId="290EF32E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0.35 (0.15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0.81)</w:t>
            </w:r>
          </w:p>
        </w:tc>
        <w:tc>
          <w:tcPr>
            <w:tcW w:w="996" w:type="pct"/>
            <w:noWrap/>
          </w:tcPr>
          <w:p w14:paraId="6B990659" w14:textId="401D5C0F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2.79 (0.53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14.81)</w:t>
            </w:r>
          </w:p>
        </w:tc>
        <w:tc>
          <w:tcPr>
            <w:tcW w:w="1052" w:type="pct"/>
          </w:tcPr>
          <w:p w14:paraId="68957493" w14:textId="2AAE47E2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2.88 (0.54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15.33)</w:t>
            </w:r>
          </w:p>
        </w:tc>
        <w:tc>
          <w:tcPr>
            <w:tcW w:w="1060" w:type="pct"/>
          </w:tcPr>
          <w:p w14:paraId="48A60923" w14:textId="4E99E6CF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5.78 (0.99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33.76)</w:t>
            </w:r>
          </w:p>
        </w:tc>
      </w:tr>
      <w:tr w:rsidR="00955BCC" w:rsidRPr="00677B20" w14:paraId="575BDD7E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779CF2DD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Conduction disorders</w:t>
            </w:r>
          </w:p>
        </w:tc>
        <w:tc>
          <w:tcPr>
            <w:tcW w:w="880" w:type="pct"/>
            <w:noWrap/>
          </w:tcPr>
          <w:p w14:paraId="5B1E105B" w14:textId="2085757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2.81 (2.08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3.80)</w:t>
            </w:r>
          </w:p>
        </w:tc>
        <w:tc>
          <w:tcPr>
            <w:tcW w:w="996" w:type="pct"/>
            <w:noWrap/>
          </w:tcPr>
          <w:p w14:paraId="2B664781" w14:textId="065C82C1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3.55 (1.89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6.65)</w:t>
            </w:r>
          </w:p>
        </w:tc>
        <w:tc>
          <w:tcPr>
            <w:tcW w:w="1052" w:type="pct"/>
          </w:tcPr>
          <w:p w14:paraId="0DD1EE8B" w14:textId="161906AA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6.32 (3.40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11.75)</w:t>
            </w:r>
          </w:p>
        </w:tc>
        <w:tc>
          <w:tcPr>
            <w:tcW w:w="1060" w:type="pct"/>
          </w:tcPr>
          <w:p w14:paraId="49B8F355" w14:textId="19C296C3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9.60 (4.67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19.73)</w:t>
            </w:r>
          </w:p>
        </w:tc>
      </w:tr>
      <w:tr w:rsidR="00955BCC" w:rsidRPr="00677B20" w14:paraId="2C29F90C" w14:textId="77777777" w:rsidTr="001335E8">
        <w:trPr>
          <w:trHeight w:val="283"/>
        </w:trPr>
        <w:tc>
          <w:tcPr>
            <w:tcW w:w="1012" w:type="pct"/>
            <w:noWrap/>
            <w:hideMark/>
          </w:tcPr>
          <w:p w14:paraId="7A4D0DE6" w14:textId="77777777" w:rsidR="00955BCC" w:rsidRPr="00677B20" w:rsidRDefault="00955BCC" w:rsidP="00C82E15">
            <w:pPr>
              <w:pStyle w:val="Table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Cardiac dysrhythmias</w:t>
            </w:r>
          </w:p>
        </w:tc>
        <w:tc>
          <w:tcPr>
            <w:tcW w:w="880" w:type="pct"/>
            <w:noWrap/>
          </w:tcPr>
          <w:p w14:paraId="791B3CAB" w14:textId="30657AE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3.77 (2.90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4.90)</w:t>
            </w:r>
          </w:p>
        </w:tc>
        <w:tc>
          <w:tcPr>
            <w:tcW w:w="996" w:type="pct"/>
            <w:noWrap/>
          </w:tcPr>
          <w:p w14:paraId="24F35FBD" w14:textId="03120426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7.05 (4.10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12.12)</w:t>
            </w:r>
          </w:p>
        </w:tc>
        <w:tc>
          <w:tcPr>
            <w:tcW w:w="1052" w:type="pct"/>
          </w:tcPr>
          <w:p w14:paraId="27AC93A1" w14:textId="6844C7A5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10.23 (5.98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17.52)</w:t>
            </w:r>
          </w:p>
        </w:tc>
        <w:tc>
          <w:tcPr>
            <w:tcW w:w="1060" w:type="pct"/>
          </w:tcPr>
          <w:p w14:paraId="22A84348" w14:textId="21FB1F8B" w:rsidR="00955BCC" w:rsidRPr="00677B20" w:rsidRDefault="00955BCC" w:rsidP="00C82E15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7B20">
              <w:rPr>
                <w:rFonts w:ascii="Times New Roman" w:hAnsi="Times New Roman" w:cs="Times New Roman"/>
                <w:color w:val="auto"/>
              </w:rPr>
              <w:t>18.91 (10.32</w:t>
            </w:r>
            <w:r w:rsidR="00E904CD" w:rsidRPr="00677B20">
              <w:rPr>
                <w:rFonts w:ascii="Times New Roman" w:hAnsi="Times New Roman" w:cs="Times New Roman"/>
                <w:color w:val="auto"/>
              </w:rPr>
              <w:t>–</w:t>
            </w:r>
            <w:r w:rsidRPr="00677B20">
              <w:rPr>
                <w:rFonts w:ascii="Times New Roman" w:hAnsi="Times New Roman" w:cs="Times New Roman"/>
                <w:color w:val="auto"/>
              </w:rPr>
              <w:t>34.65)</w:t>
            </w:r>
          </w:p>
        </w:tc>
      </w:tr>
    </w:tbl>
    <w:p w14:paraId="348DA779" w14:textId="0D136177" w:rsidR="007059FE" w:rsidRDefault="00D93B88" w:rsidP="001335E8">
      <w:pPr>
        <w:spacing w:after="0" w:line="240" w:lineRule="auto"/>
        <w:rPr>
          <w:sz w:val="20"/>
          <w:szCs w:val="16"/>
        </w:rPr>
      </w:pPr>
      <w:r w:rsidRPr="00677B20">
        <w:rPr>
          <w:sz w:val="20"/>
          <w:szCs w:val="16"/>
        </w:rPr>
        <w:t xml:space="preserve">AF, atrial fibrillation; </w:t>
      </w:r>
      <w:r w:rsidR="00D07DEA" w:rsidRPr="00677B20">
        <w:rPr>
          <w:sz w:val="20"/>
          <w:szCs w:val="16"/>
        </w:rPr>
        <w:t xml:space="preserve">CI, confidence interval; HCM, hypertrophic cardiomyopathy; </w:t>
      </w:r>
      <w:r w:rsidR="00E20FDB">
        <w:rPr>
          <w:sz w:val="20"/>
          <w:szCs w:val="16"/>
        </w:rPr>
        <w:br/>
      </w:r>
      <w:r w:rsidR="00D07DEA" w:rsidRPr="00677B20">
        <w:rPr>
          <w:sz w:val="20"/>
          <w:szCs w:val="16"/>
        </w:rPr>
        <w:t>ICD, implantable cardioverter</w:t>
      </w:r>
      <w:r w:rsidR="007059FE">
        <w:rPr>
          <w:sz w:val="20"/>
          <w:szCs w:val="16"/>
        </w:rPr>
        <w:t>‑</w:t>
      </w:r>
      <w:r w:rsidR="00D07DEA" w:rsidRPr="00677B20">
        <w:rPr>
          <w:sz w:val="20"/>
          <w:szCs w:val="16"/>
        </w:rPr>
        <w:t>defibrillator; NYHA, New York Heart Association; PY, patient</w:t>
      </w:r>
      <w:r w:rsidRPr="00677B20">
        <w:rPr>
          <w:sz w:val="20"/>
          <w:szCs w:val="16"/>
        </w:rPr>
        <w:t>-</w:t>
      </w:r>
      <w:r w:rsidR="00D07DEA" w:rsidRPr="00677B20">
        <w:rPr>
          <w:sz w:val="20"/>
          <w:szCs w:val="16"/>
        </w:rPr>
        <w:t>year</w:t>
      </w:r>
      <w:r w:rsidRPr="00677B20">
        <w:rPr>
          <w:sz w:val="20"/>
          <w:szCs w:val="16"/>
        </w:rPr>
        <w:t>s</w:t>
      </w:r>
      <w:r w:rsidR="00D07DEA" w:rsidRPr="00677B20">
        <w:rPr>
          <w:sz w:val="20"/>
          <w:szCs w:val="16"/>
        </w:rPr>
        <w:t xml:space="preserve">; </w:t>
      </w:r>
      <w:r w:rsidR="00E20FDB">
        <w:rPr>
          <w:sz w:val="20"/>
          <w:szCs w:val="16"/>
        </w:rPr>
        <w:br/>
      </w:r>
      <w:r w:rsidR="00D07DEA" w:rsidRPr="00677B20">
        <w:rPr>
          <w:sz w:val="20"/>
          <w:szCs w:val="16"/>
        </w:rPr>
        <w:t>SRT, septal reduction therapy</w:t>
      </w:r>
      <w:r w:rsidRPr="00677B20">
        <w:rPr>
          <w:sz w:val="20"/>
          <w:szCs w:val="16"/>
        </w:rPr>
        <w:t>.</w:t>
      </w:r>
      <w:r w:rsidR="006523C1" w:rsidRPr="00677B20">
        <w:rPr>
          <w:sz w:val="20"/>
          <w:szCs w:val="16"/>
        </w:rPr>
        <w:t xml:space="preserve"> </w:t>
      </w:r>
    </w:p>
    <w:p w14:paraId="127BCB97" w14:textId="247D7E31" w:rsidR="00955BCC" w:rsidRPr="00677B20" w:rsidRDefault="00D07DEA" w:rsidP="006523C1">
      <w:pPr>
        <w:spacing w:line="240" w:lineRule="auto"/>
        <w:rPr>
          <w:b/>
          <w:bCs/>
          <w:sz w:val="22"/>
          <w:szCs w:val="18"/>
        </w:rPr>
        <w:sectPr w:rsidR="00955BCC" w:rsidRPr="00677B20" w:rsidSect="00274A14">
          <w:pgSz w:w="11906" w:h="16838"/>
          <w:pgMar w:top="1440" w:right="1440" w:bottom="1440" w:left="1440" w:header="340" w:footer="340" w:gutter="0"/>
          <w:cols w:space="708"/>
          <w:docGrid w:linePitch="360"/>
        </w:sectPr>
      </w:pPr>
      <w:r w:rsidRPr="00677B20">
        <w:rPr>
          <w:sz w:val="20"/>
          <w:szCs w:val="16"/>
        </w:rPr>
        <w:t xml:space="preserve">Incidence </w:t>
      </w:r>
      <w:r w:rsidR="004306FB" w:rsidRPr="00677B20">
        <w:rPr>
          <w:sz w:val="20"/>
          <w:szCs w:val="16"/>
        </w:rPr>
        <w:t>rates were</w:t>
      </w:r>
      <w:r w:rsidRPr="00677B20">
        <w:rPr>
          <w:sz w:val="20"/>
          <w:szCs w:val="16"/>
        </w:rPr>
        <w:t xml:space="preserve"> not calculated for heart transplant </w:t>
      </w:r>
      <w:r w:rsidR="007059FE">
        <w:rPr>
          <w:sz w:val="20"/>
          <w:szCs w:val="16"/>
        </w:rPr>
        <w:t>owing</w:t>
      </w:r>
      <w:r w:rsidR="007059FE" w:rsidRPr="00677B20">
        <w:rPr>
          <w:sz w:val="20"/>
          <w:szCs w:val="16"/>
        </w:rPr>
        <w:t xml:space="preserve"> </w:t>
      </w:r>
      <w:r w:rsidRPr="00677B20">
        <w:rPr>
          <w:sz w:val="20"/>
          <w:szCs w:val="16"/>
        </w:rPr>
        <w:t>to low total number of events.</w:t>
      </w:r>
      <w:r w:rsidRPr="00677B20">
        <w:rPr>
          <w:b/>
          <w:bCs/>
          <w:sz w:val="22"/>
          <w:szCs w:val="18"/>
        </w:rPr>
        <w:br/>
      </w:r>
    </w:p>
    <w:p w14:paraId="323E1701" w14:textId="72BA34F5" w:rsidR="00955BCC" w:rsidRDefault="00955BCC" w:rsidP="00010AB4">
      <w:pPr>
        <w:pStyle w:val="Caption"/>
        <w:keepLines/>
        <w:widowControl w:val="0"/>
        <w:spacing w:line="480" w:lineRule="auto"/>
        <w:rPr>
          <w:rFonts w:ascii="Times New Roman" w:hAnsi="Times New Roman"/>
          <w:b w:val="0"/>
          <w:bCs w:val="0"/>
          <w:color w:val="auto"/>
          <w:sz w:val="22"/>
          <w:szCs w:val="18"/>
        </w:rPr>
      </w:pPr>
      <w:r w:rsidRPr="00677B20">
        <w:rPr>
          <w:rFonts w:ascii="Times New Roman" w:hAnsi="Times New Roman"/>
          <w:color w:val="auto"/>
          <w:sz w:val="22"/>
          <w:szCs w:val="18"/>
        </w:rPr>
        <w:lastRenderedPageBreak/>
        <w:t>Table S</w:t>
      </w:r>
      <w:r w:rsidR="008E7F66" w:rsidRPr="00677B20">
        <w:rPr>
          <w:rFonts w:ascii="Times New Roman" w:hAnsi="Times New Roman"/>
          <w:color w:val="auto"/>
          <w:sz w:val="22"/>
          <w:szCs w:val="18"/>
        </w:rPr>
        <w:t>5</w:t>
      </w:r>
      <w:r w:rsidRPr="00677B20">
        <w:rPr>
          <w:rFonts w:ascii="Times New Roman" w:hAnsi="Times New Roman"/>
          <w:color w:val="auto"/>
          <w:sz w:val="22"/>
          <w:szCs w:val="18"/>
        </w:rPr>
        <w:t xml:space="preserve"> 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>Healthcare resource use for patients with obstructive HCM</w:t>
      </w:r>
      <w:r w:rsidR="00D93B88"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>,</w:t>
      </w:r>
      <w:r w:rsidRPr="00677B20">
        <w:rPr>
          <w:rFonts w:ascii="Times New Roman" w:hAnsi="Times New Roman"/>
          <w:b w:val="0"/>
          <w:bCs w:val="0"/>
          <w:color w:val="auto"/>
          <w:sz w:val="22"/>
          <w:szCs w:val="18"/>
        </w:rPr>
        <w:t xml:space="preserve"> stratified by NYHA class</w:t>
      </w:r>
    </w:p>
    <w:tbl>
      <w:tblPr>
        <w:tblW w:w="5287" w:type="pct"/>
        <w:jc w:val="right"/>
        <w:tblLook w:val="04A0" w:firstRow="1" w:lastRow="0" w:firstColumn="1" w:lastColumn="0" w:noHBand="0" w:noVBand="1"/>
      </w:tblPr>
      <w:tblGrid>
        <w:gridCol w:w="2246"/>
        <w:gridCol w:w="754"/>
        <w:gridCol w:w="599"/>
        <w:gridCol w:w="634"/>
        <w:gridCol w:w="954"/>
        <w:gridCol w:w="634"/>
        <w:gridCol w:w="554"/>
        <w:gridCol w:w="754"/>
        <w:gridCol w:w="1034"/>
        <w:gridCol w:w="634"/>
        <w:gridCol w:w="634"/>
        <w:gridCol w:w="754"/>
        <w:gridCol w:w="1034"/>
        <w:gridCol w:w="634"/>
        <w:gridCol w:w="554"/>
        <w:gridCol w:w="754"/>
        <w:gridCol w:w="954"/>
        <w:gridCol w:w="634"/>
      </w:tblGrid>
      <w:tr w:rsidR="0080414B" w:rsidRPr="006C7214" w14:paraId="5541077B" w14:textId="77777777" w:rsidTr="004C591D">
        <w:trPr>
          <w:trHeight w:val="454"/>
          <w:jc w:val="right"/>
        </w:trPr>
        <w:tc>
          <w:tcPr>
            <w:tcW w:w="762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93DD1A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Consultation type</w:t>
            </w:r>
          </w:p>
        </w:tc>
        <w:tc>
          <w:tcPr>
            <w:tcW w:w="256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5D974" w14:textId="0C3D285E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Unit cost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£</w:t>
            </w:r>
          </w:p>
        </w:tc>
        <w:tc>
          <w:tcPr>
            <w:tcW w:w="956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41B0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NYHA class I</w:t>
            </w:r>
          </w:p>
          <w:p w14:paraId="614D6D99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>(</w:t>
            </w: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24"/>
                <w:sz w:val="16"/>
                <w:szCs w:val="16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 xml:space="preserve"> = 1039/PY = 1709)</w:t>
            </w:r>
          </w:p>
        </w:tc>
        <w:tc>
          <w:tcPr>
            <w:tcW w:w="1009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27E2A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NYHA class II</w:t>
            </w:r>
          </w:p>
          <w:p w14:paraId="2D5F0D91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>(</w:t>
            </w: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24"/>
                <w:sz w:val="16"/>
                <w:szCs w:val="16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 xml:space="preserve"> = 2585/PY = 8565)</w:t>
            </w:r>
          </w:p>
        </w:tc>
        <w:tc>
          <w:tcPr>
            <w:tcW w:w="1036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98345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NYHA class III</w:t>
            </w:r>
          </w:p>
          <w:p w14:paraId="141CBE1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24"/>
                <w:sz w:val="16"/>
                <w:szCs w:val="16"/>
              </w:rPr>
              <w:t xml:space="preserve">n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>= 2418/PY = 8296)</w:t>
            </w:r>
          </w:p>
        </w:tc>
        <w:tc>
          <w:tcPr>
            <w:tcW w:w="982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B4E241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NYHA class IV</w:t>
            </w:r>
          </w:p>
          <w:p w14:paraId="0F589B0D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</w:t>
            </w: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24"/>
                <w:sz w:val="16"/>
                <w:szCs w:val="16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16"/>
                <w:szCs w:val="16"/>
              </w:rPr>
              <w:t xml:space="preserve"> = 404/PY = 782)</w:t>
            </w:r>
          </w:p>
        </w:tc>
      </w:tr>
      <w:tr w:rsidR="0080414B" w:rsidRPr="006C7214" w14:paraId="7DBFF8EC" w14:textId="77777777" w:rsidTr="004C591D">
        <w:trPr>
          <w:trHeight w:val="510"/>
          <w:jc w:val="right"/>
        </w:trPr>
        <w:tc>
          <w:tcPr>
            <w:tcW w:w="762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C8D7A5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56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5A63D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C74F12" w14:textId="77777777" w:rsidR="0080414B" w:rsidRPr="002F06FE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31485F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 per</w:t>
            </w:r>
          </w:p>
          <w:p w14:paraId="1BB22E6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1000 PY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A8FEA" w14:textId="44010ACC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Total cost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FD8D4" w14:textId="0C9FD579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Cost per PY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E082A" w14:textId="77777777" w:rsidR="0080414B" w:rsidRPr="002F06FE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5C3A94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 per</w:t>
            </w:r>
          </w:p>
          <w:p w14:paraId="65401B6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1000 PY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81DE0" w14:textId="03EE2495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Total cost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4F03F4" w14:textId="050B9993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Cost per PY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57587F" w14:textId="77777777" w:rsidR="0080414B" w:rsidRPr="002F06FE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AC419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 per</w:t>
            </w:r>
          </w:p>
          <w:p w14:paraId="3871C342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1000 PY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5C7C16" w14:textId="061FA9EB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Total cost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15247" w14:textId="2B2D0586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Cost per PY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8E320E" w14:textId="77777777" w:rsidR="0080414B" w:rsidRPr="002F06FE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2308C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2F06F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>n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 per</w:t>
            </w:r>
          </w:p>
          <w:p w14:paraId="6A14448E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1000 PY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6F75F" w14:textId="6D83342D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Total cost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0E2E6" w:themeFill="background2" w:themeFillTint="33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9CADB0" w14:textId="4A0A0A4A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Cost per PY</w:t>
            </w:r>
            <w:r w:rsidR="0058464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 xml:space="preserve">, </w:t>
            </w: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eastAsia="en-GB"/>
              </w:rPr>
              <w:t>£</w:t>
            </w:r>
          </w:p>
        </w:tc>
      </w:tr>
      <w:tr w:rsidR="0080414B" w:rsidRPr="006C7214" w14:paraId="281481EB" w14:textId="77777777" w:rsidTr="004C591D">
        <w:trPr>
          <w:trHeight w:val="283"/>
          <w:jc w:val="right"/>
        </w:trPr>
        <w:tc>
          <w:tcPr>
            <w:tcW w:w="5000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D7A95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Primary care</w:t>
            </w:r>
            <w:r w:rsidRPr="002F06FE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a</w:t>
            </w:r>
          </w:p>
        </w:tc>
      </w:tr>
      <w:tr w:rsidR="0080414B" w:rsidRPr="006C7214" w14:paraId="4E672A16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8DB67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5DFB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30.78</w:t>
            </w:r>
            <w:r w:rsidRPr="002F06FE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5A0B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11,628</w:t>
            </w: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36FE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6803.98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918E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357,909.84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D5F6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209.43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224E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87,142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E58A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10,174.20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BFB5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2,682,230.76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668C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313.16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DDC1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124,580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81B46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15,016.88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3916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3,834,572.40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E64D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462.22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FD4C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16,496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2275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21,094.63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B062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507,746.88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8A53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649.29</w:t>
            </w:r>
          </w:p>
        </w:tc>
      </w:tr>
      <w:tr w:rsidR="0080414B" w:rsidRPr="006C7214" w14:paraId="2988E75D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6788A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General practice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B2B3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39.23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591BB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6458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487FA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3778.82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161E0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253,347.34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4C954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148.24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4C9E91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47,130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BEEAC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5502.63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04010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1,848,909.90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657CB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215.87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2C023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65,909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20429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7944.67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68611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2,585,610.07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06AD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311.67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70626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8317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3977A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10,635.55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6FB96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326,275.91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E8249" w14:textId="77777777" w:rsidR="0080414B" w:rsidRPr="006C7214" w:rsidDel="000F0CB9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kern w:val="24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417.23</w:t>
            </w:r>
          </w:p>
        </w:tc>
      </w:tr>
      <w:tr w:rsidR="0080414B" w:rsidRPr="006C7214" w14:paraId="3A5000CA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0A126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Nurse practice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2D16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14.06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8F2E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3230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C4E1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1889.99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C494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45,412.27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3235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26.57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FD3E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25,072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11960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2927.26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5FC5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352,500.43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E4F0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41.16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9A91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37,306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8950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4496.87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9CD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524,504.67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C103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63.22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56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5265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EA3A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6732.74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8DD5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74,023.40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10C4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94.66</w:t>
            </w:r>
          </w:p>
        </w:tc>
      </w:tr>
      <w:tr w:rsidR="0080414B" w:rsidRPr="006C7214" w14:paraId="73C6DECE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3B23CB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Telephone</w:t>
            </w:r>
            <w:r w:rsidRPr="006C7214" w:rsidDel="00C127F3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8F77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28.21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B60F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1940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37C1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1135.17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C0CB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54,722.81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AA1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32.02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62E3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14,940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8886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1744.31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540F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421,422.07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9248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49.20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A69A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21,365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D481D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2575.34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4E78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602,656.13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1D24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72.64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D7B5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2914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06D6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3726.34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1CAE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82,197.05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0F80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105.11</w:t>
            </w:r>
          </w:p>
        </w:tc>
      </w:tr>
      <w:tr w:rsidR="0080414B" w:rsidRPr="006C7214" w14:paraId="407AEC7D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5E77A1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Out-of-hours practice</w:t>
            </w:r>
            <w:r w:rsidRPr="006C7214" w:rsidDel="00C127F3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 xml:space="preserve"> </w:t>
            </w: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  <w:t>(not included elsewhere)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0197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136.77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D594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7907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27.50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F5AD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6428.19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BAF0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3.76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5CA9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355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9442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41.45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7F1A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48,553.35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E153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5.67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1BE3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C3EB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56.89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FE04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64,555.44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BFB2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7.78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EEEEA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603D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62.66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EF98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6701.73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8358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8.57</w:t>
            </w:r>
          </w:p>
        </w:tc>
      </w:tr>
      <w:tr w:rsidR="0080414B" w:rsidRPr="006C7214" w14:paraId="19C61D6D" w14:textId="77777777" w:rsidTr="004C591D">
        <w:trPr>
          <w:trHeight w:val="283"/>
          <w:jc w:val="right"/>
        </w:trPr>
        <w:tc>
          <w:tcPr>
            <w:tcW w:w="5000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F4CE7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Secondary care</w:t>
            </w:r>
            <w:r w:rsidRPr="002F06F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</w:rPr>
              <w:t>d</w:t>
            </w:r>
          </w:p>
        </w:tc>
      </w:tr>
      <w:tr w:rsidR="0080414B" w:rsidRPr="006C7214" w14:paraId="338E368D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39A77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GB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Inpatient (all)</w:t>
            </w:r>
            <w:r w:rsidRPr="002F06FE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9A616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5988C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A04AE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26E8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2,770,419.65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776A1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1621.08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ECD66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AAD5A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93F3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13,595,573.52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A316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1587.34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6779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6ABA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410A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20,605,153.74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0324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2483.75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5DCFC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B6771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C473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3,112,145.43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5223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3979.73</w:t>
            </w:r>
          </w:p>
        </w:tc>
      </w:tr>
      <w:tr w:rsidR="0080414B" w:rsidRPr="006C7214" w14:paraId="3DDD5CEB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F9D41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Day case visits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0C53E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BB47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B70402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1A53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499,471.58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BABF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292.26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1B232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E0539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B4C7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3,019,670.44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1A5F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352.56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88657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68562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7C8E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3,826,409.25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350F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461.24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6B22E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E785C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C3FC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408,364.46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6C34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522.21</w:t>
            </w:r>
          </w:p>
        </w:tc>
      </w:tr>
      <w:tr w:rsidR="0080414B" w:rsidRPr="006C7214" w14:paraId="76F9D64C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28812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Inpatient (elective – excluding day cases)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B1F89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5B47D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A2AEE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DA85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1,271,352.32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F7D5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743.92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9A411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7F213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E8AD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4,393,067.85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60F59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512.91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B0830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5DAD9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9A6A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6,068,558.32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A224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731.50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151E3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F3A60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F1E3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704,344.74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7C7D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900.70</w:t>
            </w:r>
          </w:p>
        </w:tc>
      </w:tr>
      <w:tr w:rsidR="0080414B" w:rsidRPr="006C7214" w14:paraId="5901AC19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F09FC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Inpatient (non-elective – excluding day cases)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EF1D3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FE700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D9914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6894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999,595.75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E448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584.90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81562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933BB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272A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6,182,835.23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D6970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721.87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D30F3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BBDB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A9A40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10,710,186.17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6106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1291.01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14A25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61C6C" w14:textId="77777777" w:rsidR="0080414B" w:rsidRPr="006C7214" w:rsidRDefault="0080414B" w:rsidP="004C591D">
            <w:pPr>
              <w:pStyle w:val="Table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D30C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1,999,436.23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612F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2556.82</w:t>
            </w:r>
          </w:p>
        </w:tc>
      </w:tr>
      <w:tr w:rsidR="0080414B" w:rsidRPr="006C7214" w14:paraId="72DF8547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4215C" w14:textId="3AE44D2A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Outpatient visits 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09DF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137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7E00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7683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A05D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4495.61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FFE9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1,052,571.00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A805F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615.90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96CE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52,809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D4DA0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6165.67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C0F6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7,234,833.00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9029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844.70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46E6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66,659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D788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8035.08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5DBE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9,132,283.00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35A8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1100.81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5E7A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8597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4EB6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10,993.61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894E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1,177,789.00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F4655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1506.12</w:t>
            </w:r>
          </w:p>
        </w:tc>
      </w:tr>
      <w:tr w:rsidR="0080414B" w:rsidRPr="006C7214" w14:paraId="26A8CEE3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8DF1F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A&amp;E visits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4522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188.28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043E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712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92B4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416.62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D94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134,055.36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08FC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78.44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83AF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4496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A856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524.93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C5CF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846,506.88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7517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98.83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2C0A2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6248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D890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753.13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EA0B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1,176,373.44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972A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141.80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FBA5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CA7B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1186.70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B314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174,723.84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F7A0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223.43</w:t>
            </w:r>
          </w:p>
        </w:tc>
      </w:tr>
      <w:tr w:rsidR="0080414B" w:rsidRPr="006C7214" w14:paraId="64BC55C8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58F5D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Inpatient critical care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C5C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1215.90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4C80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A3D2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32.77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923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68,090.40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F250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39.84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0F7C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EE69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28.02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0D90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291,816.00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A338A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34.07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C1980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2A00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52.80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1478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532,564.20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258A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64.20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0626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AD6F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71.61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49BC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68,090.40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87B3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87.07</w:t>
            </w:r>
          </w:p>
        </w:tc>
      </w:tr>
      <w:tr w:rsidR="0080414B" w:rsidRPr="006C7214" w14:paraId="6487E924" w14:textId="77777777" w:rsidTr="004C591D">
        <w:trPr>
          <w:trHeight w:val="283"/>
          <w:jc w:val="right"/>
        </w:trPr>
        <w:tc>
          <w:tcPr>
            <w:tcW w:w="5000" w:type="pct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3C135" w14:textId="77777777" w:rsidR="0080414B" w:rsidRPr="006C7214" w:rsidRDefault="0080414B" w:rsidP="004C591D">
            <w:pPr>
              <w:pStyle w:val="Table"/>
              <w:keepNext w:val="0"/>
              <w:keepLines w:val="0"/>
              <w:widowControl w:val="0"/>
              <w:spacing w:line="480" w:lineRule="auto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Test and </w:t>
            </w:r>
            <w:proofErr w:type="spellStart"/>
            <w:r w:rsidRPr="006C7214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procedures</w:t>
            </w:r>
            <w:r w:rsidRPr="002F06FE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vertAlign w:val="superscript"/>
              </w:rPr>
              <w:t>f</w:t>
            </w:r>
            <w:proofErr w:type="spellEnd"/>
          </w:p>
        </w:tc>
      </w:tr>
      <w:tr w:rsidR="0080414B" w:rsidRPr="006C7214" w14:paraId="55757174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7F094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Ablation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A54A3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6750.00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BE6E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639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9.95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71BE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114,750.00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6B4C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67.14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1144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48CB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16.23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6170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938,250.00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F22C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109.54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5994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573F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16.76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D747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938,250.00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8B3A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113.10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09B4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2DB6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34.53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8A13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182,250.00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7D92C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233.06</w:t>
            </w:r>
          </w:p>
        </w:tc>
      </w:tr>
      <w:tr w:rsidR="0080414B" w:rsidRPr="006C7214" w14:paraId="0C855EF1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E44C9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Biomarker: NT-proBNP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19E1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20.00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AFF1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8352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8.78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BC3F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9369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0.18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1101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3CB4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22.42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B2D9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3840.00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1449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0.45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2029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A469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57.50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3639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9540.00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FF23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1.15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D075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EA39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109.97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79B2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1720.00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8B85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2.20</w:t>
            </w:r>
          </w:p>
        </w:tc>
      </w:tr>
      <w:tr w:rsidR="0080414B" w:rsidRPr="006C7214" w14:paraId="5F714A05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7FBE5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Biomarker: Troponin T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770C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20.00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F8F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6C7214">
              <w:rPr>
                <w:rFonts w:cs="Times New Roman"/>
                <w:sz w:val="16"/>
                <w:szCs w:val="16"/>
                <w:vertAlign w:val="superscript"/>
              </w:rPr>
              <w:t xml:space="preserve"> g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AC3C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>
              <w:rPr>
                <w:rFonts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5E54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>
              <w:rPr>
                <w:rFonts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A179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2F06F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E879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3C4E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4.79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520D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9B2E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0.10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1C0E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24E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8.56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8D7F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1420.00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1E31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0.17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0CFD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1CAE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15.35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513C4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188F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0.31</w:t>
            </w:r>
          </w:p>
        </w:tc>
      </w:tr>
      <w:tr w:rsidR="0080414B" w:rsidRPr="006C7214" w14:paraId="4DA0D7FD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1822D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Cardiac MRI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BC27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451.49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FA84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7278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46.81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40BF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36,119.20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B8C6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21.13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5E91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84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7BEE7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9.81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9617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37,925.16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DF31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4.43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2BA4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104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1243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12.54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47ABF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46,954.96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DBBC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5.66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884B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9098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6.39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F97C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2257.45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FC9E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2.89</w:t>
            </w:r>
          </w:p>
        </w:tc>
      </w:tr>
      <w:tr w:rsidR="0080414B" w:rsidRPr="006C7214" w14:paraId="1F9433C4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AEC8A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Cardiac rehabilitation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125A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374.54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D4D8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033AA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4.10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E35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2621.78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1438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1.53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8E59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BBCC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2.10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4D9C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6741.72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2B04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0.79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28F7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B63D4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3.86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A2C2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11,985.28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CCB9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1.44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A515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F645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8.95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A94B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2621.78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6E74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3.35</w:t>
            </w:r>
          </w:p>
        </w:tc>
      </w:tr>
      <w:tr w:rsidR="0080414B" w:rsidRPr="006C7214" w14:paraId="6421E7A2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2A1ED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ECG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5AABA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130.26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82C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EA26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32.18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8323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7164.30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B2CD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4.19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40B2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D736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28.14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FDBE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31,392.66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4F9D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3.67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0EE9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EEA8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28.69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E73F2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31,001.88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F021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3.74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0831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2463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31.97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DDBD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3256.50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8AC9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4.16</w:t>
            </w:r>
          </w:p>
        </w:tc>
      </w:tr>
      <w:tr w:rsidR="0080414B" w:rsidRPr="006C7214" w14:paraId="414CAF1F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C01656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ECHO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5849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191.27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D245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73AE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100.64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C677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32,898.44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A4A7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19.25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7E2A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F846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95.86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6310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157,032.67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32DA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18.33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6A8F1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167F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168.88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FF129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267,969.27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87E0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32.30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87AB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218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9593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278.77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F469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41,696.86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361D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53.32</w:t>
            </w:r>
          </w:p>
        </w:tc>
      </w:tr>
      <w:tr w:rsidR="0080414B" w:rsidRPr="006C7214" w14:paraId="2A0E30B2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71F97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ECHO stress induced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B3A9D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130.26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7699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EB4AA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CDA3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C442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E58C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6C7214">
              <w:rPr>
                <w:rFonts w:cs="Times New Roman"/>
                <w:sz w:val="16"/>
                <w:szCs w:val="16"/>
                <w:vertAlign w:val="superscript"/>
              </w:rPr>
              <w:t>g</w:t>
            </w:r>
            <w:proofErr w:type="spellEnd"/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11D1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>
              <w:rPr>
                <w:rFonts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4ED4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>
              <w:rPr>
                <w:rFonts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0211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>
              <w:rPr>
                <w:rFonts w:cs="Times New Roman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2A78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1D20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2B38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F08B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EC5F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DCBC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F87D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AB77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0.00</w:t>
            </w:r>
          </w:p>
        </w:tc>
      </w:tr>
      <w:tr w:rsidR="0080414B" w:rsidRPr="006C7214" w14:paraId="3DAFBACE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EE0EC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ICD insertion and cardiac resynchronization therapy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7A9C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3191.62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934C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B597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27.50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3FE8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150,006.14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841D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87.77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E34CF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656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C9AD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76.59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CEE4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2,093,702.72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E71F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244.45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6C57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2D4B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72.20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7C3A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1,918,163.62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8CC1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230.45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A353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96FD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112.53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4E05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287,245.80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FB49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367.32</w:t>
            </w:r>
          </w:p>
        </w:tc>
      </w:tr>
      <w:tr w:rsidR="0080414B" w:rsidRPr="006C7214" w14:paraId="7C745E03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E4249" w14:textId="509F3C52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Pacemaker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1AF00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3068.66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393F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FC24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56.17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CA79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294,591.36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6DDA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172.38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1D1D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684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C093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79.86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A29D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2,098,963.44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50DE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245.06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33D9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1129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4DDE0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136.09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BCA9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3,464,517.14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A731E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417.61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3711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160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8591C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204.60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79CF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490,985.60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DD01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627.86</w:t>
            </w:r>
          </w:p>
        </w:tc>
      </w:tr>
      <w:tr w:rsidR="0080414B" w:rsidRPr="006C7214" w14:paraId="68C92779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795A0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SRT-myectomy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3CA68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15,674.75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8C2D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84BE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3.51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5094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94,048.50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0D3C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55.03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8AED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4CC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2.57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9921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344,844.50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6326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40.26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78BA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56C65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4.34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C451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564,291.00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4755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68.02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6D54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6C7214">
              <w:rPr>
                <w:rFonts w:cs="Times New Roman"/>
                <w:sz w:val="16"/>
                <w:szCs w:val="16"/>
                <w:vertAlign w:val="superscript"/>
              </w:rPr>
              <w:t>g</w:t>
            </w:r>
            <w:proofErr w:type="spellEnd"/>
            <w:r w:rsidRPr="006C7214" w:rsidDel="0005348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1385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2F06FE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A83B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h</w:t>
            </w:r>
            <w:proofErr w:type="spellEnd"/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C1332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NR</w:t>
            </w: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h</w:t>
            </w:r>
            <w:proofErr w:type="spellEnd"/>
          </w:p>
        </w:tc>
      </w:tr>
      <w:tr w:rsidR="0080414B" w:rsidRPr="006C7214" w14:paraId="34D833FA" w14:textId="77777777" w:rsidTr="004C591D">
        <w:trPr>
          <w:trHeight w:val="283"/>
          <w:jc w:val="right"/>
        </w:trPr>
        <w:tc>
          <w:tcPr>
            <w:tcW w:w="7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FC43A6" w14:textId="77777777" w:rsidR="0080414B" w:rsidRPr="006C7214" w:rsidRDefault="0080414B" w:rsidP="004C591D">
            <w:pPr>
              <w:pStyle w:val="Table"/>
              <w:keepNext w:val="0"/>
              <w:keepLines w:val="0"/>
              <w:spacing w:line="4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SRT-ASA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BDFF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6750.00</w:t>
            </w:r>
          </w:p>
        </w:tc>
        <w:tc>
          <w:tcPr>
            <w:tcW w:w="20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CDEF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1FBC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5.85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5B40C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67,500.00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922C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39.50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7EDDB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CC1ED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3.62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872FF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209,250.00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06891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24.43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86AE6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9ECDE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7.59</w:t>
            </w:r>
          </w:p>
        </w:tc>
        <w:tc>
          <w:tcPr>
            <w:tcW w:w="35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0EF77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425,250.00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F9AF3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51.26</w:t>
            </w:r>
          </w:p>
        </w:tc>
        <w:tc>
          <w:tcPr>
            <w:tcW w:w="18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8135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B2A94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8.95</w:t>
            </w:r>
          </w:p>
        </w:tc>
        <w:tc>
          <w:tcPr>
            <w:tcW w:w="32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4D4329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47,250.00</w:t>
            </w:r>
          </w:p>
        </w:tc>
        <w:tc>
          <w:tcPr>
            <w:tcW w:w="2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65C1A" w14:textId="77777777" w:rsidR="0080414B" w:rsidRPr="006C7214" w:rsidRDefault="0080414B" w:rsidP="004C591D">
            <w:pPr>
              <w:pStyle w:val="Table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21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60.42</w:t>
            </w:r>
          </w:p>
        </w:tc>
      </w:tr>
    </w:tbl>
    <w:p w14:paraId="3806C083" w14:textId="68FDF5BF" w:rsidR="00432448" w:rsidRPr="00677B20" w:rsidRDefault="00432448" w:rsidP="006523C1">
      <w:pPr>
        <w:spacing w:after="160" w:line="240" w:lineRule="auto"/>
        <w:rPr>
          <w:rFonts w:cs="Times New Roman"/>
          <w:color w:val="000000" w:themeColor="text1"/>
          <w:sz w:val="20"/>
          <w:szCs w:val="20"/>
        </w:rPr>
        <w:sectPr w:rsidR="00432448" w:rsidRPr="00677B20" w:rsidSect="00274A14"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  <w:r w:rsidRPr="00677B20">
        <w:rPr>
          <w:rFonts w:cs="Times New Roman"/>
          <w:color w:val="000000" w:themeColor="text1"/>
          <w:sz w:val="20"/>
          <w:szCs w:val="20"/>
        </w:rPr>
        <w:t>A&amp;E, accident and emergency; ECG, electrocardiogram; ECHO, echocardiogram; ICD, implantable cardioverter</w:t>
      </w:r>
      <w:r w:rsidR="00584641">
        <w:rPr>
          <w:rFonts w:cs="Times New Roman"/>
          <w:color w:val="000000" w:themeColor="text1"/>
          <w:sz w:val="20"/>
          <w:szCs w:val="20"/>
        </w:rPr>
        <w:t>‑</w:t>
      </w:r>
      <w:r w:rsidRPr="00677B20">
        <w:rPr>
          <w:rFonts w:cs="Times New Roman"/>
          <w:color w:val="000000" w:themeColor="text1"/>
          <w:sz w:val="20"/>
          <w:szCs w:val="20"/>
        </w:rPr>
        <w:t xml:space="preserve">defibrillator; GP, general practitioner; HCM, hypertrophic cardiomyopathy;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HES,</w:t>
      </w:r>
      <w:r w:rsidR="003A5D38" w:rsidRPr="00677B20">
        <w:rPr>
          <w:kern w:val="24"/>
          <w:sz w:val="20"/>
          <w:szCs w:val="20"/>
        </w:rPr>
        <w:t xml:space="preserve"> Hospital Episode Statistics</w:t>
      </w:r>
      <w:r w:rsidR="007E4ADA" w:rsidRPr="00677B20">
        <w:rPr>
          <w:kern w:val="24"/>
          <w:sz w:val="20"/>
          <w:szCs w:val="20"/>
        </w:rPr>
        <w:t xml:space="preserve">; </w:t>
      </w:r>
      <w:r w:rsidR="00E86C58" w:rsidRPr="00677B20">
        <w:rPr>
          <w:rFonts w:cs="Times New Roman"/>
          <w:sz w:val="20"/>
          <w:szCs w:val="20"/>
        </w:rPr>
        <w:t xml:space="preserve">HRG, Healthcare Resource Group; </w:t>
      </w:r>
      <w:r w:rsidRPr="00677B20">
        <w:rPr>
          <w:rFonts w:cs="Times New Roman"/>
          <w:color w:val="000000" w:themeColor="text1"/>
          <w:sz w:val="20"/>
          <w:szCs w:val="20"/>
        </w:rPr>
        <w:t xml:space="preserve">MRI, magnetic resonance imaging;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 xml:space="preserve">NHS, National Health Service; </w:t>
      </w:r>
      <w:r w:rsidRPr="00677B20">
        <w:rPr>
          <w:rFonts w:cs="Times New Roman"/>
          <w:color w:val="000000" w:themeColor="text1"/>
          <w:sz w:val="20"/>
          <w:szCs w:val="20"/>
        </w:rPr>
        <w:t xml:space="preserve">NR, not reported; NT-proBNP, N-terminal pro B-type natriuretic peptide; NYHA, New York Heart Association; </w:t>
      </w:r>
      <w:r w:rsidR="003A5D38" w:rsidRPr="00677B20">
        <w:rPr>
          <w:rFonts w:cs="Times New Roman"/>
          <w:sz w:val="20"/>
          <w:szCs w:val="20"/>
        </w:rPr>
        <w:t xml:space="preserve">PSSRU, Personal Social Services Research Unit; </w:t>
      </w:r>
      <w:r w:rsidRPr="00677B20">
        <w:rPr>
          <w:rFonts w:cs="Times New Roman"/>
          <w:color w:val="000000" w:themeColor="text1"/>
          <w:sz w:val="20"/>
          <w:szCs w:val="20"/>
        </w:rPr>
        <w:t>PY, patient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-</w:t>
      </w:r>
      <w:r w:rsidRPr="00677B20">
        <w:rPr>
          <w:rFonts w:cs="Times New Roman"/>
          <w:color w:val="000000" w:themeColor="text1"/>
          <w:sz w:val="20"/>
          <w:szCs w:val="20"/>
        </w:rPr>
        <w:t>years; SRT</w:t>
      </w:r>
      <w:r w:rsidR="00E20FDB" w:rsidRPr="00677B20">
        <w:rPr>
          <w:rFonts w:cs="Times New Roman"/>
          <w:color w:val="000000" w:themeColor="text1"/>
          <w:sz w:val="20"/>
          <w:szCs w:val="20"/>
        </w:rPr>
        <w:t>,</w:t>
      </w:r>
      <w:r w:rsidR="00E20FDB">
        <w:rPr>
          <w:rFonts w:cs="Times New Roman"/>
          <w:color w:val="000000" w:themeColor="text1"/>
          <w:sz w:val="20"/>
          <w:szCs w:val="20"/>
        </w:rPr>
        <w:t> </w:t>
      </w:r>
      <w:r w:rsidRPr="00677B20">
        <w:rPr>
          <w:rFonts w:cs="Times New Roman"/>
          <w:color w:val="000000" w:themeColor="text1"/>
          <w:sz w:val="20"/>
          <w:szCs w:val="20"/>
        </w:rPr>
        <w:t>septal reduction therapy; SRT-ASA, alcohol septal ablation; SRT-myectomy, myectomy of left ventricular outflow tract</w:t>
      </w:r>
      <w:r w:rsidR="00422A34">
        <w:rPr>
          <w:rFonts w:cs="Times New Roman"/>
          <w:color w:val="000000" w:themeColor="text1"/>
          <w:sz w:val="20"/>
          <w:szCs w:val="20"/>
        </w:rPr>
        <w:t>.</w:t>
      </w:r>
    </w:p>
    <w:p w14:paraId="0298E23B" w14:textId="559C4069" w:rsidR="00D07DEA" w:rsidRPr="00677B20" w:rsidRDefault="00053480" w:rsidP="001335E8">
      <w:pPr>
        <w:spacing w:before="240"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color w:val="000000" w:themeColor="text1"/>
          <w:sz w:val="20"/>
          <w:szCs w:val="20"/>
          <w:vertAlign w:val="superscript"/>
        </w:rPr>
        <w:lastRenderedPageBreak/>
        <w:t>a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GP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consultation cost as referenced in PSSRU-2021. GP consultation 2021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–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2016 costs ratio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was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used to estimate 2021</w:t>
      </w:r>
      <w:r w:rsidR="003A5D38" w:rsidRPr="00677B20">
        <w:rPr>
          <w:rFonts w:cs="Times New Roman"/>
          <w:color w:val="000000" w:themeColor="text1"/>
          <w:sz w:val="20"/>
          <w:szCs w:val="20"/>
        </w:rPr>
        <w:t xml:space="preserve"> 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unit cost for all other PC activities from 2016 values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48E23499" w14:textId="050262B8" w:rsidR="00432448" w:rsidRPr="00677B20" w:rsidRDefault="0043244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sz w:val="20"/>
          <w:szCs w:val="20"/>
          <w:vertAlign w:val="superscript"/>
        </w:rPr>
        <w:t>b</w:t>
      </w:r>
      <w:r w:rsidRPr="00677B20">
        <w:rPr>
          <w:rFonts w:cs="Times New Roman"/>
          <w:color w:val="000000" w:themeColor="text1"/>
          <w:sz w:val="20"/>
          <w:szCs w:val="20"/>
        </w:rPr>
        <w:t>Unit</w:t>
      </w:r>
      <w:proofErr w:type="spellEnd"/>
      <w:r w:rsidRPr="00677B20">
        <w:rPr>
          <w:rFonts w:cs="Times New Roman"/>
          <w:color w:val="000000" w:themeColor="text1"/>
          <w:sz w:val="20"/>
          <w:szCs w:val="20"/>
        </w:rPr>
        <w:t xml:space="preserve"> cost of all clinical consultations calculated as a weighted average of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general</w:t>
      </w:r>
      <w:r w:rsidRPr="00677B20">
        <w:rPr>
          <w:rFonts w:cs="Times New Roman"/>
          <w:color w:val="000000" w:themeColor="text1"/>
          <w:sz w:val="20"/>
          <w:szCs w:val="20"/>
        </w:rPr>
        <w:t xml:space="preserve"> practice, nurse practice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,</w:t>
      </w:r>
      <w:r w:rsidRPr="00677B20">
        <w:rPr>
          <w:rFonts w:cs="Times New Roman"/>
          <w:color w:val="000000" w:themeColor="text1"/>
          <w:sz w:val="20"/>
          <w:szCs w:val="20"/>
        </w:rPr>
        <w:t xml:space="preserve"> and GP telephone consultation costs.</w:t>
      </w:r>
    </w:p>
    <w:p w14:paraId="3E2B9F4A" w14:textId="40A01198" w:rsidR="00D07DEA" w:rsidRPr="00677B20" w:rsidRDefault="00C6716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color w:val="000000" w:themeColor="text1"/>
          <w:sz w:val="20"/>
          <w:szCs w:val="20"/>
          <w:vertAlign w:val="superscript"/>
        </w:rPr>
        <w:t>c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All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clinical consultations calculated as a sum of </w:t>
      </w:r>
      <w:r w:rsidR="006B592A" w:rsidRPr="00677B20">
        <w:rPr>
          <w:rFonts w:cs="Times New Roman"/>
          <w:color w:val="000000" w:themeColor="text1"/>
          <w:sz w:val="20"/>
          <w:szCs w:val="20"/>
        </w:rPr>
        <w:t>general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practice, nurse practice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,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and GP telephone consultation counts (</w:t>
      </w:r>
      <w:r w:rsidR="00D07DEA" w:rsidRPr="001335E8">
        <w:rPr>
          <w:rFonts w:cs="Times New Roman"/>
          <w:i/>
          <w:iCs/>
          <w:color w:val="000000" w:themeColor="text1"/>
          <w:sz w:val="20"/>
          <w:szCs w:val="20"/>
        </w:rPr>
        <w:t>n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)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270F1E05" w14:textId="575F5C8B" w:rsidR="00D07DEA" w:rsidRPr="00677B20" w:rsidRDefault="00C6716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sz w:val="20"/>
          <w:szCs w:val="20"/>
          <w:vertAlign w:val="superscript"/>
        </w:rPr>
        <w:t>d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Secondary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care unit costs and count were not used to calculate total inpatient costs. Inpatient costs for elective</w:t>
      </w:r>
      <w:r w:rsidR="003A5D38" w:rsidRPr="00677B20">
        <w:rPr>
          <w:rFonts w:cs="Times New Roman"/>
          <w:color w:val="000000" w:themeColor="text1"/>
          <w:sz w:val="20"/>
          <w:szCs w:val="20"/>
        </w:rPr>
        <w:t xml:space="preserve"> and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non-elective inpatient admissions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,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and day cases were calculated using the HES HRG table to pull the total cost of the relevant inpatient visits using HRG currency codes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09FF753E" w14:textId="55D51E2F" w:rsidR="00D07DEA" w:rsidRPr="00677B20" w:rsidRDefault="00C6716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sz w:val="20"/>
          <w:szCs w:val="20"/>
          <w:vertAlign w:val="superscript"/>
        </w:rPr>
        <w:t>e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Unit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cost of inpatient (all) admission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s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calculated as a weighted average of inpatient admission (elective – excluding day cases), inpatient (non-elective – excluding day cases)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,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and day case visits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284193AE" w14:textId="70AAB053" w:rsidR="00D07DEA" w:rsidRPr="00677B20" w:rsidRDefault="00C6716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color w:val="000000" w:themeColor="text1"/>
          <w:sz w:val="20"/>
          <w:szCs w:val="20"/>
          <w:vertAlign w:val="superscript"/>
        </w:rPr>
        <w:t>f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Unit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costs for tests and procedures as provided in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 xml:space="preserve">the 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National Schedule of NHS costs </w:t>
      </w:r>
      <w:r w:rsidR="006B592A" w:rsidRPr="00677B20">
        <w:rPr>
          <w:rFonts w:cs="Times New Roman"/>
          <w:color w:val="000000" w:themeColor="text1"/>
          <w:sz w:val="20"/>
          <w:szCs w:val="20"/>
        </w:rPr>
        <w:t>–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Year 2019-20 </w:t>
      </w:r>
      <w:r w:rsidR="006B592A" w:rsidRPr="00677B20">
        <w:rPr>
          <w:rFonts w:cs="Times New Roman"/>
          <w:color w:val="000000" w:themeColor="text1"/>
          <w:sz w:val="20"/>
          <w:szCs w:val="20"/>
        </w:rPr>
        <w:t>–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NHS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T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rust and NHS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F</w:t>
      </w:r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oundation </w:t>
      </w:r>
      <w:r w:rsidR="003A5D38" w:rsidRPr="00677B20">
        <w:rPr>
          <w:rFonts w:cs="Times New Roman"/>
          <w:color w:val="000000" w:themeColor="text1"/>
          <w:sz w:val="20"/>
          <w:szCs w:val="20"/>
        </w:rPr>
        <w:t>T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rusts (cost modified based on expert elicitation)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76CB50FA" w14:textId="6760766D" w:rsidR="00D07DEA" w:rsidRPr="00677B20" w:rsidRDefault="00C67168" w:rsidP="001335E8">
      <w:pPr>
        <w:spacing w:after="60" w:line="240" w:lineRule="auto"/>
        <w:rPr>
          <w:rFonts w:cs="Times New Roman"/>
          <w:color w:val="000000" w:themeColor="text1"/>
          <w:sz w:val="20"/>
          <w:szCs w:val="20"/>
        </w:rPr>
      </w:pPr>
      <w:proofErr w:type="spellStart"/>
      <w:r w:rsidRPr="00677B20">
        <w:rPr>
          <w:rFonts w:cs="Times New Roman"/>
          <w:sz w:val="20"/>
          <w:szCs w:val="20"/>
          <w:vertAlign w:val="superscript"/>
        </w:rPr>
        <w:t>g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Primary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suppression applied to cells with </w:t>
      </w:r>
      <w:r w:rsidR="003C77E3" w:rsidRPr="00677B20">
        <w:rPr>
          <w:rFonts w:cs="Times New Roman"/>
          <w:color w:val="000000" w:themeColor="text1"/>
          <w:sz w:val="20"/>
          <w:szCs w:val="20"/>
        </w:rPr>
        <w:t xml:space="preserve">&lt; 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5 observations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3C4EB949" w14:textId="531BECA2" w:rsidR="006523C1" w:rsidRPr="00677B20" w:rsidRDefault="00C67168" w:rsidP="001335E8">
      <w:pPr>
        <w:spacing w:after="60" w:line="240" w:lineRule="auto"/>
        <w:rPr>
          <w:rFonts w:cs="Times New Roman"/>
          <w:b/>
          <w:bCs/>
          <w:color w:val="000000" w:themeColor="text1"/>
          <w:szCs w:val="24"/>
        </w:rPr>
        <w:sectPr w:rsidR="006523C1" w:rsidRPr="00677B20" w:rsidSect="006523C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677B20">
        <w:rPr>
          <w:rFonts w:cs="Times New Roman"/>
          <w:sz w:val="20"/>
          <w:szCs w:val="20"/>
          <w:vertAlign w:val="superscript"/>
        </w:rPr>
        <w:t>h</w:t>
      </w:r>
      <w:r w:rsidR="00D07DEA" w:rsidRPr="00677B20">
        <w:rPr>
          <w:rFonts w:cs="Times New Roman"/>
          <w:color w:val="000000" w:themeColor="text1"/>
          <w:sz w:val="20"/>
          <w:szCs w:val="20"/>
        </w:rPr>
        <w:t>Secondary</w:t>
      </w:r>
      <w:proofErr w:type="spellEnd"/>
      <w:r w:rsidR="00D07DEA" w:rsidRPr="00677B20">
        <w:rPr>
          <w:rFonts w:cs="Times New Roman"/>
          <w:color w:val="000000" w:themeColor="text1"/>
          <w:sz w:val="20"/>
          <w:szCs w:val="20"/>
        </w:rPr>
        <w:t xml:space="preserve"> suppression</w:t>
      </w:r>
      <w:r w:rsidR="00432448" w:rsidRPr="00677B20">
        <w:rPr>
          <w:rFonts w:cs="Times New Roman"/>
          <w:color w:val="000000" w:themeColor="text1"/>
          <w:sz w:val="20"/>
          <w:szCs w:val="20"/>
        </w:rPr>
        <w:t>.</w:t>
      </w:r>
    </w:p>
    <w:p w14:paraId="287DA078" w14:textId="77777777" w:rsidR="006732A2" w:rsidRDefault="00955BCC" w:rsidP="006732A2">
      <w:pPr>
        <w:pStyle w:val="Caption"/>
        <w:keepNext w:val="0"/>
        <w:spacing w:line="240" w:lineRule="auto"/>
        <w:jc w:val="left"/>
        <w:rPr>
          <w:rFonts w:ascii="Times New Roman" w:hAnsi="Times New Roman"/>
          <w:color w:val="auto"/>
          <w:sz w:val="20"/>
        </w:rPr>
      </w:pPr>
      <w:r w:rsidRPr="00677B20">
        <w:rPr>
          <w:color w:val="000000" w:themeColor="text1"/>
          <w:szCs w:val="24"/>
        </w:rPr>
        <w:lastRenderedPageBreak/>
        <w:t>Supplementary figures</w:t>
      </w:r>
      <w:r w:rsidR="00286812" w:rsidRPr="00677B20">
        <w:rPr>
          <w:color w:val="000000" w:themeColor="text1"/>
          <w:szCs w:val="24"/>
        </w:rPr>
        <w:br/>
      </w:r>
    </w:p>
    <w:p w14:paraId="36524614" w14:textId="6451CC03" w:rsidR="006732A2" w:rsidRPr="0077534D" w:rsidRDefault="006732A2" w:rsidP="0077534D">
      <w:pPr>
        <w:spacing w:after="160" w:line="259" w:lineRule="auto"/>
        <w:rPr>
          <w:rFonts w:eastAsia="Calibri" w:cs="Times New Roman"/>
          <w:b/>
          <w:bCs/>
          <w:sz w:val="22"/>
        </w:rPr>
      </w:pPr>
      <w:r w:rsidRPr="0077534D">
        <w:rPr>
          <w:b/>
          <w:bCs/>
          <w:sz w:val="22"/>
        </w:rPr>
        <w:t>Figure S1</w:t>
      </w:r>
      <w:r w:rsidRPr="00677B20">
        <w:rPr>
          <w:sz w:val="22"/>
        </w:rPr>
        <w:t xml:space="preserve"> Summary of patient counts through each attrition criterion and HCM cohort. </w:t>
      </w:r>
    </w:p>
    <w:p w14:paraId="0D573DD1" w14:textId="0622CC62" w:rsidR="006732A2" w:rsidRPr="00677B20" w:rsidRDefault="006732A2" w:rsidP="009E4B23">
      <w:pPr>
        <w:pStyle w:val="Caption"/>
        <w:spacing w:before="0" w:after="0" w:line="240" w:lineRule="auto"/>
        <w:rPr>
          <w:rFonts w:ascii="Times New Roman" w:hAnsi="Times New Roman"/>
          <w:b w:val="0"/>
          <w:bCs w:val="0"/>
          <w:color w:val="auto"/>
          <w:sz w:val="20"/>
        </w:rPr>
      </w:pPr>
      <w:proofErr w:type="spellStart"/>
      <w:r w:rsidRPr="00677B20">
        <w:rPr>
          <w:rFonts w:ascii="Times New Roman" w:hAnsi="Times New Roman"/>
          <w:b w:val="0"/>
          <w:bCs w:val="0"/>
          <w:color w:val="auto"/>
          <w:sz w:val="20"/>
          <w:vertAlign w:val="superscript"/>
        </w:rPr>
        <w:t>a</w:t>
      </w:r>
      <w:r w:rsidRPr="00677B20">
        <w:rPr>
          <w:rFonts w:ascii="Times New Roman" w:hAnsi="Times New Roman"/>
          <w:b w:val="0"/>
          <w:bCs w:val="0"/>
          <w:color w:val="auto"/>
          <w:sz w:val="20"/>
        </w:rPr>
        <w:t>Including</w:t>
      </w:r>
      <w:proofErr w:type="spellEnd"/>
      <w:r w:rsidRPr="00677B20">
        <w:rPr>
          <w:rFonts w:ascii="Times New Roman" w:hAnsi="Times New Roman"/>
          <w:sz w:val="20"/>
        </w:rPr>
        <w:t xml:space="preserve"> </w:t>
      </w:r>
      <w:r w:rsidRPr="00677B20">
        <w:rPr>
          <w:rFonts w:ascii="Times New Roman" w:hAnsi="Times New Roman"/>
          <w:b w:val="0"/>
          <w:bCs w:val="0"/>
          <w:color w:val="auto"/>
          <w:sz w:val="20"/>
        </w:rPr>
        <w:t>hypertensive heart disease, aortic stenosis, athlete’s heart, storage disease, Takotsubo cardiomyopathy, Fabry disease, Anderson</w:t>
      </w:r>
      <w:r w:rsidR="00925515">
        <w:rPr>
          <w:rFonts w:ascii="Times New Roman" w:hAnsi="Times New Roman"/>
          <w:b w:val="0"/>
          <w:bCs w:val="0"/>
          <w:color w:val="auto"/>
          <w:sz w:val="20"/>
        </w:rPr>
        <w:t>–</w:t>
      </w:r>
      <w:r w:rsidRPr="00677B20">
        <w:rPr>
          <w:rFonts w:ascii="Times New Roman" w:hAnsi="Times New Roman"/>
          <w:b w:val="0"/>
          <w:bCs w:val="0"/>
          <w:color w:val="auto"/>
          <w:sz w:val="20"/>
        </w:rPr>
        <w:t>Fabry disease, Pompe’s disease, Amyloidosis</w:t>
      </w:r>
      <w:r w:rsidR="00925515">
        <w:rPr>
          <w:rFonts w:ascii="Times New Roman" w:hAnsi="Times New Roman"/>
          <w:b w:val="0"/>
          <w:bCs w:val="0"/>
          <w:color w:val="auto"/>
          <w:sz w:val="20"/>
        </w:rPr>
        <w:t>.</w:t>
      </w:r>
    </w:p>
    <w:p w14:paraId="66EB3884" w14:textId="652C1BBB" w:rsidR="006732A2" w:rsidRPr="00677B20" w:rsidRDefault="006732A2" w:rsidP="006732A2">
      <w:pPr>
        <w:pStyle w:val="Caption"/>
        <w:keepNext w:val="0"/>
        <w:spacing w:before="0" w:line="240" w:lineRule="auto"/>
        <w:jc w:val="left"/>
        <w:rPr>
          <w:rFonts w:ascii="Times New Roman" w:hAnsi="Times New Roman"/>
          <w:b w:val="0"/>
          <w:bCs w:val="0"/>
          <w:color w:val="auto"/>
          <w:sz w:val="20"/>
        </w:rPr>
      </w:pPr>
      <w:proofErr w:type="spellStart"/>
      <w:r w:rsidRPr="00677B20">
        <w:rPr>
          <w:rFonts w:ascii="Times New Roman" w:hAnsi="Times New Roman"/>
          <w:b w:val="0"/>
          <w:bCs w:val="0"/>
          <w:color w:val="auto"/>
          <w:sz w:val="20"/>
          <w:vertAlign w:val="superscript"/>
        </w:rPr>
        <w:t>b</w:t>
      </w:r>
      <w:r w:rsidR="00925515" w:rsidRPr="001335E8">
        <w:rPr>
          <w:rFonts w:ascii="Times New Roman" w:hAnsi="Times New Roman"/>
          <w:b w:val="0"/>
          <w:bCs w:val="0"/>
          <w:color w:val="auto"/>
          <w:sz w:val="20"/>
        </w:rPr>
        <w:t>The</w:t>
      </w:r>
      <w:proofErr w:type="spellEnd"/>
      <w:r w:rsidR="00925515" w:rsidRPr="001335E8">
        <w:rPr>
          <w:rFonts w:ascii="Times New Roman" w:hAnsi="Times New Roman"/>
          <w:b w:val="0"/>
          <w:bCs w:val="0"/>
          <w:color w:val="auto"/>
          <w:sz w:val="20"/>
        </w:rPr>
        <w:t xml:space="preserve"> </w:t>
      </w:r>
      <w:r w:rsidRPr="00677B20">
        <w:rPr>
          <w:rFonts w:ascii="Times New Roman" w:hAnsi="Times New Roman"/>
          <w:b w:val="0"/>
          <w:bCs w:val="0"/>
          <w:color w:val="auto"/>
          <w:sz w:val="20"/>
        </w:rPr>
        <w:t>22 patients who had a diagnosis of non-obstructive HCM followed by a diagnosis of obstructive HCM during the follow-up period were assigned to the obstructive HCM cohort only for the purpose of this analysis.</w:t>
      </w:r>
    </w:p>
    <w:p w14:paraId="68E405A1" w14:textId="5812B5B0" w:rsidR="006732A2" w:rsidRPr="00677B20" w:rsidRDefault="006732A2" w:rsidP="006732A2">
      <w:pPr>
        <w:pStyle w:val="Caption"/>
        <w:keepNext w:val="0"/>
        <w:spacing w:before="0" w:line="240" w:lineRule="auto"/>
        <w:jc w:val="left"/>
        <w:rPr>
          <w:rFonts w:ascii="Times New Roman" w:hAnsi="Times New Roman"/>
          <w:b w:val="0"/>
          <w:bCs w:val="0"/>
          <w:color w:val="auto"/>
          <w:sz w:val="20"/>
        </w:rPr>
      </w:pPr>
      <w:proofErr w:type="spellStart"/>
      <w:r w:rsidRPr="00677B20">
        <w:rPr>
          <w:rFonts w:ascii="Times New Roman" w:hAnsi="Times New Roman"/>
          <w:b w:val="0"/>
          <w:bCs w:val="0"/>
          <w:color w:val="auto"/>
          <w:sz w:val="20"/>
          <w:vertAlign w:val="superscript"/>
        </w:rPr>
        <w:t>c</w:t>
      </w:r>
      <w:r w:rsidRPr="00677B20">
        <w:rPr>
          <w:rFonts w:ascii="Times New Roman" w:hAnsi="Times New Roman"/>
          <w:b w:val="0"/>
          <w:bCs w:val="0"/>
          <w:color w:val="auto"/>
          <w:sz w:val="20"/>
        </w:rPr>
        <w:t>Unspecified</w:t>
      </w:r>
      <w:proofErr w:type="spellEnd"/>
      <w:r w:rsidRPr="00677B20">
        <w:rPr>
          <w:rFonts w:ascii="Times New Roman" w:hAnsi="Times New Roman"/>
          <w:b w:val="0"/>
          <w:bCs w:val="0"/>
          <w:color w:val="auto"/>
          <w:sz w:val="20"/>
        </w:rPr>
        <w:t xml:space="preserve"> HCM cohort was included within the non-obstructive HCM cohort</w:t>
      </w:r>
      <w:r w:rsidR="00925515">
        <w:rPr>
          <w:rFonts w:ascii="Times New Roman" w:hAnsi="Times New Roman"/>
          <w:b w:val="0"/>
          <w:bCs w:val="0"/>
          <w:color w:val="auto"/>
          <w:sz w:val="20"/>
        </w:rPr>
        <w:t>.</w:t>
      </w:r>
    </w:p>
    <w:p w14:paraId="0EB8DDFD" w14:textId="08550618" w:rsidR="006732A2" w:rsidRPr="00677B20" w:rsidRDefault="006732A2" w:rsidP="006732A2">
      <w:pPr>
        <w:pStyle w:val="Caption"/>
        <w:keepNext w:val="0"/>
        <w:spacing w:before="0" w:line="240" w:lineRule="auto"/>
        <w:jc w:val="left"/>
        <w:rPr>
          <w:rFonts w:ascii="Times New Roman" w:hAnsi="Times New Roman"/>
          <w:b w:val="0"/>
          <w:bCs w:val="0"/>
          <w:color w:val="auto"/>
          <w:sz w:val="20"/>
        </w:rPr>
      </w:pPr>
      <w:r w:rsidRPr="00677B20">
        <w:rPr>
          <w:rFonts w:ascii="Times New Roman" w:hAnsi="Times New Roman"/>
          <w:b w:val="0"/>
          <w:bCs w:val="0"/>
          <w:color w:val="auto"/>
          <w:sz w:val="20"/>
        </w:rPr>
        <w:t>CPRD, Clinical Practice Research Datalink; HCM, hypertrophic cardiomyopathy; HES, Hospital Episode Statistics.</w:t>
      </w:r>
      <w:r w:rsidRPr="00677B20">
        <w:rPr>
          <w:rFonts w:ascii="Times New Roman" w:hAnsi="Times New Roman"/>
          <w:sz w:val="20"/>
        </w:rPr>
        <w:t xml:space="preserve"> </w:t>
      </w:r>
    </w:p>
    <w:p w14:paraId="710F0B13" w14:textId="49459CD4" w:rsidR="009E4B23" w:rsidRPr="00677B20" w:rsidRDefault="00E57BC8" w:rsidP="000E115B">
      <w:pPr>
        <w:spacing w:before="240" w:after="160" w:line="259" w:lineRule="auto"/>
        <w:rPr>
          <w:b/>
          <w:bCs/>
          <w:sz w:val="22"/>
        </w:rPr>
      </w:pPr>
      <w:r>
        <w:rPr>
          <w:noProof/>
          <w14:ligatures w14:val="standardContextual"/>
        </w:rPr>
        <w:drawing>
          <wp:inline distT="0" distB="0" distL="0" distR="0" wp14:anchorId="0E9E46A9" wp14:editId="5B33AAC0">
            <wp:extent cx="5731510" cy="6305550"/>
            <wp:effectExtent l="0" t="0" r="2540" b="0"/>
            <wp:docPr id="1124705741" name="Picture 1" descr="A screenshot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05741" name="Picture 1" descr="A screenshot of a flow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FE62" w14:textId="77777777" w:rsidR="00E57BC8" w:rsidRDefault="00E57BC8" w:rsidP="00B82E73">
      <w:pPr>
        <w:spacing w:before="240" w:after="0" w:line="259" w:lineRule="auto"/>
        <w:rPr>
          <w:b/>
          <w:bCs/>
          <w:sz w:val="22"/>
        </w:rPr>
      </w:pPr>
    </w:p>
    <w:p w14:paraId="100EE215" w14:textId="4B258036" w:rsidR="002957CB" w:rsidRPr="00677B20" w:rsidRDefault="002957CB" w:rsidP="009328BF">
      <w:pPr>
        <w:keepNext/>
        <w:keepLines/>
        <w:spacing w:before="240" w:after="0" w:line="259" w:lineRule="auto"/>
        <w:rPr>
          <w:sz w:val="20"/>
          <w:szCs w:val="20"/>
        </w:rPr>
      </w:pPr>
      <w:r w:rsidRPr="00677B20">
        <w:rPr>
          <w:b/>
          <w:bCs/>
          <w:sz w:val="22"/>
        </w:rPr>
        <w:lastRenderedPageBreak/>
        <w:t>Figure S</w:t>
      </w:r>
      <w:r w:rsidR="006732A2" w:rsidRPr="00677B20">
        <w:rPr>
          <w:b/>
          <w:bCs/>
          <w:sz w:val="22"/>
        </w:rPr>
        <w:t>2</w:t>
      </w:r>
      <w:r w:rsidRPr="00677B20">
        <w:rPr>
          <w:sz w:val="22"/>
        </w:rPr>
        <w:t xml:space="preserve"> Cumulative risk of treatment augmentation </w:t>
      </w:r>
      <w:bookmarkStart w:id="15" w:name="_Hlk151711513"/>
      <w:r w:rsidR="006508C3" w:rsidRPr="00677B20">
        <w:rPr>
          <w:sz w:val="22"/>
        </w:rPr>
        <w:t>(A), treatment discontinuation (B), and no treatment (C)</w:t>
      </w:r>
      <w:bookmarkEnd w:id="15"/>
      <w:r w:rsidR="006508C3" w:rsidRPr="00677B20">
        <w:rPr>
          <w:sz w:val="22"/>
        </w:rPr>
        <w:t xml:space="preserve"> </w:t>
      </w:r>
      <w:r w:rsidRPr="00677B20">
        <w:rPr>
          <w:sz w:val="22"/>
        </w:rPr>
        <w:t xml:space="preserve">in the obstructive HCM cohort by </w:t>
      </w:r>
      <w:r w:rsidR="001B0EB9" w:rsidRPr="00677B20">
        <w:rPr>
          <w:sz w:val="22"/>
        </w:rPr>
        <w:t>initial treatment observed</w:t>
      </w:r>
      <w:r w:rsidR="002B046A" w:rsidRPr="00677B20">
        <w:rPr>
          <w:sz w:val="22"/>
        </w:rPr>
        <w:t xml:space="preserve">. </w:t>
      </w:r>
    </w:p>
    <w:p w14:paraId="509E745E" w14:textId="2D5DB71E" w:rsidR="00B82E73" w:rsidRDefault="00EE5DF2" w:rsidP="009328BF">
      <w:pPr>
        <w:keepNext/>
        <w:keepLines/>
        <w:spacing w:after="0" w:line="259" w:lineRule="auto"/>
        <w:rPr>
          <w:sz w:val="20"/>
          <w:szCs w:val="20"/>
        </w:rPr>
      </w:pPr>
      <w:r w:rsidRPr="00677B20">
        <w:rPr>
          <w:sz w:val="20"/>
          <w:szCs w:val="20"/>
          <w:vertAlign w:val="superscript"/>
        </w:rPr>
        <w:t>a</w:t>
      </w:r>
      <w:r w:rsidR="002B4F38">
        <w:rPr>
          <w:sz w:val="20"/>
          <w:szCs w:val="20"/>
        </w:rPr>
        <w:t>I</w:t>
      </w:r>
      <w:r w:rsidR="00B82E73" w:rsidRPr="00677B20">
        <w:rPr>
          <w:sz w:val="20"/>
          <w:szCs w:val="20"/>
        </w:rPr>
        <w:t xml:space="preserve">ncludes disopyramide </w:t>
      </w:r>
      <w:r w:rsidR="002B4F38">
        <w:rPr>
          <w:sz w:val="20"/>
          <w:szCs w:val="20"/>
        </w:rPr>
        <w:t xml:space="preserve">as </w:t>
      </w:r>
      <w:r w:rsidR="00B82E73" w:rsidRPr="00677B20">
        <w:rPr>
          <w:sz w:val="20"/>
          <w:szCs w:val="20"/>
        </w:rPr>
        <w:t xml:space="preserve">monotherapy </w:t>
      </w:r>
      <w:r w:rsidR="002B4F38">
        <w:rPr>
          <w:sz w:val="20"/>
          <w:szCs w:val="20"/>
        </w:rPr>
        <w:t>and</w:t>
      </w:r>
      <w:r w:rsidR="00B82E73" w:rsidRPr="00677B20">
        <w:rPr>
          <w:sz w:val="20"/>
          <w:szCs w:val="20"/>
        </w:rPr>
        <w:t xml:space="preserve"> in combination therapy</w:t>
      </w:r>
      <w:r w:rsidR="002B4F38">
        <w:rPr>
          <w:sz w:val="20"/>
          <w:szCs w:val="20"/>
        </w:rPr>
        <w:t>.</w:t>
      </w:r>
    </w:p>
    <w:p w14:paraId="279CAFBB" w14:textId="77893B74" w:rsidR="002B4F38" w:rsidRPr="00677B20" w:rsidRDefault="002B4F38" w:rsidP="009328BF">
      <w:pPr>
        <w:keepNext/>
        <w:keepLines/>
        <w:spacing w:after="160" w:line="259" w:lineRule="auto"/>
        <w:rPr>
          <w:sz w:val="20"/>
          <w:szCs w:val="20"/>
        </w:rPr>
      </w:pPr>
      <w:r w:rsidRPr="002B4F38">
        <w:rPr>
          <w:sz w:val="20"/>
          <w:szCs w:val="20"/>
        </w:rPr>
        <w:t>BB, beta-blocker; CCB, calcium channel blocker; HCM, hypertrophic cardiomyopathy.</w:t>
      </w:r>
    </w:p>
    <w:p w14:paraId="6CAD8DD0" w14:textId="2FAC73A9" w:rsidR="00A00292" w:rsidRPr="00DB224C" w:rsidRDefault="005C562D" w:rsidP="006508C3">
      <w:pPr>
        <w:spacing w:after="160" w:line="480" w:lineRule="auto"/>
        <w:rPr>
          <w:rFonts w:cs="Times New Roman"/>
          <w:b/>
          <w:bCs/>
          <w:color w:val="000000" w:themeColor="text1"/>
          <w:szCs w:val="24"/>
        </w:rPr>
      </w:pPr>
      <w:r w:rsidRPr="00EA5DC9">
        <w:rPr>
          <w:noProof/>
          <w14:ligatures w14:val="standardContextual"/>
        </w:rPr>
        <w:drawing>
          <wp:inline distT="0" distB="0" distL="0" distR="0" wp14:anchorId="05DDE075" wp14:editId="750ACB0B">
            <wp:extent cx="5731510" cy="7769948"/>
            <wp:effectExtent l="0" t="0" r="2540" b="2540"/>
            <wp:docPr id="644339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3938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292" w:rsidRPr="00DB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9C52" w14:textId="77777777" w:rsidR="00AD6C44" w:rsidRPr="00677B20" w:rsidRDefault="00AD6C44" w:rsidP="006523C1">
      <w:pPr>
        <w:spacing w:after="0" w:line="240" w:lineRule="auto"/>
      </w:pPr>
      <w:r w:rsidRPr="00677B20">
        <w:separator/>
      </w:r>
    </w:p>
  </w:endnote>
  <w:endnote w:type="continuationSeparator" w:id="0">
    <w:p w14:paraId="1B0DFA85" w14:textId="77777777" w:rsidR="00AD6C44" w:rsidRPr="00677B20" w:rsidRDefault="00AD6C44" w:rsidP="006523C1">
      <w:pPr>
        <w:spacing w:after="0" w:line="240" w:lineRule="auto"/>
      </w:pPr>
      <w:r w:rsidRPr="00677B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785F" w14:textId="77777777" w:rsidR="00AD6C44" w:rsidRPr="00677B20" w:rsidRDefault="00AD6C44" w:rsidP="006523C1">
      <w:pPr>
        <w:spacing w:after="0" w:line="240" w:lineRule="auto"/>
      </w:pPr>
      <w:r w:rsidRPr="00677B20">
        <w:separator/>
      </w:r>
    </w:p>
  </w:footnote>
  <w:footnote w:type="continuationSeparator" w:id="0">
    <w:p w14:paraId="34533BB8" w14:textId="77777777" w:rsidR="00AD6C44" w:rsidRPr="00677B20" w:rsidRDefault="00AD6C44" w:rsidP="006523C1">
      <w:pPr>
        <w:spacing w:after="0" w:line="240" w:lineRule="auto"/>
      </w:pPr>
      <w:r w:rsidRPr="00677B2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5C3"/>
    <w:multiLevelType w:val="hybridMultilevel"/>
    <w:tmpl w:val="6BD8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061"/>
    <w:multiLevelType w:val="hybridMultilevel"/>
    <w:tmpl w:val="2FBC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296"/>
    <w:multiLevelType w:val="hybridMultilevel"/>
    <w:tmpl w:val="860E6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E4980"/>
    <w:multiLevelType w:val="hybridMultilevel"/>
    <w:tmpl w:val="E80EF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D4E"/>
    <w:multiLevelType w:val="hybridMultilevel"/>
    <w:tmpl w:val="44CC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334D3"/>
    <w:multiLevelType w:val="hybridMultilevel"/>
    <w:tmpl w:val="4666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36D"/>
    <w:multiLevelType w:val="hybridMultilevel"/>
    <w:tmpl w:val="42A2D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41D"/>
    <w:multiLevelType w:val="hybridMultilevel"/>
    <w:tmpl w:val="DB841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4E6B"/>
    <w:multiLevelType w:val="hybridMultilevel"/>
    <w:tmpl w:val="2BE0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08CA"/>
    <w:multiLevelType w:val="hybridMultilevel"/>
    <w:tmpl w:val="1AA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344C6"/>
    <w:multiLevelType w:val="hybridMultilevel"/>
    <w:tmpl w:val="54303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B4F95"/>
    <w:multiLevelType w:val="hybridMultilevel"/>
    <w:tmpl w:val="93826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322C"/>
    <w:multiLevelType w:val="hybridMultilevel"/>
    <w:tmpl w:val="10FA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A47B8"/>
    <w:multiLevelType w:val="multilevel"/>
    <w:tmpl w:val="4B8249A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4D54D4"/>
    <w:multiLevelType w:val="hybridMultilevel"/>
    <w:tmpl w:val="2004A5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F099B"/>
    <w:multiLevelType w:val="hybridMultilevel"/>
    <w:tmpl w:val="68EE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1355D"/>
    <w:multiLevelType w:val="hybridMultilevel"/>
    <w:tmpl w:val="EBA8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5957"/>
    <w:multiLevelType w:val="hybridMultilevel"/>
    <w:tmpl w:val="955A1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54149"/>
    <w:multiLevelType w:val="hybridMultilevel"/>
    <w:tmpl w:val="9F08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1749"/>
    <w:multiLevelType w:val="hybridMultilevel"/>
    <w:tmpl w:val="3B4E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3BA"/>
    <w:multiLevelType w:val="hybridMultilevel"/>
    <w:tmpl w:val="63A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5218">
    <w:abstractNumId w:val="21"/>
  </w:num>
  <w:num w:numId="2" w16cid:durableId="1809087745">
    <w:abstractNumId w:val="13"/>
  </w:num>
  <w:num w:numId="3" w16cid:durableId="1840806362">
    <w:abstractNumId w:val="18"/>
  </w:num>
  <w:num w:numId="4" w16cid:durableId="1908564701">
    <w:abstractNumId w:val="20"/>
  </w:num>
  <w:num w:numId="5" w16cid:durableId="237640827">
    <w:abstractNumId w:val="6"/>
  </w:num>
  <w:num w:numId="6" w16cid:durableId="1336491810">
    <w:abstractNumId w:val="4"/>
  </w:num>
  <w:num w:numId="7" w16cid:durableId="759562396">
    <w:abstractNumId w:val="8"/>
  </w:num>
  <w:num w:numId="8" w16cid:durableId="397750429">
    <w:abstractNumId w:val="0"/>
  </w:num>
  <w:num w:numId="9" w16cid:durableId="706415912">
    <w:abstractNumId w:val="12"/>
  </w:num>
  <w:num w:numId="10" w16cid:durableId="1480148960">
    <w:abstractNumId w:val="19"/>
  </w:num>
  <w:num w:numId="11" w16cid:durableId="463154586">
    <w:abstractNumId w:val="7"/>
  </w:num>
  <w:num w:numId="12" w16cid:durableId="393743602">
    <w:abstractNumId w:val="16"/>
  </w:num>
  <w:num w:numId="13" w16cid:durableId="1531145006">
    <w:abstractNumId w:val="2"/>
  </w:num>
  <w:num w:numId="14" w16cid:durableId="403525223">
    <w:abstractNumId w:val="1"/>
  </w:num>
  <w:num w:numId="15" w16cid:durableId="373776891">
    <w:abstractNumId w:val="15"/>
  </w:num>
  <w:num w:numId="16" w16cid:durableId="772751658">
    <w:abstractNumId w:val="5"/>
  </w:num>
  <w:num w:numId="17" w16cid:durableId="856387327">
    <w:abstractNumId w:val="17"/>
  </w:num>
  <w:num w:numId="18" w16cid:durableId="228226097">
    <w:abstractNumId w:val="3"/>
  </w:num>
  <w:num w:numId="19" w16cid:durableId="1396927619">
    <w:abstractNumId w:val="10"/>
  </w:num>
  <w:num w:numId="20" w16cid:durableId="234560287">
    <w:abstractNumId w:val="9"/>
  </w:num>
  <w:num w:numId="21" w16cid:durableId="1332025260">
    <w:abstractNumId w:val="14"/>
  </w:num>
  <w:num w:numId="22" w16cid:durableId="1607494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superscrip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2arspev9wx07ezzapvz9a5vxdr0sxtfa5z&quot;&gt;BMMP135&lt;record-ids&gt;&lt;item&gt;44&lt;/item&gt;&lt;item&gt;45&lt;/item&gt;&lt;item&gt;46&lt;/item&gt;&lt;item&gt;47&lt;/item&gt;&lt;item&gt;48&lt;/item&gt;&lt;item&gt;49&lt;/item&gt;&lt;item&gt;50&lt;/item&gt;&lt;/record-ids&gt;&lt;/item&gt;&lt;/Libraries&gt;"/>
  </w:docVars>
  <w:rsids>
    <w:rsidRoot w:val="00955BCC"/>
    <w:rsid w:val="0000453A"/>
    <w:rsid w:val="0000756A"/>
    <w:rsid w:val="00010AB4"/>
    <w:rsid w:val="0001117C"/>
    <w:rsid w:val="0002118E"/>
    <w:rsid w:val="00042DD8"/>
    <w:rsid w:val="00053480"/>
    <w:rsid w:val="000538F3"/>
    <w:rsid w:val="00055D76"/>
    <w:rsid w:val="00067F55"/>
    <w:rsid w:val="0007172C"/>
    <w:rsid w:val="000741E7"/>
    <w:rsid w:val="00077A45"/>
    <w:rsid w:val="00081342"/>
    <w:rsid w:val="00082740"/>
    <w:rsid w:val="00087D61"/>
    <w:rsid w:val="00090B4D"/>
    <w:rsid w:val="000918E1"/>
    <w:rsid w:val="00092E4E"/>
    <w:rsid w:val="00094E50"/>
    <w:rsid w:val="00096F6D"/>
    <w:rsid w:val="000A0C31"/>
    <w:rsid w:val="000A4942"/>
    <w:rsid w:val="000A4D9A"/>
    <w:rsid w:val="000B6ECD"/>
    <w:rsid w:val="000C0C7E"/>
    <w:rsid w:val="000C3269"/>
    <w:rsid w:val="000D093F"/>
    <w:rsid w:val="000D37D9"/>
    <w:rsid w:val="000D7675"/>
    <w:rsid w:val="000E115B"/>
    <w:rsid w:val="000E6A2B"/>
    <w:rsid w:val="000F56E0"/>
    <w:rsid w:val="00100DA5"/>
    <w:rsid w:val="001152D7"/>
    <w:rsid w:val="001163F0"/>
    <w:rsid w:val="001335E8"/>
    <w:rsid w:val="00133B98"/>
    <w:rsid w:val="00134FF0"/>
    <w:rsid w:val="00143D0F"/>
    <w:rsid w:val="00145A24"/>
    <w:rsid w:val="0014636A"/>
    <w:rsid w:val="00146D2A"/>
    <w:rsid w:val="00152712"/>
    <w:rsid w:val="001554CD"/>
    <w:rsid w:val="00156357"/>
    <w:rsid w:val="001624AB"/>
    <w:rsid w:val="00165439"/>
    <w:rsid w:val="0017314E"/>
    <w:rsid w:val="00190996"/>
    <w:rsid w:val="00192D55"/>
    <w:rsid w:val="001953DE"/>
    <w:rsid w:val="001A1DA6"/>
    <w:rsid w:val="001A53DD"/>
    <w:rsid w:val="001B0762"/>
    <w:rsid w:val="001B0EB9"/>
    <w:rsid w:val="001B3128"/>
    <w:rsid w:val="001B466B"/>
    <w:rsid w:val="001B7364"/>
    <w:rsid w:val="001C15EA"/>
    <w:rsid w:val="001C41E1"/>
    <w:rsid w:val="001C68E3"/>
    <w:rsid w:val="001D03F7"/>
    <w:rsid w:val="001D2343"/>
    <w:rsid w:val="001D6BD5"/>
    <w:rsid w:val="001E07DB"/>
    <w:rsid w:val="001E6270"/>
    <w:rsid w:val="001E7A7A"/>
    <w:rsid w:val="001E7B9A"/>
    <w:rsid w:val="001F7FF3"/>
    <w:rsid w:val="002047B1"/>
    <w:rsid w:val="00213CCA"/>
    <w:rsid w:val="00220BC7"/>
    <w:rsid w:val="00225995"/>
    <w:rsid w:val="00237A02"/>
    <w:rsid w:val="002514C0"/>
    <w:rsid w:val="002540EF"/>
    <w:rsid w:val="00255500"/>
    <w:rsid w:val="00257265"/>
    <w:rsid w:val="002629FD"/>
    <w:rsid w:val="00266F42"/>
    <w:rsid w:val="00274A14"/>
    <w:rsid w:val="00280D3D"/>
    <w:rsid w:val="00286812"/>
    <w:rsid w:val="002957CB"/>
    <w:rsid w:val="002A1044"/>
    <w:rsid w:val="002A7085"/>
    <w:rsid w:val="002B046A"/>
    <w:rsid w:val="002B4F38"/>
    <w:rsid w:val="002B5066"/>
    <w:rsid w:val="002B7372"/>
    <w:rsid w:val="002C0C7E"/>
    <w:rsid w:val="002C444F"/>
    <w:rsid w:val="002E0834"/>
    <w:rsid w:val="002E0E7F"/>
    <w:rsid w:val="002F06FE"/>
    <w:rsid w:val="002F265F"/>
    <w:rsid w:val="00327153"/>
    <w:rsid w:val="00340F3D"/>
    <w:rsid w:val="003426F7"/>
    <w:rsid w:val="0035404F"/>
    <w:rsid w:val="00356091"/>
    <w:rsid w:val="00356D65"/>
    <w:rsid w:val="00360925"/>
    <w:rsid w:val="00373F0E"/>
    <w:rsid w:val="00381886"/>
    <w:rsid w:val="00385990"/>
    <w:rsid w:val="00395180"/>
    <w:rsid w:val="003967A6"/>
    <w:rsid w:val="003A302A"/>
    <w:rsid w:val="003A5D38"/>
    <w:rsid w:val="003A64C1"/>
    <w:rsid w:val="003B02D2"/>
    <w:rsid w:val="003B2156"/>
    <w:rsid w:val="003B453E"/>
    <w:rsid w:val="003C77E3"/>
    <w:rsid w:val="003D7E97"/>
    <w:rsid w:val="003E2667"/>
    <w:rsid w:val="00400D5C"/>
    <w:rsid w:val="00402865"/>
    <w:rsid w:val="0040632F"/>
    <w:rsid w:val="00414586"/>
    <w:rsid w:val="00415E73"/>
    <w:rsid w:val="00416407"/>
    <w:rsid w:val="004164BC"/>
    <w:rsid w:val="004209C2"/>
    <w:rsid w:val="00420EA9"/>
    <w:rsid w:val="00421551"/>
    <w:rsid w:val="00422A34"/>
    <w:rsid w:val="0042594F"/>
    <w:rsid w:val="004306FB"/>
    <w:rsid w:val="004318FA"/>
    <w:rsid w:val="00432448"/>
    <w:rsid w:val="0044617B"/>
    <w:rsid w:val="004473A4"/>
    <w:rsid w:val="00447987"/>
    <w:rsid w:val="00452658"/>
    <w:rsid w:val="00481CF9"/>
    <w:rsid w:val="004A7908"/>
    <w:rsid w:val="004B36B0"/>
    <w:rsid w:val="004B5571"/>
    <w:rsid w:val="004C3254"/>
    <w:rsid w:val="004C522C"/>
    <w:rsid w:val="004D2EED"/>
    <w:rsid w:val="004D30DE"/>
    <w:rsid w:val="004D48CD"/>
    <w:rsid w:val="004D53B5"/>
    <w:rsid w:val="004D69A6"/>
    <w:rsid w:val="004D6A6E"/>
    <w:rsid w:val="004E24C0"/>
    <w:rsid w:val="004E7F8E"/>
    <w:rsid w:val="004F32F0"/>
    <w:rsid w:val="004F5917"/>
    <w:rsid w:val="00502D1B"/>
    <w:rsid w:val="00514807"/>
    <w:rsid w:val="0051506F"/>
    <w:rsid w:val="005153A5"/>
    <w:rsid w:val="00522ADE"/>
    <w:rsid w:val="00525722"/>
    <w:rsid w:val="0052762C"/>
    <w:rsid w:val="00531999"/>
    <w:rsid w:val="00545E7F"/>
    <w:rsid w:val="005538AA"/>
    <w:rsid w:val="005656BD"/>
    <w:rsid w:val="00565C35"/>
    <w:rsid w:val="00570A09"/>
    <w:rsid w:val="00580753"/>
    <w:rsid w:val="00584641"/>
    <w:rsid w:val="005878DF"/>
    <w:rsid w:val="00590A8F"/>
    <w:rsid w:val="00592CE1"/>
    <w:rsid w:val="005967FB"/>
    <w:rsid w:val="005A07C0"/>
    <w:rsid w:val="005A598E"/>
    <w:rsid w:val="005A6867"/>
    <w:rsid w:val="005A7430"/>
    <w:rsid w:val="005B2732"/>
    <w:rsid w:val="005B6E82"/>
    <w:rsid w:val="005C562D"/>
    <w:rsid w:val="005D31AD"/>
    <w:rsid w:val="005D4E91"/>
    <w:rsid w:val="005E2C88"/>
    <w:rsid w:val="005E76A6"/>
    <w:rsid w:val="005F266D"/>
    <w:rsid w:val="006010A2"/>
    <w:rsid w:val="00601436"/>
    <w:rsid w:val="006053C0"/>
    <w:rsid w:val="0060603C"/>
    <w:rsid w:val="00607E2B"/>
    <w:rsid w:val="00616F15"/>
    <w:rsid w:val="00617C5B"/>
    <w:rsid w:val="006222EC"/>
    <w:rsid w:val="00640726"/>
    <w:rsid w:val="00647504"/>
    <w:rsid w:val="006508C3"/>
    <w:rsid w:val="006523C1"/>
    <w:rsid w:val="00663DAE"/>
    <w:rsid w:val="006703D3"/>
    <w:rsid w:val="006720C3"/>
    <w:rsid w:val="006732A2"/>
    <w:rsid w:val="00677B20"/>
    <w:rsid w:val="00677B95"/>
    <w:rsid w:val="006817AF"/>
    <w:rsid w:val="00697BB6"/>
    <w:rsid w:val="006A66FA"/>
    <w:rsid w:val="006A7131"/>
    <w:rsid w:val="006B098C"/>
    <w:rsid w:val="006B592A"/>
    <w:rsid w:val="006B6AE2"/>
    <w:rsid w:val="006B79A1"/>
    <w:rsid w:val="006C1C48"/>
    <w:rsid w:val="006C7214"/>
    <w:rsid w:val="006D016E"/>
    <w:rsid w:val="006D17FF"/>
    <w:rsid w:val="006E02AE"/>
    <w:rsid w:val="006E542E"/>
    <w:rsid w:val="006E7B6E"/>
    <w:rsid w:val="006F1E62"/>
    <w:rsid w:val="006F492E"/>
    <w:rsid w:val="00701BBC"/>
    <w:rsid w:val="007036BE"/>
    <w:rsid w:val="0070455C"/>
    <w:rsid w:val="007059FE"/>
    <w:rsid w:val="007351B8"/>
    <w:rsid w:val="007464FA"/>
    <w:rsid w:val="0074768C"/>
    <w:rsid w:val="0075184A"/>
    <w:rsid w:val="00753161"/>
    <w:rsid w:val="00764D0A"/>
    <w:rsid w:val="0077534D"/>
    <w:rsid w:val="00780B1D"/>
    <w:rsid w:val="00782C14"/>
    <w:rsid w:val="007A0BD9"/>
    <w:rsid w:val="007A2721"/>
    <w:rsid w:val="007B11B7"/>
    <w:rsid w:val="007B2BE6"/>
    <w:rsid w:val="007D0B67"/>
    <w:rsid w:val="007D4705"/>
    <w:rsid w:val="007E3CC4"/>
    <w:rsid w:val="007E3F18"/>
    <w:rsid w:val="007E4ADA"/>
    <w:rsid w:val="007F1A18"/>
    <w:rsid w:val="007F62D5"/>
    <w:rsid w:val="007F690E"/>
    <w:rsid w:val="008015A9"/>
    <w:rsid w:val="00801BE7"/>
    <w:rsid w:val="0080305F"/>
    <w:rsid w:val="0080414B"/>
    <w:rsid w:val="00810F55"/>
    <w:rsid w:val="0081423B"/>
    <w:rsid w:val="008221C1"/>
    <w:rsid w:val="00826976"/>
    <w:rsid w:val="0083370A"/>
    <w:rsid w:val="00833BCF"/>
    <w:rsid w:val="00833DD0"/>
    <w:rsid w:val="008579FB"/>
    <w:rsid w:val="00870E18"/>
    <w:rsid w:val="0087547F"/>
    <w:rsid w:val="0087672A"/>
    <w:rsid w:val="00897BC3"/>
    <w:rsid w:val="008A0E32"/>
    <w:rsid w:val="008B3D95"/>
    <w:rsid w:val="008B6829"/>
    <w:rsid w:val="008E0B35"/>
    <w:rsid w:val="008E382C"/>
    <w:rsid w:val="008E7F66"/>
    <w:rsid w:val="00907D14"/>
    <w:rsid w:val="00911AC2"/>
    <w:rsid w:val="00920C34"/>
    <w:rsid w:val="00925515"/>
    <w:rsid w:val="00930B60"/>
    <w:rsid w:val="009328BF"/>
    <w:rsid w:val="00934800"/>
    <w:rsid w:val="00943B53"/>
    <w:rsid w:val="00955875"/>
    <w:rsid w:val="00955BCC"/>
    <w:rsid w:val="0095762C"/>
    <w:rsid w:val="00963644"/>
    <w:rsid w:val="0097170C"/>
    <w:rsid w:val="00972280"/>
    <w:rsid w:val="0097487D"/>
    <w:rsid w:val="00985EF8"/>
    <w:rsid w:val="00992B71"/>
    <w:rsid w:val="00994E8F"/>
    <w:rsid w:val="009A6524"/>
    <w:rsid w:val="009B1CAC"/>
    <w:rsid w:val="009B7683"/>
    <w:rsid w:val="009C7EE7"/>
    <w:rsid w:val="009D4C16"/>
    <w:rsid w:val="009D79AE"/>
    <w:rsid w:val="009E2117"/>
    <w:rsid w:val="009E4B23"/>
    <w:rsid w:val="009F09FF"/>
    <w:rsid w:val="00A00292"/>
    <w:rsid w:val="00A065AC"/>
    <w:rsid w:val="00A17A6E"/>
    <w:rsid w:val="00A252A0"/>
    <w:rsid w:val="00A264E1"/>
    <w:rsid w:val="00A276F6"/>
    <w:rsid w:val="00A403FF"/>
    <w:rsid w:val="00A41CC6"/>
    <w:rsid w:val="00A47627"/>
    <w:rsid w:val="00A52DE6"/>
    <w:rsid w:val="00A7640E"/>
    <w:rsid w:val="00A81E4B"/>
    <w:rsid w:val="00A90509"/>
    <w:rsid w:val="00A91AA2"/>
    <w:rsid w:val="00AA19EC"/>
    <w:rsid w:val="00AA65A1"/>
    <w:rsid w:val="00AB7739"/>
    <w:rsid w:val="00AB7F69"/>
    <w:rsid w:val="00AC0AFC"/>
    <w:rsid w:val="00AC5A74"/>
    <w:rsid w:val="00AC5C47"/>
    <w:rsid w:val="00AD0566"/>
    <w:rsid w:val="00AD6C44"/>
    <w:rsid w:val="00AE0CC1"/>
    <w:rsid w:val="00AE0E79"/>
    <w:rsid w:val="00AE0F2B"/>
    <w:rsid w:val="00AE7B46"/>
    <w:rsid w:val="00AF22A6"/>
    <w:rsid w:val="00B00CFD"/>
    <w:rsid w:val="00B02617"/>
    <w:rsid w:val="00B07ECC"/>
    <w:rsid w:val="00B13620"/>
    <w:rsid w:val="00B17B9A"/>
    <w:rsid w:val="00B217D4"/>
    <w:rsid w:val="00B257C8"/>
    <w:rsid w:val="00B30403"/>
    <w:rsid w:val="00B345CD"/>
    <w:rsid w:val="00B40EB2"/>
    <w:rsid w:val="00B411D9"/>
    <w:rsid w:val="00B43C2C"/>
    <w:rsid w:val="00B43C63"/>
    <w:rsid w:val="00B457FE"/>
    <w:rsid w:val="00B57231"/>
    <w:rsid w:val="00B632F4"/>
    <w:rsid w:val="00B63EE5"/>
    <w:rsid w:val="00B648B2"/>
    <w:rsid w:val="00B70674"/>
    <w:rsid w:val="00B70A6F"/>
    <w:rsid w:val="00B7417D"/>
    <w:rsid w:val="00B75479"/>
    <w:rsid w:val="00B80CF7"/>
    <w:rsid w:val="00B82E73"/>
    <w:rsid w:val="00B86019"/>
    <w:rsid w:val="00B87800"/>
    <w:rsid w:val="00B91513"/>
    <w:rsid w:val="00B915D1"/>
    <w:rsid w:val="00B94B87"/>
    <w:rsid w:val="00B951CE"/>
    <w:rsid w:val="00BD147D"/>
    <w:rsid w:val="00BD26F6"/>
    <w:rsid w:val="00BE00DC"/>
    <w:rsid w:val="00BE1117"/>
    <w:rsid w:val="00BE4DDD"/>
    <w:rsid w:val="00BF74E5"/>
    <w:rsid w:val="00C00F9B"/>
    <w:rsid w:val="00C0183A"/>
    <w:rsid w:val="00C15DBA"/>
    <w:rsid w:val="00C204F8"/>
    <w:rsid w:val="00C24B5F"/>
    <w:rsid w:val="00C26318"/>
    <w:rsid w:val="00C27F9F"/>
    <w:rsid w:val="00C3285E"/>
    <w:rsid w:val="00C328C9"/>
    <w:rsid w:val="00C347A1"/>
    <w:rsid w:val="00C42495"/>
    <w:rsid w:val="00C4385A"/>
    <w:rsid w:val="00C45A65"/>
    <w:rsid w:val="00C54DF9"/>
    <w:rsid w:val="00C54EC5"/>
    <w:rsid w:val="00C61E49"/>
    <w:rsid w:val="00C65A2A"/>
    <w:rsid w:val="00C67168"/>
    <w:rsid w:val="00C82E15"/>
    <w:rsid w:val="00C8407B"/>
    <w:rsid w:val="00C856E4"/>
    <w:rsid w:val="00CA0483"/>
    <w:rsid w:val="00CA3531"/>
    <w:rsid w:val="00CA536A"/>
    <w:rsid w:val="00CB0F73"/>
    <w:rsid w:val="00CC2ADC"/>
    <w:rsid w:val="00CD158E"/>
    <w:rsid w:val="00CD7E61"/>
    <w:rsid w:val="00CE0212"/>
    <w:rsid w:val="00CE3CDC"/>
    <w:rsid w:val="00CE712A"/>
    <w:rsid w:val="00CF0C80"/>
    <w:rsid w:val="00D01FD8"/>
    <w:rsid w:val="00D07CED"/>
    <w:rsid w:val="00D07DEA"/>
    <w:rsid w:val="00D109C7"/>
    <w:rsid w:val="00D10FB8"/>
    <w:rsid w:val="00D2224E"/>
    <w:rsid w:val="00D24781"/>
    <w:rsid w:val="00D251AE"/>
    <w:rsid w:val="00D2656F"/>
    <w:rsid w:val="00D37DDF"/>
    <w:rsid w:val="00D41EB3"/>
    <w:rsid w:val="00D42824"/>
    <w:rsid w:val="00D53655"/>
    <w:rsid w:val="00D54995"/>
    <w:rsid w:val="00D62A10"/>
    <w:rsid w:val="00D63D76"/>
    <w:rsid w:val="00D7428A"/>
    <w:rsid w:val="00D74612"/>
    <w:rsid w:val="00D84CF7"/>
    <w:rsid w:val="00D93B88"/>
    <w:rsid w:val="00DA3F86"/>
    <w:rsid w:val="00DB0B6E"/>
    <w:rsid w:val="00DB224C"/>
    <w:rsid w:val="00DC6E8D"/>
    <w:rsid w:val="00DD31B9"/>
    <w:rsid w:val="00DE30C2"/>
    <w:rsid w:val="00DE35E9"/>
    <w:rsid w:val="00DE4F40"/>
    <w:rsid w:val="00E0750E"/>
    <w:rsid w:val="00E14890"/>
    <w:rsid w:val="00E17CFF"/>
    <w:rsid w:val="00E20944"/>
    <w:rsid w:val="00E20FDB"/>
    <w:rsid w:val="00E23E5F"/>
    <w:rsid w:val="00E245DA"/>
    <w:rsid w:val="00E261A4"/>
    <w:rsid w:val="00E32E5B"/>
    <w:rsid w:val="00E43029"/>
    <w:rsid w:val="00E456CA"/>
    <w:rsid w:val="00E5067D"/>
    <w:rsid w:val="00E56C04"/>
    <w:rsid w:val="00E57408"/>
    <w:rsid w:val="00E57BC8"/>
    <w:rsid w:val="00E66CCF"/>
    <w:rsid w:val="00E72BC1"/>
    <w:rsid w:val="00E86C58"/>
    <w:rsid w:val="00E904CD"/>
    <w:rsid w:val="00EA5DC9"/>
    <w:rsid w:val="00EB2B73"/>
    <w:rsid w:val="00EB305C"/>
    <w:rsid w:val="00EC27EC"/>
    <w:rsid w:val="00ED04BD"/>
    <w:rsid w:val="00EE5DF2"/>
    <w:rsid w:val="00F01B40"/>
    <w:rsid w:val="00F02CC6"/>
    <w:rsid w:val="00F078B6"/>
    <w:rsid w:val="00F1182F"/>
    <w:rsid w:val="00F212D9"/>
    <w:rsid w:val="00F2772B"/>
    <w:rsid w:val="00F323A5"/>
    <w:rsid w:val="00F35346"/>
    <w:rsid w:val="00F5157C"/>
    <w:rsid w:val="00F56FB5"/>
    <w:rsid w:val="00F62C84"/>
    <w:rsid w:val="00F63546"/>
    <w:rsid w:val="00F732A9"/>
    <w:rsid w:val="00F7525A"/>
    <w:rsid w:val="00F76231"/>
    <w:rsid w:val="00F77386"/>
    <w:rsid w:val="00F84585"/>
    <w:rsid w:val="00F8483B"/>
    <w:rsid w:val="00F927A5"/>
    <w:rsid w:val="00FA2520"/>
    <w:rsid w:val="00FB0ED3"/>
    <w:rsid w:val="00FB40C2"/>
    <w:rsid w:val="00FC4BEB"/>
    <w:rsid w:val="00FC5643"/>
    <w:rsid w:val="00FD2FAF"/>
    <w:rsid w:val="00FD38B9"/>
    <w:rsid w:val="00FE2ABF"/>
    <w:rsid w:val="00FE4B42"/>
    <w:rsid w:val="00FE4E6C"/>
    <w:rsid w:val="00FF0131"/>
    <w:rsid w:val="00FF3C60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29A2"/>
  <w15:docId w15:val="{39DF4F0A-6FCA-4D55-B0FE-471109B6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CC"/>
    <w:pPr>
      <w:spacing w:after="200" w:line="288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aliases w:val="Level 1 numbered heading"/>
    <w:basedOn w:val="Normal"/>
    <w:next w:val="Normal"/>
    <w:link w:val="Heading1Char"/>
    <w:autoRedefine/>
    <w:uiPriority w:val="9"/>
    <w:qFormat/>
    <w:rsid w:val="00955BCC"/>
    <w:pPr>
      <w:keepNext/>
      <w:keepLines/>
      <w:numPr>
        <w:numId w:val="2"/>
      </w:numPr>
      <w:tabs>
        <w:tab w:val="left" w:pos="2127"/>
      </w:tabs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6258B1"/>
      <w:sz w:val="40"/>
      <w:szCs w:val="32"/>
    </w:rPr>
  </w:style>
  <w:style w:type="paragraph" w:styleId="Heading2">
    <w:name w:val="heading 2"/>
    <w:aliases w:val="Level 2 numbered heading"/>
    <w:basedOn w:val="Normal"/>
    <w:next w:val="Normal"/>
    <w:link w:val="Heading2Char"/>
    <w:uiPriority w:val="9"/>
    <w:unhideWhenUsed/>
    <w:qFormat/>
    <w:rsid w:val="00955BC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473F87" w:themeColor="accent1" w:themeShade="BF"/>
      <w:sz w:val="26"/>
      <w:szCs w:val="26"/>
    </w:rPr>
  </w:style>
  <w:style w:type="paragraph" w:styleId="Heading3">
    <w:name w:val="heading 3"/>
    <w:aliases w:val="Level 3 numbered heading"/>
    <w:basedOn w:val="Normal"/>
    <w:next w:val="Normal"/>
    <w:link w:val="Heading3Char"/>
    <w:uiPriority w:val="9"/>
    <w:unhideWhenUsed/>
    <w:qFormat/>
    <w:rsid w:val="00955BCC"/>
    <w:pPr>
      <w:keepNext/>
      <w:keepLines/>
      <w:numPr>
        <w:ilvl w:val="2"/>
        <w:numId w:val="2"/>
      </w:numPr>
      <w:spacing w:before="120" w:after="60" w:line="276" w:lineRule="auto"/>
      <w:outlineLvl w:val="2"/>
    </w:pPr>
    <w:rPr>
      <w:rFonts w:asciiTheme="majorHAnsi" w:eastAsiaTheme="majorEastAsia" w:hAnsiTheme="majorHAnsi" w:cstheme="majorBidi"/>
      <w:color w:val="2F2A59"/>
      <w:szCs w:val="24"/>
    </w:rPr>
  </w:style>
  <w:style w:type="paragraph" w:styleId="Heading4">
    <w:name w:val="heading 4"/>
    <w:aliases w:val="Level 4 numbered heading"/>
    <w:basedOn w:val="Normal"/>
    <w:next w:val="Normal"/>
    <w:link w:val="Heading4Char"/>
    <w:uiPriority w:val="9"/>
    <w:unhideWhenUsed/>
    <w:qFormat/>
    <w:rsid w:val="00955BCC"/>
    <w:pPr>
      <w:keepNext/>
      <w:keepLines/>
      <w:numPr>
        <w:ilvl w:val="3"/>
        <w:numId w:val="2"/>
      </w:numPr>
      <w:spacing w:before="120" w:after="60" w:line="276" w:lineRule="auto"/>
      <w:outlineLvl w:val="3"/>
    </w:pPr>
    <w:rPr>
      <w:rFonts w:asciiTheme="majorHAnsi" w:eastAsiaTheme="majorEastAsia" w:hAnsiTheme="majorHAnsi" w:cstheme="majorBidi"/>
      <w:i/>
      <w:iCs/>
      <w:color w:val="473F87"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55BCC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6258B1" w:themeColor="accen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CC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F2A59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CC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F2A59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CC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CC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Legend"/>
    <w:basedOn w:val="Normal"/>
    <w:uiPriority w:val="34"/>
    <w:qFormat/>
    <w:rsid w:val="00042DD8"/>
    <w:pPr>
      <w:ind w:left="720"/>
      <w:contextualSpacing/>
    </w:pPr>
  </w:style>
  <w:style w:type="character" w:customStyle="1" w:styleId="Heading1Char">
    <w:name w:val="Heading 1 Char"/>
    <w:aliases w:val="Level 1 numbered heading Char"/>
    <w:basedOn w:val="DefaultParagraphFont"/>
    <w:link w:val="Heading1"/>
    <w:uiPriority w:val="9"/>
    <w:rsid w:val="00955BCC"/>
    <w:rPr>
      <w:rFonts w:asciiTheme="majorHAnsi" w:eastAsiaTheme="majorEastAsia" w:hAnsiTheme="majorHAnsi" w:cstheme="majorBidi"/>
      <w:color w:val="6258B1"/>
      <w:kern w:val="0"/>
      <w:sz w:val="40"/>
      <w:szCs w:val="32"/>
      <w14:ligatures w14:val="none"/>
    </w:rPr>
  </w:style>
  <w:style w:type="character" w:customStyle="1" w:styleId="Heading2Char">
    <w:name w:val="Heading 2 Char"/>
    <w:aliases w:val="Level 2 numbered heading Char"/>
    <w:basedOn w:val="DefaultParagraphFont"/>
    <w:link w:val="Heading2"/>
    <w:uiPriority w:val="9"/>
    <w:rsid w:val="00955BCC"/>
    <w:rPr>
      <w:rFonts w:asciiTheme="majorHAnsi" w:eastAsiaTheme="majorEastAsia" w:hAnsiTheme="majorHAnsi" w:cstheme="majorBidi"/>
      <w:color w:val="473F87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aliases w:val="Level 3 numbered heading Char"/>
    <w:basedOn w:val="DefaultParagraphFont"/>
    <w:link w:val="Heading3"/>
    <w:uiPriority w:val="9"/>
    <w:rsid w:val="00955BCC"/>
    <w:rPr>
      <w:rFonts w:asciiTheme="majorHAnsi" w:eastAsiaTheme="majorEastAsia" w:hAnsiTheme="majorHAnsi" w:cstheme="majorBidi"/>
      <w:color w:val="2F2A59"/>
      <w:kern w:val="0"/>
      <w:sz w:val="24"/>
      <w:szCs w:val="24"/>
      <w14:ligatures w14:val="none"/>
    </w:rPr>
  </w:style>
  <w:style w:type="character" w:customStyle="1" w:styleId="Heading4Char">
    <w:name w:val="Heading 4 Char"/>
    <w:aliases w:val="Level 4 numbered heading Char"/>
    <w:basedOn w:val="DefaultParagraphFont"/>
    <w:link w:val="Heading4"/>
    <w:uiPriority w:val="9"/>
    <w:rsid w:val="00955BCC"/>
    <w:rPr>
      <w:rFonts w:asciiTheme="majorHAnsi" w:eastAsiaTheme="majorEastAsia" w:hAnsiTheme="majorHAnsi" w:cstheme="majorBidi"/>
      <w:i/>
      <w:iCs/>
      <w:color w:val="473F87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5BCC"/>
    <w:rPr>
      <w:rFonts w:asciiTheme="majorHAnsi" w:eastAsiaTheme="majorEastAsia" w:hAnsiTheme="majorHAnsi" w:cstheme="majorBidi"/>
      <w:color w:val="6258B1" w:themeColor="accent1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CC"/>
    <w:rPr>
      <w:rFonts w:asciiTheme="majorHAnsi" w:eastAsiaTheme="majorEastAsia" w:hAnsiTheme="majorHAnsi" w:cstheme="majorBidi"/>
      <w:color w:val="2F2A59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CC"/>
    <w:rPr>
      <w:rFonts w:asciiTheme="majorHAnsi" w:eastAsiaTheme="majorEastAsia" w:hAnsiTheme="majorHAnsi" w:cstheme="majorBidi"/>
      <w:i/>
      <w:iCs/>
      <w:color w:val="2F2A59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C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C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Hyperlink">
    <w:name w:val="Hyperlink"/>
    <w:uiPriority w:val="99"/>
    <w:unhideWhenUsed/>
    <w:qFormat/>
    <w:rsid w:val="00955BCC"/>
    <w:rPr>
      <w:color w:val="2E5BFF"/>
      <w:u w:val="single"/>
    </w:rPr>
  </w:style>
  <w:style w:type="character" w:styleId="BookTitle">
    <w:name w:val="Book Title"/>
    <w:uiPriority w:val="33"/>
    <w:qFormat/>
    <w:rsid w:val="00955BCC"/>
    <w:rPr>
      <w:rFonts w:ascii="Tahoma" w:hAnsi="Tahoma"/>
      <w:b w:val="0"/>
      <w:bCs/>
      <w:i w:val="0"/>
      <w:iCs/>
      <w:color w:val="0B1A3B"/>
      <w:spacing w:val="5"/>
      <w:sz w:val="28"/>
    </w:rPr>
  </w:style>
  <w:style w:type="paragraph" w:styleId="Header">
    <w:name w:val="header"/>
    <w:basedOn w:val="Normal"/>
    <w:link w:val="HeaderChar"/>
    <w:uiPriority w:val="99"/>
    <w:unhideWhenUsed/>
    <w:rsid w:val="00955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CC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5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CC"/>
    <w:rPr>
      <w:rFonts w:ascii="Times New Roman" w:hAnsi="Times New Roman"/>
      <w:kern w:val="0"/>
      <w:sz w:val="24"/>
      <w14:ligatures w14:val="none"/>
    </w:rPr>
  </w:style>
  <w:style w:type="paragraph" w:styleId="Quote">
    <w:name w:val="Quote"/>
    <w:aliases w:val="Header Document Text"/>
    <w:basedOn w:val="Normal"/>
    <w:next w:val="Normal"/>
    <w:link w:val="QuoteChar"/>
    <w:uiPriority w:val="29"/>
    <w:qFormat/>
    <w:rsid w:val="00955BCC"/>
    <w:pPr>
      <w:spacing w:after="0"/>
      <w:ind w:left="864" w:right="864"/>
    </w:pPr>
    <w:rPr>
      <w:iCs/>
      <w:color w:val="0B1A3B"/>
      <w:sz w:val="16"/>
    </w:rPr>
  </w:style>
  <w:style w:type="character" w:customStyle="1" w:styleId="QuoteChar">
    <w:name w:val="Quote Char"/>
    <w:aliases w:val="Header Document Text Char"/>
    <w:basedOn w:val="DefaultParagraphFont"/>
    <w:link w:val="Quote"/>
    <w:uiPriority w:val="29"/>
    <w:rsid w:val="00955BCC"/>
    <w:rPr>
      <w:rFonts w:ascii="Times New Roman" w:hAnsi="Times New Roman"/>
      <w:iCs/>
      <w:color w:val="0B1A3B"/>
      <w:kern w:val="0"/>
      <w:sz w:val="16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955BCC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5BCC"/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55BCC"/>
    <w:pPr>
      <w:spacing w:line="240" w:lineRule="auto"/>
      <w:jc w:val="both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5BCC"/>
    <w:rPr>
      <w:rFonts w:ascii="Times New Roman" w:hAnsi="Times New Roman" w:cs="Times New Roman"/>
      <w:noProof/>
      <w:kern w:val="0"/>
      <w:sz w:val="24"/>
      <w:lang w:val="en-US"/>
      <w14:ligatures w14:val="none"/>
    </w:rPr>
  </w:style>
  <w:style w:type="paragraph" w:customStyle="1" w:styleId="Paragraph">
    <w:name w:val="Paragraph"/>
    <w:link w:val="ParagraphChar"/>
    <w:rsid w:val="00955BCC"/>
    <w:pPr>
      <w:spacing w:after="24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ParagraphChar">
    <w:name w:val="Paragraph Char"/>
    <w:link w:val="Paragraph"/>
    <w:locked/>
    <w:rsid w:val="00955BC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55B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5B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-H18"/>
    <w:basedOn w:val="DefaultParagraphFont"/>
    <w:uiPriority w:val="99"/>
    <w:unhideWhenUsed/>
    <w:qFormat/>
    <w:rsid w:val="00955BCC"/>
    <w:rPr>
      <w:sz w:val="16"/>
      <w:szCs w:val="16"/>
    </w:rPr>
  </w:style>
  <w:style w:type="paragraph" w:styleId="CommentText">
    <w:name w:val="annotation text"/>
    <w:aliases w:val="- H19,Car17,Car17 Car,Annotationtext,Comment Text Ch,Comment Text Char Char,Comment Text Char Char Char Char,Comment Text Char Char1,Comment Text Char Char1 Char,Comment Text Char1 Char,Comment Text Char1 Char Char,Comment Text Char2 Char"/>
    <w:basedOn w:val="Normal"/>
    <w:link w:val="CommentTextChar"/>
    <w:uiPriority w:val="99"/>
    <w:unhideWhenUsed/>
    <w:qFormat/>
    <w:rsid w:val="00955BCC"/>
    <w:pPr>
      <w:spacing w:line="240" w:lineRule="auto"/>
    </w:pPr>
    <w:rPr>
      <w:szCs w:val="20"/>
    </w:rPr>
  </w:style>
  <w:style w:type="character" w:customStyle="1" w:styleId="CommentTextChar">
    <w:name w:val="Comment Text Char"/>
    <w:aliases w:val="- H19 Char,Car17 Char,Car17 Car Char,Annotationtext Char,Comment Text Ch Char,Comment Text Char Char Char,Comment Text Char Char Char Char Char,Comment Text Char Char1 Char1,Comment Text Char Char1 Char Char"/>
    <w:basedOn w:val="DefaultParagraphFont"/>
    <w:link w:val="CommentText"/>
    <w:uiPriority w:val="99"/>
    <w:rsid w:val="00955BCC"/>
    <w:rPr>
      <w:rFonts w:ascii="Times New Roman" w:hAnsi="Times New Roman"/>
      <w:kern w:val="0"/>
      <w:sz w:val="24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BCC"/>
    <w:rPr>
      <w:rFonts w:ascii="Times New Roman" w:hAnsi="Times New Roman"/>
      <w:b/>
      <w:bCs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CC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55BCC"/>
    <w:pPr>
      <w:spacing w:after="0" w:line="240" w:lineRule="auto"/>
    </w:pPr>
    <w:rPr>
      <w:rFonts w:ascii="Tahoma" w:hAnsi="Tahoma"/>
      <w:color w:val="404040" w:themeColor="text1" w:themeTint="BF"/>
      <w:kern w:val="0"/>
      <w:sz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5BCC"/>
    <w:rPr>
      <w:color w:val="6258B1" w:themeColor="followed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55BCC"/>
    <w:pPr>
      <w:keepNext/>
      <w:spacing w:before="200" w:after="60" w:line="276" w:lineRule="auto"/>
      <w:jc w:val="both"/>
    </w:pPr>
    <w:rPr>
      <w:rFonts w:ascii="Calibri" w:eastAsia="Calibri" w:hAnsi="Calibri" w:cs="Times New Roman"/>
      <w:b/>
      <w:bCs/>
      <w:color w:val="464A5D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5B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55BCC"/>
    <w:pPr>
      <w:spacing w:before="40" w:after="40" w:line="276" w:lineRule="auto"/>
      <w:jc w:val="both"/>
    </w:pPr>
    <w:rPr>
      <w:rFonts w:ascii="Calibri" w:eastAsia="Calibri" w:hAnsi="Calibri" w:cs="Times New Roman"/>
      <w:color w:val="464A5D"/>
      <w:szCs w:val="20"/>
    </w:rPr>
  </w:style>
  <w:style w:type="paragraph" w:customStyle="1" w:styleId="bullets0">
    <w:name w:val="bullets"/>
    <w:link w:val="bulletsChar"/>
    <w:qFormat/>
    <w:rsid w:val="00955BCC"/>
    <w:pPr>
      <w:spacing w:after="40"/>
    </w:pPr>
    <w:rPr>
      <w:rFonts w:ascii="Times New Roman" w:hAnsi="Times New Roman" w:cs="Calibri"/>
      <w:noProof/>
      <w:color w:val="000000" w:themeColor="text1"/>
      <w:kern w:val="0"/>
      <w:sz w:val="24"/>
      <w:lang w:val="en-US"/>
      <w14:ligatures w14:val="none"/>
    </w:rPr>
  </w:style>
  <w:style w:type="character" w:customStyle="1" w:styleId="bulletsChar">
    <w:name w:val="bullets Char"/>
    <w:basedOn w:val="DefaultParagraphFont"/>
    <w:link w:val="bullets0"/>
    <w:rsid w:val="00955BCC"/>
    <w:rPr>
      <w:rFonts w:ascii="Times New Roman" w:hAnsi="Times New Roman" w:cs="Calibri"/>
      <w:noProof/>
      <w:color w:val="000000" w:themeColor="text1"/>
      <w:kern w:val="0"/>
      <w:sz w:val="24"/>
      <w:lang w:val="en-US"/>
      <w14:ligatures w14:val="none"/>
    </w:rPr>
  </w:style>
  <w:style w:type="paragraph" w:customStyle="1" w:styleId="Bullets">
    <w:name w:val="Bullets"/>
    <w:basedOn w:val="Normal"/>
    <w:uiPriority w:val="5"/>
    <w:qFormat/>
    <w:rsid w:val="00955BCC"/>
    <w:pPr>
      <w:numPr>
        <w:numId w:val="1"/>
      </w:numPr>
      <w:spacing w:after="120" w:line="276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NICEnormal">
    <w:name w:val="NICE normal"/>
    <w:link w:val="NICEnormalChar"/>
    <w:qFormat/>
    <w:rsid w:val="00955BCC"/>
    <w:pPr>
      <w:spacing w:after="240" w:line="36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NICEnormalChar">
    <w:name w:val="NICE normal Char"/>
    <w:link w:val="NICEnormal"/>
    <w:rsid w:val="00955BCC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55B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Table">
    <w:name w:val="Table"/>
    <w:basedOn w:val="Normal"/>
    <w:link w:val="TableChar"/>
    <w:qFormat/>
    <w:rsid w:val="00955BCC"/>
    <w:pPr>
      <w:keepNext/>
      <w:keepLines/>
      <w:spacing w:after="0" w:line="240" w:lineRule="auto"/>
    </w:pPr>
    <w:rPr>
      <w:rFonts w:asciiTheme="minorHAnsi" w:hAnsiTheme="minorHAnsi"/>
      <w:color w:val="464A5D"/>
      <w:sz w:val="20"/>
      <w:szCs w:val="20"/>
    </w:rPr>
  </w:style>
  <w:style w:type="character" w:customStyle="1" w:styleId="TableChar">
    <w:name w:val="Table Char"/>
    <w:basedOn w:val="DefaultParagraphFont"/>
    <w:link w:val="Table"/>
    <w:rsid w:val="00955BCC"/>
    <w:rPr>
      <w:color w:val="464A5D"/>
      <w:kern w:val="0"/>
      <w:sz w:val="20"/>
      <w:szCs w:val="20"/>
      <w14:ligatures w14:val="none"/>
    </w:rPr>
  </w:style>
  <w:style w:type="paragraph" w:customStyle="1" w:styleId="Footnotes">
    <w:name w:val="Footnotes"/>
    <w:basedOn w:val="Normal"/>
    <w:link w:val="FootnotesChar"/>
    <w:autoRedefine/>
    <w:qFormat/>
    <w:rsid w:val="00590A8F"/>
    <w:pPr>
      <w:framePr w:hSpace="180" w:wrap="around" w:vAnchor="text" w:hAnchor="text" w:y="1"/>
      <w:spacing w:after="0" w:line="240" w:lineRule="auto"/>
      <w:suppressOverlap/>
      <w:jc w:val="both"/>
    </w:pPr>
    <w:rPr>
      <w:rFonts w:eastAsia="Times New Roman" w:cs="Times New Roman"/>
      <w:sz w:val="16"/>
      <w:szCs w:val="18"/>
      <w:lang w:eastAsia="en-GB"/>
    </w:rPr>
  </w:style>
  <w:style w:type="character" w:customStyle="1" w:styleId="FootnotesChar">
    <w:name w:val="Footnotes Char"/>
    <w:basedOn w:val="DefaultParagraphFont"/>
    <w:link w:val="Footnotes"/>
    <w:rsid w:val="00590A8F"/>
    <w:rPr>
      <w:rFonts w:ascii="Times New Roman" w:eastAsia="Times New Roman" w:hAnsi="Times New Roman" w:cs="Times New Roman"/>
      <w:kern w:val="0"/>
      <w:sz w:val="16"/>
      <w:szCs w:val="18"/>
      <w:lang w:eastAsia="en-GB"/>
      <w14:ligatures w14:val="none"/>
    </w:rPr>
  </w:style>
  <w:style w:type="character" w:customStyle="1" w:styleId="cf01">
    <w:name w:val="cf01"/>
    <w:basedOn w:val="DefaultParagraphFont"/>
    <w:rsid w:val="00955BCC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955BCC"/>
  </w:style>
  <w:style w:type="character" w:customStyle="1" w:styleId="normaltextrun">
    <w:name w:val="normaltextrun"/>
    <w:basedOn w:val="DefaultParagraphFont"/>
    <w:rsid w:val="00955BCC"/>
  </w:style>
  <w:style w:type="character" w:customStyle="1" w:styleId="CaptionChar">
    <w:name w:val="Caption Char"/>
    <w:basedOn w:val="DefaultParagraphFont"/>
    <w:link w:val="Caption"/>
    <w:uiPriority w:val="35"/>
    <w:rsid w:val="006732A2"/>
    <w:rPr>
      <w:rFonts w:ascii="Calibri" w:eastAsia="Calibri" w:hAnsi="Calibri" w:cs="Times New Roman"/>
      <w:b/>
      <w:bCs/>
      <w:color w:val="464A5D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zel.osman@uhcw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OR_VI">
  <a:themeElements>
    <a:clrScheme name="HEOR-2012-VI">
      <a:dk1>
        <a:srgbClr val="000000"/>
      </a:dk1>
      <a:lt1>
        <a:srgbClr val="FFFFFF"/>
      </a:lt1>
      <a:dk2>
        <a:srgbClr val="35227C"/>
      </a:dk2>
      <a:lt2>
        <a:srgbClr val="676F7F"/>
      </a:lt2>
      <a:accent1>
        <a:srgbClr val="6258B1"/>
      </a:accent1>
      <a:accent2>
        <a:srgbClr val="00B2E3"/>
      </a:accent2>
      <a:accent3>
        <a:srgbClr val="002F6D"/>
      </a:accent3>
      <a:accent4>
        <a:srgbClr val="70A94F"/>
      </a:accent4>
      <a:accent5>
        <a:srgbClr val="FF6B12"/>
      </a:accent5>
      <a:accent6>
        <a:srgbClr val="CA579B"/>
      </a:accent6>
      <a:hlink>
        <a:srgbClr val="6258B1"/>
      </a:hlink>
      <a:folHlink>
        <a:srgbClr val="6258B1"/>
      </a:folHlink>
    </a:clrScheme>
    <a:fontScheme name="HEOR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EOR Orange">
      <a:srgbClr val="FF6B12"/>
    </a:custClr>
    <a:custClr name="HEOR Red">
      <a:srgbClr val="CC112C"/>
    </a:custClr>
    <a:custClr name="HEOR Pink">
      <a:srgbClr val="CA579B"/>
    </a:custClr>
    <a:custClr name="HEOR Navy">
      <a:srgbClr val="002F6D"/>
    </a:custClr>
    <a:custClr name="HEOR Blue">
      <a:srgbClr val="2D7DE1"/>
    </a:custClr>
    <a:custClr name="HEOR Teal">
      <a:srgbClr val="005E85"/>
    </a:custClr>
    <a:custClr name="HEOR Yellow">
      <a:srgbClr val="DAE343"/>
    </a:custClr>
    <a:custClr name="HEOR Geen">
      <a:srgbClr val="00AE78"/>
    </a:custClr>
    <a:custClr name="HEOR Mink">
      <a:srgbClr val="AC979D"/>
    </a:custClr>
    <a:custClr name="HEOR Grey">
      <a:srgbClr val="676F7F"/>
    </a:custClr>
    <a:custClr name="HEOR Orange 50%">
      <a:srgbClr val="FFB588"/>
    </a:custClr>
    <a:custClr name="HEOR Red 50%">
      <a:srgbClr val="E58895"/>
    </a:custClr>
    <a:custClr name="HEOR Pink 50%">
      <a:srgbClr val="E4ABCD"/>
    </a:custClr>
    <a:custClr name="HEOR Navy 50%">
      <a:srgbClr val="7F97B6"/>
    </a:custClr>
    <a:custClr name="HEOR Blue 50%">
      <a:srgbClr val="96BEF0"/>
    </a:custClr>
    <a:custClr name="HEOR Teal 50%">
      <a:srgbClr val="7FAEC2"/>
    </a:custClr>
    <a:custClr name="HEOR Yellow 50%">
      <a:srgbClr val="ECF1A1"/>
    </a:custClr>
    <a:custClr name="HEOR Geen 50%">
      <a:srgbClr val="7FD6BB"/>
    </a:custClr>
    <a:custClr name="HEOR Mink 50%">
      <a:srgbClr val="D5CBCE"/>
    </a:custClr>
    <a:custClr name="HEOR Grey 50%">
      <a:srgbClr val="B3B7BF"/>
    </a:custClr>
    <a:custClr name="HEOR Orange 20%">
      <a:srgbClr val="FFE1D0"/>
    </a:custClr>
    <a:custClr name="HEOR Red 20%">
      <a:srgbClr val="F5CFD5"/>
    </a:custClr>
    <a:custClr name="HEOR Pink 20%">
      <a:srgbClr val="F4DDEB"/>
    </a:custClr>
    <a:custClr name="HEOR Navy 10%">
      <a:srgbClr val="E5EAF0"/>
    </a:custClr>
    <a:custClr name="HEOR Blue 20%">
      <a:srgbClr val="D5E5F9"/>
    </a:custClr>
    <a:custClr name="HEOR Teal 20%">
      <a:srgbClr val="CCDFE7"/>
    </a:custClr>
    <a:custClr name="HEOR Yellow 20%">
      <a:srgbClr val="F8F9D9"/>
    </a:custClr>
    <a:custClr name="HEOR Geen 20%">
      <a:srgbClr val="CCEFE4"/>
    </a:custClr>
    <a:custClr name="HEOR Mink 20%">
      <a:srgbClr val="EEEAEB"/>
    </a:custClr>
    <a:custClr name="HEOR Grey 20%">
      <a:srgbClr val="E1E2E5"/>
    </a:custClr>
    <a:custClr name="HEOR Orange DK">
      <a:srgbClr val="DF4602"/>
    </a:custClr>
    <a:custClr name="HEOR Red DK">
      <a:srgbClr val="AA182C"/>
    </a:custClr>
    <a:custClr name="HEOR Pink DK">
      <a:srgbClr val="9A0051"/>
    </a:custClr>
    <a:custClr name="HEOR Navy DK">
      <a:srgbClr val="002755"/>
    </a:custClr>
    <a:custClr name="HEOR Blue DK">
      <a:srgbClr val="0047BB"/>
    </a:custClr>
    <a:custClr name="HEOR Teal DK">
      <a:srgbClr val="00416B"/>
    </a:custClr>
    <a:custClr name="HEOR Yellow DK">
      <a:srgbClr val="A5AC00"/>
    </a:custClr>
    <a:custClr name="HEOR Geen DK">
      <a:srgbClr val="007A58"/>
    </a:custClr>
    <a:custClr name="HEOR Mink DK">
      <a:srgbClr val="7A6569"/>
    </a:custClr>
    <a:custClr name="HEOR Grey DK">
      <a:srgbClr val="464A5D"/>
    </a:custClr>
    <a:custClr name="100%">
      <a:srgbClr val="6258B1"/>
    </a:custClr>
    <a:custClr name="90%">
      <a:srgbClr val="7168B9"/>
    </a:custClr>
    <a:custClr name="80%">
      <a:srgbClr val="8179C1"/>
    </a:custClr>
    <a:custClr name="70%">
      <a:srgbClr val="918AC8"/>
    </a:custClr>
    <a:custClr name="60%">
      <a:srgbClr val="A19BD0"/>
    </a:custClr>
    <a:custClr name="50%">
      <a:srgbClr val="B0ABD8"/>
    </a:custClr>
    <a:custClr name="40%">
      <a:srgbClr val="C0BCE0"/>
    </a:custClr>
    <a:custClr name="30%">
      <a:srgbClr val="D0CDE7"/>
    </a:custClr>
    <a:custClr name="20%">
      <a:srgbClr val="E0DEEF"/>
    </a:custClr>
    <a:custClr name="10%">
      <a:srgbClr val="EFEEF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A068-EF07-4EA5-8240-8E5278484B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e34cb8-3a56-4fd5-a259-4acadab6e4ac}" enabled="0" method="" siteId="{71e34cb8-3a56-4fd5-a259-4acadab6e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Salter</dc:creator>
  <cp:keywords/>
  <dc:description/>
  <cp:lastModifiedBy>Chloe Salter</cp:lastModifiedBy>
  <cp:revision>2</cp:revision>
  <dcterms:created xsi:type="dcterms:W3CDTF">2024-09-25T08:24:00Z</dcterms:created>
  <dcterms:modified xsi:type="dcterms:W3CDTF">2024-09-25T08:24:00Z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7047f41dfa5b3290bdaff922988ea433581d8920a9496e3c928db280338a8e2f</vt:lpwstr>
  </property>
</Properties>
</file>