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5040"/>
      </w:tblGrid>
      <w:tr w:rsidR="00274243" w:rsidRPr="00AE649E" w:rsidTr="00AE649E">
        <w:tc>
          <w:tcPr>
            <w:tcW w:w="4698" w:type="dxa"/>
            <w:vAlign w:val="center"/>
          </w:tcPr>
          <w:p w:rsidR="00274243" w:rsidRPr="00AE649E" w:rsidRDefault="00274243" w:rsidP="00AE649E">
            <w:pPr>
              <w:spacing w:after="0" w:line="240" w:lineRule="auto"/>
              <w:rPr>
                <w:rFonts w:cs="Calibri"/>
                <w:b/>
                <w:bCs/>
                <w:color w:val="000000"/>
                <w:sz w:val="20"/>
                <w:szCs w:val="20"/>
              </w:rPr>
            </w:pPr>
            <w:bookmarkStart w:id="0" w:name="_GoBack"/>
            <w:bookmarkEnd w:id="0"/>
            <w:r w:rsidRPr="00AE649E">
              <w:rPr>
                <w:rFonts w:cs="Calibri"/>
                <w:b/>
                <w:bCs/>
                <w:color w:val="000000"/>
                <w:sz w:val="20"/>
                <w:szCs w:val="20"/>
              </w:rPr>
              <w:t>Requirement</w:t>
            </w:r>
          </w:p>
        </w:tc>
        <w:tc>
          <w:tcPr>
            <w:tcW w:w="5040" w:type="dxa"/>
            <w:vAlign w:val="center"/>
          </w:tcPr>
          <w:p w:rsidR="00274243" w:rsidRPr="00AE649E" w:rsidRDefault="006B72CD" w:rsidP="00AE649E">
            <w:pPr>
              <w:spacing w:after="0" w:line="240" w:lineRule="auto"/>
              <w:rPr>
                <w:rFonts w:cs="Calibri"/>
                <w:b/>
                <w:bCs/>
                <w:sz w:val="20"/>
                <w:szCs w:val="20"/>
              </w:rPr>
            </w:pPr>
            <w:r>
              <w:rPr>
                <w:rFonts w:eastAsia="Times New Roman" w:cs="Calibri"/>
                <w:b/>
                <w:bCs/>
                <w:sz w:val="20"/>
                <w:szCs w:val="20"/>
              </w:rPr>
              <w:t xml:space="preserve">Please Include </w:t>
            </w:r>
            <w:r w:rsidR="00274243" w:rsidRPr="00AE649E">
              <w:rPr>
                <w:rFonts w:eastAsia="Times New Roman" w:cs="Calibri"/>
                <w:b/>
                <w:bCs/>
                <w:sz w:val="20"/>
                <w:szCs w:val="20"/>
              </w:rPr>
              <w:t xml:space="preserve">Requested Information </w:t>
            </w:r>
          </w:p>
        </w:tc>
      </w:tr>
      <w:tr w:rsidR="00274243" w:rsidRPr="00AE649E" w:rsidTr="009B4B17">
        <w:tc>
          <w:tcPr>
            <w:tcW w:w="4698" w:type="dxa"/>
          </w:tcPr>
          <w:p w:rsidR="00274243" w:rsidRPr="00AE649E" w:rsidRDefault="00274243" w:rsidP="009B4B17">
            <w:pPr>
              <w:spacing w:after="0" w:line="240" w:lineRule="auto"/>
              <w:rPr>
                <w:rFonts w:cs="Calibri"/>
                <w:color w:val="000000"/>
                <w:sz w:val="20"/>
                <w:szCs w:val="20"/>
              </w:rPr>
            </w:pPr>
            <w:r w:rsidRPr="00AE649E">
              <w:rPr>
                <w:rFonts w:cs="Calibri"/>
                <w:color w:val="000000"/>
                <w:sz w:val="20"/>
                <w:szCs w:val="20"/>
              </w:rPr>
              <w:t>1.1. Purpose</w:t>
            </w:r>
          </w:p>
        </w:tc>
        <w:tc>
          <w:tcPr>
            <w:tcW w:w="5040" w:type="dxa"/>
          </w:tcPr>
          <w:p w:rsidR="00274243" w:rsidRPr="00AE649E" w:rsidRDefault="00C97BF7" w:rsidP="00E754EE">
            <w:pPr>
              <w:spacing w:after="0" w:line="240" w:lineRule="auto"/>
              <w:rPr>
                <w:rFonts w:cs="Calibri"/>
                <w:sz w:val="20"/>
                <w:szCs w:val="20"/>
              </w:rPr>
            </w:pPr>
            <w:r>
              <w:rPr>
                <w:rFonts w:cs="Calibri"/>
                <w:sz w:val="20"/>
                <w:szCs w:val="20"/>
              </w:rPr>
              <w:t>To discriminate human cytomegalovirus</w:t>
            </w:r>
            <w:r w:rsidR="003C0007">
              <w:rPr>
                <w:rFonts w:cs="Calibri"/>
                <w:sz w:val="20"/>
                <w:szCs w:val="20"/>
              </w:rPr>
              <w:t xml:space="preserve"> virions</w:t>
            </w:r>
            <w:r>
              <w:rPr>
                <w:rFonts w:cs="Calibri"/>
                <w:sz w:val="20"/>
                <w:szCs w:val="20"/>
              </w:rPr>
              <w:t>, dense bodies</w:t>
            </w:r>
            <w:r w:rsidR="008608A7">
              <w:rPr>
                <w:rFonts w:cs="Calibri"/>
                <w:sz w:val="20"/>
                <w:szCs w:val="20"/>
              </w:rPr>
              <w:t>,</w:t>
            </w:r>
            <w:r>
              <w:rPr>
                <w:rFonts w:cs="Calibri"/>
                <w:sz w:val="20"/>
                <w:szCs w:val="20"/>
              </w:rPr>
              <w:t xml:space="preserve"> and extracellular vesicles by </w:t>
            </w:r>
            <w:r w:rsidR="008608A7">
              <w:rPr>
                <w:rFonts w:cs="Calibri"/>
                <w:sz w:val="20"/>
                <w:szCs w:val="20"/>
              </w:rPr>
              <w:t xml:space="preserve">nano-flow cytometry (nFC) </w:t>
            </w:r>
            <w:r w:rsidR="00164EDC">
              <w:rPr>
                <w:rFonts w:cs="Calibri"/>
                <w:sz w:val="20"/>
                <w:szCs w:val="20"/>
              </w:rPr>
              <w:t>following labelling of nucleic acid.</w:t>
            </w:r>
          </w:p>
        </w:tc>
      </w:tr>
      <w:tr w:rsidR="00274243" w:rsidRPr="00AE649E" w:rsidTr="009B4B17">
        <w:tc>
          <w:tcPr>
            <w:tcW w:w="4698" w:type="dxa"/>
          </w:tcPr>
          <w:p w:rsidR="00274243" w:rsidRPr="00AE649E" w:rsidRDefault="00274243" w:rsidP="009B4B17">
            <w:pPr>
              <w:spacing w:after="0" w:line="240" w:lineRule="auto"/>
              <w:rPr>
                <w:rFonts w:cs="Calibri"/>
                <w:color w:val="000000"/>
                <w:sz w:val="20"/>
                <w:szCs w:val="20"/>
              </w:rPr>
            </w:pPr>
            <w:r w:rsidRPr="00AE649E">
              <w:rPr>
                <w:rFonts w:cs="Calibri"/>
                <w:color w:val="000000"/>
                <w:sz w:val="20"/>
                <w:szCs w:val="20"/>
              </w:rPr>
              <w:t>1.2. Keywords</w:t>
            </w:r>
          </w:p>
        </w:tc>
        <w:tc>
          <w:tcPr>
            <w:tcW w:w="5040" w:type="dxa"/>
          </w:tcPr>
          <w:p w:rsidR="00274243" w:rsidRPr="00AE649E" w:rsidRDefault="00C97BF7" w:rsidP="00E754EE">
            <w:pPr>
              <w:spacing w:after="0" w:line="240" w:lineRule="auto"/>
              <w:rPr>
                <w:rFonts w:cs="Calibri"/>
                <w:sz w:val="20"/>
                <w:szCs w:val="20"/>
              </w:rPr>
            </w:pPr>
            <w:r>
              <w:rPr>
                <w:rFonts w:cs="Calibri"/>
                <w:sz w:val="20"/>
                <w:szCs w:val="20"/>
              </w:rPr>
              <w:t xml:space="preserve">Cytomegalovirus; extracellular vesicles; </w:t>
            </w:r>
            <w:r w:rsidR="008608A7">
              <w:rPr>
                <w:rFonts w:cs="Calibri"/>
                <w:sz w:val="20"/>
                <w:szCs w:val="20"/>
              </w:rPr>
              <w:t>nano-flow cytometry</w:t>
            </w:r>
            <w:r>
              <w:rPr>
                <w:rFonts w:cs="Calibri"/>
                <w:sz w:val="20"/>
                <w:szCs w:val="20"/>
              </w:rPr>
              <w:t>.</w:t>
            </w:r>
          </w:p>
        </w:tc>
      </w:tr>
      <w:tr w:rsidR="00274243" w:rsidRPr="00AE649E" w:rsidTr="009B4B17">
        <w:tc>
          <w:tcPr>
            <w:tcW w:w="4698" w:type="dxa"/>
          </w:tcPr>
          <w:p w:rsidR="00274243" w:rsidRPr="00AE649E" w:rsidRDefault="00274243" w:rsidP="009B4B17">
            <w:pPr>
              <w:spacing w:after="0" w:line="240" w:lineRule="auto"/>
              <w:rPr>
                <w:rFonts w:cs="Calibri"/>
                <w:color w:val="000000"/>
                <w:sz w:val="20"/>
                <w:szCs w:val="20"/>
              </w:rPr>
            </w:pPr>
            <w:r w:rsidRPr="00AE649E">
              <w:rPr>
                <w:rFonts w:cs="Calibri"/>
                <w:color w:val="000000"/>
                <w:sz w:val="20"/>
                <w:szCs w:val="20"/>
              </w:rPr>
              <w:t>1.3. Experiment variables</w:t>
            </w:r>
          </w:p>
        </w:tc>
        <w:tc>
          <w:tcPr>
            <w:tcW w:w="5040" w:type="dxa"/>
          </w:tcPr>
          <w:p w:rsidR="00274243" w:rsidRPr="00AE649E" w:rsidRDefault="00C97BF7" w:rsidP="00E754EE">
            <w:pPr>
              <w:spacing w:after="0" w:line="240" w:lineRule="auto"/>
              <w:rPr>
                <w:rFonts w:cs="Calibri"/>
                <w:sz w:val="20"/>
                <w:szCs w:val="20"/>
              </w:rPr>
            </w:pPr>
            <w:r>
              <w:rPr>
                <w:rFonts w:cs="Calibri"/>
                <w:sz w:val="20"/>
                <w:szCs w:val="20"/>
              </w:rPr>
              <w:t>Extracellular particle</w:t>
            </w:r>
            <w:r w:rsidR="008608A7">
              <w:rPr>
                <w:rFonts w:cs="Calibri"/>
                <w:sz w:val="20"/>
                <w:szCs w:val="20"/>
              </w:rPr>
              <w:t xml:space="preserve">s </w:t>
            </w:r>
            <w:r>
              <w:rPr>
                <w:rFonts w:cs="Calibri"/>
                <w:sz w:val="20"/>
                <w:szCs w:val="20"/>
              </w:rPr>
              <w:t xml:space="preserve">obtained from uninfected or </w:t>
            </w:r>
            <w:r w:rsidR="008608A7">
              <w:rPr>
                <w:rFonts w:cs="Calibri"/>
                <w:sz w:val="20"/>
                <w:szCs w:val="20"/>
              </w:rPr>
              <w:t xml:space="preserve">human </w:t>
            </w:r>
            <w:r>
              <w:rPr>
                <w:rFonts w:cs="Calibri"/>
                <w:sz w:val="20"/>
                <w:szCs w:val="20"/>
              </w:rPr>
              <w:t xml:space="preserve">cytomegalovirus-infected human foreskin fibroblasts (HFFs) were fixed with paraformaldehyde (4%) and labelled with nucleic acid dyes in DPBS buffer, before being analyzed on the flow nanoanalyzer (nanoFCM). </w:t>
            </w:r>
            <w:r w:rsidR="00164EDC">
              <w:rPr>
                <w:rFonts w:cs="Calibri"/>
                <w:sz w:val="20"/>
                <w:szCs w:val="20"/>
              </w:rPr>
              <w:t>Samples</w:t>
            </w:r>
            <w:r>
              <w:rPr>
                <w:rFonts w:cs="Calibri"/>
                <w:sz w:val="20"/>
                <w:szCs w:val="20"/>
              </w:rPr>
              <w:t xml:space="preserve"> were analyzed at the sampling pressure of 1</w:t>
            </w:r>
            <w:r w:rsidR="000B34A6">
              <w:rPr>
                <w:rFonts w:cs="Calibri"/>
                <w:sz w:val="20"/>
                <w:szCs w:val="20"/>
              </w:rPr>
              <w:t>.0</w:t>
            </w:r>
            <w:r w:rsidR="00F56E37">
              <w:rPr>
                <w:rFonts w:cs="Calibri"/>
                <w:sz w:val="20"/>
                <w:szCs w:val="20"/>
              </w:rPr>
              <w:t xml:space="preserve"> </w:t>
            </w:r>
            <w:r>
              <w:rPr>
                <w:rFonts w:cs="Calibri"/>
                <w:sz w:val="20"/>
                <w:szCs w:val="20"/>
              </w:rPr>
              <w:t>kPa for 1 minute by excitation at 488</w:t>
            </w:r>
            <w:r w:rsidR="00F56E37">
              <w:rPr>
                <w:rFonts w:cs="Calibri"/>
                <w:sz w:val="20"/>
                <w:szCs w:val="20"/>
              </w:rPr>
              <w:t xml:space="preserve"> </w:t>
            </w:r>
            <w:r>
              <w:rPr>
                <w:rFonts w:cs="Calibri"/>
                <w:sz w:val="20"/>
                <w:szCs w:val="20"/>
              </w:rPr>
              <w:t>nm and 638</w:t>
            </w:r>
            <w:r w:rsidR="00F56E37">
              <w:rPr>
                <w:rFonts w:cs="Calibri"/>
                <w:sz w:val="20"/>
                <w:szCs w:val="20"/>
              </w:rPr>
              <w:t xml:space="preserve"> </w:t>
            </w:r>
            <w:r>
              <w:rPr>
                <w:rFonts w:cs="Calibri"/>
                <w:sz w:val="20"/>
                <w:szCs w:val="20"/>
              </w:rPr>
              <w:t>nm. Side scatter data was collected through a 488±</w:t>
            </w:r>
            <w:r w:rsidR="00164EDC">
              <w:rPr>
                <w:rFonts w:cs="Calibri"/>
                <w:sz w:val="20"/>
                <w:szCs w:val="20"/>
              </w:rPr>
              <w:t>5</w:t>
            </w:r>
            <w:r w:rsidR="00F56E37">
              <w:rPr>
                <w:rFonts w:cs="Calibri"/>
                <w:sz w:val="20"/>
                <w:szCs w:val="20"/>
              </w:rPr>
              <w:t xml:space="preserve"> </w:t>
            </w:r>
            <w:r>
              <w:rPr>
                <w:rFonts w:cs="Calibri"/>
                <w:sz w:val="20"/>
                <w:szCs w:val="20"/>
              </w:rPr>
              <w:t>nm filter, and fluorescence data through 525±20</w:t>
            </w:r>
            <w:r w:rsidR="00F56E37">
              <w:rPr>
                <w:rFonts w:cs="Calibri"/>
                <w:sz w:val="20"/>
                <w:szCs w:val="20"/>
              </w:rPr>
              <w:t xml:space="preserve"> </w:t>
            </w:r>
            <w:r>
              <w:rPr>
                <w:rFonts w:cs="Calibri"/>
                <w:sz w:val="20"/>
                <w:szCs w:val="20"/>
              </w:rPr>
              <w:t>nm</w:t>
            </w:r>
            <w:r w:rsidR="00164EDC">
              <w:rPr>
                <w:rFonts w:cs="Calibri"/>
                <w:sz w:val="20"/>
                <w:szCs w:val="20"/>
              </w:rPr>
              <w:t xml:space="preserve"> and</w:t>
            </w:r>
            <w:r>
              <w:rPr>
                <w:rFonts w:cs="Calibri"/>
                <w:sz w:val="20"/>
                <w:szCs w:val="20"/>
              </w:rPr>
              <w:t xml:space="preserve"> 670±15</w:t>
            </w:r>
            <w:r w:rsidR="00F56E37">
              <w:rPr>
                <w:rFonts w:cs="Calibri"/>
                <w:sz w:val="20"/>
                <w:szCs w:val="20"/>
              </w:rPr>
              <w:t xml:space="preserve"> </w:t>
            </w:r>
            <w:r>
              <w:rPr>
                <w:rFonts w:cs="Calibri"/>
                <w:sz w:val="20"/>
                <w:szCs w:val="20"/>
              </w:rPr>
              <w:t xml:space="preserve">nm </w:t>
            </w:r>
            <w:r w:rsidR="008608A7">
              <w:rPr>
                <w:rFonts w:cs="Calibri"/>
                <w:sz w:val="20"/>
                <w:szCs w:val="20"/>
              </w:rPr>
              <w:t xml:space="preserve">bandpass </w:t>
            </w:r>
            <w:r w:rsidR="00164EDC">
              <w:rPr>
                <w:rFonts w:cs="Calibri"/>
                <w:sz w:val="20"/>
                <w:szCs w:val="20"/>
              </w:rPr>
              <w:t>filters.</w:t>
            </w:r>
          </w:p>
        </w:tc>
      </w:tr>
      <w:tr w:rsidR="00274243" w:rsidRPr="00AE649E" w:rsidTr="009B4B17">
        <w:tc>
          <w:tcPr>
            <w:tcW w:w="4698" w:type="dxa"/>
          </w:tcPr>
          <w:p w:rsidR="00274243" w:rsidRPr="00AE649E" w:rsidRDefault="00274243" w:rsidP="009B4B17">
            <w:pPr>
              <w:spacing w:after="0" w:line="240" w:lineRule="auto"/>
              <w:rPr>
                <w:rFonts w:cs="Calibri"/>
                <w:color w:val="000000"/>
                <w:sz w:val="20"/>
                <w:szCs w:val="20"/>
              </w:rPr>
            </w:pPr>
            <w:r w:rsidRPr="00AE649E">
              <w:rPr>
                <w:rFonts w:cs="Calibri"/>
                <w:color w:val="000000"/>
                <w:sz w:val="20"/>
                <w:szCs w:val="20"/>
              </w:rPr>
              <w:t>1.4. Organization name and address</w:t>
            </w:r>
          </w:p>
        </w:tc>
        <w:tc>
          <w:tcPr>
            <w:tcW w:w="5040" w:type="dxa"/>
          </w:tcPr>
          <w:p w:rsidR="00274243" w:rsidRDefault="00233081" w:rsidP="00E754EE">
            <w:pPr>
              <w:spacing w:after="0" w:line="240" w:lineRule="auto"/>
              <w:rPr>
                <w:rFonts w:cs="Calibri"/>
                <w:sz w:val="20"/>
                <w:szCs w:val="20"/>
              </w:rPr>
            </w:pPr>
            <w:r>
              <w:rPr>
                <w:rFonts w:cs="Calibri"/>
                <w:sz w:val="20"/>
                <w:szCs w:val="20"/>
              </w:rPr>
              <w:t>Organization: Institute of Reproductive and Developmental Biology (IRDB), Department of Metabolism, Digestion and Reproduction, Faculty of Medicine, Imperial College London</w:t>
            </w:r>
          </w:p>
          <w:p w:rsidR="00233081" w:rsidRPr="00AE649E" w:rsidRDefault="00233081" w:rsidP="00233081">
            <w:pPr>
              <w:spacing w:after="0" w:line="240" w:lineRule="auto"/>
              <w:rPr>
                <w:rFonts w:cs="Calibri"/>
                <w:sz w:val="20"/>
                <w:szCs w:val="20"/>
              </w:rPr>
            </w:pPr>
            <w:r>
              <w:rPr>
                <w:rFonts w:cs="Calibri"/>
                <w:sz w:val="20"/>
                <w:szCs w:val="20"/>
              </w:rPr>
              <w:t>Address:</w:t>
            </w:r>
            <w:r>
              <w:t xml:space="preserve"> </w:t>
            </w:r>
            <w:r w:rsidRPr="00233081">
              <w:rPr>
                <w:rFonts w:cs="Calibri"/>
                <w:sz w:val="20"/>
                <w:szCs w:val="20"/>
              </w:rPr>
              <w:t>Du Cane Road</w:t>
            </w:r>
            <w:r>
              <w:rPr>
                <w:rFonts w:cs="Calibri"/>
                <w:sz w:val="20"/>
                <w:szCs w:val="20"/>
              </w:rPr>
              <w:t xml:space="preserve">, </w:t>
            </w:r>
            <w:r w:rsidRPr="00233081">
              <w:rPr>
                <w:rFonts w:cs="Calibri"/>
                <w:sz w:val="20"/>
                <w:szCs w:val="20"/>
              </w:rPr>
              <w:t>London</w:t>
            </w:r>
            <w:r>
              <w:rPr>
                <w:rFonts w:cs="Calibri"/>
                <w:sz w:val="20"/>
                <w:szCs w:val="20"/>
              </w:rPr>
              <w:t xml:space="preserve"> </w:t>
            </w:r>
            <w:r w:rsidRPr="00233081">
              <w:rPr>
                <w:rFonts w:cs="Calibri"/>
                <w:sz w:val="20"/>
                <w:szCs w:val="20"/>
              </w:rPr>
              <w:t>W12 0NN</w:t>
            </w:r>
            <w:r>
              <w:rPr>
                <w:rFonts w:cs="Calibri"/>
                <w:sz w:val="20"/>
                <w:szCs w:val="20"/>
              </w:rPr>
              <w:t>, United Kingdom</w:t>
            </w:r>
          </w:p>
        </w:tc>
      </w:tr>
      <w:tr w:rsidR="00274243" w:rsidRPr="00AE649E" w:rsidTr="009B4B17">
        <w:tc>
          <w:tcPr>
            <w:tcW w:w="4698" w:type="dxa"/>
          </w:tcPr>
          <w:p w:rsidR="00274243" w:rsidRPr="00AE649E" w:rsidRDefault="00274243" w:rsidP="009B4B17">
            <w:pPr>
              <w:spacing w:after="0" w:line="240" w:lineRule="auto"/>
              <w:rPr>
                <w:rFonts w:cs="Calibri"/>
                <w:color w:val="000000"/>
                <w:sz w:val="20"/>
                <w:szCs w:val="20"/>
              </w:rPr>
            </w:pPr>
            <w:r w:rsidRPr="00AE649E">
              <w:rPr>
                <w:rFonts w:cs="Calibri"/>
                <w:color w:val="000000"/>
                <w:sz w:val="20"/>
                <w:szCs w:val="20"/>
              </w:rPr>
              <w:t>1.5. Primary contact name and email address</w:t>
            </w:r>
          </w:p>
        </w:tc>
        <w:tc>
          <w:tcPr>
            <w:tcW w:w="5040" w:type="dxa"/>
          </w:tcPr>
          <w:p w:rsidR="00274243" w:rsidRPr="00AE649E" w:rsidRDefault="003C0007" w:rsidP="00E754EE">
            <w:pPr>
              <w:spacing w:after="0" w:line="240" w:lineRule="auto"/>
              <w:rPr>
                <w:rFonts w:cs="Calibri"/>
                <w:sz w:val="20"/>
                <w:szCs w:val="20"/>
              </w:rPr>
            </w:pPr>
            <w:r>
              <w:rPr>
                <w:rFonts w:cs="Calibri"/>
                <w:sz w:val="20"/>
                <w:szCs w:val="20"/>
              </w:rPr>
              <w:t>Vladimir Bokun - v.bokun20@imperial.ac.uk</w:t>
            </w:r>
          </w:p>
        </w:tc>
      </w:tr>
      <w:tr w:rsidR="00274243" w:rsidRPr="00AE649E" w:rsidTr="009B4B17">
        <w:tc>
          <w:tcPr>
            <w:tcW w:w="4698" w:type="dxa"/>
          </w:tcPr>
          <w:p w:rsidR="00274243" w:rsidRPr="00AE649E" w:rsidRDefault="00274243" w:rsidP="009B4B17">
            <w:pPr>
              <w:spacing w:after="0" w:line="240" w:lineRule="auto"/>
              <w:rPr>
                <w:rFonts w:cs="Calibri"/>
                <w:color w:val="000000"/>
                <w:sz w:val="20"/>
                <w:szCs w:val="20"/>
              </w:rPr>
            </w:pPr>
            <w:r w:rsidRPr="00AE649E">
              <w:rPr>
                <w:rFonts w:cs="Calibri"/>
                <w:color w:val="000000"/>
                <w:sz w:val="20"/>
                <w:szCs w:val="20"/>
              </w:rPr>
              <w:t>1.6. Date or time period of experiment</w:t>
            </w:r>
          </w:p>
        </w:tc>
        <w:tc>
          <w:tcPr>
            <w:tcW w:w="5040" w:type="dxa"/>
          </w:tcPr>
          <w:p w:rsidR="00274243" w:rsidRPr="00AE649E" w:rsidRDefault="003C0007" w:rsidP="00E754EE">
            <w:pPr>
              <w:spacing w:after="0" w:line="240" w:lineRule="auto"/>
              <w:rPr>
                <w:rFonts w:cs="Calibri"/>
                <w:sz w:val="20"/>
                <w:szCs w:val="20"/>
              </w:rPr>
            </w:pPr>
            <w:r>
              <w:rPr>
                <w:rFonts w:cs="Calibri"/>
                <w:sz w:val="20"/>
                <w:szCs w:val="20"/>
              </w:rPr>
              <w:t>2020-202</w:t>
            </w:r>
            <w:r w:rsidR="008608A7">
              <w:rPr>
                <w:rFonts w:cs="Calibri"/>
                <w:sz w:val="20"/>
                <w:szCs w:val="20"/>
              </w:rPr>
              <w:t>4</w:t>
            </w:r>
          </w:p>
        </w:tc>
      </w:tr>
      <w:tr w:rsidR="00274243" w:rsidRPr="00AE649E" w:rsidTr="009B4B17">
        <w:tc>
          <w:tcPr>
            <w:tcW w:w="4698" w:type="dxa"/>
          </w:tcPr>
          <w:p w:rsidR="00274243" w:rsidRPr="00AE649E" w:rsidRDefault="00274243" w:rsidP="009B4B17">
            <w:pPr>
              <w:spacing w:after="0" w:line="240" w:lineRule="auto"/>
              <w:rPr>
                <w:rFonts w:cs="Calibri"/>
                <w:color w:val="000000"/>
                <w:sz w:val="20"/>
                <w:szCs w:val="20"/>
              </w:rPr>
            </w:pPr>
            <w:r w:rsidRPr="00AE649E">
              <w:rPr>
                <w:rFonts w:cs="Calibri"/>
                <w:color w:val="000000"/>
                <w:sz w:val="20"/>
                <w:szCs w:val="20"/>
              </w:rPr>
              <w:t>1.7. Conclusions</w:t>
            </w:r>
          </w:p>
        </w:tc>
        <w:tc>
          <w:tcPr>
            <w:tcW w:w="5040" w:type="dxa"/>
          </w:tcPr>
          <w:p w:rsidR="00274243" w:rsidRPr="00AE649E" w:rsidRDefault="00164EDC" w:rsidP="00E754EE">
            <w:pPr>
              <w:spacing w:after="0" w:line="240" w:lineRule="auto"/>
              <w:rPr>
                <w:rFonts w:cs="Calibri"/>
                <w:sz w:val="20"/>
                <w:szCs w:val="20"/>
              </w:rPr>
            </w:pPr>
            <w:r>
              <w:rPr>
                <w:rFonts w:cs="Calibri"/>
                <w:sz w:val="20"/>
                <w:szCs w:val="20"/>
              </w:rPr>
              <w:t>Labelling of nucleic acid contents of extracellular particles released by HCMV-infected HFF cells enables discrimination and specific quantification of the HCMV virions, extracellular vesicles, and dense bodies.</w:t>
            </w:r>
          </w:p>
        </w:tc>
      </w:tr>
      <w:tr w:rsidR="00274243" w:rsidRPr="00AE649E" w:rsidTr="009B4B17">
        <w:tc>
          <w:tcPr>
            <w:tcW w:w="4698" w:type="dxa"/>
          </w:tcPr>
          <w:p w:rsidR="00274243" w:rsidRPr="00AE649E" w:rsidRDefault="00274243" w:rsidP="009B4B17">
            <w:pPr>
              <w:spacing w:after="0" w:line="240" w:lineRule="auto"/>
              <w:rPr>
                <w:rFonts w:cs="Calibri"/>
                <w:color w:val="000000"/>
                <w:sz w:val="20"/>
                <w:szCs w:val="20"/>
              </w:rPr>
            </w:pPr>
            <w:r w:rsidRPr="00AE649E">
              <w:rPr>
                <w:rFonts w:cs="Calibri"/>
                <w:color w:val="000000"/>
                <w:sz w:val="20"/>
                <w:szCs w:val="20"/>
              </w:rPr>
              <w:t>1.8. Quality control measures</w:t>
            </w:r>
          </w:p>
        </w:tc>
        <w:tc>
          <w:tcPr>
            <w:tcW w:w="5040" w:type="dxa"/>
          </w:tcPr>
          <w:p w:rsidR="00274243" w:rsidRPr="00AE649E" w:rsidRDefault="003C0007" w:rsidP="00E754EE">
            <w:pPr>
              <w:spacing w:after="0" w:line="240" w:lineRule="auto"/>
              <w:rPr>
                <w:rFonts w:cs="Calibri"/>
                <w:sz w:val="20"/>
                <w:szCs w:val="20"/>
              </w:rPr>
            </w:pPr>
            <w:r>
              <w:rPr>
                <w:rFonts w:cs="Calibri"/>
                <w:sz w:val="20"/>
                <w:szCs w:val="20"/>
              </w:rPr>
              <w:t xml:space="preserve">The instrument is </w:t>
            </w:r>
            <w:r w:rsidR="008608A7">
              <w:rPr>
                <w:rFonts w:cs="Calibri"/>
                <w:sz w:val="20"/>
                <w:szCs w:val="20"/>
              </w:rPr>
              <w:t xml:space="preserve">adjusted and </w:t>
            </w:r>
            <w:r>
              <w:rPr>
                <w:rFonts w:cs="Calibri"/>
                <w:sz w:val="20"/>
                <w:szCs w:val="20"/>
              </w:rPr>
              <w:t>calibrated with each use using quality control nanospheres (purchased from nanoFCM), and blank samples. Additionally, side scatter measurements are calibrated using silica nanospheres of known diameters.</w:t>
            </w:r>
          </w:p>
        </w:tc>
      </w:tr>
      <w:tr w:rsidR="00274243" w:rsidRPr="00AE649E" w:rsidTr="009B4B17">
        <w:tc>
          <w:tcPr>
            <w:tcW w:w="4698" w:type="dxa"/>
          </w:tcPr>
          <w:p w:rsidR="00274243" w:rsidRPr="00AE649E" w:rsidRDefault="00274243" w:rsidP="009B4B17">
            <w:pPr>
              <w:spacing w:after="0" w:line="240" w:lineRule="auto"/>
              <w:rPr>
                <w:rFonts w:cs="Calibri"/>
                <w:color w:val="000000"/>
                <w:sz w:val="20"/>
                <w:szCs w:val="20"/>
              </w:rPr>
            </w:pPr>
            <w:r w:rsidRPr="00AE649E">
              <w:rPr>
                <w:rFonts w:cs="Calibri"/>
                <w:color w:val="000000"/>
                <w:sz w:val="20"/>
                <w:szCs w:val="20"/>
              </w:rPr>
              <w:t>2.1.1.1. (2.1.2.1., 2.1.3.1.) Sample description</w:t>
            </w:r>
          </w:p>
        </w:tc>
        <w:tc>
          <w:tcPr>
            <w:tcW w:w="5040" w:type="dxa"/>
          </w:tcPr>
          <w:p w:rsidR="00274243" w:rsidRPr="00AE649E" w:rsidRDefault="00BE38EF" w:rsidP="00E754EE">
            <w:pPr>
              <w:spacing w:after="0" w:line="240" w:lineRule="auto"/>
              <w:rPr>
                <w:rFonts w:cs="Calibri"/>
                <w:sz w:val="20"/>
                <w:szCs w:val="20"/>
              </w:rPr>
            </w:pPr>
            <w:r>
              <w:rPr>
                <w:rFonts w:cs="Calibri"/>
                <w:sz w:val="20"/>
                <w:szCs w:val="20"/>
              </w:rPr>
              <w:t xml:space="preserve">Samples include extracellular particles </w:t>
            </w:r>
            <w:r w:rsidR="0055690F">
              <w:rPr>
                <w:rFonts w:cs="Calibri"/>
                <w:sz w:val="20"/>
                <w:szCs w:val="20"/>
              </w:rPr>
              <w:t>produced by</w:t>
            </w:r>
            <w:r>
              <w:rPr>
                <w:rFonts w:cs="Calibri"/>
                <w:sz w:val="20"/>
                <w:szCs w:val="20"/>
              </w:rPr>
              <w:t xml:space="preserve"> uninfected </w:t>
            </w:r>
            <w:r w:rsidR="00164EDC">
              <w:rPr>
                <w:rFonts w:cs="Calibri"/>
                <w:sz w:val="20"/>
                <w:szCs w:val="20"/>
              </w:rPr>
              <w:t>HFF cells</w:t>
            </w:r>
            <w:r>
              <w:rPr>
                <w:rFonts w:cs="Calibri"/>
                <w:sz w:val="20"/>
                <w:szCs w:val="20"/>
              </w:rPr>
              <w:t xml:space="preserve"> or those infected with human cytomegalovirus.</w:t>
            </w:r>
            <w:r w:rsidR="00CA61B2">
              <w:rPr>
                <w:rFonts w:cs="Calibri"/>
                <w:sz w:val="20"/>
                <w:szCs w:val="20"/>
              </w:rPr>
              <w:t xml:space="preserve"> These were in the form of clarified conditioned medium, size exclusion chromatography-purified extracellular particles, or samples enriched in virions or extracellular vesicles obtained by high-speed centrifugation. All samples were </w:t>
            </w:r>
            <w:r w:rsidR="00164EDC">
              <w:rPr>
                <w:rFonts w:cs="Calibri"/>
                <w:sz w:val="20"/>
                <w:szCs w:val="20"/>
              </w:rPr>
              <w:t xml:space="preserve">fixed with 4% paraformaldehyde and </w:t>
            </w:r>
            <w:r w:rsidR="00CA61B2">
              <w:rPr>
                <w:rFonts w:cs="Calibri"/>
                <w:sz w:val="20"/>
                <w:szCs w:val="20"/>
              </w:rPr>
              <w:t>diluted at least 10-fold in DPBS prior to analysis.</w:t>
            </w:r>
          </w:p>
        </w:tc>
      </w:tr>
      <w:tr w:rsidR="00274243" w:rsidRPr="00AE649E" w:rsidTr="009B4B17">
        <w:tc>
          <w:tcPr>
            <w:tcW w:w="4698" w:type="dxa"/>
          </w:tcPr>
          <w:p w:rsidR="00274243" w:rsidRPr="00AE649E" w:rsidRDefault="00274243" w:rsidP="009B4B17">
            <w:pPr>
              <w:spacing w:after="0" w:line="240" w:lineRule="auto"/>
              <w:rPr>
                <w:rFonts w:cs="Calibri"/>
                <w:color w:val="000000"/>
                <w:sz w:val="20"/>
                <w:szCs w:val="20"/>
              </w:rPr>
            </w:pPr>
            <w:r w:rsidRPr="00AE649E">
              <w:rPr>
                <w:rFonts w:cs="Calibri"/>
                <w:color w:val="000000"/>
                <w:sz w:val="20"/>
                <w:szCs w:val="20"/>
              </w:rPr>
              <w:t>2.1.1.2. Biological sample source description</w:t>
            </w:r>
          </w:p>
        </w:tc>
        <w:tc>
          <w:tcPr>
            <w:tcW w:w="5040" w:type="dxa"/>
          </w:tcPr>
          <w:p w:rsidR="00274243" w:rsidRDefault="00CE47E2" w:rsidP="00E754EE">
            <w:pPr>
              <w:spacing w:after="0" w:line="240" w:lineRule="auto"/>
              <w:rPr>
                <w:rFonts w:cs="Calibri"/>
                <w:sz w:val="20"/>
                <w:szCs w:val="20"/>
              </w:rPr>
            </w:pPr>
            <w:r>
              <w:rPr>
                <w:rFonts w:cs="Calibri"/>
                <w:sz w:val="20"/>
                <w:szCs w:val="20"/>
              </w:rPr>
              <w:t>Human foreskin fibroblasts (HFFs) were obtained from ATCC and grown in DMEM supplemented with exosome-depleted fetal bovine serum (10%) and antibiotics. Cells were left uninfected or were infected with the human cytomegalovirus (HCMV) before conditioned medium containing extracellular particles including viral particles and extracellular vesicles was collected and clarified by centrifugation</w:t>
            </w:r>
            <w:r w:rsidR="00164EDC">
              <w:rPr>
                <w:rFonts w:cs="Calibri"/>
                <w:sz w:val="20"/>
                <w:szCs w:val="20"/>
              </w:rPr>
              <w:t>, and then optionally subjected to size exclusion chromatography or high-speed centrifugation.</w:t>
            </w:r>
          </w:p>
          <w:p w:rsidR="00164EDC" w:rsidRPr="00AE649E" w:rsidRDefault="00164EDC" w:rsidP="00E754EE">
            <w:pPr>
              <w:spacing w:after="0" w:line="240" w:lineRule="auto"/>
              <w:rPr>
                <w:rFonts w:cs="Calibri"/>
                <w:sz w:val="20"/>
                <w:szCs w:val="20"/>
              </w:rPr>
            </w:pPr>
            <w:r>
              <w:rPr>
                <w:rFonts w:cs="Calibri"/>
                <w:sz w:val="20"/>
                <w:szCs w:val="20"/>
              </w:rPr>
              <w:t xml:space="preserve">The human cytomegalovirus (HCMV) strain Merlin R1111 </w:t>
            </w:r>
            <w:r>
              <w:rPr>
                <w:rFonts w:cs="Calibri"/>
                <w:sz w:val="20"/>
                <w:szCs w:val="20"/>
              </w:rPr>
              <w:lastRenderedPageBreak/>
              <w:t>was obtained from Dr Richard Stanton’s laboratory at University of Cardiff School of Medicine. This HCMV strain was derived from clinical material and capture</w:t>
            </w:r>
            <w:r w:rsidR="0055690F">
              <w:rPr>
                <w:rFonts w:cs="Calibri"/>
                <w:sz w:val="20"/>
                <w:szCs w:val="20"/>
              </w:rPr>
              <w:t>d</w:t>
            </w:r>
            <w:r>
              <w:rPr>
                <w:rFonts w:cs="Calibri"/>
                <w:sz w:val="20"/>
                <w:szCs w:val="20"/>
              </w:rPr>
              <w:t xml:space="preserve"> in a bacterial artificial chromosome (BAC) before being transfected into permissive cells for reconstitution of mature infectious virus stocks.</w:t>
            </w:r>
          </w:p>
        </w:tc>
      </w:tr>
      <w:tr w:rsidR="00274243" w:rsidRPr="00AE649E" w:rsidTr="009B4B17">
        <w:tc>
          <w:tcPr>
            <w:tcW w:w="4698" w:type="dxa"/>
          </w:tcPr>
          <w:p w:rsidR="00274243" w:rsidRPr="00AE649E" w:rsidRDefault="00274243" w:rsidP="009B4B17">
            <w:pPr>
              <w:spacing w:after="0" w:line="240" w:lineRule="auto"/>
              <w:rPr>
                <w:rFonts w:cs="Calibri"/>
                <w:color w:val="000000"/>
                <w:sz w:val="20"/>
                <w:szCs w:val="20"/>
              </w:rPr>
            </w:pPr>
            <w:r w:rsidRPr="00AE649E">
              <w:rPr>
                <w:rFonts w:cs="Calibri"/>
                <w:color w:val="000000"/>
                <w:sz w:val="20"/>
                <w:szCs w:val="20"/>
              </w:rPr>
              <w:lastRenderedPageBreak/>
              <w:t xml:space="preserve">2.1.1.3. Biological sample source organism description </w:t>
            </w:r>
          </w:p>
        </w:tc>
        <w:tc>
          <w:tcPr>
            <w:tcW w:w="5040" w:type="dxa"/>
          </w:tcPr>
          <w:p w:rsidR="00274243" w:rsidRPr="00AE649E" w:rsidRDefault="00164EDC" w:rsidP="00E754EE">
            <w:pPr>
              <w:spacing w:after="0" w:line="240" w:lineRule="auto"/>
              <w:rPr>
                <w:rFonts w:cs="Calibri"/>
                <w:sz w:val="20"/>
                <w:szCs w:val="20"/>
              </w:rPr>
            </w:pPr>
            <w:r>
              <w:rPr>
                <w:rFonts w:cs="Calibri"/>
                <w:sz w:val="20"/>
                <w:szCs w:val="20"/>
              </w:rPr>
              <w:t>NA</w:t>
            </w:r>
          </w:p>
        </w:tc>
      </w:tr>
      <w:tr w:rsidR="00274243" w:rsidRPr="00AE649E" w:rsidTr="009B4B17">
        <w:tc>
          <w:tcPr>
            <w:tcW w:w="4698" w:type="dxa"/>
          </w:tcPr>
          <w:p w:rsidR="00274243" w:rsidRPr="00AE649E" w:rsidRDefault="00274243" w:rsidP="009B4B17">
            <w:pPr>
              <w:spacing w:after="0" w:line="240" w:lineRule="auto"/>
              <w:rPr>
                <w:rFonts w:cs="Calibri"/>
                <w:color w:val="000000"/>
                <w:sz w:val="20"/>
                <w:szCs w:val="20"/>
              </w:rPr>
            </w:pPr>
            <w:r w:rsidRPr="00AE649E">
              <w:rPr>
                <w:rFonts w:cs="Calibri"/>
                <w:color w:val="000000"/>
                <w:sz w:val="20"/>
                <w:szCs w:val="20"/>
              </w:rPr>
              <w:t>2.1.2.2. Environmental sample location</w:t>
            </w:r>
          </w:p>
        </w:tc>
        <w:tc>
          <w:tcPr>
            <w:tcW w:w="5040" w:type="dxa"/>
          </w:tcPr>
          <w:p w:rsidR="00274243" w:rsidRPr="00AE649E" w:rsidRDefault="00CE47E2" w:rsidP="00E754EE">
            <w:pPr>
              <w:spacing w:after="0" w:line="240" w:lineRule="auto"/>
              <w:rPr>
                <w:rFonts w:cs="Calibri"/>
                <w:sz w:val="20"/>
                <w:szCs w:val="20"/>
              </w:rPr>
            </w:pPr>
            <w:r>
              <w:rPr>
                <w:rFonts w:cs="Calibri"/>
                <w:sz w:val="20"/>
                <w:szCs w:val="20"/>
              </w:rPr>
              <w:t>NA</w:t>
            </w:r>
          </w:p>
        </w:tc>
      </w:tr>
      <w:tr w:rsidR="00274243" w:rsidRPr="00AE649E" w:rsidTr="009B4B17">
        <w:tc>
          <w:tcPr>
            <w:tcW w:w="4698" w:type="dxa"/>
          </w:tcPr>
          <w:p w:rsidR="00274243" w:rsidRPr="00AE649E" w:rsidRDefault="00274243" w:rsidP="009B4B17">
            <w:pPr>
              <w:spacing w:after="0" w:line="240" w:lineRule="auto"/>
              <w:rPr>
                <w:rFonts w:cs="Calibri"/>
                <w:color w:val="000000"/>
                <w:sz w:val="20"/>
                <w:szCs w:val="20"/>
              </w:rPr>
            </w:pPr>
            <w:r w:rsidRPr="00AE649E">
              <w:rPr>
                <w:rFonts w:cs="Calibri"/>
                <w:color w:val="000000"/>
                <w:sz w:val="20"/>
                <w:szCs w:val="20"/>
              </w:rPr>
              <w:t>2.3. Sample treatment description</w:t>
            </w:r>
          </w:p>
        </w:tc>
        <w:tc>
          <w:tcPr>
            <w:tcW w:w="5040" w:type="dxa"/>
          </w:tcPr>
          <w:p w:rsidR="00274243" w:rsidRPr="00AE649E" w:rsidRDefault="00CE47E2" w:rsidP="00E754EE">
            <w:pPr>
              <w:spacing w:after="0" w:line="240" w:lineRule="auto"/>
              <w:rPr>
                <w:rFonts w:cs="Calibri"/>
                <w:sz w:val="20"/>
                <w:szCs w:val="20"/>
              </w:rPr>
            </w:pPr>
            <w:r>
              <w:rPr>
                <w:rFonts w:cs="Calibri"/>
                <w:sz w:val="20"/>
                <w:szCs w:val="20"/>
              </w:rPr>
              <w:t xml:space="preserve">Samples to be analyzed by flow </w:t>
            </w:r>
            <w:r w:rsidR="008608A7">
              <w:rPr>
                <w:rFonts w:cs="Calibri"/>
                <w:sz w:val="20"/>
                <w:szCs w:val="20"/>
              </w:rPr>
              <w:t>nFC</w:t>
            </w:r>
            <w:r>
              <w:rPr>
                <w:rFonts w:cs="Calibri"/>
                <w:sz w:val="20"/>
                <w:szCs w:val="20"/>
              </w:rPr>
              <w:t xml:space="preserve"> were fixed with 4% paraformaldehyde for at least 5 minutes and then diluted in DPBS containing nucleic acid dyes SYTO 13, SYBR Green I </w:t>
            </w:r>
            <w:r w:rsidR="008608A7">
              <w:rPr>
                <w:rFonts w:cs="Calibri"/>
                <w:sz w:val="20"/>
                <w:szCs w:val="20"/>
              </w:rPr>
              <w:t>or</w:t>
            </w:r>
            <w:r>
              <w:rPr>
                <w:rFonts w:cs="Calibri"/>
                <w:sz w:val="20"/>
                <w:szCs w:val="20"/>
              </w:rPr>
              <w:t xml:space="preserve"> SYBR Safe.</w:t>
            </w:r>
          </w:p>
        </w:tc>
      </w:tr>
      <w:tr w:rsidR="00274243" w:rsidRPr="00AE649E" w:rsidTr="009B4B17">
        <w:tc>
          <w:tcPr>
            <w:tcW w:w="4698" w:type="dxa"/>
          </w:tcPr>
          <w:p w:rsidR="00274243" w:rsidRPr="00AE649E" w:rsidRDefault="00274243" w:rsidP="009B4B17">
            <w:pPr>
              <w:spacing w:after="0" w:line="240" w:lineRule="auto"/>
              <w:rPr>
                <w:rFonts w:cs="Calibri"/>
                <w:color w:val="000000"/>
                <w:sz w:val="20"/>
                <w:szCs w:val="20"/>
              </w:rPr>
            </w:pPr>
            <w:r w:rsidRPr="00AE649E">
              <w:rPr>
                <w:rFonts w:cs="Calibri"/>
                <w:color w:val="000000"/>
                <w:sz w:val="20"/>
                <w:szCs w:val="20"/>
              </w:rPr>
              <w:t xml:space="preserve">2.4. Fluorescence reagent(s) description </w:t>
            </w:r>
          </w:p>
        </w:tc>
        <w:tc>
          <w:tcPr>
            <w:tcW w:w="5040" w:type="dxa"/>
          </w:tcPr>
          <w:p w:rsidR="00274243" w:rsidRPr="00AE649E" w:rsidRDefault="00CE47E2" w:rsidP="00E754EE">
            <w:pPr>
              <w:spacing w:after="0" w:line="240" w:lineRule="auto"/>
              <w:rPr>
                <w:rFonts w:cs="Calibri"/>
                <w:sz w:val="20"/>
                <w:szCs w:val="20"/>
              </w:rPr>
            </w:pPr>
            <w:r>
              <w:rPr>
                <w:rFonts w:cs="Calibri"/>
                <w:sz w:val="20"/>
                <w:szCs w:val="20"/>
              </w:rPr>
              <w:t>SYTO 13, SYBR Green I and SYBR Safe are nucleic acid-interacting fluorogenic dyes which are used for visualizing DNA and RNA in various biological samples. SYTO 13 is characterized by equal quantum yields when bound to DNA and RNA, while SYBR Green I is reported to preferentially interact with DNA. Lastly, SYBR Safe is used for staining DNA and RNA.</w:t>
            </w:r>
          </w:p>
        </w:tc>
      </w:tr>
      <w:tr w:rsidR="00274243" w:rsidRPr="00AE649E" w:rsidTr="009B4B17">
        <w:tc>
          <w:tcPr>
            <w:tcW w:w="4698" w:type="dxa"/>
          </w:tcPr>
          <w:p w:rsidR="00274243" w:rsidRPr="00AE649E" w:rsidRDefault="00274243" w:rsidP="009B4B17">
            <w:pPr>
              <w:spacing w:after="0" w:line="240" w:lineRule="auto"/>
              <w:rPr>
                <w:rFonts w:cs="Calibri"/>
                <w:color w:val="000000"/>
                <w:sz w:val="20"/>
                <w:szCs w:val="20"/>
              </w:rPr>
            </w:pPr>
            <w:r w:rsidRPr="00AE649E">
              <w:rPr>
                <w:rFonts w:cs="Calibri"/>
                <w:color w:val="000000"/>
                <w:sz w:val="20"/>
                <w:szCs w:val="20"/>
              </w:rPr>
              <w:t>3.1. Instrument manufacturer</w:t>
            </w:r>
          </w:p>
        </w:tc>
        <w:tc>
          <w:tcPr>
            <w:tcW w:w="5040" w:type="dxa"/>
          </w:tcPr>
          <w:p w:rsidR="00274243" w:rsidRPr="00AE649E" w:rsidRDefault="00CE47E2" w:rsidP="00E754EE">
            <w:pPr>
              <w:spacing w:after="0" w:line="240" w:lineRule="auto"/>
              <w:rPr>
                <w:rFonts w:cs="Calibri"/>
                <w:sz w:val="20"/>
                <w:szCs w:val="20"/>
              </w:rPr>
            </w:pPr>
            <w:r>
              <w:rPr>
                <w:rFonts w:cs="Calibri"/>
                <w:sz w:val="20"/>
                <w:szCs w:val="20"/>
              </w:rPr>
              <w:t>nanoFCM</w:t>
            </w:r>
          </w:p>
        </w:tc>
      </w:tr>
      <w:tr w:rsidR="00274243" w:rsidRPr="00AE649E" w:rsidTr="009B4B17">
        <w:tc>
          <w:tcPr>
            <w:tcW w:w="4698" w:type="dxa"/>
          </w:tcPr>
          <w:p w:rsidR="00274243" w:rsidRPr="00AE649E" w:rsidRDefault="00274243" w:rsidP="009B4B17">
            <w:pPr>
              <w:spacing w:after="0" w:line="240" w:lineRule="auto"/>
              <w:rPr>
                <w:rFonts w:cs="Calibri"/>
                <w:color w:val="000000"/>
                <w:sz w:val="20"/>
                <w:szCs w:val="20"/>
              </w:rPr>
            </w:pPr>
            <w:r w:rsidRPr="00AE649E">
              <w:rPr>
                <w:rFonts w:cs="Calibri"/>
                <w:color w:val="000000"/>
                <w:sz w:val="20"/>
                <w:szCs w:val="20"/>
              </w:rPr>
              <w:t>3.2. Instrument model</w:t>
            </w:r>
          </w:p>
        </w:tc>
        <w:tc>
          <w:tcPr>
            <w:tcW w:w="5040" w:type="dxa"/>
          </w:tcPr>
          <w:p w:rsidR="00274243" w:rsidRPr="00AE649E" w:rsidRDefault="00CE47E2" w:rsidP="00E754EE">
            <w:pPr>
              <w:spacing w:after="0" w:line="240" w:lineRule="auto"/>
              <w:rPr>
                <w:rFonts w:cs="Calibri"/>
                <w:sz w:val="20"/>
                <w:szCs w:val="20"/>
              </w:rPr>
            </w:pPr>
            <w:r>
              <w:rPr>
                <w:rFonts w:cs="Calibri"/>
                <w:sz w:val="20"/>
                <w:szCs w:val="20"/>
              </w:rPr>
              <w:t xml:space="preserve">Flow </w:t>
            </w:r>
            <w:r w:rsidR="00F56E37">
              <w:rPr>
                <w:rFonts w:cs="Calibri"/>
                <w:sz w:val="20"/>
                <w:szCs w:val="20"/>
              </w:rPr>
              <w:t>N</w:t>
            </w:r>
            <w:r>
              <w:rPr>
                <w:rFonts w:cs="Calibri"/>
                <w:sz w:val="20"/>
                <w:szCs w:val="20"/>
              </w:rPr>
              <w:t>anoanalyzer</w:t>
            </w:r>
          </w:p>
        </w:tc>
      </w:tr>
      <w:tr w:rsidR="00274243" w:rsidRPr="00AE649E" w:rsidTr="009B4B17">
        <w:tc>
          <w:tcPr>
            <w:tcW w:w="4698" w:type="dxa"/>
          </w:tcPr>
          <w:p w:rsidR="00274243" w:rsidRPr="00AE649E" w:rsidRDefault="00274243" w:rsidP="009B4B17">
            <w:pPr>
              <w:spacing w:after="0" w:line="240" w:lineRule="auto"/>
              <w:rPr>
                <w:rFonts w:cs="Calibri"/>
                <w:color w:val="000000"/>
                <w:sz w:val="20"/>
                <w:szCs w:val="20"/>
              </w:rPr>
            </w:pPr>
            <w:r w:rsidRPr="00AE649E">
              <w:rPr>
                <w:rFonts w:cs="Calibri"/>
                <w:color w:val="000000"/>
                <w:sz w:val="20"/>
                <w:szCs w:val="20"/>
              </w:rPr>
              <w:t xml:space="preserve">3.3. Instrument configuration and settings </w:t>
            </w:r>
          </w:p>
        </w:tc>
        <w:tc>
          <w:tcPr>
            <w:tcW w:w="5040" w:type="dxa"/>
          </w:tcPr>
          <w:p w:rsidR="00274243" w:rsidRPr="00AE649E" w:rsidRDefault="00170BCE" w:rsidP="00E754EE">
            <w:pPr>
              <w:spacing w:after="0" w:line="240" w:lineRule="auto"/>
              <w:rPr>
                <w:rFonts w:cs="Calibri"/>
                <w:sz w:val="20"/>
                <w:szCs w:val="20"/>
              </w:rPr>
            </w:pPr>
            <w:r>
              <w:rPr>
                <w:rFonts w:cs="Calibri"/>
                <w:sz w:val="20"/>
                <w:szCs w:val="20"/>
              </w:rPr>
              <w:t>The instrument is equipped with 488</w:t>
            </w:r>
            <w:r w:rsidR="00F56E37">
              <w:rPr>
                <w:rFonts w:cs="Calibri"/>
                <w:sz w:val="20"/>
                <w:szCs w:val="20"/>
              </w:rPr>
              <w:t>-</w:t>
            </w:r>
            <w:r>
              <w:rPr>
                <w:rFonts w:cs="Calibri"/>
                <w:sz w:val="20"/>
                <w:szCs w:val="20"/>
              </w:rPr>
              <w:t>nm and 638</w:t>
            </w:r>
            <w:r w:rsidR="00F56E37">
              <w:rPr>
                <w:rFonts w:cs="Calibri"/>
                <w:sz w:val="20"/>
                <w:szCs w:val="20"/>
              </w:rPr>
              <w:t>-</w:t>
            </w:r>
            <w:r>
              <w:rPr>
                <w:rFonts w:cs="Calibri"/>
                <w:sz w:val="20"/>
                <w:szCs w:val="20"/>
              </w:rPr>
              <w:t xml:space="preserve">nm lasers and 488/10, 525/40, 580/40, 670/30 and 710/40 filters. Side scatter and fluorescence signals are detected by 3 </w:t>
            </w:r>
            <w:r w:rsidR="0055690F">
              <w:rPr>
                <w:rFonts w:cs="Calibri"/>
                <w:sz w:val="20"/>
                <w:szCs w:val="20"/>
              </w:rPr>
              <w:t>single photon</w:t>
            </w:r>
            <w:r>
              <w:rPr>
                <w:rFonts w:cs="Calibri"/>
                <w:sz w:val="20"/>
                <w:szCs w:val="20"/>
              </w:rPr>
              <w:t xml:space="preserve"> counting modules (SPCMs). In our experiments, we measured side scatter by excitation at 488</w:t>
            </w:r>
            <w:r w:rsidR="00F56E37">
              <w:rPr>
                <w:rFonts w:cs="Calibri"/>
                <w:sz w:val="20"/>
                <w:szCs w:val="20"/>
              </w:rPr>
              <w:t xml:space="preserve"> </w:t>
            </w:r>
            <w:r>
              <w:rPr>
                <w:rFonts w:cs="Calibri"/>
                <w:sz w:val="20"/>
                <w:szCs w:val="20"/>
              </w:rPr>
              <w:t>nm at 10</w:t>
            </w:r>
            <w:r w:rsidR="00F56E37">
              <w:rPr>
                <w:rFonts w:cs="Calibri"/>
                <w:sz w:val="20"/>
                <w:szCs w:val="20"/>
              </w:rPr>
              <w:t xml:space="preserve"> </w:t>
            </w:r>
            <w:r>
              <w:rPr>
                <w:rFonts w:cs="Calibri"/>
                <w:sz w:val="20"/>
                <w:szCs w:val="20"/>
              </w:rPr>
              <w:t>kW through the 488/10 filter, and fluorescence by excitation at 488</w:t>
            </w:r>
            <w:r w:rsidR="00F56E37">
              <w:rPr>
                <w:rFonts w:cs="Calibri"/>
                <w:sz w:val="20"/>
                <w:szCs w:val="20"/>
              </w:rPr>
              <w:t xml:space="preserve"> </w:t>
            </w:r>
            <w:r>
              <w:rPr>
                <w:rFonts w:cs="Calibri"/>
                <w:sz w:val="20"/>
                <w:szCs w:val="20"/>
              </w:rPr>
              <w:t>nm and 638</w:t>
            </w:r>
            <w:r w:rsidR="00F56E37">
              <w:rPr>
                <w:rFonts w:cs="Calibri"/>
                <w:sz w:val="20"/>
                <w:szCs w:val="20"/>
              </w:rPr>
              <w:t xml:space="preserve"> </w:t>
            </w:r>
            <w:r>
              <w:rPr>
                <w:rFonts w:cs="Calibri"/>
                <w:sz w:val="20"/>
                <w:szCs w:val="20"/>
              </w:rPr>
              <w:t>nm (both at 10</w:t>
            </w:r>
            <w:r w:rsidR="00F56E37">
              <w:rPr>
                <w:rFonts w:cs="Calibri"/>
                <w:sz w:val="20"/>
                <w:szCs w:val="20"/>
              </w:rPr>
              <w:t xml:space="preserve"> </w:t>
            </w:r>
            <w:r>
              <w:rPr>
                <w:rFonts w:cs="Calibri"/>
                <w:sz w:val="20"/>
                <w:szCs w:val="20"/>
              </w:rPr>
              <w:t xml:space="preserve">kW) </w:t>
            </w:r>
            <w:r w:rsidR="000B34A6">
              <w:rPr>
                <w:rFonts w:cs="Calibri"/>
                <w:sz w:val="20"/>
                <w:szCs w:val="20"/>
              </w:rPr>
              <w:t>through</w:t>
            </w:r>
            <w:r>
              <w:rPr>
                <w:rFonts w:cs="Calibri"/>
                <w:sz w:val="20"/>
                <w:szCs w:val="20"/>
              </w:rPr>
              <w:t xml:space="preserve"> 525/40</w:t>
            </w:r>
            <w:r w:rsidR="00FE7987">
              <w:rPr>
                <w:rFonts w:cs="Calibri"/>
                <w:sz w:val="20"/>
                <w:szCs w:val="20"/>
              </w:rPr>
              <w:t xml:space="preserve"> and 6</w:t>
            </w:r>
            <w:r>
              <w:rPr>
                <w:rFonts w:cs="Calibri"/>
                <w:sz w:val="20"/>
                <w:szCs w:val="20"/>
              </w:rPr>
              <w:t xml:space="preserve">70/30 </w:t>
            </w:r>
            <w:r w:rsidR="00FE7987">
              <w:rPr>
                <w:rFonts w:cs="Calibri"/>
                <w:sz w:val="20"/>
                <w:szCs w:val="20"/>
              </w:rPr>
              <w:t xml:space="preserve">filters, </w:t>
            </w:r>
            <w:r>
              <w:rPr>
                <w:rFonts w:cs="Calibri"/>
                <w:sz w:val="20"/>
                <w:szCs w:val="20"/>
              </w:rPr>
              <w:t>depending on the nucleic acid dye or fluorophore</w:t>
            </w:r>
            <w:r w:rsidR="004D5557">
              <w:rPr>
                <w:rFonts w:cs="Calibri"/>
                <w:sz w:val="20"/>
                <w:szCs w:val="20"/>
              </w:rPr>
              <w:t xml:space="preserve"> used</w:t>
            </w:r>
            <w:r>
              <w:rPr>
                <w:rFonts w:cs="Calibri"/>
                <w:sz w:val="20"/>
                <w:szCs w:val="20"/>
              </w:rPr>
              <w:t xml:space="preserve">. </w:t>
            </w:r>
            <w:r w:rsidR="00F56E37">
              <w:rPr>
                <w:rFonts w:cs="Calibri"/>
                <w:sz w:val="20"/>
                <w:szCs w:val="20"/>
              </w:rPr>
              <w:t>Sampling pressure</w:t>
            </w:r>
            <w:r>
              <w:rPr>
                <w:rFonts w:cs="Calibri"/>
                <w:sz w:val="20"/>
                <w:szCs w:val="20"/>
              </w:rPr>
              <w:t xml:space="preserve"> was kept constant and experimental samples were analyzed under the same conditions as quality control </w:t>
            </w:r>
            <w:r w:rsidR="00FE7987">
              <w:rPr>
                <w:rFonts w:cs="Calibri"/>
                <w:sz w:val="20"/>
                <w:szCs w:val="20"/>
              </w:rPr>
              <w:t>nanospheres</w:t>
            </w:r>
            <w:r>
              <w:rPr>
                <w:rFonts w:cs="Calibri"/>
                <w:sz w:val="20"/>
                <w:szCs w:val="20"/>
              </w:rPr>
              <w:t xml:space="preserve"> that </w:t>
            </w:r>
            <w:r w:rsidR="004D5557">
              <w:rPr>
                <w:rFonts w:cs="Calibri"/>
                <w:sz w:val="20"/>
                <w:szCs w:val="20"/>
              </w:rPr>
              <w:t>wer</w:t>
            </w:r>
            <w:r>
              <w:rPr>
                <w:rFonts w:cs="Calibri"/>
                <w:sz w:val="20"/>
                <w:szCs w:val="20"/>
              </w:rPr>
              <w:t>e used for concentration measurements and side scatter calibration.</w:t>
            </w:r>
          </w:p>
        </w:tc>
      </w:tr>
      <w:tr w:rsidR="00274243" w:rsidRPr="00AE649E" w:rsidTr="009B4B17">
        <w:tc>
          <w:tcPr>
            <w:tcW w:w="4698" w:type="dxa"/>
          </w:tcPr>
          <w:p w:rsidR="00274243" w:rsidRPr="00AE649E" w:rsidRDefault="00274243" w:rsidP="009B4B17">
            <w:pPr>
              <w:spacing w:after="0" w:line="240" w:lineRule="auto"/>
              <w:rPr>
                <w:rFonts w:cs="Calibri"/>
                <w:color w:val="000000"/>
                <w:sz w:val="20"/>
                <w:szCs w:val="20"/>
              </w:rPr>
            </w:pPr>
            <w:r w:rsidRPr="00AE649E">
              <w:rPr>
                <w:rFonts w:cs="Calibri"/>
                <w:color w:val="000000"/>
                <w:sz w:val="20"/>
                <w:szCs w:val="20"/>
              </w:rPr>
              <w:t xml:space="preserve">4.1. List-mode data files </w:t>
            </w:r>
          </w:p>
        </w:tc>
        <w:tc>
          <w:tcPr>
            <w:tcW w:w="5040" w:type="dxa"/>
          </w:tcPr>
          <w:p w:rsidR="009B4B17" w:rsidRDefault="008608A7" w:rsidP="0055690F">
            <w:pPr>
              <w:spacing w:after="0" w:line="240" w:lineRule="auto"/>
              <w:rPr>
                <w:rFonts w:cs="Calibri"/>
                <w:sz w:val="20"/>
                <w:szCs w:val="20"/>
              </w:rPr>
            </w:pPr>
            <w:r>
              <w:rPr>
                <w:rFonts w:cs="Calibri"/>
                <w:sz w:val="20"/>
                <w:szCs w:val="20"/>
              </w:rPr>
              <w:t xml:space="preserve">Data files generated by the instrument are </w:t>
            </w:r>
            <w:r w:rsidR="004A1484">
              <w:rPr>
                <w:rFonts w:cs="Calibri"/>
                <w:sz w:val="20"/>
                <w:szCs w:val="20"/>
              </w:rPr>
              <w:t>of</w:t>
            </w:r>
            <w:r>
              <w:rPr>
                <w:rFonts w:cs="Calibri"/>
                <w:sz w:val="20"/>
                <w:szCs w:val="20"/>
              </w:rPr>
              <w:t xml:space="preserve"> the .nfa format. </w:t>
            </w:r>
            <w:r w:rsidR="00F56E37">
              <w:rPr>
                <w:rFonts w:cs="Calibri"/>
                <w:sz w:val="20"/>
                <w:szCs w:val="20"/>
              </w:rPr>
              <w:t>These files were converted to .fcs format in the software that operates the instrument, using the ‘small signal’ thresholding setting. W</w:t>
            </w:r>
            <w:r>
              <w:rPr>
                <w:rFonts w:cs="Calibri"/>
                <w:sz w:val="20"/>
                <w:szCs w:val="20"/>
              </w:rPr>
              <w:t xml:space="preserve">e deposited data </w:t>
            </w:r>
            <w:r w:rsidR="004A1484">
              <w:rPr>
                <w:rFonts w:cs="Calibri"/>
                <w:sz w:val="20"/>
                <w:szCs w:val="20"/>
              </w:rPr>
              <w:t xml:space="preserve">to the </w:t>
            </w:r>
            <w:r w:rsidR="00F56E37">
              <w:rPr>
                <w:rFonts w:cs="Calibri"/>
                <w:sz w:val="20"/>
                <w:szCs w:val="20"/>
              </w:rPr>
              <w:t>Z</w:t>
            </w:r>
            <w:r w:rsidR="003E40AF">
              <w:rPr>
                <w:rFonts w:cs="Calibri"/>
                <w:sz w:val="20"/>
                <w:szCs w:val="20"/>
              </w:rPr>
              <w:t xml:space="preserve">enodo </w:t>
            </w:r>
            <w:r w:rsidR="004A1484">
              <w:rPr>
                <w:rFonts w:cs="Calibri"/>
                <w:sz w:val="20"/>
                <w:szCs w:val="20"/>
              </w:rPr>
              <w:t>online data repository.</w:t>
            </w:r>
            <w:r w:rsidR="003E40AF">
              <w:rPr>
                <w:rFonts w:cs="Calibri"/>
                <w:sz w:val="20"/>
                <w:szCs w:val="20"/>
              </w:rPr>
              <w:t xml:space="preserve"> The URLs are listed below:</w:t>
            </w:r>
          </w:p>
          <w:p w:rsidR="003E40AF" w:rsidRDefault="003E40AF" w:rsidP="0055690F">
            <w:pPr>
              <w:spacing w:after="0" w:line="240" w:lineRule="auto"/>
              <w:rPr>
                <w:rFonts w:cs="Calibri"/>
                <w:sz w:val="20"/>
                <w:szCs w:val="20"/>
              </w:rPr>
            </w:pPr>
            <w:r>
              <w:rPr>
                <w:rFonts w:cs="Calibri"/>
                <w:sz w:val="20"/>
                <w:szCs w:val="20"/>
              </w:rPr>
              <w:t>-</w:t>
            </w:r>
            <w:r>
              <w:t xml:space="preserve"> </w:t>
            </w:r>
            <w:hyperlink r:id="rId10" w:history="1">
              <w:r w:rsidR="00F56E37" w:rsidRPr="00150DC8">
                <w:rPr>
                  <w:rStyle w:val="Hyperlink"/>
                  <w:rFonts w:cs="Calibri"/>
                  <w:sz w:val="20"/>
                  <w:szCs w:val="20"/>
                </w:rPr>
                <w:t>https://doi.org/10.5281/zenodo.14270416</w:t>
              </w:r>
            </w:hyperlink>
          </w:p>
          <w:p w:rsidR="00F56E37" w:rsidRDefault="003E40AF" w:rsidP="0055690F">
            <w:pPr>
              <w:spacing w:after="0" w:line="240" w:lineRule="auto"/>
              <w:rPr>
                <w:rFonts w:cs="Calibri"/>
                <w:sz w:val="20"/>
                <w:szCs w:val="20"/>
              </w:rPr>
            </w:pPr>
            <w:r>
              <w:rPr>
                <w:rFonts w:cs="Calibri"/>
                <w:sz w:val="20"/>
                <w:szCs w:val="20"/>
              </w:rPr>
              <w:t>-</w:t>
            </w:r>
            <w:r>
              <w:t xml:space="preserve"> </w:t>
            </w:r>
            <w:hyperlink r:id="rId11" w:history="1">
              <w:r w:rsidR="00F56E37" w:rsidRPr="00150DC8">
                <w:rPr>
                  <w:rStyle w:val="Hyperlink"/>
                  <w:rFonts w:cs="Calibri"/>
                  <w:sz w:val="20"/>
                  <w:szCs w:val="20"/>
                </w:rPr>
                <w:t>https://doi.org/10.5281/zenodo.14270559</w:t>
              </w:r>
            </w:hyperlink>
          </w:p>
          <w:p w:rsidR="00F56E37" w:rsidRDefault="00F56E37" w:rsidP="0055690F">
            <w:pPr>
              <w:spacing w:after="0" w:line="240" w:lineRule="auto"/>
              <w:rPr>
                <w:rFonts w:cs="Calibri"/>
                <w:sz w:val="20"/>
                <w:szCs w:val="20"/>
              </w:rPr>
            </w:pPr>
            <w:r>
              <w:rPr>
                <w:rFonts w:cs="Calibri"/>
                <w:sz w:val="20"/>
                <w:szCs w:val="20"/>
              </w:rPr>
              <w:t xml:space="preserve">- </w:t>
            </w:r>
            <w:hyperlink r:id="rId12" w:history="1">
              <w:r w:rsidRPr="00150DC8">
                <w:rPr>
                  <w:rStyle w:val="Hyperlink"/>
                  <w:rFonts w:cs="Calibri"/>
                  <w:sz w:val="20"/>
                  <w:szCs w:val="20"/>
                </w:rPr>
                <w:t>https://doi.org/10.5281/zenodo.14270583</w:t>
              </w:r>
            </w:hyperlink>
          </w:p>
          <w:p w:rsidR="00F56E37" w:rsidRDefault="00F56E37" w:rsidP="0055690F">
            <w:pPr>
              <w:spacing w:after="0" w:line="240" w:lineRule="auto"/>
              <w:rPr>
                <w:rFonts w:cs="Calibri"/>
                <w:sz w:val="20"/>
                <w:szCs w:val="20"/>
              </w:rPr>
            </w:pPr>
            <w:r>
              <w:rPr>
                <w:rFonts w:cs="Calibri"/>
                <w:sz w:val="20"/>
                <w:szCs w:val="20"/>
              </w:rPr>
              <w:t xml:space="preserve">- </w:t>
            </w:r>
            <w:hyperlink r:id="rId13" w:history="1">
              <w:r w:rsidRPr="00150DC8">
                <w:rPr>
                  <w:rStyle w:val="Hyperlink"/>
                  <w:rFonts w:cs="Calibri"/>
                  <w:sz w:val="20"/>
                  <w:szCs w:val="20"/>
                </w:rPr>
                <w:t>https://doi.org/10.5281/zenodo.14270626</w:t>
              </w:r>
            </w:hyperlink>
          </w:p>
          <w:p w:rsidR="00F56E37" w:rsidRDefault="00F56E37" w:rsidP="0055690F">
            <w:pPr>
              <w:spacing w:after="0" w:line="240" w:lineRule="auto"/>
              <w:rPr>
                <w:rFonts w:cs="Calibri"/>
                <w:sz w:val="20"/>
                <w:szCs w:val="20"/>
              </w:rPr>
            </w:pPr>
            <w:r>
              <w:rPr>
                <w:rFonts w:cs="Calibri"/>
                <w:sz w:val="20"/>
                <w:szCs w:val="20"/>
              </w:rPr>
              <w:t xml:space="preserve">- </w:t>
            </w:r>
            <w:hyperlink r:id="rId14" w:history="1">
              <w:r w:rsidRPr="00150DC8">
                <w:rPr>
                  <w:rStyle w:val="Hyperlink"/>
                  <w:rFonts w:cs="Calibri"/>
                  <w:sz w:val="20"/>
                  <w:szCs w:val="20"/>
                </w:rPr>
                <w:t>https://doi.org/10.5281/zenodo.142706</w:t>
              </w:r>
              <w:r w:rsidRPr="00150DC8">
                <w:rPr>
                  <w:rStyle w:val="Hyperlink"/>
                  <w:rFonts w:cs="Calibri"/>
                  <w:sz w:val="20"/>
                  <w:szCs w:val="20"/>
                </w:rPr>
                <w:t>5</w:t>
              </w:r>
              <w:r w:rsidRPr="00150DC8">
                <w:rPr>
                  <w:rStyle w:val="Hyperlink"/>
                  <w:rFonts w:cs="Calibri"/>
                  <w:sz w:val="20"/>
                  <w:szCs w:val="20"/>
                </w:rPr>
                <w:t>9</w:t>
              </w:r>
            </w:hyperlink>
          </w:p>
          <w:p w:rsidR="00F56E37" w:rsidRDefault="00F56E37" w:rsidP="0055690F">
            <w:pPr>
              <w:spacing w:after="0" w:line="240" w:lineRule="auto"/>
              <w:rPr>
                <w:rFonts w:cs="Calibri"/>
                <w:sz w:val="20"/>
                <w:szCs w:val="20"/>
              </w:rPr>
            </w:pPr>
            <w:r>
              <w:rPr>
                <w:rFonts w:cs="Calibri"/>
                <w:sz w:val="20"/>
                <w:szCs w:val="20"/>
              </w:rPr>
              <w:t xml:space="preserve">- </w:t>
            </w:r>
            <w:hyperlink r:id="rId15" w:history="1">
              <w:r w:rsidRPr="00150DC8">
                <w:rPr>
                  <w:rStyle w:val="Hyperlink"/>
                  <w:rFonts w:cs="Calibri"/>
                  <w:sz w:val="20"/>
                  <w:szCs w:val="20"/>
                </w:rPr>
                <w:t>https://doi.org/10.5281/zenodo.14270701</w:t>
              </w:r>
            </w:hyperlink>
          </w:p>
          <w:p w:rsidR="003E40AF" w:rsidRPr="003E40AF" w:rsidRDefault="003E40AF" w:rsidP="0055690F">
            <w:pPr>
              <w:spacing w:after="0" w:line="240" w:lineRule="auto"/>
              <w:rPr>
                <w:rFonts w:cs="Calibri"/>
                <w:sz w:val="20"/>
                <w:szCs w:val="20"/>
              </w:rPr>
            </w:pPr>
          </w:p>
        </w:tc>
      </w:tr>
      <w:tr w:rsidR="00274243" w:rsidRPr="00AE649E" w:rsidTr="009B4B17">
        <w:tc>
          <w:tcPr>
            <w:tcW w:w="4698" w:type="dxa"/>
          </w:tcPr>
          <w:p w:rsidR="00274243" w:rsidRPr="00AE649E" w:rsidRDefault="00274243" w:rsidP="009B4B17">
            <w:pPr>
              <w:spacing w:after="0" w:line="240" w:lineRule="auto"/>
              <w:rPr>
                <w:rFonts w:cs="Calibri"/>
                <w:color w:val="000000"/>
                <w:sz w:val="20"/>
                <w:szCs w:val="20"/>
              </w:rPr>
            </w:pPr>
            <w:r w:rsidRPr="00AE649E">
              <w:rPr>
                <w:rFonts w:cs="Calibri"/>
                <w:color w:val="000000"/>
                <w:sz w:val="20"/>
                <w:szCs w:val="20"/>
              </w:rPr>
              <w:t xml:space="preserve">4.2. Compensation description </w:t>
            </w:r>
          </w:p>
        </w:tc>
        <w:tc>
          <w:tcPr>
            <w:tcW w:w="5040" w:type="dxa"/>
          </w:tcPr>
          <w:p w:rsidR="00274243" w:rsidRPr="00AE649E" w:rsidRDefault="00170BCE" w:rsidP="00E754EE">
            <w:pPr>
              <w:spacing w:after="0" w:line="240" w:lineRule="auto"/>
              <w:rPr>
                <w:rFonts w:cs="Calibri"/>
                <w:sz w:val="20"/>
                <w:szCs w:val="20"/>
              </w:rPr>
            </w:pPr>
            <w:r>
              <w:rPr>
                <w:rFonts w:cs="Calibri"/>
                <w:sz w:val="20"/>
                <w:szCs w:val="20"/>
              </w:rPr>
              <w:t>No compensation was necessary</w:t>
            </w:r>
            <w:r w:rsidR="00FE7987">
              <w:rPr>
                <w:rFonts w:cs="Calibri"/>
                <w:sz w:val="20"/>
                <w:szCs w:val="20"/>
              </w:rPr>
              <w:t xml:space="preserve"> in our experiments.</w:t>
            </w:r>
          </w:p>
        </w:tc>
      </w:tr>
      <w:tr w:rsidR="00274243" w:rsidRPr="00AE649E" w:rsidTr="009B4B17">
        <w:tc>
          <w:tcPr>
            <w:tcW w:w="4698" w:type="dxa"/>
          </w:tcPr>
          <w:p w:rsidR="00274243" w:rsidRPr="00AE649E" w:rsidRDefault="00274243" w:rsidP="009B4B17">
            <w:pPr>
              <w:spacing w:after="0" w:line="240" w:lineRule="auto"/>
              <w:rPr>
                <w:rFonts w:cs="Calibri"/>
                <w:color w:val="000000"/>
                <w:sz w:val="20"/>
                <w:szCs w:val="20"/>
              </w:rPr>
            </w:pPr>
            <w:r w:rsidRPr="00AE649E">
              <w:rPr>
                <w:rFonts w:cs="Calibri"/>
                <w:color w:val="000000"/>
                <w:sz w:val="20"/>
                <w:szCs w:val="20"/>
              </w:rPr>
              <w:t xml:space="preserve">4.3. Data transformation details </w:t>
            </w:r>
          </w:p>
        </w:tc>
        <w:tc>
          <w:tcPr>
            <w:tcW w:w="5040" w:type="dxa"/>
          </w:tcPr>
          <w:p w:rsidR="00274243" w:rsidRPr="00AE649E" w:rsidRDefault="00170BCE" w:rsidP="00E754EE">
            <w:pPr>
              <w:spacing w:after="0" w:line="240" w:lineRule="auto"/>
              <w:rPr>
                <w:rFonts w:cs="Calibri"/>
                <w:sz w:val="20"/>
                <w:szCs w:val="20"/>
              </w:rPr>
            </w:pPr>
            <w:r>
              <w:rPr>
                <w:rFonts w:cs="Calibri"/>
                <w:sz w:val="20"/>
                <w:szCs w:val="20"/>
              </w:rPr>
              <w:t>NA</w:t>
            </w:r>
          </w:p>
        </w:tc>
      </w:tr>
      <w:tr w:rsidR="00274243" w:rsidRPr="00AE649E" w:rsidTr="009B4B17">
        <w:tc>
          <w:tcPr>
            <w:tcW w:w="4698" w:type="dxa"/>
          </w:tcPr>
          <w:p w:rsidR="00274243" w:rsidRPr="00AE649E" w:rsidRDefault="00274243" w:rsidP="009B4B17">
            <w:pPr>
              <w:spacing w:after="0" w:line="240" w:lineRule="auto"/>
              <w:rPr>
                <w:rFonts w:cs="Calibri"/>
                <w:color w:val="000000"/>
                <w:sz w:val="20"/>
                <w:szCs w:val="20"/>
              </w:rPr>
            </w:pPr>
            <w:r w:rsidRPr="00AE649E">
              <w:rPr>
                <w:rFonts w:cs="Calibri"/>
                <w:color w:val="000000"/>
                <w:sz w:val="20"/>
                <w:szCs w:val="20"/>
              </w:rPr>
              <w:t xml:space="preserve">4.4.1. Gate description </w:t>
            </w:r>
          </w:p>
        </w:tc>
        <w:tc>
          <w:tcPr>
            <w:tcW w:w="5040" w:type="dxa"/>
          </w:tcPr>
          <w:p w:rsidR="00274243" w:rsidRPr="00AE649E" w:rsidRDefault="00170BCE" w:rsidP="00E754EE">
            <w:pPr>
              <w:spacing w:after="0" w:line="240" w:lineRule="auto"/>
              <w:rPr>
                <w:rFonts w:cs="Calibri"/>
                <w:sz w:val="20"/>
                <w:szCs w:val="20"/>
              </w:rPr>
            </w:pPr>
            <w:r>
              <w:rPr>
                <w:rFonts w:cs="Calibri"/>
                <w:sz w:val="20"/>
                <w:szCs w:val="20"/>
              </w:rPr>
              <w:t>Rectangular gates were drawn on the human cytomegalovirus virions</w:t>
            </w:r>
            <w:r w:rsidR="00BC1E6D">
              <w:rPr>
                <w:rFonts w:cs="Calibri"/>
                <w:sz w:val="20"/>
                <w:szCs w:val="20"/>
              </w:rPr>
              <w:t>, dense bodies or extracellular vesicles</w:t>
            </w:r>
            <w:r w:rsidR="00F56E37">
              <w:rPr>
                <w:rFonts w:cs="Calibri"/>
                <w:sz w:val="20"/>
                <w:szCs w:val="20"/>
              </w:rPr>
              <w:t>,</w:t>
            </w:r>
            <w:r w:rsidR="00BC1E6D">
              <w:rPr>
                <w:rFonts w:cs="Calibri"/>
                <w:sz w:val="20"/>
                <w:szCs w:val="20"/>
              </w:rPr>
              <w:t xml:space="preserve"> </w:t>
            </w:r>
            <w:r>
              <w:rPr>
                <w:rFonts w:cs="Calibri"/>
                <w:sz w:val="20"/>
                <w:szCs w:val="20"/>
              </w:rPr>
              <w:t>and the concentration</w:t>
            </w:r>
            <w:r w:rsidR="00F56E37">
              <w:rPr>
                <w:rFonts w:cs="Calibri"/>
                <w:sz w:val="20"/>
                <w:szCs w:val="20"/>
              </w:rPr>
              <w:t>s</w:t>
            </w:r>
            <w:r>
              <w:rPr>
                <w:rFonts w:cs="Calibri"/>
                <w:sz w:val="20"/>
                <w:szCs w:val="20"/>
              </w:rPr>
              <w:t xml:space="preserve"> of th</w:t>
            </w:r>
            <w:r w:rsidR="0055690F">
              <w:rPr>
                <w:rFonts w:cs="Calibri"/>
                <w:sz w:val="20"/>
                <w:szCs w:val="20"/>
              </w:rPr>
              <w:t>ese</w:t>
            </w:r>
            <w:r>
              <w:rPr>
                <w:rFonts w:cs="Calibri"/>
                <w:sz w:val="20"/>
                <w:szCs w:val="20"/>
              </w:rPr>
              <w:t xml:space="preserve"> particle type</w:t>
            </w:r>
            <w:r w:rsidR="0055690F">
              <w:rPr>
                <w:rFonts w:cs="Calibri"/>
                <w:sz w:val="20"/>
                <w:szCs w:val="20"/>
              </w:rPr>
              <w:t>s</w:t>
            </w:r>
            <w:r>
              <w:rPr>
                <w:rFonts w:cs="Calibri"/>
                <w:sz w:val="20"/>
                <w:szCs w:val="20"/>
              </w:rPr>
              <w:t xml:space="preserve"> determined.</w:t>
            </w:r>
          </w:p>
        </w:tc>
      </w:tr>
      <w:tr w:rsidR="00274243" w:rsidRPr="00AE649E" w:rsidTr="009B4B17">
        <w:tc>
          <w:tcPr>
            <w:tcW w:w="4698" w:type="dxa"/>
          </w:tcPr>
          <w:p w:rsidR="00274243" w:rsidRPr="00AE649E" w:rsidRDefault="00274243" w:rsidP="009B4B17">
            <w:pPr>
              <w:spacing w:after="0" w:line="240" w:lineRule="auto"/>
              <w:rPr>
                <w:rFonts w:cs="Calibri"/>
                <w:color w:val="000000"/>
                <w:sz w:val="20"/>
                <w:szCs w:val="20"/>
              </w:rPr>
            </w:pPr>
            <w:r w:rsidRPr="00AE649E">
              <w:rPr>
                <w:rFonts w:cs="Calibri"/>
                <w:color w:val="000000"/>
                <w:sz w:val="20"/>
                <w:szCs w:val="20"/>
              </w:rPr>
              <w:lastRenderedPageBreak/>
              <w:t xml:space="preserve">4.4.2. Gate statistics </w:t>
            </w:r>
          </w:p>
        </w:tc>
        <w:tc>
          <w:tcPr>
            <w:tcW w:w="5040" w:type="dxa"/>
          </w:tcPr>
          <w:p w:rsidR="00274243" w:rsidRPr="00AE649E" w:rsidRDefault="00170BCE" w:rsidP="00E754EE">
            <w:pPr>
              <w:spacing w:after="0" w:line="240" w:lineRule="auto"/>
              <w:rPr>
                <w:rFonts w:cs="Calibri"/>
                <w:sz w:val="20"/>
                <w:szCs w:val="20"/>
              </w:rPr>
            </w:pPr>
            <w:r>
              <w:rPr>
                <w:rFonts w:cs="Calibri"/>
                <w:sz w:val="20"/>
                <w:szCs w:val="20"/>
              </w:rPr>
              <w:t>Particles included in gates were processed for particle concentration, mean and median diameter with standard deviation, as well as median fluorescence intensity.</w:t>
            </w:r>
          </w:p>
        </w:tc>
      </w:tr>
      <w:tr w:rsidR="00274243" w:rsidRPr="00AE649E" w:rsidTr="009B4B17">
        <w:tc>
          <w:tcPr>
            <w:tcW w:w="4698" w:type="dxa"/>
          </w:tcPr>
          <w:p w:rsidR="00274243" w:rsidRPr="00AE649E" w:rsidRDefault="00274243" w:rsidP="009B4B17">
            <w:pPr>
              <w:spacing w:after="0" w:line="240" w:lineRule="auto"/>
              <w:rPr>
                <w:rFonts w:cs="Calibri"/>
                <w:color w:val="000000"/>
                <w:sz w:val="20"/>
                <w:szCs w:val="20"/>
              </w:rPr>
            </w:pPr>
            <w:r w:rsidRPr="00AE649E">
              <w:rPr>
                <w:rFonts w:cs="Calibri"/>
                <w:color w:val="000000"/>
                <w:sz w:val="20"/>
                <w:szCs w:val="20"/>
              </w:rPr>
              <w:t xml:space="preserve">4.4.3. Gate boundaries </w:t>
            </w:r>
          </w:p>
        </w:tc>
        <w:tc>
          <w:tcPr>
            <w:tcW w:w="5040" w:type="dxa"/>
          </w:tcPr>
          <w:p w:rsidR="00274243" w:rsidRPr="00AE649E" w:rsidRDefault="00170BCE" w:rsidP="00E754EE">
            <w:pPr>
              <w:spacing w:after="0" w:line="240" w:lineRule="auto"/>
              <w:rPr>
                <w:rFonts w:cs="Calibri"/>
                <w:sz w:val="20"/>
                <w:szCs w:val="20"/>
              </w:rPr>
            </w:pPr>
            <w:r>
              <w:rPr>
                <w:rFonts w:cs="Calibri"/>
                <w:sz w:val="20"/>
                <w:szCs w:val="20"/>
              </w:rPr>
              <w:t>Gates are shown in the figures.</w:t>
            </w:r>
          </w:p>
        </w:tc>
      </w:tr>
    </w:tbl>
    <w:p w:rsidR="00AE649E" w:rsidRDefault="00AE649E" w:rsidP="00AE649E">
      <w:pPr>
        <w:spacing w:after="0" w:line="240" w:lineRule="auto"/>
        <w:rPr>
          <w:sz w:val="20"/>
          <w:szCs w:val="20"/>
        </w:rPr>
      </w:pPr>
    </w:p>
    <w:sectPr w:rsidR="00AE649E" w:rsidSect="009603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C2E" w:rsidRDefault="00B23C2E" w:rsidP="00AE649E">
      <w:pPr>
        <w:spacing w:after="0" w:line="240" w:lineRule="auto"/>
      </w:pPr>
      <w:r>
        <w:separator/>
      </w:r>
    </w:p>
  </w:endnote>
  <w:endnote w:type="continuationSeparator" w:id="0">
    <w:p w:rsidR="00B23C2E" w:rsidRDefault="00B23C2E" w:rsidP="00AE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roman"/>
    <w:pitch w:val="variable"/>
    <w:sig w:usb0="01000001" w:usb1="00000000" w:usb2="00000000" w:usb3="00000000" w:csb0="00010000" w:csb1="00000000"/>
  </w:font>
  <w:font w:name="Angsana New">
    <w:panose1 w:val="02020603050405020304"/>
    <w:charset w:val="DE"/>
    <w:family w:val="roman"/>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C2E" w:rsidRDefault="00B23C2E" w:rsidP="00AE649E">
      <w:pPr>
        <w:spacing w:after="0" w:line="240" w:lineRule="auto"/>
      </w:pPr>
      <w:r>
        <w:separator/>
      </w:r>
    </w:p>
  </w:footnote>
  <w:footnote w:type="continuationSeparator" w:id="0">
    <w:p w:rsidR="00B23C2E" w:rsidRDefault="00B23C2E" w:rsidP="00AE6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652435"/>
    <w:multiLevelType w:val="hybridMultilevel"/>
    <w:tmpl w:val="6F78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274243"/>
    <w:rsid w:val="00006DB0"/>
    <w:rsid w:val="00007F91"/>
    <w:rsid w:val="000B34A6"/>
    <w:rsid w:val="000B718C"/>
    <w:rsid w:val="0013557B"/>
    <w:rsid w:val="00161435"/>
    <w:rsid w:val="00164EDC"/>
    <w:rsid w:val="00170BCE"/>
    <w:rsid w:val="001C53CE"/>
    <w:rsid w:val="002248F3"/>
    <w:rsid w:val="00233081"/>
    <w:rsid w:val="0024032C"/>
    <w:rsid w:val="00274243"/>
    <w:rsid w:val="002A09A0"/>
    <w:rsid w:val="002A64F5"/>
    <w:rsid w:val="002B3832"/>
    <w:rsid w:val="00301F12"/>
    <w:rsid w:val="00386D3F"/>
    <w:rsid w:val="003C0007"/>
    <w:rsid w:val="003E40AF"/>
    <w:rsid w:val="004548EB"/>
    <w:rsid w:val="004A1484"/>
    <w:rsid w:val="004A63B1"/>
    <w:rsid w:val="004C504D"/>
    <w:rsid w:val="004D5557"/>
    <w:rsid w:val="00515B26"/>
    <w:rsid w:val="0055690F"/>
    <w:rsid w:val="006A0DFF"/>
    <w:rsid w:val="006A165A"/>
    <w:rsid w:val="006B72CD"/>
    <w:rsid w:val="00732ED8"/>
    <w:rsid w:val="008608A7"/>
    <w:rsid w:val="0087049A"/>
    <w:rsid w:val="0089300F"/>
    <w:rsid w:val="008B1E43"/>
    <w:rsid w:val="008C627E"/>
    <w:rsid w:val="008E2A49"/>
    <w:rsid w:val="00960342"/>
    <w:rsid w:val="009611D3"/>
    <w:rsid w:val="009B4B17"/>
    <w:rsid w:val="00AB4794"/>
    <w:rsid w:val="00AE649E"/>
    <w:rsid w:val="00AF39AF"/>
    <w:rsid w:val="00B23C2E"/>
    <w:rsid w:val="00B363A2"/>
    <w:rsid w:val="00BC1E6D"/>
    <w:rsid w:val="00BE38EF"/>
    <w:rsid w:val="00C811EA"/>
    <w:rsid w:val="00C97BF7"/>
    <w:rsid w:val="00CA61B2"/>
    <w:rsid w:val="00CB70BB"/>
    <w:rsid w:val="00CE47E2"/>
    <w:rsid w:val="00CE7AF5"/>
    <w:rsid w:val="00D50F7C"/>
    <w:rsid w:val="00E10416"/>
    <w:rsid w:val="00E65BD9"/>
    <w:rsid w:val="00E754EE"/>
    <w:rsid w:val="00F3085D"/>
    <w:rsid w:val="00F50876"/>
    <w:rsid w:val="00F56E37"/>
    <w:rsid w:val="00FE7987"/>
    <w:rsid w:val="00FF4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06FBDBFD-0E3F-429F-977F-FD117342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ordia New"/>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342"/>
    <w:pPr>
      <w:spacing w:after="200" w:line="276" w:lineRule="auto"/>
    </w:pPr>
    <w:rPr>
      <w:sz w:val="22"/>
      <w:szCs w:val="28"/>
      <w:lang w:eastAsia="zh-CN" w:bidi="th-TH"/>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E649E"/>
    <w:pPr>
      <w:tabs>
        <w:tab w:val="center" w:pos="4680"/>
        <w:tab w:val="right" w:pos="9360"/>
      </w:tabs>
    </w:pPr>
  </w:style>
  <w:style w:type="character" w:customStyle="1" w:styleId="HeaderChar">
    <w:name w:val="Header Char"/>
    <w:link w:val="Header"/>
    <w:uiPriority w:val="99"/>
    <w:semiHidden/>
    <w:rsid w:val="00AE649E"/>
    <w:rPr>
      <w:sz w:val="22"/>
      <w:szCs w:val="28"/>
    </w:rPr>
  </w:style>
  <w:style w:type="paragraph" w:styleId="Footer">
    <w:name w:val="footer"/>
    <w:basedOn w:val="Normal"/>
    <w:link w:val="FooterChar"/>
    <w:uiPriority w:val="99"/>
    <w:semiHidden/>
    <w:unhideWhenUsed/>
    <w:rsid w:val="00AE649E"/>
    <w:pPr>
      <w:tabs>
        <w:tab w:val="center" w:pos="4680"/>
        <w:tab w:val="right" w:pos="9360"/>
      </w:tabs>
    </w:pPr>
  </w:style>
  <w:style w:type="character" w:customStyle="1" w:styleId="FooterChar">
    <w:name w:val="Footer Char"/>
    <w:link w:val="Footer"/>
    <w:uiPriority w:val="99"/>
    <w:semiHidden/>
    <w:rsid w:val="00AE649E"/>
    <w:rPr>
      <w:sz w:val="22"/>
      <w:szCs w:val="28"/>
    </w:rPr>
  </w:style>
  <w:style w:type="character" w:styleId="Hyperlink">
    <w:name w:val="Hyperlink"/>
    <w:uiPriority w:val="99"/>
    <w:unhideWhenUsed/>
    <w:rsid w:val="00AE649E"/>
    <w:rPr>
      <w:color w:val="0000FF"/>
      <w:u w:val="single"/>
    </w:rPr>
  </w:style>
  <w:style w:type="paragraph" w:styleId="HTMLPreformatted">
    <w:name w:val="HTML Preformatted"/>
    <w:basedOn w:val="Normal"/>
    <w:link w:val="HTMLPreformattedChar"/>
    <w:uiPriority w:val="99"/>
    <w:semiHidden/>
    <w:unhideWhenUsed/>
    <w:rsid w:val="003E40AF"/>
    <w:rPr>
      <w:rFonts w:ascii="Courier New" w:hAnsi="Courier New" w:cs="Angsana New"/>
      <w:sz w:val="20"/>
      <w:szCs w:val="25"/>
    </w:rPr>
  </w:style>
  <w:style w:type="character" w:customStyle="1" w:styleId="HTMLPreformattedChar">
    <w:name w:val="HTML Preformatted Char"/>
    <w:link w:val="HTMLPreformatted"/>
    <w:uiPriority w:val="99"/>
    <w:semiHidden/>
    <w:rsid w:val="003E40AF"/>
    <w:rPr>
      <w:rFonts w:ascii="Courier New" w:hAnsi="Courier New" w:cs="Angsana New"/>
      <w:szCs w:val="25"/>
      <w:lang w:val="en-US" w:eastAsia="zh-CN" w:bidi="th-TH"/>
    </w:rPr>
  </w:style>
  <w:style w:type="character" w:styleId="UnresolvedMention">
    <w:name w:val="Unresolved Mention"/>
    <w:uiPriority w:val="99"/>
    <w:semiHidden/>
    <w:unhideWhenUsed/>
    <w:rsid w:val="003E40AF"/>
    <w:rPr>
      <w:color w:val="605E5C"/>
      <w:shd w:val="clear" w:color="auto" w:fill="E1DFDD"/>
    </w:rPr>
  </w:style>
  <w:style w:type="character" w:styleId="FollowedHyperlink">
    <w:name w:val="FollowedHyperlink"/>
    <w:uiPriority w:val="99"/>
    <w:semiHidden/>
    <w:unhideWhenUsed/>
    <w:rsid w:val="00F56E37"/>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219609">
      <w:bodyDiv w:val="1"/>
      <w:marLeft w:val="0"/>
      <w:marRight w:val="0"/>
      <w:marTop w:val="0"/>
      <w:marBottom w:val="0"/>
      <w:divBdr>
        <w:top w:val="none" w:sz="0" w:space="0" w:color="auto"/>
        <w:left w:val="none" w:sz="0" w:space="0" w:color="auto"/>
        <w:bottom w:val="none" w:sz="0" w:space="0" w:color="auto"/>
        <w:right w:val="none" w:sz="0" w:space="0" w:color="auto"/>
      </w:divBdr>
    </w:div>
    <w:div w:id="546987692">
      <w:bodyDiv w:val="1"/>
      <w:marLeft w:val="0"/>
      <w:marRight w:val="0"/>
      <w:marTop w:val="0"/>
      <w:marBottom w:val="0"/>
      <w:divBdr>
        <w:top w:val="none" w:sz="0" w:space="0" w:color="auto"/>
        <w:left w:val="none" w:sz="0" w:space="0" w:color="auto"/>
        <w:bottom w:val="none" w:sz="0" w:space="0" w:color="auto"/>
        <w:right w:val="none" w:sz="0" w:space="0" w:color="auto"/>
      </w:divBdr>
    </w:div>
    <w:div w:id="579752798">
      <w:bodyDiv w:val="1"/>
      <w:marLeft w:val="0"/>
      <w:marRight w:val="0"/>
      <w:marTop w:val="0"/>
      <w:marBottom w:val="0"/>
      <w:divBdr>
        <w:top w:val="none" w:sz="0" w:space="0" w:color="auto"/>
        <w:left w:val="none" w:sz="0" w:space="0" w:color="auto"/>
        <w:bottom w:val="none" w:sz="0" w:space="0" w:color="auto"/>
        <w:right w:val="none" w:sz="0" w:space="0" w:color="auto"/>
      </w:divBdr>
    </w:div>
    <w:div w:id="617029816">
      <w:bodyDiv w:val="1"/>
      <w:marLeft w:val="0"/>
      <w:marRight w:val="0"/>
      <w:marTop w:val="0"/>
      <w:marBottom w:val="0"/>
      <w:divBdr>
        <w:top w:val="none" w:sz="0" w:space="0" w:color="auto"/>
        <w:left w:val="none" w:sz="0" w:space="0" w:color="auto"/>
        <w:bottom w:val="none" w:sz="0" w:space="0" w:color="auto"/>
        <w:right w:val="none" w:sz="0" w:space="0" w:color="auto"/>
      </w:divBdr>
    </w:div>
    <w:div w:id="955334737">
      <w:bodyDiv w:val="1"/>
      <w:marLeft w:val="0"/>
      <w:marRight w:val="0"/>
      <w:marTop w:val="0"/>
      <w:marBottom w:val="0"/>
      <w:divBdr>
        <w:top w:val="none" w:sz="0" w:space="0" w:color="auto"/>
        <w:left w:val="none" w:sz="0" w:space="0" w:color="auto"/>
        <w:bottom w:val="none" w:sz="0" w:space="0" w:color="auto"/>
        <w:right w:val="none" w:sz="0" w:space="0" w:color="auto"/>
      </w:divBdr>
    </w:div>
    <w:div w:id="971256322">
      <w:bodyDiv w:val="1"/>
      <w:marLeft w:val="0"/>
      <w:marRight w:val="0"/>
      <w:marTop w:val="0"/>
      <w:marBottom w:val="0"/>
      <w:divBdr>
        <w:top w:val="none" w:sz="0" w:space="0" w:color="auto"/>
        <w:left w:val="none" w:sz="0" w:space="0" w:color="auto"/>
        <w:bottom w:val="none" w:sz="0" w:space="0" w:color="auto"/>
        <w:right w:val="none" w:sz="0" w:space="0" w:color="auto"/>
      </w:divBdr>
    </w:div>
    <w:div w:id="1248229947">
      <w:bodyDiv w:val="1"/>
      <w:marLeft w:val="0"/>
      <w:marRight w:val="0"/>
      <w:marTop w:val="0"/>
      <w:marBottom w:val="0"/>
      <w:divBdr>
        <w:top w:val="none" w:sz="0" w:space="0" w:color="auto"/>
        <w:left w:val="none" w:sz="0" w:space="0" w:color="auto"/>
        <w:bottom w:val="none" w:sz="0" w:space="0" w:color="auto"/>
        <w:right w:val="none" w:sz="0" w:space="0" w:color="auto"/>
      </w:divBdr>
    </w:div>
    <w:div w:id="1447503583">
      <w:bodyDiv w:val="1"/>
      <w:marLeft w:val="0"/>
      <w:marRight w:val="0"/>
      <w:marTop w:val="0"/>
      <w:marBottom w:val="0"/>
      <w:divBdr>
        <w:top w:val="none" w:sz="0" w:space="0" w:color="auto"/>
        <w:left w:val="none" w:sz="0" w:space="0" w:color="auto"/>
        <w:bottom w:val="none" w:sz="0" w:space="0" w:color="auto"/>
        <w:right w:val="none" w:sz="0" w:space="0" w:color="auto"/>
      </w:divBdr>
    </w:div>
    <w:div w:id="1602299277">
      <w:bodyDiv w:val="1"/>
      <w:marLeft w:val="0"/>
      <w:marRight w:val="0"/>
      <w:marTop w:val="0"/>
      <w:marBottom w:val="0"/>
      <w:divBdr>
        <w:top w:val="none" w:sz="0" w:space="0" w:color="auto"/>
        <w:left w:val="none" w:sz="0" w:space="0" w:color="auto"/>
        <w:bottom w:val="none" w:sz="0" w:space="0" w:color="auto"/>
        <w:right w:val="none" w:sz="0" w:space="0" w:color="auto"/>
      </w:divBdr>
    </w:div>
    <w:div w:id="1928221942">
      <w:bodyDiv w:val="1"/>
      <w:marLeft w:val="0"/>
      <w:marRight w:val="0"/>
      <w:marTop w:val="0"/>
      <w:marBottom w:val="0"/>
      <w:divBdr>
        <w:top w:val="none" w:sz="0" w:space="0" w:color="auto"/>
        <w:left w:val="none" w:sz="0" w:space="0" w:color="auto"/>
        <w:bottom w:val="none" w:sz="0" w:space="0" w:color="auto"/>
        <w:right w:val="none" w:sz="0" w:space="0" w:color="auto"/>
      </w:divBdr>
    </w:div>
    <w:div w:id="206702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5281/zenodo.1427062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5281/zenodo.1427058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5281/zenodo.14270559" TargetMode="External"/><Relationship Id="rId5" Type="http://schemas.openxmlformats.org/officeDocument/2006/relationships/styles" Target="styles.xml"/><Relationship Id="rId15" Type="http://schemas.openxmlformats.org/officeDocument/2006/relationships/hyperlink" Target="https://doi.org/10.5281/zenodo.14270701" TargetMode="External"/><Relationship Id="rId10" Type="http://schemas.openxmlformats.org/officeDocument/2006/relationships/hyperlink" Target="https://doi.org/10.5281/zenodo.142704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5281/zenodo.142706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BA3DFFB2F62C488CBBCFF45F61CA2E" ma:contentTypeVersion="14" ma:contentTypeDescription="Create a new document." ma:contentTypeScope="" ma:versionID="8629ab64be167c9c14cf3f9320c62f7e">
  <xsd:schema xmlns:xsd="http://www.w3.org/2001/XMLSchema" xmlns:xs="http://www.w3.org/2001/XMLSchema" xmlns:p="http://schemas.microsoft.com/office/2006/metadata/properties" xmlns:ns2="4f1c2979-a70f-4130-9463-6519028008ad" xmlns:ns3="fb253845-4484-49ba-96df-453e38f527b9" targetNamespace="http://schemas.microsoft.com/office/2006/metadata/properties" ma:root="true" ma:fieldsID="11f051bf8a2899dfcb6a8906efd47a37" ns2:_="" ns3:_="">
    <xsd:import namespace="4f1c2979-a70f-4130-9463-6519028008ad"/>
    <xsd:import namespace="fb253845-4484-49ba-96df-453e38f527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c2979-a70f-4130-9463-6519028008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04271-8bc3-432c-8d13-e1b77c89da49}" ma:internalName="TaxCatchAll" ma:showField="CatchAllData" ma:web="4f1c2979-a70f-4130-9463-6519028008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253845-4484-49ba-96df-453e38f527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253845-4484-49ba-96df-453e38f527b9">
      <Terms xmlns="http://schemas.microsoft.com/office/infopath/2007/PartnerControls"/>
    </lcf76f155ced4ddcb4097134ff3c332f>
    <TaxCatchAll xmlns="4f1c2979-a70f-4130-9463-6519028008ad"/>
  </documentManagement>
</p:properties>
</file>

<file path=customXml/itemProps1.xml><?xml version="1.0" encoding="utf-8"?>
<ds:datastoreItem xmlns:ds="http://schemas.openxmlformats.org/officeDocument/2006/customXml" ds:itemID="{D6757C04-174C-4E76-A0F3-1C2B036CB8F7}">
  <ds:schemaRefs>
    <ds:schemaRef ds:uri="http://schemas.microsoft.com/sharepoint/v3/contenttype/forms"/>
  </ds:schemaRefs>
</ds:datastoreItem>
</file>

<file path=customXml/itemProps2.xml><?xml version="1.0" encoding="utf-8"?>
<ds:datastoreItem xmlns:ds="http://schemas.openxmlformats.org/officeDocument/2006/customXml" ds:itemID="{6ED8869A-9657-4427-B3A8-168DFE482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c2979-a70f-4130-9463-6519028008ad"/>
    <ds:schemaRef ds:uri="fb253845-4484-49ba-96df-453e38f52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258E4-B322-4788-A289-3482A55FC0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Cytometry Part A</vt:lpstr>
    </vt:vector>
  </TitlesOfParts>
  <Company>John Wiley and Sons, Inc.</Company>
  <LinksUpToDate>false</LinksUpToDate>
  <CharactersWithSpaces>6056</CharactersWithSpaces>
  <SharedDoc>false</SharedDoc>
  <HLinks>
    <vt:vector size="36" baseType="variant">
      <vt:variant>
        <vt:i4>7929907</vt:i4>
      </vt:variant>
      <vt:variant>
        <vt:i4>15</vt:i4>
      </vt:variant>
      <vt:variant>
        <vt:i4>0</vt:i4>
      </vt:variant>
      <vt:variant>
        <vt:i4>5</vt:i4>
      </vt:variant>
      <vt:variant>
        <vt:lpwstr>https://doi.org/10.5281/zenodo.14270701</vt:lpwstr>
      </vt:variant>
      <vt:variant>
        <vt:lpwstr/>
      </vt:variant>
      <vt:variant>
        <vt:i4>8126514</vt:i4>
      </vt:variant>
      <vt:variant>
        <vt:i4>12</vt:i4>
      </vt:variant>
      <vt:variant>
        <vt:i4>0</vt:i4>
      </vt:variant>
      <vt:variant>
        <vt:i4>5</vt:i4>
      </vt:variant>
      <vt:variant>
        <vt:lpwstr>https://doi.org/10.5281/zenodo.14270659</vt:lpwstr>
      </vt:variant>
      <vt:variant>
        <vt:lpwstr/>
      </vt:variant>
      <vt:variant>
        <vt:i4>8060978</vt:i4>
      </vt:variant>
      <vt:variant>
        <vt:i4>9</vt:i4>
      </vt:variant>
      <vt:variant>
        <vt:i4>0</vt:i4>
      </vt:variant>
      <vt:variant>
        <vt:i4>5</vt:i4>
      </vt:variant>
      <vt:variant>
        <vt:lpwstr>https://doi.org/10.5281/zenodo.14270626</vt:lpwstr>
      </vt:variant>
      <vt:variant>
        <vt:lpwstr/>
      </vt:variant>
      <vt:variant>
        <vt:i4>7405617</vt:i4>
      </vt:variant>
      <vt:variant>
        <vt:i4>6</vt:i4>
      </vt:variant>
      <vt:variant>
        <vt:i4>0</vt:i4>
      </vt:variant>
      <vt:variant>
        <vt:i4>5</vt:i4>
      </vt:variant>
      <vt:variant>
        <vt:lpwstr>https://doi.org/10.5281/zenodo.14270583</vt:lpwstr>
      </vt:variant>
      <vt:variant>
        <vt:lpwstr/>
      </vt:variant>
      <vt:variant>
        <vt:i4>8126513</vt:i4>
      </vt:variant>
      <vt:variant>
        <vt:i4>3</vt:i4>
      </vt:variant>
      <vt:variant>
        <vt:i4>0</vt:i4>
      </vt:variant>
      <vt:variant>
        <vt:i4>5</vt:i4>
      </vt:variant>
      <vt:variant>
        <vt:lpwstr>https://doi.org/10.5281/zenodo.14270559</vt:lpwstr>
      </vt:variant>
      <vt:variant>
        <vt:lpwstr/>
      </vt:variant>
      <vt:variant>
        <vt:i4>7864368</vt:i4>
      </vt:variant>
      <vt:variant>
        <vt:i4>0</vt:i4>
      </vt:variant>
      <vt:variant>
        <vt:i4>0</vt:i4>
      </vt:variant>
      <vt:variant>
        <vt:i4>5</vt:i4>
      </vt:variant>
      <vt:variant>
        <vt:lpwstr>https://doi.org/10.5281/zenodo.14270416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Cytometry Part A</dc:title>
  <dc:subject/>
  <dc:creator>WileyService</dc:creator>
  <cp:keywords/>
  <cp:lastModifiedBy>PEDIT</cp:lastModifiedBy>
  <cp:revision>2</cp:revision>
  <dcterms:created xsi:type="dcterms:W3CDTF">2025-02-17T17:36:00Z</dcterms:created>
  <dcterms:modified xsi:type="dcterms:W3CDTF">2025-02-17T17:36:00Z</dcterms:modified>
</cp:coreProperties>
</file>