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dTable1Light"/>
        <w:tblW w:w="0" w:type="auto"/>
        <w:tblLook w:val="04A0" w:firstRow="1" w:lastRow="0" w:firstColumn="1" w:lastColumn="0" w:noHBand="0" w:noVBand="1"/>
      </w:tblPr>
      <w:tblGrid>
        <w:gridCol w:w="2403"/>
        <w:gridCol w:w="6603"/>
      </w:tblGrid>
      <w:tr w:rsidR="006E70A3" w:rsidRPr="0031049E" w14:paraId="7DF4137C" w14:textId="77777777" w:rsidTr="002843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7A7FBB1C" w14:textId="0E2D42AE" w:rsidR="006E70A3" w:rsidRPr="0031049E" w:rsidRDefault="009C176D" w:rsidP="0041544C">
            <w:pPr>
              <w:pStyle w:val="OpiniumNormal"/>
              <w:spacing w:line="360" w:lineRule="auto"/>
              <w:rPr>
                <w:rFonts w:asciiTheme="majorHAnsi" w:hAnsiTheme="majorHAnsi" w:cstheme="majorHAnsi"/>
                <w:bCs w:val="0"/>
                <w:color w:val="00B0F0" w:themeColor="accent1"/>
                <w:szCs w:val="20"/>
              </w:rPr>
            </w:pPr>
            <w:bookmarkStart w:id="0" w:name="_Hlk513189667"/>
            <w:r w:rsidRPr="0031049E">
              <w:rPr>
                <w:rFonts w:asciiTheme="majorHAnsi" w:hAnsiTheme="majorHAnsi" w:cstheme="majorHAnsi"/>
                <w:bCs w:val="0"/>
                <w:color w:val="00B0F0" w:themeColor="accent1"/>
                <w:szCs w:val="20"/>
              </w:rPr>
              <w:t>Submission Title</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113A2041" w14:textId="5A58E895" w:rsidR="0053182F" w:rsidRPr="0031049E" w:rsidRDefault="00C50364" w:rsidP="0041544C">
            <w:pPr>
              <w:pStyle w:val="OpiniumNormal"/>
              <w:spacing w:line="36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Cs w:val="20"/>
              </w:rPr>
            </w:pPr>
            <w:r w:rsidRPr="0031049E">
              <w:rPr>
                <w:rFonts w:asciiTheme="majorHAnsi" w:hAnsiTheme="majorHAnsi" w:cstheme="majorHAnsi"/>
                <w:color w:val="auto"/>
                <w:szCs w:val="20"/>
              </w:rPr>
              <w:t>Levetiracetam dosing in continuous renal replacement therapy: a systematic review and development of a novel pharmacokinetic model to optimise dosing in critically ill patients</w:t>
            </w:r>
            <w:r w:rsidR="0053182F" w:rsidRPr="0031049E">
              <w:rPr>
                <w:rFonts w:asciiTheme="majorHAnsi" w:hAnsiTheme="majorHAnsi" w:cstheme="majorHAnsi"/>
                <w:b w:val="0"/>
                <w:color w:val="auto"/>
                <w:szCs w:val="20"/>
              </w:rPr>
              <w:t>. Do recommended doses achieve therapeutic drug concentrations?</w:t>
            </w:r>
          </w:p>
        </w:tc>
      </w:tr>
      <w:tr w:rsidR="006E70A3" w:rsidRPr="0031049E" w14:paraId="0CD04F48"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179C6CE4" w14:textId="17B9848C" w:rsidR="006E70A3" w:rsidRPr="0031049E" w:rsidRDefault="00BB250B" w:rsidP="0041544C">
            <w:pPr>
              <w:pStyle w:val="OpiniumNormal"/>
              <w:spacing w:line="360" w:lineRule="auto"/>
              <w:rPr>
                <w:rFonts w:asciiTheme="majorHAnsi" w:hAnsiTheme="majorHAnsi" w:cstheme="majorHAnsi"/>
                <w:bCs w:val="0"/>
                <w:color w:val="00B0F0" w:themeColor="accent1"/>
                <w:szCs w:val="20"/>
              </w:rPr>
            </w:pPr>
            <w:r w:rsidRPr="0031049E">
              <w:rPr>
                <w:rFonts w:asciiTheme="majorHAnsi" w:hAnsiTheme="majorHAnsi" w:cstheme="majorHAnsi"/>
                <w:bCs w:val="0"/>
                <w:color w:val="00B0F0" w:themeColor="accent1"/>
                <w:szCs w:val="20"/>
              </w:rPr>
              <w:t>Lead Authors</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3539001F" w14:textId="04D358D3" w:rsidR="00931BD6" w:rsidRPr="0031049E" w:rsidRDefault="005632DE" w:rsidP="009C176D">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 xml:space="preserve">Dr </w:t>
            </w:r>
            <w:r w:rsidR="0018589C" w:rsidRPr="0031049E">
              <w:rPr>
                <w:rFonts w:asciiTheme="majorHAnsi" w:hAnsiTheme="majorHAnsi" w:cstheme="majorHAnsi"/>
                <w:color w:val="auto"/>
                <w:szCs w:val="20"/>
              </w:rPr>
              <w:t>James Sweatman</w:t>
            </w:r>
            <w:r w:rsidR="00C63BF9" w:rsidRPr="0031049E">
              <w:rPr>
                <w:rFonts w:asciiTheme="majorHAnsi" w:hAnsiTheme="majorHAnsi" w:cstheme="majorHAnsi"/>
                <w:color w:val="auto"/>
                <w:szCs w:val="20"/>
              </w:rPr>
              <w:t xml:space="preserve"> (Royal Free </w:t>
            </w:r>
            <w:r w:rsidR="00CC4670" w:rsidRPr="0031049E">
              <w:rPr>
                <w:rFonts w:asciiTheme="majorHAnsi" w:hAnsiTheme="majorHAnsi" w:cstheme="majorHAnsi"/>
                <w:color w:val="auto"/>
                <w:szCs w:val="20"/>
              </w:rPr>
              <w:t>London</w:t>
            </w:r>
            <w:r w:rsidR="00C63BF9" w:rsidRPr="0031049E">
              <w:rPr>
                <w:rFonts w:asciiTheme="majorHAnsi" w:hAnsiTheme="majorHAnsi" w:cstheme="majorHAnsi"/>
                <w:color w:val="auto"/>
                <w:szCs w:val="20"/>
              </w:rPr>
              <w:t xml:space="preserve"> NHS Foundation Trust)</w:t>
            </w:r>
          </w:p>
          <w:p w14:paraId="670A2F95" w14:textId="3FFFCD6F" w:rsidR="005C6E25" w:rsidRPr="0031049E" w:rsidRDefault="0053182F" w:rsidP="009C176D">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Ms Sarraa Al-Mahdi</w:t>
            </w:r>
            <w:r w:rsidR="00C63BF9" w:rsidRPr="0031049E">
              <w:rPr>
                <w:rFonts w:asciiTheme="majorHAnsi" w:hAnsiTheme="majorHAnsi" w:cstheme="majorHAnsi"/>
                <w:color w:val="auto"/>
                <w:szCs w:val="20"/>
              </w:rPr>
              <w:t xml:space="preserve"> (</w:t>
            </w:r>
            <w:r w:rsidR="003116F9" w:rsidRPr="0031049E">
              <w:rPr>
                <w:rFonts w:asciiTheme="majorHAnsi" w:hAnsiTheme="majorHAnsi" w:cstheme="majorHAnsi"/>
                <w:color w:val="auto"/>
                <w:szCs w:val="20"/>
              </w:rPr>
              <w:t>London North West University Healthcare NHS Trust)</w:t>
            </w:r>
          </w:p>
        </w:tc>
      </w:tr>
      <w:tr w:rsidR="00BA287B" w:rsidRPr="0031049E" w14:paraId="5D00E90D"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64F44E8E" w14:textId="60368FB4" w:rsidR="00BA287B" w:rsidRPr="0031049E" w:rsidRDefault="00BA287B" w:rsidP="0041544C">
            <w:pPr>
              <w:pStyle w:val="OpiniumNormal"/>
              <w:spacing w:line="360" w:lineRule="auto"/>
              <w:rPr>
                <w:rFonts w:asciiTheme="majorHAnsi" w:hAnsiTheme="majorHAnsi" w:cstheme="majorHAnsi"/>
                <w:bCs w:val="0"/>
                <w:color w:val="00B0F0" w:themeColor="accent1"/>
                <w:szCs w:val="20"/>
              </w:rPr>
            </w:pPr>
            <w:r w:rsidRPr="0031049E">
              <w:rPr>
                <w:rFonts w:asciiTheme="majorHAnsi" w:hAnsiTheme="majorHAnsi" w:cstheme="majorHAnsi"/>
                <w:bCs w:val="0"/>
                <w:color w:val="00B0F0" w:themeColor="accent1"/>
                <w:szCs w:val="20"/>
              </w:rPr>
              <w:t>Second Authors</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0B76860A" w14:textId="3F900DF9" w:rsidR="00BA287B" w:rsidRPr="0031049E" w:rsidRDefault="00BA287B" w:rsidP="009C176D">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Dr Dagan O Lonsdale (St. George’s University London, St. George’s University Hospitals NHS Foundation Trust)</w:t>
            </w:r>
          </w:p>
        </w:tc>
      </w:tr>
      <w:tr w:rsidR="00BB250B" w:rsidRPr="0031049E" w14:paraId="35C8E7CD"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649C5B18" w14:textId="31F3545B" w:rsidR="00BB250B" w:rsidRPr="0031049E" w:rsidRDefault="00BA287B" w:rsidP="0041544C">
            <w:pPr>
              <w:pStyle w:val="OpiniumNormal"/>
              <w:spacing w:line="360" w:lineRule="auto"/>
              <w:rPr>
                <w:rFonts w:asciiTheme="majorHAnsi" w:hAnsiTheme="majorHAnsi" w:cstheme="majorHAnsi"/>
                <w:bCs w:val="0"/>
                <w:color w:val="00B0F0" w:themeColor="accent1"/>
                <w:szCs w:val="20"/>
              </w:rPr>
            </w:pPr>
            <w:r w:rsidRPr="0031049E">
              <w:rPr>
                <w:rFonts w:asciiTheme="majorHAnsi" w:hAnsiTheme="majorHAnsi" w:cstheme="majorHAnsi"/>
                <w:bCs w:val="0"/>
                <w:color w:val="00B0F0" w:themeColor="accent1"/>
                <w:szCs w:val="20"/>
              </w:rPr>
              <w:t>Third</w:t>
            </w:r>
            <w:r w:rsidR="00BB250B" w:rsidRPr="0031049E">
              <w:rPr>
                <w:rFonts w:asciiTheme="majorHAnsi" w:hAnsiTheme="majorHAnsi" w:cstheme="majorHAnsi"/>
                <w:bCs w:val="0"/>
                <w:color w:val="00B0F0" w:themeColor="accent1"/>
                <w:szCs w:val="20"/>
              </w:rPr>
              <w:t xml:space="preserve"> Authors</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5C10D50F" w14:textId="77777777" w:rsidR="00BB250B" w:rsidRPr="0031049E" w:rsidRDefault="00BB250B" w:rsidP="00BB250B">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Dr Susannah Leaver (St. George’s University Hospitals NHS Foundation Trust)</w:t>
            </w:r>
          </w:p>
          <w:p w14:paraId="5D5F8D9F" w14:textId="0CCA96EA" w:rsidR="00BB250B" w:rsidRPr="0031049E" w:rsidRDefault="00BB250B" w:rsidP="00BB250B">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Professor Andrew Rhodes (St. George’s University Hospitals NHS Foundation Trust)</w:t>
            </w:r>
          </w:p>
        </w:tc>
      </w:tr>
      <w:tr w:rsidR="006E70A3" w:rsidRPr="0031049E" w14:paraId="6B58172C"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2E7E4311" w14:textId="6DE0E1C9" w:rsidR="006E70A3" w:rsidRPr="0031049E" w:rsidRDefault="009C176D" w:rsidP="0041544C">
            <w:pPr>
              <w:pStyle w:val="OpiniumNormal"/>
              <w:spacing w:line="360" w:lineRule="auto"/>
              <w:rPr>
                <w:rFonts w:asciiTheme="majorHAnsi" w:hAnsiTheme="majorHAnsi" w:cstheme="majorHAnsi"/>
                <w:bCs w:val="0"/>
                <w:color w:val="00B0F0" w:themeColor="accent1"/>
                <w:szCs w:val="20"/>
              </w:rPr>
            </w:pPr>
            <w:r w:rsidRPr="0031049E">
              <w:rPr>
                <w:rFonts w:asciiTheme="majorHAnsi" w:hAnsiTheme="majorHAnsi" w:cstheme="majorHAnsi"/>
                <w:bCs w:val="0"/>
                <w:color w:val="00B0F0" w:themeColor="accent1"/>
                <w:szCs w:val="20"/>
              </w:rPr>
              <w:t>Corre</w:t>
            </w:r>
            <w:r w:rsidR="000F0036" w:rsidRPr="0031049E">
              <w:rPr>
                <w:rFonts w:asciiTheme="majorHAnsi" w:hAnsiTheme="majorHAnsi" w:cstheme="majorHAnsi"/>
                <w:bCs w:val="0"/>
                <w:color w:val="00B0F0" w:themeColor="accent1"/>
                <w:szCs w:val="20"/>
              </w:rPr>
              <w:t>sponding Author</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5C1EA9C5" w14:textId="66E174B3" w:rsidR="000F0036" w:rsidRPr="0031049E" w:rsidRDefault="00C8169C" w:rsidP="000F0036">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 xml:space="preserve">Dr </w:t>
            </w:r>
            <w:r w:rsidR="00E9042D" w:rsidRPr="0031049E">
              <w:rPr>
                <w:rFonts w:asciiTheme="majorHAnsi" w:hAnsiTheme="majorHAnsi" w:cstheme="majorHAnsi"/>
                <w:color w:val="auto"/>
                <w:szCs w:val="20"/>
              </w:rPr>
              <w:t>Dagan O Lonsdale</w:t>
            </w:r>
          </w:p>
          <w:p w14:paraId="3CDFA8B6" w14:textId="7588E4DA" w:rsidR="000F0036" w:rsidRPr="0031049E" w:rsidRDefault="009F1213" w:rsidP="000F0036">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dlonsdal</w:t>
            </w:r>
            <w:r w:rsidR="00C8169C" w:rsidRPr="0031049E">
              <w:rPr>
                <w:rFonts w:asciiTheme="majorHAnsi" w:hAnsiTheme="majorHAnsi" w:cstheme="majorHAnsi"/>
                <w:color w:val="auto"/>
                <w:szCs w:val="20"/>
              </w:rPr>
              <w:t>@</w:t>
            </w:r>
            <w:r w:rsidRPr="0031049E">
              <w:rPr>
                <w:rFonts w:asciiTheme="majorHAnsi" w:hAnsiTheme="majorHAnsi" w:cstheme="majorHAnsi"/>
                <w:color w:val="auto"/>
                <w:szCs w:val="20"/>
              </w:rPr>
              <w:t>sgul.ac.uk</w:t>
            </w:r>
          </w:p>
        </w:tc>
      </w:tr>
      <w:tr w:rsidR="00D76F41" w:rsidRPr="0031049E" w14:paraId="2F649874"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0BD19193" w14:textId="77777777" w:rsidR="00D76F41" w:rsidRPr="0031049E" w:rsidRDefault="00D76F41" w:rsidP="0041544C">
            <w:pPr>
              <w:pStyle w:val="OpiniumNormal"/>
              <w:spacing w:line="360" w:lineRule="auto"/>
              <w:rPr>
                <w:rFonts w:asciiTheme="majorHAnsi" w:hAnsiTheme="majorHAnsi" w:cstheme="majorHAnsi"/>
                <w:b w:val="0"/>
                <w:bCs w:val="0"/>
                <w:color w:val="00B0F0" w:themeColor="accent1"/>
                <w:szCs w:val="20"/>
              </w:rPr>
            </w:pPr>
            <w:r w:rsidRPr="0031049E">
              <w:rPr>
                <w:rFonts w:asciiTheme="majorHAnsi" w:hAnsiTheme="majorHAnsi" w:cstheme="majorHAnsi"/>
                <w:color w:val="00B0F0" w:themeColor="accent1"/>
                <w:szCs w:val="20"/>
              </w:rPr>
              <w:t>Author Contribution</w:t>
            </w:r>
          </w:p>
          <w:p w14:paraId="08CB1D6A" w14:textId="39187018" w:rsidR="00972A56" w:rsidRPr="0031049E" w:rsidRDefault="00972A56" w:rsidP="0041544C">
            <w:pPr>
              <w:pStyle w:val="OpiniumNormal"/>
              <w:spacing w:line="360" w:lineRule="auto"/>
              <w:rPr>
                <w:rFonts w:asciiTheme="majorHAnsi" w:hAnsiTheme="majorHAnsi" w:cstheme="majorHAnsi"/>
                <w:color w:val="00B0F0" w:themeColor="accent1"/>
                <w:szCs w:val="20"/>
              </w:rPr>
            </w:pPr>
            <w:r w:rsidRPr="0031049E">
              <w:rPr>
                <w:rFonts w:asciiTheme="majorHAnsi" w:hAnsiTheme="majorHAnsi" w:cstheme="majorHAnsi"/>
                <w:color w:val="00B0F0" w:themeColor="accent1"/>
                <w:szCs w:val="20"/>
              </w:rPr>
              <w:t>Statement</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7334105C" w14:textId="59AE398D" w:rsidR="00972A56" w:rsidRPr="0031049E" w:rsidRDefault="00972A56" w:rsidP="000F0036">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J.S.</w:t>
            </w:r>
            <w:r w:rsidR="00840384" w:rsidRPr="0031049E">
              <w:rPr>
                <w:rFonts w:asciiTheme="majorHAnsi" w:hAnsiTheme="majorHAnsi" w:cstheme="majorHAnsi"/>
                <w:color w:val="auto"/>
                <w:szCs w:val="20"/>
              </w:rPr>
              <w:t xml:space="preserve"> and S.A-M. developed the protocol for the presented research. J.S., S.A-M. and D.L.</w:t>
            </w:r>
            <w:r w:rsidR="008648DE" w:rsidRPr="0031049E">
              <w:rPr>
                <w:rFonts w:asciiTheme="majorHAnsi" w:hAnsiTheme="majorHAnsi" w:cstheme="majorHAnsi"/>
                <w:color w:val="auto"/>
                <w:szCs w:val="20"/>
              </w:rPr>
              <w:t xml:space="preserve"> participated in data collection and analysis. D.L. performed the simulat</w:t>
            </w:r>
            <w:r w:rsidR="00725C91" w:rsidRPr="0031049E">
              <w:rPr>
                <w:rFonts w:asciiTheme="majorHAnsi" w:hAnsiTheme="majorHAnsi" w:cstheme="majorHAnsi"/>
                <w:color w:val="auto"/>
                <w:szCs w:val="20"/>
              </w:rPr>
              <w:t>ed modelling. S.L. and A.R. verified the analytical methods.</w:t>
            </w:r>
            <w:r w:rsidR="00BD301C" w:rsidRPr="0031049E">
              <w:rPr>
                <w:rFonts w:asciiTheme="majorHAnsi" w:hAnsiTheme="majorHAnsi" w:cstheme="majorHAnsi"/>
                <w:color w:val="auto"/>
                <w:szCs w:val="20"/>
              </w:rPr>
              <w:t xml:space="preserve"> </w:t>
            </w:r>
            <w:r w:rsidR="009D542F" w:rsidRPr="0031049E">
              <w:rPr>
                <w:rFonts w:asciiTheme="majorHAnsi" w:hAnsiTheme="majorHAnsi" w:cstheme="majorHAnsi"/>
                <w:color w:val="auto"/>
                <w:szCs w:val="20"/>
              </w:rPr>
              <w:t>All authors discussed the results and contributed to the final manuscript.</w:t>
            </w:r>
          </w:p>
        </w:tc>
      </w:tr>
      <w:tr w:rsidR="006E70A3" w:rsidRPr="0031049E" w14:paraId="21488B50"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3C50E1D8" w14:textId="694535E3" w:rsidR="006E70A3" w:rsidRPr="0031049E" w:rsidRDefault="00901590" w:rsidP="0041544C">
            <w:pPr>
              <w:pStyle w:val="OpiniumNormal"/>
              <w:spacing w:line="360" w:lineRule="auto"/>
              <w:rPr>
                <w:rFonts w:asciiTheme="majorHAnsi" w:hAnsiTheme="majorHAnsi" w:cstheme="majorHAnsi"/>
                <w:bCs w:val="0"/>
                <w:color w:val="00B0F0" w:themeColor="accent1"/>
                <w:szCs w:val="20"/>
              </w:rPr>
            </w:pPr>
            <w:r w:rsidRPr="0031049E">
              <w:rPr>
                <w:rFonts w:asciiTheme="majorHAnsi" w:hAnsiTheme="majorHAnsi" w:cstheme="majorHAnsi"/>
                <w:bCs w:val="0"/>
                <w:color w:val="00B0F0" w:themeColor="accent1"/>
                <w:szCs w:val="20"/>
              </w:rPr>
              <w:t>Keywords</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05F4F430" w14:textId="16B46D76" w:rsidR="006E70A3" w:rsidRPr="0031049E" w:rsidRDefault="00AE0991" w:rsidP="0041544C">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Levetiracetam, Keppra, continuous renal replacement therapy, renal replacement therapy, haemodialysis, haemofiltration, pharmacokinetics, PKPD, PK.</w:t>
            </w:r>
          </w:p>
        </w:tc>
      </w:tr>
      <w:tr w:rsidR="00A67DBF" w:rsidRPr="0031049E" w14:paraId="186AEE55"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7EC16B1A" w14:textId="6BF115EA" w:rsidR="00A67DBF" w:rsidRPr="0031049E" w:rsidRDefault="00A67DBF" w:rsidP="0041544C">
            <w:pPr>
              <w:pStyle w:val="OpiniumNormal"/>
              <w:spacing w:line="360" w:lineRule="auto"/>
              <w:rPr>
                <w:rFonts w:asciiTheme="majorHAnsi" w:hAnsiTheme="majorHAnsi" w:cstheme="majorHAnsi"/>
                <w:bCs w:val="0"/>
                <w:color w:val="00B0F0" w:themeColor="accent1"/>
                <w:szCs w:val="20"/>
              </w:rPr>
            </w:pPr>
            <w:r w:rsidRPr="0031049E">
              <w:rPr>
                <w:rFonts w:asciiTheme="majorHAnsi" w:hAnsiTheme="majorHAnsi" w:cstheme="majorHAnsi"/>
                <w:bCs w:val="0"/>
                <w:color w:val="00B0F0" w:themeColor="accent1"/>
                <w:szCs w:val="20"/>
              </w:rPr>
              <w:t>Word Count</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56DA1611" w14:textId="7E20D695" w:rsidR="00A67DBF" w:rsidRPr="0031049E" w:rsidRDefault="00A67DBF" w:rsidP="00A67DBF">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 xml:space="preserve">ABSTRACT   </w:t>
            </w:r>
            <w:r w:rsidR="00FE6E4A" w:rsidRPr="0031049E">
              <w:rPr>
                <w:rFonts w:asciiTheme="majorHAnsi" w:hAnsiTheme="majorHAnsi" w:cstheme="majorHAnsi"/>
                <w:color w:val="auto"/>
                <w:szCs w:val="20"/>
              </w:rPr>
              <w:t xml:space="preserve"> </w:t>
            </w:r>
            <w:r w:rsidR="00F142DB" w:rsidRPr="0031049E">
              <w:rPr>
                <w:rFonts w:asciiTheme="majorHAnsi" w:hAnsiTheme="majorHAnsi" w:cstheme="majorHAnsi"/>
                <w:color w:val="auto"/>
                <w:szCs w:val="20"/>
              </w:rPr>
              <w:t>368</w:t>
            </w:r>
            <w:r w:rsidRPr="0031049E">
              <w:rPr>
                <w:rFonts w:asciiTheme="majorHAnsi" w:hAnsiTheme="majorHAnsi" w:cstheme="majorHAnsi"/>
                <w:color w:val="auto"/>
                <w:szCs w:val="20"/>
              </w:rPr>
              <w:t xml:space="preserve"> words</w:t>
            </w:r>
          </w:p>
          <w:p w14:paraId="5D36BFDA" w14:textId="1FDF7F7C" w:rsidR="00A67DBF" w:rsidRPr="0031049E" w:rsidRDefault="00A67DBF" w:rsidP="00A67DBF">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 xml:space="preserve">MAIN TEXT  </w:t>
            </w:r>
            <w:r w:rsidR="007E3F7A" w:rsidRPr="0031049E">
              <w:rPr>
                <w:rFonts w:asciiTheme="majorHAnsi" w:hAnsiTheme="majorHAnsi" w:cstheme="majorHAnsi"/>
                <w:color w:val="auto"/>
                <w:szCs w:val="20"/>
              </w:rPr>
              <w:t>3,</w:t>
            </w:r>
            <w:r w:rsidR="00F142DB" w:rsidRPr="0031049E">
              <w:rPr>
                <w:rFonts w:asciiTheme="majorHAnsi" w:hAnsiTheme="majorHAnsi" w:cstheme="majorHAnsi"/>
                <w:color w:val="auto"/>
                <w:szCs w:val="20"/>
              </w:rPr>
              <w:t>6</w:t>
            </w:r>
            <w:r w:rsidR="000D53EE" w:rsidRPr="0031049E">
              <w:rPr>
                <w:rFonts w:asciiTheme="majorHAnsi" w:hAnsiTheme="majorHAnsi" w:cstheme="majorHAnsi"/>
                <w:color w:val="auto"/>
                <w:szCs w:val="20"/>
              </w:rPr>
              <w:t>08</w:t>
            </w:r>
            <w:r w:rsidRPr="0031049E">
              <w:rPr>
                <w:rFonts w:asciiTheme="majorHAnsi" w:hAnsiTheme="majorHAnsi" w:cstheme="majorHAnsi"/>
                <w:color w:val="auto"/>
                <w:szCs w:val="20"/>
              </w:rPr>
              <w:t xml:space="preserve"> words</w:t>
            </w:r>
          </w:p>
        </w:tc>
      </w:tr>
      <w:tr w:rsidR="00B9256B" w:rsidRPr="0031049E" w14:paraId="4CC01ABB"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1D1193F5" w14:textId="6028124C" w:rsidR="00B9256B" w:rsidRPr="0031049E" w:rsidRDefault="00B9256B" w:rsidP="0041544C">
            <w:pPr>
              <w:pStyle w:val="OpiniumNormal"/>
              <w:spacing w:line="360" w:lineRule="auto"/>
              <w:rPr>
                <w:rFonts w:asciiTheme="majorHAnsi" w:hAnsiTheme="majorHAnsi" w:cstheme="majorHAnsi"/>
                <w:color w:val="00B0F0" w:themeColor="accent1"/>
                <w:szCs w:val="20"/>
              </w:rPr>
            </w:pPr>
            <w:r w:rsidRPr="0031049E">
              <w:rPr>
                <w:rFonts w:asciiTheme="majorHAnsi" w:hAnsiTheme="majorHAnsi" w:cstheme="majorHAnsi"/>
                <w:color w:val="00B0F0" w:themeColor="accent1"/>
                <w:szCs w:val="20"/>
              </w:rPr>
              <w:t>Table Count</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4665DC45" w14:textId="3643E174" w:rsidR="00B9256B" w:rsidRPr="0031049E" w:rsidRDefault="00974BAD" w:rsidP="00A67DBF">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4</w:t>
            </w:r>
          </w:p>
        </w:tc>
      </w:tr>
      <w:tr w:rsidR="00B9256B" w:rsidRPr="0031049E" w14:paraId="540E21AD"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19195C56" w14:textId="1B7C6380" w:rsidR="00B9256B" w:rsidRPr="0031049E" w:rsidRDefault="00B9256B" w:rsidP="0041544C">
            <w:pPr>
              <w:pStyle w:val="OpiniumNormal"/>
              <w:spacing w:line="360" w:lineRule="auto"/>
              <w:rPr>
                <w:rFonts w:asciiTheme="majorHAnsi" w:hAnsiTheme="majorHAnsi" w:cstheme="majorHAnsi"/>
                <w:color w:val="00B0F0" w:themeColor="accent1"/>
                <w:szCs w:val="20"/>
              </w:rPr>
            </w:pPr>
            <w:r w:rsidRPr="0031049E">
              <w:rPr>
                <w:rFonts w:asciiTheme="majorHAnsi" w:hAnsiTheme="majorHAnsi" w:cstheme="majorHAnsi"/>
                <w:color w:val="00B0F0" w:themeColor="accent1"/>
                <w:szCs w:val="20"/>
              </w:rPr>
              <w:t>Figure Count</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7CF8136C" w14:textId="787B8901" w:rsidR="00B9256B" w:rsidRPr="0031049E" w:rsidRDefault="00974BAD" w:rsidP="00A67DBF">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5</w:t>
            </w:r>
          </w:p>
        </w:tc>
      </w:tr>
      <w:tr w:rsidR="001A392A" w:rsidRPr="0031049E" w14:paraId="1DCA4D92"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716DEAD4" w14:textId="77777777" w:rsidR="008E3925" w:rsidRPr="0031049E" w:rsidRDefault="008E3925" w:rsidP="0041544C">
            <w:pPr>
              <w:pStyle w:val="OpiniumNormal"/>
              <w:spacing w:line="360" w:lineRule="auto"/>
              <w:rPr>
                <w:rFonts w:asciiTheme="majorHAnsi" w:hAnsiTheme="majorHAnsi" w:cstheme="majorHAnsi"/>
                <w:b w:val="0"/>
                <w:bCs w:val="0"/>
                <w:color w:val="00B0F0" w:themeColor="accent1"/>
                <w:szCs w:val="20"/>
              </w:rPr>
            </w:pPr>
            <w:r w:rsidRPr="0031049E">
              <w:rPr>
                <w:rFonts w:asciiTheme="majorHAnsi" w:hAnsiTheme="majorHAnsi" w:cstheme="majorHAnsi"/>
                <w:color w:val="00B0F0" w:themeColor="accent1"/>
                <w:szCs w:val="20"/>
              </w:rPr>
              <w:t xml:space="preserve">Ethics &amp; Integrity </w:t>
            </w:r>
          </w:p>
          <w:p w14:paraId="6F8CFC30" w14:textId="5211015B" w:rsidR="001A392A" w:rsidRPr="0031049E" w:rsidRDefault="008E3925" w:rsidP="0041544C">
            <w:pPr>
              <w:pStyle w:val="OpiniumNormal"/>
              <w:spacing w:line="360" w:lineRule="auto"/>
              <w:rPr>
                <w:rFonts w:asciiTheme="majorHAnsi" w:hAnsiTheme="majorHAnsi" w:cstheme="majorHAnsi"/>
                <w:color w:val="00B0F0" w:themeColor="accent1"/>
                <w:szCs w:val="20"/>
              </w:rPr>
            </w:pPr>
            <w:r w:rsidRPr="0031049E">
              <w:rPr>
                <w:rFonts w:asciiTheme="majorHAnsi" w:hAnsiTheme="majorHAnsi" w:cstheme="majorHAnsi"/>
                <w:color w:val="00B0F0" w:themeColor="accent1"/>
                <w:szCs w:val="20"/>
              </w:rPr>
              <w:t>Statement</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0EB3AB96" w14:textId="3619CE4B" w:rsidR="00003D8C" w:rsidRPr="0031049E" w:rsidRDefault="002F75BC" w:rsidP="00A67DBF">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 xml:space="preserve">Funding was received from the St. George’s Hospital Charity and had no impact on the authors’ independence or execution of the research. The authors declare no conflicts of interest in this work. </w:t>
            </w:r>
            <w:r w:rsidR="00C908D5" w:rsidRPr="0031049E">
              <w:rPr>
                <w:rFonts w:asciiTheme="majorHAnsi" w:hAnsiTheme="majorHAnsi" w:cstheme="majorHAnsi"/>
                <w:color w:val="auto"/>
                <w:szCs w:val="20"/>
              </w:rPr>
              <w:t>No ethics or patient consent approval were required for this review article. Our protocol was registered on PROSPERO (CRD42022300754) prior to the commencement of the research.</w:t>
            </w:r>
            <w:r w:rsidR="00C560F0" w:rsidRPr="0031049E">
              <w:rPr>
                <w:rFonts w:asciiTheme="majorHAnsi" w:hAnsiTheme="majorHAnsi" w:cstheme="majorHAnsi"/>
                <w:color w:val="auto"/>
                <w:szCs w:val="20"/>
              </w:rPr>
              <w:t xml:space="preserve"> </w:t>
            </w:r>
            <w:r w:rsidR="00003D8C" w:rsidRPr="0031049E">
              <w:rPr>
                <w:rFonts w:asciiTheme="majorHAnsi" w:hAnsiTheme="majorHAnsi" w:cstheme="majorHAnsi"/>
                <w:color w:val="auto"/>
                <w:szCs w:val="20"/>
              </w:rPr>
              <w:t>No materials within this paper were reproduced from other works.</w:t>
            </w:r>
            <w:r w:rsidR="0033073F" w:rsidRPr="0031049E">
              <w:rPr>
                <w:rFonts w:asciiTheme="majorHAnsi" w:hAnsiTheme="majorHAnsi" w:cstheme="majorHAnsi"/>
                <w:color w:val="auto"/>
                <w:szCs w:val="20"/>
              </w:rPr>
              <w:t xml:space="preserve"> All figures and diagrams are original to this paper.</w:t>
            </w:r>
          </w:p>
        </w:tc>
      </w:tr>
      <w:tr w:rsidR="009D4FB1" w:rsidRPr="0031049E" w14:paraId="16F31558" w14:textId="77777777" w:rsidTr="00284393">
        <w:tc>
          <w:tcPr>
            <w:cnfStyle w:val="001000000000" w:firstRow="0" w:lastRow="0" w:firstColumn="1" w:lastColumn="0" w:oddVBand="0" w:evenVBand="0" w:oddHBand="0" w:evenHBand="0" w:firstRowFirstColumn="0" w:firstRowLastColumn="0" w:lastRowFirstColumn="0" w:lastRowLastColumn="0"/>
            <w:tcW w:w="24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7EBC3C77" w14:textId="77777777" w:rsidR="00271597" w:rsidRPr="0031049E" w:rsidRDefault="00271597" w:rsidP="0041544C">
            <w:pPr>
              <w:pStyle w:val="OpiniumNormal"/>
              <w:spacing w:line="360" w:lineRule="auto"/>
              <w:rPr>
                <w:rFonts w:asciiTheme="majorHAnsi" w:hAnsiTheme="majorHAnsi" w:cstheme="majorHAnsi"/>
                <w:b w:val="0"/>
                <w:bCs w:val="0"/>
                <w:color w:val="00B0F0" w:themeColor="accent1"/>
                <w:szCs w:val="20"/>
              </w:rPr>
            </w:pPr>
            <w:r w:rsidRPr="0031049E">
              <w:rPr>
                <w:rFonts w:asciiTheme="majorHAnsi" w:hAnsiTheme="majorHAnsi" w:cstheme="majorHAnsi"/>
                <w:color w:val="00B0F0" w:themeColor="accent1"/>
                <w:szCs w:val="20"/>
              </w:rPr>
              <w:t xml:space="preserve">Data Availability </w:t>
            </w:r>
          </w:p>
          <w:p w14:paraId="4CFBDF6E" w14:textId="5CCB4FAB" w:rsidR="009D4FB1" w:rsidRPr="0031049E" w:rsidRDefault="00271597" w:rsidP="0041544C">
            <w:pPr>
              <w:pStyle w:val="OpiniumNormal"/>
              <w:spacing w:line="360" w:lineRule="auto"/>
              <w:rPr>
                <w:rFonts w:asciiTheme="majorHAnsi" w:hAnsiTheme="majorHAnsi" w:cstheme="majorHAnsi"/>
                <w:color w:val="00B0F0" w:themeColor="accent1"/>
                <w:szCs w:val="20"/>
              </w:rPr>
            </w:pPr>
            <w:r w:rsidRPr="0031049E">
              <w:rPr>
                <w:rFonts w:asciiTheme="majorHAnsi" w:hAnsiTheme="majorHAnsi" w:cstheme="majorHAnsi"/>
                <w:color w:val="00B0F0" w:themeColor="accent1"/>
                <w:szCs w:val="20"/>
              </w:rPr>
              <w:t>Statement</w:t>
            </w:r>
          </w:p>
        </w:tc>
        <w:tc>
          <w:tcPr>
            <w:tcW w:w="6603" w:type="dxa"/>
            <w:tcBorders>
              <w:top w:val="single" w:sz="8" w:space="0" w:color="595959" w:themeColor="text1"/>
              <w:left w:val="single" w:sz="8" w:space="0" w:color="595959" w:themeColor="text1"/>
              <w:bottom w:val="single" w:sz="8" w:space="0" w:color="595959" w:themeColor="text1"/>
              <w:right w:val="single" w:sz="8" w:space="0" w:color="595959" w:themeColor="text1"/>
            </w:tcBorders>
          </w:tcPr>
          <w:p w14:paraId="75B76037" w14:textId="6C24EB45" w:rsidR="009D4FB1" w:rsidRPr="0031049E" w:rsidRDefault="009D4FB1" w:rsidP="00A67DBF">
            <w:pPr>
              <w:pStyle w:val="OpiniumNormal"/>
              <w:spacing w:line="36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auto"/>
                <w:szCs w:val="20"/>
              </w:rPr>
            </w:pPr>
            <w:r w:rsidRPr="0031049E">
              <w:rPr>
                <w:rFonts w:asciiTheme="majorHAnsi" w:hAnsiTheme="majorHAnsi" w:cstheme="majorHAnsi"/>
                <w:color w:val="auto"/>
                <w:szCs w:val="20"/>
              </w:rPr>
              <w:t>The data that support the findings of this study are available from the corresponding author upon reasonable request.</w:t>
            </w:r>
          </w:p>
        </w:tc>
      </w:tr>
    </w:tbl>
    <w:p w14:paraId="70941858" w14:textId="77777777" w:rsidR="002F75BC" w:rsidRPr="0031049E" w:rsidRDefault="002F75BC" w:rsidP="0041544C">
      <w:pPr>
        <w:pStyle w:val="OpiniumNormal"/>
        <w:spacing w:line="360" w:lineRule="auto"/>
        <w:rPr>
          <w:rFonts w:asciiTheme="majorHAnsi" w:hAnsiTheme="majorHAnsi" w:cstheme="majorHAnsi"/>
          <w:color w:val="424242" w:themeColor="text1" w:themeShade="BF"/>
          <w:szCs w:val="20"/>
        </w:rPr>
      </w:pPr>
    </w:p>
    <w:p w14:paraId="44E32165" w14:textId="66C2BA6B" w:rsidR="00B92902" w:rsidRPr="0031049E" w:rsidRDefault="00A5439F" w:rsidP="003E1AE4">
      <w:pPr>
        <w:pStyle w:val="Heading1"/>
        <w:rPr>
          <w:rFonts w:asciiTheme="majorHAnsi" w:hAnsiTheme="majorHAnsi" w:cstheme="majorHAnsi"/>
          <w:b/>
          <w:bCs/>
          <w:color w:val="00B0F0" w:themeColor="accent1"/>
          <w:sz w:val="20"/>
          <w:szCs w:val="20"/>
        </w:rPr>
      </w:pPr>
      <w:r w:rsidRPr="0031049E">
        <w:rPr>
          <w:rFonts w:asciiTheme="majorHAnsi" w:hAnsiTheme="majorHAnsi" w:cstheme="majorHAnsi"/>
          <w:sz w:val="20"/>
          <w:szCs w:val="20"/>
        </w:rPr>
        <w:br w:type="column"/>
      </w:r>
      <w:r w:rsidR="0008191C" w:rsidRPr="0031049E">
        <w:rPr>
          <w:rFonts w:asciiTheme="majorHAnsi" w:hAnsiTheme="majorHAnsi" w:cstheme="majorHAnsi"/>
          <w:b/>
          <w:bCs/>
          <w:sz w:val="20"/>
          <w:szCs w:val="20"/>
        </w:rPr>
        <w:lastRenderedPageBreak/>
        <w:t>ABSTRACT</w:t>
      </w:r>
    </w:p>
    <w:p w14:paraId="4ADC194D" w14:textId="7517C253" w:rsidR="00B37204" w:rsidRPr="0031049E" w:rsidRDefault="006271E8" w:rsidP="00B37204">
      <w:pPr>
        <w:pStyle w:val="OpiniumNormal"/>
        <w:spacing w:after="0" w:line="360" w:lineRule="auto"/>
        <w:rPr>
          <w:rFonts w:asciiTheme="majorHAnsi" w:hAnsiTheme="majorHAnsi" w:cstheme="majorHAnsi"/>
          <w:b/>
          <w:bCs/>
          <w:color w:val="auto"/>
          <w:szCs w:val="20"/>
        </w:rPr>
      </w:pPr>
      <w:r w:rsidRPr="0031049E">
        <w:rPr>
          <w:rFonts w:asciiTheme="majorHAnsi" w:hAnsiTheme="majorHAnsi" w:cstheme="majorHAnsi"/>
          <w:b/>
          <w:bCs/>
          <w:color w:val="auto"/>
          <w:szCs w:val="20"/>
        </w:rPr>
        <w:t>AIM</w:t>
      </w:r>
    </w:p>
    <w:p w14:paraId="62473696" w14:textId="53053E07" w:rsidR="00EC1699" w:rsidRPr="0031049E" w:rsidRDefault="00E83367" w:rsidP="00B92902">
      <w:pPr>
        <w:pStyle w:val="OpiniumNormal"/>
        <w:spacing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Levetiracetam is a widely used anti-epileptic </w:t>
      </w:r>
      <w:r w:rsidR="00C4758B" w:rsidRPr="0031049E">
        <w:rPr>
          <w:rFonts w:asciiTheme="majorHAnsi" w:hAnsiTheme="majorHAnsi" w:cstheme="majorHAnsi"/>
          <w:color w:val="auto"/>
          <w:szCs w:val="20"/>
        </w:rPr>
        <w:t>in the critical care setting that is almost exclusively (&gt;90%) renally excreted.</w:t>
      </w:r>
      <w:r w:rsidR="00147238" w:rsidRPr="0031049E">
        <w:rPr>
          <w:rFonts w:asciiTheme="majorHAnsi" w:hAnsiTheme="majorHAnsi" w:cstheme="majorHAnsi"/>
          <w:color w:val="auto"/>
          <w:szCs w:val="20"/>
        </w:rPr>
        <w:t xml:space="preserve"> </w:t>
      </w:r>
      <w:r w:rsidR="00410E64" w:rsidRPr="0031049E">
        <w:rPr>
          <w:rFonts w:asciiTheme="majorHAnsi" w:hAnsiTheme="majorHAnsi" w:cstheme="majorHAnsi"/>
          <w:color w:val="auto"/>
          <w:szCs w:val="20"/>
        </w:rPr>
        <w:t xml:space="preserve">The altered pharmacokinetics of levetiracetam have been widely studied in intermittent haemodialysis but the evidence and guidance on dosage in continuous renal replacement therapy </w:t>
      </w:r>
      <w:r w:rsidR="00B43AF5" w:rsidRPr="0031049E">
        <w:rPr>
          <w:rFonts w:asciiTheme="majorHAnsi" w:hAnsiTheme="majorHAnsi" w:cstheme="majorHAnsi"/>
          <w:color w:val="auto"/>
          <w:szCs w:val="20"/>
        </w:rPr>
        <w:t xml:space="preserve">is </w:t>
      </w:r>
      <w:r w:rsidR="00A71240" w:rsidRPr="0031049E">
        <w:rPr>
          <w:rFonts w:asciiTheme="majorHAnsi" w:hAnsiTheme="majorHAnsi" w:cstheme="majorHAnsi"/>
          <w:color w:val="auto"/>
          <w:szCs w:val="20"/>
        </w:rPr>
        <w:t>varied and poorly defined</w:t>
      </w:r>
      <w:r w:rsidR="00A60341" w:rsidRPr="0031049E">
        <w:rPr>
          <w:rFonts w:asciiTheme="majorHAnsi" w:hAnsiTheme="majorHAnsi" w:cstheme="majorHAnsi"/>
          <w:color w:val="auto"/>
          <w:szCs w:val="20"/>
        </w:rPr>
        <w:t xml:space="preserve">. Understanding this is critical as a </w:t>
      </w:r>
      <w:r w:rsidR="00147238" w:rsidRPr="0031049E">
        <w:rPr>
          <w:rFonts w:asciiTheme="majorHAnsi" w:hAnsiTheme="majorHAnsi" w:cstheme="majorHAnsi"/>
          <w:color w:val="auto"/>
          <w:szCs w:val="20"/>
        </w:rPr>
        <w:t xml:space="preserve">significant number of critically unwell patients develop renal failure requiring </w:t>
      </w:r>
      <w:r w:rsidR="00C50364" w:rsidRPr="0031049E">
        <w:rPr>
          <w:rFonts w:asciiTheme="majorHAnsi" w:hAnsiTheme="majorHAnsi" w:cstheme="majorHAnsi"/>
          <w:color w:val="auto"/>
          <w:szCs w:val="20"/>
        </w:rPr>
        <w:t>continuous renal replacement therapy</w:t>
      </w:r>
      <w:r w:rsidR="005F176D" w:rsidRPr="0031049E">
        <w:rPr>
          <w:rFonts w:asciiTheme="majorHAnsi" w:hAnsiTheme="majorHAnsi" w:cstheme="majorHAnsi"/>
          <w:color w:val="auto"/>
          <w:szCs w:val="20"/>
        </w:rPr>
        <w:t xml:space="preserve">. </w:t>
      </w:r>
      <w:r w:rsidR="00C50364" w:rsidRPr="0031049E">
        <w:rPr>
          <w:rFonts w:asciiTheme="majorHAnsi" w:hAnsiTheme="majorHAnsi" w:cstheme="majorHAnsi"/>
          <w:color w:val="auto"/>
          <w:szCs w:val="20"/>
        </w:rPr>
        <w:t>The aim of this systematic review is to investigate</w:t>
      </w:r>
      <w:r w:rsidR="00F005CC" w:rsidRPr="0031049E">
        <w:rPr>
          <w:rFonts w:asciiTheme="majorHAnsi" w:hAnsiTheme="majorHAnsi" w:cstheme="majorHAnsi"/>
          <w:color w:val="auto"/>
          <w:szCs w:val="20"/>
        </w:rPr>
        <w:t xml:space="preserve"> the pharmacokinetics of levetiracetam </w:t>
      </w:r>
      <w:r w:rsidR="005E2D44" w:rsidRPr="0031049E">
        <w:rPr>
          <w:rFonts w:asciiTheme="majorHAnsi" w:hAnsiTheme="majorHAnsi" w:cstheme="majorHAnsi"/>
          <w:color w:val="auto"/>
          <w:szCs w:val="20"/>
        </w:rPr>
        <w:t xml:space="preserve">in </w:t>
      </w:r>
      <w:r w:rsidR="0093368E" w:rsidRPr="0031049E">
        <w:rPr>
          <w:rFonts w:asciiTheme="majorHAnsi" w:hAnsiTheme="majorHAnsi" w:cstheme="majorHAnsi"/>
          <w:color w:val="auto"/>
          <w:szCs w:val="20"/>
        </w:rPr>
        <w:t>such</w:t>
      </w:r>
      <w:r w:rsidR="005E2D44" w:rsidRPr="0031049E">
        <w:rPr>
          <w:rFonts w:asciiTheme="majorHAnsi" w:hAnsiTheme="majorHAnsi" w:cstheme="majorHAnsi"/>
          <w:color w:val="auto"/>
          <w:szCs w:val="20"/>
        </w:rPr>
        <w:t xml:space="preserve"> patients </w:t>
      </w:r>
      <w:r w:rsidR="00DC5C6C" w:rsidRPr="0031049E">
        <w:rPr>
          <w:rFonts w:asciiTheme="majorHAnsi" w:hAnsiTheme="majorHAnsi" w:cstheme="majorHAnsi"/>
          <w:color w:val="auto"/>
          <w:szCs w:val="20"/>
        </w:rPr>
        <w:t xml:space="preserve">and </w:t>
      </w:r>
      <w:r w:rsidR="00C50364" w:rsidRPr="0031049E">
        <w:rPr>
          <w:rFonts w:asciiTheme="majorHAnsi" w:hAnsiTheme="majorHAnsi" w:cstheme="majorHAnsi"/>
          <w:color w:val="auto"/>
          <w:szCs w:val="20"/>
        </w:rPr>
        <w:t xml:space="preserve">to understand the </w:t>
      </w:r>
      <w:r w:rsidR="00DC5C6C" w:rsidRPr="0031049E">
        <w:rPr>
          <w:rFonts w:asciiTheme="majorHAnsi" w:hAnsiTheme="majorHAnsi" w:cstheme="majorHAnsi"/>
          <w:color w:val="auto"/>
          <w:szCs w:val="20"/>
        </w:rPr>
        <w:t>implications on dosing</w:t>
      </w:r>
      <w:r w:rsidR="0093368E" w:rsidRPr="0031049E">
        <w:rPr>
          <w:rFonts w:asciiTheme="majorHAnsi" w:hAnsiTheme="majorHAnsi" w:cstheme="majorHAnsi"/>
          <w:color w:val="auto"/>
          <w:szCs w:val="20"/>
        </w:rPr>
        <w:t xml:space="preserve"> strateg</w:t>
      </w:r>
      <w:r w:rsidR="00011725" w:rsidRPr="0031049E">
        <w:rPr>
          <w:rFonts w:asciiTheme="majorHAnsi" w:hAnsiTheme="majorHAnsi" w:cstheme="majorHAnsi"/>
          <w:color w:val="auto"/>
          <w:szCs w:val="20"/>
        </w:rPr>
        <w:t>ies</w:t>
      </w:r>
      <w:r w:rsidR="0093368E" w:rsidRPr="0031049E">
        <w:rPr>
          <w:rFonts w:asciiTheme="majorHAnsi" w:hAnsiTheme="majorHAnsi" w:cstheme="majorHAnsi"/>
          <w:color w:val="auto"/>
          <w:szCs w:val="20"/>
        </w:rPr>
        <w:t>.</w:t>
      </w:r>
    </w:p>
    <w:p w14:paraId="3AA57F85" w14:textId="279A9507" w:rsidR="000834AE" w:rsidRPr="0031049E" w:rsidRDefault="000834AE" w:rsidP="000834AE">
      <w:pPr>
        <w:pStyle w:val="OpiniumNormal"/>
        <w:spacing w:after="0" w:line="360" w:lineRule="auto"/>
        <w:rPr>
          <w:rFonts w:asciiTheme="majorHAnsi" w:hAnsiTheme="majorHAnsi" w:cstheme="majorHAnsi"/>
          <w:b/>
          <w:bCs/>
          <w:color w:val="auto"/>
          <w:szCs w:val="20"/>
        </w:rPr>
      </w:pPr>
      <w:r w:rsidRPr="0031049E">
        <w:rPr>
          <w:rFonts w:asciiTheme="majorHAnsi" w:hAnsiTheme="majorHAnsi" w:cstheme="majorHAnsi"/>
          <w:b/>
          <w:bCs/>
          <w:color w:val="auto"/>
          <w:szCs w:val="20"/>
        </w:rPr>
        <w:t>METHODS</w:t>
      </w:r>
    </w:p>
    <w:p w14:paraId="36A37EC3" w14:textId="67DF16E5" w:rsidR="00DC5C6C" w:rsidRPr="0031049E" w:rsidRDefault="007F350F" w:rsidP="00D70BB1">
      <w:pPr>
        <w:pStyle w:val="OpiniumNormal"/>
        <w:spacing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A systematic review </w:t>
      </w:r>
      <w:r w:rsidR="00546C68" w:rsidRPr="0031049E">
        <w:rPr>
          <w:rFonts w:asciiTheme="majorHAnsi" w:hAnsiTheme="majorHAnsi" w:cstheme="majorHAnsi"/>
          <w:color w:val="auto"/>
          <w:szCs w:val="20"/>
        </w:rPr>
        <w:t xml:space="preserve">of the available literature from 2000 was conducted. </w:t>
      </w:r>
      <w:r w:rsidR="00F7638F" w:rsidRPr="0031049E">
        <w:rPr>
          <w:rFonts w:asciiTheme="majorHAnsi" w:hAnsiTheme="majorHAnsi" w:cstheme="majorHAnsi"/>
          <w:color w:val="auto"/>
          <w:szCs w:val="20"/>
        </w:rPr>
        <w:t xml:space="preserve">Seven </w:t>
      </w:r>
      <w:r w:rsidR="002F1E98" w:rsidRPr="0031049E">
        <w:rPr>
          <w:rFonts w:asciiTheme="majorHAnsi" w:hAnsiTheme="majorHAnsi" w:cstheme="majorHAnsi"/>
          <w:color w:val="auto"/>
          <w:szCs w:val="20"/>
        </w:rPr>
        <w:t xml:space="preserve">articles were identified for inclusion from </w:t>
      </w:r>
      <w:r w:rsidR="00FA6AB8" w:rsidRPr="0031049E">
        <w:rPr>
          <w:rFonts w:asciiTheme="majorHAnsi" w:hAnsiTheme="majorHAnsi" w:cstheme="majorHAnsi"/>
          <w:color w:val="auto"/>
          <w:szCs w:val="20"/>
        </w:rPr>
        <w:t>54 records.</w:t>
      </w:r>
      <w:r w:rsidR="005778A2" w:rsidRPr="0031049E">
        <w:rPr>
          <w:rFonts w:asciiTheme="majorHAnsi" w:hAnsiTheme="majorHAnsi" w:cstheme="majorHAnsi"/>
          <w:color w:val="auto"/>
          <w:szCs w:val="20"/>
        </w:rPr>
        <w:t xml:space="preserve"> </w:t>
      </w:r>
      <w:r w:rsidR="00A56A0F" w:rsidRPr="0031049E">
        <w:rPr>
          <w:rFonts w:asciiTheme="majorHAnsi" w:hAnsiTheme="majorHAnsi" w:cstheme="majorHAnsi"/>
          <w:color w:val="auto"/>
          <w:szCs w:val="20"/>
        </w:rPr>
        <w:t xml:space="preserve">A novel hybrid model was </w:t>
      </w:r>
      <w:r w:rsidR="00DC2FB1" w:rsidRPr="0031049E">
        <w:rPr>
          <w:rFonts w:asciiTheme="majorHAnsi" w:hAnsiTheme="majorHAnsi" w:cstheme="majorHAnsi"/>
          <w:color w:val="auto"/>
          <w:szCs w:val="20"/>
        </w:rPr>
        <w:t xml:space="preserve">developed </w:t>
      </w:r>
      <w:r w:rsidR="00A56A0F" w:rsidRPr="0031049E">
        <w:rPr>
          <w:rFonts w:asciiTheme="majorHAnsi" w:hAnsiTheme="majorHAnsi" w:cstheme="majorHAnsi"/>
          <w:color w:val="auto"/>
          <w:szCs w:val="20"/>
        </w:rPr>
        <w:t xml:space="preserve">to </w:t>
      </w:r>
      <w:r w:rsidR="006C4C27" w:rsidRPr="0031049E">
        <w:rPr>
          <w:rFonts w:asciiTheme="majorHAnsi" w:hAnsiTheme="majorHAnsi" w:cstheme="majorHAnsi"/>
          <w:color w:val="auto"/>
          <w:szCs w:val="20"/>
        </w:rPr>
        <w:t>evaluate</w:t>
      </w:r>
      <w:r w:rsidR="00A56A0F" w:rsidRPr="0031049E">
        <w:rPr>
          <w:rFonts w:asciiTheme="majorHAnsi" w:hAnsiTheme="majorHAnsi" w:cstheme="majorHAnsi"/>
          <w:color w:val="auto"/>
          <w:szCs w:val="20"/>
        </w:rPr>
        <w:t xml:space="preserve"> the </w:t>
      </w:r>
      <w:r w:rsidR="006C4C27" w:rsidRPr="0031049E">
        <w:rPr>
          <w:rFonts w:asciiTheme="majorHAnsi" w:hAnsiTheme="majorHAnsi" w:cstheme="majorHAnsi"/>
          <w:color w:val="auto"/>
          <w:szCs w:val="20"/>
        </w:rPr>
        <w:t>quality</w:t>
      </w:r>
      <w:r w:rsidR="00A56A0F" w:rsidRPr="0031049E">
        <w:rPr>
          <w:rFonts w:asciiTheme="majorHAnsi" w:hAnsiTheme="majorHAnsi" w:cstheme="majorHAnsi"/>
          <w:color w:val="auto"/>
          <w:szCs w:val="20"/>
        </w:rPr>
        <w:t xml:space="preserve"> of pharmacokinetic and haemofiltration data.</w:t>
      </w:r>
      <w:r w:rsidR="00C33974" w:rsidRPr="0031049E">
        <w:rPr>
          <w:rFonts w:asciiTheme="majorHAnsi" w:hAnsiTheme="majorHAnsi" w:cstheme="majorHAnsi"/>
          <w:color w:val="auto"/>
          <w:szCs w:val="20"/>
        </w:rPr>
        <w:t xml:space="preserve"> </w:t>
      </w:r>
      <w:r w:rsidR="001C77AC" w:rsidRPr="0031049E">
        <w:rPr>
          <w:rFonts w:asciiTheme="majorHAnsi" w:hAnsiTheme="majorHAnsi" w:cstheme="majorHAnsi"/>
          <w:color w:val="auto"/>
          <w:szCs w:val="20"/>
        </w:rPr>
        <w:t xml:space="preserve">This data was used to develop a one-compartment model that simulated dosing strategies in 10,000 patients </w:t>
      </w:r>
      <w:r w:rsidR="005E2567" w:rsidRPr="0031049E">
        <w:rPr>
          <w:rFonts w:asciiTheme="majorHAnsi" w:hAnsiTheme="majorHAnsi" w:cstheme="majorHAnsi"/>
          <w:color w:val="auto"/>
          <w:szCs w:val="20"/>
        </w:rPr>
        <w:t>based on</w:t>
      </w:r>
      <w:r w:rsidR="00194863" w:rsidRPr="0031049E">
        <w:rPr>
          <w:rFonts w:asciiTheme="majorHAnsi" w:hAnsiTheme="majorHAnsi" w:cstheme="majorHAnsi"/>
          <w:color w:val="auto"/>
          <w:szCs w:val="20"/>
        </w:rPr>
        <w:t xml:space="preserve"> </w:t>
      </w:r>
      <w:r w:rsidR="00B10656" w:rsidRPr="0031049E">
        <w:rPr>
          <w:rFonts w:asciiTheme="majorHAnsi" w:hAnsiTheme="majorHAnsi" w:cstheme="majorHAnsi"/>
          <w:color w:val="auto"/>
          <w:szCs w:val="20"/>
        </w:rPr>
        <w:t>an assumed steady state of 72 hours</w:t>
      </w:r>
      <w:r w:rsidR="005E2567" w:rsidRPr="0031049E">
        <w:rPr>
          <w:rFonts w:asciiTheme="majorHAnsi" w:hAnsiTheme="majorHAnsi" w:cstheme="majorHAnsi"/>
          <w:color w:val="auto"/>
          <w:szCs w:val="20"/>
        </w:rPr>
        <w:t xml:space="preserve"> and target trough concentrations of 12 – 46 mcg/mL.</w:t>
      </w:r>
    </w:p>
    <w:p w14:paraId="24EFCDB2" w14:textId="59C525D1" w:rsidR="00FD35FD" w:rsidRPr="0031049E" w:rsidRDefault="00FD35FD" w:rsidP="00FD35FD">
      <w:pPr>
        <w:pStyle w:val="OpiniumNormal"/>
        <w:spacing w:after="0" w:line="360" w:lineRule="auto"/>
        <w:rPr>
          <w:rFonts w:asciiTheme="majorHAnsi" w:hAnsiTheme="majorHAnsi" w:cstheme="majorHAnsi"/>
          <w:b/>
          <w:bCs/>
          <w:color w:val="auto"/>
          <w:szCs w:val="20"/>
        </w:rPr>
      </w:pPr>
      <w:r w:rsidRPr="0031049E">
        <w:rPr>
          <w:rFonts w:asciiTheme="majorHAnsi" w:hAnsiTheme="majorHAnsi" w:cstheme="majorHAnsi"/>
          <w:b/>
          <w:bCs/>
          <w:color w:val="auto"/>
          <w:szCs w:val="20"/>
        </w:rPr>
        <w:t>RESULTS</w:t>
      </w:r>
    </w:p>
    <w:p w14:paraId="192EC4D4" w14:textId="23D7F803" w:rsidR="001C3607" w:rsidRPr="0031049E" w:rsidRDefault="00DC2FB1" w:rsidP="00FD35FD">
      <w:pPr>
        <w:pStyle w:val="OpiniumNormal"/>
        <w:spacing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From the </w:t>
      </w:r>
      <w:r w:rsidR="00D7430F" w:rsidRPr="0031049E">
        <w:rPr>
          <w:rFonts w:asciiTheme="majorHAnsi" w:hAnsiTheme="majorHAnsi" w:cstheme="majorHAnsi"/>
          <w:color w:val="auto"/>
          <w:szCs w:val="20"/>
        </w:rPr>
        <w:t>seven</w:t>
      </w:r>
      <w:r w:rsidRPr="0031049E">
        <w:rPr>
          <w:rFonts w:asciiTheme="majorHAnsi" w:hAnsiTheme="majorHAnsi" w:cstheme="majorHAnsi"/>
          <w:color w:val="auto"/>
          <w:szCs w:val="20"/>
        </w:rPr>
        <w:t xml:space="preserve"> articles included, pharmacokinetic data was retrieved for 24 individual patient</w:t>
      </w:r>
      <w:r w:rsidR="00D7430F" w:rsidRPr="0031049E">
        <w:rPr>
          <w:rFonts w:asciiTheme="majorHAnsi" w:hAnsiTheme="majorHAnsi" w:cstheme="majorHAnsi"/>
          <w:color w:val="auto"/>
          <w:szCs w:val="20"/>
        </w:rPr>
        <w:t>s</w:t>
      </w:r>
      <w:r w:rsidRPr="0031049E">
        <w:rPr>
          <w:rFonts w:asciiTheme="majorHAnsi" w:hAnsiTheme="majorHAnsi" w:cstheme="majorHAnsi"/>
          <w:color w:val="auto"/>
          <w:szCs w:val="20"/>
        </w:rPr>
        <w:t xml:space="preserve">. </w:t>
      </w:r>
      <w:r w:rsidR="00B63470" w:rsidRPr="0031049E">
        <w:rPr>
          <w:rFonts w:asciiTheme="majorHAnsi" w:hAnsiTheme="majorHAnsi" w:cstheme="majorHAnsi"/>
          <w:color w:val="auto"/>
          <w:szCs w:val="20"/>
        </w:rPr>
        <w:t>Total clearance was 3.49 – 4.63</w:t>
      </w:r>
      <w:r w:rsidRPr="0031049E">
        <w:rPr>
          <w:rFonts w:asciiTheme="majorHAnsi" w:hAnsiTheme="majorHAnsi" w:cstheme="majorHAnsi"/>
          <w:color w:val="auto"/>
          <w:szCs w:val="20"/>
        </w:rPr>
        <w:t xml:space="preserve"> </w:t>
      </w:r>
      <w:r w:rsidR="00B63470" w:rsidRPr="0031049E">
        <w:rPr>
          <w:rFonts w:asciiTheme="majorHAnsi" w:hAnsiTheme="majorHAnsi" w:cstheme="majorHAnsi"/>
          <w:color w:val="auto"/>
          <w:szCs w:val="20"/>
        </w:rPr>
        <w:t>L/hr (</w:t>
      </w:r>
      <w:r w:rsidR="00602616" w:rsidRPr="0031049E">
        <w:rPr>
          <w:rFonts w:asciiTheme="majorHAnsi" w:hAnsiTheme="majorHAnsi" w:cstheme="majorHAnsi"/>
          <w:color w:val="auto"/>
          <w:szCs w:val="20"/>
        </w:rPr>
        <w:t>m</w:t>
      </w:r>
      <w:r w:rsidR="00B63470" w:rsidRPr="0031049E">
        <w:rPr>
          <w:rFonts w:asciiTheme="majorHAnsi" w:hAnsiTheme="majorHAnsi" w:cstheme="majorHAnsi"/>
          <w:color w:val="auto"/>
          <w:szCs w:val="20"/>
        </w:rPr>
        <w:t>ean 3.55, S.D. 0.52).</w:t>
      </w:r>
      <w:r w:rsidR="001A02C0" w:rsidRPr="0031049E">
        <w:rPr>
          <w:rFonts w:asciiTheme="majorHAnsi" w:hAnsiTheme="majorHAnsi" w:cstheme="majorHAnsi"/>
          <w:color w:val="auto"/>
          <w:szCs w:val="20"/>
        </w:rPr>
        <w:t xml:space="preserve"> Elimination half-life was 5.66 – 12.88 hours (</w:t>
      </w:r>
      <w:r w:rsidR="00AA6CB4" w:rsidRPr="0031049E">
        <w:rPr>
          <w:rFonts w:asciiTheme="majorHAnsi" w:hAnsiTheme="majorHAnsi" w:cstheme="majorHAnsi"/>
          <w:color w:val="auto"/>
          <w:szCs w:val="20"/>
        </w:rPr>
        <w:t xml:space="preserve">mean 9.41, </w:t>
      </w:r>
      <w:r w:rsidR="001A02C0" w:rsidRPr="0031049E">
        <w:rPr>
          <w:rFonts w:asciiTheme="majorHAnsi" w:hAnsiTheme="majorHAnsi" w:cstheme="majorHAnsi"/>
          <w:color w:val="auto"/>
          <w:szCs w:val="20"/>
        </w:rPr>
        <w:t>S.D. 2.86).</w:t>
      </w:r>
      <w:r w:rsidR="002C756A" w:rsidRPr="0031049E">
        <w:rPr>
          <w:rFonts w:asciiTheme="majorHAnsi" w:hAnsiTheme="majorHAnsi" w:cstheme="majorHAnsi"/>
          <w:color w:val="auto"/>
          <w:szCs w:val="20"/>
        </w:rPr>
        <w:t xml:space="preserve"> Volume of distribution </w:t>
      </w:r>
      <w:r w:rsidR="00C634D4" w:rsidRPr="0031049E">
        <w:rPr>
          <w:rFonts w:asciiTheme="majorHAnsi" w:hAnsiTheme="majorHAnsi" w:cstheme="majorHAnsi"/>
          <w:color w:val="auto"/>
          <w:szCs w:val="20"/>
        </w:rPr>
        <w:t xml:space="preserve">was </w:t>
      </w:r>
      <w:r w:rsidR="002C756A" w:rsidRPr="0031049E">
        <w:rPr>
          <w:rFonts w:asciiTheme="majorHAnsi" w:hAnsiTheme="majorHAnsi" w:cstheme="majorHAnsi"/>
          <w:color w:val="auto"/>
          <w:szCs w:val="20"/>
        </w:rPr>
        <w:t xml:space="preserve">0.45 – 0.73 L/kg. </w:t>
      </w:r>
      <w:r w:rsidR="00170309" w:rsidRPr="0031049E">
        <w:rPr>
          <w:rFonts w:asciiTheme="majorHAnsi" w:hAnsiTheme="majorHAnsi" w:cstheme="majorHAnsi"/>
          <w:color w:val="auto"/>
          <w:szCs w:val="20"/>
        </w:rPr>
        <w:t xml:space="preserve">The proportion of total clearance </w:t>
      </w:r>
      <w:r w:rsidR="00A061C2" w:rsidRPr="0031049E">
        <w:rPr>
          <w:rFonts w:asciiTheme="majorHAnsi" w:hAnsiTheme="majorHAnsi" w:cstheme="majorHAnsi"/>
          <w:color w:val="auto"/>
          <w:szCs w:val="20"/>
        </w:rPr>
        <w:t>attributable to continuous renal replacement therapy</w:t>
      </w:r>
      <w:r w:rsidR="002C756A" w:rsidRPr="0031049E">
        <w:rPr>
          <w:rFonts w:asciiTheme="majorHAnsi" w:hAnsiTheme="majorHAnsi" w:cstheme="majorHAnsi"/>
          <w:color w:val="auto"/>
          <w:szCs w:val="20"/>
        </w:rPr>
        <w:t xml:space="preserve"> </w:t>
      </w:r>
      <w:r w:rsidR="0005642E" w:rsidRPr="0031049E">
        <w:rPr>
          <w:rFonts w:asciiTheme="majorHAnsi" w:hAnsiTheme="majorHAnsi" w:cstheme="majorHAnsi"/>
          <w:color w:val="auto"/>
          <w:szCs w:val="20"/>
        </w:rPr>
        <w:t xml:space="preserve">was </w:t>
      </w:r>
      <w:r w:rsidR="002C756A" w:rsidRPr="0031049E">
        <w:rPr>
          <w:rFonts w:asciiTheme="majorHAnsi" w:hAnsiTheme="majorHAnsi" w:cstheme="majorHAnsi"/>
          <w:color w:val="auto"/>
          <w:szCs w:val="20"/>
        </w:rPr>
        <w:t>52 – 73% (</w:t>
      </w:r>
      <w:r w:rsidR="006353C5" w:rsidRPr="0031049E">
        <w:rPr>
          <w:rFonts w:asciiTheme="majorHAnsi" w:hAnsiTheme="majorHAnsi" w:cstheme="majorHAnsi"/>
          <w:color w:val="auto"/>
          <w:szCs w:val="20"/>
        </w:rPr>
        <w:t>m</w:t>
      </w:r>
      <w:r w:rsidR="002C756A" w:rsidRPr="0031049E">
        <w:rPr>
          <w:rFonts w:asciiTheme="majorHAnsi" w:hAnsiTheme="majorHAnsi" w:cstheme="majorHAnsi"/>
          <w:color w:val="auto"/>
          <w:szCs w:val="20"/>
        </w:rPr>
        <w:t>ean 54.7%, S.D. 13.5).</w:t>
      </w:r>
      <w:r w:rsidR="0005642E" w:rsidRPr="0031049E">
        <w:rPr>
          <w:rFonts w:asciiTheme="majorHAnsi" w:hAnsiTheme="majorHAnsi" w:cstheme="majorHAnsi"/>
          <w:color w:val="auto"/>
          <w:szCs w:val="20"/>
        </w:rPr>
        <w:t xml:space="preserve"> </w:t>
      </w:r>
      <w:r w:rsidR="000600C5" w:rsidRPr="0031049E">
        <w:rPr>
          <w:rFonts w:asciiTheme="majorHAnsi" w:hAnsiTheme="majorHAnsi" w:cstheme="majorHAnsi"/>
          <w:color w:val="auto"/>
          <w:szCs w:val="20"/>
        </w:rPr>
        <w:t xml:space="preserve">Our simulations demonstrate that more than half of patients who received </w:t>
      </w:r>
      <w:r w:rsidR="007F3784" w:rsidRPr="0031049E">
        <w:rPr>
          <w:rFonts w:asciiTheme="majorHAnsi" w:hAnsiTheme="majorHAnsi" w:cstheme="majorHAnsi"/>
          <w:color w:val="auto"/>
          <w:szCs w:val="20"/>
        </w:rPr>
        <w:t xml:space="preserve">twice daily doses of 750 mg or greater </w:t>
      </w:r>
      <w:r w:rsidR="00E96EED" w:rsidRPr="0031049E">
        <w:rPr>
          <w:rFonts w:asciiTheme="majorHAnsi" w:hAnsiTheme="majorHAnsi" w:cstheme="majorHAnsi"/>
          <w:color w:val="auto"/>
          <w:szCs w:val="20"/>
        </w:rPr>
        <w:t xml:space="preserve">without a loading dose </w:t>
      </w:r>
      <w:r w:rsidR="007F3784" w:rsidRPr="0031049E">
        <w:rPr>
          <w:rFonts w:asciiTheme="majorHAnsi" w:hAnsiTheme="majorHAnsi" w:cstheme="majorHAnsi"/>
          <w:color w:val="auto"/>
          <w:szCs w:val="20"/>
        </w:rPr>
        <w:t xml:space="preserve">achieved therapeutic drug concentrations. </w:t>
      </w:r>
      <w:r w:rsidR="0095176B" w:rsidRPr="0031049E">
        <w:rPr>
          <w:rFonts w:asciiTheme="majorHAnsi" w:hAnsiTheme="majorHAnsi" w:cstheme="majorHAnsi"/>
          <w:color w:val="auto"/>
          <w:szCs w:val="20"/>
        </w:rPr>
        <w:t xml:space="preserve">The time to achievement of therapeutic drug concentrations was </w:t>
      </w:r>
      <w:r w:rsidR="00D16655" w:rsidRPr="0031049E">
        <w:rPr>
          <w:rFonts w:asciiTheme="majorHAnsi" w:hAnsiTheme="majorHAnsi" w:cstheme="majorHAnsi"/>
          <w:color w:val="auto"/>
          <w:szCs w:val="20"/>
        </w:rPr>
        <w:t>greatly</w:t>
      </w:r>
      <w:r w:rsidR="0095176B" w:rsidRPr="0031049E">
        <w:rPr>
          <w:rFonts w:asciiTheme="majorHAnsi" w:hAnsiTheme="majorHAnsi" w:cstheme="majorHAnsi"/>
          <w:color w:val="auto"/>
          <w:szCs w:val="20"/>
        </w:rPr>
        <w:t xml:space="preserve"> reduced by the addition of a 60 mg/kg loading dose (up to a maximum of 4.5g). </w:t>
      </w:r>
      <w:r w:rsidR="00572AA3" w:rsidRPr="0031049E">
        <w:rPr>
          <w:rFonts w:asciiTheme="majorHAnsi" w:hAnsiTheme="majorHAnsi" w:cstheme="majorHAnsi"/>
          <w:color w:val="auto"/>
          <w:szCs w:val="20"/>
        </w:rPr>
        <w:t xml:space="preserve">The use of a </w:t>
      </w:r>
      <w:r w:rsidR="00E75C4F" w:rsidRPr="0031049E">
        <w:rPr>
          <w:rFonts w:asciiTheme="majorHAnsi" w:hAnsiTheme="majorHAnsi" w:cstheme="majorHAnsi"/>
          <w:color w:val="auto"/>
          <w:szCs w:val="20"/>
        </w:rPr>
        <w:t>reduced</w:t>
      </w:r>
      <w:r w:rsidR="00572AA3" w:rsidRPr="0031049E">
        <w:rPr>
          <w:rFonts w:asciiTheme="majorHAnsi" w:hAnsiTheme="majorHAnsi" w:cstheme="majorHAnsi"/>
          <w:color w:val="auto"/>
          <w:szCs w:val="20"/>
        </w:rPr>
        <w:t xml:space="preserve"> loading dose o</w:t>
      </w:r>
      <w:r w:rsidR="00E75C4F" w:rsidRPr="0031049E">
        <w:rPr>
          <w:rFonts w:asciiTheme="majorHAnsi" w:hAnsiTheme="majorHAnsi" w:cstheme="majorHAnsi"/>
          <w:color w:val="auto"/>
          <w:szCs w:val="20"/>
        </w:rPr>
        <w:t xml:space="preserve">r twice daily doses of 500 mg or less without loading were </w:t>
      </w:r>
      <w:r w:rsidR="00893FF5" w:rsidRPr="0031049E">
        <w:rPr>
          <w:rFonts w:asciiTheme="majorHAnsi" w:hAnsiTheme="majorHAnsi" w:cstheme="majorHAnsi"/>
          <w:color w:val="auto"/>
          <w:szCs w:val="20"/>
        </w:rPr>
        <w:t xml:space="preserve">more likely to </w:t>
      </w:r>
      <w:r w:rsidR="00E75C4F" w:rsidRPr="0031049E">
        <w:rPr>
          <w:rFonts w:asciiTheme="majorHAnsi" w:hAnsiTheme="majorHAnsi" w:cstheme="majorHAnsi"/>
          <w:color w:val="auto"/>
          <w:szCs w:val="20"/>
        </w:rPr>
        <w:t>result in</w:t>
      </w:r>
      <w:r w:rsidR="00893FF5" w:rsidRPr="0031049E">
        <w:rPr>
          <w:rFonts w:asciiTheme="majorHAnsi" w:hAnsiTheme="majorHAnsi" w:cstheme="majorHAnsi"/>
          <w:color w:val="auto"/>
          <w:szCs w:val="20"/>
        </w:rPr>
        <w:t xml:space="preserve"> prolonged sub-therapeutic drug concentrations.</w:t>
      </w:r>
    </w:p>
    <w:p w14:paraId="39FCE54F" w14:textId="29165890" w:rsidR="00FD35FD" w:rsidRPr="0031049E" w:rsidRDefault="00FD35FD" w:rsidP="00FD35FD">
      <w:pPr>
        <w:pStyle w:val="OpiniumNormal"/>
        <w:spacing w:after="0" w:line="360" w:lineRule="auto"/>
        <w:rPr>
          <w:rFonts w:asciiTheme="majorHAnsi" w:hAnsiTheme="majorHAnsi" w:cstheme="majorHAnsi"/>
          <w:b/>
          <w:bCs/>
          <w:color w:val="auto"/>
          <w:szCs w:val="20"/>
        </w:rPr>
      </w:pPr>
      <w:r w:rsidRPr="0031049E">
        <w:rPr>
          <w:rFonts w:asciiTheme="majorHAnsi" w:hAnsiTheme="majorHAnsi" w:cstheme="majorHAnsi"/>
          <w:b/>
          <w:bCs/>
          <w:color w:val="auto"/>
          <w:szCs w:val="20"/>
        </w:rPr>
        <w:t>CONCLUSION</w:t>
      </w:r>
    </w:p>
    <w:p w14:paraId="0ACDE918" w14:textId="69C97CE2" w:rsidR="00745154" w:rsidRPr="0031049E" w:rsidRDefault="004C670F" w:rsidP="00293170">
      <w:pPr>
        <w:pStyle w:val="OpiniumNormal"/>
        <w:spacing w:line="360" w:lineRule="auto"/>
        <w:rPr>
          <w:rFonts w:asciiTheme="majorHAnsi" w:hAnsiTheme="majorHAnsi" w:cstheme="majorHAnsi"/>
          <w:color w:val="auto"/>
          <w:szCs w:val="20"/>
        </w:rPr>
      </w:pPr>
      <w:r w:rsidRPr="0031049E">
        <w:rPr>
          <w:rFonts w:asciiTheme="majorHAnsi" w:hAnsiTheme="majorHAnsi" w:cstheme="majorHAnsi"/>
          <w:color w:val="auto"/>
          <w:szCs w:val="20"/>
        </w:rPr>
        <w:t>Levetiracetam clearance in haemofiltration is similar to healthy adults with normal renal function</w:t>
      </w:r>
      <w:r w:rsidR="00C05732" w:rsidRPr="0031049E">
        <w:rPr>
          <w:rFonts w:asciiTheme="majorHAnsi" w:hAnsiTheme="majorHAnsi" w:cstheme="majorHAnsi"/>
          <w:color w:val="auto"/>
          <w:szCs w:val="20"/>
        </w:rPr>
        <w:t xml:space="preserve"> (</w:t>
      </w:r>
      <w:r w:rsidR="00B33C72" w:rsidRPr="0031049E">
        <w:rPr>
          <w:rFonts w:asciiTheme="majorHAnsi" w:hAnsiTheme="majorHAnsi" w:cstheme="majorHAnsi"/>
          <w:color w:val="auto"/>
          <w:szCs w:val="20"/>
        </w:rPr>
        <w:t>GFR &gt;90</w:t>
      </w:r>
      <w:r w:rsidR="00DC2FB1" w:rsidRPr="0031049E">
        <w:rPr>
          <w:rFonts w:asciiTheme="majorHAnsi" w:hAnsiTheme="majorHAnsi" w:cstheme="majorHAnsi"/>
          <w:color w:val="auto"/>
          <w:szCs w:val="20"/>
        </w:rPr>
        <w:t xml:space="preserve"> mL/min</w:t>
      </w:r>
      <w:r w:rsidR="00C05732" w:rsidRPr="0031049E">
        <w:rPr>
          <w:rFonts w:asciiTheme="majorHAnsi" w:hAnsiTheme="majorHAnsi" w:cstheme="majorHAnsi"/>
          <w:color w:val="auto"/>
          <w:szCs w:val="20"/>
        </w:rPr>
        <w:t>)</w:t>
      </w:r>
      <w:r w:rsidRPr="0031049E">
        <w:rPr>
          <w:rFonts w:asciiTheme="majorHAnsi" w:hAnsiTheme="majorHAnsi" w:cstheme="majorHAnsi"/>
          <w:color w:val="auto"/>
          <w:szCs w:val="20"/>
        </w:rPr>
        <w:t xml:space="preserve">. </w:t>
      </w:r>
      <w:r w:rsidR="008D35A2" w:rsidRPr="0031049E">
        <w:rPr>
          <w:rFonts w:asciiTheme="majorHAnsi" w:hAnsiTheme="majorHAnsi" w:cstheme="majorHAnsi"/>
          <w:color w:val="auto"/>
          <w:szCs w:val="20"/>
        </w:rPr>
        <w:t xml:space="preserve">The use of reduced doses due to renal failure in critically ill patients may result </w:t>
      </w:r>
      <w:r w:rsidRPr="0031049E">
        <w:rPr>
          <w:rFonts w:asciiTheme="majorHAnsi" w:hAnsiTheme="majorHAnsi" w:cstheme="majorHAnsi"/>
          <w:color w:val="auto"/>
          <w:szCs w:val="20"/>
        </w:rPr>
        <w:t>in sub-therapeutic drug concentrations in a high number of patients.</w:t>
      </w:r>
      <w:r w:rsidR="006D3E04" w:rsidRPr="0031049E">
        <w:rPr>
          <w:rFonts w:asciiTheme="majorHAnsi" w:hAnsiTheme="majorHAnsi" w:cstheme="majorHAnsi"/>
          <w:color w:val="auto"/>
          <w:szCs w:val="20"/>
        </w:rPr>
        <w:t xml:space="preserve"> A twice daily dosing of </w:t>
      </w:r>
      <w:r w:rsidR="003F6681" w:rsidRPr="0031049E">
        <w:rPr>
          <w:rFonts w:asciiTheme="majorHAnsi" w:hAnsiTheme="majorHAnsi" w:cstheme="majorHAnsi"/>
          <w:color w:val="auto"/>
          <w:szCs w:val="20"/>
        </w:rPr>
        <w:t>75</w:t>
      </w:r>
      <w:r w:rsidR="006D3E04" w:rsidRPr="0031049E">
        <w:rPr>
          <w:rFonts w:asciiTheme="majorHAnsi" w:hAnsiTheme="majorHAnsi" w:cstheme="majorHAnsi"/>
          <w:color w:val="auto"/>
          <w:szCs w:val="20"/>
        </w:rPr>
        <w:t>0 – 1,000 mg with an initial loading dose of 60mg/kg should be considered in such patients alongside therapeutic drug monitoring.</w:t>
      </w:r>
    </w:p>
    <w:bookmarkEnd w:id="0"/>
    <w:p w14:paraId="03B8932E" w14:textId="232F1119" w:rsidR="00FD6711" w:rsidRPr="0031049E" w:rsidRDefault="00882738" w:rsidP="00D70BB1">
      <w:pPr>
        <w:pStyle w:val="Heading1"/>
        <w:rPr>
          <w:rFonts w:asciiTheme="majorHAnsi" w:hAnsiTheme="majorHAnsi" w:cstheme="majorHAnsi"/>
          <w:b/>
          <w:bCs/>
          <w:color w:val="00B0F0" w:themeColor="accent1"/>
          <w:sz w:val="20"/>
          <w:szCs w:val="20"/>
        </w:rPr>
      </w:pPr>
      <w:r w:rsidRPr="0031049E">
        <w:rPr>
          <w:rFonts w:asciiTheme="majorHAnsi" w:hAnsiTheme="majorHAnsi" w:cstheme="majorHAnsi"/>
          <w:color w:val="595959" w:themeColor="text1"/>
          <w:sz w:val="20"/>
          <w:szCs w:val="20"/>
        </w:rPr>
        <w:br w:type="column"/>
      </w:r>
      <w:r w:rsidR="00A04137" w:rsidRPr="0031049E">
        <w:rPr>
          <w:rFonts w:asciiTheme="majorHAnsi" w:hAnsiTheme="majorHAnsi" w:cstheme="majorHAnsi"/>
          <w:b/>
          <w:bCs/>
          <w:sz w:val="20"/>
          <w:szCs w:val="20"/>
        </w:rPr>
        <w:lastRenderedPageBreak/>
        <w:t>MAIN TEXT</w:t>
      </w:r>
    </w:p>
    <w:p w14:paraId="06FA3531" w14:textId="77777777" w:rsidR="00A04137" w:rsidRPr="0031049E" w:rsidRDefault="00A04137" w:rsidP="00AE099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b/>
          <w:bCs/>
          <w:color w:val="auto"/>
          <w:szCs w:val="20"/>
        </w:rPr>
        <w:t>INTRODUCTION</w:t>
      </w:r>
    </w:p>
    <w:p w14:paraId="4B2C9252" w14:textId="55C5CE7F" w:rsidR="004E0566" w:rsidRPr="0031049E" w:rsidRDefault="000C6831" w:rsidP="00AE099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Over the past decade, the use of levetiracetam in critical care settings both in the treatment and prevention of various seizure disorders has significantly increased</w:t>
      </w:r>
      <w:r w:rsidR="008444BD" w:rsidRPr="0031049E">
        <w:rPr>
          <w:rFonts w:asciiTheme="majorHAnsi" w:hAnsiTheme="majorHAnsi" w:cstheme="majorHAnsi"/>
          <w:color w:val="auto"/>
          <w:szCs w:val="20"/>
        </w:rPr>
        <w:t xml:space="preserve"> </w:t>
      </w:r>
      <w:r w:rsidR="008444BD" w:rsidRPr="0031049E">
        <w:rPr>
          <w:rFonts w:asciiTheme="majorHAnsi" w:hAnsiTheme="majorHAnsi" w:cstheme="majorHAnsi"/>
          <w:b/>
          <w:bCs/>
          <w:color w:val="00B0F0" w:themeColor="accent1"/>
          <w:szCs w:val="20"/>
          <w:vertAlign w:val="superscript"/>
        </w:rPr>
        <w:t>[1</w:t>
      </w:r>
      <w:r w:rsidR="003A7B6A" w:rsidRPr="0031049E">
        <w:rPr>
          <w:rFonts w:asciiTheme="majorHAnsi" w:hAnsiTheme="majorHAnsi" w:cstheme="majorHAnsi"/>
          <w:b/>
          <w:bCs/>
          <w:color w:val="00B0F0" w:themeColor="accent1"/>
          <w:szCs w:val="20"/>
          <w:vertAlign w:val="superscript"/>
        </w:rPr>
        <w:t>,</w:t>
      </w:r>
      <w:r w:rsidR="00137755" w:rsidRPr="0031049E">
        <w:rPr>
          <w:rFonts w:asciiTheme="majorHAnsi" w:hAnsiTheme="majorHAnsi" w:cstheme="majorHAnsi"/>
          <w:b/>
          <w:bCs/>
          <w:color w:val="00B0F0" w:themeColor="accent1"/>
          <w:szCs w:val="20"/>
          <w:vertAlign w:val="superscript"/>
        </w:rPr>
        <w:t>2</w:t>
      </w:r>
      <w:r w:rsidR="008444BD"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 xml:space="preserve">. </w:t>
      </w:r>
      <w:r w:rsidR="00AE0991" w:rsidRPr="0031049E">
        <w:rPr>
          <w:rFonts w:asciiTheme="majorHAnsi" w:hAnsiTheme="majorHAnsi" w:cstheme="majorHAnsi"/>
          <w:color w:val="auto"/>
          <w:szCs w:val="20"/>
        </w:rPr>
        <w:t xml:space="preserve">This increase is owed in large part to several studies that have showed </w:t>
      </w:r>
      <w:r w:rsidRPr="0031049E">
        <w:rPr>
          <w:rFonts w:asciiTheme="majorHAnsi" w:hAnsiTheme="majorHAnsi" w:cstheme="majorHAnsi"/>
          <w:color w:val="auto"/>
          <w:szCs w:val="20"/>
        </w:rPr>
        <w:t>it</w:t>
      </w:r>
      <w:r w:rsidR="00AE0991" w:rsidRPr="0031049E">
        <w:rPr>
          <w:rFonts w:asciiTheme="majorHAnsi" w:hAnsiTheme="majorHAnsi" w:cstheme="majorHAnsi"/>
          <w:color w:val="auto"/>
          <w:szCs w:val="20"/>
        </w:rPr>
        <w:t xml:space="preserve"> to be a safe, broad-spectrum and highly effective anti-epileptic drug w</w:t>
      </w:r>
      <w:r w:rsidRPr="0031049E">
        <w:rPr>
          <w:rFonts w:asciiTheme="majorHAnsi" w:hAnsiTheme="majorHAnsi" w:cstheme="majorHAnsi"/>
          <w:color w:val="auto"/>
          <w:szCs w:val="20"/>
        </w:rPr>
        <w:t>ith minimal drug interactions</w:t>
      </w:r>
      <w:r w:rsidR="00FA059D" w:rsidRPr="0031049E">
        <w:rPr>
          <w:rFonts w:asciiTheme="majorHAnsi" w:hAnsiTheme="majorHAnsi" w:cstheme="majorHAnsi"/>
          <w:color w:val="auto"/>
          <w:szCs w:val="20"/>
        </w:rPr>
        <w:t xml:space="preserve"> and</w:t>
      </w:r>
      <w:r w:rsidRPr="0031049E">
        <w:rPr>
          <w:rFonts w:asciiTheme="majorHAnsi" w:hAnsiTheme="majorHAnsi" w:cstheme="majorHAnsi"/>
          <w:color w:val="auto"/>
          <w:szCs w:val="20"/>
        </w:rPr>
        <w:t xml:space="preserve"> a wide therapeutic index</w:t>
      </w:r>
      <w:r w:rsidR="006C6D2E" w:rsidRPr="0031049E">
        <w:rPr>
          <w:rFonts w:asciiTheme="majorHAnsi" w:hAnsiTheme="majorHAnsi" w:cstheme="majorHAnsi"/>
          <w:color w:val="auto"/>
          <w:szCs w:val="20"/>
        </w:rPr>
        <w:t xml:space="preserve"> </w:t>
      </w:r>
      <w:r w:rsidR="006C6D2E" w:rsidRPr="0031049E">
        <w:rPr>
          <w:rFonts w:asciiTheme="majorHAnsi" w:hAnsiTheme="majorHAnsi" w:cstheme="majorHAnsi"/>
          <w:b/>
          <w:bCs/>
          <w:color w:val="00B0F0" w:themeColor="accent1"/>
          <w:szCs w:val="20"/>
          <w:vertAlign w:val="superscript"/>
        </w:rPr>
        <w:t>[</w:t>
      </w:r>
      <w:r w:rsidR="00137755" w:rsidRPr="0031049E">
        <w:rPr>
          <w:rFonts w:asciiTheme="majorHAnsi" w:hAnsiTheme="majorHAnsi" w:cstheme="majorHAnsi"/>
          <w:b/>
          <w:bCs/>
          <w:color w:val="00B0F0" w:themeColor="accent1"/>
          <w:szCs w:val="20"/>
          <w:vertAlign w:val="superscript"/>
        </w:rPr>
        <w:t>3</w:t>
      </w:r>
      <w:r w:rsidR="003B3DB3" w:rsidRPr="0031049E">
        <w:rPr>
          <w:rFonts w:asciiTheme="majorHAnsi" w:hAnsiTheme="majorHAnsi" w:cstheme="majorHAnsi"/>
          <w:b/>
          <w:bCs/>
          <w:color w:val="00B0F0" w:themeColor="accent1"/>
          <w:szCs w:val="20"/>
          <w:vertAlign w:val="superscript"/>
        </w:rPr>
        <w:t>-</w:t>
      </w:r>
      <w:r w:rsidR="00696964" w:rsidRPr="0031049E">
        <w:rPr>
          <w:rFonts w:asciiTheme="majorHAnsi" w:hAnsiTheme="majorHAnsi" w:cstheme="majorHAnsi"/>
          <w:b/>
          <w:bCs/>
          <w:color w:val="00B0F0" w:themeColor="accent1"/>
          <w:szCs w:val="20"/>
          <w:vertAlign w:val="superscript"/>
        </w:rPr>
        <w:t>5</w:t>
      </w:r>
      <w:r w:rsidR="006C6D2E"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 xml:space="preserve">. </w:t>
      </w:r>
      <w:r w:rsidR="007C5B6F" w:rsidRPr="0031049E">
        <w:rPr>
          <w:rFonts w:asciiTheme="majorHAnsi" w:hAnsiTheme="majorHAnsi" w:cstheme="majorHAnsi"/>
          <w:color w:val="auto"/>
          <w:szCs w:val="20"/>
        </w:rPr>
        <w:t>Therapeutic drug monitoring for levetiracetam is not typically recommended in clinical practice unless there is suspicion of toxicity and as such there is no agreed target range</w:t>
      </w:r>
      <w:r w:rsidR="00FE75F7" w:rsidRPr="0031049E">
        <w:rPr>
          <w:rFonts w:asciiTheme="majorHAnsi" w:hAnsiTheme="majorHAnsi" w:cstheme="majorHAnsi"/>
          <w:color w:val="auto"/>
          <w:szCs w:val="20"/>
        </w:rPr>
        <w:t>. However, a large scale dose-ranging study conducted among epileptic patients identified a</w:t>
      </w:r>
      <w:r w:rsidR="00E03E88" w:rsidRPr="0031049E">
        <w:rPr>
          <w:rFonts w:asciiTheme="majorHAnsi" w:hAnsiTheme="majorHAnsi" w:cstheme="majorHAnsi"/>
          <w:color w:val="auto"/>
          <w:szCs w:val="20"/>
        </w:rPr>
        <w:t xml:space="preserve"> desired</w:t>
      </w:r>
      <w:r w:rsidR="00FE75F7" w:rsidRPr="0031049E">
        <w:rPr>
          <w:rFonts w:asciiTheme="majorHAnsi" w:hAnsiTheme="majorHAnsi" w:cstheme="majorHAnsi"/>
          <w:color w:val="auto"/>
          <w:szCs w:val="20"/>
        </w:rPr>
        <w:t xml:space="preserve"> therapeutic target of 12 – 46 mcg/mL at trough level </w:t>
      </w:r>
      <w:r w:rsidR="00FE75F7" w:rsidRPr="0031049E">
        <w:rPr>
          <w:rFonts w:asciiTheme="majorHAnsi" w:hAnsiTheme="majorHAnsi" w:cstheme="majorHAnsi"/>
          <w:b/>
          <w:bCs/>
          <w:color w:val="00B0F0" w:themeColor="accent1"/>
          <w:szCs w:val="20"/>
          <w:vertAlign w:val="superscript"/>
        </w:rPr>
        <w:t>[</w:t>
      </w:r>
      <w:r w:rsidR="001A6657" w:rsidRPr="0031049E">
        <w:rPr>
          <w:rFonts w:asciiTheme="majorHAnsi" w:hAnsiTheme="majorHAnsi" w:cstheme="majorHAnsi"/>
          <w:b/>
          <w:bCs/>
          <w:color w:val="00B0F0" w:themeColor="accent1"/>
          <w:szCs w:val="20"/>
          <w:vertAlign w:val="superscript"/>
        </w:rPr>
        <w:t>6</w:t>
      </w:r>
      <w:r w:rsidR="00FE75F7" w:rsidRPr="0031049E">
        <w:rPr>
          <w:rFonts w:asciiTheme="majorHAnsi" w:hAnsiTheme="majorHAnsi" w:cstheme="majorHAnsi"/>
          <w:b/>
          <w:bCs/>
          <w:color w:val="00B0F0" w:themeColor="accent1"/>
          <w:szCs w:val="20"/>
          <w:vertAlign w:val="superscript"/>
        </w:rPr>
        <w:t>]</w:t>
      </w:r>
      <w:r w:rsidR="00FE75F7" w:rsidRPr="0031049E">
        <w:rPr>
          <w:rFonts w:asciiTheme="majorHAnsi" w:hAnsiTheme="majorHAnsi" w:cstheme="majorHAnsi"/>
          <w:color w:val="auto"/>
          <w:szCs w:val="20"/>
        </w:rPr>
        <w:t>.</w:t>
      </w:r>
    </w:p>
    <w:p w14:paraId="5B386EDF" w14:textId="77777777" w:rsidR="004E0566" w:rsidRPr="0031049E" w:rsidRDefault="004E0566" w:rsidP="00AE0991">
      <w:pPr>
        <w:pStyle w:val="OpiniumNormal"/>
        <w:spacing w:after="0" w:line="360" w:lineRule="auto"/>
        <w:rPr>
          <w:rFonts w:asciiTheme="majorHAnsi" w:hAnsiTheme="majorHAnsi" w:cstheme="majorHAnsi"/>
          <w:color w:val="auto"/>
          <w:szCs w:val="20"/>
        </w:rPr>
      </w:pPr>
    </w:p>
    <w:p w14:paraId="6E691BFD" w14:textId="65F30306" w:rsidR="00A967E1" w:rsidRPr="0031049E" w:rsidRDefault="000C6831" w:rsidP="00AE099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Levetiracetam is a small, hydrophilic </w:t>
      </w:r>
      <w:r w:rsidR="00FA059D" w:rsidRPr="0031049E">
        <w:rPr>
          <w:rFonts w:asciiTheme="majorHAnsi" w:hAnsiTheme="majorHAnsi" w:cstheme="majorHAnsi"/>
          <w:color w:val="auto"/>
          <w:szCs w:val="20"/>
        </w:rPr>
        <w:t>molecule</w:t>
      </w:r>
      <w:r w:rsidRPr="0031049E">
        <w:rPr>
          <w:rFonts w:asciiTheme="majorHAnsi" w:hAnsiTheme="majorHAnsi" w:cstheme="majorHAnsi"/>
          <w:color w:val="auto"/>
          <w:szCs w:val="20"/>
        </w:rPr>
        <w:t xml:space="preserve"> that is weakly bound to proteins (&lt;10%) with linear kinetics</w:t>
      </w:r>
      <w:r w:rsidR="00BB12D9" w:rsidRPr="0031049E">
        <w:rPr>
          <w:rFonts w:asciiTheme="majorHAnsi" w:hAnsiTheme="majorHAnsi" w:cstheme="majorHAnsi"/>
          <w:color w:val="auto"/>
          <w:szCs w:val="20"/>
        </w:rPr>
        <w:t xml:space="preserve"> </w:t>
      </w:r>
      <w:r w:rsidR="00BB12D9" w:rsidRPr="0031049E">
        <w:rPr>
          <w:rFonts w:asciiTheme="majorHAnsi" w:hAnsiTheme="majorHAnsi" w:cstheme="majorHAnsi"/>
          <w:b/>
          <w:bCs/>
          <w:color w:val="00B0F0" w:themeColor="accent1"/>
          <w:szCs w:val="20"/>
          <w:vertAlign w:val="superscript"/>
        </w:rPr>
        <w:t>[</w:t>
      </w:r>
      <w:r w:rsidR="00444EE2" w:rsidRPr="0031049E">
        <w:rPr>
          <w:rFonts w:asciiTheme="majorHAnsi" w:hAnsiTheme="majorHAnsi" w:cstheme="majorHAnsi"/>
          <w:b/>
          <w:bCs/>
          <w:color w:val="00B0F0" w:themeColor="accent1"/>
          <w:szCs w:val="20"/>
          <w:vertAlign w:val="superscript"/>
        </w:rPr>
        <w:t>5</w:t>
      </w:r>
      <w:r w:rsidR="00C23EDA" w:rsidRPr="0031049E">
        <w:rPr>
          <w:rFonts w:asciiTheme="majorHAnsi" w:hAnsiTheme="majorHAnsi" w:cstheme="majorHAnsi"/>
          <w:b/>
          <w:bCs/>
          <w:color w:val="00B0F0" w:themeColor="accent1"/>
          <w:szCs w:val="20"/>
          <w:vertAlign w:val="superscript"/>
        </w:rPr>
        <w:t>,7</w:t>
      </w:r>
      <w:r w:rsidR="00021457" w:rsidRPr="0031049E">
        <w:rPr>
          <w:rFonts w:asciiTheme="majorHAnsi" w:hAnsiTheme="majorHAnsi" w:cstheme="majorHAnsi"/>
          <w:b/>
          <w:bCs/>
          <w:color w:val="00B0F0" w:themeColor="accent1"/>
          <w:szCs w:val="20"/>
          <w:vertAlign w:val="superscript"/>
        </w:rPr>
        <w:t>-</w:t>
      </w:r>
      <w:r w:rsidR="00C23EDA" w:rsidRPr="0031049E">
        <w:rPr>
          <w:rFonts w:asciiTheme="majorHAnsi" w:hAnsiTheme="majorHAnsi" w:cstheme="majorHAnsi"/>
          <w:b/>
          <w:bCs/>
          <w:color w:val="00B0F0" w:themeColor="accent1"/>
          <w:szCs w:val="20"/>
          <w:vertAlign w:val="superscript"/>
        </w:rPr>
        <w:t>9</w:t>
      </w:r>
      <w:r w:rsidR="00BB12D9"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 xml:space="preserve">. </w:t>
      </w:r>
      <w:r w:rsidR="00171F33" w:rsidRPr="0031049E">
        <w:rPr>
          <w:rFonts w:asciiTheme="majorHAnsi" w:hAnsiTheme="majorHAnsi" w:cstheme="majorHAnsi"/>
          <w:color w:val="auto"/>
          <w:szCs w:val="20"/>
        </w:rPr>
        <w:t>In a healthy adult</w:t>
      </w:r>
      <w:r w:rsidR="00B33C72" w:rsidRPr="0031049E">
        <w:rPr>
          <w:rFonts w:asciiTheme="majorHAnsi" w:hAnsiTheme="majorHAnsi" w:cstheme="majorHAnsi"/>
          <w:color w:val="auto"/>
          <w:szCs w:val="20"/>
        </w:rPr>
        <w:t xml:space="preserve"> (GFR &gt;90</w:t>
      </w:r>
      <w:r w:rsidR="00DC2FB1" w:rsidRPr="0031049E">
        <w:rPr>
          <w:rFonts w:asciiTheme="majorHAnsi" w:hAnsiTheme="majorHAnsi" w:cstheme="majorHAnsi"/>
          <w:color w:val="auto"/>
          <w:szCs w:val="20"/>
        </w:rPr>
        <w:t xml:space="preserve"> mL/min</w:t>
      </w:r>
      <w:r w:rsidR="00B33C72" w:rsidRPr="0031049E">
        <w:rPr>
          <w:rFonts w:asciiTheme="majorHAnsi" w:hAnsiTheme="majorHAnsi" w:cstheme="majorHAnsi"/>
          <w:color w:val="auto"/>
          <w:szCs w:val="20"/>
        </w:rPr>
        <w:t>)</w:t>
      </w:r>
      <w:r w:rsidR="00171F33" w:rsidRPr="0031049E">
        <w:rPr>
          <w:rFonts w:asciiTheme="majorHAnsi" w:hAnsiTheme="majorHAnsi" w:cstheme="majorHAnsi"/>
          <w:color w:val="auto"/>
          <w:szCs w:val="20"/>
        </w:rPr>
        <w:t>, the total clearance of levetiracetam is approximately 4.03</w:t>
      </w:r>
      <w:r w:rsidR="002E1712" w:rsidRPr="0031049E">
        <w:rPr>
          <w:rFonts w:asciiTheme="majorHAnsi" w:hAnsiTheme="majorHAnsi" w:cstheme="majorHAnsi"/>
          <w:color w:val="auto"/>
          <w:szCs w:val="20"/>
        </w:rPr>
        <w:t xml:space="preserve"> </w:t>
      </w:r>
      <w:r w:rsidR="00171F33" w:rsidRPr="0031049E">
        <w:rPr>
          <w:rFonts w:asciiTheme="majorHAnsi" w:hAnsiTheme="majorHAnsi" w:cstheme="majorHAnsi"/>
          <w:color w:val="auto"/>
          <w:szCs w:val="20"/>
        </w:rPr>
        <w:t xml:space="preserve">L/hr, half-life is 6 – 8 hours and volume of distribution is 0.5 – 0.7L/kg </w:t>
      </w:r>
      <w:r w:rsidR="00171F33" w:rsidRPr="0031049E">
        <w:rPr>
          <w:rFonts w:asciiTheme="majorHAnsi" w:hAnsiTheme="majorHAnsi" w:cstheme="majorHAnsi"/>
          <w:b/>
          <w:bCs/>
          <w:color w:val="00B0F0" w:themeColor="accent1"/>
          <w:szCs w:val="20"/>
          <w:vertAlign w:val="superscript"/>
        </w:rPr>
        <w:t>[</w:t>
      </w:r>
      <w:r w:rsidR="00A76168" w:rsidRPr="0031049E">
        <w:rPr>
          <w:rFonts w:asciiTheme="majorHAnsi" w:hAnsiTheme="majorHAnsi" w:cstheme="majorHAnsi"/>
          <w:b/>
          <w:bCs/>
          <w:color w:val="00B0F0" w:themeColor="accent1"/>
          <w:szCs w:val="20"/>
          <w:vertAlign w:val="superscript"/>
        </w:rPr>
        <w:t>10</w:t>
      </w:r>
      <w:r w:rsidR="00171F33" w:rsidRPr="0031049E">
        <w:rPr>
          <w:rFonts w:asciiTheme="majorHAnsi" w:hAnsiTheme="majorHAnsi" w:cstheme="majorHAnsi"/>
          <w:b/>
          <w:bCs/>
          <w:color w:val="00B0F0" w:themeColor="accent1"/>
          <w:szCs w:val="20"/>
          <w:vertAlign w:val="superscript"/>
        </w:rPr>
        <w:t>]</w:t>
      </w:r>
      <w:r w:rsidR="00171F33" w:rsidRPr="0031049E">
        <w:rPr>
          <w:rFonts w:asciiTheme="majorHAnsi" w:hAnsiTheme="majorHAnsi" w:cstheme="majorHAnsi"/>
          <w:color w:val="auto"/>
          <w:szCs w:val="20"/>
        </w:rPr>
        <w:t xml:space="preserve">. </w:t>
      </w:r>
      <w:r w:rsidR="00165783" w:rsidRPr="0031049E">
        <w:rPr>
          <w:rFonts w:asciiTheme="majorHAnsi" w:hAnsiTheme="majorHAnsi" w:cstheme="majorHAnsi"/>
          <w:color w:val="auto"/>
          <w:szCs w:val="20"/>
        </w:rPr>
        <w:t xml:space="preserve">It is </w:t>
      </w:r>
      <w:r w:rsidR="004A6818" w:rsidRPr="0031049E">
        <w:rPr>
          <w:rFonts w:asciiTheme="majorHAnsi" w:hAnsiTheme="majorHAnsi" w:cstheme="majorHAnsi"/>
          <w:color w:val="auto"/>
          <w:szCs w:val="20"/>
        </w:rPr>
        <w:t>almost exclusively (&gt;90%) excreted via the kidneys and so dose adjustments are recommended in patients with impaired renal function</w:t>
      </w:r>
      <w:r w:rsidR="00135359" w:rsidRPr="0031049E">
        <w:rPr>
          <w:rFonts w:asciiTheme="majorHAnsi" w:hAnsiTheme="majorHAnsi" w:cstheme="majorHAnsi"/>
          <w:color w:val="auto"/>
          <w:szCs w:val="20"/>
        </w:rPr>
        <w:t xml:space="preserve"> </w:t>
      </w:r>
      <w:r w:rsidR="00135359" w:rsidRPr="0031049E">
        <w:rPr>
          <w:rFonts w:asciiTheme="majorHAnsi" w:hAnsiTheme="majorHAnsi" w:cstheme="majorHAnsi"/>
          <w:b/>
          <w:bCs/>
          <w:color w:val="00B0F0" w:themeColor="accent1"/>
          <w:szCs w:val="20"/>
          <w:vertAlign w:val="superscript"/>
        </w:rPr>
        <w:t>[</w:t>
      </w:r>
      <w:r w:rsidR="00305FE4" w:rsidRPr="0031049E">
        <w:rPr>
          <w:rFonts w:asciiTheme="majorHAnsi" w:hAnsiTheme="majorHAnsi" w:cstheme="majorHAnsi"/>
          <w:b/>
          <w:bCs/>
          <w:color w:val="00B0F0" w:themeColor="accent1"/>
          <w:szCs w:val="20"/>
          <w:vertAlign w:val="superscript"/>
        </w:rPr>
        <w:t>6,</w:t>
      </w:r>
      <w:r w:rsidR="00440422" w:rsidRPr="0031049E">
        <w:rPr>
          <w:rFonts w:asciiTheme="majorHAnsi" w:hAnsiTheme="majorHAnsi" w:cstheme="majorHAnsi"/>
          <w:b/>
          <w:bCs/>
          <w:color w:val="00B0F0" w:themeColor="accent1"/>
          <w:szCs w:val="20"/>
          <w:vertAlign w:val="superscript"/>
        </w:rPr>
        <w:t>8</w:t>
      </w:r>
      <w:r w:rsidR="006643CB" w:rsidRPr="0031049E">
        <w:rPr>
          <w:rFonts w:asciiTheme="majorHAnsi" w:hAnsiTheme="majorHAnsi" w:cstheme="majorHAnsi"/>
          <w:b/>
          <w:bCs/>
          <w:color w:val="00B0F0" w:themeColor="accent1"/>
          <w:szCs w:val="20"/>
          <w:vertAlign w:val="superscript"/>
        </w:rPr>
        <w:t>,</w:t>
      </w:r>
      <w:r w:rsidR="00AE5CA6" w:rsidRPr="0031049E">
        <w:rPr>
          <w:rFonts w:asciiTheme="majorHAnsi" w:hAnsiTheme="majorHAnsi" w:cstheme="majorHAnsi"/>
          <w:b/>
          <w:bCs/>
          <w:color w:val="00B0F0" w:themeColor="accent1"/>
          <w:szCs w:val="20"/>
          <w:vertAlign w:val="superscript"/>
        </w:rPr>
        <w:t>11,</w:t>
      </w:r>
      <w:r w:rsidR="00391D64" w:rsidRPr="0031049E">
        <w:rPr>
          <w:rFonts w:asciiTheme="majorHAnsi" w:hAnsiTheme="majorHAnsi" w:cstheme="majorHAnsi"/>
          <w:b/>
          <w:bCs/>
          <w:color w:val="00B0F0" w:themeColor="accent1"/>
          <w:szCs w:val="20"/>
          <w:vertAlign w:val="superscript"/>
        </w:rPr>
        <w:t>1</w:t>
      </w:r>
      <w:r w:rsidR="00AE5CA6" w:rsidRPr="0031049E">
        <w:rPr>
          <w:rFonts w:asciiTheme="majorHAnsi" w:hAnsiTheme="majorHAnsi" w:cstheme="majorHAnsi"/>
          <w:b/>
          <w:bCs/>
          <w:color w:val="00B0F0" w:themeColor="accent1"/>
          <w:szCs w:val="20"/>
          <w:vertAlign w:val="superscript"/>
        </w:rPr>
        <w:t>2</w:t>
      </w:r>
      <w:r w:rsidR="00135359" w:rsidRPr="0031049E">
        <w:rPr>
          <w:rFonts w:asciiTheme="majorHAnsi" w:hAnsiTheme="majorHAnsi" w:cstheme="majorHAnsi"/>
          <w:b/>
          <w:bCs/>
          <w:color w:val="00B0F0" w:themeColor="accent1"/>
          <w:szCs w:val="20"/>
          <w:vertAlign w:val="superscript"/>
        </w:rPr>
        <w:t>]</w:t>
      </w:r>
      <w:r w:rsidR="004A6818" w:rsidRPr="0031049E">
        <w:rPr>
          <w:rFonts w:asciiTheme="majorHAnsi" w:hAnsiTheme="majorHAnsi" w:cstheme="majorHAnsi"/>
          <w:color w:val="auto"/>
          <w:szCs w:val="20"/>
        </w:rPr>
        <w:t>. Even mild-to-moderate</w:t>
      </w:r>
      <w:r w:rsidR="00124330" w:rsidRPr="0031049E">
        <w:rPr>
          <w:rFonts w:asciiTheme="majorHAnsi" w:hAnsiTheme="majorHAnsi" w:cstheme="majorHAnsi"/>
          <w:color w:val="auto"/>
          <w:szCs w:val="20"/>
        </w:rPr>
        <w:t xml:space="preserve"> renal</w:t>
      </w:r>
      <w:r w:rsidR="004A6818" w:rsidRPr="0031049E">
        <w:rPr>
          <w:rFonts w:asciiTheme="majorHAnsi" w:hAnsiTheme="majorHAnsi" w:cstheme="majorHAnsi"/>
          <w:color w:val="auto"/>
          <w:szCs w:val="20"/>
        </w:rPr>
        <w:t xml:space="preserve"> impairment has been shown to double plasma concentration and significantly increase</w:t>
      </w:r>
      <w:r w:rsidR="007C5B6F" w:rsidRPr="0031049E">
        <w:rPr>
          <w:rFonts w:asciiTheme="majorHAnsi" w:hAnsiTheme="majorHAnsi" w:cstheme="majorHAnsi"/>
          <w:color w:val="auto"/>
          <w:szCs w:val="20"/>
        </w:rPr>
        <w:t xml:space="preserve"> the</w:t>
      </w:r>
      <w:r w:rsidR="004A6818" w:rsidRPr="0031049E">
        <w:rPr>
          <w:rFonts w:asciiTheme="majorHAnsi" w:hAnsiTheme="majorHAnsi" w:cstheme="majorHAnsi"/>
          <w:color w:val="auto"/>
          <w:szCs w:val="20"/>
        </w:rPr>
        <w:t xml:space="preserve"> half-life</w:t>
      </w:r>
      <w:r w:rsidR="00DE7234" w:rsidRPr="0031049E">
        <w:rPr>
          <w:rFonts w:asciiTheme="majorHAnsi" w:hAnsiTheme="majorHAnsi" w:cstheme="majorHAnsi"/>
          <w:color w:val="auto"/>
          <w:szCs w:val="20"/>
        </w:rPr>
        <w:t xml:space="preserve"> </w:t>
      </w:r>
      <w:r w:rsidR="00DE7234" w:rsidRPr="0031049E">
        <w:rPr>
          <w:rFonts w:asciiTheme="majorHAnsi" w:hAnsiTheme="majorHAnsi" w:cstheme="majorHAnsi"/>
          <w:b/>
          <w:bCs/>
          <w:color w:val="00B0F0" w:themeColor="accent1"/>
          <w:szCs w:val="20"/>
          <w:vertAlign w:val="superscript"/>
        </w:rPr>
        <w:t>[</w:t>
      </w:r>
      <w:r w:rsidR="00B4379C" w:rsidRPr="0031049E">
        <w:rPr>
          <w:rFonts w:asciiTheme="majorHAnsi" w:hAnsiTheme="majorHAnsi" w:cstheme="majorHAnsi"/>
          <w:b/>
          <w:bCs/>
          <w:color w:val="00B0F0" w:themeColor="accent1"/>
          <w:szCs w:val="20"/>
          <w:vertAlign w:val="superscript"/>
        </w:rPr>
        <w:t>1</w:t>
      </w:r>
      <w:r w:rsidR="00157FED" w:rsidRPr="0031049E">
        <w:rPr>
          <w:rFonts w:asciiTheme="majorHAnsi" w:hAnsiTheme="majorHAnsi" w:cstheme="majorHAnsi"/>
          <w:b/>
          <w:bCs/>
          <w:color w:val="00B0F0" w:themeColor="accent1"/>
          <w:szCs w:val="20"/>
          <w:vertAlign w:val="superscript"/>
        </w:rPr>
        <w:t>3</w:t>
      </w:r>
      <w:r w:rsidR="00DE7234" w:rsidRPr="0031049E">
        <w:rPr>
          <w:rFonts w:asciiTheme="majorHAnsi" w:hAnsiTheme="majorHAnsi" w:cstheme="majorHAnsi"/>
          <w:b/>
          <w:bCs/>
          <w:color w:val="00B0F0" w:themeColor="accent1"/>
          <w:szCs w:val="20"/>
          <w:vertAlign w:val="superscript"/>
        </w:rPr>
        <w:t>]</w:t>
      </w:r>
      <w:r w:rsidR="004A6818" w:rsidRPr="0031049E">
        <w:rPr>
          <w:rFonts w:asciiTheme="majorHAnsi" w:hAnsiTheme="majorHAnsi" w:cstheme="majorHAnsi"/>
          <w:color w:val="auto"/>
          <w:szCs w:val="20"/>
        </w:rPr>
        <w:t>.</w:t>
      </w:r>
    </w:p>
    <w:p w14:paraId="6C911F99" w14:textId="1676100B" w:rsidR="00FA059D" w:rsidRPr="0031049E" w:rsidRDefault="00FA059D" w:rsidP="00AE0991">
      <w:pPr>
        <w:pStyle w:val="OpiniumNormal"/>
        <w:spacing w:after="0" w:line="360" w:lineRule="auto"/>
        <w:rPr>
          <w:rFonts w:asciiTheme="majorHAnsi" w:hAnsiTheme="majorHAnsi" w:cstheme="majorHAnsi"/>
          <w:color w:val="auto"/>
          <w:szCs w:val="20"/>
        </w:rPr>
      </w:pPr>
    </w:p>
    <w:p w14:paraId="437C9B06" w14:textId="2C76A225" w:rsidR="00936538" w:rsidRPr="0031049E" w:rsidRDefault="00C47271" w:rsidP="00AE099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Renal impairment is common in critical care settings with around half of </w:t>
      </w:r>
      <w:r w:rsidR="00B22BD2" w:rsidRPr="0031049E">
        <w:rPr>
          <w:rFonts w:asciiTheme="majorHAnsi" w:hAnsiTheme="majorHAnsi" w:cstheme="majorHAnsi"/>
          <w:color w:val="auto"/>
          <w:szCs w:val="20"/>
        </w:rPr>
        <w:t xml:space="preserve">people </w:t>
      </w:r>
      <w:r w:rsidRPr="0031049E">
        <w:rPr>
          <w:rFonts w:asciiTheme="majorHAnsi" w:hAnsiTheme="majorHAnsi" w:cstheme="majorHAnsi"/>
          <w:color w:val="auto"/>
          <w:szCs w:val="20"/>
        </w:rPr>
        <w:t>admitted to intensive care developing acute kidney injury</w:t>
      </w:r>
      <w:r w:rsidR="00DB3425" w:rsidRPr="0031049E">
        <w:rPr>
          <w:rFonts w:asciiTheme="majorHAnsi" w:hAnsiTheme="majorHAnsi" w:cstheme="majorHAnsi"/>
          <w:color w:val="auto"/>
          <w:szCs w:val="20"/>
        </w:rPr>
        <w:t xml:space="preserve"> </w:t>
      </w:r>
      <w:r w:rsidR="00DB3425" w:rsidRPr="0031049E">
        <w:rPr>
          <w:rFonts w:asciiTheme="majorHAnsi" w:hAnsiTheme="majorHAnsi" w:cstheme="majorHAnsi"/>
          <w:b/>
          <w:bCs/>
          <w:color w:val="00B0F0" w:themeColor="accent1"/>
          <w:szCs w:val="20"/>
          <w:vertAlign w:val="superscript"/>
        </w:rPr>
        <w:t>[</w:t>
      </w:r>
      <w:r w:rsidR="00D405E7" w:rsidRPr="0031049E">
        <w:rPr>
          <w:rFonts w:asciiTheme="majorHAnsi" w:hAnsiTheme="majorHAnsi" w:cstheme="majorHAnsi"/>
          <w:b/>
          <w:bCs/>
          <w:color w:val="00B0F0" w:themeColor="accent1"/>
          <w:szCs w:val="20"/>
          <w:vertAlign w:val="superscript"/>
        </w:rPr>
        <w:t>1</w:t>
      </w:r>
      <w:r w:rsidR="000F4E4A" w:rsidRPr="0031049E">
        <w:rPr>
          <w:rFonts w:asciiTheme="majorHAnsi" w:hAnsiTheme="majorHAnsi" w:cstheme="majorHAnsi"/>
          <w:b/>
          <w:bCs/>
          <w:color w:val="00B0F0" w:themeColor="accent1"/>
          <w:szCs w:val="20"/>
          <w:vertAlign w:val="superscript"/>
        </w:rPr>
        <w:t>4</w:t>
      </w:r>
      <w:r w:rsidR="007563F7" w:rsidRPr="0031049E">
        <w:rPr>
          <w:rFonts w:asciiTheme="majorHAnsi" w:hAnsiTheme="majorHAnsi" w:cstheme="majorHAnsi"/>
          <w:b/>
          <w:bCs/>
          <w:color w:val="00B0F0" w:themeColor="accent1"/>
          <w:szCs w:val="20"/>
          <w:vertAlign w:val="superscript"/>
        </w:rPr>
        <w:t>-1</w:t>
      </w:r>
      <w:r w:rsidR="000F4E4A" w:rsidRPr="0031049E">
        <w:rPr>
          <w:rFonts w:asciiTheme="majorHAnsi" w:hAnsiTheme="majorHAnsi" w:cstheme="majorHAnsi"/>
          <w:b/>
          <w:bCs/>
          <w:color w:val="00B0F0" w:themeColor="accent1"/>
          <w:szCs w:val="20"/>
          <w:vertAlign w:val="superscript"/>
        </w:rPr>
        <w:t>5</w:t>
      </w:r>
      <w:r w:rsidR="00DB3425"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 xml:space="preserve">. </w:t>
      </w:r>
      <w:r w:rsidR="00DA1A99" w:rsidRPr="0031049E">
        <w:rPr>
          <w:rFonts w:asciiTheme="majorHAnsi" w:hAnsiTheme="majorHAnsi" w:cstheme="majorHAnsi"/>
          <w:color w:val="auto"/>
          <w:szCs w:val="20"/>
        </w:rPr>
        <w:t xml:space="preserve">Continuous renal replacement therapy (CRRT) is used </w:t>
      </w:r>
      <w:r w:rsidRPr="0031049E">
        <w:rPr>
          <w:rFonts w:asciiTheme="majorHAnsi" w:hAnsiTheme="majorHAnsi" w:cstheme="majorHAnsi"/>
          <w:color w:val="auto"/>
          <w:szCs w:val="20"/>
        </w:rPr>
        <w:t xml:space="preserve">in </w:t>
      </w:r>
      <w:r w:rsidR="00D4464C" w:rsidRPr="0031049E">
        <w:rPr>
          <w:rFonts w:asciiTheme="majorHAnsi" w:hAnsiTheme="majorHAnsi" w:cstheme="majorHAnsi"/>
          <w:color w:val="auto"/>
          <w:szCs w:val="20"/>
        </w:rPr>
        <w:t xml:space="preserve">severe </w:t>
      </w:r>
      <w:r w:rsidR="00B22BD2" w:rsidRPr="0031049E">
        <w:rPr>
          <w:rFonts w:asciiTheme="majorHAnsi" w:hAnsiTheme="majorHAnsi" w:cstheme="majorHAnsi"/>
          <w:color w:val="auto"/>
          <w:szCs w:val="20"/>
        </w:rPr>
        <w:t>acute kidney injury</w:t>
      </w:r>
      <w:r w:rsidR="00D4464C" w:rsidRPr="0031049E">
        <w:rPr>
          <w:rFonts w:asciiTheme="majorHAnsi" w:hAnsiTheme="majorHAnsi" w:cstheme="majorHAnsi"/>
          <w:color w:val="auto"/>
          <w:szCs w:val="20"/>
        </w:rPr>
        <w:t xml:space="preserve"> </w:t>
      </w:r>
      <w:r w:rsidR="00DA1A99" w:rsidRPr="0031049E">
        <w:rPr>
          <w:rFonts w:asciiTheme="majorHAnsi" w:hAnsiTheme="majorHAnsi" w:cstheme="majorHAnsi"/>
          <w:color w:val="auto"/>
          <w:szCs w:val="20"/>
        </w:rPr>
        <w:t xml:space="preserve">to support renal function and minimise the risk of multi-organ failure and fluid overload. </w:t>
      </w:r>
      <w:r w:rsidR="005A31F8" w:rsidRPr="0031049E">
        <w:rPr>
          <w:rFonts w:asciiTheme="majorHAnsi" w:hAnsiTheme="majorHAnsi" w:cstheme="majorHAnsi"/>
          <w:color w:val="auto"/>
          <w:szCs w:val="20"/>
        </w:rPr>
        <w:t>Additionally</w:t>
      </w:r>
      <w:r w:rsidR="00DA1A99" w:rsidRPr="0031049E">
        <w:rPr>
          <w:rFonts w:asciiTheme="majorHAnsi" w:hAnsiTheme="majorHAnsi" w:cstheme="majorHAnsi"/>
          <w:color w:val="auto"/>
          <w:szCs w:val="20"/>
        </w:rPr>
        <w:t xml:space="preserve">, </w:t>
      </w:r>
      <w:r w:rsidR="00B22BD2" w:rsidRPr="0031049E">
        <w:rPr>
          <w:rFonts w:asciiTheme="majorHAnsi" w:hAnsiTheme="majorHAnsi" w:cstheme="majorHAnsi"/>
          <w:color w:val="auto"/>
          <w:szCs w:val="20"/>
        </w:rPr>
        <w:t xml:space="preserve">people </w:t>
      </w:r>
      <w:r w:rsidR="00DA1A99" w:rsidRPr="0031049E">
        <w:rPr>
          <w:rFonts w:asciiTheme="majorHAnsi" w:hAnsiTheme="majorHAnsi" w:cstheme="majorHAnsi"/>
          <w:color w:val="auto"/>
          <w:szCs w:val="20"/>
        </w:rPr>
        <w:t xml:space="preserve">with end-stage renal disease who require intermittent haemodialysis often benefit from a temporary transition to </w:t>
      </w:r>
      <w:r w:rsidR="00B22BD2" w:rsidRPr="0031049E">
        <w:rPr>
          <w:rFonts w:asciiTheme="majorHAnsi" w:hAnsiTheme="majorHAnsi" w:cstheme="majorHAnsi"/>
          <w:color w:val="auto"/>
          <w:szCs w:val="20"/>
        </w:rPr>
        <w:t xml:space="preserve">continuous renal replacement therapy </w:t>
      </w:r>
      <w:r w:rsidR="00DA1A99" w:rsidRPr="0031049E">
        <w:rPr>
          <w:rFonts w:asciiTheme="majorHAnsi" w:hAnsiTheme="majorHAnsi" w:cstheme="majorHAnsi"/>
          <w:color w:val="auto"/>
          <w:szCs w:val="20"/>
        </w:rPr>
        <w:t>in</w:t>
      </w:r>
      <w:r w:rsidR="00B22BD2" w:rsidRPr="0031049E">
        <w:rPr>
          <w:rFonts w:asciiTheme="majorHAnsi" w:hAnsiTheme="majorHAnsi" w:cstheme="majorHAnsi"/>
          <w:color w:val="auto"/>
          <w:szCs w:val="20"/>
        </w:rPr>
        <w:t xml:space="preserve"> the event of</w:t>
      </w:r>
      <w:r w:rsidR="00DA1A99" w:rsidRPr="0031049E">
        <w:rPr>
          <w:rFonts w:asciiTheme="majorHAnsi" w:hAnsiTheme="majorHAnsi" w:cstheme="majorHAnsi"/>
          <w:color w:val="auto"/>
          <w:szCs w:val="20"/>
        </w:rPr>
        <w:t xml:space="preserve"> critical illness due to the enhanced haemodynamic and metabolic control it provides.</w:t>
      </w:r>
      <w:r w:rsidRPr="0031049E">
        <w:rPr>
          <w:rFonts w:asciiTheme="majorHAnsi" w:hAnsiTheme="majorHAnsi" w:cstheme="majorHAnsi"/>
          <w:color w:val="auto"/>
          <w:szCs w:val="20"/>
        </w:rPr>
        <w:t xml:space="preserve"> The introduction of renal replacement therapy creates challenges for pharmacological management</w:t>
      </w:r>
      <w:r w:rsidR="00EC477E" w:rsidRPr="0031049E">
        <w:rPr>
          <w:rFonts w:asciiTheme="majorHAnsi" w:hAnsiTheme="majorHAnsi" w:cstheme="majorHAnsi"/>
          <w:color w:val="auto"/>
          <w:szCs w:val="20"/>
        </w:rPr>
        <w:t xml:space="preserve"> </w:t>
      </w:r>
      <w:r w:rsidRPr="0031049E">
        <w:rPr>
          <w:rFonts w:asciiTheme="majorHAnsi" w:hAnsiTheme="majorHAnsi" w:cstheme="majorHAnsi"/>
          <w:color w:val="auto"/>
          <w:szCs w:val="20"/>
        </w:rPr>
        <w:t xml:space="preserve">as pharmacokinetics are altered through both extrinsic (e.g. filtration mode, filter type, </w:t>
      </w:r>
      <w:r w:rsidR="007C5B6F" w:rsidRPr="0031049E">
        <w:rPr>
          <w:rFonts w:asciiTheme="majorHAnsi" w:hAnsiTheme="majorHAnsi" w:cstheme="majorHAnsi"/>
          <w:color w:val="auto"/>
          <w:szCs w:val="20"/>
        </w:rPr>
        <w:t>exchange rate</w:t>
      </w:r>
      <w:r w:rsidRPr="0031049E">
        <w:rPr>
          <w:rFonts w:asciiTheme="majorHAnsi" w:hAnsiTheme="majorHAnsi" w:cstheme="majorHAnsi"/>
          <w:color w:val="auto"/>
          <w:szCs w:val="20"/>
        </w:rPr>
        <w:t>) and intrinsic factors (e.g. residual renal function, fluid volume status, protein binding).</w:t>
      </w:r>
      <w:r w:rsidR="00384F26" w:rsidRPr="0031049E">
        <w:rPr>
          <w:rFonts w:asciiTheme="majorHAnsi" w:hAnsiTheme="majorHAnsi" w:cstheme="majorHAnsi"/>
          <w:color w:val="auto"/>
          <w:szCs w:val="20"/>
        </w:rPr>
        <w:t xml:space="preserve"> </w:t>
      </w:r>
      <w:r w:rsidR="00BD1BE9" w:rsidRPr="0031049E">
        <w:rPr>
          <w:rFonts w:asciiTheme="majorHAnsi" w:hAnsiTheme="majorHAnsi" w:cstheme="majorHAnsi"/>
          <w:color w:val="auto"/>
          <w:szCs w:val="20"/>
        </w:rPr>
        <w:t xml:space="preserve">For medications that are renally excreted, such as levetiracetam, </w:t>
      </w:r>
      <w:r w:rsidR="009711F9" w:rsidRPr="0031049E">
        <w:rPr>
          <w:rFonts w:asciiTheme="majorHAnsi" w:hAnsiTheme="majorHAnsi" w:cstheme="majorHAnsi"/>
          <w:color w:val="auto"/>
          <w:szCs w:val="20"/>
        </w:rPr>
        <w:t xml:space="preserve">the effects on </w:t>
      </w:r>
      <w:r w:rsidR="007C5B6F" w:rsidRPr="0031049E">
        <w:rPr>
          <w:rFonts w:asciiTheme="majorHAnsi" w:hAnsiTheme="majorHAnsi" w:cstheme="majorHAnsi"/>
          <w:color w:val="auto"/>
          <w:szCs w:val="20"/>
        </w:rPr>
        <w:t xml:space="preserve">drug </w:t>
      </w:r>
      <w:r w:rsidR="009711F9" w:rsidRPr="0031049E">
        <w:rPr>
          <w:rFonts w:asciiTheme="majorHAnsi" w:hAnsiTheme="majorHAnsi" w:cstheme="majorHAnsi"/>
          <w:color w:val="auto"/>
          <w:szCs w:val="20"/>
        </w:rPr>
        <w:t xml:space="preserve">clearance </w:t>
      </w:r>
      <w:r w:rsidR="007C5B6F" w:rsidRPr="0031049E">
        <w:rPr>
          <w:rFonts w:asciiTheme="majorHAnsi" w:hAnsiTheme="majorHAnsi" w:cstheme="majorHAnsi"/>
          <w:color w:val="auto"/>
          <w:szCs w:val="20"/>
        </w:rPr>
        <w:t>are</w:t>
      </w:r>
      <w:r w:rsidR="009711F9" w:rsidRPr="0031049E">
        <w:rPr>
          <w:rFonts w:asciiTheme="majorHAnsi" w:hAnsiTheme="majorHAnsi" w:cstheme="majorHAnsi"/>
          <w:color w:val="auto"/>
          <w:szCs w:val="20"/>
        </w:rPr>
        <w:t xml:space="preserve"> significant</w:t>
      </w:r>
      <w:r w:rsidR="0031491D" w:rsidRPr="0031049E">
        <w:rPr>
          <w:rFonts w:asciiTheme="majorHAnsi" w:hAnsiTheme="majorHAnsi" w:cstheme="majorHAnsi"/>
          <w:color w:val="auto"/>
          <w:szCs w:val="20"/>
        </w:rPr>
        <w:t xml:space="preserve"> </w:t>
      </w:r>
      <w:r w:rsidR="0031491D" w:rsidRPr="0031049E">
        <w:rPr>
          <w:rFonts w:asciiTheme="majorHAnsi" w:hAnsiTheme="majorHAnsi" w:cstheme="majorHAnsi"/>
          <w:b/>
          <w:bCs/>
          <w:color w:val="00B0F0" w:themeColor="accent1"/>
          <w:szCs w:val="20"/>
          <w:vertAlign w:val="superscript"/>
        </w:rPr>
        <w:t>[1</w:t>
      </w:r>
      <w:r w:rsidR="000F4E4A" w:rsidRPr="0031049E">
        <w:rPr>
          <w:rFonts w:asciiTheme="majorHAnsi" w:hAnsiTheme="majorHAnsi" w:cstheme="majorHAnsi"/>
          <w:b/>
          <w:bCs/>
          <w:color w:val="00B0F0" w:themeColor="accent1"/>
          <w:szCs w:val="20"/>
          <w:vertAlign w:val="superscript"/>
        </w:rPr>
        <w:t>6</w:t>
      </w:r>
      <w:r w:rsidR="0031491D" w:rsidRPr="0031049E">
        <w:rPr>
          <w:rFonts w:asciiTheme="majorHAnsi" w:hAnsiTheme="majorHAnsi" w:cstheme="majorHAnsi"/>
          <w:b/>
          <w:bCs/>
          <w:color w:val="00B0F0" w:themeColor="accent1"/>
          <w:szCs w:val="20"/>
          <w:vertAlign w:val="superscript"/>
        </w:rPr>
        <w:t>]</w:t>
      </w:r>
      <w:r w:rsidR="009711F9" w:rsidRPr="0031049E">
        <w:rPr>
          <w:rFonts w:asciiTheme="majorHAnsi" w:hAnsiTheme="majorHAnsi" w:cstheme="majorHAnsi"/>
          <w:color w:val="auto"/>
          <w:szCs w:val="20"/>
        </w:rPr>
        <w:t>.</w:t>
      </w:r>
    </w:p>
    <w:p w14:paraId="16FCA515" w14:textId="4933BD4B" w:rsidR="00936538" w:rsidRPr="0031049E" w:rsidRDefault="00936538" w:rsidP="00AE0991">
      <w:pPr>
        <w:pStyle w:val="OpiniumNormal"/>
        <w:spacing w:after="0" w:line="360" w:lineRule="auto"/>
        <w:rPr>
          <w:rFonts w:asciiTheme="majorHAnsi" w:hAnsiTheme="majorHAnsi" w:cstheme="majorHAnsi"/>
          <w:color w:val="auto"/>
          <w:szCs w:val="20"/>
        </w:rPr>
      </w:pPr>
    </w:p>
    <w:p w14:paraId="07AD5085" w14:textId="6A601423" w:rsidR="00CA30A1" w:rsidRPr="0031049E" w:rsidRDefault="0012751B" w:rsidP="00AE099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Intermittent h</w:t>
      </w:r>
      <w:r w:rsidR="00AE0991" w:rsidRPr="0031049E">
        <w:rPr>
          <w:rFonts w:asciiTheme="majorHAnsi" w:hAnsiTheme="majorHAnsi" w:cstheme="majorHAnsi"/>
          <w:color w:val="auto"/>
          <w:szCs w:val="20"/>
        </w:rPr>
        <w:t>aemodialysis</w:t>
      </w:r>
      <w:r w:rsidR="00B6560C" w:rsidRPr="0031049E">
        <w:rPr>
          <w:rFonts w:asciiTheme="majorHAnsi" w:hAnsiTheme="majorHAnsi" w:cstheme="majorHAnsi"/>
          <w:color w:val="auto"/>
          <w:szCs w:val="20"/>
        </w:rPr>
        <w:t xml:space="preserve"> (IHD)</w:t>
      </w:r>
      <w:r w:rsidR="00AE0991" w:rsidRPr="0031049E">
        <w:rPr>
          <w:rFonts w:asciiTheme="majorHAnsi" w:hAnsiTheme="majorHAnsi" w:cstheme="majorHAnsi"/>
          <w:color w:val="auto"/>
          <w:szCs w:val="20"/>
        </w:rPr>
        <w:t xml:space="preserve"> has</w:t>
      </w:r>
      <w:r w:rsidR="00EC477E" w:rsidRPr="0031049E">
        <w:rPr>
          <w:rFonts w:asciiTheme="majorHAnsi" w:hAnsiTheme="majorHAnsi" w:cstheme="majorHAnsi"/>
          <w:color w:val="auto"/>
          <w:szCs w:val="20"/>
        </w:rPr>
        <w:t xml:space="preserve"> already</w:t>
      </w:r>
      <w:r w:rsidR="00AE0991" w:rsidRPr="0031049E">
        <w:rPr>
          <w:rFonts w:asciiTheme="majorHAnsi" w:hAnsiTheme="majorHAnsi" w:cstheme="majorHAnsi"/>
          <w:color w:val="auto"/>
          <w:szCs w:val="20"/>
        </w:rPr>
        <w:t xml:space="preserve"> been shown to eliminate 50% of </w:t>
      </w:r>
      <w:r w:rsidR="005C420C" w:rsidRPr="0031049E">
        <w:rPr>
          <w:rFonts w:asciiTheme="majorHAnsi" w:hAnsiTheme="majorHAnsi" w:cstheme="majorHAnsi"/>
          <w:color w:val="auto"/>
          <w:szCs w:val="20"/>
        </w:rPr>
        <w:t xml:space="preserve">levetiracetam </w:t>
      </w:r>
      <w:r w:rsidR="00AE0991" w:rsidRPr="0031049E">
        <w:rPr>
          <w:rFonts w:asciiTheme="majorHAnsi" w:hAnsiTheme="majorHAnsi" w:cstheme="majorHAnsi"/>
          <w:color w:val="auto"/>
          <w:szCs w:val="20"/>
        </w:rPr>
        <w:t>within four hours</w:t>
      </w:r>
      <w:r w:rsidR="00104158" w:rsidRPr="0031049E">
        <w:rPr>
          <w:rFonts w:asciiTheme="majorHAnsi" w:hAnsiTheme="majorHAnsi" w:cstheme="majorHAnsi"/>
          <w:color w:val="auto"/>
          <w:szCs w:val="20"/>
        </w:rPr>
        <w:t xml:space="preserve"> </w:t>
      </w:r>
      <w:r w:rsidR="00104158" w:rsidRPr="0031049E">
        <w:rPr>
          <w:rFonts w:asciiTheme="majorHAnsi" w:hAnsiTheme="majorHAnsi" w:cstheme="majorHAnsi"/>
          <w:b/>
          <w:bCs/>
          <w:color w:val="00B0F0" w:themeColor="accent1"/>
          <w:szCs w:val="20"/>
          <w:vertAlign w:val="superscript"/>
        </w:rPr>
        <w:t>[1</w:t>
      </w:r>
      <w:r w:rsidR="003E2307" w:rsidRPr="0031049E">
        <w:rPr>
          <w:rFonts w:asciiTheme="majorHAnsi" w:hAnsiTheme="majorHAnsi" w:cstheme="majorHAnsi"/>
          <w:b/>
          <w:bCs/>
          <w:color w:val="00B0F0" w:themeColor="accent1"/>
          <w:szCs w:val="20"/>
          <w:vertAlign w:val="superscript"/>
        </w:rPr>
        <w:t>3</w:t>
      </w:r>
      <w:r w:rsidR="00104158" w:rsidRPr="0031049E">
        <w:rPr>
          <w:rFonts w:asciiTheme="majorHAnsi" w:hAnsiTheme="majorHAnsi" w:cstheme="majorHAnsi"/>
          <w:b/>
          <w:bCs/>
          <w:color w:val="00B0F0" w:themeColor="accent1"/>
          <w:szCs w:val="20"/>
          <w:vertAlign w:val="superscript"/>
        </w:rPr>
        <w:t>]</w:t>
      </w:r>
      <w:r w:rsidR="00B6560C" w:rsidRPr="0031049E">
        <w:rPr>
          <w:rFonts w:asciiTheme="majorHAnsi" w:hAnsiTheme="majorHAnsi" w:cstheme="majorHAnsi"/>
          <w:color w:val="auto"/>
          <w:szCs w:val="20"/>
        </w:rPr>
        <w:t xml:space="preserve">. </w:t>
      </w:r>
      <w:r w:rsidR="00CA30A1" w:rsidRPr="0031049E">
        <w:rPr>
          <w:rFonts w:asciiTheme="majorHAnsi" w:hAnsiTheme="majorHAnsi" w:cstheme="majorHAnsi"/>
          <w:color w:val="auto"/>
          <w:szCs w:val="20"/>
        </w:rPr>
        <w:t xml:space="preserve">As a result, </w:t>
      </w:r>
      <w:r w:rsidR="00B6560C" w:rsidRPr="0031049E">
        <w:rPr>
          <w:rFonts w:asciiTheme="majorHAnsi" w:hAnsiTheme="majorHAnsi" w:cstheme="majorHAnsi"/>
          <w:color w:val="auto"/>
          <w:szCs w:val="20"/>
        </w:rPr>
        <w:t xml:space="preserve">the current </w:t>
      </w:r>
      <w:r w:rsidR="005C420C" w:rsidRPr="0031049E">
        <w:rPr>
          <w:rFonts w:asciiTheme="majorHAnsi" w:hAnsiTheme="majorHAnsi" w:cstheme="majorHAnsi"/>
          <w:color w:val="auto"/>
          <w:szCs w:val="20"/>
        </w:rPr>
        <w:t xml:space="preserve">dosing </w:t>
      </w:r>
      <w:r w:rsidR="00B6560C" w:rsidRPr="0031049E">
        <w:rPr>
          <w:rFonts w:asciiTheme="majorHAnsi" w:hAnsiTheme="majorHAnsi" w:cstheme="majorHAnsi"/>
          <w:color w:val="auto"/>
          <w:szCs w:val="20"/>
        </w:rPr>
        <w:t xml:space="preserve">recommendation </w:t>
      </w:r>
      <w:r w:rsidR="005C420C" w:rsidRPr="0031049E">
        <w:rPr>
          <w:rFonts w:asciiTheme="majorHAnsi" w:hAnsiTheme="majorHAnsi" w:cstheme="majorHAnsi"/>
          <w:color w:val="auto"/>
          <w:szCs w:val="20"/>
        </w:rPr>
        <w:t>for</w:t>
      </w:r>
      <w:r w:rsidR="00B6560C" w:rsidRPr="0031049E">
        <w:rPr>
          <w:rFonts w:asciiTheme="majorHAnsi" w:hAnsiTheme="majorHAnsi" w:cstheme="majorHAnsi"/>
          <w:color w:val="auto"/>
          <w:szCs w:val="20"/>
        </w:rPr>
        <w:t xml:space="preserve"> patients </w:t>
      </w:r>
      <w:r w:rsidR="005C420C" w:rsidRPr="0031049E">
        <w:rPr>
          <w:rFonts w:asciiTheme="majorHAnsi" w:hAnsiTheme="majorHAnsi" w:cstheme="majorHAnsi"/>
          <w:color w:val="auto"/>
          <w:szCs w:val="20"/>
        </w:rPr>
        <w:t xml:space="preserve">receiving </w:t>
      </w:r>
      <w:r w:rsidR="00B6560C" w:rsidRPr="0031049E">
        <w:rPr>
          <w:rFonts w:asciiTheme="majorHAnsi" w:hAnsiTheme="majorHAnsi" w:cstheme="majorHAnsi"/>
          <w:color w:val="auto"/>
          <w:szCs w:val="20"/>
        </w:rPr>
        <w:t xml:space="preserve">IHD </w:t>
      </w:r>
      <w:r w:rsidR="005C420C" w:rsidRPr="0031049E">
        <w:rPr>
          <w:rFonts w:asciiTheme="majorHAnsi" w:hAnsiTheme="majorHAnsi" w:cstheme="majorHAnsi"/>
          <w:color w:val="auto"/>
          <w:szCs w:val="20"/>
        </w:rPr>
        <w:t>is</w:t>
      </w:r>
      <w:r w:rsidR="0004047C" w:rsidRPr="0031049E">
        <w:rPr>
          <w:rFonts w:asciiTheme="majorHAnsi" w:hAnsiTheme="majorHAnsi" w:cstheme="majorHAnsi"/>
          <w:color w:val="auto"/>
          <w:szCs w:val="20"/>
        </w:rPr>
        <w:t xml:space="preserve"> </w:t>
      </w:r>
      <w:r w:rsidR="00B6560C" w:rsidRPr="0031049E">
        <w:rPr>
          <w:rFonts w:asciiTheme="majorHAnsi" w:hAnsiTheme="majorHAnsi" w:cstheme="majorHAnsi"/>
          <w:color w:val="auto"/>
          <w:szCs w:val="20"/>
        </w:rPr>
        <w:t xml:space="preserve">a 750mg loading dose </w:t>
      </w:r>
      <w:r w:rsidR="005C420C" w:rsidRPr="0031049E">
        <w:rPr>
          <w:rFonts w:asciiTheme="majorHAnsi" w:hAnsiTheme="majorHAnsi" w:cstheme="majorHAnsi"/>
          <w:color w:val="auto"/>
          <w:szCs w:val="20"/>
        </w:rPr>
        <w:t xml:space="preserve">followed by </w:t>
      </w:r>
      <w:r w:rsidR="00B6560C" w:rsidRPr="0031049E">
        <w:rPr>
          <w:rFonts w:asciiTheme="majorHAnsi" w:hAnsiTheme="majorHAnsi" w:cstheme="majorHAnsi"/>
          <w:color w:val="auto"/>
          <w:szCs w:val="20"/>
        </w:rPr>
        <w:t>500 – 1,000mg once daily dosing</w:t>
      </w:r>
      <w:r w:rsidR="00AE132A" w:rsidRPr="0031049E">
        <w:rPr>
          <w:rFonts w:asciiTheme="majorHAnsi" w:hAnsiTheme="majorHAnsi" w:cstheme="majorHAnsi"/>
          <w:color w:val="auto"/>
          <w:szCs w:val="20"/>
        </w:rPr>
        <w:t xml:space="preserve"> </w:t>
      </w:r>
      <w:r w:rsidR="00AE132A" w:rsidRPr="0031049E">
        <w:rPr>
          <w:rFonts w:asciiTheme="majorHAnsi" w:hAnsiTheme="majorHAnsi" w:cstheme="majorHAnsi"/>
          <w:b/>
          <w:bCs/>
          <w:color w:val="00B0F0" w:themeColor="accent1"/>
          <w:szCs w:val="20"/>
          <w:vertAlign w:val="superscript"/>
        </w:rPr>
        <w:t>[11]</w:t>
      </w:r>
      <w:r w:rsidR="00B6560C" w:rsidRPr="0031049E">
        <w:rPr>
          <w:rFonts w:asciiTheme="majorHAnsi" w:hAnsiTheme="majorHAnsi" w:cstheme="majorHAnsi"/>
          <w:color w:val="auto"/>
          <w:szCs w:val="20"/>
        </w:rPr>
        <w:t xml:space="preserve">. </w:t>
      </w:r>
      <w:r w:rsidR="00E33A9C" w:rsidRPr="0031049E">
        <w:rPr>
          <w:rFonts w:asciiTheme="majorHAnsi" w:hAnsiTheme="majorHAnsi" w:cstheme="majorHAnsi"/>
          <w:color w:val="auto"/>
          <w:szCs w:val="20"/>
        </w:rPr>
        <w:t>However, there are no formalised</w:t>
      </w:r>
      <w:r w:rsidR="007414F1" w:rsidRPr="0031049E">
        <w:rPr>
          <w:rFonts w:asciiTheme="majorHAnsi" w:hAnsiTheme="majorHAnsi" w:cstheme="majorHAnsi"/>
          <w:color w:val="auto"/>
          <w:szCs w:val="20"/>
        </w:rPr>
        <w:t xml:space="preserve"> dosing recommendations for patients on CRRT</w:t>
      </w:r>
      <w:r w:rsidR="0024699E" w:rsidRPr="0031049E">
        <w:rPr>
          <w:rFonts w:asciiTheme="majorHAnsi" w:hAnsiTheme="majorHAnsi" w:cstheme="majorHAnsi"/>
          <w:color w:val="auto"/>
          <w:szCs w:val="20"/>
        </w:rPr>
        <w:t>.</w:t>
      </w:r>
      <w:r w:rsidR="00704B53" w:rsidRPr="0031049E">
        <w:rPr>
          <w:rFonts w:asciiTheme="majorHAnsi" w:hAnsiTheme="majorHAnsi" w:cstheme="majorHAnsi"/>
          <w:color w:val="auto"/>
          <w:szCs w:val="20"/>
        </w:rPr>
        <w:t xml:space="preserve"> </w:t>
      </w:r>
      <w:r w:rsidR="00B13D34" w:rsidRPr="0031049E">
        <w:rPr>
          <w:rFonts w:asciiTheme="majorHAnsi" w:hAnsiTheme="majorHAnsi" w:cstheme="majorHAnsi"/>
          <w:color w:val="auto"/>
          <w:szCs w:val="20"/>
        </w:rPr>
        <w:t xml:space="preserve">Indeed, in the UK the product license </w:t>
      </w:r>
      <w:r w:rsidR="00704B53" w:rsidRPr="0031049E">
        <w:rPr>
          <w:rFonts w:asciiTheme="majorHAnsi" w:hAnsiTheme="majorHAnsi" w:cstheme="majorHAnsi"/>
          <w:color w:val="auto"/>
          <w:szCs w:val="20"/>
        </w:rPr>
        <w:t>provides no dosing guidance outside of IHD.</w:t>
      </w:r>
      <w:r w:rsidR="0024699E" w:rsidRPr="0031049E">
        <w:rPr>
          <w:rFonts w:asciiTheme="majorHAnsi" w:hAnsiTheme="majorHAnsi" w:cstheme="majorHAnsi"/>
          <w:color w:val="auto"/>
          <w:szCs w:val="20"/>
        </w:rPr>
        <w:t xml:space="preserve"> </w:t>
      </w:r>
      <w:r w:rsidR="006B5A75" w:rsidRPr="0031049E">
        <w:rPr>
          <w:rFonts w:asciiTheme="majorHAnsi" w:hAnsiTheme="majorHAnsi" w:cstheme="majorHAnsi"/>
          <w:color w:val="auto"/>
          <w:szCs w:val="20"/>
        </w:rPr>
        <w:t xml:space="preserve">Instead, a range of </w:t>
      </w:r>
      <w:r w:rsidR="001C1BAE" w:rsidRPr="0031049E">
        <w:rPr>
          <w:rFonts w:asciiTheme="majorHAnsi" w:hAnsiTheme="majorHAnsi" w:cstheme="majorHAnsi"/>
          <w:color w:val="auto"/>
          <w:szCs w:val="20"/>
        </w:rPr>
        <w:t>re</w:t>
      </w:r>
      <w:r w:rsidR="006B5A75" w:rsidRPr="0031049E">
        <w:rPr>
          <w:rFonts w:asciiTheme="majorHAnsi" w:hAnsiTheme="majorHAnsi" w:cstheme="majorHAnsi"/>
          <w:color w:val="auto"/>
          <w:szCs w:val="20"/>
        </w:rPr>
        <w:t xml:space="preserve">sources based on </w:t>
      </w:r>
      <w:r w:rsidR="005E0307" w:rsidRPr="0031049E">
        <w:rPr>
          <w:rFonts w:asciiTheme="majorHAnsi" w:hAnsiTheme="majorHAnsi" w:cstheme="majorHAnsi"/>
          <w:color w:val="auto"/>
          <w:szCs w:val="20"/>
        </w:rPr>
        <w:t>limited evidence and expert opinion</w:t>
      </w:r>
      <w:r w:rsidR="006B5A75" w:rsidRPr="0031049E">
        <w:rPr>
          <w:rFonts w:asciiTheme="majorHAnsi" w:hAnsiTheme="majorHAnsi" w:cstheme="majorHAnsi"/>
          <w:color w:val="auto"/>
          <w:szCs w:val="20"/>
        </w:rPr>
        <w:t xml:space="preserve"> are used in clinical practice</w:t>
      </w:r>
      <w:r w:rsidR="0006009E" w:rsidRPr="0031049E">
        <w:rPr>
          <w:rFonts w:asciiTheme="majorHAnsi" w:hAnsiTheme="majorHAnsi" w:cstheme="majorHAnsi"/>
          <w:color w:val="auto"/>
          <w:szCs w:val="20"/>
        </w:rPr>
        <w:t xml:space="preserve"> []</w:t>
      </w:r>
      <w:r w:rsidR="006B5A75" w:rsidRPr="0031049E">
        <w:rPr>
          <w:rFonts w:asciiTheme="majorHAnsi" w:hAnsiTheme="majorHAnsi" w:cstheme="majorHAnsi"/>
          <w:color w:val="auto"/>
          <w:szCs w:val="20"/>
        </w:rPr>
        <w:t>.</w:t>
      </w:r>
      <w:r w:rsidR="003341D6" w:rsidRPr="0031049E">
        <w:rPr>
          <w:rFonts w:asciiTheme="majorHAnsi" w:hAnsiTheme="majorHAnsi" w:cstheme="majorHAnsi"/>
          <w:color w:val="auto"/>
          <w:szCs w:val="20"/>
        </w:rPr>
        <w:t xml:space="preserve"> Until recently, the evidence base </w:t>
      </w:r>
      <w:r w:rsidR="00EE3755" w:rsidRPr="0031049E">
        <w:rPr>
          <w:rFonts w:asciiTheme="majorHAnsi" w:hAnsiTheme="majorHAnsi" w:cstheme="majorHAnsi"/>
          <w:color w:val="auto"/>
          <w:szCs w:val="20"/>
        </w:rPr>
        <w:t xml:space="preserve">that underpinned </w:t>
      </w:r>
      <w:r w:rsidR="00CB4ADC" w:rsidRPr="0031049E">
        <w:rPr>
          <w:rFonts w:asciiTheme="majorHAnsi" w:hAnsiTheme="majorHAnsi" w:cstheme="majorHAnsi"/>
          <w:color w:val="auto"/>
          <w:szCs w:val="20"/>
        </w:rPr>
        <w:t>dosing suggestions</w:t>
      </w:r>
      <w:r w:rsidR="00EE3755" w:rsidRPr="0031049E">
        <w:rPr>
          <w:rFonts w:asciiTheme="majorHAnsi" w:hAnsiTheme="majorHAnsi" w:cstheme="majorHAnsi"/>
          <w:color w:val="auto"/>
          <w:szCs w:val="20"/>
        </w:rPr>
        <w:t xml:space="preserve"> was limited to three case reports alone </w:t>
      </w:r>
      <w:r w:rsidR="00EE3755" w:rsidRPr="0031049E">
        <w:rPr>
          <w:rFonts w:asciiTheme="majorHAnsi" w:hAnsiTheme="majorHAnsi" w:cstheme="majorHAnsi"/>
          <w:b/>
          <w:bCs/>
          <w:color w:val="00B0F0" w:themeColor="accent1"/>
          <w:szCs w:val="20"/>
          <w:vertAlign w:val="superscript"/>
        </w:rPr>
        <w:t>[</w:t>
      </w:r>
      <w:r w:rsidR="00FC2AFB" w:rsidRPr="0031049E">
        <w:rPr>
          <w:rFonts w:asciiTheme="majorHAnsi" w:hAnsiTheme="majorHAnsi" w:cstheme="majorHAnsi"/>
          <w:b/>
          <w:bCs/>
          <w:color w:val="00B0F0" w:themeColor="accent1"/>
          <w:szCs w:val="20"/>
          <w:vertAlign w:val="superscript"/>
        </w:rPr>
        <w:t xml:space="preserve">27, 41-42, </w:t>
      </w:r>
      <w:r w:rsidR="00EE3755" w:rsidRPr="0031049E">
        <w:rPr>
          <w:rFonts w:asciiTheme="majorHAnsi" w:hAnsiTheme="majorHAnsi" w:cstheme="majorHAnsi"/>
          <w:b/>
          <w:bCs/>
          <w:color w:val="00B0F0" w:themeColor="accent1"/>
          <w:szCs w:val="20"/>
          <w:vertAlign w:val="superscript"/>
        </w:rPr>
        <w:t>50</w:t>
      </w:r>
      <w:r w:rsidR="00FC2AFB" w:rsidRPr="0031049E">
        <w:rPr>
          <w:rFonts w:asciiTheme="majorHAnsi" w:hAnsiTheme="majorHAnsi" w:cstheme="majorHAnsi"/>
          <w:b/>
          <w:bCs/>
          <w:color w:val="00B0F0" w:themeColor="accent1"/>
          <w:szCs w:val="20"/>
          <w:vertAlign w:val="superscript"/>
        </w:rPr>
        <w:t>]</w:t>
      </w:r>
      <w:r w:rsidR="00EE3755" w:rsidRPr="0031049E">
        <w:rPr>
          <w:rFonts w:asciiTheme="majorHAnsi" w:hAnsiTheme="majorHAnsi" w:cstheme="majorHAnsi"/>
          <w:color w:val="auto"/>
          <w:szCs w:val="20"/>
        </w:rPr>
        <w:t>.</w:t>
      </w:r>
      <w:r w:rsidR="001C1BAE" w:rsidRPr="0031049E">
        <w:rPr>
          <w:rFonts w:asciiTheme="majorHAnsi" w:hAnsiTheme="majorHAnsi" w:cstheme="majorHAnsi"/>
          <w:color w:val="auto"/>
          <w:szCs w:val="20"/>
        </w:rPr>
        <w:t xml:space="preserve"> </w:t>
      </w:r>
      <w:r w:rsidR="00F00737" w:rsidRPr="0031049E">
        <w:rPr>
          <w:rFonts w:asciiTheme="majorHAnsi" w:hAnsiTheme="majorHAnsi" w:cstheme="majorHAnsi"/>
          <w:color w:val="auto"/>
          <w:szCs w:val="20"/>
        </w:rPr>
        <w:t>Suggestions range from 250 – 750 mg BD dosing without a loading dose</w:t>
      </w:r>
      <w:r w:rsidR="00CA4398" w:rsidRPr="0031049E">
        <w:rPr>
          <w:rFonts w:asciiTheme="majorHAnsi" w:hAnsiTheme="majorHAnsi" w:cstheme="majorHAnsi"/>
          <w:color w:val="auto"/>
          <w:szCs w:val="20"/>
        </w:rPr>
        <w:t>,</w:t>
      </w:r>
      <w:r w:rsidR="004D6937" w:rsidRPr="0031049E">
        <w:rPr>
          <w:rFonts w:asciiTheme="majorHAnsi" w:hAnsiTheme="majorHAnsi" w:cstheme="majorHAnsi"/>
          <w:color w:val="auto"/>
          <w:szCs w:val="20"/>
        </w:rPr>
        <w:t xml:space="preserve"> to 750 – 1,</w:t>
      </w:r>
      <w:r w:rsidR="00CB4ADC" w:rsidRPr="0031049E">
        <w:rPr>
          <w:rFonts w:asciiTheme="majorHAnsi" w:hAnsiTheme="majorHAnsi" w:cstheme="majorHAnsi"/>
          <w:color w:val="auto"/>
          <w:szCs w:val="20"/>
        </w:rPr>
        <w:t>25</w:t>
      </w:r>
      <w:r w:rsidR="004D6937" w:rsidRPr="0031049E">
        <w:rPr>
          <w:rFonts w:asciiTheme="majorHAnsi" w:hAnsiTheme="majorHAnsi" w:cstheme="majorHAnsi"/>
          <w:color w:val="auto"/>
          <w:szCs w:val="20"/>
        </w:rPr>
        <w:t>0 mg BD with or without a loading dose</w:t>
      </w:r>
      <w:r w:rsidR="00CA4398" w:rsidRPr="0031049E">
        <w:rPr>
          <w:rFonts w:asciiTheme="majorHAnsi" w:hAnsiTheme="majorHAnsi" w:cstheme="majorHAnsi"/>
          <w:color w:val="auto"/>
          <w:szCs w:val="20"/>
        </w:rPr>
        <w:t>, t</w:t>
      </w:r>
      <w:r w:rsidR="00900543" w:rsidRPr="0031049E">
        <w:rPr>
          <w:rFonts w:asciiTheme="majorHAnsi" w:hAnsiTheme="majorHAnsi" w:cstheme="majorHAnsi"/>
          <w:color w:val="auto"/>
          <w:szCs w:val="20"/>
        </w:rPr>
        <w:t>o no adjustments to normal dosing at all</w:t>
      </w:r>
      <w:r w:rsidR="004D6937" w:rsidRPr="0031049E">
        <w:rPr>
          <w:rFonts w:asciiTheme="majorHAnsi" w:hAnsiTheme="majorHAnsi" w:cstheme="majorHAnsi"/>
          <w:color w:val="auto"/>
          <w:szCs w:val="20"/>
        </w:rPr>
        <w:t xml:space="preserve"> </w:t>
      </w:r>
      <w:r w:rsidR="004D6937" w:rsidRPr="0031049E">
        <w:rPr>
          <w:rFonts w:asciiTheme="majorHAnsi" w:hAnsiTheme="majorHAnsi" w:cstheme="majorHAnsi"/>
          <w:b/>
          <w:bCs/>
          <w:color w:val="00B0F0"/>
          <w:szCs w:val="20"/>
          <w:vertAlign w:val="superscript"/>
        </w:rPr>
        <w:t>[17-19]</w:t>
      </w:r>
      <w:r w:rsidR="004D6937" w:rsidRPr="0031049E">
        <w:rPr>
          <w:rFonts w:asciiTheme="majorHAnsi" w:hAnsiTheme="majorHAnsi" w:cstheme="majorHAnsi"/>
          <w:color w:val="auto"/>
          <w:szCs w:val="20"/>
        </w:rPr>
        <w:t xml:space="preserve">. </w:t>
      </w:r>
      <w:r w:rsidR="005E090D" w:rsidRPr="0031049E">
        <w:rPr>
          <w:rFonts w:asciiTheme="majorHAnsi" w:hAnsiTheme="majorHAnsi" w:cstheme="majorHAnsi"/>
          <w:color w:val="auto"/>
          <w:szCs w:val="20"/>
        </w:rPr>
        <w:t>In the last few years, there has been a renewed focus on broadening the evidence base</w:t>
      </w:r>
      <w:r w:rsidR="008A3131" w:rsidRPr="0031049E">
        <w:rPr>
          <w:rFonts w:asciiTheme="majorHAnsi" w:hAnsiTheme="majorHAnsi" w:cstheme="majorHAnsi"/>
          <w:color w:val="auto"/>
          <w:szCs w:val="20"/>
        </w:rPr>
        <w:t xml:space="preserve"> using pharmacokinetic studies in this patient population</w:t>
      </w:r>
      <w:r w:rsidR="005E090D" w:rsidRPr="0031049E">
        <w:rPr>
          <w:rFonts w:asciiTheme="majorHAnsi" w:hAnsiTheme="majorHAnsi" w:cstheme="majorHAnsi"/>
          <w:color w:val="auto"/>
          <w:szCs w:val="20"/>
        </w:rPr>
        <w:t xml:space="preserve"> </w:t>
      </w:r>
      <w:r w:rsidR="00982397" w:rsidRPr="0031049E">
        <w:rPr>
          <w:rFonts w:asciiTheme="majorHAnsi" w:hAnsiTheme="majorHAnsi" w:cstheme="majorHAnsi"/>
          <w:b/>
          <w:bCs/>
          <w:color w:val="00B0F0" w:themeColor="accent1"/>
          <w:szCs w:val="20"/>
          <w:vertAlign w:val="superscript"/>
        </w:rPr>
        <w:t>[24]</w:t>
      </w:r>
      <w:r w:rsidR="006E4EC6" w:rsidRPr="0031049E">
        <w:rPr>
          <w:rFonts w:asciiTheme="majorHAnsi" w:hAnsiTheme="majorHAnsi" w:cstheme="majorHAnsi"/>
          <w:color w:val="auto"/>
          <w:szCs w:val="20"/>
        </w:rPr>
        <w:t>.</w:t>
      </w:r>
      <w:r w:rsidR="006D216E" w:rsidRPr="0031049E">
        <w:rPr>
          <w:rFonts w:asciiTheme="majorHAnsi" w:hAnsiTheme="majorHAnsi" w:cstheme="majorHAnsi"/>
          <w:color w:val="auto"/>
          <w:szCs w:val="20"/>
        </w:rPr>
        <w:t xml:space="preserve"> </w:t>
      </w:r>
      <w:r w:rsidR="006548ED" w:rsidRPr="0031049E">
        <w:rPr>
          <w:rFonts w:asciiTheme="majorHAnsi" w:hAnsiTheme="majorHAnsi" w:cstheme="majorHAnsi"/>
          <w:color w:val="auto"/>
          <w:szCs w:val="20"/>
        </w:rPr>
        <w:t xml:space="preserve">Studies by </w:t>
      </w:r>
      <w:r w:rsidR="006548ED" w:rsidRPr="0031049E">
        <w:rPr>
          <w:rFonts w:asciiTheme="majorHAnsi" w:hAnsiTheme="majorHAnsi" w:cstheme="majorHAnsi"/>
          <w:color w:val="auto"/>
          <w:szCs w:val="20"/>
        </w:rPr>
        <w:lastRenderedPageBreak/>
        <w:t>Kalaria et al. and Chaijamorn et al. have</w:t>
      </w:r>
      <w:r w:rsidR="00A43B06" w:rsidRPr="0031049E">
        <w:rPr>
          <w:rFonts w:asciiTheme="majorHAnsi" w:hAnsiTheme="majorHAnsi" w:cstheme="majorHAnsi"/>
          <w:color w:val="auto"/>
          <w:szCs w:val="20"/>
        </w:rPr>
        <w:t xml:space="preserve"> used such data</w:t>
      </w:r>
      <w:r w:rsidR="004A1A10" w:rsidRPr="0031049E">
        <w:rPr>
          <w:rFonts w:asciiTheme="majorHAnsi" w:hAnsiTheme="majorHAnsi" w:cstheme="majorHAnsi"/>
          <w:color w:val="auto"/>
          <w:szCs w:val="20"/>
        </w:rPr>
        <w:t xml:space="preserve"> in an attempt to elucidate a safe and effective dose in patients on CRRT </w:t>
      </w:r>
      <w:r w:rsidR="004A1A10" w:rsidRPr="0031049E">
        <w:rPr>
          <w:rFonts w:asciiTheme="majorHAnsi" w:hAnsiTheme="majorHAnsi" w:cstheme="majorHAnsi"/>
          <w:b/>
          <w:bCs/>
          <w:color w:val="00B0F0" w:themeColor="accent1"/>
          <w:szCs w:val="20"/>
          <w:vertAlign w:val="superscript"/>
        </w:rPr>
        <w:t>[]</w:t>
      </w:r>
      <w:r w:rsidR="004A1A10" w:rsidRPr="0031049E">
        <w:rPr>
          <w:rFonts w:asciiTheme="majorHAnsi" w:hAnsiTheme="majorHAnsi" w:cstheme="majorHAnsi"/>
          <w:color w:val="auto"/>
          <w:szCs w:val="20"/>
        </w:rPr>
        <w:t>.</w:t>
      </w:r>
    </w:p>
    <w:p w14:paraId="5143A3FD" w14:textId="77777777" w:rsidR="007B03E7" w:rsidRPr="0031049E" w:rsidRDefault="007B03E7" w:rsidP="00AE0991">
      <w:pPr>
        <w:pStyle w:val="OpiniumNormal"/>
        <w:spacing w:after="0" w:line="360" w:lineRule="auto"/>
        <w:rPr>
          <w:rFonts w:asciiTheme="majorHAnsi" w:hAnsiTheme="majorHAnsi" w:cstheme="majorHAnsi"/>
          <w:color w:val="auto"/>
          <w:szCs w:val="20"/>
        </w:rPr>
      </w:pPr>
    </w:p>
    <w:p w14:paraId="7606B04D" w14:textId="5E37280D" w:rsidR="007B03E7" w:rsidRPr="0031049E" w:rsidRDefault="006C75BF" w:rsidP="00AE099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In this study, we evaluate the latest available evidence on the pharmacokinetics of levetiracetam in critically ill patients undergoing CRRT.</w:t>
      </w:r>
      <w:r w:rsidR="003926BC" w:rsidRPr="0031049E">
        <w:rPr>
          <w:rFonts w:asciiTheme="majorHAnsi" w:hAnsiTheme="majorHAnsi" w:cstheme="majorHAnsi"/>
          <w:color w:val="auto"/>
          <w:szCs w:val="20"/>
        </w:rPr>
        <w:t xml:space="preserve"> </w:t>
      </w:r>
      <w:r w:rsidR="00A53AC6" w:rsidRPr="0031049E">
        <w:rPr>
          <w:rFonts w:asciiTheme="majorHAnsi" w:hAnsiTheme="majorHAnsi" w:cstheme="majorHAnsi"/>
          <w:color w:val="auto"/>
          <w:szCs w:val="20"/>
        </w:rPr>
        <w:t xml:space="preserve">We undertake a hybrid </w:t>
      </w:r>
      <w:r w:rsidR="00CD72AA" w:rsidRPr="0031049E">
        <w:rPr>
          <w:rFonts w:asciiTheme="majorHAnsi" w:hAnsiTheme="majorHAnsi" w:cstheme="majorHAnsi"/>
          <w:color w:val="auto"/>
          <w:szCs w:val="20"/>
        </w:rPr>
        <w:t>study that combines a systematic review and quality assessment of the latest evidence</w:t>
      </w:r>
      <w:r w:rsidR="002D25A6" w:rsidRPr="0031049E">
        <w:rPr>
          <w:rFonts w:asciiTheme="majorHAnsi" w:hAnsiTheme="majorHAnsi" w:cstheme="majorHAnsi"/>
          <w:color w:val="auto"/>
          <w:szCs w:val="20"/>
        </w:rPr>
        <w:t xml:space="preserve"> in addition to computational modelling to simulate the effects of different dosing strategies on plasma concentration.</w:t>
      </w:r>
      <w:r w:rsidR="004F309C" w:rsidRPr="0031049E">
        <w:rPr>
          <w:rFonts w:asciiTheme="majorHAnsi" w:hAnsiTheme="majorHAnsi" w:cstheme="majorHAnsi"/>
          <w:color w:val="auto"/>
          <w:szCs w:val="20"/>
        </w:rPr>
        <w:t xml:space="preserve"> </w:t>
      </w:r>
      <w:r w:rsidR="00BF42A8" w:rsidRPr="0031049E">
        <w:rPr>
          <w:rFonts w:asciiTheme="majorHAnsi" w:hAnsiTheme="majorHAnsi" w:cstheme="majorHAnsi"/>
          <w:color w:val="auto"/>
          <w:szCs w:val="20"/>
        </w:rPr>
        <w:t xml:space="preserve">This hybrid approach </w:t>
      </w:r>
      <w:r w:rsidR="00121696" w:rsidRPr="0031049E">
        <w:rPr>
          <w:rFonts w:asciiTheme="majorHAnsi" w:hAnsiTheme="majorHAnsi" w:cstheme="majorHAnsi"/>
          <w:color w:val="auto"/>
          <w:szCs w:val="20"/>
        </w:rPr>
        <w:t>was adopted</w:t>
      </w:r>
      <w:r w:rsidR="00BF42A8" w:rsidRPr="0031049E">
        <w:rPr>
          <w:rFonts w:asciiTheme="majorHAnsi" w:hAnsiTheme="majorHAnsi" w:cstheme="majorHAnsi"/>
          <w:color w:val="auto"/>
          <w:szCs w:val="20"/>
        </w:rPr>
        <w:t xml:space="preserve"> to overcome the paucity of data on levetiracetam pharmacokinetics in this understudied population</w:t>
      </w:r>
      <w:r w:rsidR="00121696" w:rsidRPr="0031049E">
        <w:rPr>
          <w:rFonts w:asciiTheme="majorHAnsi" w:hAnsiTheme="majorHAnsi" w:cstheme="majorHAnsi"/>
          <w:color w:val="auto"/>
          <w:szCs w:val="20"/>
        </w:rPr>
        <w:t xml:space="preserve">, bringing together the disparate data into a single cohesive </w:t>
      </w:r>
      <w:r w:rsidR="00772552" w:rsidRPr="0031049E">
        <w:rPr>
          <w:rFonts w:asciiTheme="majorHAnsi" w:hAnsiTheme="majorHAnsi" w:cstheme="majorHAnsi"/>
          <w:color w:val="auto"/>
          <w:szCs w:val="20"/>
        </w:rPr>
        <w:t>review</w:t>
      </w:r>
      <w:r w:rsidR="00484739" w:rsidRPr="0031049E">
        <w:rPr>
          <w:rFonts w:asciiTheme="majorHAnsi" w:hAnsiTheme="majorHAnsi" w:cstheme="majorHAnsi"/>
          <w:color w:val="auto"/>
          <w:szCs w:val="20"/>
        </w:rPr>
        <w:t xml:space="preserve"> to enable a more robust population analysis than a</w:t>
      </w:r>
      <w:r w:rsidR="008468E6" w:rsidRPr="0031049E">
        <w:rPr>
          <w:rFonts w:asciiTheme="majorHAnsi" w:hAnsiTheme="majorHAnsi" w:cstheme="majorHAnsi"/>
          <w:color w:val="auto"/>
          <w:szCs w:val="20"/>
        </w:rPr>
        <w:t xml:space="preserve"> single</w:t>
      </w:r>
      <w:r w:rsidR="00C06A55" w:rsidRPr="0031049E">
        <w:rPr>
          <w:rFonts w:asciiTheme="majorHAnsi" w:hAnsiTheme="majorHAnsi" w:cstheme="majorHAnsi"/>
          <w:color w:val="auto"/>
          <w:szCs w:val="20"/>
        </w:rPr>
        <w:t>,</w:t>
      </w:r>
      <w:r w:rsidR="00484739" w:rsidRPr="0031049E">
        <w:rPr>
          <w:rFonts w:asciiTheme="majorHAnsi" w:hAnsiTheme="majorHAnsi" w:cstheme="majorHAnsi"/>
          <w:color w:val="auto"/>
          <w:szCs w:val="20"/>
        </w:rPr>
        <w:t xml:space="preserve"> stand-alone study.</w:t>
      </w:r>
      <w:r w:rsidR="00BD7A98" w:rsidRPr="0031049E">
        <w:rPr>
          <w:rFonts w:asciiTheme="majorHAnsi" w:hAnsiTheme="majorHAnsi" w:cstheme="majorHAnsi"/>
          <w:color w:val="auto"/>
          <w:szCs w:val="20"/>
        </w:rPr>
        <w:t xml:space="preserve"> Our </w:t>
      </w:r>
      <w:r w:rsidR="00C06A55" w:rsidRPr="0031049E">
        <w:rPr>
          <w:rFonts w:asciiTheme="majorHAnsi" w:hAnsiTheme="majorHAnsi" w:cstheme="majorHAnsi"/>
          <w:color w:val="auto"/>
          <w:szCs w:val="20"/>
        </w:rPr>
        <w:t>computational model</w:t>
      </w:r>
      <w:r w:rsidR="001F6077" w:rsidRPr="0031049E">
        <w:rPr>
          <w:rFonts w:asciiTheme="majorHAnsi" w:hAnsiTheme="majorHAnsi" w:cstheme="majorHAnsi"/>
          <w:color w:val="auto"/>
          <w:szCs w:val="20"/>
        </w:rPr>
        <w:t xml:space="preserve"> is therefore based on a larger sample size than previous </w:t>
      </w:r>
      <w:r w:rsidR="00303C26" w:rsidRPr="0031049E">
        <w:rPr>
          <w:rFonts w:asciiTheme="majorHAnsi" w:hAnsiTheme="majorHAnsi" w:cstheme="majorHAnsi"/>
          <w:color w:val="auto"/>
          <w:szCs w:val="20"/>
        </w:rPr>
        <w:t xml:space="preserve">pharmacokinetic models and was used to simulate the predicted plasma concentrations of different dosing strategies to determine the optimum </w:t>
      </w:r>
      <w:r w:rsidR="001A1AD8" w:rsidRPr="0031049E">
        <w:rPr>
          <w:rFonts w:asciiTheme="majorHAnsi" w:hAnsiTheme="majorHAnsi" w:cstheme="majorHAnsi"/>
          <w:color w:val="auto"/>
          <w:szCs w:val="20"/>
        </w:rPr>
        <w:t xml:space="preserve">regimen for patients on CRRT. This is in direct response to several case reports and case studies that suggest the clearance of levetiracetam </w:t>
      </w:r>
      <w:r w:rsidR="001A1AD8" w:rsidRPr="0031049E">
        <w:rPr>
          <w:rFonts w:asciiTheme="majorHAnsi" w:hAnsiTheme="majorHAnsi" w:cstheme="majorHAnsi"/>
          <w:i/>
          <w:iCs/>
          <w:color w:val="auto"/>
          <w:szCs w:val="20"/>
        </w:rPr>
        <w:t>in vivo</w:t>
      </w:r>
      <w:r w:rsidR="001A1AD8" w:rsidRPr="0031049E">
        <w:rPr>
          <w:rFonts w:asciiTheme="majorHAnsi" w:hAnsiTheme="majorHAnsi" w:cstheme="majorHAnsi"/>
          <w:color w:val="auto"/>
          <w:szCs w:val="20"/>
        </w:rPr>
        <w:t xml:space="preserve"> may be significantly higher than previously thought</w:t>
      </w:r>
      <w:r w:rsidR="00D4798A" w:rsidRPr="0031049E">
        <w:rPr>
          <w:rFonts w:asciiTheme="majorHAnsi" w:hAnsiTheme="majorHAnsi" w:cstheme="majorHAnsi"/>
          <w:color w:val="auto"/>
          <w:szCs w:val="20"/>
        </w:rPr>
        <w:t xml:space="preserve"> </w:t>
      </w:r>
      <w:r w:rsidR="0082246F" w:rsidRPr="0031049E">
        <w:rPr>
          <w:rFonts w:asciiTheme="majorHAnsi" w:hAnsiTheme="majorHAnsi" w:cstheme="majorHAnsi"/>
          <w:color w:val="auto"/>
          <w:szCs w:val="20"/>
        </w:rPr>
        <w:t>for patients on CRRT</w:t>
      </w:r>
      <w:r w:rsidR="001A1AD8" w:rsidRPr="0031049E">
        <w:rPr>
          <w:rFonts w:asciiTheme="majorHAnsi" w:hAnsiTheme="majorHAnsi" w:cstheme="majorHAnsi"/>
          <w:color w:val="auto"/>
          <w:szCs w:val="20"/>
        </w:rPr>
        <w:t xml:space="preserve"> – raising the risk of sub-therapeutic plasma concentrations in such patients </w:t>
      </w:r>
      <w:r w:rsidR="001A1AD8" w:rsidRPr="0031049E">
        <w:rPr>
          <w:rFonts w:asciiTheme="majorHAnsi" w:hAnsiTheme="majorHAnsi" w:cstheme="majorHAnsi"/>
          <w:b/>
          <w:bCs/>
          <w:color w:val="00B0F0" w:themeColor="accent1"/>
          <w:szCs w:val="20"/>
          <w:vertAlign w:val="superscript"/>
        </w:rPr>
        <w:t>[2</w:t>
      </w:r>
      <w:r w:rsidR="00637881" w:rsidRPr="0031049E">
        <w:rPr>
          <w:rFonts w:asciiTheme="majorHAnsi" w:hAnsiTheme="majorHAnsi" w:cstheme="majorHAnsi"/>
          <w:b/>
          <w:bCs/>
          <w:color w:val="00B0F0" w:themeColor="accent1"/>
          <w:szCs w:val="20"/>
          <w:vertAlign w:val="superscript"/>
        </w:rPr>
        <w:t>4</w:t>
      </w:r>
      <w:r w:rsidR="001A1AD8" w:rsidRPr="0031049E">
        <w:rPr>
          <w:rFonts w:asciiTheme="majorHAnsi" w:hAnsiTheme="majorHAnsi" w:cstheme="majorHAnsi"/>
          <w:b/>
          <w:bCs/>
          <w:color w:val="00B0F0" w:themeColor="accent1"/>
          <w:szCs w:val="20"/>
          <w:vertAlign w:val="superscript"/>
        </w:rPr>
        <w:t>-2</w:t>
      </w:r>
      <w:r w:rsidR="00637881" w:rsidRPr="0031049E">
        <w:rPr>
          <w:rFonts w:asciiTheme="majorHAnsi" w:hAnsiTheme="majorHAnsi" w:cstheme="majorHAnsi"/>
          <w:b/>
          <w:bCs/>
          <w:color w:val="00B0F0" w:themeColor="accent1"/>
          <w:szCs w:val="20"/>
          <w:vertAlign w:val="superscript"/>
        </w:rPr>
        <w:t>7</w:t>
      </w:r>
      <w:r w:rsidR="001A1AD8" w:rsidRPr="0031049E">
        <w:rPr>
          <w:rFonts w:asciiTheme="majorHAnsi" w:hAnsiTheme="majorHAnsi" w:cstheme="majorHAnsi"/>
          <w:b/>
          <w:bCs/>
          <w:color w:val="00B0F0" w:themeColor="accent1"/>
          <w:szCs w:val="20"/>
          <w:vertAlign w:val="superscript"/>
        </w:rPr>
        <w:t>]</w:t>
      </w:r>
      <w:r w:rsidR="001A1AD8" w:rsidRPr="0031049E">
        <w:rPr>
          <w:rFonts w:asciiTheme="majorHAnsi" w:hAnsiTheme="majorHAnsi" w:cstheme="majorHAnsi"/>
          <w:color w:val="auto"/>
          <w:szCs w:val="20"/>
        </w:rPr>
        <w:t>.</w:t>
      </w:r>
    </w:p>
    <w:p w14:paraId="5E4E5D26" w14:textId="24B45292" w:rsidR="008B090D" w:rsidRPr="0031049E" w:rsidRDefault="008B090D">
      <w:pPr>
        <w:rPr>
          <w:rFonts w:asciiTheme="majorHAnsi" w:eastAsia="News Gothic MT" w:hAnsiTheme="majorHAnsi" w:cstheme="majorHAnsi"/>
          <w:b/>
          <w:bCs/>
          <w:caps/>
          <w:color w:val="424242" w:themeColor="text1" w:themeShade="BF"/>
          <w:spacing w:val="30"/>
          <w:position w:val="1"/>
          <w:szCs w:val="20"/>
          <w:lang w:eastAsia="en-GB"/>
        </w:rPr>
      </w:pPr>
    </w:p>
    <w:p w14:paraId="0DAA2335" w14:textId="672ED8A4" w:rsidR="00A04137" w:rsidRPr="0031049E" w:rsidRDefault="00A04137" w:rsidP="00A04137">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b/>
          <w:bCs/>
          <w:color w:val="auto"/>
          <w:szCs w:val="20"/>
        </w:rPr>
        <w:t>METHODS</w:t>
      </w:r>
    </w:p>
    <w:p w14:paraId="5EB094B9" w14:textId="3B34DE6D" w:rsidR="000463EF" w:rsidRPr="0031049E" w:rsidRDefault="000463EF" w:rsidP="008837C6">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DATA SOURCE AND SEARCHES</w:t>
      </w:r>
    </w:p>
    <w:p w14:paraId="5CDB48C0" w14:textId="5DBA7272" w:rsidR="000463EF" w:rsidRPr="0031049E" w:rsidRDefault="003C38F4" w:rsidP="008837C6">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The protocol for this systematic review was developed using the PRISMA-P guideline and was registered on PROSPERO (CRD42022300754). Our search strategy is </w:t>
      </w:r>
      <w:r w:rsidR="00BE18F5" w:rsidRPr="0031049E">
        <w:rPr>
          <w:rFonts w:asciiTheme="majorHAnsi" w:hAnsiTheme="majorHAnsi" w:cstheme="majorHAnsi"/>
          <w:color w:val="auto"/>
          <w:szCs w:val="20"/>
        </w:rPr>
        <w:t>available</w:t>
      </w:r>
      <w:r w:rsidRPr="0031049E">
        <w:rPr>
          <w:rFonts w:asciiTheme="majorHAnsi" w:hAnsiTheme="majorHAnsi" w:cstheme="majorHAnsi"/>
          <w:color w:val="auto"/>
          <w:szCs w:val="20"/>
        </w:rPr>
        <w:t xml:space="preserve"> in </w:t>
      </w:r>
      <w:r w:rsidRPr="0031049E">
        <w:rPr>
          <w:rFonts w:asciiTheme="majorHAnsi" w:hAnsiTheme="majorHAnsi" w:cstheme="majorHAnsi"/>
          <w:b/>
          <w:bCs/>
          <w:color w:val="00B0F0" w:themeColor="accent1"/>
          <w:szCs w:val="20"/>
        </w:rPr>
        <w:t>Appendix 1</w:t>
      </w:r>
      <w:r w:rsidRPr="0031049E">
        <w:rPr>
          <w:rFonts w:asciiTheme="majorHAnsi" w:hAnsiTheme="majorHAnsi" w:cstheme="majorHAnsi"/>
          <w:color w:val="auto"/>
          <w:szCs w:val="20"/>
        </w:rPr>
        <w:t>.</w:t>
      </w:r>
    </w:p>
    <w:p w14:paraId="6BECEEC9" w14:textId="7B918C4D" w:rsidR="00763343" w:rsidRPr="0031049E" w:rsidRDefault="00763343" w:rsidP="008837C6">
      <w:pPr>
        <w:pStyle w:val="OpiniumNormal"/>
        <w:spacing w:after="0" w:line="360" w:lineRule="auto"/>
        <w:rPr>
          <w:rFonts w:asciiTheme="majorHAnsi" w:hAnsiTheme="majorHAnsi" w:cstheme="majorHAnsi"/>
          <w:color w:val="auto"/>
          <w:szCs w:val="20"/>
        </w:rPr>
      </w:pPr>
    </w:p>
    <w:p w14:paraId="163F1BE9" w14:textId="5066AF5C" w:rsidR="00E85CDC" w:rsidRPr="0031049E" w:rsidRDefault="00AA2206" w:rsidP="008837C6">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A literature search was conducted in EMBASE, MEDLINE, PubMed and Google Scholar from 2000 to 01 November 2022.</w:t>
      </w:r>
      <w:r w:rsidR="00440082" w:rsidRPr="0031049E">
        <w:rPr>
          <w:rFonts w:asciiTheme="majorHAnsi" w:hAnsiTheme="majorHAnsi" w:cstheme="majorHAnsi"/>
          <w:color w:val="auto"/>
          <w:szCs w:val="20"/>
        </w:rPr>
        <w:t xml:space="preserve"> </w:t>
      </w:r>
      <w:r w:rsidR="00715791" w:rsidRPr="0031049E">
        <w:rPr>
          <w:rFonts w:asciiTheme="majorHAnsi" w:hAnsiTheme="majorHAnsi" w:cstheme="majorHAnsi"/>
          <w:color w:val="auto"/>
          <w:szCs w:val="20"/>
        </w:rPr>
        <w:t>T</w:t>
      </w:r>
      <w:r w:rsidR="00440082" w:rsidRPr="0031049E">
        <w:rPr>
          <w:rFonts w:asciiTheme="majorHAnsi" w:hAnsiTheme="majorHAnsi" w:cstheme="majorHAnsi"/>
          <w:color w:val="auto"/>
          <w:szCs w:val="20"/>
        </w:rPr>
        <w:t xml:space="preserve">he reference lists of selected articles were </w:t>
      </w:r>
      <w:r w:rsidR="00715791" w:rsidRPr="0031049E">
        <w:rPr>
          <w:rFonts w:asciiTheme="majorHAnsi" w:hAnsiTheme="majorHAnsi" w:cstheme="majorHAnsi"/>
          <w:color w:val="auto"/>
          <w:szCs w:val="20"/>
        </w:rPr>
        <w:t xml:space="preserve">also </w:t>
      </w:r>
      <w:r w:rsidR="00440082" w:rsidRPr="0031049E">
        <w:rPr>
          <w:rFonts w:asciiTheme="majorHAnsi" w:hAnsiTheme="majorHAnsi" w:cstheme="majorHAnsi"/>
          <w:color w:val="auto"/>
          <w:szCs w:val="20"/>
        </w:rPr>
        <w:t>checked to identify additional relevant studies for inclusion.</w:t>
      </w:r>
      <w:r w:rsidR="00D869EC" w:rsidRPr="0031049E">
        <w:rPr>
          <w:rFonts w:asciiTheme="majorHAnsi" w:hAnsiTheme="majorHAnsi" w:cstheme="majorHAnsi"/>
          <w:color w:val="auto"/>
          <w:szCs w:val="20"/>
        </w:rPr>
        <w:t xml:space="preserve"> </w:t>
      </w:r>
      <w:r w:rsidR="00E85CDC" w:rsidRPr="0031049E">
        <w:rPr>
          <w:rFonts w:asciiTheme="majorHAnsi" w:hAnsiTheme="majorHAnsi" w:cstheme="majorHAnsi"/>
          <w:color w:val="auto"/>
          <w:szCs w:val="20"/>
        </w:rPr>
        <w:t>An independent search was performed by two authors with a third investigator to resolve any discrepancies.</w:t>
      </w:r>
    </w:p>
    <w:p w14:paraId="0B42E006" w14:textId="1F98F144" w:rsidR="0081124A" w:rsidRPr="0031049E" w:rsidRDefault="0081124A" w:rsidP="008837C6">
      <w:pPr>
        <w:pStyle w:val="OpiniumNormal"/>
        <w:spacing w:after="0" w:line="360" w:lineRule="auto"/>
        <w:rPr>
          <w:rFonts w:asciiTheme="majorHAnsi" w:hAnsiTheme="majorHAnsi" w:cstheme="majorHAnsi"/>
          <w:color w:val="auto"/>
          <w:szCs w:val="20"/>
        </w:rPr>
      </w:pPr>
    </w:p>
    <w:p w14:paraId="62CB4606" w14:textId="3A6E1239" w:rsidR="0081124A" w:rsidRPr="0031049E" w:rsidRDefault="0081124A" w:rsidP="0081124A">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STUDY SELECTION</w:t>
      </w:r>
    </w:p>
    <w:p w14:paraId="74CBB129" w14:textId="0B5DA6D8" w:rsidR="00E85CDC" w:rsidRPr="0031049E" w:rsidRDefault="00E85CDC" w:rsidP="0081124A">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All case reports, cohort studies and randomised control trials </w:t>
      </w:r>
      <w:r w:rsidR="00A23655" w:rsidRPr="0031049E">
        <w:rPr>
          <w:rFonts w:asciiTheme="majorHAnsi" w:hAnsiTheme="majorHAnsi" w:cstheme="majorHAnsi"/>
          <w:color w:val="auto"/>
          <w:szCs w:val="20"/>
        </w:rPr>
        <w:t>were included</w:t>
      </w:r>
      <w:r w:rsidRPr="0031049E">
        <w:rPr>
          <w:rFonts w:asciiTheme="majorHAnsi" w:hAnsiTheme="majorHAnsi" w:cstheme="majorHAnsi"/>
          <w:color w:val="auto"/>
          <w:szCs w:val="20"/>
        </w:rPr>
        <w:t xml:space="preserve"> and screened to assess eligibility for inclusion.</w:t>
      </w:r>
    </w:p>
    <w:p w14:paraId="17EBD30B" w14:textId="77777777" w:rsidR="00E85CDC" w:rsidRPr="0031049E" w:rsidRDefault="00E85CDC" w:rsidP="0081124A">
      <w:pPr>
        <w:pStyle w:val="OpiniumNormal"/>
        <w:spacing w:after="0" w:line="360" w:lineRule="auto"/>
        <w:rPr>
          <w:rFonts w:asciiTheme="majorHAnsi" w:hAnsiTheme="majorHAnsi" w:cstheme="majorHAnsi"/>
          <w:color w:val="auto"/>
          <w:szCs w:val="20"/>
        </w:rPr>
      </w:pPr>
    </w:p>
    <w:p w14:paraId="496C8230" w14:textId="5FA7D4C6" w:rsidR="0081124A" w:rsidRPr="0031049E" w:rsidRDefault="00E85CDC" w:rsidP="0081124A">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A study was eligible for </w:t>
      </w:r>
      <w:r w:rsidR="00642CE5" w:rsidRPr="0031049E">
        <w:rPr>
          <w:rFonts w:asciiTheme="majorHAnsi" w:hAnsiTheme="majorHAnsi" w:cstheme="majorHAnsi"/>
          <w:color w:val="auto"/>
          <w:szCs w:val="20"/>
        </w:rPr>
        <w:t>inclusion</w:t>
      </w:r>
      <w:r w:rsidRPr="0031049E">
        <w:rPr>
          <w:rFonts w:asciiTheme="majorHAnsi" w:hAnsiTheme="majorHAnsi" w:cstheme="majorHAnsi"/>
          <w:color w:val="auto"/>
          <w:szCs w:val="20"/>
        </w:rPr>
        <w:t xml:space="preserve"> if it met the following criteria: (1) patients were treated with levetiracetam (regardless of its formulation); (2) patients were undergoing CRRT via continuous veno-venous haemofiltration (CVVHF), continuous veno-venous haemodialysis (CVVHD) or continuous veno-venous haemodiafiltration (CVVHDF). Studies were excluded for the following reasons: (1) it was published in a non-English language; (2) the study was a computational or model-based study not using human patient data; (3) </w:t>
      </w:r>
      <w:r w:rsidR="0002315C" w:rsidRPr="0031049E">
        <w:rPr>
          <w:rFonts w:asciiTheme="majorHAnsi" w:hAnsiTheme="majorHAnsi" w:cstheme="majorHAnsi"/>
          <w:color w:val="auto"/>
          <w:szCs w:val="20"/>
        </w:rPr>
        <w:t xml:space="preserve">there </w:t>
      </w:r>
      <w:r w:rsidR="000F716F" w:rsidRPr="0031049E">
        <w:rPr>
          <w:rFonts w:asciiTheme="majorHAnsi" w:hAnsiTheme="majorHAnsi" w:cstheme="majorHAnsi"/>
          <w:color w:val="auto"/>
          <w:szCs w:val="20"/>
        </w:rPr>
        <w:t>were</w:t>
      </w:r>
      <w:r w:rsidR="0002315C" w:rsidRPr="0031049E">
        <w:rPr>
          <w:rFonts w:asciiTheme="majorHAnsi" w:hAnsiTheme="majorHAnsi" w:cstheme="majorHAnsi"/>
          <w:color w:val="auto"/>
          <w:szCs w:val="20"/>
        </w:rPr>
        <w:t xml:space="preserve"> insufficient pharmacokinetic data</w:t>
      </w:r>
      <w:r w:rsidR="00F925EE" w:rsidRPr="0031049E">
        <w:rPr>
          <w:rFonts w:asciiTheme="majorHAnsi" w:hAnsiTheme="majorHAnsi" w:cstheme="majorHAnsi"/>
          <w:color w:val="auto"/>
          <w:szCs w:val="20"/>
        </w:rPr>
        <w:t xml:space="preserve">; (4) </w:t>
      </w:r>
      <w:r w:rsidR="00075B1C" w:rsidRPr="0031049E">
        <w:rPr>
          <w:rFonts w:asciiTheme="majorHAnsi" w:hAnsiTheme="majorHAnsi" w:cstheme="majorHAnsi"/>
          <w:color w:val="auto"/>
          <w:szCs w:val="20"/>
        </w:rPr>
        <w:t>review article with no additional new pharmacokinetic data</w:t>
      </w:r>
      <w:r w:rsidR="0002315C" w:rsidRPr="0031049E">
        <w:rPr>
          <w:rFonts w:asciiTheme="majorHAnsi" w:hAnsiTheme="majorHAnsi" w:cstheme="majorHAnsi"/>
          <w:color w:val="auto"/>
          <w:szCs w:val="20"/>
        </w:rPr>
        <w:t>.</w:t>
      </w:r>
    </w:p>
    <w:p w14:paraId="18B95B5A" w14:textId="1CB5EBCB" w:rsidR="00AC407D" w:rsidRPr="0031049E" w:rsidRDefault="00AC407D" w:rsidP="00AE0991">
      <w:pPr>
        <w:pStyle w:val="OpiniumNormal"/>
        <w:spacing w:after="0" w:line="360" w:lineRule="auto"/>
        <w:rPr>
          <w:rFonts w:asciiTheme="majorHAnsi" w:hAnsiTheme="majorHAnsi" w:cstheme="majorHAnsi"/>
          <w:color w:val="auto"/>
          <w:szCs w:val="20"/>
        </w:rPr>
      </w:pPr>
    </w:p>
    <w:p w14:paraId="41F70B35" w14:textId="3415B607" w:rsidR="00EF66D1" w:rsidRPr="0031049E" w:rsidRDefault="00EF66D1" w:rsidP="00EF66D1">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DATA EXTRACTION AND QUALITY ASSESSMENT</w:t>
      </w:r>
    </w:p>
    <w:p w14:paraId="33770F24" w14:textId="050866EC" w:rsidR="00EF66D1" w:rsidRPr="0031049E" w:rsidRDefault="00EF66D1" w:rsidP="00EF66D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lastRenderedPageBreak/>
        <w:t xml:space="preserve">Data </w:t>
      </w:r>
      <w:r w:rsidR="006F60FE" w:rsidRPr="0031049E">
        <w:rPr>
          <w:rFonts w:asciiTheme="majorHAnsi" w:hAnsiTheme="majorHAnsi" w:cstheme="majorHAnsi"/>
          <w:color w:val="auto"/>
          <w:szCs w:val="20"/>
        </w:rPr>
        <w:t>were</w:t>
      </w:r>
      <w:r w:rsidRPr="0031049E">
        <w:rPr>
          <w:rFonts w:asciiTheme="majorHAnsi" w:hAnsiTheme="majorHAnsi" w:cstheme="majorHAnsi"/>
          <w:color w:val="auto"/>
          <w:szCs w:val="20"/>
        </w:rPr>
        <w:t xml:space="preserve"> independently extracted from the included studies by two authors</w:t>
      </w:r>
      <w:r w:rsidR="004A7A9D" w:rsidRPr="0031049E">
        <w:rPr>
          <w:rFonts w:asciiTheme="majorHAnsi" w:hAnsiTheme="majorHAnsi" w:cstheme="majorHAnsi"/>
          <w:color w:val="auto"/>
          <w:szCs w:val="20"/>
        </w:rPr>
        <w:t xml:space="preserve"> (J.S., S.A-M.)</w:t>
      </w:r>
      <w:r w:rsidRPr="0031049E">
        <w:rPr>
          <w:rFonts w:asciiTheme="majorHAnsi" w:hAnsiTheme="majorHAnsi" w:cstheme="majorHAnsi"/>
          <w:color w:val="auto"/>
          <w:szCs w:val="20"/>
        </w:rPr>
        <w:t xml:space="preserve"> using a standardised database. Data extracted included: study design, patient demographics, reason for admission, indications for levetiracetam and CRRT, residual renal function, dosing regimen, </w:t>
      </w:r>
      <w:r w:rsidR="009B4E5C" w:rsidRPr="0031049E">
        <w:rPr>
          <w:rFonts w:asciiTheme="majorHAnsi" w:hAnsiTheme="majorHAnsi" w:cstheme="majorHAnsi"/>
          <w:color w:val="auto"/>
          <w:szCs w:val="20"/>
        </w:rPr>
        <w:t>CRRT characteristics and settings,</w:t>
      </w:r>
      <w:r w:rsidRPr="0031049E">
        <w:rPr>
          <w:rFonts w:asciiTheme="majorHAnsi" w:hAnsiTheme="majorHAnsi" w:cstheme="majorHAnsi"/>
          <w:color w:val="auto"/>
          <w:szCs w:val="20"/>
        </w:rPr>
        <w:t xml:space="preserve"> and pharmacokinetic </w:t>
      </w:r>
      <w:r w:rsidR="00B84D71" w:rsidRPr="0031049E">
        <w:rPr>
          <w:rFonts w:asciiTheme="majorHAnsi" w:hAnsiTheme="majorHAnsi" w:cstheme="majorHAnsi"/>
          <w:color w:val="auto"/>
          <w:szCs w:val="20"/>
        </w:rPr>
        <w:t>parameters (e.g. half-life, clearance)</w:t>
      </w:r>
      <w:r w:rsidRPr="0031049E">
        <w:rPr>
          <w:rFonts w:asciiTheme="majorHAnsi" w:hAnsiTheme="majorHAnsi" w:cstheme="majorHAnsi"/>
          <w:color w:val="auto"/>
          <w:szCs w:val="20"/>
        </w:rPr>
        <w:t>.</w:t>
      </w:r>
      <w:r w:rsidR="00C679D9" w:rsidRPr="0031049E">
        <w:rPr>
          <w:rFonts w:asciiTheme="majorHAnsi" w:hAnsiTheme="majorHAnsi" w:cstheme="majorHAnsi"/>
          <w:color w:val="auto"/>
          <w:szCs w:val="20"/>
        </w:rPr>
        <w:t xml:space="preserve"> Any discrepancies on data extraction were arbitrated by a third investigator.</w:t>
      </w:r>
    </w:p>
    <w:p w14:paraId="228A38F7" w14:textId="4D3EB83A" w:rsidR="00EF66D1" w:rsidRPr="0031049E" w:rsidRDefault="00EF66D1" w:rsidP="00EF66D1">
      <w:pPr>
        <w:pStyle w:val="OpiniumNormal"/>
        <w:spacing w:after="0" w:line="360" w:lineRule="auto"/>
        <w:rPr>
          <w:rFonts w:asciiTheme="majorHAnsi" w:hAnsiTheme="majorHAnsi" w:cstheme="majorHAnsi"/>
          <w:color w:val="auto"/>
          <w:szCs w:val="20"/>
        </w:rPr>
      </w:pPr>
    </w:p>
    <w:p w14:paraId="7A2E6395" w14:textId="2E612A4D" w:rsidR="00A25321" w:rsidRPr="0031049E" w:rsidRDefault="00A25321" w:rsidP="00EF66D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Our quality assessment was performed using a hybrid model that combined the Quality of Evidence (QoE) and Acute Dialysis Quality Initiative (ADQI) scoring systems</w:t>
      </w:r>
      <w:r w:rsidR="00090DBC" w:rsidRPr="0031049E">
        <w:rPr>
          <w:rFonts w:asciiTheme="majorHAnsi" w:hAnsiTheme="majorHAnsi" w:cstheme="majorHAnsi"/>
          <w:color w:val="auto"/>
          <w:szCs w:val="20"/>
        </w:rPr>
        <w:t xml:space="preserve"> </w:t>
      </w:r>
      <w:r w:rsidR="00090DBC" w:rsidRPr="0031049E">
        <w:rPr>
          <w:rFonts w:asciiTheme="majorHAnsi" w:hAnsiTheme="majorHAnsi" w:cstheme="majorHAnsi"/>
          <w:b/>
          <w:bCs/>
          <w:color w:val="00B0F0" w:themeColor="accent1"/>
          <w:szCs w:val="20"/>
          <w:vertAlign w:val="superscript"/>
        </w:rPr>
        <w:t>[</w:t>
      </w:r>
      <w:r w:rsidR="00685E31" w:rsidRPr="0031049E">
        <w:rPr>
          <w:rFonts w:asciiTheme="majorHAnsi" w:hAnsiTheme="majorHAnsi" w:cstheme="majorHAnsi"/>
          <w:b/>
          <w:bCs/>
          <w:color w:val="00B0F0" w:themeColor="accent1"/>
          <w:szCs w:val="20"/>
          <w:vertAlign w:val="superscript"/>
        </w:rPr>
        <w:t>2</w:t>
      </w:r>
      <w:r w:rsidR="00637881" w:rsidRPr="0031049E">
        <w:rPr>
          <w:rFonts w:asciiTheme="majorHAnsi" w:hAnsiTheme="majorHAnsi" w:cstheme="majorHAnsi"/>
          <w:b/>
          <w:bCs/>
          <w:color w:val="00B0F0" w:themeColor="accent1"/>
          <w:szCs w:val="20"/>
          <w:vertAlign w:val="superscript"/>
        </w:rPr>
        <w:t>8</w:t>
      </w:r>
      <w:r w:rsidR="00685E31"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30</w:t>
      </w:r>
      <w:r w:rsidR="00090DBC"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w:t>
      </w:r>
      <w:r w:rsidR="003A1DC3" w:rsidRPr="0031049E">
        <w:rPr>
          <w:rFonts w:asciiTheme="majorHAnsi" w:hAnsiTheme="majorHAnsi" w:cstheme="majorHAnsi"/>
          <w:color w:val="auto"/>
          <w:szCs w:val="20"/>
        </w:rPr>
        <w:t xml:space="preserve"> </w:t>
      </w:r>
      <w:r w:rsidR="006920D8" w:rsidRPr="0031049E">
        <w:rPr>
          <w:rFonts w:asciiTheme="majorHAnsi" w:hAnsiTheme="majorHAnsi" w:cstheme="majorHAnsi"/>
          <w:color w:val="auto"/>
          <w:szCs w:val="20"/>
        </w:rPr>
        <w:t>Ea</w:t>
      </w:r>
      <w:r w:rsidR="001F5948" w:rsidRPr="0031049E">
        <w:rPr>
          <w:rFonts w:asciiTheme="majorHAnsi" w:hAnsiTheme="majorHAnsi" w:cstheme="majorHAnsi"/>
          <w:color w:val="auto"/>
          <w:szCs w:val="20"/>
        </w:rPr>
        <w:t>ch study was assessed independently by two authors (J.S., S.A-M.)</w:t>
      </w:r>
      <w:r w:rsidR="00346489" w:rsidRPr="0031049E">
        <w:rPr>
          <w:rFonts w:asciiTheme="majorHAnsi" w:hAnsiTheme="majorHAnsi" w:cstheme="majorHAnsi"/>
          <w:color w:val="auto"/>
          <w:szCs w:val="20"/>
        </w:rPr>
        <w:t xml:space="preserve"> </w:t>
      </w:r>
      <w:r w:rsidR="00070C12" w:rsidRPr="0031049E">
        <w:rPr>
          <w:rFonts w:asciiTheme="majorHAnsi" w:hAnsiTheme="majorHAnsi" w:cstheme="majorHAnsi"/>
          <w:color w:val="auto"/>
          <w:szCs w:val="20"/>
        </w:rPr>
        <w:t xml:space="preserve">who allocated separate QoE and ADQI scores as per the protocol detailed in </w:t>
      </w:r>
      <w:r w:rsidR="00070C12" w:rsidRPr="0031049E">
        <w:rPr>
          <w:rFonts w:asciiTheme="majorHAnsi" w:hAnsiTheme="majorHAnsi" w:cstheme="majorHAnsi"/>
          <w:b/>
          <w:bCs/>
          <w:color w:val="00B0F0"/>
          <w:szCs w:val="20"/>
        </w:rPr>
        <w:t>Appendix 2</w:t>
      </w:r>
      <w:r w:rsidR="00070C12" w:rsidRPr="0031049E">
        <w:rPr>
          <w:rFonts w:asciiTheme="majorHAnsi" w:hAnsiTheme="majorHAnsi" w:cstheme="majorHAnsi"/>
          <w:color w:val="auto"/>
          <w:szCs w:val="20"/>
        </w:rPr>
        <w:t xml:space="preserve">. </w:t>
      </w:r>
      <w:r w:rsidR="008036FA" w:rsidRPr="0031049E">
        <w:rPr>
          <w:rFonts w:asciiTheme="majorHAnsi" w:hAnsiTheme="majorHAnsi" w:cstheme="majorHAnsi"/>
          <w:color w:val="auto"/>
          <w:szCs w:val="20"/>
        </w:rPr>
        <w:t xml:space="preserve">To </w:t>
      </w:r>
      <w:r w:rsidR="008E6A54" w:rsidRPr="0031049E">
        <w:rPr>
          <w:rFonts w:asciiTheme="majorHAnsi" w:hAnsiTheme="majorHAnsi" w:cstheme="majorHAnsi"/>
          <w:color w:val="auto"/>
          <w:szCs w:val="20"/>
        </w:rPr>
        <w:t>eliminate discrepancies in ADQI scores between authors</w:t>
      </w:r>
      <w:r w:rsidR="005420C6" w:rsidRPr="0031049E">
        <w:rPr>
          <w:rFonts w:asciiTheme="majorHAnsi" w:hAnsiTheme="majorHAnsi" w:cstheme="majorHAnsi"/>
          <w:color w:val="auto"/>
          <w:szCs w:val="20"/>
        </w:rPr>
        <w:t>,</w:t>
      </w:r>
      <w:r w:rsidR="004A1535" w:rsidRPr="0031049E">
        <w:rPr>
          <w:rFonts w:asciiTheme="majorHAnsi" w:hAnsiTheme="majorHAnsi" w:cstheme="majorHAnsi"/>
          <w:color w:val="auto"/>
          <w:szCs w:val="20"/>
        </w:rPr>
        <w:t xml:space="preserve"> a mean ADQI score was calculated for each study.</w:t>
      </w:r>
      <w:r w:rsidR="00070C12" w:rsidRPr="0031049E">
        <w:rPr>
          <w:rFonts w:asciiTheme="majorHAnsi" w:hAnsiTheme="majorHAnsi" w:cstheme="majorHAnsi"/>
          <w:color w:val="auto"/>
          <w:szCs w:val="20"/>
        </w:rPr>
        <w:t xml:space="preserve"> </w:t>
      </w:r>
      <w:r w:rsidR="003A1DC3" w:rsidRPr="0031049E">
        <w:rPr>
          <w:rFonts w:asciiTheme="majorHAnsi" w:hAnsiTheme="majorHAnsi" w:cstheme="majorHAnsi"/>
          <w:color w:val="auto"/>
          <w:szCs w:val="20"/>
        </w:rPr>
        <w:t xml:space="preserve">Overall </w:t>
      </w:r>
      <w:r w:rsidR="007A6AF6" w:rsidRPr="0031049E">
        <w:rPr>
          <w:rFonts w:asciiTheme="majorHAnsi" w:hAnsiTheme="majorHAnsi" w:cstheme="majorHAnsi"/>
          <w:color w:val="auto"/>
          <w:szCs w:val="20"/>
        </w:rPr>
        <w:t xml:space="preserve">quality assessment </w:t>
      </w:r>
      <w:r w:rsidR="003A1DC3" w:rsidRPr="0031049E">
        <w:rPr>
          <w:rFonts w:asciiTheme="majorHAnsi" w:hAnsiTheme="majorHAnsi" w:cstheme="majorHAnsi"/>
          <w:color w:val="auto"/>
          <w:szCs w:val="20"/>
        </w:rPr>
        <w:t>scores were</w:t>
      </w:r>
      <w:r w:rsidR="007A6AF6" w:rsidRPr="0031049E">
        <w:rPr>
          <w:rFonts w:asciiTheme="majorHAnsi" w:hAnsiTheme="majorHAnsi" w:cstheme="majorHAnsi"/>
          <w:color w:val="auto"/>
          <w:szCs w:val="20"/>
        </w:rPr>
        <w:t xml:space="preserve"> </w:t>
      </w:r>
      <w:r w:rsidR="003A1DC3" w:rsidRPr="0031049E">
        <w:rPr>
          <w:rFonts w:asciiTheme="majorHAnsi" w:hAnsiTheme="majorHAnsi" w:cstheme="majorHAnsi"/>
          <w:color w:val="auto"/>
          <w:szCs w:val="20"/>
        </w:rPr>
        <w:t xml:space="preserve">stratified into low, medium and </w:t>
      </w:r>
      <w:r w:rsidR="00544A27" w:rsidRPr="0031049E">
        <w:rPr>
          <w:rFonts w:asciiTheme="majorHAnsi" w:hAnsiTheme="majorHAnsi" w:cstheme="majorHAnsi"/>
          <w:color w:val="auto"/>
          <w:szCs w:val="20"/>
        </w:rPr>
        <w:t>high-quality</w:t>
      </w:r>
      <w:r w:rsidR="003A1DC3" w:rsidRPr="0031049E">
        <w:rPr>
          <w:rFonts w:asciiTheme="majorHAnsi" w:hAnsiTheme="majorHAnsi" w:cstheme="majorHAnsi"/>
          <w:color w:val="auto"/>
          <w:szCs w:val="20"/>
        </w:rPr>
        <w:t xml:space="preserve"> equivalents</w:t>
      </w:r>
      <w:r w:rsidR="00D16802" w:rsidRPr="0031049E">
        <w:rPr>
          <w:rFonts w:asciiTheme="majorHAnsi" w:hAnsiTheme="majorHAnsi" w:cstheme="majorHAnsi"/>
          <w:color w:val="auto"/>
          <w:szCs w:val="20"/>
        </w:rPr>
        <w:t xml:space="preserve"> based on the </w:t>
      </w:r>
      <w:r w:rsidR="0050786F" w:rsidRPr="0031049E">
        <w:rPr>
          <w:rFonts w:asciiTheme="majorHAnsi" w:hAnsiTheme="majorHAnsi" w:cstheme="majorHAnsi"/>
          <w:color w:val="auto"/>
          <w:szCs w:val="20"/>
        </w:rPr>
        <w:t xml:space="preserve">average quality of evidence across the QoE and ADQI assessments. For example, a study was ranked </w:t>
      </w:r>
      <w:r w:rsidR="00FF2940" w:rsidRPr="0031049E">
        <w:rPr>
          <w:rFonts w:asciiTheme="majorHAnsi" w:hAnsiTheme="majorHAnsi" w:cstheme="majorHAnsi"/>
          <w:color w:val="auto"/>
          <w:szCs w:val="20"/>
        </w:rPr>
        <w:t>medium quality if it achieved a strong QoE score but a weak ADQI score.</w:t>
      </w:r>
      <w:r w:rsidR="003A1DC3" w:rsidRPr="0031049E">
        <w:rPr>
          <w:rFonts w:asciiTheme="majorHAnsi" w:hAnsiTheme="majorHAnsi" w:cstheme="majorHAnsi"/>
          <w:color w:val="auto"/>
          <w:szCs w:val="20"/>
        </w:rPr>
        <w:t xml:space="preserve"> </w:t>
      </w:r>
      <w:r w:rsidR="009E0CFB" w:rsidRPr="0031049E">
        <w:rPr>
          <w:rFonts w:asciiTheme="majorHAnsi" w:hAnsiTheme="majorHAnsi" w:cstheme="majorHAnsi"/>
          <w:color w:val="auto"/>
          <w:szCs w:val="20"/>
        </w:rPr>
        <w:t>A</w:t>
      </w:r>
      <w:r w:rsidR="00544A27" w:rsidRPr="0031049E">
        <w:rPr>
          <w:rFonts w:asciiTheme="majorHAnsi" w:hAnsiTheme="majorHAnsi" w:cstheme="majorHAnsi"/>
          <w:color w:val="auto"/>
          <w:szCs w:val="20"/>
        </w:rPr>
        <w:t xml:space="preserve">ny </w:t>
      </w:r>
      <w:r w:rsidR="009E0CFB" w:rsidRPr="0031049E">
        <w:rPr>
          <w:rFonts w:asciiTheme="majorHAnsi" w:hAnsiTheme="majorHAnsi" w:cstheme="majorHAnsi"/>
          <w:color w:val="auto"/>
          <w:szCs w:val="20"/>
        </w:rPr>
        <w:t>disputes were</w:t>
      </w:r>
      <w:r w:rsidR="00544A27" w:rsidRPr="0031049E">
        <w:rPr>
          <w:rFonts w:asciiTheme="majorHAnsi" w:hAnsiTheme="majorHAnsi" w:cstheme="majorHAnsi"/>
          <w:color w:val="auto"/>
          <w:szCs w:val="20"/>
        </w:rPr>
        <w:t xml:space="preserve"> </w:t>
      </w:r>
      <w:r w:rsidR="00B66E4B" w:rsidRPr="0031049E">
        <w:rPr>
          <w:rFonts w:asciiTheme="majorHAnsi" w:hAnsiTheme="majorHAnsi" w:cstheme="majorHAnsi"/>
          <w:color w:val="auto"/>
          <w:szCs w:val="20"/>
        </w:rPr>
        <w:t xml:space="preserve">resolved </w:t>
      </w:r>
      <w:r w:rsidR="00544A27" w:rsidRPr="0031049E">
        <w:rPr>
          <w:rFonts w:asciiTheme="majorHAnsi" w:hAnsiTheme="majorHAnsi" w:cstheme="majorHAnsi"/>
          <w:color w:val="auto"/>
          <w:szCs w:val="20"/>
        </w:rPr>
        <w:t>by a third investigator</w:t>
      </w:r>
      <w:r w:rsidR="00485C0F" w:rsidRPr="0031049E">
        <w:rPr>
          <w:rFonts w:asciiTheme="majorHAnsi" w:hAnsiTheme="majorHAnsi" w:cstheme="majorHAnsi"/>
          <w:color w:val="auto"/>
          <w:szCs w:val="20"/>
        </w:rPr>
        <w:t>.</w:t>
      </w:r>
    </w:p>
    <w:p w14:paraId="73CD8EE8" w14:textId="77777777" w:rsidR="00631A39" w:rsidRPr="0031049E" w:rsidRDefault="00631A39" w:rsidP="00EF66D1">
      <w:pPr>
        <w:pStyle w:val="OpiniumNormal"/>
        <w:spacing w:after="0" w:line="360" w:lineRule="auto"/>
        <w:rPr>
          <w:rFonts w:asciiTheme="majorHAnsi" w:hAnsiTheme="majorHAnsi" w:cstheme="majorHAnsi"/>
          <w:color w:val="auto"/>
          <w:szCs w:val="20"/>
        </w:rPr>
      </w:pPr>
    </w:p>
    <w:p w14:paraId="7AB4992A" w14:textId="58B78A1D" w:rsidR="00485C0F" w:rsidRPr="0031049E" w:rsidRDefault="00485C0F" w:rsidP="00485C0F">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 xml:space="preserve">DATA SYNTHESIS AND </w:t>
      </w:r>
      <w:r w:rsidR="00A843A5" w:rsidRPr="0031049E">
        <w:rPr>
          <w:rFonts w:asciiTheme="majorHAnsi" w:hAnsiTheme="majorHAnsi" w:cstheme="majorHAnsi"/>
          <w:b/>
          <w:bCs/>
          <w:color w:val="00B0F0" w:themeColor="accent1"/>
          <w:szCs w:val="20"/>
        </w:rPr>
        <w:t>SIMULATION OF DOSING SCENARIOS</w:t>
      </w:r>
    </w:p>
    <w:p w14:paraId="2D5138F8" w14:textId="60A09926" w:rsidR="001E5CFD" w:rsidRPr="0031049E" w:rsidRDefault="00755F28" w:rsidP="00485C0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Data </w:t>
      </w:r>
      <w:r w:rsidR="000E7C11" w:rsidRPr="0031049E">
        <w:rPr>
          <w:rFonts w:asciiTheme="majorHAnsi" w:hAnsiTheme="majorHAnsi" w:cstheme="majorHAnsi"/>
          <w:color w:val="auto"/>
          <w:szCs w:val="20"/>
        </w:rPr>
        <w:t>were</w:t>
      </w:r>
      <w:r w:rsidRPr="0031049E">
        <w:rPr>
          <w:rFonts w:asciiTheme="majorHAnsi" w:hAnsiTheme="majorHAnsi" w:cstheme="majorHAnsi"/>
          <w:color w:val="auto"/>
          <w:szCs w:val="20"/>
        </w:rPr>
        <w:t xml:space="preserve"> collated using Microsoft Excel. Our primary analysis was a mixed narrative and </w:t>
      </w:r>
      <w:r w:rsidR="00772552" w:rsidRPr="0031049E">
        <w:rPr>
          <w:rFonts w:asciiTheme="majorHAnsi" w:hAnsiTheme="majorHAnsi" w:cstheme="majorHAnsi"/>
          <w:color w:val="auto"/>
          <w:szCs w:val="20"/>
        </w:rPr>
        <w:t>statistical analysis</w:t>
      </w:r>
      <w:r w:rsidRPr="0031049E">
        <w:rPr>
          <w:rFonts w:asciiTheme="majorHAnsi" w:hAnsiTheme="majorHAnsi" w:cstheme="majorHAnsi"/>
          <w:color w:val="auto"/>
          <w:szCs w:val="20"/>
        </w:rPr>
        <w:t xml:space="preserve">. Descriptive analytics and </w:t>
      </w:r>
      <w:r w:rsidR="00686B67" w:rsidRPr="0031049E">
        <w:rPr>
          <w:rFonts w:asciiTheme="majorHAnsi" w:hAnsiTheme="majorHAnsi" w:cstheme="majorHAnsi"/>
          <w:color w:val="auto"/>
          <w:szCs w:val="20"/>
        </w:rPr>
        <w:t xml:space="preserve">multiple </w:t>
      </w:r>
      <w:r w:rsidRPr="0031049E">
        <w:rPr>
          <w:rFonts w:asciiTheme="majorHAnsi" w:hAnsiTheme="majorHAnsi" w:cstheme="majorHAnsi"/>
          <w:color w:val="auto"/>
          <w:szCs w:val="20"/>
        </w:rPr>
        <w:t>regression modelling were performed using IBM SPSS Statistics 28.</w:t>
      </w:r>
      <w:r w:rsidR="00F3460B" w:rsidRPr="0031049E">
        <w:rPr>
          <w:rFonts w:asciiTheme="majorHAnsi" w:hAnsiTheme="majorHAnsi" w:cstheme="majorHAnsi"/>
          <w:color w:val="auto"/>
          <w:szCs w:val="20"/>
        </w:rPr>
        <w:t xml:space="preserve"> </w:t>
      </w:r>
      <w:r w:rsidR="0095611A" w:rsidRPr="0031049E">
        <w:rPr>
          <w:rFonts w:asciiTheme="majorHAnsi" w:hAnsiTheme="majorHAnsi" w:cstheme="majorHAnsi"/>
          <w:color w:val="auto"/>
          <w:szCs w:val="20"/>
        </w:rPr>
        <w:t xml:space="preserve">In cases where specific values were not reported (e.g. ultrafiltration rate, filtration fraction, </w:t>
      </w:r>
      <w:r w:rsidR="00281CD1" w:rsidRPr="0031049E">
        <w:rPr>
          <w:rFonts w:asciiTheme="majorHAnsi" w:hAnsiTheme="majorHAnsi" w:cstheme="majorHAnsi"/>
          <w:color w:val="auto"/>
          <w:szCs w:val="20"/>
        </w:rPr>
        <w:t>volume of distribution) these were calculated using the available data and standard formulae</w:t>
      </w:r>
      <w:r w:rsidR="004F0033" w:rsidRPr="0031049E">
        <w:rPr>
          <w:rFonts w:asciiTheme="majorHAnsi" w:hAnsiTheme="majorHAnsi" w:cstheme="majorHAnsi"/>
          <w:color w:val="auto"/>
          <w:szCs w:val="20"/>
        </w:rPr>
        <w:t xml:space="preserve"> where possible.</w:t>
      </w:r>
      <w:r w:rsidR="001E5CFD" w:rsidRPr="0031049E">
        <w:rPr>
          <w:rFonts w:asciiTheme="majorHAnsi" w:hAnsiTheme="majorHAnsi" w:cstheme="majorHAnsi"/>
          <w:color w:val="auto"/>
          <w:szCs w:val="20"/>
        </w:rPr>
        <w:t xml:space="preserve"> </w:t>
      </w:r>
      <w:r w:rsidRPr="0031049E">
        <w:rPr>
          <w:rFonts w:asciiTheme="majorHAnsi" w:hAnsiTheme="majorHAnsi" w:cstheme="majorHAnsi"/>
          <w:color w:val="auto"/>
          <w:szCs w:val="20"/>
        </w:rPr>
        <w:t>Statistical heterogeneity was not assessed as the Cochrane Q Test and I</w:t>
      </w:r>
      <w:r w:rsidRPr="0031049E">
        <w:rPr>
          <w:rFonts w:asciiTheme="majorHAnsi" w:hAnsiTheme="majorHAnsi" w:cstheme="majorHAnsi"/>
          <w:color w:val="auto"/>
          <w:szCs w:val="20"/>
          <w:vertAlign w:val="superscript"/>
        </w:rPr>
        <w:t>2</w:t>
      </w:r>
      <w:r w:rsidRPr="0031049E">
        <w:rPr>
          <w:rFonts w:asciiTheme="majorHAnsi" w:hAnsiTheme="majorHAnsi" w:cstheme="majorHAnsi"/>
          <w:color w:val="auto"/>
          <w:szCs w:val="20"/>
        </w:rPr>
        <w:t xml:space="preserve"> statistic are not applicable to our dependent variable which is continuous rather than dichotomous.</w:t>
      </w:r>
    </w:p>
    <w:p w14:paraId="46AC061A" w14:textId="77777777" w:rsidR="001E5CFD" w:rsidRPr="0031049E" w:rsidRDefault="001E5CFD" w:rsidP="00485C0F">
      <w:pPr>
        <w:pStyle w:val="OpiniumNormal"/>
        <w:spacing w:after="0" w:line="360" w:lineRule="auto"/>
        <w:rPr>
          <w:rFonts w:asciiTheme="majorHAnsi" w:hAnsiTheme="majorHAnsi" w:cstheme="majorHAnsi"/>
          <w:color w:val="auto"/>
          <w:szCs w:val="20"/>
        </w:rPr>
      </w:pPr>
    </w:p>
    <w:p w14:paraId="4D20E0F6" w14:textId="68043026" w:rsidR="00286BAE" w:rsidRPr="0031049E" w:rsidRDefault="00A843A5" w:rsidP="00485C0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Simulations were undertaken in R using tidyverse and linpk packages</w:t>
      </w:r>
      <w:r w:rsidR="00DC18F1" w:rsidRPr="0031049E">
        <w:rPr>
          <w:rFonts w:asciiTheme="majorHAnsi" w:hAnsiTheme="majorHAnsi" w:cstheme="majorHAnsi"/>
          <w:color w:val="auto"/>
          <w:szCs w:val="20"/>
        </w:rPr>
        <w:t xml:space="preserve"> </w:t>
      </w:r>
      <w:r w:rsidR="00DC18F1"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31</w:t>
      </w:r>
      <w:r w:rsidR="00675671" w:rsidRPr="0031049E">
        <w:rPr>
          <w:rFonts w:asciiTheme="majorHAnsi" w:hAnsiTheme="majorHAnsi" w:cstheme="majorHAnsi"/>
          <w:b/>
          <w:bCs/>
          <w:color w:val="00B0F0" w:themeColor="accent1"/>
          <w:szCs w:val="20"/>
          <w:vertAlign w:val="superscript"/>
        </w:rPr>
        <w:t>-3</w:t>
      </w:r>
      <w:r w:rsidR="00637881" w:rsidRPr="0031049E">
        <w:rPr>
          <w:rFonts w:asciiTheme="majorHAnsi" w:hAnsiTheme="majorHAnsi" w:cstheme="majorHAnsi"/>
          <w:b/>
          <w:bCs/>
          <w:color w:val="00B0F0" w:themeColor="accent1"/>
          <w:szCs w:val="20"/>
          <w:vertAlign w:val="superscript"/>
        </w:rPr>
        <w:t>3</w:t>
      </w:r>
      <w:r w:rsidR="00DC18F1"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 xml:space="preserve">.  Individual patient level data was used for elimination rate constant and volume of distribution. Elimination rate constant was taken directly from published manuscripts or </w:t>
      </w:r>
      <w:r w:rsidR="00284306" w:rsidRPr="0031049E">
        <w:rPr>
          <w:rFonts w:asciiTheme="majorHAnsi" w:hAnsiTheme="majorHAnsi" w:cstheme="majorHAnsi"/>
          <w:color w:val="auto"/>
          <w:szCs w:val="20"/>
        </w:rPr>
        <w:t xml:space="preserve">derived </w:t>
      </w:r>
      <w:r w:rsidRPr="0031049E">
        <w:rPr>
          <w:rFonts w:asciiTheme="majorHAnsi" w:hAnsiTheme="majorHAnsi" w:cstheme="majorHAnsi"/>
          <w:color w:val="auto"/>
          <w:szCs w:val="20"/>
        </w:rPr>
        <w:t>from other published pharmacokinetic parameters. Volume of distribution was not available for 8 patients (Chappell). Simulated patients (n=10</w:t>
      </w:r>
      <w:r w:rsidR="0008631C" w:rsidRPr="0031049E">
        <w:rPr>
          <w:rFonts w:asciiTheme="majorHAnsi" w:hAnsiTheme="majorHAnsi" w:cstheme="majorHAnsi"/>
          <w:color w:val="auto"/>
          <w:szCs w:val="20"/>
        </w:rPr>
        <w:t>,</w:t>
      </w:r>
      <w:r w:rsidRPr="0031049E">
        <w:rPr>
          <w:rFonts w:asciiTheme="majorHAnsi" w:hAnsiTheme="majorHAnsi" w:cstheme="majorHAnsi"/>
          <w:color w:val="auto"/>
          <w:szCs w:val="20"/>
        </w:rPr>
        <w:t>000) were created from these values using the MASS package and assuming a multivariate log-normal distribution</w:t>
      </w:r>
      <w:r w:rsidR="00967479" w:rsidRPr="0031049E">
        <w:rPr>
          <w:rFonts w:asciiTheme="majorHAnsi" w:hAnsiTheme="majorHAnsi" w:cstheme="majorHAnsi"/>
          <w:color w:val="auto"/>
          <w:szCs w:val="20"/>
        </w:rPr>
        <w:t xml:space="preserve"> of parameters</w:t>
      </w:r>
      <w:r w:rsidR="00A54DB4" w:rsidRPr="0031049E">
        <w:rPr>
          <w:rFonts w:asciiTheme="majorHAnsi" w:hAnsiTheme="majorHAnsi" w:cstheme="majorHAnsi"/>
          <w:color w:val="auto"/>
          <w:szCs w:val="20"/>
        </w:rPr>
        <w:t xml:space="preserve"> </w:t>
      </w:r>
      <w:r w:rsidR="00A54DB4" w:rsidRPr="0031049E">
        <w:rPr>
          <w:rFonts w:asciiTheme="majorHAnsi" w:hAnsiTheme="majorHAnsi" w:cstheme="majorHAnsi"/>
          <w:b/>
          <w:bCs/>
          <w:color w:val="00B0F0" w:themeColor="accent1"/>
          <w:szCs w:val="20"/>
          <w:vertAlign w:val="superscript"/>
        </w:rPr>
        <w:t>[3</w:t>
      </w:r>
      <w:r w:rsidR="00637881" w:rsidRPr="0031049E">
        <w:rPr>
          <w:rFonts w:asciiTheme="majorHAnsi" w:hAnsiTheme="majorHAnsi" w:cstheme="majorHAnsi"/>
          <w:b/>
          <w:bCs/>
          <w:color w:val="00B0F0" w:themeColor="accent1"/>
          <w:szCs w:val="20"/>
          <w:vertAlign w:val="superscript"/>
        </w:rPr>
        <w:t>4</w:t>
      </w:r>
      <w:r w:rsidR="00A54DB4"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 For pharmacokinetic profiles, a</w:t>
      </w:r>
      <w:r w:rsidR="00D42909" w:rsidRPr="0031049E">
        <w:rPr>
          <w:rFonts w:asciiTheme="majorHAnsi" w:hAnsiTheme="majorHAnsi" w:cstheme="majorHAnsi"/>
          <w:color w:val="auto"/>
          <w:szCs w:val="20"/>
        </w:rPr>
        <w:t xml:space="preserve"> one compartment model was </w:t>
      </w:r>
      <w:r w:rsidRPr="0031049E">
        <w:rPr>
          <w:rFonts w:asciiTheme="majorHAnsi" w:hAnsiTheme="majorHAnsi" w:cstheme="majorHAnsi"/>
          <w:color w:val="auto"/>
          <w:szCs w:val="20"/>
        </w:rPr>
        <w:t>assumed</w:t>
      </w:r>
      <w:r w:rsidR="00316CBF" w:rsidRPr="0031049E">
        <w:rPr>
          <w:rFonts w:asciiTheme="majorHAnsi" w:hAnsiTheme="majorHAnsi" w:cstheme="majorHAnsi"/>
          <w:color w:val="auto"/>
          <w:szCs w:val="20"/>
        </w:rPr>
        <w:t xml:space="preserve"> as this has been demonstrated in previous population pharmacokinetic studies as the most accurate description of in vivo pharmacokinetics</w:t>
      </w:r>
      <w:r w:rsidR="00D42909" w:rsidRPr="0031049E">
        <w:rPr>
          <w:rFonts w:asciiTheme="majorHAnsi" w:hAnsiTheme="majorHAnsi" w:cstheme="majorHAnsi"/>
          <w:color w:val="auto"/>
          <w:szCs w:val="20"/>
        </w:rPr>
        <w:t>.</w:t>
      </w:r>
      <w:r w:rsidR="00316CBF"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3</w:t>
      </w:r>
      <w:r w:rsidR="00316CBF" w:rsidRPr="0031049E">
        <w:rPr>
          <w:rFonts w:asciiTheme="majorHAnsi" w:hAnsiTheme="majorHAnsi" w:cstheme="majorHAnsi"/>
          <w:b/>
          <w:bCs/>
          <w:color w:val="00B0F0" w:themeColor="accent1"/>
          <w:szCs w:val="20"/>
          <w:vertAlign w:val="superscript"/>
        </w:rPr>
        <w:t>5-</w:t>
      </w:r>
      <w:r w:rsidR="00637881" w:rsidRPr="0031049E">
        <w:rPr>
          <w:rFonts w:asciiTheme="majorHAnsi" w:hAnsiTheme="majorHAnsi" w:cstheme="majorHAnsi"/>
          <w:b/>
          <w:bCs/>
          <w:color w:val="00B0F0" w:themeColor="accent1"/>
          <w:szCs w:val="20"/>
          <w:vertAlign w:val="superscript"/>
        </w:rPr>
        <w:t>3</w:t>
      </w:r>
      <w:r w:rsidR="00316CBF" w:rsidRPr="0031049E">
        <w:rPr>
          <w:rFonts w:asciiTheme="majorHAnsi" w:hAnsiTheme="majorHAnsi" w:cstheme="majorHAnsi"/>
          <w:b/>
          <w:bCs/>
          <w:color w:val="00B0F0" w:themeColor="accent1"/>
          <w:szCs w:val="20"/>
          <w:vertAlign w:val="superscript"/>
        </w:rPr>
        <w:t>8]</w:t>
      </w:r>
      <w:r w:rsidR="005A165B" w:rsidRPr="0031049E">
        <w:rPr>
          <w:rFonts w:asciiTheme="majorHAnsi" w:hAnsiTheme="majorHAnsi" w:cstheme="majorHAnsi"/>
          <w:color w:val="auto"/>
          <w:szCs w:val="20"/>
        </w:rPr>
        <w:t xml:space="preserve"> </w:t>
      </w:r>
      <w:r w:rsidRPr="0031049E">
        <w:rPr>
          <w:rFonts w:asciiTheme="majorHAnsi" w:hAnsiTheme="majorHAnsi" w:cstheme="majorHAnsi"/>
          <w:color w:val="auto"/>
          <w:szCs w:val="20"/>
        </w:rPr>
        <w:t xml:space="preserve">Profiles were simulated to 72-hours, </w:t>
      </w:r>
      <w:r w:rsidR="0008631C" w:rsidRPr="0031049E">
        <w:rPr>
          <w:rFonts w:asciiTheme="majorHAnsi" w:hAnsiTheme="majorHAnsi" w:cstheme="majorHAnsi"/>
          <w:color w:val="auto"/>
          <w:szCs w:val="20"/>
        </w:rPr>
        <w:t xml:space="preserve">on the assumption </w:t>
      </w:r>
      <w:r w:rsidRPr="0031049E">
        <w:rPr>
          <w:rFonts w:asciiTheme="majorHAnsi" w:hAnsiTheme="majorHAnsi" w:cstheme="majorHAnsi"/>
          <w:color w:val="auto"/>
          <w:szCs w:val="20"/>
        </w:rPr>
        <w:t>that steady state would be achieved by then and</w:t>
      </w:r>
      <w:r w:rsidRPr="0031049E">
        <w:rPr>
          <w:rFonts w:asciiTheme="majorHAnsi" w:hAnsiTheme="majorHAnsi" w:cstheme="majorHAnsi"/>
          <w:i/>
          <w:iCs/>
          <w:color w:val="auto"/>
          <w:szCs w:val="20"/>
        </w:rPr>
        <w:t xml:space="preserve"> </w:t>
      </w:r>
      <w:r w:rsidRPr="0031049E">
        <w:rPr>
          <w:rFonts w:asciiTheme="majorHAnsi" w:hAnsiTheme="majorHAnsi" w:cstheme="majorHAnsi"/>
          <w:color w:val="auto"/>
          <w:szCs w:val="20"/>
        </w:rPr>
        <w:t>that this early period of treatment was likely to be the most important in achieving therapeutic concentrations. W</w:t>
      </w:r>
      <w:r w:rsidR="009029B4" w:rsidRPr="0031049E">
        <w:rPr>
          <w:rFonts w:asciiTheme="majorHAnsi" w:hAnsiTheme="majorHAnsi" w:cstheme="majorHAnsi"/>
          <w:color w:val="auto"/>
          <w:szCs w:val="20"/>
        </w:rPr>
        <w:t xml:space="preserve">e </w:t>
      </w:r>
      <w:r w:rsidR="00F03317" w:rsidRPr="0031049E">
        <w:rPr>
          <w:rFonts w:asciiTheme="majorHAnsi" w:hAnsiTheme="majorHAnsi" w:cstheme="majorHAnsi"/>
          <w:color w:val="auto"/>
          <w:szCs w:val="20"/>
        </w:rPr>
        <w:t>utilised a target trough concentration</w:t>
      </w:r>
      <w:r w:rsidRPr="0031049E">
        <w:rPr>
          <w:rFonts w:asciiTheme="majorHAnsi" w:hAnsiTheme="majorHAnsi" w:cstheme="majorHAnsi"/>
          <w:color w:val="auto"/>
          <w:szCs w:val="20"/>
        </w:rPr>
        <w:t xml:space="preserve"> range</w:t>
      </w:r>
      <w:r w:rsidR="00F03317" w:rsidRPr="0031049E">
        <w:rPr>
          <w:rFonts w:asciiTheme="majorHAnsi" w:hAnsiTheme="majorHAnsi" w:cstheme="majorHAnsi"/>
          <w:color w:val="auto"/>
          <w:szCs w:val="20"/>
        </w:rPr>
        <w:t xml:space="preserve"> of 12 – 46</w:t>
      </w:r>
      <w:r w:rsidR="00C32DDE" w:rsidRPr="0031049E">
        <w:rPr>
          <w:rFonts w:asciiTheme="majorHAnsi" w:hAnsiTheme="majorHAnsi" w:cstheme="majorHAnsi"/>
          <w:color w:val="auto"/>
          <w:szCs w:val="20"/>
        </w:rPr>
        <w:t xml:space="preserve"> mcg/mL</w:t>
      </w:r>
      <w:r w:rsidR="00B618DF" w:rsidRPr="0031049E">
        <w:rPr>
          <w:rFonts w:asciiTheme="majorHAnsi" w:hAnsiTheme="majorHAnsi" w:cstheme="majorHAnsi"/>
          <w:color w:val="auto"/>
          <w:szCs w:val="20"/>
        </w:rPr>
        <w:t xml:space="preserve"> as this is the most widely </w:t>
      </w:r>
      <w:r w:rsidR="002D30B6" w:rsidRPr="0031049E">
        <w:rPr>
          <w:rFonts w:asciiTheme="majorHAnsi" w:hAnsiTheme="majorHAnsi" w:cstheme="majorHAnsi"/>
          <w:color w:val="auto"/>
          <w:szCs w:val="20"/>
        </w:rPr>
        <w:t>used</w:t>
      </w:r>
      <w:r w:rsidR="00B618DF" w:rsidRPr="0031049E">
        <w:rPr>
          <w:rFonts w:asciiTheme="majorHAnsi" w:hAnsiTheme="majorHAnsi" w:cstheme="majorHAnsi"/>
          <w:color w:val="auto"/>
          <w:szCs w:val="20"/>
        </w:rPr>
        <w:t xml:space="preserve"> </w:t>
      </w:r>
      <w:r w:rsidR="00984175" w:rsidRPr="0031049E">
        <w:rPr>
          <w:rFonts w:asciiTheme="majorHAnsi" w:hAnsiTheme="majorHAnsi" w:cstheme="majorHAnsi"/>
          <w:color w:val="auto"/>
          <w:szCs w:val="20"/>
        </w:rPr>
        <w:t>therapeutic index</w:t>
      </w:r>
      <w:r w:rsidR="000A09ED" w:rsidRPr="0031049E">
        <w:rPr>
          <w:rFonts w:asciiTheme="majorHAnsi" w:hAnsiTheme="majorHAnsi" w:cstheme="majorHAnsi"/>
          <w:color w:val="auto"/>
          <w:szCs w:val="20"/>
        </w:rPr>
        <w:t xml:space="preserve"> </w:t>
      </w:r>
      <w:r w:rsidR="000A09ED" w:rsidRPr="0031049E">
        <w:rPr>
          <w:rFonts w:asciiTheme="majorHAnsi" w:hAnsiTheme="majorHAnsi" w:cstheme="majorHAnsi"/>
          <w:b/>
          <w:bCs/>
          <w:color w:val="00B0F0" w:themeColor="accent1"/>
          <w:szCs w:val="20"/>
          <w:vertAlign w:val="superscript"/>
        </w:rPr>
        <w:t>[</w:t>
      </w:r>
      <w:r w:rsidR="00730239" w:rsidRPr="0031049E">
        <w:rPr>
          <w:rFonts w:asciiTheme="majorHAnsi" w:hAnsiTheme="majorHAnsi" w:cstheme="majorHAnsi"/>
          <w:b/>
          <w:bCs/>
          <w:color w:val="00B0F0" w:themeColor="accent1"/>
          <w:szCs w:val="20"/>
          <w:vertAlign w:val="superscript"/>
        </w:rPr>
        <w:t>6</w:t>
      </w:r>
      <w:r w:rsidR="0000706B" w:rsidRPr="0031049E">
        <w:rPr>
          <w:rFonts w:asciiTheme="majorHAnsi" w:hAnsiTheme="majorHAnsi" w:cstheme="majorHAnsi"/>
          <w:b/>
          <w:bCs/>
          <w:color w:val="00B0F0" w:themeColor="accent1"/>
          <w:szCs w:val="20"/>
          <w:vertAlign w:val="superscript"/>
        </w:rPr>
        <w:t>,</w:t>
      </w:r>
      <w:r w:rsidR="00FB17A3" w:rsidRPr="0031049E">
        <w:rPr>
          <w:rFonts w:asciiTheme="majorHAnsi" w:hAnsiTheme="majorHAnsi" w:cstheme="majorHAnsi"/>
          <w:b/>
          <w:bCs/>
          <w:color w:val="00B0F0" w:themeColor="accent1"/>
          <w:szCs w:val="20"/>
          <w:vertAlign w:val="superscript"/>
        </w:rPr>
        <w:t xml:space="preserve"> 2</w:t>
      </w:r>
      <w:r w:rsidR="00637881" w:rsidRPr="0031049E">
        <w:rPr>
          <w:rFonts w:asciiTheme="majorHAnsi" w:hAnsiTheme="majorHAnsi" w:cstheme="majorHAnsi"/>
          <w:b/>
          <w:bCs/>
          <w:color w:val="00B0F0" w:themeColor="accent1"/>
          <w:szCs w:val="20"/>
          <w:vertAlign w:val="superscript"/>
        </w:rPr>
        <w:t>7</w:t>
      </w:r>
      <w:r w:rsidR="00FB17A3" w:rsidRPr="0031049E">
        <w:rPr>
          <w:rFonts w:asciiTheme="majorHAnsi" w:hAnsiTheme="majorHAnsi" w:cstheme="majorHAnsi"/>
          <w:b/>
          <w:bCs/>
          <w:color w:val="00B0F0" w:themeColor="accent1"/>
          <w:szCs w:val="20"/>
          <w:vertAlign w:val="superscript"/>
        </w:rPr>
        <w:t xml:space="preserve">, </w:t>
      </w:r>
      <w:r w:rsidR="006153ED" w:rsidRPr="0031049E">
        <w:rPr>
          <w:rFonts w:asciiTheme="majorHAnsi" w:hAnsiTheme="majorHAnsi" w:cstheme="majorHAnsi"/>
          <w:b/>
          <w:bCs/>
          <w:color w:val="00B0F0" w:themeColor="accent1"/>
          <w:szCs w:val="20"/>
          <w:vertAlign w:val="superscript"/>
        </w:rPr>
        <w:t>3</w:t>
      </w:r>
      <w:r w:rsidR="00637881" w:rsidRPr="0031049E">
        <w:rPr>
          <w:rFonts w:asciiTheme="majorHAnsi" w:hAnsiTheme="majorHAnsi" w:cstheme="majorHAnsi"/>
          <w:b/>
          <w:bCs/>
          <w:color w:val="00B0F0" w:themeColor="accent1"/>
          <w:szCs w:val="20"/>
          <w:vertAlign w:val="superscript"/>
        </w:rPr>
        <w:t>9</w:t>
      </w:r>
      <w:r w:rsidR="006153ED" w:rsidRPr="0031049E">
        <w:rPr>
          <w:rFonts w:asciiTheme="majorHAnsi" w:hAnsiTheme="majorHAnsi" w:cstheme="majorHAnsi"/>
          <w:b/>
          <w:bCs/>
          <w:color w:val="00B0F0" w:themeColor="accent1"/>
          <w:szCs w:val="20"/>
          <w:vertAlign w:val="superscript"/>
        </w:rPr>
        <w:t>,</w:t>
      </w:r>
      <w:r w:rsidR="00FB17A3" w:rsidRPr="0031049E">
        <w:rPr>
          <w:rFonts w:asciiTheme="majorHAnsi" w:hAnsiTheme="majorHAnsi" w:cstheme="majorHAnsi"/>
          <w:b/>
          <w:bCs/>
          <w:color w:val="00B0F0" w:themeColor="accent1"/>
          <w:szCs w:val="20"/>
          <w:vertAlign w:val="superscript"/>
        </w:rPr>
        <w:t xml:space="preserve"> </w:t>
      </w:r>
      <w:r w:rsidR="00637881" w:rsidRPr="0031049E">
        <w:rPr>
          <w:rFonts w:asciiTheme="majorHAnsi" w:hAnsiTheme="majorHAnsi" w:cstheme="majorHAnsi"/>
          <w:b/>
          <w:bCs/>
          <w:color w:val="00B0F0" w:themeColor="accent1"/>
          <w:szCs w:val="20"/>
          <w:vertAlign w:val="superscript"/>
        </w:rPr>
        <w:t>40</w:t>
      </w:r>
      <w:r w:rsidR="000A09ED" w:rsidRPr="0031049E">
        <w:rPr>
          <w:rFonts w:asciiTheme="majorHAnsi" w:hAnsiTheme="majorHAnsi" w:cstheme="majorHAnsi"/>
          <w:b/>
          <w:bCs/>
          <w:color w:val="00B0F0" w:themeColor="accent1"/>
          <w:szCs w:val="20"/>
          <w:vertAlign w:val="superscript"/>
        </w:rPr>
        <w:t>]</w:t>
      </w:r>
      <w:r w:rsidR="00984175" w:rsidRPr="0031049E">
        <w:rPr>
          <w:rFonts w:asciiTheme="majorHAnsi" w:hAnsiTheme="majorHAnsi" w:cstheme="majorHAnsi"/>
          <w:color w:val="auto"/>
          <w:szCs w:val="20"/>
        </w:rPr>
        <w:t>.</w:t>
      </w:r>
    </w:p>
    <w:p w14:paraId="605A0413" w14:textId="4F14A02C" w:rsidR="008B090D" w:rsidRPr="0031049E" w:rsidRDefault="008B090D">
      <w:pPr>
        <w:rPr>
          <w:rFonts w:asciiTheme="majorHAnsi" w:eastAsia="News Gothic MT" w:hAnsiTheme="majorHAnsi" w:cstheme="majorHAnsi"/>
          <w:b/>
          <w:bCs/>
          <w:caps/>
          <w:color w:val="424242" w:themeColor="text1" w:themeShade="BF"/>
          <w:spacing w:val="30"/>
          <w:position w:val="1"/>
          <w:szCs w:val="20"/>
          <w:lang w:eastAsia="en-GB"/>
        </w:rPr>
      </w:pPr>
    </w:p>
    <w:p w14:paraId="4C479BC6" w14:textId="2BFE266E" w:rsidR="00A04137" w:rsidRPr="0031049E" w:rsidRDefault="00A04137" w:rsidP="00A04137">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b/>
          <w:bCs/>
          <w:color w:val="auto"/>
          <w:szCs w:val="20"/>
        </w:rPr>
        <w:t>RESULTS</w:t>
      </w:r>
    </w:p>
    <w:p w14:paraId="02752545" w14:textId="2AB4B7F0" w:rsidR="00F3460B" w:rsidRPr="0031049E" w:rsidRDefault="005D0367" w:rsidP="00485C0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Our search found a total of 58 articles </w:t>
      </w:r>
      <w:r w:rsidRPr="0031049E">
        <w:rPr>
          <w:rFonts w:asciiTheme="majorHAnsi" w:hAnsiTheme="majorHAnsi" w:cstheme="majorHAnsi"/>
          <w:b/>
          <w:bCs/>
          <w:color w:val="00B0F0" w:themeColor="accent1"/>
          <w:szCs w:val="20"/>
        </w:rPr>
        <w:t>(Fig. 1)</w:t>
      </w:r>
      <w:r w:rsidR="005A7887" w:rsidRPr="0031049E">
        <w:rPr>
          <w:rFonts w:asciiTheme="majorHAnsi" w:hAnsiTheme="majorHAnsi" w:cstheme="majorHAnsi"/>
          <w:b/>
          <w:bCs/>
          <w:color w:val="00B0F0" w:themeColor="accent1"/>
          <w:szCs w:val="20"/>
        </w:rPr>
        <w:t xml:space="preserve"> </w:t>
      </w:r>
      <w:r w:rsidR="005A7887" w:rsidRPr="0031049E">
        <w:rPr>
          <w:rFonts w:asciiTheme="majorHAnsi" w:hAnsiTheme="majorHAnsi" w:cstheme="majorHAnsi"/>
          <w:color w:val="auto"/>
          <w:szCs w:val="20"/>
        </w:rPr>
        <w:t>of which four were unable to be reviewed in full text</w:t>
      </w:r>
      <w:r w:rsidRPr="0031049E">
        <w:rPr>
          <w:rFonts w:asciiTheme="majorHAnsi" w:hAnsiTheme="majorHAnsi" w:cstheme="majorHAnsi"/>
          <w:color w:val="auto"/>
          <w:szCs w:val="20"/>
        </w:rPr>
        <w:t xml:space="preserve">. Of 54 articles reviewed in full text, seven fulfilled our eligibility criteria for inclusion. Of the included studies, five were case reports </w:t>
      </w:r>
      <w:r w:rsidRPr="0031049E">
        <w:rPr>
          <w:rFonts w:asciiTheme="majorHAnsi" w:hAnsiTheme="majorHAnsi" w:cstheme="majorHAnsi"/>
          <w:b/>
          <w:bCs/>
          <w:color w:val="00B0F0" w:themeColor="accent1"/>
          <w:szCs w:val="20"/>
          <w:vertAlign w:val="superscript"/>
        </w:rPr>
        <w:t>[</w:t>
      </w:r>
      <w:r w:rsidR="00796033" w:rsidRPr="0031049E">
        <w:rPr>
          <w:rFonts w:asciiTheme="majorHAnsi" w:hAnsiTheme="majorHAnsi" w:cstheme="majorHAnsi"/>
          <w:b/>
          <w:bCs/>
          <w:color w:val="00B0F0" w:themeColor="accent1"/>
          <w:szCs w:val="20"/>
          <w:vertAlign w:val="superscript"/>
        </w:rPr>
        <w:t>2</w:t>
      </w:r>
      <w:r w:rsidR="00637881" w:rsidRPr="0031049E">
        <w:rPr>
          <w:rFonts w:asciiTheme="majorHAnsi" w:hAnsiTheme="majorHAnsi" w:cstheme="majorHAnsi"/>
          <w:b/>
          <w:bCs/>
          <w:color w:val="00B0F0" w:themeColor="accent1"/>
          <w:szCs w:val="20"/>
          <w:vertAlign w:val="superscript"/>
        </w:rPr>
        <w:t>7</w:t>
      </w:r>
      <w:r w:rsidR="00796033" w:rsidRPr="0031049E">
        <w:rPr>
          <w:rFonts w:asciiTheme="majorHAnsi" w:hAnsiTheme="majorHAnsi" w:cstheme="majorHAnsi"/>
          <w:b/>
          <w:bCs/>
          <w:color w:val="00B0F0" w:themeColor="accent1"/>
          <w:szCs w:val="20"/>
          <w:vertAlign w:val="superscript"/>
        </w:rPr>
        <w:t>,</w:t>
      </w:r>
      <w:r w:rsidR="008A2953" w:rsidRPr="0031049E">
        <w:rPr>
          <w:rFonts w:asciiTheme="majorHAnsi" w:hAnsiTheme="majorHAnsi" w:cstheme="majorHAnsi"/>
          <w:b/>
          <w:bCs/>
          <w:color w:val="00B0F0" w:themeColor="accent1"/>
          <w:szCs w:val="20"/>
          <w:vertAlign w:val="superscript"/>
        </w:rPr>
        <w:t>3</w:t>
      </w:r>
      <w:r w:rsidR="00637881" w:rsidRPr="0031049E">
        <w:rPr>
          <w:rFonts w:asciiTheme="majorHAnsi" w:hAnsiTheme="majorHAnsi" w:cstheme="majorHAnsi"/>
          <w:b/>
          <w:bCs/>
          <w:color w:val="00B0F0" w:themeColor="accent1"/>
          <w:szCs w:val="20"/>
          <w:vertAlign w:val="superscript"/>
        </w:rPr>
        <w:t>9</w:t>
      </w:r>
      <w:r w:rsidR="009F6126"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43</w:t>
      </w:r>
      <w:r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 xml:space="preserve"> and two were prospective pharmacokinetic studies </w:t>
      </w:r>
      <w:r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40,44</w:t>
      </w:r>
      <w:r w:rsidRPr="0031049E">
        <w:rPr>
          <w:rFonts w:asciiTheme="majorHAnsi" w:hAnsiTheme="majorHAnsi" w:cstheme="majorHAnsi"/>
          <w:b/>
          <w:bCs/>
          <w:color w:val="00B0F0" w:themeColor="accent1"/>
          <w:szCs w:val="20"/>
          <w:vertAlign w:val="superscript"/>
        </w:rPr>
        <w:t>]</w:t>
      </w:r>
      <w:r w:rsidRPr="0031049E">
        <w:rPr>
          <w:rFonts w:asciiTheme="majorHAnsi" w:hAnsiTheme="majorHAnsi" w:cstheme="majorHAnsi"/>
          <w:color w:val="auto"/>
          <w:szCs w:val="20"/>
        </w:rPr>
        <w:t>.</w:t>
      </w:r>
      <w:r w:rsidR="00C50435" w:rsidRPr="0031049E">
        <w:rPr>
          <w:rFonts w:asciiTheme="majorHAnsi" w:hAnsiTheme="majorHAnsi" w:cstheme="majorHAnsi"/>
          <w:color w:val="auto"/>
          <w:szCs w:val="20"/>
        </w:rPr>
        <w:t xml:space="preserve"> In all studies </w:t>
      </w:r>
      <w:r w:rsidR="00F44FE4" w:rsidRPr="0031049E">
        <w:rPr>
          <w:rFonts w:asciiTheme="majorHAnsi" w:hAnsiTheme="majorHAnsi" w:cstheme="majorHAnsi"/>
          <w:color w:val="auto"/>
          <w:szCs w:val="20"/>
        </w:rPr>
        <w:t>except</w:t>
      </w:r>
      <w:r w:rsidR="00C50435" w:rsidRPr="0031049E">
        <w:rPr>
          <w:rFonts w:asciiTheme="majorHAnsi" w:hAnsiTheme="majorHAnsi" w:cstheme="majorHAnsi"/>
          <w:color w:val="auto"/>
          <w:szCs w:val="20"/>
        </w:rPr>
        <w:t xml:space="preserve"> one (where clinical </w:t>
      </w:r>
      <w:r w:rsidR="00C50435" w:rsidRPr="0031049E">
        <w:rPr>
          <w:rFonts w:asciiTheme="majorHAnsi" w:hAnsiTheme="majorHAnsi" w:cstheme="majorHAnsi"/>
          <w:color w:val="auto"/>
          <w:szCs w:val="20"/>
        </w:rPr>
        <w:lastRenderedPageBreak/>
        <w:t>indication was not recorded) patients were treated with levetiracetam either for known seizures or as prophylaxis</w:t>
      </w:r>
      <w:r w:rsidR="005C420C" w:rsidRPr="0031049E">
        <w:rPr>
          <w:rFonts w:asciiTheme="majorHAnsi" w:hAnsiTheme="majorHAnsi" w:cstheme="majorHAnsi"/>
          <w:color w:val="auto"/>
          <w:szCs w:val="20"/>
        </w:rPr>
        <w:t xml:space="preserve"> (e.g. following trauma</w:t>
      </w:r>
      <w:r w:rsidR="006F3C7B" w:rsidRPr="0031049E">
        <w:rPr>
          <w:rFonts w:asciiTheme="majorHAnsi" w:hAnsiTheme="majorHAnsi" w:cstheme="majorHAnsi"/>
          <w:color w:val="auto"/>
          <w:szCs w:val="20"/>
        </w:rPr>
        <w:t>tic brain injury</w:t>
      </w:r>
      <w:r w:rsidR="005C420C" w:rsidRPr="0031049E">
        <w:rPr>
          <w:rFonts w:asciiTheme="majorHAnsi" w:hAnsiTheme="majorHAnsi" w:cstheme="majorHAnsi"/>
          <w:color w:val="auto"/>
          <w:szCs w:val="20"/>
        </w:rPr>
        <w:t>)</w:t>
      </w:r>
      <w:r w:rsidR="00C50435" w:rsidRPr="0031049E">
        <w:rPr>
          <w:rFonts w:asciiTheme="majorHAnsi" w:hAnsiTheme="majorHAnsi" w:cstheme="majorHAnsi"/>
          <w:color w:val="auto"/>
          <w:szCs w:val="20"/>
        </w:rPr>
        <w:t>.</w:t>
      </w:r>
      <w:r w:rsidR="005263D8" w:rsidRPr="0031049E">
        <w:rPr>
          <w:rFonts w:asciiTheme="majorHAnsi" w:hAnsiTheme="majorHAnsi" w:cstheme="majorHAnsi"/>
          <w:color w:val="auto"/>
          <w:szCs w:val="20"/>
        </w:rPr>
        <w:t xml:space="preserve"> </w:t>
      </w:r>
      <w:r w:rsidR="00CF0B48" w:rsidRPr="0031049E">
        <w:rPr>
          <w:rFonts w:asciiTheme="majorHAnsi" w:hAnsiTheme="majorHAnsi" w:cstheme="majorHAnsi"/>
          <w:color w:val="auto"/>
          <w:szCs w:val="20"/>
        </w:rPr>
        <w:t>I</w:t>
      </w:r>
      <w:r w:rsidR="005263D8" w:rsidRPr="0031049E">
        <w:rPr>
          <w:rFonts w:asciiTheme="majorHAnsi" w:hAnsiTheme="majorHAnsi" w:cstheme="majorHAnsi"/>
          <w:color w:val="auto"/>
          <w:szCs w:val="20"/>
        </w:rPr>
        <w:t xml:space="preserve">n </w:t>
      </w:r>
      <w:r w:rsidR="00E53247" w:rsidRPr="0031049E">
        <w:rPr>
          <w:rFonts w:asciiTheme="majorHAnsi" w:hAnsiTheme="majorHAnsi" w:cstheme="majorHAnsi"/>
          <w:color w:val="auto"/>
          <w:szCs w:val="20"/>
        </w:rPr>
        <w:t>one study</w:t>
      </w:r>
      <w:r w:rsidR="00380B82" w:rsidRPr="0031049E">
        <w:rPr>
          <w:rFonts w:asciiTheme="majorHAnsi" w:hAnsiTheme="majorHAnsi" w:cstheme="majorHAnsi"/>
          <w:color w:val="auto"/>
          <w:szCs w:val="20"/>
        </w:rPr>
        <w:t>,</w:t>
      </w:r>
      <w:r w:rsidR="00E53247" w:rsidRPr="0031049E">
        <w:rPr>
          <w:rFonts w:asciiTheme="majorHAnsi" w:hAnsiTheme="majorHAnsi" w:cstheme="majorHAnsi"/>
          <w:color w:val="auto"/>
          <w:szCs w:val="20"/>
        </w:rPr>
        <w:t xml:space="preserve"> </w:t>
      </w:r>
      <w:r w:rsidR="00E53247"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40</w:t>
      </w:r>
      <w:r w:rsidR="00E53247" w:rsidRPr="0031049E">
        <w:rPr>
          <w:rFonts w:asciiTheme="majorHAnsi" w:hAnsiTheme="majorHAnsi" w:cstheme="majorHAnsi"/>
          <w:b/>
          <w:bCs/>
          <w:color w:val="00B0F0" w:themeColor="accent1"/>
          <w:szCs w:val="20"/>
          <w:vertAlign w:val="superscript"/>
        </w:rPr>
        <w:t>]</w:t>
      </w:r>
      <w:r w:rsidR="00274117" w:rsidRPr="0031049E">
        <w:rPr>
          <w:rFonts w:asciiTheme="majorHAnsi" w:hAnsiTheme="majorHAnsi" w:cstheme="majorHAnsi"/>
          <w:color w:val="auto"/>
          <w:szCs w:val="20"/>
        </w:rPr>
        <w:t xml:space="preserve"> </w:t>
      </w:r>
      <w:r w:rsidR="005263D8" w:rsidRPr="0031049E">
        <w:rPr>
          <w:rFonts w:asciiTheme="majorHAnsi" w:hAnsiTheme="majorHAnsi" w:cstheme="majorHAnsi"/>
          <w:color w:val="auto"/>
          <w:szCs w:val="20"/>
        </w:rPr>
        <w:t>four patients were treated with SLED and so were excluded from our data extraction.</w:t>
      </w:r>
      <w:r w:rsidR="00B66E4B" w:rsidRPr="0031049E">
        <w:rPr>
          <w:rFonts w:asciiTheme="majorHAnsi" w:hAnsiTheme="majorHAnsi" w:cstheme="majorHAnsi"/>
          <w:color w:val="auto"/>
          <w:szCs w:val="20"/>
        </w:rPr>
        <w:t xml:space="preserve"> The total number of patient </w:t>
      </w:r>
      <w:r w:rsidR="00DE4A20" w:rsidRPr="0031049E">
        <w:rPr>
          <w:rFonts w:asciiTheme="majorHAnsi" w:hAnsiTheme="majorHAnsi" w:cstheme="majorHAnsi"/>
          <w:color w:val="auto"/>
          <w:szCs w:val="20"/>
        </w:rPr>
        <w:t>cases extracted from the included studies was 24.</w:t>
      </w:r>
    </w:p>
    <w:p w14:paraId="3B9E476B" w14:textId="6CB0A4F0" w:rsidR="005263D8" w:rsidRPr="0031049E" w:rsidRDefault="005263D8" w:rsidP="00485C0F">
      <w:pPr>
        <w:pStyle w:val="OpiniumNormal"/>
        <w:spacing w:after="0" w:line="360" w:lineRule="auto"/>
        <w:rPr>
          <w:rFonts w:asciiTheme="majorHAnsi" w:hAnsiTheme="majorHAnsi" w:cstheme="majorHAnsi"/>
          <w:color w:val="auto"/>
          <w:szCs w:val="20"/>
        </w:rPr>
      </w:pPr>
    </w:p>
    <w:p w14:paraId="4FB46B18" w14:textId="3F8539B6" w:rsidR="00EF119C" w:rsidRPr="0031049E" w:rsidRDefault="00EF119C" w:rsidP="00485C0F">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STUDY CHARACTERISTICS</w:t>
      </w:r>
    </w:p>
    <w:p w14:paraId="28879256" w14:textId="46995F74" w:rsidR="005263D8" w:rsidRPr="0031049E" w:rsidRDefault="005263D8" w:rsidP="00485C0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The characteristics of our included studies are summarised in </w:t>
      </w:r>
      <w:r w:rsidRPr="0031049E">
        <w:rPr>
          <w:rFonts w:asciiTheme="majorHAnsi" w:hAnsiTheme="majorHAnsi" w:cstheme="majorHAnsi"/>
          <w:b/>
          <w:bCs/>
          <w:color w:val="00B0F0" w:themeColor="accent1"/>
          <w:szCs w:val="20"/>
        </w:rPr>
        <w:t>Table 1</w:t>
      </w:r>
      <w:r w:rsidRPr="0031049E">
        <w:rPr>
          <w:rFonts w:asciiTheme="majorHAnsi" w:hAnsiTheme="majorHAnsi" w:cstheme="majorHAnsi"/>
          <w:color w:val="auto"/>
          <w:szCs w:val="20"/>
        </w:rPr>
        <w:t>.</w:t>
      </w:r>
      <w:r w:rsidR="00A320CA" w:rsidRPr="0031049E">
        <w:rPr>
          <w:rFonts w:asciiTheme="majorHAnsi" w:hAnsiTheme="majorHAnsi" w:cstheme="majorHAnsi"/>
          <w:color w:val="auto"/>
          <w:szCs w:val="20"/>
        </w:rPr>
        <w:t xml:space="preserve"> </w:t>
      </w:r>
      <w:r w:rsidR="000F590B" w:rsidRPr="0031049E">
        <w:rPr>
          <w:rFonts w:asciiTheme="majorHAnsi" w:hAnsiTheme="majorHAnsi" w:cstheme="majorHAnsi"/>
          <w:color w:val="auto"/>
          <w:szCs w:val="20"/>
        </w:rPr>
        <w:t xml:space="preserve">In most cases, patients were commenced on CRRT for acute kidney injury or known end-stage renal disease with multi-organ failure. </w:t>
      </w:r>
      <w:r w:rsidR="00B912B4" w:rsidRPr="0031049E">
        <w:rPr>
          <w:rFonts w:asciiTheme="majorHAnsi" w:hAnsiTheme="majorHAnsi" w:cstheme="majorHAnsi"/>
          <w:color w:val="auto"/>
          <w:szCs w:val="20"/>
        </w:rPr>
        <w:t xml:space="preserve">Sixteen </w:t>
      </w:r>
      <w:r w:rsidR="003C5E19" w:rsidRPr="0031049E">
        <w:rPr>
          <w:rFonts w:asciiTheme="majorHAnsi" w:hAnsiTheme="majorHAnsi" w:cstheme="majorHAnsi"/>
          <w:color w:val="auto"/>
          <w:szCs w:val="20"/>
        </w:rPr>
        <w:t>out of 24 patients were treated with CVVHF with 8 other patients treated with CVVHDF.</w:t>
      </w:r>
      <w:r w:rsidR="00906B0F" w:rsidRPr="0031049E">
        <w:rPr>
          <w:rFonts w:asciiTheme="majorHAnsi" w:hAnsiTheme="majorHAnsi" w:cstheme="majorHAnsi"/>
          <w:color w:val="auto"/>
          <w:szCs w:val="20"/>
        </w:rPr>
        <w:t xml:space="preserve"> </w:t>
      </w:r>
      <w:r w:rsidR="006F00B1" w:rsidRPr="0031049E">
        <w:rPr>
          <w:rFonts w:asciiTheme="majorHAnsi" w:hAnsiTheme="majorHAnsi" w:cstheme="majorHAnsi"/>
          <w:color w:val="auto"/>
          <w:szCs w:val="20"/>
        </w:rPr>
        <w:t>T</w:t>
      </w:r>
      <w:r w:rsidR="00906B0F" w:rsidRPr="0031049E">
        <w:rPr>
          <w:rFonts w:asciiTheme="majorHAnsi" w:hAnsiTheme="majorHAnsi" w:cstheme="majorHAnsi"/>
          <w:color w:val="auto"/>
          <w:szCs w:val="20"/>
        </w:rPr>
        <w:t xml:space="preserve">wo patients </w:t>
      </w:r>
      <w:r w:rsidR="00B47C5D" w:rsidRPr="0031049E">
        <w:rPr>
          <w:rFonts w:asciiTheme="majorHAnsi" w:hAnsiTheme="majorHAnsi" w:cstheme="majorHAnsi"/>
          <w:b/>
          <w:bCs/>
          <w:color w:val="00B0F0" w:themeColor="accent1"/>
          <w:szCs w:val="20"/>
          <w:vertAlign w:val="superscript"/>
        </w:rPr>
        <w:t>[</w:t>
      </w:r>
      <w:r w:rsidR="00052E0E" w:rsidRPr="0031049E">
        <w:rPr>
          <w:rFonts w:asciiTheme="majorHAnsi" w:hAnsiTheme="majorHAnsi" w:cstheme="majorHAnsi"/>
          <w:b/>
          <w:bCs/>
          <w:color w:val="00B0F0" w:themeColor="accent1"/>
          <w:szCs w:val="20"/>
          <w:vertAlign w:val="superscript"/>
        </w:rPr>
        <w:t>2</w:t>
      </w:r>
      <w:r w:rsidR="00637881" w:rsidRPr="0031049E">
        <w:rPr>
          <w:rFonts w:asciiTheme="majorHAnsi" w:hAnsiTheme="majorHAnsi" w:cstheme="majorHAnsi"/>
          <w:b/>
          <w:bCs/>
          <w:color w:val="00B0F0" w:themeColor="accent1"/>
          <w:szCs w:val="20"/>
          <w:vertAlign w:val="superscript"/>
        </w:rPr>
        <w:t>7</w:t>
      </w:r>
      <w:r w:rsidR="00B47C5D"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41</w:t>
      </w:r>
      <w:r w:rsidR="00B47C5D" w:rsidRPr="0031049E">
        <w:rPr>
          <w:rFonts w:asciiTheme="majorHAnsi" w:hAnsiTheme="majorHAnsi" w:cstheme="majorHAnsi"/>
          <w:b/>
          <w:bCs/>
          <w:color w:val="00B0F0" w:themeColor="accent1"/>
          <w:szCs w:val="20"/>
          <w:vertAlign w:val="superscript"/>
        </w:rPr>
        <w:t>]</w:t>
      </w:r>
      <w:r w:rsidR="00B47C5D" w:rsidRPr="0031049E">
        <w:rPr>
          <w:rFonts w:asciiTheme="majorHAnsi" w:hAnsiTheme="majorHAnsi" w:cstheme="majorHAnsi"/>
          <w:color w:val="auto"/>
          <w:szCs w:val="20"/>
        </w:rPr>
        <w:t xml:space="preserve"> </w:t>
      </w:r>
      <w:r w:rsidR="00906B0F" w:rsidRPr="0031049E">
        <w:rPr>
          <w:rFonts w:asciiTheme="majorHAnsi" w:hAnsiTheme="majorHAnsi" w:cstheme="majorHAnsi"/>
          <w:color w:val="auto"/>
          <w:szCs w:val="20"/>
        </w:rPr>
        <w:t xml:space="preserve">were receiving </w:t>
      </w:r>
      <w:r w:rsidR="006321C9" w:rsidRPr="0031049E">
        <w:rPr>
          <w:rFonts w:asciiTheme="majorHAnsi" w:hAnsiTheme="majorHAnsi" w:cstheme="majorHAnsi"/>
          <w:color w:val="auto"/>
          <w:szCs w:val="20"/>
        </w:rPr>
        <w:t>simultaneous</w:t>
      </w:r>
      <w:r w:rsidR="00906B0F" w:rsidRPr="0031049E">
        <w:rPr>
          <w:rFonts w:asciiTheme="majorHAnsi" w:hAnsiTheme="majorHAnsi" w:cstheme="majorHAnsi"/>
          <w:color w:val="auto"/>
          <w:szCs w:val="20"/>
        </w:rPr>
        <w:t xml:space="preserve"> extracorporeal membrane oxygenation (ECMO).</w:t>
      </w:r>
      <w:r w:rsidR="00EA6371" w:rsidRPr="0031049E">
        <w:rPr>
          <w:rFonts w:asciiTheme="majorHAnsi" w:hAnsiTheme="majorHAnsi" w:cstheme="majorHAnsi"/>
          <w:color w:val="auto"/>
          <w:szCs w:val="20"/>
        </w:rPr>
        <w:t xml:space="preserve"> </w:t>
      </w:r>
      <w:r w:rsidR="00D63D01" w:rsidRPr="0031049E">
        <w:rPr>
          <w:rFonts w:asciiTheme="majorHAnsi" w:hAnsiTheme="majorHAnsi" w:cstheme="majorHAnsi"/>
          <w:color w:val="auto"/>
          <w:szCs w:val="20"/>
        </w:rPr>
        <w:t xml:space="preserve">In </w:t>
      </w:r>
      <w:r w:rsidR="006321C9" w:rsidRPr="0031049E">
        <w:rPr>
          <w:rFonts w:asciiTheme="majorHAnsi" w:hAnsiTheme="majorHAnsi" w:cstheme="majorHAnsi"/>
          <w:color w:val="auto"/>
          <w:szCs w:val="20"/>
        </w:rPr>
        <w:t>most</w:t>
      </w:r>
      <w:r w:rsidR="00D63D01" w:rsidRPr="0031049E">
        <w:rPr>
          <w:rFonts w:asciiTheme="majorHAnsi" w:hAnsiTheme="majorHAnsi" w:cstheme="majorHAnsi"/>
          <w:color w:val="auto"/>
          <w:szCs w:val="20"/>
        </w:rPr>
        <w:t xml:space="preserve"> patients (17 out of 24) a 1,000</w:t>
      </w:r>
      <w:r w:rsidR="00DE4A20" w:rsidRPr="0031049E">
        <w:rPr>
          <w:rFonts w:asciiTheme="majorHAnsi" w:hAnsiTheme="majorHAnsi" w:cstheme="majorHAnsi"/>
          <w:color w:val="auto"/>
          <w:szCs w:val="20"/>
        </w:rPr>
        <w:t xml:space="preserve"> </w:t>
      </w:r>
      <w:r w:rsidR="00D63D01" w:rsidRPr="0031049E">
        <w:rPr>
          <w:rFonts w:asciiTheme="majorHAnsi" w:hAnsiTheme="majorHAnsi" w:cstheme="majorHAnsi"/>
          <w:color w:val="auto"/>
          <w:szCs w:val="20"/>
        </w:rPr>
        <w:t xml:space="preserve">mg </w:t>
      </w:r>
      <w:r w:rsidR="006321C9" w:rsidRPr="0031049E">
        <w:rPr>
          <w:rFonts w:asciiTheme="majorHAnsi" w:hAnsiTheme="majorHAnsi" w:cstheme="majorHAnsi"/>
          <w:color w:val="auto"/>
          <w:szCs w:val="20"/>
        </w:rPr>
        <w:t>twelve-hourly</w:t>
      </w:r>
      <w:r w:rsidR="00D63D01" w:rsidRPr="0031049E">
        <w:rPr>
          <w:rFonts w:asciiTheme="majorHAnsi" w:hAnsiTheme="majorHAnsi" w:cstheme="majorHAnsi"/>
          <w:color w:val="auto"/>
          <w:szCs w:val="20"/>
        </w:rPr>
        <w:t xml:space="preserve"> dose of levetiracetam was administered </w:t>
      </w:r>
      <w:r w:rsidR="006C1C18" w:rsidRPr="0031049E">
        <w:rPr>
          <w:rFonts w:asciiTheme="majorHAnsi" w:hAnsiTheme="majorHAnsi" w:cstheme="majorHAnsi"/>
          <w:color w:val="auto"/>
          <w:szCs w:val="20"/>
        </w:rPr>
        <w:t>as</w:t>
      </w:r>
      <w:r w:rsidR="00DF2183" w:rsidRPr="0031049E">
        <w:rPr>
          <w:rFonts w:asciiTheme="majorHAnsi" w:hAnsiTheme="majorHAnsi" w:cstheme="majorHAnsi"/>
          <w:color w:val="auto"/>
          <w:szCs w:val="20"/>
        </w:rPr>
        <w:t xml:space="preserve"> </w:t>
      </w:r>
      <w:r w:rsidR="00DE4A20" w:rsidRPr="0031049E">
        <w:rPr>
          <w:rFonts w:asciiTheme="majorHAnsi" w:hAnsiTheme="majorHAnsi" w:cstheme="majorHAnsi"/>
          <w:color w:val="auto"/>
          <w:szCs w:val="20"/>
        </w:rPr>
        <w:t xml:space="preserve">intermittent </w:t>
      </w:r>
      <w:r w:rsidR="00DF2183" w:rsidRPr="0031049E">
        <w:rPr>
          <w:rFonts w:asciiTheme="majorHAnsi" w:hAnsiTheme="majorHAnsi" w:cstheme="majorHAnsi"/>
          <w:color w:val="auto"/>
          <w:szCs w:val="20"/>
        </w:rPr>
        <w:t>intravenous</w:t>
      </w:r>
      <w:r w:rsidR="006C1C18" w:rsidRPr="0031049E">
        <w:rPr>
          <w:rFonts w:asciiTheme="majorHAnsi" w:hAnsiTheme="majorHAnsi" w:cstheme="majorHAnsi"/>
          <w:color w:val="auto"/>
          <w:szCs w:val="20"/>
        </w:rPr>
        <w:t xml:space="preserve"> infusions</w:t>
      </w:r>
      <w:r w:rsidR="005B7BB2" w:rsidRPr="0031049E">
        <w:rPr>
          <w:rFonts w:asciiTheme="majorHAnsi" w:hAnsiTheme="majorHAnsi" w:cstheme="majorHAnsi"/>
          <w:color w:val="auto"/>
          <w:szCs w:val="20"/>
        </w:rPr>
        <w:t xml:space="preserve">. One patient received </w:t>
      </w:r>
      <w:r w:rsidR="00F55163" w:rsidRPr="0031049E">
        <w:rPr>
          <w:rFonts w:asciiTheme="majorHAnsi" w:hAnsiTheme="majorHAnsi" w:cstheme="majorHAnsi"/>
          <w:color w:val="auto"/>
          <w:szCs w:val="20"/>
        </w:rPr>
        <w:t xml:space="preserve">enteral </w:t>
      </w:r>
      <w:r w:rsidR="005B7BB2" w:rsidRPr="0031049E">
        <w:rPr>
          <w:rFonts w:asciiTheme="majorHAnsi" w:hAnsiTheme="majorHAnsi" w:cstheme="majorHAnsi"/>
          <w:color w:val="auto"/>
          <w:szCs w:val="20"/>
        </w:rPr>
        <w:t>levetiracetam.</w:t>
      </w:r>
    </w:p>
    <w:p w14:paraId="7FC39800" w14:textId="0DAB227A" w:rsidR="006C1C18" w:rsidRPr="0031049E" w:rsidRDefault="006C1C18" w:rsidP="00485C0F">
      <w:pPr>
        <w:pStyle w:val="OpiniumNormal"/>
        <w:spacing w:after="0" w:line="360" w:lineRule="auto"/>
        <w:rPr>
          <w:rFonts w:asciiTheme="majorHAnsi" w:hAnsiTheme="majorHAnsi" w:cstheme="majorHAnsi"/>
          <w:color w:val="auto"/>
          <w:szCs w:val="20"/>
        </w:rPr>
      </w:pPr>
    </w:p>
    <w:p w14:paraId="2022BD07" w14:textId="11C53385" w:rsidR="003D13DC" w:rsidRPr="0031049E" w:rsidRDefault="003B399C" w:rsidP="00B07C48">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Sampling strategies across studies varied significantly. Pre-filter, post-filter and effluent samples were collected in four studies while in three studies only plasma samples (either peak or trough levels) were taken.</w:t>
      </w:r>
      <w:r w:rsidR="00A90D71" w:rsidRPr="0031049E">
        <w:rPr>
          <w:rFonts w:asciiTheme="majorHAnsi" w:hAnsiTheme="majorHAnsi" w:cstheme="majorHAnsi"/>
          <w:color w:val="auto"/>
          <w:szCs w:val="20"/>
        </w:rPr>
        <w:t xml:space="preserve"> </w:t>
      </w:r>
      <w:r w:rsidR="00CA7618" w:rsidRPr="0031049E">
        <w:rPr>
          <w:rFonts w:asciiTheme="majorHAnsi" w:hAnsiTheme="majorHAnsi" w:cstheme="majorHAnsi"/>
          <w:color w:val="auto"/>
          <w:szCs w:val="20"/>
        </w:rPr>
        <w:t xml:space="preserve"> </w:t>
      </w:r>
      <w:r w:rsidR="00A90D71" w:rsidRPr="0031049E">
        <w:rPr>
          <w:rFonts w:asciiTheme="majorHAnsi" w:hAnsiTheme="majorHAnsi" w:cstheme="majorHAnsi"/>
          <w:color w:val="auto"/>
          <w:szCs w:val="20"/>
        </w:rPr>
        <w:t>In most studies, levetiracetam levels were not taken until steady state had been achieved.</w:t>
      </w:r>
      <w:r w:rsidR="00B97879" w:rsidRPr="0031049E">
        <w:rPr>
          <w:rFonts w:asciiTheme="majorHAnsi" w:hAnsiTheme="majorHAnsi" w:cstheme="majorHAnsi"/>
          <w:color w:val="auto"/>
          <w:szCs w:val="20"/>
        </w:rPr>
        <w:t xml:space="preserve"> </w:t>
      </w:r>
      <w:r w:rsidR="00A76DEF" w:rsidRPr="0031049E">
        <w:rPr>
          <w:rFonts w:asciiTheme="majorHAnsi" w:hAnsiTheme="majorHAnsi" w:cstheme="majorHAnsi"/>
          <w:color w:val="auto"/>
          <w:szCs w:val="20"/>
        </w:rPr>
        <w:t>One compartmental modelling</w:t>
      </w:r>
      <w:r w:rsidR="009773DC" w:rsidRPr="0031049E">
        <w:rPr>
          <w:rFonts w:asciiTheme="majorHAnsi" w:hAnsiTheme="majorHAnsi" w:cstheme="majorHAnsi"/>
          <w:color w:val="auto"/>
          <w:szCs w:val="20"/>
        </w:rPr>
        <w:t xml:space="preserve"> for pharmacokinetic analysis</w:t>
      </w:r>
      <w:r w:rsidR="00A76DEF" w:rsidRPr="0031049E">
        <w:rPr>
          <w:rFonts w:asciiTheme="majorHAnsi" w:hAnsiTheme="majorHAnsi" w:cstheme="majorHAnsi"/>
          <w:color w:val="auto"/>
          <w:szCs w:val="20"/>
        </w:rPr>
        <w:t xml:space="preserve"> was used in three studies </w:t>
      </w:r>
      <w:r w:rsidR="00A76DEF" w:rsidRPr="0031049E">
        <w:rPr>
          <w:rFonts w:asciiTheme="majorHAnsi" w:hAnsiTheme="majorHAnsi" w:cstheme="majorHAnsi"/>
          <w:b/>
          <w:bCs/>
          <w:color w:val="00B0F0" w:themeColor="accent1"/>
          <w:szCs w:val="20"/>
          <w:vertAlign w:val="superscript"/>
        </w:rPr>
        <w:t>[</w:t>
      </w:r>
      <w:r w:rsidR="00B35892" w:rsidRPr="0031049E">
        <w:rPr>
          <w:rFonts w:asciiTheme="majorHAnsi" w:hAnsiTheme="majorHAnsi" w:cstheme="majorHAnsi"/>
          <w:b/>
          <w:bCs/>
          <w:color w:val="00B0F0" w:themeColor="accent1"/>
          <w:szCs w:val="20"/>
          <w:vertAlign w:val="superscript"/>
        </w:rPr>
        <w:t>2</w:t>
      </w:r>
      <w:r w:rsidR="00637881" w:rsidRPr="0031049E">
        <w:rPr>
          <w:rFonts w:asciiTheme="majorHAnsi" w:hAnsiTheme="majorHAnsi" w:cstheme="majorHAnsi"/>
          <w:b/>
          <w:bCs/>
          <w:color w:val="00B0F0" w:themeColor="accent1"/>
          <w:szCs w:val="20"/>
          <w:vertAlign w:val="superscript"/>
        </w:rPr>
        <w:t>7</w:t>
      </w:r>
      <w:r w:rsidR="00B35892" w:rsidRPr="0031049E">
        <w:rPr>
          <w:rFonts w:asciiTheme="majorHAnsi" w:hAnsiTheme="majorHAnsi" w:cstheme="majorHAnsi"/>
          <w:b/>
          <w:bCs/>
          <w:color w:val="00B0F0" w:themeColor="accent1"/>
          <w:szCs w:val="20"/>
          <w:vertAlign w:val="superscript"/>
        </w:rPr>
        <w:t>,</w:t>
      </w:r>
      <w:r w:rsidR="00473796" w:rsidRPr="0031049E">
        <w:rPr>
          <w:rFonts w:asciiTheme="majorHAnsi" w:hAnsiTheme="majorHAnsi" w:cstheme="majorHAnsi"/>
          <w:b/>
          <w:bCs/>
          <w:color w:val="00B0F0" w:themeColor="accent1"/>
          <w:szCs w:val="20"/>
          <w:vertAlign w:val="superscript"/>
        </w:rPr>
        <w:t xml:space="preserve"> </w:t>
      </w:r>
      <w:r w:rsidR="00637881" w:rsidRPr="0031049E">
        <w:rPr>
          <w:rFonts w:asciiTheme="majorHAnsi" w:hAnsiTheme="majorHAnsi" w:cstheme="majorHAnsi"/>
          <w:b/>
          <w:bCs/>
          <w:color w:val="00B0F0" w:themeColor="accent1"/>
          <w:szCs w:val="20"/>
          <w:vertAlign w:val="superscript"/>
        </w:rPr>
        <w:t>41-42</w:t>
      </w:r>
      <w:r w:rsidR="00A76DEF" w:rsidRPr="0031049E">
        <w:rPr>
          <w:rFonts w:asciiTheme="majorHAnsi" w:hAnsiTheme="majorHAnsi" w:cstheme="majorHAnsi"/>
          <w:b/>
          <w:bCs/>
          <w:color w:val="00B0F0" w:themeColor="accent1"/>
          <w:szCs w:val="20"/>
          <w:vertAlign w:val="superscript"/>
        </w:rPr>
        <w:t>]</w:t>
      </w:r>
      <w:r w:rsidR="009773DC" w:rsidRPr="0031049E">
        <w:rPr>
          <w:rFonts w:asciiTheme="majorHAnsi" w:hAnsiTheme="majorHAnsi" w:cstheme="majorHAnsi"/>
          <w:color w:val="auto"/>
          <w:szCs w:val="20"/>
        </w:rPr>
        <w:t xml:space="preserve">, </w:t>
      </w:r>
      <w:r w:rsidR="00A76DEF" w:rsidRPr="0031049E">
        <w:rPr>
          <w:rFonts w:asciiTheme="majorHAnsi" w:hAnsiTheme="majorHAnsi" w:cstheme="majorHAnsi"/>
          <w:color w:val="auto"/>
          <w:szCs w:val="20"/>
        </w:rPr>
        <w:t xml:space="preserve">while Kalaria et. al </w:t>
      </w:r>
      <w:r w:rsidR="00C86795" w:rsidRPr="0031049E">
        <w:rPr>
          <w:rFonts w:asciiTheme="majorHAnsi" w:hAnsiTheme="majorHAnsi" w:cstheme="majorHAnsi"/>
          <w:color w:val="auto"/>
          <w:szCs w:val="20"/>
        </w:rPr>
        <w:t xml:space="preserve">used </w:t>
      </w:r>
      <w:r w:rsidR="00B72524" w:rsidRPr="0031049E">
        <w:rPr>
          <w:rFonts w:asciiTheme="majorHAnsi" w:hAnsiTheme="majorHAnsi" w:cstheme="majorHAnsi"/>
          <w:color w:val="auto"/>
          <w:szCs w:val="20"/>
        </w:rPr>
        <w:t>a</w:t>
      </w:r>
      <w:r w:rsidR="00A76DEF" w:rsidRPr="0031049E">
        <w:rPr>
          <w:rFonts w:asciiTheme="majorHAnsi" w:hAnsiTheme="majorHAnsi" w:cstheme="majorHAnsi"/>
          <w:color w:val="auto"/>
          <w:szCs w:val="20"/>
        </w:rPr>
        <w:t xml:space="preserve"> non-compartmental </w:t>
      </w:r>
      <w:r w:rsidR="00051D8B" w:rsidRPr="0031049E">
        <w:rPr>
          <w:rFonts w:asciiTheme="majorHAnsi" w:hAnsiTheme="majorHAnsi" w:cstheme="majorHAnsi"/>
          <w:color w:val="auto"/>
          <w:szCs w:val="20"/>
        </w:rPr>
        <w:t>approach</w:t>
      </w:r>
      <w:r w:rsidR="00363A74" w:rsidRPr="0031049E">
        <w:rPr>
          <w:rFonts w:asciiTheme="majorHAnsi" w:hAnsiTheme="majorHAnsi" w:cstheme="majorHAnsi"/>
          <w:color w:val="auto"/>
          <w:szCs w:val="20"/>
        </w:rPr>
        <w:t>.</w:t>
      </w:r>
    </w:p>
    <w:p w14:paraId="393214A5" w14:textId="514EDADA" w:rsidR="00DC4998" w:rsidRPr="0031049E" w:rsidRDefault="00DC4998" w:rsidP="00B07C48">
      <w:pPr>
        <w:pStyle w:val="OpiniumNormal"/>
        <w:spacing w:after="0" w:line="360" w:lineRule="auto"/>
        <w:rPr>
          <w:rFonts w:asciiTheme="majorHAnsi" w:hAnsiTheme="majorHAnsi" w:cstheme="majorHAnsi"/>
          <w:color w:val="auto"/>
          <w:szCs w:val="20"/>
        </w:rPr>
      </w:pPr>
    </w:p>
    <w:p w14:paraId="22AAB6D5" w14:textId="3E85FB30" w:rsidR="005906F4" w:rsidRPr="0031049E" w:rsidRDefault="00C86C06" w:rsidP="00B07C48">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The </w:t>
      </w:r>
      <w:r w:rsidR="00266CFD" w:rsidRPr="0031049E">
        <w:rPr>
          <w:rFonts w:asciiTheme="majorHAnsi" w:hAnsiTheme="majorHAnsi" w:cstheme="majorHAnsi"/>
          <w:color w:val="auto"/>
          <w:szCs w:val="20"/>
        </w:rPr>
        <w:t>recommended</w:t>
      </w:r>
      <w:r w:rsidRPr="0031049E">
        <w:rPr>
          <w:rFonts w:asciiTheme="majorHAnsi" w:hAnsiTheme="majorHAnsi" w:cstheme="majorHAnsi"/>
          <w:color w:val="auto"/>
          <w:szCs w:val="20"/>
        </w:rPr>
        <w:t xml:space="preserve"> delivered dose in CRRT varies but is </w:t>
      </w:r>
      <w:r w:rsidR="001C4C82" w:rsidRPr="0031049E">
        <w:rPr>
          <w:rFonts w:asciiTheme="majorHAnsi" w:hAnsiTheme="majorHAnsi" w:cstheme="majorHAnsi"/>
          <w:color w:val="auto"/>
          <w:szCs w:val="20"/>
        </w:rPr>
        <w:t>considered to be</w:t>
      </w:r>
      <w:r w:rsidRPr="0031049E">
        <w:rPr>
          <w:rFonts w:asciiTheme="majorHAnsi" w:hAnsiTheme="majorHAnsi" w:cstheme="majorHAnsi"/>
          <w:color w:val="auto"/>
          <w:szCs w:val="20"/>
        </w:rPr>
        <w:t xml:space="preserve"> between 20 – 35 </w:t>
      </w:r>
      <w:r w:rsidR="00DC2FB1" w:rsidRPr="0031049E">
        <w:rPr>
          <w:rFonts w:asciiTheme="majorHAnsi" w:hAnsiTheme="majorHAnsi" w:cstheme="majorHAnsi"/>
          <w:color w:val="auto"/>
          <w:szCs w:val="20"/>
        </w:rPr>
        <w:t>mL</w:t>
      </w:r>
      <w:r w:rsidRPr="0031049E">
        <w:rPr>
          <w:rFonts w:asciiTheme="majorHAnsi" w:hAnsiTheme="majorHAnsi" w:cstheme="majorHAnsi"/>
          <w:color w:val="auto"/>
          <w:szCs w:val="20"/>
        </w:rPr>
        <w:t>/kg/hr. The me</w:t>
      </w:r>
      <w:r w:rsidR="0060731E" w:rsidRPr="0031049E">
        <w:rPr>
          <w:rFonts w:asciiTheme="majorHAnsi" w:hAnsiTheme="majorHAnsi" w:cstheme="majorHAnsi"/>
          <w:color w:val="auto"/>
          <w:szCs w:val="20"/>
        </w:rPr>
        <w:t>dian</w:t>
      </w:r>
      <w:r w:rsidRPr="0031049E">
        <w:rPr>
          <w:rFonts w:asciiTheme="majorHAnsi" w:hAnsiTheme="majorHAnsi" w:cstheme="majorHAnsi"/>
          <w:color w:val="auto"/>
          <w:szCs w:val="20"/>
        </w:rPr>
        <w:t xml:space="preserve"> delivered dose in </w:t>
      </w:r>
      <w:r w:rsidR="003D5A7F" w:rsidRPr="0031049E">
        <w:rPr>
          <w:rFonts w:asciiTheme="majorHAnsi" w:hAnsiTheme="majorHAnsi" w:cstheme="majorHAnsi"/>
          <w:color w:val="auto"/>
          <w:szCs w:val="20"/>
        </w:rPr>
        <w:t>these</w:t>
      </w:r>
      <w:r w:rsidRPr="0031049E">
        <w:rPr>
          <w:rFonts w:asciiTheme="majorHAnsi" w:hAnsiTheme="majorHAnsi" w:cstheme="majorHAnsi"/>
          <w:color w:val="auto"/>
          <w:szCs w:val="20"/>
        </w:rPr>
        <w:t xml:space="preserve"> studies ranged from 26.7 – 37.1 </w:t>
      </w:r>
      <w:r w:rsidR="00DC2FB1" w:rsidRPr="0031049E">
        <w:rPr>
          <w:rFonts w:asciiTheme="majorHAnsi" w:hAnsiTheme="majorHAnsi" w:cstheme="majorHAnsi"/>
          <w:color w:val="auto"/>
          <w:szCs w:val="20"/>
        </w:rPr>
        <w:t>mL</w:t>
      </w:r>
      <w:r w:rsidRPr="0031049E">
        <w:rPr>
          <w:rFonts w:asciiTheme="majorHAnsi" w:hAnsiTheme="majorHAnsi" w:cstheme="majorHAnsi"/>
          <w:color w:val="auto"/>
          <w:szCs w:val="20"/>
        </w:rPr>
        <w:t>/kg/hr</w:t>
      </w:r>
      <w:r w:rsidR="00132A5B" w:rsidRPr="0031049E">
        <w:rPr>
          <w:rFonts w:asciiTheme="majorHAnsi" w:hAnsiTheme="majorHAnsi" w:cstheme="majorHAnsi"/>
          <w:color w:val="auto"/>
          <w:szCs w:val="20"/>
        </w:rPr>
        <w:t xml:space="preserve"> with significant variation seen in Chappell et al</w:t>
      </w:r>
      <w:r w:rsidR="005615BC" w:rsidRPr="0031049E">
        <w:rPr>
          <w:rFonts w:asciiTheme="majorHAnsi" w:hAnsiTheme="majorHAnsi" w:cstheme="majorHAnsi"/>
          <w:color w:val="auto"/>
          <w:szCs w:val="20"/>
        </w:rPr>
        <w:t>.</w:t>
      </w:r>
      <w:r w:rsidR="00132A5B" w:rsidRPr="0031049E">
        <w:rPr>
          <w:rFonts w:asciiTheme="majorHAnsi" w:hAnsiTheme="majorHAnsi" w:cstheme="majorHAnsi"/>
          <w:color w:val="auto"/>
          <w:szCs w:val="20"/>
        </w:rPr>
        <w:t xml:space="preserve"> and Kalaria et al</w:t>
      </w:r>
      <w:r w:rsidR="0016163C" w:rsidRPr="0031049E">
        <w:rPr>
          <w:rFonts w:asciiTheme="majorHAnsi" w:hAnsiTheme="majorHAnsi" w:cstheme="majorHAnsi"/>
          <w:color w:val="auto"/>
          <w:szCs w:val="20"/>
        </w:rPr>
        <w:t>.</w:t>
      </w:r>
      <w:r w:rsidR="00C10948" w:rsidRPr="0031049E">
        <w:rPr>
          <w:rFonts w:asciiTheme="majorHAnsi" w:hAnsiTheme="majorHAnsi" w:cstheme="majorHAnsi"/>
          <w:color w:val="auto"/>
          <w:szCs w:val="20"/>
        </w:rPr>
        <w:t xml:space="preserve"> </w:t>
      </w:r>
      <w:r w:rsidR="000E2B92" w:rsidRPr="0031049E">
        <w:rPr>
          <w:rFonts w:asciiTheme="majorHAnsi" w:hAnsiTheme="majorHAnsi" w:cstheme="majorHAnsi"/>
          <w:color w:val="auto"/>
          <w:szCs w:val="20"/>
        </w:rPr>
        <w:t xml:space="preserve">Blood flow rates ranged from 180 – 250 </w:t>
      </w:r>
      <w:r w:rsidR="00DC2FB1" w:rsidRPr="0031049E">
        <w:rPr>
          <w:rFonts w:asciiTheme="majorHAnsi" w:hAnsiTheme="majorHAnsi" w:cstheme="majorHAnsi"/>
          <w:color w:val="auto"/>
          <w:szCs w:val="20"/>
        </w:rPr>
        <w:t>mL</w:t>
      </w:r>
      <w:r w:rsidR="000E2B92" w:rsidRPr="0031049E">
        <w:rPr>
          <w:rFonts w:asciiTheme="majorHAnsi" w:hAnsiTheme="majorHAnsi" w:cstheme="majorHAnsi"/>
          <w:color w:val="auto"/>
          <w:szCs w:val="20"/>
        </w:rPr>
        <w:t xml:space="preserve">/min and were </w:t>
      </w:r>
      <w:r w:rsidR="00027098" w:rsidRPr="0031049E">
        <w:rPr>
          <w:rFonts w:asciiTheme="majorHAnsi" w:hAnsiTheme="majorHAnsi" w:cstheme="majorHAnsi"/>
          <w:color w:val="auto"/>
          <w:szCs w:val="20"/>
        </w:rPr>
        <w:t xml:space="preserve">broadly </w:t>
      </w:r>
      <w:r w:rsidR="000E2B92" w:rsidRPr="0031049E">
        <w:rPr>
          <w:rFonts w:asciiTheme="majorHAnsi" w:hAnsiTheme="majorHAnsi" w:cstheme="majorHAnsi"/>
          <w:color w:val="auto"/>
          <w:szCs w:val="20"/>
        </w:rPr>
        <w:t>consistent</w:t>
      </w:r>
      <w:r w:rsidR="003B56D0" w:rsidRPr="0031049E">
        <w:rPr>
          <w:rFonts w:asciiTheme="majorHAnsi" w:hAnsiTheme="majorHAnsi" w:cstheme="majorHAnsi"/>
          <w:color w:val="auto"/>
          <w:szCs w:val="20"/>
        </w:rPr>
        <w:t xml:space="preserve"> across studies</w:t>
      </w:r>
      <w:r w:rsidR="000E2B92" w:rsidRPr="0031049E">
        <w:rPr>
          <w:rFonts w:asciiTheme="majorHAnsi" w:hAnsiTheme="majorHAnsi" w:cstheme="majorHAnsi"/>
          <w:color w:val="auto"/>
          <w:szCs w:val="20"/>
        </w:rPr>
        <w:t xml:space="preserve">. </w:t>
      </w:r>
      <w:r w:rsidR="00F72A29" w:rsidRPr="0031049E">
        <w:rPr>
          <w:rFonts w:asciiTheme="majorHAnsi" w:hAnsiTheme="majorHAnsi" w:cstheme="majorHAnsi"/>
          <w:color w:val="auto"/>
          <w:szCs w:val="20"/>
        </w:rPr>
        <w:t>The majority of patients were</w:t>
      </w:r>
      <w:r w:rsidR="006D7CE9" w:rsidRPr="0031049E">
        <w:rPr>
          <w:rFonts w:asciiTheme="majorHAnsi" w:hAnsiTheme="majorHAnsi" w:cstheme="majorHAnsi"/>
          <w:color w:val="auto"/>
          <w:szCs w:val="20"/>
        </w:rPr>
        <w:t xml:space="preserve"> either anuric or</w:t>
      </w:r>
      <w:r w:rsidR="00F72A29" w:rsidRPr="0031049E">
        <w:rPr>
          <w:rFonts w:asciiTheme="majorHAnsi" w:hAnsiTheme="majorHAnsi" w:cstheme="majorHAnsi"/>
          <w:color w:val="auto"/>
          <w:szCs w:val="20"/>
        </w:rPr>
        <w:t xml:space="preserve"> oliguric (defined as urine output &lt;</w:t>
      </w:r>
      <w:r w:rsidR="00DC2FB1" w:rsidRPr="0031049E">
        <w:rPr>
          <w:rFonts w:asciiTheme="majorHAnsi" w:hAnsiTheme="majorHAnsi" w:cstheme="majorHAnsi"/>
          <w:color w:val="auto"/>
          <w:szCs w:val="20"/>
        </w:rPr>
        <w:t xml:space="preserve">400 mL </w:t>
      </w:r>
      <w:r w:rsidR="00F72A29" w:rsidRPr="0031049E">
        <w:rPr>
          <w:rFonts w:asciiTheme="majorHAnsi" w:hAnsiTheme="majorHAnsi" w:cstheme="majorHAnsi"/>
          <w:color w:val="auto"/>
          <w:szCs w:val="20"/>
        </w:rPr>
        <w:t>in 24 hours)</w:t>
      </w:r>
      <w:r w:rsidR="00C46293" w:rsidRPr="0031049E">
        <w:rPr>
          <w:rFonts w:asciiTheme="majorHAnsi" w:hAnsiTheme="majorHAnsi" w:cstheme="majorHAnsi"/>
          <w:color w:val="auto"/>
          <w:szCs w:val="20"/>
        </w:rPr>
        <w:t xml:space="preserve"> but it should be noted that th</w:t>
      </w:r>
      <w:r w:rsidR="00F35C76" w:rsidRPr="0031049E">
        <w:rPr>
          <w:rFonts w:asciiTheme="majorHAnsi" w:hAnsiTheme="majorHAnsi" w:cstheme="majorHAnsi"/>
          <w:color w:val="auto"/>
          <w:szCs w:val="20"/>
        </w:rPr>
        <w:t>ese</w:t>
      </w:r>
      <w:r w:rsidR="00C46293" w:rsidRPr="0031049E">
        <w:rPr>
          <w:rFonts w:asciiTheme="majorHAnsi" w:hAnsiTheme="majorHAnsi" w:cstheme="majorHAnsi"/>
          <w:color w:val="auto"/>
          <w:szCs w:val="20"/>
        </w:rPr>
        <w:t xml:space="preserve"> </w:t>
      </w:r>
      <w:r w:rsidR="006D7CE9" w:rsidRPr="0031049E">
        <w:rPr>
          <w:rFonts w:asciiTheme="majorHAnsi" w:hAnsiTheme="majorHAnsi" w:cstheme="majorHAnsi"/>
          <w:color w:val="auto"/>
          <w:szCs w:val="20"/>
        </w:rPr>
        <w:t>data</w:t>
      </w:r>
      <w:r w:rsidR="00C46293" w:rsidRPr="0031049E">
        <w:rPr>
          <w:rFonts w:asciiTheme="majorHAnsi" w:hAnsiTheme="majorHAnsi" w:cstheme="majorHAnsi"/>
          <w:color w:val="auto"/>
          <w:szCs w:val="20"/>
        </w:rPr>
        <w:t xml:space="preserve"> w</w:t>
      </w:r>
      <w:r w:rsidR="006D7CE9" w:rsidRPr="0031049E">
        <w:rPr>
          <w:rFonts w:asciiTheme="majorHAnsi" w:hAnsiTheme="majorHAnsi" w:cstheme="majorHAnsi"/>
          <w:color w:val="auto"/>
          <w:szCs w:val="20"/>
        </w:rPr>
        <w:t>ere</w:t>
      </w:r>
      <w:r w:rsidR="00C46293" w:rsidRPr="0031049E">
        <w:rPr>
          <w:rFonts w:asciiTheme="majorHAnsi" w:hAnsiTheme="majorHAnsi" w:cstheme="majorHAnsi"/>
          <w:color w:val="auto"/>
          <w:szCs w:val="20"/>
        </w:rPr>
        <w:t xml:space="preserve"> not collected by Chappell et al.</w:t>
      </w:r>
    </w:p>
    <w:p w14:paraId="0BB102A3" w14:textId="6A1AC7C8" w:rsidR="00A76DEF" w:rsidRPr="0031049E" w:rsidRDefault="00A76DEF" w:rsidP="00846733">
      <w:pPr>
        <w:pStyle w:val="OpiniumNormal"/>
        <w:tabs>
          <w:tab w:val="left" w:pos="3454"/>
        </w:tabs>
        <w:spacing w:after="0" w:line="360" w:lineRule="auto"/>
        <w:rPr>
          <w:rFonts w:asciiTheme="majorHAnsi" w:hAnsiTheme="majorHAnsi" w:cstheme="majorHAnsi"/>
          <w:color w:val="auto"/>
          <w:szCs w:val="20"/>
        </w:rPr>
      </w:pPr>
    </w:p>
    <w:p w14:paraId="7760DDD4" w14:textId="0119C520" w:rsidR="000F25DF" w:rsidRPr="0031049E" w:rsidRDefault="00C62ED0" w:rsidP="00B07C48">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PHARMACOKINETIC</w:t>
      </w:r>
      <w:r w:rsidR="00BE2827" w:rsidRPr="0031049E">
        <w:rPr>
          <w:rFonts w:asciiTheme="majorHAnsi" w:hAnsiTheme="majorHAnsi" w:cstheme="majorHAnsi"/>
          <w:b/>
          <w:bCs/>
          <w:color w:val="00B0F0" w:themeColor="accent1"/>
          <w:szCs w:val="20"/>
        </w:rPr>
        <w:t xml:space="preserve"> DATA</w:t>
      </w:r>
    </w:p>
    <w:p w14:paraId="14FF1008" w14:textId="6B65FFC2" w:rsidR="00FE766A" w:rsidRPr="0031049E" w:rsidRDefault="00073F97" w:rsidP="0019585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Reported levetiracetam </w:t>
      </w:r>
      <w:r w:rsidR="00FE766A" w:rsidRPr="0031049E">
        <w:rPr>
          <w:rFonts w:asciiTheme="majorHAnsi" w:hAnsiTheme="majorHAnsi" w:cstheme="majorHAnsi"/>
          <w:color w:val="auto"/>
          <w:szCs w:val="20"/>
        </w:rPr>
        <w:t>clearance from CRRT was between 1.80 – 2.98</w:t>
      </w:r>
      <w:r w:rsidRPr="0031049E">
        <w:rPr>
          <w:rFonts w:asciiTheme="majorHAnsi" w:hAnsiTheme="majorHAnsi" w:cstheme="majorHAnsi"/>
          <w:color w:val="auto"/>
          <w:szCs w:val="20"/>
        </w:rPr>
        <w:t xml:space="preserve"> </w:t>
      </w:r>
      <w:r w:rsidR="00FE766A" w:rsidRPr="0031049E">
        <w:rPr>
          <w:rFonts w:asciiTheme="majorHAnsi" w:hAnsiTheme="majorHAnsi" w:cstheme="majorHAnsi"/>
          <w:color w:val="auto"/>
          <w:szCs w:val="20"/>
        </w:rPr>
        <w:t>L/h</w:t>
      </w:r>
      <w:r w:rsidR="009F6E81" w:rsidRPr="0031049E">
        <w:rPr>
          <w:rFonts w:asciiTheme="majorHAnsi" w:hAnsiTheme="majorHAnsi" w:cstheme="majorHAnsi"/>
          <w:color w:val="auto"/>
          <w:szCs w:val="20"/>
        </w:rPr>
        <w:t xml:space="preserve"> (</w:t>
      </w:r>
      <w:r w:rsidR="009F6E81" w:rsidRPr="0031049E">
        <w:rPr>
          <w:rFonts w:asciiTheme="majorHAnsi" w:hAnsiTheme="majorHAnsi" w:cstheme="majorHAnsi"/>
          <w:b/>
          <w:bCs/>
          <w:color w:val="00B0F0" w:themeColor="accent1"/>
          <w:szCs w:val="20"/>
        </w:rPr>
        <w:t>Table 2</w:t>
      </w:r>
      <w:r w:rsidR="009F6E81" w:rsidRPr="0031049E">
        <w:rPr>
          <w:rFonts w:asciiTheme="majorHAnsi" w:hAnsiTheme="majorHAnsi" w:cstheme="majorHAnsi"/>
          <w:color w:val="auto"/>
          <w:szCs w:val="20"/>
        </w:rPr>
        <w:t>)</w:t>
      </w:r>
      <w:r w:rsidR="00FE766A" w:rsidRPr="0031049E">
        <w:rPr>
          <w:rFonts w:asciiTheme="majorHAnsi" w:hAnsiTheme="majorHAnsi" w:cstheme="majorHAnsi"/>
          <w:color w:val="auto"/>
          <w:szCs w:val="20"/>
        </w:rPr>
        <w:t>. Where</w:t>
      </w:r>
      <w:r w:rsidR="009F4A15" w:rsidRPr="0031049E">
        <w:rPr>
          <w:rFonts w:asciiTheme="majorHAnsi" w:hAnsiTheme="majorHAnsi" w:cstheme="majorHAnsi"/>
          <w:color w:val="auto"/>
          <w:szCs w:val="20"/>
        </w:rPr>
        <w:t xml:space="preserve"> total clearance was</w:t>
      </w:r>
      <w:r w:rsidR="00FE766A" w:rsidRPr="0031049E">
        <w:rPr>
          <w:rFonts w:asciiTheme="majorHAnsi" w:hAnsiTheme="majorHAnsi" w:cstheme="majorHAnsi"/>
          <w:color w:val="auto"/>
          <w:szCs w:val="20"/>
        </w:rPr>
        <w:t xml:space="preserve"> calculated, the clearance attributed to CRRT </w:t>
      </w:r>
      <w:r w:rsidR="002F74D2" w:rsidRPr="0031049E">
        <w:rPr>
          <w:rFonts w:asciiTheme="majorHAnsi" w:hAnsiTheme="majorHAnsi" w:cstheme="majorHAnsi"/>
          <w:color w:val="auto"/>
          <w:szCs w:val="20"/>
        </w:rPr>
        <w:t xml:space="preserve">alone </w:t>
      </w:r>
      <w:r w:rsidR="00F41DD5" w:rsidRPr="0031049E">
        <w:rPr>
          <w:rFonts w:asciiTheme="majorHAnsi" w:hAnsiTheme="majorHAnsi" w:cstheme="majorHAnsi"/>
          <w:color w:val="auto"/>
          <w:szCs w:val="20"/>
        </w:rPr>
        <w:t xml:space="preserve">was </w:t>
      </w:r>
      <w:r w:rsidR="006E7F7D" w:rsidRPr="0031049E">
        <w:rPr>
          <w:rFonts w:asciiTheme="majorHAnsi" w:hAnsiTheme="majorHAnsi" w:cstheme="majorHAnsi"/>
          <w:color w:val="auto"/>
          <w:szCs w:val="20"/>
        </w:rPr>
        <w:t>between 52 – 73%</w:t>
      </w:r>
      <w:r w:rsidR="00DD0365" w:rsidRPr="0031049E">
        <w:rPr>
          <w:rFonts w:asciiTheme="majorHAnsi" w:hAnsiTheme="majorHAnsi" w:cstheme="majorHAnsi"/>
          <w:color w:val="auto"/>
          <w:szCs w:val="20"/>
        </w:rPr>
        <w:t xml:space="preserve"> (Mean 54.7%, S.D.</w:t>
      </w:r>
      <w:r w:rsidR="0008106D" w:rsidRPr="0031049E">
        <w:rPr>
          <w:rFonts w:asciiTheme="majorHAnsi" w:hAnsiTheme="majorHAnsi" w:cstheme="majorHAnsi"/>
          <w:color w:val="auto"/>
          <w:szCs w:val="20"/>
        </w:rPr>
        <w:t xml:space="preserve"> 13.5)</w:t>
      </w:r>
      <w:r w:rsidR="00F41DD5" w:rsidRPr="0031049E">
        <w:rPr>
          <w:rFonts w:asciiTheme="majorHAnsi" w:hAnsiTheme="majorHAnsi" w:cstheme="majorHAnsi"/>
          <w:color w:val="auto"/>
          <w:szCs w:val="20"/>
        </w:rPr>
        <w:t>.</w:t>
      </w:r>
      <w:r w:rsidR="000E3B46" w:rsidRPr="0031049E">
        <w:rPr>
          <w:rFonts w:asciiTheme="majorHAnsi" w:hAnsiTheme="majorHAnsi" w:cstheme="majorHAnsi"/>
          <w:color w:val="auto"/>
          <w:szCs w:val="20"/>
        </w:rPr>
        <w:t xml:space="preserve"> </w:t>
      </w:r>
      <w:r w:rsidR="001757E4" w:rsidRPr="0031049E">
        <w:rPr>
          <w:rFonts w:asciiTheme="majorHAnsi" w:hAnsiTheme="majorHAnsi" w:cstheme="majorHAnsi"/>
          <w:color w:val="auto"/>
          <w:szCs w:val="20"/>
        </w:rPr>
        <w:t xml:space="preserve">Reported </w:t>
      </w:r>
      <w:r w:rsidR="000E3B46" w:rsidRPr="0031049E">
        <w:rPr>
          <w:rFonts w:asciiTheme="majorHAnsi" w:hAnsiTheme="majorHAnsi" w:cstheme="majorHAnsi"/>
          <w:color w:val="auto"/>
          <w:szCs w:val="20"/>
        </w:rPr>
        <w:t xml:space="preserve">total clearance of levetiracetam was </w:t>
      </w:r>
      <w:r w:rsidR="00C76E0E" w:rsidRPr="0031049E">
        <w:rPr>
          <w:rFonts w:asciiTheme="majorHAnsi" w:hAnsiTheme="majorHAnsi" w:cstheme="majorHAnsi"/>
          <w:color w:val="auto"/>
          <w:szCs w:val="20"/>
        </w:rPr>
        <w:t xml:space="preserve">between </w:t>
      </w:r>
      <w:r w:rsidR="000E3B46" w:rsidRPr="0031049E">
        <w:rPr>
          <w:rFonts w:asciiTheme="majorHAnsi" w:hAnsiTheme="majorHAnsi" w:cstheme="majorHAnsi"/>
          <w:color w:val="auto"/>
          <w:szCs w:val="20"/>
        </w:rPr>
        <w:t>3.49 – 4.63L/hr</w:t>
      </w:r>
      <w:r w:rsidR="00101FE6" w:rsidRPr="0031049E">
        <w:rPr>
          <w:rFonts w:asciiTheme="majorHAnsi" w:hAnsiTheme="majorHAnsi" w:cstheme="majorHAnsi"/>
          <w:color w:val="auto"/>
          <w:szCs w:val="20"/>
        </w:rPr>
        <w:t xml:space="preserve"> (Mean 3.55, S.D. 0.52)</w:t>
      </w:r>
      <w:r w:rsidR="00FB4027" w:rsidRPr="0031049E">
        <w:rPr>
          <w:rFonts w:asciiTheme="majorHAnsi" w:hAnsiTheme="majorHAnsi" w:cstheme="majorHAnsi"/>
          <w:color w:val="auto"/>
          <w:szCs w:val="20"/>
        </w:rPr>
        <w:t>.</w:t>
      </w:r>
      <w:r w:rsidR="00582FC3" w:rsidRPr="0031049E">
        <w:rPr>
          <w:rFonts w:asciiTheme="majorHAnsi" w:hAnsiTheme="majorHAnsi" w:cstheme="majorHAnsi"/>
          <w:color w:val="auto"/>
          <w:szCs w:val="20"/>
        </w:rPr>
        <w:t xml:space="preserve"> </w:t>
      </w:r>
      <w:r w:rsidR="002F2DDA" w:rsidRPr="0031049E">
        <w:rPr>
          <w:rFonts w:asciiTheme="majorHAnsi" w:hAnsiTheme="majorHAnsi" w:cstheme="majorHAnsi"/>
          <w:color w:val="auto"/>
          <w:szCs w:val="20"/>
        </w:rPr>
        <w:t>E</w:t>
      </w:r>
      <w:r w:rsidR="00582FC3" w:rsidRPr="0031049E">
        <w:rPr>
          <w:rFonts w:asciiTheme="majorHAnsi" w:hAnsiTheme="majorHAnsi" w:cstheme="majorHAnsi"/>
          <w:color w:val="auto"/>
          <w:szCs w:val="20"/>
        </w:rPr>
        <w:t>limination half-life varied significantly</w:t>
      </w:r>
      <w:r w:rsidR="003F0CC7" w:rsidRPr="0031049E">
        <w:rPr>
          <w:rFonts w:asciiTheme="majorHAnsi" w:hAnsiTheme="majorHAnsi" w:cstheme="majorHAnsi"/>
          <w:color w:val="auto"/>
          <w:szCs w:val="20"/>
        </w:rPr>
        <w:t xml:space="preserve"> </w:t>
      </w:r>
      <w:r w:rsidR="002F2DDA" w:rsidRPr="0031049E">
        <w:rPr>
          <w:rFonts w:asciiTheme="majorHAnsi" w:hAnsiTheme="majorHAnsi" w:cstheme="majorHAnsi"/>
          <w:color w:val="auto"/>
          <w:szCs w:val="20"/>
        </w:rPr>
        <w:t>with a range of</w:t>
      </w:r>
      <w:r w:rsidR="00582FC3" w:rsidRPr="0031049E">
        <w:rPr>
          <w:rFonts w:asciiTheme="majorHAnsi" w:hAnsiTheme="majorHAnsi" w:cstheme="majorHAnsi"/>
          <w:color w:val="auto"/>
          <w:szCs w:val="20"/>
        </w:rPr>
        <w:t xml:space="preserve"> 5.66 – 12.88 hours</w:t>
      </w:r>
      <w:r w:rsidR="00BC0D7B" w:rsidRPr="0031049E">
        <w:rPr>
          <w:rFonts w:asciiTheme="majorHAnsi" w:hAnsiTheme="majorHAnsi" w:cstheme="majorHAnsi"/>
          <w:color w:val="auto"/>
          <w:szCs w:val="20"/>
        </w:rPr>
        <w:t xml:space="preserve"> and a mean 9.41 hours (S.D. 2</w:t>
      </w:r>
      <w:r w:rsidR="002623C7" w:rsidRPr="0031049E">
        <w:rPr>
          <w:rFonts w:asciiTheme="majorHAnsi" w:hAnsiTheme="majorHAnsi" w:cstheme="majorHAnsi"/>
          <w:color w:val="auto"/>
          <w:szCs w:val="20"/>
        </w:rPr>
        <w:t>.86</w:t>
      </w:r>
      <w:r w:rsidR="00570263" w:rsidRPr="0031049E">
        <w:rPr>
          <w:rFonts w:asciiTheme="majorHAnsi" w:hAnsiTheme="majorHAnsi" w:cstheme="majorHAnsi"/>
          <w:color w:val="auto"/>
          <w:szCs w:val="20"/>
        </w:rPr>
        <w:t>, S.E. 0.60</w:t>
      </w:r>
      <w:r w:rsidR="002623C7" w:rsidRPr="0031049E">
        <w:rPr>
          <w:rFonts w:asciiTheme="majorHAnsi" w:hAnsiTheme="majorHAnsi" w:cstheme="majorHAnsi"/>
          <w:color w:val="auto"/>
          <w:szCs w:val="20"/>
        </w:rPr>
        <w:t>)</w:t>
      </w:r>
      <w:r w:rsidR="00582FC3" w:rsidRPr="0031049E">
        <w:rPr>
          <w:rFonts w:asciiTheme="majorHAnsi" w:hAnsiTheme="majorHAnsi" w:cstheme="majorHAnsi"/>
          <w:color w:val="auto"/>
          <w:szCs w:val="20"/>
        </w:rPr>
        <w:t>.</w:t>
      </w:r>
      <w:r w:rsidR="00091A83" w:rsidRPr="0031049E">
        <w:rPr>
          <w:rFonts w:asciiTheme="majorHAnsi" w:hAnsiTheme="majorHAnsi" w:cstheme="majorHAnsi"/>
          <w:color w:val="auto"/>
          <w:szCs w:val="20"/>
        </w:rPr>
        <w:t xml:space="preserve"> </w:t>
      </w:r>
      <w:r w:rsidR="009F6E81" w:rsidRPr="0031049E">
        <w:rPr>
          <w:rFonts w:asciiTheme="majorHAnsi" w:hAnsiTheme="majorHAnsi" w:cstheme="majorHAnsi"/>
          <w:color w:val="auto"/>
          <w:szCs w:val="20"/>
        </w:rPr>
        <w:t xml:space="preserve">Volume of distribution </w:t>
      </w:r>
      <w:r w:rsidR="00641C69" w:rsidRPr="0031049E">
        <w:rPr>
          <w:rFonts w:asciiTheme="majorHAnsi" w:hAnsiTheme="majorHAnsi" w:cstheme="majorHAnsi"/>
          <w:color w:val="auto"/>
          <w:szCs w:val="20"/>
        </w:rPr>
        <w:t>ranged from 0.45 – 0.73 L/kg</w:t>
      </w:r>
      <w:r w:rsidR="009F6E81" w:rsidRPr="0031049E">
        <w:rPr>
          <w:rFonts w:asciiTheme="majorHAnsi" w:hAnsiTheme="majorHAnsi" w:cstheme="majorHAnsi"/>
          <w:color w:val="auto"/>
          <w:szCs w:val="20"/>
        </w:rPr>
        <w:t>.</w:t>
      </w:r>
      <w:r w:rsidR="002F0912" w:rsidRPr="0031049E">
        <w:rPr>
          <w:rFonts w:asciiTheme="majorHAnsi" w:hAnsiTheme="majorHAnsi" w:cstheme="majorHAnsi"/>
          <w:color w:val="auto"/>
          <w:szCs w:val="20"/>
        </w:rPr>
        <w:t xml:space="preserve"> In the majority of patients, peak and trough plasma concentrations were within the therapeutic target </w:t>
      </w:r>
      <w:r w:rsidR="00641C69" w:rsidRPr="0031049E">
        <w:rPr>
          <w:rFonts w:asciiTheme="majorHAnsi" w:hAnsiTheme="majorHAnsi" w:cstheme="majorHAnsi"/>
          <w:color w:val="auto"/>
          <w:szCs w:val="20"/>
        </w:rPr>
        <w:t xml:space="preserve">range </w:t>
      </w:r>
      <w:r w:rsidR="002F0912" w:rsidRPr="0031049E">
        <w:rPr>
          <w:rFonts w:asciiTheme="majorHAnsi" w:hAnsiTheme="majorHAnsi" w:cstheme="majorHAnsi"/>
          <w:color w:val="auto"/>
          <w:szCs w:val="20"/>
        </w:rPr>
        <w:t>of 12 – 4</w:t>
      </w:r>
      <w:r w:rsidR="009941ED" w:rsidRPr="0031049E">
        <w:rPr>
          <w:rFonts w:asciiTheme="majorHAnsi" w:hAnsiTheme="majorHAnsi" w:cstheme="majorHAnsi"/>
          <w:color w:val="auto"/>
          <w:szCs w:val="20"/>
        </w:rPr>
        <w:t>6</w:t>
      </w:r>
      <w:r w:rsidR="002F0912" w:rsidRPr="0031049E">
        <w:rPr>
          <w:rFonts w:asciiTheme="majorHAnsi" w:hAnsiTheme="majorHAnsi" w:cstheme="majorHAnsi"/>
          <w:color w:val="auto"/>
          <w:szCs w:val="20"/>
        </w:rPr>
        <w:t xml:space="preserve"> mcg/m</w:t>
      </w:r>
      <w:r w:rsidR="00E507DD" w:rsidRPr="0031049E">
        <w:rPr>
          <w:rFonts w:asciiTheme="majorHAnsi" w:hAnsiTheme="majorHAnsi" w:cstheme="majorHAnsi"/>
          <w:color w:val="auto"/>
          <w:szCs w:val="20"/>
        </w:rPr>
        <w:t>L</w:t>
      </w:r>
      <w:r w:rsidR="002F0912" w:rsidRPr="0031049E">
        <w:rPr>
          <w:rFonts w:asciiTheme="majorHAnsi" w:hAnsiTheme="majorHAnsi" w:cstheme="majorHAnsi"/>
          <w:color w:val="auto"/>
          <w:szCs w:val="20"/>
        </w:rPr>
        <w:t xml:space="preserve">. The exception to this was in Kalaria et al.’s study in which </w:t>
      </w:r>
      <w:r w:rsidR="00DA1674" w:rsidRPr="0031049E">
        <w:rPr>
          <w:rFonts w:asciiTheme="majorHAnsi" w:hAnsiTheme="majorHAnsi" w:cstheme="majorHAnsi"/>
          <w:color w:val="auto"/>
          <w:szCs w:val="20"/>
        </w:rPr>
        <w:t>six</w:t>
      </w:r>
      <w:r w:rsidR="002F0912" w:rsidRPr="0031049E">
        <w:rPr>
          <w:rFonts w:asciiTheme="majorHAnsi" w:hAnsiTheme="majorHAnsi" w:cstheme="majorHAnsi"/>
          <w:color w:val="auto"/>
          <w:szCs w:val="20"/>
        </w:rPr>
        <w:t xml:space="preserve"> patients demonstrated trough plasma concentrations below 12 mcg/m</w:t>
      </w:r>
      <w:r w:rsidR="00E507DD" w:rsidRPr="0031049E">
        <w:rPr>
          <w:rFonts w:asciiTheme="majorHAnsi" w:hAnsiTheme="majorHAnsi" w:cstheme="majorHAnsi"/>
          <w:color w:val="auto"/>
          <w:szCs w:val="20"/>
        </w:rPr>
        <w:t>L</w:t>
      </w:r>
      <w:r w:rsidR="002F0912" w:rsidRPr="0031049E">
        <w:rPr>
          <w:rFonts w:asciiTheme="majorHAnsi" w:hAnsiTheme="majorHAnsi" w:cstheme="majorHAnsi"/>
          <w:color w:val="auto"/>
          <w:szCs w:val="20"/>
        </w:rPr>
        <w:t xml:space="preserve"> (1.93 – 9.94 mcg/m</w:t>
      </w:r>
      <w:r w:rsidR="00E507DD" w:rsidRPr="0031049E">
        <w:rPr>
          <w:rFonts w:asciiTheme="majorHAnsi" w:hAnsiTheme="majorHAnsi" w:cstheme="majorHAnsi"/>
          <w:color w:val="auto"/>
          <w:szCs w:val="20"/>
        </w:rPr>
        <w:t>L</w:t>
      </w:r>
      <w:r w:rsidR="002F0912" w:rsidRPr="0031049E">
        <w:rPr>
          <w:rFonts w:asciiTheme="majorHAnsi" w:hAnsiTheme="majorHAnsi" w:cstheme="majorHAnsi"/>
          <w:color w:val="auto"/>
          <w:szCs w:val="20"/>
        </w:rPr>
        <w:t>).</w:t>
      </w:r>
    </w:p>
    <w:p w14:paraId="5E47D7B0" w14:textId="1FA521C0" w:rsidR="00E41106" w:rsidRPr="0031049E" w:rsidRDefault="00E41106" w:rsidP="0019585F">
      <w:pPr>
        <w:pStyle w:val="OpiniumNormal"/>
        <w:spacing w:after="0" w:line="360" w:lineRule="auto"/>
        <w:rPr>
          <w:rFonts w:asciiTheme="majorHAnsi" w:hAnsiTheme="majorHAnsi" w:cstheme="majorHAnsi"/>
          <w:color w:val="auto"/>
          <w:szCs w:val="20"/>
        </w:rPr>
      </w:pPr>
    </w:p>
    <w:p w14:paraId="06872E0D" w14:textId="54E88CB8" w:rsidR="0078297E" w:rsidRPr="0031049E" w:rsidRDefault="005A31A0" w:rsidP="0078297E">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STRENGTH OF EVIDENCE</w:t>
      </w:r>
    </w:p>
    <w:p w14:paraId="478ABB93" w14:textId="35022BAB" w:rsidR="00E05451" w:rsidRPr="0031049E" w:rsidRDefault="00EE062D" w:rsidP="0078297E">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The outcome </w:t>
      </w:r>
      <w:r w:rsidR="00287DA7" w:rsidRPr="0031049E">
        <w:rPr>
          <w:rFonts w:asciiTheme="majorHAnsi" w:hAnsiTheme="majorHAnsi" w:cstheme="majorHAnsi"/>
          <w:color w:val="auto"/>
          <w:szCs w:val="20"/>
        </w:rPr>
        <w:t xml:space="preserve">of </w:t>
      </w:r>
      <w:r w:rsidRPr="0031049E">
        <w:rPr>
          <w:rFonts w:asciiTheme="majorHAnsi" w:hAnsiTheme="majorHAnsi" w:cstheme="majorHAnsi"/>
          <w:color w:val="auto"/>
          <w:szCs w:val="20"/>
        </w:rPr>
        <w:t xml:space="preserve">our quality assessment </w:t>
      </w:r>
      <w:r w:rsidR="00EF6C29" w:rsidRPr="0031049E">
        <w:rPr>
          <w:rFonts w:asciiTheme="majorHAnsi" w:hAnsiTheme="majorHAnsi" w:cstheme="majorHAnsi"/>
          <w:color w:val="auto"/>
          <w:szCs w:val="20"/>
        </w:rPr>
        <w:t xml:space="preserve">is </w:t>
      </w:r>
      <w:r w:rsidRPr="0031049E">
        <w:rPr>
          <w:rFonts w:asciiTheme="majorHAnsi" w:hAnsiTheme="majorHAnsi" w:cstheme="majorHAnsi"/>
          <w:color w:val="auto"/>
          <w:szCs w:val="20"/>
        </w:rPr>
        <w:t xml:space="preserve">shown in </w:t>
      </w:r>
      <w:r w:rsidRPr="0031049E">
        <w:rPr>
          <w:rFonts w:asciiTheme="majorHAnsi" w:hAnsiTheme="majorHAnsi" w:cstheme="majorHAnsi"/>
          <w:b/>
          <w:bCs/>
          <w:color w:val="00B0F0" w:themeColor="accent1"/>
          <w:szCs w:val="20"/>
        </w:rPr>
        <w:t>Table 3</w:t>
      </w:r>
      <w:r w:rsidRPr="0031049E">
        <w:rPr>
          <w:rFonts w:asciiTheme="majorHAnsi" w:hAnsiTheme="majorHAnsi" w:cstheme="majorHAnsi"/>
          <w:color w:val="auto"/>
          <w:szCs w:val="20"/>
        </w:rPr>
        <w:t>.</w:t>
      </w:r>
      <w:r w:rsidR="00C23ACD" w:rsidRPr="0031049E">
        <w:rPr>
          <w:rFonts w:asciiTheme="majorHAnsi" w:hAnsiTheme="majorHAnsi" w:cstheme="majorHAnsi"/>
          <w:color w:val="auto"/>
          <w:szCs w:val="20"/>
        </w:rPr>
        <w:t xml:space="preserve"> </w:t>
      </w:r>
      <w:r w:rsidR="002B2D38" w:rsidRPr="0031049E">
        <w:rPr>
          <w:rFonts w:asciiTheme="majorHAnsi" w:hAnsiTheme="majorHAnsi" w:cstheme="majorHAnsi"/>
          <w:color w:val="auto"/>
          <w:szCs w:val="20"/>
        </w:rPr>
        <w:t>In general, we determined that the strength of evidence was overall of low quality.</w:t>
      </w:r>
      <w:r w:rsidR="0047188E" w:rsidRPr="0031049E">
        <w:rPr>
          <w:rFonts w:asciiTheme="majorHAnsi" w:hAnsiTheme="majorHAnsi" w:cstheme="majorHAnsi"/>
          <w:color w:val="auto"/>
          <w:szCs w:val="20"/>
        </w:rPr>
        <w:t xml:space="preserve"> </w:t>
      </w:r>
      <w:r w:rsidR="00514973" w:rsidRPr="0031049E">
        <w:rPr>
          <w:rFonts w:asciiTheme="majorHAnsi" w:hAnsiTheme="majorHAnsi" w:cstheme="majorHAnsi"/>
          <w:color w:val="auto"/>
          <w:szCs w:val="20"/>
        </w:rPr>
        <w:t xml:space="preserve">The level of information provided about CRRT techniques was broadly inconsistent </w:t>
      </w:r>
      <w:r w:rsidR="00915236" w:rsidRPr="0031049E">
        <w:rPr>
          <w:rFonts w:asciiTheme="majorHAnsi" w:hAnsiTheme="majorHAnsi" w:cstheme="majorHAnsi"/>
          <w:color w:val="auto"/>
          <w:szCs w:val="20"/>
        </w:rPr>
        <w:t xml:space="preserve">with few studies providing the level of information required to enable comprehensive interrogation </w:t>
      </w:r>
      <w:r w:rsidR="00301D02" w:rsidRPr="0031049E">
        <w:rPr>
          <w:rFonts w:asciiTheme="majorHAnsi" w:hAnsiTheme="majorHAnsi" w:cstheme="majorHAnsi"/>
          <w:color w:val="auto"/>
          <w:szCs w:val="20"/>
        </w:rPr>
        <w:lastRenderedPageBreak/>
        <w:t>of the data.</w:t>
      </w:r>
      <w:r w:rsidR="00581136" w:rsidRPr="0031049E">
        <w:rPr>
          <w:rFonts w:asciiTheme="majorHAnsi" w:hAnsiTheme="majorHAnsi" w:cstheme="majorHAnsi"/>
          <w:color w:val="auto"/>
          <w:szCs w:val="20"/>
        </w:rPr>
        <w:t xml:space="preserve"> In one study</w:t>
      </w:r>
      <w:r w:rsidR="00345612" w:rsidRPr="0031049E">
        <w:rPr>
          <w:rFonts w:asciiTheme="majorHAnsi" w:hAnsiTheme="majorHAnsi" w:cstheme="majorHAnsi"/>
          <w:color w:val="auto"/>
          <w:szCs w:val="20"/>
        </w:rPr>
        <w:t xml:space="preserve"> </w:t>
      </w:r>
      <w:r w:rsidR="00345612"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44</w:t>
      </w:r>
      <w:r w:rsidR="00345612" w:rsidRPr="0031049E">
        <w:rPr>
          <w:rFonts w:asciiTheme="majorHAnsi" w:hAnsiTheme="majorHAnsi" w:cstheme="majorHAnsi"/>
          <w:b/>
          <w:bCs/>
          <w:color w:val="00B0F0" w:themeColor="accent1"/>
          <w:szCs w:val="20"/>
          <w:vertAlign w:val="superscript"/>
        </w:rPr>
        <w:t>]</w:t>
      </w:r>
      <w:r w:rsidR="00581136" w:rsidRPr="0031049E">
        <w:rPr>
          <w:rFonts w:asciiTheme="majorHAnsi" w:hAnsiTheme="majorHAnsi" w:cstheme="majorHAnsi"/>
          <w:color w:val="auto"/>
          <w:szCs w:val="20"/>
        </w:rPr>
        <w:t>, demographic</w:t>
      </w:r>
      <w:r w:rsidR="00F74348" w:rsidRPr="0031049E">
        <w:rPr>
          <w:rFonts w:asciiTheme="majorHAnsi" w:hAnsiTheme="majorHAnsi" w:cstheme="majorHAnsi"/>
          <w:color w:val="auto"/>
          <w:szCs w:val="20"/>
        </w:rPr>
        <w:t xml:space="preserve">s were </w:t>
      </w:r>
      <w:r w:rsidR="00581136" w:rsidRPr="0031049E">
        <w:rPr>
          <w:rFonts w:asciiTheme="majorHAnsi" w:hAnsiTheme="majorHAnsi" w:cstheme="majorHAnsi"/>
          <w:color w:val="auto"/>
          <w:szCs w:val="20"/>
        </w:rPr>
        <w:t>only provided at aggregate level which pre</w:t>
      </w:r>
      <w:r w:rsidR="00F74348" w:rsidRPr="0031049E">
        <w:rPr>
          <w:rFonts w:asciiTheme="majorHAnsi" w:hAnsiTheme="majorHAnsi" w:cstheme="majorHAnsi"/>
          <w:color w:val="auto"/>
          <w:szCs w:val="20"/>
        </w:rPr>
        <w:t>vented individual</w:t>
      </w:r>
      <w:r w:rsidR="00B10AB0" w:rsidRPr="0031049E">
        <w:rPr>
          <w:rFonts w:asciiTheme="majorHAnsi" w:hAnsiTheme="majorHAnsi" w:cstheme="majorHAnsi"/>
          <w:color w:val="auto"/>
          <w:szCs w:val="20"/>
        </w:rPr>
        <w:t>ised pharmacokinetic</w:t>
      </w:r>
      <w:r w:rsidR="00F74348" w:rsidRPr="0031049E">
        <w:rPr>
          <w:rFonts w:asciiTheme="majorHAnsi" w:hAnsiTheme="majorHAnsi" w:cstheme="majorHAnsi"/>
          <w:color w:val="auto"/>
          <w:szCs w:val="20"/>
        </w:rPr>
        <w:t xml:space="preserve"> analysis</w:t>
      </w:r>
      <w:r w:rsidR="00F1620B" w:rsidRPr="0031049E">
        <w:rPr>
          <w:rFonts w:asciiTheme="majorHAnsi" w:hAnsiTheme="majorHAnsi" w:cstheme="majorHAnsi"/>
          <w:color w:val="auto"/>
          <w:szCs w:val="20"/>
        </w:rPr>
        <w:t>.</w:t>
      </w:r>
      <w:r w:rsidR="0022083F" w:rsidRPr="0031049E">
        <w:rPr>
          <w:rFonts w:asciiTheme="majorHAnsi" w:hAnsiTheme="majorHAnsi" w:cstheme="majorHAnsi"/>
          <w:color w:val="auto"/>
          <w:szCs w:val="20"/>
        </w:rPr>
        <w:t xml:space="preserve"> </w:t>
      </w:r>
      <w:r w:rsidR="00CA5764" w:rsidRPr="0031049E">
        <w:rPr>
          <w:rFonts w:asciiTheme="majorHAnsi" w:hAnsiTheme="majorHAnsi" w:cstheme="majorHAnsi"/>
          <w:color w:val="auto"/>
          <w:szCs w:val="20"/>
        </w:rPr>
        <w:t xml:space="preserve">Time spent on filter </w:t>
      </w:r>
      <w:r w:rsidR="00E05451" w:rsidRPr="0031049E">
        <w:rPr>
          <w:rFonts w:asciiTheme="majorHAnsi" w:hAnsiTheme="majorHAnsi" w:cstheme="majorHAnsi"/>
          <w:color w:val="auto"/>
          <w:szCs w:val="20"/>
        </w:rPr>
        <w:t xml:space="preserve">was only mentioned in one study </w:t>
      </w:r>
      <w:r w:rsidR="00E05451"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41</w:t>
      </w:r>
      <w:r w:rsidR="00E05451" w:rsidRPr="0031049E">
        <w:rPr>
          <w:rFonts w:asciiTheme="majorHAnsi" w:hAnsiTheme="majorHAnsi" w:cstheme="majorHAnsi"/>
          <w:b/>
          <w:bCs/>
          <w:color w:val="00B0F0" w:themeColor="accent1"/>
          <w:szCs w:val="20"/>
          <w:vertAlign w:val="superscript"/>
        </w:rPr>
        <w:t>]</w:t>
      </w:r>
      <w:r w:rsidR="00E05451" w:rsidRPr="0031049E">
        <w:rPr>
          <w:rFonts w:asciiTheme="majorHAnsi" w:hAnsiTheme="majorHAnsi" w:cstheme="majorHAnsi"/>
          <w:color w:val="auto"/>
          <w:szCs w:val="20"/>
        </w:rPr>
        <w:t xml:space="preserve"> and while it could be assumed that haemofiltration was continuous, it was clear that at least some patients experienced filter clotting and pauses to treatment.</w:t>
      </w:r>
      <w:r w:rsidR="00141705" w:rsidRPr="0031049E">
        <w:rPr>
          <w:rFonts w:asciiTheme="majorHAnsi" w:hAnsiTheme="majorHAnsi" w:cstheme="majorHAnsi"/>
          <w:color w:val="auto"/>
          <w:szCs w:val="20"/>
        </w:rPr>
        <w:t xml:space="preserve"> The two prospective studies </w:t>
      </w:r>
      <w:r w:rsidR="00D84C49" w:rsidRPr="0031049E">
        <w:rPr>
          <w:rFonts w:asciiTheme="majorHAnsi" w:hAnsiTheme="majorHAnsi" w:cstheme="majorHAnsi"/>
          <w:color w:val="auto"/>
          <w:szCs w:val="20"/>
        </w:rPr>
        <w:t xml:space="preserve">in our data set </w:t>
      </w:r>
      <w:r w:rsidR="00D84C49" w:rsidRPr="0031049E">
        <w:rPr>
          <w:rFonts w:asciiTheme="majorHAnsi" w:hAnsiTheme="majorHAnsi" w:cstheme="majorHAnsi"/>
          <w:b/>
          <w:bCs/>
          <w:color w:val="00B0F0"/>
          <w:szCs w:val="20"/>
          <w:vertAlign w:val="superscript"/>
        </w:rPr>
        <w:t>[</w:t>
      </w:r>
      <w:r w:rsidR="00637881" w:rsidRPr="0031049E">
        <w:rPr>
          <w:rFonts w:asciiTheme="majorHAnsi" w:hAnsiTheme="majorHAnsi" w:cstheme="majorHAnsi"/>
          <w:b/>
          <w:bCs/>
          <w:color w:val="00B0F0"/>
          <w:szCs w:val="20"/>
          <w:vertAlign w:val="superscript"/>
        </w:rPr>
        <w:t>40</w:t>
      </w:r>
      <w:r w:rsidR="002E1893" w:rsidRPr="0031049E">
        <w:rPr>
          <w:rFonts w:asciiTheme="majorHAnsi" w:hAnsiTheme="majorHAnsi" w:cstheme="majorHAnsi"/>
          <w:b/>
          <w:bCs/>
          <w:color w:val="00B0F0"/>
          <w:szCs w:val="20"/>
          <w:vertAlign w:val="superscript"/>
        </w:rPr>
        <w:t xml:space="preserve">, </w:t>
      </w:r>
      <w:r w:rsidR="00637881" w:rsidRPr="0031049E">
        <w:rPr>
          <w:rFonts w:asciiTheme="majorHAnsi" w:hAnsiTheme="majorHAnsi" w:cstheme="majorHAnsi"/>
          <w:b/>
          <w:bCs/>
          <w:color w:val="00B0F0"/>
          <w:szCs w:val="20"/>
          <w:vertAlign w:val="superscript"/>
        </w:rPr>
        <w:t>44</w:t>
      </w:r>
      <w:r w:rsidR="002E1893" w:rsidRPr="0031049E">
        <w:rPr>
          <w:rFonts w:asciiTheme="majorHAnsi" w:hAnsiTheme="majorHAnsi" w:cstheme="majorHAnsi"/>
          <w:b/>
          <w:bCs/>
          <w:color w:val="00B0F0"/>
          <w:szCs w:val="20"/>
          <w:vertAlign w:val="superscript"/>
        </w:rPr>
        <w:t>]</w:t>
      </w:r>
      <w:r w:rsidR="002E1893" w:rsidRPr="0031049E">
        <w:rPr>
          <w:rFonts w:asciiTheme="majorHAnsi" w:hAnsiTheme="majorHAnsi" w:cstheme="majorHAnsi"/>
          <w:color w:val="auto"/>
          <w:szCs w:val="20"/>
        </w:rPr>
        <w:t xml:space="preserve"> </w:t>
      </w:r>
      <w:r w:rsidR="00141705" w:rsidRPr="0031049E">
        <w:rPr>
          <w:rFonts w:asciiTheme="majorHAnsi" w:hAnsiTheme="majorHAnsi" w:cstheme="majorHAnsi"/>
          <w:color w:val="auto"/>
          <w:szCs w:val="20"/>
        </w:rPr>
        <w:t xml:space="preserve">were </w:t>
      </w:r>
      <w:r w:rsidR="002E1893" w:rsidRPr="0031049E">
        <w:rPr>
          <w:rFonts w:asciiTheme="majorHAnsi" w:hAnsiTheme="majorHAnsi" w:cstheme="majorHAnsi"/>
          <w:color w:val="auto"/>
          <w:szCs w:val="20"/>
        </w:rPr>
        <w:t>judged</w:t>
      </w:r>
      <w:r w:rsidR="00141705" w:rsidRPr="0031049E">
        <w:rPr>
          <w:rFonts w:asciiTheme="majorHAnsi" w:hAnsiTheme="majorHAnsi" w:cstheme="majorHAnsi"/>
          <w:color w:val="auto"/>
          <w:szCs w:val="20"/>
        </w:rPr>
        <w:t xml:space="preserve"> to be of higher quality predominantly due to the more robust </w:t>
      </w:r>
      <w:r w:rsidR="00CB7630" w:rsidRPr="0031049E">
        <w:rPr>
          <w:rFonts w:asciiTheme="majorHAnsi" w:hAnsiTheme="majorHAnsi" w:cstheme="majorHAnsi"/>
          <w:color w:val="auto"/>
          <w:szCs w:val="20"/>
        </w:rPr>
        <w:t xml:space="preserve">and comprehensive </w:t>
      </w:r>
      <w:r w:rsidR="00141705" w:rsidRPr="0031049E">
        <w:rPr>
          <w:rFonts w:asciiTheme="majorHAnsi" w:hAnsiTheme="majorHAnsi" w:cstheme="majorHAnsi"/>
          <w:color w:val="auto"/>
          <w:szCs w:val="20"/>
        </w:rPr>
        <w:t>nature of the</w:t>
      </w:r>
      <w:r w:rsidR="00CB7630" w:rsidRPr="0031049E">
        <w:rPr>
          <w:rFonts w:asciiTheme="majorHAnsi" w:hAnsiTheme="majorHAnsi" w:cstheme="majorHAnsi"/>
          <w:color w:val="auto"/>
          <w:szCs w:val="20"/>
        </w:rPr>
        <w:t>ir</w:t>
      </w:r>
      <w:r w:rsidR="00141705" w:rsidRPr="0031049E">
        <w:rPr>
          <w:rFonts w:asciiTheme="majorHAnsi" w:hAnsiTheme="majorHAnsi" w:cstheme="majorHAnsi"/>
          <w:color w:val="auto"/>
          <w:szCs w:val="20"/>
        </w:rPr>
        <w:t xml:space="preserve"> pharmacokinetic data.</w:t>
      </w:r>
    </w:p>
    <w:p w14:paraId="3E6A0917" w14:textId="77777777" w:rsidR="00E47F7E" w:rsidRPr="0031049E" w:rsidRDefault="00E47F7E" w:rsidP="0078297E">
      <w:pPr>
        <w:pStyle w:val="OpiniumNormal"/>
        <w:spacing w:after="0" w:line="360" w:lineRule="auto"/>
        <w:rPr>
          <w:rFonts w:asciiTheme="majorHAnsi" w:hAnsiTheme="majorHAnsi" w:cstheme="majorHAnsi"/>
          <w:color w:val="auto"/>
          <w:szCs w:val="20"/>
        </w:rPr>
      </w:pPr>
    </w:p>
    <w:p w14:paraId="2B67EDA8" w14:textId="168E114A" w:rsidR="00E47F7E" w:rsidRPr="0031049E" w:rsidRDefault="00686B67" w:rsidP="00E47F7E">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MULTIPLE</w:t>
      </w:r>
      <w:r w:rsidR="00E47F7E" w:rsidRPr="0031049E">
        <w:rPr>
          <w:rFonts w:asciiTheme="majorHAnsi" w:hAnsiTheme="majorHAnsi" w:cstheme="majorHAnsi"/>
          <w:b/>
          <w:bCs/>
          <w:color w:val="00B0F0" w:themeColor="accent1"/>
          <w:szCs w:val="20"/>
        </w:rPr>
        <w:t xml:space="preserve"> REGRESSION</w:t>
      </w:r>
    </w:p>
    <w:p w14:paraId="017CE8AC" w14:textId="637F26C9" w:rsidR="00686B67" w:rsidRPr="0031049E" w:rsidRDefault="00E67639" w:rsidP="0078297E">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Due to a limited base size and </w:t>
      </w:r>
      <w:r w:rsidR="00F41F8F" w:rsidRPr="0031049E">
        <w:rPr>
          <w:rFonts w:asciiTheme="majorHAnsi" w:hAnsiTheme="majorHAnsi" w:cstheme="majorHAnsi"/>
          <w:color w:val="auto"/>
          <w:szCs w:val="20"/>
        </w:rPr>
        <w:t xml:space="preserve">various </w:t>
      </w:r>
      <w:r w:rsidR="00A03DA3" w:rsidRPr="0031049E">
        <w:rPr>
          <w:rFonts w:asciiTheme="majorHAnsi" w:hAnsiTheme="majorHAnsi" w:cstheme="majorHAnsi"/>
          <w:color w:val="auto"/>
          <w:szCs w:val="20"/>
        </w:rPr>
        <w:t>missing data discussed above,</w:t>
      </w:r>
      <w:r w:rsidR="003B5579" w:rsidRPr="0031049E">
        <w:rPr>
          <w:rFonts w:asciiTheme="majorHAnsi" w:hAnsiTheme="majorHAnsi" w:cstheme="majorHAnsi"/>
          <w:color w:val="auto"/>
          <w:szCs w:val="20"/>
        </w:rPr>
        <w:t xml:space="preserve"> it was not possible for us to perform multiple regression analysis with any </w:t>
      </w:r>
      <w:r w:rsidR="00A57298" w:rsidRPr="0031049E">
        <w:rPr>
          <w:rFonts w:asciiTheme="majorHAnsi" w:hAnsiTheme="majorHAnsi" w:cstheme="majorHAnsi"/>
          <w:color w:val="auto"/>
          <w:szCs w:val="20"/>
        </w:rPr>
        <w:t>meaningfully significant results.</w:t>
      </w:r>
    </w:p>
    <w:p w14:paraId="509F5876" w14:textId="77777777" w:rsidR="0039415F" w:rsidRPr="0031049E" w:rsidRDefault="0039415F" w:rsidP="0078297E">
      <w:pPr>
        <w:pStyle w:val="OpiniumNormal"/>
        <w:spacing w:after="0" w:line="360" w:lineRule="auto"/>
        <w:rPr>
          <w:rFonts w:asciiTheme="majorHAnsi" w:hAnsiTheme="majorHAnsi" w:cstheme="majorHAnsi"/>
          <w:color w:val="auto"/>
          <w:szCs w:val="20"/>
        </w:rPr>
      </w:pPr>
    </w:p>
    <w:p w14:paraId="12578E3C" w14:textId="45813FE1" w:rsidR="0039415F" w:rsidRPr="0031049E" w:rsidRDefault="00B22BAB" w:rsidP="0039415F">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SIMULATION OF DOSING SCENARIOS</w:t>
      </w:r>
    </w:p>
    <w:p w14:paraId="43CEE995" w14:textId="66B64AEA" w:rsidR="005C2D66" w:rsidRPr="0031049E" w:rsidRDefault="00E507DD" w:rsidP="0039415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b/>
          <w:bCs/>
          <w:color w:val="00B0F0" w:themeColor="accent1"/>
          <w:szCs w:val="20"/>
        </w:rPr>
        <w:t>Fig</w:t>
      </w:r>
      <w:r w:rsidR="00543A63" w:rsidRPr="0031049E">
        <w:rPr>
          <w:rFonts w:asciiTheme="majorHAnsi" w:hAnsiTheme="majorHAnsi" w:cstheme="majorHAnsi"/>
          <w:b/>
          <w:bCs/>
          <w:color w:val="00B0F0" w:themeColor="accent1"/>
          <w:szCs w:val="20"/>
        </w:rPr>
        <w:t>ure</w:t>
      </w:r>
      <w:r w:rsidRPr="0031049E">
        <w:rPr>
          <w:rFonts w:asciiTheme="majorHAnsi" w:hAnsiTheme="majorHAnsi" w:cstheme="majorHAnsi"/>
          <w:b/>
          <w:bCs/>
          <w:color w:val="00B0F0" w:themeColor="accent1"/>
          <w:szCs w:val="20"/>
        </w:rPr>
        <w:t xml:space="preserve"> 2</w:t>
      </w:r>
      <w:r w:rsidR="00543A63" w:rsidRPr="0031049E">
        <w:rPr>
          <w:rFonts w:asciiTheme="majorHAnsi" w:hAnsiTheme="majorHAnsi" w:cstheme="majorHAnsi"/>
          <w:color w:val="auto"/>
          <w:szCs w:val="20"/>
        </w:rPr>
        <w:t xml:space="preserve"> </w:t>
      </w:r>
      <w:r w:rsidR="002B1C93" w:rsidRPr="0031049E">
        <w:rPr>
          <w:rFonts w:asciiTheme="majorHAnsi" w:hAnsiTheme="majorHAnsi" w:cstheme="majorHAnsi"/>
          <w:color w:val="auto"/>
          <w:szCs w:val="20"/>
        </w:rPr>
        <w:t>illustrates</w:t>
      </w:r>
      <w:r w:rsidRPr="0031049E">
        <w:rPr>
          <w:rFonts w:asciiTheme="majorHAnsi" w:hAnsiTheme="majorHAnsi" w:cstheme="majorHAnsi"/>
          <w:color w:val="auto"/>
          <w:szCs w:val="20"/>
        </w:rPr>
        <w:t xml:space="preserve"> the proportion of patients who achieved our therapeutic target level (12 – 46 mcg/mL)</w:t>
      </w:r>
      <w:r w:rsidR="009E5786" w:rsidRPr="0031049E">
        <w:rPr>
          <w:rFonts w:asciiTheme="majorHAnsi" w:hAnsiTheme="majorHAnsi" w:cstheme="majorHAnsi"/>
          <w:color w:val="auto"/>
          <w:szCs w:val="20"/>
        </w:rPr>
        <w:t xml:space="preserve"> across a range of simulated dos</w:t>
      </w:r>
      <w:r w:rsidR="00B02EA5" w:rsidRPr="0031049E">
        <w:rPr>
          <w:rFonts w:asciiTheme="majorHAnsi" w:hAnsiTheme="majorHAnsi" w:cstheme="majorHAnsi"/>
          <w:color w:val="auto"/>
          <w:szCs w:val="20"/>
        </w:rPr>
        <w:t>es without a loading dose</w:t>
      </w:r>
      <w:r w:rsidR="00543A63" w:rsidRPr="0031049E">
        <w:rPr>
          <w:rFonts w:asciiTheme="majorHAnsi" w:hAnsiTheme="majorHAnsi" w:cstheme="majorHAnsi"/>
          <w:color w:val="auto"/>
          <w:szCs w:val="20"/>
        </w:rPr>
        <w:t>.</w:t>
      </w:r>
      <w:r w:rsidR="00605299" w:rsidRPr="0031049E">
        <w:rPr>
          <w:rFonts w:asciiTheme="majorHAnsi" w:hAnsiTheme="majorHAnsi" w:cstheme="majorHAnsi"/>
          <w:color w:val="auto"/>
          <w:szCs w:val="20"/>
        </w:rPr>
        <w:t xml:space="preserve"> </w:t>
      </w:r>
      <w:r w:rsidR="00DF4A18" w:rsidRPr="0031049E">
        <w:rPr>
          <w:rFonts w:asciiTheme="majorHAnsi" w:hAnsiTheme="majorHAnsi" w:cstheme="majorHAnsi"/>
          <w:color w:val="auto"/>
          <w:szCs w:val="20"/>
        </w:rPr>
        <w:t xml:space="preserve">At a target level of 12 mcg/mL, 65% of simulated patients who received a dose of </w:t>
      </w:r>
      <w:r w:rsidR="00137E16" w:rsidRPr="0031049E">
        <w:rPr>
          <w:rFonts w:asciiTheme="majorHAnsi" w:hAnsiTheme="majorHAnsi" w:cstheme="majorHAnsi"/>
          <w:color w:val="auto"/>
          <w:szCs w:val="20"/>
        </w:rPr>
        <w:t>1,000</w:t>
      </w:r>
      <w:r w:rsidR="00DC3C93" w:rsidRPr="0031049E">
        <w:rPr>
          <w:rFonts w:asciiTheme="majorHAnsi" w:hAnsiTheme="majorHAnsi" w:cstheme="majorHAnsi"/>
          <w:color w:val="auto"/>
          <w:szCs w:val="20"/>
        </w:rPr>
        <w:t xml:space="preserve"> </w:t>
      </w:r>
      <w:r w:rsidR="00137E16" w:rsidRPr="0031049E">
        <w:rPr>
          <w:rFonts w:asciiTheme="majorHAnsi" w:hAnsiTheme="majorHAnsi" w:cstheme="majorHAnsi"/>
          <w:color w:val="auto"/>
          <w:szCs w:val="20"/>
        </w:rPr>
        <w:t xml:space="preserve">mg </w:t>
      </w:r>
      <w:r w:rsidR="0026251C" w:rsidRPr="0031049E">
        <w:rPr>
          <w:rFonts w:asciiTheme="majorHAnsi" w:hAnsiTheme="majorHAnsi" w:cstheme="majorHAnsi"/>
          <w:color w:val="auto"/>
          <w:szCs w:val="20"/>
        </w:rPr>
        <w:t>BD</w:t>
      </w:r>
      <w:r w:rsidR="00137E16" w:rsidRPr="0031049E">
        <w:rPr>
          <w:rFonts w:asciiTheme="majorHAnsi" w:hAnsiTheme="majorHAnsi" w:cstheme="majorHAnsi"/>
          <w:color w:val="auto"/>
          <w:szCs w:val="20"/>
        </w:rPr>
        <w:t xml:space="preserve"> achieved target level in comparison to 53% of patients who received 750 mg</w:t>
      </w:r>
      <w:r w:rsidR="00BE1AD4" w:rsidRPr="0031049E">
        <w:rPr>
          <w:rFonts w:asciiTheme="majorHAnsi" w:hAnsiTheme="majorHAnsi" w:cstheme="majorHAnsi"/>
          <w:color w:val="auto"/>
          <w:szCs w:val="20"/>
        </w:rPr>
        <w:t xml:space="preserve"> BD</w:t>
      </w:r>
      <w:r w:rsidR="00CA4B5C" w:rsidRPr="0031049E">
        <w:rPr>
          <w:rFonts w:asciiTheme="majorHAnsi" w:hAnsiTheme="majorHAnsi" w:cstheme="majorHAnsi"/>
          <w:color w:val="auto"/>
          <w:szCs w:val="20"/>
        </w:rPr>
        <w:t xml:space="preserve">, </w:t>
      </w:r>
      <w:r w:rsidR="00B1746D" w:rsidRPr="0031049E">
        <w:rPr>
          <w:rFonts w:asciiTheme="majorHAnsi" w:hAnsiTheme="majorHAnsi" w:cstheme="majorHAnsi"/>
          <w:color w:val="auto"/>
          <w:szCs w:val="20"/>
        </w:rPr>
        <w:t>34% of patients who received 500</w:t>
      </w:r>
      <w:r w:rsidR="001C6635" w:rsidRPr="0031049E">
        <w:rPr>
          <w:rFonts w:asciiTheme="majorHAnsi" w:hAnsiTheme="majorHAnsi" w:cstheme="majorHAnsi"/>
          <w:color w:val="auto"/>
          <w:szCs w:val="20"/>
        </w:rPr>
        <w:t xml:space="preserve"> </w:t>
      </w:r>
      <w:r w:rsidR="00B1746D" w:rsidRPr="0031049E">
        <w:rPr>
          <w:rFonts w:asciiTheme="majorHAnsi" w:hAnsiTheme="majorHAnsi" w:cstheme="majorHAnsi"/>
          <w:color w:val="auto"/>
          <w:szCs w:val="20"/>
        </w:rPr>
        <w:t>mg</w:t>
      </w:r>
      <w:r w:rsidR="00BE1AD4" w:rsidRPr="0031049E">
        <w:rPr>
          <w:rFonts w:asciiTheme="majorHAnsi" w:hAnsiTheme="majorHAnsi" w:cstheme="majorHAnsi"/>
          <w:color w:val="auto"/>
          <w:szCs w:val="20"/>
        </w:rPr>
        <w:t xml:space="preserve"> BD</w:t>
      </w:r>
      <w:r w:rsidR="00CA4B5C" w:rsidRPr="0031049E">
        <w:rPr>
          <w:rFonts w:asciiTheme="majorHAnsi" w:hAnsiTheme="majorHAnsi" w:cstheme="majorHAnsi"/>
          <w:color w:val="auto"/>
          <w:szCs w:val="20"/>
        </w:rPr>
        <w:t xml:space="preserve"> and </w:t>
      </w:r>
      <w:r w:rsidR="00F044D0" w:rsidRPr="0031049E">
        <w:rPr>
          <w:rFonts w:asciiTheme="majorHAnsi" w:hAnsiTheme="majorHAnsi" w:cstheme="majorHAnsi"/>
          <w:color w:val="auto"/>
          <w:szCs w:val="20"/>
        </w:rPr>
        <w:t>7.5%</w:t>
      </w:r>
      <w:r w:rsidR="001C6635" w:rsidRPr="0031049E">
        <w:rPr>
          <w:rFonts w:asciiTheme="majorHAnsi" w:hAnsiTheme="majorHAnsi" w:cstheme="majorHAnsi"/>
          <w:color w:val="auto"/>
          <w:szCs w:val="20"/>
        </w:rPr>
        <w:t xml:space="preserve"> of patients who received 250 mg BD.</w:t>
      </w:r>
    </w:p>
    <w:p w14:paraId="28931097" w14:textId="77777777" w:rsidR="00916ADC" w:rsidRPr="0031049E" w:rsidRDefault="00916ADC" w:rsidP="0039415F">
      <w:pPr>
        <w:pStyle w:val="OpiniumNormal"/>
        <w:spacing w:after="0" w:line="360" w:lineRule="auto"/>
        <w:rPr>
          <w:rFonts w:asciiTheme="majorHAnsi" w:hAnsiTheme="majorHAnsi" w:cstheme="majorHAnsi"/>
          <w:color w:val="auto"/>
          <w:szCs w:val="20"/>
        </w:rPr>
      </w:pPr>
    </w:p>
    <w:p w14:paraId="4528F4F4" w14:textId="3740D208" w:rsidR="009C1F34" w:rsidRPr="0031049E" w:rsidRDefault="00CA255E" w:rsidP="0039415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b/>
          <w:bCs/>
          <w:color w:val="00B0F0" w:themeColor="accent1"/>
          <w:szCs w:val="20"/>
        </w:rPr>
        <w:t>Table 4</w:t>
      </w:r>
      <w:r w:rsidRPr="0031049E">
        <w:rPr>
          <w:rFonts w:asciiTheme="majorHAnsi" w:hAnsiTheme="majorHAnsi" w:cstheme="majorHAnsi"/>
          <w:color w:val="auto"/>
          <w:szCs w:val="20"/>
        </w:rPr>
        <w:t xml:space="preserve"> demonstrates the trough concentration profiles at these various doses</w:t>
      </w:r>
      <w:r w:rsidR="00845796" w:rsidRPr="0031049E">
        <w:rPr>
          <w:rFonts w:asciiTheme="majorHAnsi" w:hAnsiTheme="majorHAnsi" w:cstheme="majorHAnsi"/>
          <w:color w:val="auto"/>
          <w:szCs w:val="20"/>
        </w:rPr>
        <w:t xml:space="preserve"> without a loading dose</w:t>
      </w:r>
      <w:r w:rsidRPr="0031049E">
        <w:rPr>
          <w:rFonts w:asciiTheme="majorHAnsi" w:hAnsiTheme="majorHAnsi" w:cstheme="majorHAnsi"/>
          <w:color w:val="auto"/>
          <w:szCs w:val="20"/>
        </w:rPr>
        <w:t xml:space="preserve">. </w:t>
      </w:r>
      <w:r w:rsidR="007742B7" w:rsidRPr="0031049E">
        <w:rPr>
          <w:rFonts w:asciiTheme="majorHAnsi" w:hAnsiTheme="majorHAnsi" w:cstheme="majorHAnsi"/>
          <w:color w:val="auto"/>
          <w:szCs w:val="20"/>
        </w:rPr>
        <w:t>At doses &lt;750</w:t>
      </w:r>
      <w:r w:rsidR="00443C96" w:rsidRPr="0031049E">
        <w:rPr>
          <w:rFonts w:asciiTheme="majorHAnsi" w:hAnsiTheme="majorHAnsi" w:cstheme="majorHAnsi"/>
          <w:color w:val="auto"/>
          <w:szCs w:val="20"/>
        </w:rPr>
        <w:t xml:space="preserve"> mg</w:t>
      </w:r>
      <w:r w:rsidR="00DE4A20" w:rsidRPr="0031049E">
        <w:rPr>
          <w:rFonts w:asciiTheme="majorHAnsi" w:hAnsiTheme="majorHAnsi" w:cstheme="majorHAnsi"/>
          <w:color w:val="auto"/>
          <w:szCs w:val="20"/>
        </w:rPr>
        <w:t xml:space="preserve"> BD</w:t>
      </w:r>
      <w:r w:rsidR="00443C96" w:rsidRPr="0031049E">
        <w:rPr>
          <w:rFonts w:asciiTheme="majorHAnsi" w:hAnsiTheme="majorHAnsi" w:cstheme="majorHAnsi"/>
          <w:color w:val="auto"/>
          <w:szCs w:val="20"/>
        </w:rPr>
        <w:t xml:space="preserve"> the median trough concentration was below the target range, although </w:t>
      </w:r>
      <w:r w:rsidR="0017395A" w:rsidRPr="0031049E">
        <w:rPr>
          <w:rFonts w:asciiTheme="majorHAnsi" w:hAnsiTheme="majorHAnsi" w:cstheme="majorHAnsi"/>
          <w:color w:val="auto"/>
          <w:szCs w:val="20"/>
        </w:rPr>
        <w:t xml:space="preserve">a minority </w:t>
      </w:r>
      <w:r w:rsidR="00443C96" w:rsidRPr="0031049E">
        <w:rPr>
          <w:rFonts w:asciiTheme="majorHAnsi" w:hAnsiTheme="majorHAnsi" w:cstheme="majorHAnsi"/>
          <w:color w:val="auto"/>
          <w:szCs w:val="20"/>
        </w:rPr>
        <w:t>did achieve therapeutic drug concentration</w:t>
      </w:r>
      <w:r w:rsidR="001E4A52" w:rsidRPr="0031049E">
        <w:rPr>
          <w:rFonts w:asciiTheme="majorHAnsi" w:hAnsiTheme="majorHAnsi" w:cstheme="majorHAnsi"/>
          <w:color w:val="auto"/>
          <w:szCs w:val="20"/>
        </w:rPr>
        <w:t>s</w:t>
      </w:r>
      <w:r w:rsidR="00443C96" w:rsidRPr="0031049E">
        <w:rPr>
          <w:rFonts w:asciiTheme="majorHAnsi" w:hAnsiTheme="majorHAnsi" w:cstheme="majorHAnsi"/>
          <w:color w:val="auto"/>
          <w:szCs w:val="20"/>
        </w:rPr>
        <w:t>.</w:t>
      </w:r>
      <w:r w:rsidR="001E4A52" w:rsidRPr="0031049E">
        <w:rPr>
          <w:rFonts w:asciiTheme="majorHAnsi" w:hAnsiTheme="majorHAnsi" w:cstheme="majorHAnsi"/>
          <w:color w:val="auto"/>
          <w:szCs w:val="20"/>
        </w:rPr>
        <w:t xml:space="preserve"> </w:t>
      </w:r>
      <w:r w:rsidR="00145443" w:rsidRPr="0031049E">
        <w:rPr>
          <w:rFonts w:asciiTheme="majorHAnsi" w:hAnsiTheme="majorHAnsi" w:cstheme="majorHAnsi"/>
          <w:color w:val="auto"/>
          <w:szCs w:val="20"/>
        </w:rPr>
        <w:t>A</w:t>
      </w:r>
      <w:r w:rsidR="00C17E13" w:rsidRPr="0031049E">
        <w:rPr>
          <w:rFonts w:asciiTheme="majorHAnsi" w:hAnsiTheme="majorHAnsi" w:cstheme="majorHAnsi"/>
          <w:color w:val="auto"/>
          <w:szCs w:val="20"/>
        </w:rPr>
        <w:t>lmost all p</w:t>
      </w:r>
      <w:r w:rsidR="00D553EE" w:rsidRPr="0031049E">
        <w:rPr>
          <w:rFonts w:asciiTheme="majorHAnsi" w:hAnsiTheme="majorHAnsi" w:cstheme="majorHAnsi"/>
          <w:color w:val="auto"/>
          <w:szCs w:val="20"/>
        </w:rPr>
        <w:t xml:space="preserve">atients who received </w:t>
      </w:r>
      <w:r w:rsidR="001E4A52" w:rsidRPr="0031049E">
        <w:rPr>
          <w:rFonts w:asciiTheme="majorHAnsi" w:hAnsiTheme="majorHAnsi" w:cstheme="majorHAnsi"/>
          <w:color w:val="auto"/>
          <w:szCs w:val="20"/>
        </w:rPr>
        <w:t>250 mg</w:t>
      </w:r>
      <w:r w:rsidR="00C17E13" w:rsidRPr="0031049E">
        <w:rPr>
          <w:rFonts w:asciiTheme="majorHAnsi" w:hAnsiTheme="majorHAnsi" w:cstheme="majorHAnsi"/>
          <w:color w:val="auto"/>
          <w:szCs w:val="20"/>
        </w:rPr>
        <w:t xml:space="preserve"> BD</w:t>
      </w:r>
      <w:r w:rsidR="000068FE" w:rsidRPr="0031049E">
        <w:rPr>
          <w:rFonts w:asciiTheme="majorHAnsi" w:hAnsiTheme="majorHAnsi" w:cstheme="majorHAnsi"/>
          <w:color w:val="auto"/>
          <w:szCs w:val="20"/>
        </w:rPr>
        <w:t xml:space="preserve"> </w:t>
      </w:r>
      <w:r w:rsidR="00C17E13" w:rsidRPr="0031049E">
        <w:rPr>
          <w:rFonts w:asciiTheme="majorHAnsi" w:hAnsiTheme="majorHAnsi" w:cstheme="majorHAnsi"/>
          <w:color w:val="auto"/>
          <w:szCs w:val="20"/>
        </w:rPr>
        <w:t>experienced</w:t>
      </w:r>
      <w:r w:rsidR="00327183" w:rsidRPr="0031049E">
        <w:rPr>
          <w:rFonts w:asciiTheme="majorHAnsi" w:hAnsiTheme="majorHAnsi" w:cstheme="majorHAnsi"/>
          <w:color w:val="auto"/>
          <w:szCs w:val="20"/>
        </w:rPr>
        <w:t xml:space="preserve"> trough concentration</w:t>
      </w:r>
      <w:r w:rsidR="000068FE" w:rsidRPr="0031049E">
        <w:rPr>
          <w:rFonts w:asciiTheme="majorHAnsi" w:hAnsiTheme="majorHAnsi" w:cstheme="majorHAnsi"/>
          <w:color w:val="auto"/>
          <w:szCs w:val="20"/>
        </w:rPr>
        <w:t>s</w:t>
      </w:r>
      <w:r w:rsidR="00327183" w:rsidRPr="0031049E">
        <w:rPr>
          <w:rFonts w:asciiTheme="majorHAnsi" w:hAnsiTheme="majorHAnsi" w:cstheme="majorHAnsi"/>
          <w:color w:val="auto"/>
          <w:szCs w:val="20"/>
        </w:rPr>
        <w:t xml:space="preserve"> below the target level. </w:t>
      </w:r>
      <w:r w:rsidR="00C17E13" w:rsidRPr="0031049E">
        <w:rPr>
          <w:rFonts w:asciiTheme="majorHAnsi" w:hAnsiTheme="majorHAnsi" w:cstheme="majorHAnsi"/>
          <w:color w:val="auto"/>
          <w:szCs w:val="20"/>
        </w:rPr>
        <w:t>Those patients who received</w:t>
      </w:r>
      <w:r w:rsidR="00327183" w:rsidRPr="0031049E">
        <w:rPr>
          <w:rFonts w:asciiTheme="majorHAnsi" w:hAnsiTheme="majorHAnsi" w:cstheme="majorHAnsi"/>
          <w:color w:val="auto"/>
          <w:szCs w:val="20"/>
        </w:rPr>
        <w:t xml:space="preserve"> higher doses (≥750 mg</w:t>
      </w:r>
      <w:r w:rsidR="00DE4A20" w:rsidRPr="0031049E">
        <w:rPr>
          <w:rFonts w:asciiTheme="majorHAnsi" w:hAnsiTheme="majorHAnsi" w:cstheme="majorHAnsi"/>
          <w:color w:val="auto"/>
          <w:szCs w:val="20"/>
        </w:rPr>
        <w:t xml:space="preserve"> BD</w:t>
      </w:r>
      <w:r w:rsidR="00327183" w:rsidRPr="0031049E">
        <w:rPr>
          <w:rFonts w:asciiTheme="majorHAnsi" w:hAnsiTheme="majorHAnsi" w:cstheme="majorHAnsi"/>
          <w:color w:val="auto"/>
          <w:szCs w:val="20"/>
        </w:rPr>
        <w:t xml:space="preserve">) </w:t>
      </w:r>
      <w:r w:rsidR="00D553EE" w:rsidRPr="0031049E">
        <w:rPr>
          <w:rFonts w:asciiTheme="majorHAnsi" w:hAnsiTheme="majorHAnsi" w:cstheme="majorHAnsi"/>
          <w:color w:val="auto"/>
          <w:szCs w:val="20"/>
        </w:rPr>
        <w:t>were more likely to achieve therapeutic drug concentrations</w:t>
      </w:r>
      <w:r w:rsidR="00C17E13" w:rsidRPr="0031049E">
        <w:rPr>
          <w:rFonts w:asciiTheme="majorHAnsi" w:hAnsiTheme="majorHAnsi" w:cstheme="majorHAnsi"/>
          <w:color w:val="auto"/>
          <w:szCs w:val="20"/>
        </w:rPr>
        <w:t>.</w:t>
      </w:r>
    </w:p>
    <w:p w14:paraId="4DACE8EC" w14:textId="77777777" w:rsidR="00B12F99" w:rsidRPr="0031049E" w:rsidRDefault="00B12F99" w:rsidP="0039415F">
      <w:pPr>
        <w:pStyle w:val="OpiniumNormal"/>
        <w:spacing w:after="0" w:line="360" w:lineRule="auto"/>
        <w:rPr>
          <w:rFonts w:asciiTheme="majorHAnsi" w:hAnsiTheme="majorHAnsi" w:cstheme="majorHAnsi"/>
          <w:color w:val="auto"/>
          <w:szCs w:val="20"/>
        </w:rPr>
      </w:pPr>
    </w:p>
    <w:p w14:paraId="46006790" w14:textId="3B9A930A" w:rsidR="00B12F99" w:rsidRPr="0031049E" w:rsidRDefault="0080288B" w:rsidP="0039415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Our simulations </w:t>
      </w:r>
      <w:r w:rsidR="00FF4472" w:rsidRPr="0031049E">
        <w:rPr>
          <w:rFonts w:asciiTheme="majorHAnsi" w:hAnsiTheme="majorHAnsi" w:cstheme="majorHAnsi"/>
          <w:color w:val="auto"/>
          <w:szCs w:val="20"/>
        </w:rPr>
        <w:t xml:space="preserve">also </w:t>
      </w:r>
      <w:r w:rsidRPr="0031049E">
        <w:rPr>
          <w:rFonts w:asciiTheme="majorHAnsi" w:hAnsiTheme="majorHAnsi" w:cstheme="majorHAnsi"/>
          <w:color w:val="auto"/>
          <w:szCs w:val="20"/>
        </w:rPr>
        <w:t xml:space="preserve">evaluated </w:t>
      </w:r>
      <w:r w:rsidR="004814EC" w:rsidRPr="0031049E">
        <w:rPr>
          <w:rFonts w:asciiTheme="majorHAnsi" w:hAnsiTheme="majorHAnsi" w:cstheme="majorHAnsi"/>
          <w:color w:val="auto"/>
          <w:szCs w:val="20"/>
        </w:rPr>
        <w:t>levetiracetam concentrations in patients</w:t>
      </w:r>
      <w:r w:rsidR="004A56BD" w:rsidRPr="0031049E">
        <w:rPr>
          <w:rFonts w:asciiTheme="majorHAnsi" w:hAnsiTheme="majorHAnsi" w:cstheme="majorHAnsi"/>
          <w:color w:val="auto"/>
          <w:szCs w:val="20"/>
        </w:rPr>
        <w:t xml:space="preserve"> on CRRT</w:t>
      </w:r>
      <w:r w:rsidR="004814EC" w:rsidRPr="0031049E">
        <w:rPr>
          <w:rFonts w:asciiTheme="majorHAnsi" w:hAnsiTheme="majorHAnsi" w:cstheme="majorHAnsi"/>
          <w:color w:val="auto"/>
          <w:szCs w:val="20"/>
        </w:rPr>
        <w:t xml:space="preserve"> receiving a range of doses </w:t>
      </w:r>
      <w:r w:rsidR="004A56BD" w:rsidRPr="0031049E">
        <w:rPr>
          <w:rFonts w:asciiTheme="majorHAnsi" w:hAnsiTheme="majorHAnsi" w:cstheme="majorHAnsi"/>
          <w:color w:val="auto"/>
          <w:szCs w:val="20"/>
        </w:rPr>
        <w:t xml:space="preserve">over a 72-hour period. </w:t>
      </w:r>
      <w:r w:rsidR="00A404C1" w:rsidRPr="0031049E">
        <w:rPr>
          <w:rFonts w:asciiTheme="majorHAnsi" w:hAnsiTheme="majorHAnsi" w:cstheme="majorHAnsi"/>
          <w:color w:val="auto"/>
          <w:szCs w:val="20"/>
        </w:rPr>
        <w:t xml:space="preserve">In </w:t>
      </w:r>
      <w:r w:rsidR="00A404C1" w:rsidRPr="0031049E">
        <w:rPr>
          <w:rFonts w:asciiTheme="majorHAnsi" w:hAnsiTheme="majorHAnsi" w:cstheme="majorHAnsi"/>
          <w:b/>
          <w:bCs/>
          <w:color w:val="00B0F0" w:themeColor="accent1"/>
          <w:szCs w:val="20"/>
        </w:rPr>
        <w:t>Figure 3</w:t>
      </w:r>
      <w:r w:rsidR="00A404C1" w:rsidRPr="0031049E">
        <w:rPr>
          <w:rFonts w:asciiTheme="majorHAnsi" w:hAnsiTheme="majorHAnsi" w:cstheme="majorHAnsi"/>
          <w:color w:val="auto"/>
          <w:szCs w:val="20"/>
        </w:rPr>
        <w:t>, patients received a standard loading dose of 60</w:t>
      </w:r>
      <w:r w:rsidR="00DE4A20" w:rsidRPr="0031049E">
        <w:rPr>
          <w:rFonts w:asciiTheme="majorHAnsi" w:hAnsiTheme="majorHAnsi" w:cstheme="majorHAnsi"/>
          <w:color w:val="auto"/>
          <w:szCs w:val="20"/>
        </w:rPr>
        <w:t xml:space="preserve"> </w:t>
      </w:r>
      <w:r w:rsidR="00A404C1" w:rsidRPr="0031049E">
        <w:rPr>
          <w:rFonts w:asciiTheme="majorHAnsi" w:hAnsiTheme="majorHAnsi" w:cstheme="majorHAnsi"/>
          <w:color w:val="auto"/>
          <w:szCs w:val="20"/>
        </w:rPr>
        <w:t>mg/kg</w:t>
      </w:r>
      <w:r w:rsidR="00DE4A20" w:rsidRPr="0031049E">
        <w:rPr>
          <w:rFonts w:asciiTheme="majorHAnsi" w:hAnsiTheme="majorHAnsi" w:cstheme="majorHAnsi"/>
          <w:color w:val="auto"/>
          <w:szCs w:val="20"/>
        </w:rPr>
        <w:t xml:space="preserve"> (up to a maximum of 4.5 g)</w:t>
      </w:r>
      <w:r w:rsidR="00A404C1" w:rsidRPr="0031049E">
        <w:rPr>
          <w:rFonts w:asciiTheme="majorHAnsi" w:hAnsiTheme="majorHAnsi" w:cstheme="majorHAnsi"/>
          <w:color w:val="auto"/>
          <w:szCs w:val="20"/>
        </w:rPr>
        <w:t xml:space="preserve"> as recommended for</w:t>
      </w:r>
      <w:r w:rsidR="00124DC1" w:rsidRPr="0031049E">
        <w:rPr>
          <w:rFonts w:asciiTheme="majorHAnsi" w:hAnsiTheme="majorHAnsi" w:cstheme="majorHAnsi"/>
          <w:color w:val="auto"/>
          <w:szCs w:val="20"/>
        </w:rPr>
        <w:t xml:space="preserve"> the</w:t>
      </w:r>
      <w:r w:rsidR="00A404C1" w:rsidRPr="0031049E">
        <w:rPr>
          <w:rFonts w:asciiTheme="majorHAnsi" w:hAnsiTheme="majorHAnsi" w:cstheme="majorHAnsi"/>
          <w:color w:val="auto"/>
          <w:szCs w:val="20"/>
        </w:rPr>
        <w:t xml:space="preserve"> treatment of neurological emergencies</w:t>
      </w:r>
      <w:r w:rsidR="004B4107" w:rsidRPr="0031049E">
        <w:rPr>
          <w:rFonts w:asciiTheme="majorHAnsi" w:hAnsiTheme="majorHAnsi" w:cstheme="majorHAnsi"/>
          <w:color w:val="auto"/>
          <w:szCs w:val="20"/>
        </w:rPr>
        <w:t xml:space="preserve"> </w:t>
      </w:r>
      <w:r w:rsidR="004B4107" w:rsidRPr="0031049E">
        <w:rPr>
          <w:rFonts w:asciiTheme="majorHAnsi" w:hAnsiTheme="majorHAnsi" w:cstheme="majorHAnsi"/>
          <w:b/>
          <w:bCs/>
          <w:color w:val="00B0F0" w:themeColor="accent1"/>
          <w:szCs w:val="20"/>
          <w:vertAlign w:val="superscript"/>
        </w:rPr>
        <w:t>[</w:t>
      </w:r>
      <w:r w:rsidR="00637881" w:rsidRPr="0031049E">
        <w:rPr>
          <w:rFonts w:asciiTheme="majorHAnsi" w:hAnsiTheme="majorHAnsi" w:cstheme="majorHAnsi"/>
          <w:b/>
          <w:bCs/>
          <w:color w:val="00B0F0" w:themeColor="accent1"/>
          <w:szCs w:val="20"/>
          <w:vertAlign w:val="superscript"/>
        </w:rPr>
        <w:t>45</w:t>
      </w:r>
      <w:r w:rsidR="00094009" w:rsidRPr="0031049E">
        <w:rPr>
          <w:rFonts w:asciiTheme="majorHAnsi" w:hAnsiTheme="majorHAnsi" w:cstheme="majorHAnsi"/>
          <w:b/>
          <w:bCs/>
          <w:color w:val="00B0F0" w:themeColor="accent1"/>
          <w:szCs w:val="20"/>
          <w:vertAlign w:val="superscript"/>
        </w:rPr>
        <w:t>-4</w:t>
      </w:r>
      <w:r w:rsidR="00637881" w:rsidRPr="0031049E">
        <w:rPr>
          <w:rFonts w:asciiTheme="majorHAnsi" w:hAnsiTheme="majorHAnsi" w:cstheme="majorHAnsi"/>
          <w:b/>
          <w:bCs/>
          <w:color w:val="00B0F0" w:themeColor="accent1"/>
          <w:szCs w:val="20"/>
          <w:vertAlign w:val="superscript"/>
        </w:rPr>
        <w:t>6</w:t>
      </w:r>
      <w:r w:rsidR="004B4107" w:rsidRPr="0031049E">
        <w:rPr>
          <w:rFonts w:asciiTheme="majorHAnsi" w:hAnsiTheme="majorHAnsi" w:cstheme="majorHAnsi"/>
          <w:b/>
          <w:bCs/>
          <w:color w:val="00B0F0" w:themeColor="accent1"/>
          <w:szCs w:val="20"/>
          <w:vertAlign w:val="superscript"/>
        </w:rPr>
        <w:t>]</w:t>
      </w:r>
      <w:r w:rsidR="00A404C1" w:rsidRPr="0031049E">
        <w:rPr>
          <w:rFonts w:asciiTheme="majorHAnsi" w:hAnsiTheme="majorHAnsi" w:cstheme="majorHAnsi"/>
          <w:color w:val="auto"/>
          <w:szCs w:val="20"/>
        </w:rPr>
        <w:t xml:space="preserve">. In </w:t>
      </w:r>
      <w:r w:rsidR="00A404C1" w:rsidRPr="0031049E">
        <w:rPr>
          <w:rFonts w:asciiTheme="majorHAnsi" w:hAnsiTheme="majorHAnsi" w:cstheme="majorHAnsi"/>
          <w:b/>
          <w:bCs/>
          <w:color w:val="00B0F0" w:themeColor="accent1"/>
          <w:szCs w:val="20"/>
        </w:rPr>
        <w:t>Figure 4</w:t>
      </w:r>
      <w:r w:rsidR="00A404C1" w:rsidRPr="0031049E">
        <w:rPr>
          <w:rFonts w:asciiTheme="majorHAnsi" w:hAnsiTheme="majorHAnsi" w:cstheme="majorHAnsi"/>
          <w:color w:val="auto"/>
          <w:szCs w:val="20"/>
        </w:rPr>
        <w:t xml:space="preserve">, patients received </w:t>
      </w:r>
      <w:r w:rsidR="0018174B" w:rsidRPr="0031049E">
        <w:rPr>
          <w:rFonts w:asciiTheme="majorHAnsi" w:hAnsiTheme="majorHAnsi" w:cstheme="majorHAnsi"/>
          <w:color w:val="auto"/>
          <w:szCs w:val="20"/>
        </w:rPr>
        <w:t>a 750</w:t>
      </w:r>
      <w:r w:rsidR="00DE4A20" w:rsidRPr="0031049E">
        <w:rPr>
          <w:rFonts w:asciiTheme="majorHAnsi" w:hAnsiTheme="majorHAnsi" w:cstheme="majorHAnsi"/>
          <w:color w:val="auto"/>
          <w:szCs w:val="20"/>
        </w:rPr>
        <w:t xml:space="preserve"> </w:t>
      </w:r>
      <w:r w:rsidR="0018174B" w:rsidRPr="0031049E">
        <w:rPr>
          <w:rFonts w:asciiTheme="majorHAnsi" w:hAnsiTheme="majorHAnsi" w:cstheme="majorHAnsi"/>
          <w:color w:val="auto"/>
          <w:szCs w:val="20"/>
        </w:rPr>
        <w:t xml:space="preserve">mg loading dose as recommended for patients on IHD. In </w:t>
      </w:r>
      <w:r w:rsidR="0018174B" w:rsidRPr="0031049E">
        <w:rPr>
          <w:rFonts w:asciiTheme="majorHAnsi" w:hAnsiTheme="majorHAnsi" w:cstheme="majorHAnsi"/>
          <w:b/>
          <w:bCs/>
          <w:color w:val="00B0F0" w:themeColor="accent1"/>
          <w:szCs w:val="20"/>
        </w:rPr>
        <w:t>Figure 5</w:t>
      </w:r>
      <w:r w:rsidR="0018174B" w:rsidRPr="0031049E">
        <w:rPr>
          <w:rFonts w:asciiTheme="majorHAnsi" w:hAnsiTheme="majorHAnsi" w:cstheme="majorHAnsi"/>
          <w:color w:val="auto"/>
          <w:szCs w:val="20"/>
        </w:rPr>
        <w:t>, patients received no loading dose.</w:t>
      </w:r>
    </w:p>
    <w:p w14:paraId="6918404B" w14:textId="77777777" w:rsidR="009C1F34" w:rsidRPr="0031049E" w:rsidRDefault="009C1F34" w:rsidP="0039415F">
      <w:pPr>
        <w:pStyle w:val="OpiniumNormal"/>
        <w:spacing w:after="0" w:line="360" w:lineRule="auto"/>
        <w:rPr>
          <w:rFonts w:asciiTheme="majorHAnsi" w:hAnsiTheme="majorHAnsi" w:cstheme="majorHAnsi"/>
          <w:color w:val="auto"/>
          <w:szCs w:val="20"/>
        </w:rPr>
      </w:pPr>
    </w:p>
    <w:p w14:paraId="37D6C2A9" w14:textId="34285110" w:rsidR="00D53A6D" w:rsidRPr="0031049E" w:rsidRDefault="00227E64" w:rsidP="0039415F">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As shown in </w:t>
      </w:r>
      <w:r w:rsidRPr="0031049E">
        <w:rPr>
          <w:rFonts w:asciiTheme="majorHAnsi" w:hAnsiTheme="majorHAnsi" w:cstheme="majorHAnsi"/>
          <w:b/>
          <w:bCs/>
          <w:color w:val="00B0F0" w:themeColor="accent1"/>
          <w:szCs w:val="20"/>
        </w:rPr>
        <w:t>Figure</w:t>
      </w:r>
      <w:r w:rsidRPr="0031049E">
        <w:rPr>
          <w:rFonts w:asciiTheme="majorHAnsi" w:hAnsiTheme="majorHAnsi" w:cstheme="majorHAnsi"/>
          <w:color w:val="auto"/>
          <w:szCs w:val="20"/>
        </w:rPr>
        <w:t xml:space="preserve"> </w:t>
      </w:r>
      <w:r w:rsidRPr="0031049E">
        <w:rPr>
          <w:rFonts w:asciiTheme="majorHAnsi" w:hAnsiTheme="majorHAnsi" w:cstheme="majorHAnsi"/>
          <w:b/>
          <w:bCs/>
          <w:color w:val="00B0F0" w:themeColor="accent1"/>
          <w:szCs w:val="20"/>
        </w:rPr>
        <w:t>3</w:t>
      </w:r>
      <w:r w:rsidRPr="0031049E">
        <w:rPr>
          <w:rFonts w:asciiTheme="majorHAnsi" w:hAnsiTheme="majorHAnsi" w:cstheme="majorHAnsi"/>
          <w:color w:val="auto"/>
          <w:szCs w:val="20"/>
        </w:rPr>
        <w:t xml:space="preserve">, </w:t>
      </w:r>
      <w:r w:rsidR="009B0E0D" w:rsidRPr="0031049E">
        <w:rPr>
          <w:rFonts w:asciiTheme="majorHAnsi" w:hAnsiTheme="majorHAnsi" w:cstheme="majorHAnsi"/>
          <w:color w:val="auto"/>
          <w:szCs w:val="20"/>
        </w:rPr>
        <w:t xml:space="preserve">the </w:t>
      </w:r>
      <w:r w:rsidR="00594212" w:rsidRPr="0031049E">
        <w:rPr>
          <w:rFonts w:asciiTheme="majorHAnsi" w:hAnsiTheme="majorHAnsi" w:cstheme="majorHAnsi"/>
          <w:color w:val="auto"/>
          <w:szCs w:val="20"/>
        </w:rPr>
        <w:t xml:space="preserve">standard </w:t>
      </w:r>
      <w:r w:rsidR="009B0E0D" w:rsidRPr="0031049E">
        <w:rPr>
          <w:rFonts w:asciiTheme="majorHAnsi" w:hAnsiTheme="majorHAnsi" w:cstheme="majorHAnsi"/>
          <w:color w:val="auto"/>
          <w:szCs w:val="20"/>
        </w:rPr>
        <w:t xml:space="preserve">loading dose achieved therapeutic drug concentrations within the first 24 hours for almost all simulated patients. </w:t>
      </w:r>
      <w:r w:rsidR="00DF25F3" w:rsidRPr="0031049E">
        <w:rPr>
          <w:rFonts w:asciiTheme="majorHAnsi" w:hAnsiTheme="majorHAnsi" w:cstheme="majorHAnsi"/>
          <w:color w:val="auto"/>
          <w:szCs w:val="20"/>
        </w:rPr>
        <w:t>Conversely</w:t>
      </w:r>
      <w:r w:rsidR="00AF2093" w:rsidRPr="0031049E">
        <w:rPr>
          <w:rFonts w:asciiTheme="majorHAnsi" w:hAnsiTheme="majorHAnsi" w:cstheme="majorHAnsi"/>
          <w:color w:val="auto"/>
          <w:szCs w:val="20"/>
        </w:rPr>
        <w:t>,</w:t>
      </w:r>
      <w:r w:rsidR="00DF25F3" w:rsidRPr="0031049E">
        <w:rPr>
          <w:rFonts w:asciiTheme="majorHAnsi" w:hAnsiTheme="majorHAnsi" w:cstheme="majorHAnsi"/>
          <w:color w:val="auto"/>
          <w:szCs w:val="20"/>
        </w:rPr>
        <w:t xml:space="preserve"> a significant number of patients who received a reduced (</w:t>
      </w:r>
      <w:r w:rsidR="00DF25F3" w:rsidRPr="0031049E">
        <w:rPr>
          <w:rFonts w:asciiTheme="majorHAnsi" w:hAnsiTheme="majorHAnsi" w:cstheme="majorHAnsi"/>
          <w:b/>
          <w:bCs/>
          <w:color w:val="00B0F0" w:themeColor="accent1"/>
          <w:szCs w:val="20"/>
        </w:rPr>
        <w:t>Fig. 4</w:t>
      </w:r>
      <w:r w:rsidR="00DF25F3" w:rsidRPr="0031049E">
        <w:rPr>
          <w:rFonts w:asciiTheme="majorHAnsi" w:hAnsiTheme="majorHAnsi" w:cstheme="majorHAnsi"/>
          <w:color w:val="auto"/>
          <w:szCs w:val="20"/>
        </w:rPr>
        <w:t>) or no loading dose (</w:t>
      </w:r>
      <w:r w:rsidR="00DF25F3" w:rsidRPr="0031049E">
        <w:rPr>
          <w:rFonts w:asciiTheme="majorHAnsi" w:hAnsiTheme="majorHAnsi" w:cstheme="majorHAnsi"/>
          <w:b/>
          <w:bCs/>
          <w:color w:val="00B0F0" w:themeColor="accent1"/>
          <w:szCs w:val="20"/>
        </w:rPr>
        <w:t>Fig. 5</w:t>
      </w:r>
      <w:r w:rsidR="00DF25F3" w:rsidRPr="0031049E">
        <w:rPr>
          <w:rFonts w:asciiTheme="majorHAnsi" w:hAnsiTheme="majorHAnsi" w:cstheme="majorHAnsi"/>
          <w:color w:val="auto"/>
          <w:szCs w:val="20"/>
        </w:rPr>
        <w:t>)</w:t>
      </w:r>
      <w:r w:rsidR="00AF2093" w:rsidRPr="0031049E">
        <w:rPr>
          <w:rFonts w:asciiTheme="majorHAnsi" w:hAnsiTheme="majorHAnsi" w:cstheme="majorHAnsi"/>
          <w:color w:val="auto"/>
          <w:szCs w:val="20"/>
        </w:rPr>
        <w:t xml:space="preserve"> </w:t>
      </w:r>
      <w:r w:rsidR="00A32FE2" w:rsidRPr="0031049E">
        <w:rPr>
          <w:rFonts w:asciiTheme="majorHAnsi" w:hAnsiTheme="majorHAnsi" w:cstheme="majorHAnsi"/>
          <w:color w:val="auto"/>
          <w:szCs w:val="20"/>
        </w:rPr>
        <w:t>experienced sub-therapeutic drug concentrations for an extended period</w:t>
      </w:r>
      <w:r w:rsidR="00E47E80" w:rsidRPr="0031049E">
        <w:rPr>
          <w:rFonts w:asciiTheme="majorHAnsi" w:hAnsiTheme="majorHAnsi" w:cstheme="majorHAnsi"/>
          <w:color w:val="auto"/>
          <w:szCs w:val="20"/>
        </w:rPr>
        <w:t xml:space="preserve"> – with the majority of patients receiving </w:t>
      </w:r>
      <w:r w:rsidR="00DE4A20" w:rsidRPr="0031049E">
        <w:rPr>
          <w:rFonts w:asciiTheme="majorHAnsi" w:hAnsiTheme="majorHAnsi" w:cstheme="majorHAnsi"/>
          <w:color w:val="auto"/>
          <w:szCs w:val="20"/>
        </w:rPr>
        <w:t xml:space="preserve">a </w:t>
      </w:r>
      <w:r w:rsidR="00E47E80" w:rsidRPr="0031049E">
        <w:rPr>
          <w:rFonts w:asciiTheme="majorHAnsi" w:hAnsiTheme="majorHAnsi" w:cstheme="majorHAnsi"/>
          <w:color w:val="auto"/>
          <w:szCs w:val="20"/>
        </w:rPr>
        <w:t xml:space="preserve">250 mg </w:t>
      </w:r>
      <w:r w:rsidR="00DE4A20" w:rsidRPr="0031049E">
        <w:rPr>
          <w:rFonts w:asciiTheme="majorHAnsi" w:hAnsiTheme="majorHAnsi" w:cstheme="majorHAnsi"/>
          <w:color w:val="auto"/>
          <w:szCs w:val="20"/>
        </w:rPr>
        <w:t xml:space="preserve">BD </w:t>
      </w:r>
      <w:r w:rsidR="00E47E80" w:rsidRPr="0031049E">
        <w:rPr>
          <w:rFonts w:asciiTheme="majorHAnsi" w:hAnsiTheme="majorHAnsi" w:cstheme="majorHAnsi"/>
          <w:color w:val="auto"/>
          <w:szCs w:val="20"/>
        </w:rPr>
        <w:t xml:space="preserve">dosing </w:t>
      </w:r>
      <w:r w:rsidR="00425EC6" w:rsidRPr="0031049E">
        <w:rPr>
          <w:rFonts w:asciiTheme="majorHAnsi" w:hAnsiTheme="majorHAnsi" w:cstheme="majorHAnsi"/>
          <w:color w:val="auto"/>
          <w:szCs w:val="20"/>
        </w:rPr>
        <w:t>spending the entire 72 hour below target concentration.</w:t>
      </w:r>
      <w:r w:rsidR="00B3710D" w:rsidRPr="0031049E">
        <w:rPr>
          <w:rFonts w:asciiTheme="majorHAnsi" w:hAnsiTheme="majorHAnsi" w:cstheme="majorHAnsi"/>
          <w:color w:val="auto"/>
          <w:szCs w:val="20"/>
        </w:rPr>
        <w:t xml:space="preserve"> Only at higher doses (</w:t>
      </w:r>
      <w:r w:rsidR="00C40CAD" w:rsidRPr="0031049E">
        <w:rPr>
          <w:rFonts w:asciiTheme="majorHAnsi" w:hAnsiTheme="majorHAnsi" w:cstheme="majorHAnsi"/>
          <w:color w:val="auto"/>
          <w:szCs w:val="20"/>
        </w:rPr>
        <w:t>≥</w:t>
      </w:r>
      <w:r w:rsidR="00B3710D" w:rsidRPr="0031049E">
        <w:rPr>
          <w:rFonts w:asciiTheme="majorHAnsi" w:hAnsiTheme="majorHAnsi" w:cstheme="majorHAnsi"/>
          <w:color w:val="auto"/>
          <w:szCs w:val="20"/>
        </w:rPr>
        <w:t>750</w:t>
      </w:r>
      <w:r w:rsidR="00DE4A20" w:rsidRPr="0031049E">
        <w:rPr>
          <w:rFonts w:asciiTheme="majorHAnsi" w:hAnsiTheme="majorHAnsi" w:cstheme="majorHAnsi"/>
          <w:color w:val="auto"/>
          <w:szCs w:val="20"/>
        </w:rPr>
        <w:t xml:space="preserve"> BD</w:t>
      </w:r>
      <w:r w:rsidR="00B3710D" w:rsidRPr="0031049E">
        <w:rPr>
          <w:rFonts w:asciiTheme="majorHAnsi" w:hAnsiTheme="majorHAnsi" w:cstheme="majorHAnsi"/>
          <w:color w:val="auto"/>
          <w:szCs w:val="20"/>
        </w:rPr>
        <w:t xml:space="preserve">) did </w:t>
      </w:r>
      <w:r w:rsidR="007F7E8B" w:rsidRPr="0031049E">
        <w:rPr>
          <w:rFonts w:asciiTheme="majorHAnsi" w:hAnsiTheme="majorHAnsi" w:cstheme="majorHAnsi"/>
          <w:color w:val="auto"/>
          <w:szCs w:val="20"/>
        </w:rPr>
        <w:t>median concentrations remain within target range at 72 hours.</w:t>
      </w:r>
    </w:p>
    <w:p w14:paraId="71B17304" w14:textId="219CE036" w:rsidR="000F25DF" w:rsidRPr="0031049E" w:rsidRDefault="000F25DF" w:rsidP="005B11E8">
      <w:pPr>
        <w:pStyle w:val="OpiniumNormal"/>
        <w:spacing w:after="0" w:line="360" w:lineRule="auto"/>
        <w:rPr>
          <w:rFonts w:asciiTheme="majorHAnsi" w:hAnsiTheme="majorHAnsi" w:cstheme="majorHAnsi"/>
          <w:color w:val="auto"/>
          <w:szCs w:val="20"/>
        </w:rPr>
      </w:pPr>
    </w:p>
    <w:p w14:paraId="548C83EE" w14:textId="1CE7792C" w:rsidR="00A04137" w:rsidRPr="0031049E" w:rsidRDefault="00A04137" w:rsidP="00A04137">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b/>
          <w:bCs/>
          <w:color w:val="auto"/>
          <w:szCs w:val="20"/>
        </w:rPr>
        <w:t>DISCUSSION</w:t>
      </w:r>
    </w:p>
    <w:p w14:paraId="07DE2819" w14:textId="6CD9BA17" w:rsidR="00EE3EF1" w:rsidRPr="0031049E" w:rsidRDefault="00C80E38" w:rsidP="00EE3EF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Our findings suggest</w:t>
      </w:r>
      <w:r w:rsidR="003E5A40" w:rsidRPr="0031049E">
        <w:rPr>
          <w:rFonts w:asciiTheme="majorHAnsi" w:hAnsiTheme="majorHAnsi" w:cstheme="majorHAnsi"/>
          <w:color w:val="auto"/>
          <w:szCs w:val="20"/>
        </w:rPr>
        <w:t xml:space="preserve"> </w:t>
      </w:r>
      <w:r w:rsidR="00EE3EF1" w:rsidRPr="0031049E">
        <w:rPr>
          <w:rFonts w:asciiTheme="majorHAnsi" w:hAnsiTheme="majorHAnsi" w:cstheme="majorHAnsi"/>
          <w:color w:val="auto"/>
          <w:szCs w:val="20"/>
        </w:rPr>
        <w:t>that the clearance of levetiracetam in critically ill patients undergoing CRRT is</w:t>
      </w:r>
      <w:r w:rsidR="007B224D" w:rsidRPr="0031049E">
        <w:rPr>
          <w:rFonts w:asciiTheme="majorHAnsi" w:hAnsiTheme="majorHAnsi" w:cstheme="majorHAnsi"/>
          <w:color w:val="auto"/>
          <w:szCs w:val="20"/>
        </w:rPr>
        <w:t xml:space="preserve"> </w:t>
      </w:r>
      <w:r w:rsidR="00EE3EF1" w:rsidRPr="0031049E">
        <w:rPr>
          <w:rFonts w:asciiTheme="majorHAnsi" w:hAnsiTheme="majorHAnsi" w:cstheme="majorHAnsi"/>
          <w:color w:val="auto"/>
          <w:szCs w:val="20"/>
        </w:rPr>
        <w:t xml:space="preserve">similar to that seen in healthy adult patients. Both mean total clearance (3.55 L/hr) and elimination half-life (9.41 hrs) </w:t>
      </w:r>
      <w:r w:rsidR="009719CC" w:rsidRPr="0031049E">
        <w:rPr>
          <w:rFonts w:asciiTheme="majorHAnsi" w:hAnsiTheme="majorHAnsi" w:cstheme="majorHAnsi"/>
          <w:color w:val="auto"/>
          <w:szCs w:val="20"/>
        </w:rPr>
        <w:t xml:space="preserve">are </w:t>
      </w:r>
      <w:r w:rsidR="00EE3EF1" w:rsidRPr="0031049E">
        <w:rPr>
          <w:rFonts w:asciiTheme="majorHAnsi" w:hAnsiTheme="majorHAnsi" w:cstheme="majorHAnsi"/>
          <w:color w:val="auto"/>
          <w:szCs w:val="20"/>
        </w:rPr>
        <w:t xml:space="preserve">broadly equivalent to that of healthy adults (4.03 L/hr and 6 – 8 hrs respectively). The mean clearance attributable to CRRT was over 50% </w:t>
      </w:r>
      <w:r w:rsidR="00B749B6" w:rsidRPr="0031049E">
        <w:rPr>
          <w:rFonts w:asciiTheme="majorHAnsi" w:hAnsiTheme="majorHAnsi" w:cstheme="majorHAnsi"/>
          <w:color w:val="auto"/>
          <w:szCs w:val="20"/>
        </w:rPr>
        <w:t xml:space="preserve">confirming </w:t>
      </w:r>
      <w:r w:rsidR="00EE3EF1" w:rsidRPr="0031049E">
        <w:rPr>
          <w:rFonts w:asciiTheme="majorHAnsi" w:hAnsiTheme="majorHAnsi" w:cstheme="majorHAnsi"/>
          <w:color w:val="auto"/>
          <w:szCs w:val="20"/>
        </w:rPr>
        <w:t xml:space="preserve">that </w:t>
      </w:r>
      <w:r w:rsidR="00B749B6" w:rsidRPr="0031049E">
        <w:rPr>
          <w:rFonts w:asciiTheme="majorHAnsi" w:hAnsiTheme="majorHAnsi" w:cstheme="majorHAnsi"/>
          <w:color w:val="auto"/>
          <w:szCs w:val="20"/>
        </w:rPr>
        <w:t xml:space="preserve">CRRT </w:t>
      </w:r>
      <w:r w:rsidR="00EE3EF1" w:rsidRPr="0031049E">
        <w:rPr>
          <w:rFonts w:asciiTheme="majorHAnsi" w:hAnsiTheme="majorHAnsi" w:cstheme="majorHAnsi"/>
          <w:color w:val="auto"/>
          <w:szCs w:val="20"/>
        </w:rPr>
        <w:t xml:space="preserve">is responsible for the majority of drug clearance. </w:t>
      </w:r>
      <w:r w:rsidR="00EE3EF1" w:rsidRPr="0031049E">
        <w:rPr>
          <w:rFonts w:asciiTheme="majorHAnsi" w:hAnsiTheme="majorHAnsi" w:cstheme="majorHAnsi"/>
          <w:color w:val="auto"/>
          <w:szCs w:val="20"/>
        </w:rPr>
        <w:lastRenderedPageBreak/>
        <w:t xml:space="preserve">Moreover, it demonstrates that IHD and CRRT have similar pharmacokinetic effects in terms of their ability to eliminate levetiracetam. Taken together, these findings suggest that </w:t>
      </w:r>
      <w:r w:rsidR="00F010E9" w:rsidRPr="0031049E">
        <w:rPr>
          <w:rFonts w:asciiTheme="majorHAnsi" w:hAnsiTheme="majorHAnsi" w:cstheme="majorHAnsi"/>
          <w:color w:val="auto"/>
          <w:szCs w:val="20"/>
        </w:rPr>
        <w:t>reduced doses in critically patients on CRRT</w:t>
      </w:r>
      <w:r w:rsidR="00EE3EF1" w:rsidRPr="0031049E">
        <w:rPr>
          <w:rFonts w:asciiTheme="majorHAnsi" w:hAnsiTheme="majorHAnsi" w:cstheme="majorHAnsi"/>
          <w:color w:val="auto"/>
          <w:szCs w:val="20"/>
        </w:rPr>
        <w:t xml:space="preserve"> may pose a </w:t>
      </w:r>
      <w:r w:rsidR="00F010E9" w:rsidRPr="0031049E">
        <w:rPr>
          <w:rFonts w:asciiTheme="majorHAnsi" w:hAnsiTheme="majorHAnsi" w:cstheme="majorHAnsi"/>
          <w:color w:val="auto"/>
          <w:szCs w:val="20"/>
        </w:rPr>
        <w:t xml:space="preserve">serious </w:t>
      </w:r>
      <w:r w:rsidR="00EE3EF1" w:rsidRPr="0031049E">
        <w:rPr>
          <w:rFonts w:asciiTheme="majorHAnsi" w:hAnsiTheme="majorHAnsi" w:cstheme="majorHAnsi"/>
          <w:color w:val="auto"/>
          <w:szCs w:val="20"/>
        </w:rPr>
        <w:t>risk of sub-therapeutic drug concentrations</w:t>
      </w:r>
      <w:r w:rsidR="00E72D1F" w:rsidRPr="0031049E">
        <w:rPr>
          <w:rFonts w:asciiTheme="majorHAnsi" w:hAnsiTheme="majorHAnsi" w:cstheme="majorHAnsi"/>
          <w:color w:val="auto"/>
          <w:szCs w:val="20"/>
        </w:rPr>
        <w:t>.</w:t>
      </w:r>
    </w:p>
    <w:p w14:paraId="7C4AA1C2" w14:textId="77777777" w:rsidR="00EE3EF1" w:rsidRPr="0031049E" w:rsidRDefault="00EE3EF1" w:rsidP="00EE3EF1">
      <w:pPr>
        <w:pStyle w:val="OpiniumNormal"/>
        <w:spacing w:after="0" w:line="360" w:lineRule="auto"/>
        <w:rPr>
          <w:rFonts w:asciiTheme="majorHAnsi" w:hAnsiTheme="majorHAnsi" w:cstheme="majorHAnsi"/>
          <w:color w:val="auto"/>
          <w:szCs w:val="20"/>
        </w:rPr>
      </w:pPr>
    </w:p>
    <w:p w14:paraId="4EA32EDB" w14:textId="0F09F887" w:rsidR="00C7743D" w:rsidRPr="0031049E" w:rsidRDefault="00512ACB" w:rsidP="00EE3EF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In the UK, </w:t>
      </w:r>
      <w:r w:rsidR="009E40F1" w:rsidRPr="0031049E">
        <w:rPr>
          <w:rFonts w:asciiTheme="majorHAnsi" w:hAnsiTheme="majorHAnsi" w:cstheme="majorHAnsi"/>
          <w:color w:val="auto"/>
          <w:szCs w:val="20"/>
        </w:rPr>
        <w:t>current guidance is based on limited data and expert opinion and</w:t>
      </w:r>
      <w:r w:rsidR="00463DA5" w:rsidRPr="0031049E">
        <w:rPr>
          <w:rFonts w:asciiTheme="majorHAnsi" w:hAnsiTheme="majorHAnsi" w:cstheme="majorHAnsi"/>
          <w:color w:val="auto"/>
          <w:szCs w:val="20"/>
        </w:rPr>
        <w:t xml:space="preserve"> is variable. </w:t>
      </w:r>
      <w:r w:rsidR="00E5012A" w:rsidRPr="0031049E">
        <w:rPr>
          <w:rFonts w:asciiTheme="majorHAnsi" w:hAnsiTheme="majorHAnsi" w:cstheme="majorHAnsi"/>
          <w:color w:val="auto"/>
          <w:szCs w:val="20"/>
        </w:rPr>
        <w:t xml:space="preserve">The drug monograph in Medicines Complete for Critical Illness </w:t>
      </w:r>
      <w:r w:rsidR="009D2554" w:rsidRPr="0031049E">
        <w:rPr>
          <w:rFonts w:asciiTheme="majorHAnsi" w:hAnsiTheme="majorHAnsi" w:cstheme="majorHAnsi"/>
          <w:color w:val="auto"/>
          <w:szCs w:val="20"/>
        </w:rPr>
        <w:t xml:space="preserve">recommends no dose reduction on the basis that levetiracetam is freely cleared by CRRT </w:t>
      </w:r>
      <w:r w:rsidR="009D2554" w:rsidRPr="0031049E">
        <w:rPr>
          <w:rFonts w:asciiTheme="majorHAnsi" w:hAnsiTheme="majorHAnsi" w:cstheme="majorHAnsi"/>
          <w:b/>
          <w:bCs/>
          <w:color w:val="00B0F0" w:themeColor="accent1"/>
          <w:szCs w:val="20"/>
          <w:vertAlign w:val="superscript"/>
        </w:rPr>
        <w:t>[xx]</w:t>
      </w:r>
      <w:r w:rsidR="009D2554" w:rsidRPr="0031049E">
        <w:rPr>
          <w:rFonts w:asciiTheme="majorHAnsi" w:hAnsiTheme="majorHAnsi" w:cstheme="majorHAnsi"/>
          <w:color w:val="auto"/>
          <w:szCs w:val="20"/>
        </w:rPr>
        <w:t xml:space="preserve">. </w:t>
      </w:r>
      <w:r w:rsidR="009052E0" w:rsidRPr="0031049E">
        <w:rPr>
          <w:rFonts w:asciiTheme="majorHAnsi" w:hAnsiTheme="majorHAnsi" w:cstheme="majorHAnsi"/>
          <w:color w:val="auto"/>
          <w:szCs w:val="20"/>
        </w:rPr>
        <w:t>The Lexi-Comp Drug Information Handbook</w:t>
      </w:r>
      <w:r w:rsidR="00B47790" w:rsidRPr="0031049E">
        <w:rPr>
          <w:rFonts w:asciiTheme="majorHAnsi" w:hAnsiTheme="majorHAnsi" w:cstheme="majorHAnsi"/>
          <w:color w:val="auto"/>
          <w:szCs w:val="20"/>
        </w:rPr>
        <w:t xml:space="preserve"> </w:t>
      </w:r>
      <w:r w:rsidR="007C5C46" w:rsidRPr="0031049E">
        <w:rPr>
          <w:rFonts w:asciiTheme="majorHAnsi" w:hAnsiTheme="majorHAnsi" w:cstheme="majorHAnsi"/>
          <w:color w:val="auto"/>
          <w:szCs w:val="20"/>
        </w:rPr>
        <w:t>recommends doses of 750 – 1,250 mg BD</w:t>
      </w:r>
      <w:r w:rsidR="004E429E" w:rsidRPr="0031049E">
        <w:rPr>
          <w:rFonts w:asciiTheme="majorHAnsi" w:hAnsiTheme="majorHAnsi" w:cstheme="majorHAnsi"/>
          <w:color w:val="auto"/>
          <w:szCs w:val="20"/>
        </w:rPr>
        <w:t xml:space="preserve"> in patients undergoing CRRT with consideration of doses up to 4 g per day</w:t>
      </w:r>
      <w:r w:rsidR="009C60CE" w:rsidRPr="0031049E">
        <w:rPr>
          <w:rFonts w:asciiTheme="majorHAnsi" w:hAnsiTheme="majorHAnsi" w:cstheme="majorHAnsi"/>
          <w:color w:val="auto"/>
          <w:szCs w:val="20"/>
        </w:rPr>
        <w:t xml:space="preserve"> </w:t>
      </w:r>
      <w:r w:rsidR="00E5012A" w:rsidRPr="0031049E">
        <w:rPr>
          <w:rFonts w:asciiTheme="majorHAnsi" w:hAnsiTheme="majorHAnsi" w:cstheme="majorHAnsi"/>
          <w:color w:val="auto"/>
          <w:szCs w:val="20"/>
        </w:rPr>
        <w:t>for patients on higher effluent rates</w:t>
      </w:r>
      <w:r w:rsidR="009D2554" w:rsidRPr="0031049E">
        <w:rPr>
          <w:rFonts w:asciiTheme="majorHAnsi" w:hAnsiTheme="majorHAnsi" w:cstheme="majorHAnsi"/>
          <w:color w:val="auto"/>
          <w:szCs w:val="20"/>
        </w:rPr>
        <w:t xml:space="preserve"> </w:t>
      </w:r>
      <w:r w:rsidR="009D2554" w:rsidRPr="0031049E">
        <w:rPr>
          <w:rFonts w:asciiTheme="majorHAnsi" w:hAnsiTheme="majorHAnsi" w:cstheme="majorHAnsi"/>
          <w:b/>
          <w:bCs/>
          <w:color w:val="00B0F0" w:themeColor="accent1"/>
          <w:szCs w:val="20"/>
          <w:vertAlign w:val="superscript"/>
        </w:rPr>
        <w:t>[xx]</w:t>
      </w:r>
      <w:r w:rsidR="00E5012A" w:rsidRPr="0031049E">
        <w:rPr>
          <w:rFonts w:asciiTheme="majorHAnsi" w:hAnsiTheme="majorHAnsi" w:cstheme="majorHAnsi"/>
          <w:color w:val="auto"/>
          <w:szCs w:val="20"/>
        </w:rPr>
        <w:t xml:space="preserve">. </w:t>
      </w:r>
      <w:r w:rsidR="002F011B" w:rsidRPr="0031049E">
        <w:rPr>
          <w:rFonts w:asciiTheme="majorHAnsi" w:hAnsiTheme="majorHAnsi" w:cstheme="majorHAnsi"/>
          <w:color w:val="auto"/>
          <w:szCs w:val="20"/>
        </w:rPr>
        <w:t xml:space="preserve">These recommendations are based on Kalaria et al.’s </w:t>
      </w:r>
      <w:r w:rsidR="002512C1" w:rsidRPr="0031049E">
        <w:rPr>
          <w:rFonts w:asciiTheme="majorHAnsi" w:hAnsiTheme="majorHAnsi" w:cstheme="majorHAnsi"/>
          <w:color w:val="auto"/>
          <w:szCs w:val="20"/>
        </w:rPr>
        <w:t>influential PADRE-01 study</w:t>
      </w:r>
      <w:r w:rsidR="00BD1A40" w:rsidRPr="0031049E">
        <w:rPr>
          <w:rFonts w:asciiTheme="majorHAnsi" w:hAnsiTheme="majorHAnsi" w:cstheme="majorHAnsi"/>
          <w:color w:val="auto"/>
          <w:szCs w:val="20"/>
        </w:rPr>
        <w:t xml:space="preserve"> which i</w:t>
      </w:r>
      <w:r w:rsidR="00E56D43" w:rsidRPr="0031049E">
        <w:rPr>
          <w:rFonts w:asciiTheme="majorHAnsi" w:hAnsiTheme="majorHAnsi" w:cstheme="majorHAnsi"/>
          <w:color w:val="auto"/>
          <w:szCs w:val="20"/>
        </w:rPr>
        <w:t>s</w:t>
      </w:r>
      <w:r w:rsidR="00BD1A40" w:rsidRPr="0031049E">
        <w:rPr>
          <w:rFonts w:asciiTheme="majorHAnsi" w:hAnsiTheme="majorHAnsi" w:cstheme="majorHAnsi"/>
          <w:color w:val="auto"/>
          <w:szCs w:val="20"/>
        </w:rPr>
        <w:t xml:space="preserve"> </w:t>
      </w:r>
      <w:r w:rsidR="002512C1" w:rsidRPr="0031049E">
        <w:rPr>
          <w:rFonts w:asciiTheme="majorHAnsi" w:hAnsiTheme="majorHAnsi" w:cstheme="majorHAnsi"/>
          <w:color w:val="auto"/>
          <w:szCs w:val="20"/>
        </w:rPr>
        <w:t xml:space="preserve">the most extensive </w:t>
      </w:r>
      <w:r w:rsidR="008E5BEE" w:rsidRPr="0031049E">
        <w:rPr>
          <w:rFonts w:asciiTheme="majorHAnsi" w:hAnsiTheme="majorHAnsi" w:cstheme="majorHAnsi"/>
          <w:color w:val="auto"/>
          <w:szCs w:val="20"/>
        </w:rPr>
        <w:t>pharmacokinetic study to date</w:t>
      </w:r>
      <w:r w:rsidR="00E56D43" w:rsidRPr="0031049E">
        <w:rPr>
          <w:rFonts w:asciiTheme="majorHAnsi" w:hAnsiTheme="majorHAnsi" w:cstheme="majorHAnsi"/>
          <w:color w:val="auto"/>
          <w:szCs w:val="20"/>
        </w:rPr>
        <w:t xml:space="preserve"> but remains</w:t>
      </w:r>
      <w:r w:rsidR="00BD1A40" w:rsidRPr="0031049E">
        <w:rPr>
          <w:rFonts w:asciiTheme="majorHAnsi" w:hAnsiTheme="majorHAnsi" w:cstheme="majorHAnsi"/>
          <w:color w:val="auto"/>
          <w:szCs w:val="20"/>
        </w:rPr>
        <w:t xml:space="preserve"> limited by its base size (n=11).</w:t>
      </w:r>
      <w:r w:rsidR="00D91FF3" w:rsidRPr="0031049E">
        <w:rPr>
          <w:rFonts w:asciiTheme="majorHAnsi" w:hAnsiTheme="majorHAnsi" w:cstheme="majorHAnsi"/>
          <w:color w:val="auto"/>
          <w:szCs w:val="20"/>
        </w:rPr>
        <w:t xml:space="preserve"> A recent study by Chaijamorn et al. </w:t>
      </w:r>
      <w:r w:rsidR="009F3ED1" w:rsidRPr="0031049E">
        <w:rPr>
          <w:rFonts w:asciiTheme="majorHAnsi" w:hAnsiTheme="majorHAnsi" w:cstheme="majorHAnsi"/>
          <w:color w:val="auto"/>
          <w:szCs w:val="20"/>
        </w:rPr>
        <w:t xml:space="preserve">used published pharmacokinetic data to identify an appropriate dose for patients with </w:t>
      </w:r>
      <w:r w:rsidR="00A64F7A" w:rsidRPr="0031049E">
        <w:rPr>
          <w:rFonts w:asciiTheme="majorHAnsi" w:hAnsiTheme="majorHAnsi" w:cstheme="majorHAnsi"/>
          <w:color w:val="auto"/>
          <w:szCs w:val="20"/>
        </w:rPr>
        <w:t>liver cirrhosis on CRRT and recommended</w:t>
      </w:r>
      <w:r w:rsidR="00EF49F1" w:rsidRPr="0031049E">
        <w:rPr>
          <w:rFonts w:asciiTheme="majorHAnsi" w:hAnsiTheme="majorHAnsi" w:cstheme="majorHAnsi"/>
          <w:color w:val="auto"/>
          <w:szCs w:val="20"/>
        </w:rPr>
        <w:t xml:space="preserve"> a dosing regimen of</w:t>
      </w:r>
      <w:r w:rsidR="00A64F7A" w:rsidRPr="0031049E">
        <w:rPr>
          <w:rFonts w:asciiTheme="majorHAnsi" w:hAnsiTheme="majorHAnsi" w:cstheme="majorHAnsi"/>
          <w:color w:val="auto"/>
          <w:szCs w:val="20"/>
        </w:rPr>
        <w:t xml:space="preserve"> 750 – 1,000 mg BD</w:t>
      </w:r>
      <w:r w:rsidR="00EF49F1" w:rsidRPr="0031049E">
        <w:rPr>
          <w:rFonts w:asciiTheme="majorHAnsi" w:hAnsiTheme="majorHAnsi" w:cstheme="majorHAnsi"/>
          <w:color w:val="auto"/>
          <w:szCs w:val="20"/>
        </w:rPr>
        <w:t xml:space="preserve"> </w:t>
      </w:r>
      <w:r w:rsidR="00EF49F1" w:rsidRPr="0031049E">
        <w:rPr>
          <w:rFonts w:asciiTheme="majorHAnsi" w:hAnsiTheme="majorHAnsi" w:cstheme="majorHAnsi"/>
          <w:b/>
          <w:bCs/>
          <w:color w:val="00B0F0" w:themeColor="accent1"/>
          <w:szCs w:val="20"/>
          <w:vertAlign w:val="superscript"/>
        </w:rPr>
        <w:t>[xx]</w:t>
      </w:r>
      <w:r w:rsidR="00EF49F1" w:rsidRPr="0031049E">
        <w:rPr>
          <w:rFonts w:asciiTheme="majorHAnsi" w:hAnsiTheme="majorHAnsi" w:cstheme="majorHAnsi"/>
          <w:color w:val="auto"/>
          <w:szCs w:val="20"/>
        </w:rPr>
        <w:t>.</w:t>
      </w:r>
    </w:p>
    <w:p w14:paraId="2260B97A" w14:textId="77777777" w:rsidR="00C7743D" w:rsidRPr="0031049E" w:rsidRDefault="00C7743D" w:rsidP="00EE3EF1">
      <w:pPr>
        <w:pStyle w:val="OpiniumNormal"/>
        <w:spacing w:after="0" w:line="360" w:lineRule="auto"/>
        <w:rPr>
          <w:rFonts w:asciiTheme="majorHAnsi" w:hAnsiTheme="majorHAnsi" w:cstheme="majorHAnsi"/>
          <w:color w:val="auto"/>
          <w:szCs w:val="20"/>
        </w:rPr>
      </w:pPr>
    </w:p>
    <w:p w14:paraId="69ADC872" w14:textId="5190F6EC" w:rsidR="003857BE" w:rsidRPr="0031049E" w:rsidRDefault="00A11DDE" w:rsidP="00EE3EF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Our simulation data support recommendations for a 750 – 1,000 mg BD dosing strategy with </w:t>
      </w:r>
      <w:r w:rsidR="00A3131B" w:rsidRPr="0031049E">
        <w:rPr>
          <w:rFonts w:asciiTheme="majorHAnsi" w:hAnsiTheme="majorHAnsi" w:cstheme="majorHAnsi"/>
          <w:color w:val="auto"/>
          <w:szCs w:val="20"/>
        </w:rPr>
        <w:t>a standard loading dose of 60 mg/kg where rapid cessation of seizure activity or neuroprotective control is required.</w:t>
      </w:r>
      <w:r w:rsidR="00CF397A" w:rsidRPr="0031049E">
        <w:rPr>
          <w:rFonts w:asciiTheme="majorHAnsi" w:hAnsiTheme="majorHAnsi" w:cstheme="majorHAnsi"/>
          <w:color w:val="auto"/>
          <w:szCs w:val="20"/>
        </w:rPr>
        <w:t xml:space="preserve"> </w:t>
      </w:r>
      <w:r w:rsidR="00353EE6" w:rsidRPr="0031049E">
        <w:rPr>
          <w:rFonts w:asciiTheme="majorHAnsi" w:hAnsiTheme="majorHAnsi" w:cstheme="majorHAnsi"/>
          <w:color w:val="auto"/>
          <w:szCs w:val="20"/>
        </w:rPr>
        <w:t>Dosing at lower levels (250 – 500 mg BD) was unlikely to achieve therapeutic levels by steady state even with the addition of a loading dose (</w:t>
      </w:r>
      <w:r w:rsidR="00CF397A" w:rsidRPr="0031049E">
        <w:rPr>
          <w:rFonts w:asciiTheme="majorHAnsi" w:hAnsiTheme="majorHAnsi" w:cstheme="majorHAnsi"/>
          <w:b/>
          <w:bCs/>
          <w:color w:val="00B0F0" w:themeColor="accent1"/>
          <w:szCs w:val="20"/>
        </w:rPr>
        <w:t>Fig. 3 – 5</w:t>
      </w:r>
      <w:r w:rsidR="00CF397A" w:rsidRPr="0031049E">
        <w:rPr>
          <w:rFonts w:asciiTheme="majorHAnsi" w:hAnsiTheme="majorHAnsi" w:cstheme="majorHAnsi"/>
          <w:color w:val="auto"/>
          <w:szCs w:val="20"/>
        </w:rPr>
        <w:t xml:space="preserve">). </w:t>
      </w:r>
      <w:r w:rsidR="00B706E5" w:rsidRPr="0031049E">
        <w:rPr>
          <w:rFonts w:asciiTheme="majorHAnsi" w:hAnsiTheme="majorHAnsi" w:cstheme="majorHAnsi"/>
          <w:color w:val="auto"/>
          <w:szCs w:val="20"/>
        </w:rPr>
        <w:t xml:space="preserve">At higher doses (750 – 1,000 mg BD) the proportion of patients </w:t>
      </w:r>
      <w:r w:rsidR="003F1845" w:rsidRPr="0031049E">
        <w:rPr>
          <w:rFonts w:asciiTheme="majorHAnsi" w:hAnsiTheme="majorHAnsi" w:cstheme="majorHAnsi"/>
          <w:color w:val="auto"/>
          <w:szCs w:val="20"/>
        </w:rPr>
        <w:t>achieving</w:t>
      </w:r>
      <w:r w:rsidR="00B706E5" w:rsidRPr="0031049E">
        <w:rPr>
          <w:rFonts w:asciiTheme="majorHAnsi" w:hAnsiTheme="majorHAnsi" w:cstheme="majorHAnsi"/>
          <w:color w:val="auto"/>
          <w:szCs w:val="20"/>
        </w:rPr>
        <w:t xml:space="preserve"> therapeutic drug concentrations at steady state was significantly higher.</w:t>
      </w:r>
      <w:r w:rsidR="003C2290" w:rsidRPr="0031049E">
        <w:rPr>
          <w:rFonts w:asciiTheme="majorHAnsi" w:hAnsiTheme="majorHAnsi" w:cstheme="majorHAnsi"/>
          <w:color w:val="auto"/>
          <w:szCs w:val="20"/>
        </w:rPr>
        <w:t xml:space="preserve"> The addition of a standard loading dose reduced the time to attainment</w:t>
      </w:r>
      <w:r w:rsidR="00AA7D5B" w:rsidRPr="0031049E">
        <w:rPr>
          <w:rFonts w:asciiTheme="majorHAnsi" w:hAnsiTheme="majorHAnsi" w:cstheme="majorHAnsi"/>
          <w:color w:val="auto"/>
          <w:szCs w:val="20"/>
        </w:rPr>
        <w:t xml:space="preserve"> by up to 36 hours</w:t>
      </w:r>
      <w:r w:rsidR="00D87FFD" w:rsidRPr="0031049E">
        <w:rPr>
          <w:rFonts w:asciiTheme="majorHAnsi" w:hAnsiTheme="majorHAnsi" w:cstheme="majorHAnsi"/>
          <w:color w:val="auto"/>
          <w:szCs w:val="20"/>
        </w:rPr>
        <w:t xml:space="preserve"> (</w:t>
      </w:r>
      <w:r w:rsidR="00D87FFD" w:rsidRPr="0031049E">
        <w:rPr>
          <w:rFonts w:asciiTheme="majorHAnsi" w:hAnsiTheme="majorHAnsi" w:cstheme="majorHAnsi"/>
          <w:b/>
          <w:bCs/>
          <w:color w:val="00B0F0" w:themeColor="accent1"/>
          <w:szCs w:val="20"/>
        </w:rPr>
        <w:t>Fig. 3</w:t>
      </w:r>
      <w:r w:rsidR="00D87FFD" w:rsidRPr="0031049E">
        <w:rPr>
          <w:rFonts w:asciiTheme="majorHAnsi" w:hAnsiTheme="majorHAnsi" w:cstheme="majorHAnsi"/>
          <w:color w:val="auto"/>
          <w:szCs w:val="20"/>
        </w:rPr>
        <w:t>)</w:t>
      </w:r>
      <w:r w:rsidR="00F2728C" w:rsidRPr="0031049E">
        <w:rPr>
          <w:rFonts w:asciiTheme="majorHAnsi" w:hAnsiTheme="majorHAnsi" w:cstheme="majorHAnsi"/>
          <w:color w:val="auto"/>
          <w:szCs w:val="20"/>
        </w:rPr>
        <w:t>.</w:t>
      </w:r>
      <w:r w:rsidR="003857BE" w:rsidRPr="0031049E">
        <w:rPr>
          <w:rFonts w:asciiTheme="majorHAnsi" w:hAnsiTheme="majorHAnsi" w:cstheme="majorHAnsi"/>
          <w:color w:val="auto"/>
          <w:szCs w:val="20"/>
        </w:rPr>
        <w:t xml:space="preserve"> </w:t>
      </w:r>
      <w:r w:rsidR="00D87FFD" w:rsidRPr="0031049E">
        <w:rPr>
          <w:rFonts w:asciiTheme="majorHAnsi" w:hAnsiTheme="majorHAnsi" w:cstheme="majorHAnsi"/>
          <w:color w:val="auto"/>
          <w:szCs w:val="20"/>
        </w:rPr>
        <w:t>A significant proportion of patients at this loading dose, however, had trough concentrations over 80 mcg/mL for the first 24 hours</w:t>
      </w:r>
      <w:r w:rsidR="00F47E96" w:rsidRPr="0031049E">
        <w:rPr>
          <w:rFonts w:asciiTheme="majorHAnsi" w:hAnsiTheme="majorHAnsi" w:cstheme="majorHAnsi"/>
          <w:color w:val="auto"/>
          <w:szCs w:val="20"/>
        </w:rPr>
        <w:t xml:space="preserve"> and may benefit from close monitoring for potential drug toxicity</w:t>
      </w:r>
      <w:r w:rsidR="00D87FFD" w:rsidRPr="0031049E">
        <w:rPr>
          <w:rFonts w:asciiTheme="majorHAnsi" w:hAnsiTheme="majorHAnsi" w:cstheme="majorHAnsi"/>
          <w:color w:val="auto"/>
          <w:szCs w:val="20"/>
        </w:rPr>
        <w:t xml:space="preserve"> </w:t>
      </w:r>
      <w:r w:rsidR="00D87FFD" w:rsidRPr="0031049E">
        <w:rPr>
          <w:rFonts w:asciiTheme="majorHAnsi" w:hAnsiTheme="majorHAnsi" w:cstheme="majorHAnsi"/>
          <w:b/>
          <w:bCs/>
          <w:color w:val="00B0F0" w:themeColor="accent1"/>
          <w:szCs w:val="20"/>
          <w:vertAlign w:val="superscript"/>
        </w:rPr>
        <w:t>[47]</w:t>
      </w:r>
      <w:r w:rsidR="00D87FFD" w:rsidRPr="0031049E">
        <w:rPr>
          <w:rFonts w:asciiTheme="majorHAnsi" w:hAnsiTheme="majorHAnsi" w:cstheme="majorHAnsi"/>
          <w:color w:val="auto"/>
          <w:szCs w:val="20"/>
        </w:rPr>
        <w:t xml:space="preserve">. </w:t>
      </w:r>
      <w:r w:rsidR="00F65526" w:rsidRPr="0031049E">
        <w:rPr>
          <w:rFonts w:asciiTheme="majorHAnsi" w:hAnsiTheme="majorHAnsi" w:cstheme="majorHAnsi"/>
          <w:color w:val="auto"/>
          <w:szCs w:val="20"/>
        </w:rPr>
        <w:t>In contrast, the use of a reduced 750 mg loading dose as recommended for patients on IHD resulted in delayed attainment of therapeutic trough concentrations up to 24 – 36 hours into treatment (</w:t>
      </w:r>
      <w:r w:rsidR="00F65526" w:rsidRPr="0031049E">
        <w:rPr>
          <w:rFonts w:asciiTheme="majorHAnsi" w:hAnsiTheme="majorHAnsi" w:cstheme="majorHAnsi"/>
          <w:b/>
          <w:bCs/>
          <w:color w:val="00B0F0" w:themeColor="accent1"/>
          <w:szCs w:val="20"/>
        </w:rPr>
        <w:t>Fig 4</w:t>
      </w:r>
      <w:r w:rsidR="00F65526" w:rsidRPr="0031049E">
        <w:rPr>
          <w:rFonts w:asciiTheme="majorHAnsi" w:hAnsiTheme="majorHAnsi" w:cstheme="majorHAnsi"/>
          <w:color w:val="auto"/>
          <w:szCs w:val="20"/>
        </w:rPr>
        <w:t xml:space="preserve">). </w:t>
      </w:r>
      <w:r w:rsidR="008F37D4" w:rsidRPr="0031049E">
        <w:rPr>
          <w:rFonts w:asciiTheme="majorHAnsi" w:hAnsiTheme="majorHAnsi" w:cstheme="majorHAnsi"/>
          <w:color w:val="auto"/>
          <w:szCs w:val="20"/>
        </w:rPr>
        <w:t>As</w:t>
      </w:r>
      <w:r w:rsidR="005B170B" w:rsidRPr="0031049E">
        <w:rPr>
          <w:rFonts w:asciiTheme="majorHAnsi" w:hAnsiTheme="majorHAnsi" w:cstheme="majorHAnsi"/>
          <w:color w:val="auto"/>
          <w:szCs w:val="20"/>
        </w:rPr>
        <w:t xml:space="preserve"> demonstrated in </w:t>
      </w:r>
      <w:r w:rsidR="005B170B" w:rsidRPr="0031049E">
        <w:rPr>
          <w:rFonts w:asciiTheme="majorHAnsi" w:hAnsiTheme="majorHAnsi" w:cstheme="majorHAnsi"/>
          <w:b/>
          <w:bCs/>
          <w:color w:val="00B0F0" w:themeColor="accent1"/>
          <w:szCs w:val="20"/>
        </w:rPr>
        <w:t>Fig.</w:t>
      </w:r>
      <w:r w:rsidR="00807906" w:rsidRPr="0031049E">
        <w:rPr>
          <w:rFonts w:asciiTheme="majorHAnsi" w:hAnsiTheme="majorHAnsi" w:cstheme="majorHAnsi"/>
          <w:b/>
          <w:bCs/>
          <w:color w:val="00B0F0" w:themeColor="accent1"/>
          <w:szCs w:val="20"/>
        </w:rPr>
        <w:t xml:space="preserve"> </w:t>
      </w:r>
      <w:r w:rsidR="00316CBF" w:rsidRPr="0031049E">
        <w:rPr>
          <w:rFonts w:asciiTheme="majorHAnsi" w:hAnsiTheme="majorHAnsi" w:cstheme="majorHAnsi"/>
          <w:b/>
          <w:bCs/>
          <w:color w:val="00B0F0" w:themeColor="accent1"/>
          <w:szCs w:val="20"/>
        </w:rPr>
        <w:t xml:space="preserve">2 </w:t>
      </w:r>
      <w:r w:rsidR="00316CBF" w:rsidRPr="0031049E">
        <w:rPr>
          <w:rFonts w:asciiTheme="majorHAnsi" w:hAnsiTheme="majorHAnsi" w:cstheme="majorHAnsi"/>
          <w:color w:val="auto"/>
          <w:szCs w:val="20"/>
        </w:rPr>
        <w:t>and</w:t>
      </w:r>
      <w:r w:rsidR="005B170B" w:rsidRPr="0031049E">
        <w:rPr>
          <w:rFonts w:asciiTheme="majorHAnsi" w:hAnsiTheme="majorHAnsi" w:cstheme="majorHAnsi"/>
          <w:b/>
          <w:bCs/>
          <w:color w:val="00B0F0" w:themeColor="accent1"/>
          <w:szCs w:val="20"/>
        </w:rPr>
        <w:t xml:space="preserve"> </w:t>
      </w:r>
      <w:r w:rsidR="00B12F99" w:rsidRPr="0031049E">
        <w:rPr>
          <w:rFonts w:asciiTheme="majorHAnsi" w:hAnsiTheme="majorHAnsi" w:cstheme="majorHAnsi"/>
          <w:b/>
          <w:bCs/>
          <w:color w:val="00B0F0" w:themeColor="accent1"/>
          <w:szCs w:val="20"/>
        </w:rPr>
        <w:t>5</w:t>
      </w:r>
      <w:r w:rsidR="00A75307" w:rsidRPr="0031049E">
        <w:rPr>
          <w:rFonts w:asciiTheme="majorHAnsi" w:hAnsiTheme="majorHAnsi" w:cstheme="majorHAnsi"/>
          <w:color w:val="auto"/>
          <w:szCs w:val="20"/>
        </w:rPr>
        <w:t xml:space="preserve">, </w:t>
      </w:r>
      <w:r w:rsidR="009B4329" w:rsidRPr="0031049E">
        <w:rPr>
          <w:rFonts w:asciiTheme="majorHAnsi" w:hAnsiTheme="majorHAnsi" w:cstheme="majorHAnsi"/>
          <w:color w:val="auto"/>
          <w:szCs w:val="20"/>
        </w:rPr>
        <w:t xml:space="preserve">the majority of patients who received </w:t>
      </w:r>
      <w:r w:rsidR="009B4329" w:rsidRPr="0031049E">
        <w:rPr>
          <w:rFonts w:asciiTheme="majorHAnsi" w:hAnsiTheme="majorHAnsi" w:cstheme="majorHAnsi"/>
          <w:b/>
          <w:bCs/>
          <w:color w:val="auto"/>
          <w:szCs w:val="20"/>
        </w:rPr>
        <w:t>no</w:t>
      </w:r>
      <w:r w:rsidR="005B170B" w:rsidRPr="0031049E">
        <w:rPr>
          <w:rFonts w:asciiTheme="majorHAnsi" w:hAnsiTheme="majorHAnsi" w:cstheme="majorHAnsi"/>
          <w:color w:val="auto"/>
          <w:szCs w:val="20"/>
        </w:rPr>
        <w:t xml:space="preserve"> loading dose experienced sub-therapeutic drug concentrations for </w:t>
      </w:r>
      <w:r w:rsidR="004172ED" w:rsidRPr="0031049E">
        <w:rPr>
          <w:rFonts w:asciiTheme="majorHAnsi" w:hAnsiTheme="majorHAnsi" w:cstheme="majorHAnsi"/>
          <w:color w:val="auto"/>
          <w:szCs w:val="20"/>
        </w:rPr>
        <w:t>more than</w:t>
      </w:r>
      <w:r w:rsidR="005B170B" w:rsidRPr="0031049E">
        <w:rPr>
          <w:rFonts w:asciiTheme="majorHAnsi" w:hAnsiTheme="majorHAnsi" w:cstheme="majorHAnsi"/>
          <w:color w:val="auto"/>
          <w:szCs w:val="20"/>
        </w:rPr>
        <w:t xml:space="preserve"> 72 hours</w:t>
      </w:r>
      <w:r w:rsidR="009B4329" w:rsidRPr="0031049E">
        <w:rPr>
          <w:rFonts w:asciiTheme="majorHAnsi" w:hAnsiTheme="majorHAnsi" w:cstheme="majorHAnsi"/>
          <w:color w:val="auto"/>
          <w:szCs w:val="20"/>
        </w:rPr>
        <w:t>.</w:t>
      </w:r>
    </w:p>
    <w:p w14:paraId="1D8C0763" w14:textId="77777777" w:rsidR="00EE3EF1" w:rsidRPr="0031049E" w:rsidRDefault="00EE3EF1" w:rsidP="00EE3EF1">
      <w:pPr>
        <w:pStyle w:val="OpiniumNormal"/>
        <w:spacing w:after="0" w:line="360" w:lineRule="auto"/>
        <w:rPr>
          <w:rFonts w:asciiTheme="majorHAnsi" w:hAnsiTheme="majorHAnsi" w:cstheme="majorHAnsi"/>
          <w:color w:val="auto"/>
          <w:szCs w:val="20"/>
        </w:rPr>
      </w:pPr>
    </w:p>
    <w:p w14:paraId="03BBF570" w14:textId="58BD7921" w:rsidR="00301E3F" w:rsidRPr="0031049E" w:rsidRDefault="00BC5B85" w:rsidP="00EE3EF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This study is not without limitations. </w:t>
      </w:r>
      <w:r w:rsidR="00B65BAB" w:rsidRPr="0031049E">
        <w:rPr>
          <w:rFonts w:asciiTheme="majorHAnsi" w:hAnsiTheme="majorHAnsi" w:cstheme="majorHAnsi"/>
          <w:color w:val="auto"/>
          <w:szCs w:val="20"/>
        </w:rPr>
        <w:t xml:space="preserve">A major limitation in our analysis is the variation in study protocols and data </w:t>
      </w:r>
      <w:r w:rsidR="005D4DA7" w:rsidRPr="0031049E">
        <w:rPr>
          <w:rFonts w:asciiTheme="majorHAnsi" w:hAnsiTheme="majorHAnsi" w:cstheme="majorHAnsi"/>
          <w:color w:val="auto"/>
          <w:szCs w:val="20"/>
        </w:rPr>
        <w:t>collection within the current literature. Differences in</w:t>
      </w:r>
      <w:r w:rsidR="00703AF4" w:rsidRPr="0031049E">
        <w:rPr>
          <w:rFonts w:asciiTheme="majorHAnsi" w:hAnsiTheme="majorHAnsi" w:cstheme="majorHAnsi"/>
          <w:color w:val="auto"/>
          <w:szCs w:val="20"/>
        </w:rPr>
        <w:t xml:space="preserve"> dose administration and sampling strategies </w:t>
      </w:r>
      <w:r w:rsidR="002E4B3C" w:rsidRPr="0031049E">
        <w:rPr>
          <w:rFonts w:asciiTheme="majorHAnsi" w:hAnsiTheme="majorHAnsi" w:cstheme="majorHAnsi"/>
          <w:color w:val="auto"/>
          <w:szCs w:val="20"/>
        </w:rPr>
        <w:t>undoubtedly introduce elements of confounding. Moreover, the lack of a standardised approach to reporting</w:t>
      </w:r>
      <w:r w:rsidR="004B7135" w:rsidRPr="0031049E">
        <w:rPr>
          <w:rFonts w:asciiTheme="majorHAnsi" w:hAnsiTheme="majorHAnsi" w:cstheme="majorHAnsi"/>
          <w:color w:val="auto"/>
          <w:szCs w:val="20"/>
        </w:rPr>
        <w:t xml:space="preserve"> pharmacokinetic data (for instance, </w:t>
      </w:r>
      <w:r w:rsidR="00D13A79" w:rsidRPr="0031049E">
        <w:rPr>
          <w:rFonts w:asciiTheme="majorHAnsi" w:hAnsiTheme="majorHAnsi" w:cstheme="majorHAnsi"/>
          <w:color w:val="auto"/>
          <w:szCs w:val="20"/>
        </w:rPr>
        <w:t>volume of distribution was unavailable in one study)</w:t>
      </w:r>
      <w:r w:rsidR="00CA016F" w:rsidRPr="0031049E">
        <w:rPr>
          <w:rFonts w:asciiTheme="majorHAnsi" w:hAnsiTheme="majorHAnsi" w:cstheme="majorHAnsi"/>
          <w:color w:val="auto"/>
          <w:szCs w:val="20"/>
        </w:rPr>
        <w:t xml:space="preserve"> and CRRT treatment parameters </w:t>
      </w:r>
      <w:r w:rsidR="003032A8" w:rsidRPr="0031049E">
        <w:rPr>
          <w:rFonts w:asciiTheme="majorHAnsi" w:hAnsiTheme="majorHAnsi" w:cstheme="majorHAnsi"/>
          <w:color w:val="auto"/>
          <w:szCs w:val="20"/>
        </w:rPr>
        <w:t xml:space="preserve">limit </w:t>
      </w:r>
      <w:r w:rsidR="00E37EC2" w:rsidRPr="0031049E">
        <w:rPr>
          <w:rFonts w:asciiTheme="majorHAnsi" w:hAnsiTheme="majorHAnsi" w:cstheme="majorHAnsi"/>
          <w:color w:val="auto"/>
          <w:szCs w:val="20"/>
        </w:rPr>
        <w:t>the ability to analyse amalgamated study data</w:t>
      </w:r>
      <w:r w:rsidR="00FF62C4" w:rsidRPr="0031049E">
        <w:rPr>
          <w:rFonts w:asciiTheme="majorHAnsi" w:hAnsiTheme="majorHAnsi" w:cstheme="majorHAnsi"/>
          <w:color w:val="auto"/>
          <w:szCs w:val="20"/>
        </w:rPr>
        <w:t>.</w:t>
      </w:r>
      <w:r w:rsidR="00674DEF" w:rsidRPr="0031049E">
        <w:rPr>
          <w:rFonts w:asciiTheme="majorHAnsi" w:hAnsiTheme="majorHAnsi" w:cstheme="majorHAnsi"/>
          <w:color w:val="auto"/>
          <w:szCs w:val="20"/>
        </w:rPr>
        <w:t xml:space="preserve"> Our novel approach to </w:t>
      </w:r>
      <w:r w:rsidR="00FC21EA" w:rsidRPr="0031049E">
        <w:rPr>
          <w:rFonts w:asciiTheme="majorHAnsi" w:hAnsiTheme="majorHAnsi" w:cstheme="majorHAnsi"/>
          <w:color w:val="auto"/>
          <w:szCs w:val="20"/>
        </w:rPr>
        <w:t>evaluating the strength of evidence, while based on established methods, remains untested</w:t>
      </w:r>
      <w:r w:rsidR="004D162E" w:rsidRPr="0031049E">
        <w:rPr>
          <w:rFonts w:asciiTheme="majorHAnsi" w:hAnsiTheme="majorHAnsi" w:cstheme="majorHAnsi"/>
          <w:color w:val="auto"/>
          <w:szCs w:val="20"/>
        </w:rPr>
        <w:t xml:space="preserve"> outside of this study. Finally, while several studies have demonstrated that a one compartment model is consistent with in vivo pharmacokinetics of levetiracetam</w:t>
      </w:r>
      <w:r w:rsidR="00E37EC2" w:rsidRPr="0031049E">
        <w:rPr>
          <w:rFonts w:asciiTheme="majorHAnsi" w:hAnsiTheme="majorHAnsi" w:cstheme="majorHAnsi"/>
          <w:color w:val="auto"/>
          <w:szCs w:val="20"/>
        </w:rPr>
        <w:t>,</w:t>
      </w:r>
      <w:r w:rsidR="004D162E" w:rsidRPr="0031049E">
        <w:rPr>
          <w:rFonts w:asciiTheme="majorHAnsi" w:hAnsiTheme="majorHAnsi" w:cstheme="majorHAnsi"/>
          <w:color w:val="auto"/>
          <w:szCs w:val="20"/>
        </w:rPr>
        <w:t xml:space="preserve"> the majority of these have been undertaken in a non-critically ill population. The altered pharmacokinetics of critically ill patients owing to fluid</w:t>
      </w:r>
      <w:r w:rsidR="00F71584" w:rsidRPr="0031049E">
        <w:rPr>
          <w:rFonts w:asciiTheme="majorHAnsi" w:hAnsiTheme="majorHAnsi" w:cstheme="majorHAnsi"/>
          <w:color w:val="auto"/>
          <w:szCs w:val="20"/>
        </w:rPr>
        <w:t xml:space="preserve"> shifts, multi-organ failure and altered protein binding remain unclear and require further study.</w:t>
      </w:r>
    </w:p>
    <w:p w14:paraId="4DD7E12D" w14:textId="77777777" w:rsidR="00EE3EF1" w:rsidRPr="0031049E" w:rsidRDefault="00EE3EF1" w:rsidP="00EE3EF1">
      <w:pPr>
        <w:pStyle w:val="OpiniumNormal"/>
        <w:spacing w:after="0" w:line="360" w:lineRule="auto"/>
        <w:rPr>
          <w:rFonts w:asciiTheme="majorHAnsi" w:hAnsiTheme="majorHAnsi" w:cstheme="majorHAnsi"/>
          <w:color w:val="auto"/>
          <w:szCs w:val="20"/>
        </w:rPr>
      </w:pPr>
    </w:p>
    <w:p w14:paraId="3D4096FC" w14:textId="25A198C2" w:rsidR="00B92C7D" w:rsidRPr="0031049E" w:rsidRDefault="000B52B7" w:rsidP="00B92C7D">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This systematic review demonstrates that there is a</w:t>
      </w:r>
      <w:r w:rsidR="00917D04" w:rsidRPr="0031049E">
        <w:rPr>
          <w:rFonts w:asciiTheme="majorHAnsi" w:hAnsiTheme="majorHAnsi" w:cstheme="majorHAnsi"/>
          <w:color w:val="auto"/>
          <w:szCs w:val="20"/>
        </w:rPr>
        <w:t xml:space="preserve">n urgent need for further study in this population and suggests several areas of interest. </w:t>
      </w:r>
      <w:r w:rsidR="00485AD5" w:rsidRPr="0031049E">
        <w:rPr>
          <w:rFonts w:asciiTheme="majorHAnsi" w:hAnsiTheme="majorHAnsi" w:cstheme="majorHAnsi"/>
          <w:color w:val="auto"/>
          <w:szCs w:val="20"/>
        </w:rPr>
        <w:t xml:space="preserve">The specific extrinsic factors related to CRRT, such as effluent flow rate or </w:t>
      </w:r>
      <w:r w:rsidR="007B224D" w:rsidRPr="0031049E">
        <w:rPr>
          <w:rFonts w:asciiTheme="majorHAnsi" w:hAnsiTheme="majorHAnsi" w:cstheme="majorHAnsi"/>
          <w:color w:val="auto"/>
          <w:szCs w:val="20"/>
        </w:rPr>
        <w:lastRenderedPageBreak/>
        <w:t>dialysate rate</w:t>
      </w:r>
      <w:r w:rsidR="00485AD5" w:rsidRPr="0031049E">
        <w:rPr>
          <w:rFonts w:asciiTheme="majorHAnsi" w:hAnsiTheme="majorHAnsi" w:cstheme="majorHAnsi"/>
          <w:color w:val="auto"/>
          <w:szCs w:val="20"/>
        </w:rPr>
        <w:t xml:space="preserve">, that influence levetiracetam clearance remain unclear. </w:t>
      </w:r>
      <w:r w:rsidR="00B92C7D" w:rsidRPr="0031049E">
        <w:rPr>
          <w:rFonts w:asciiTheme="majorHAnsi" w:hAnsiTheme="majorHAnsi" w:cstheme="majorHAnsi"/>
          <w:color w:val="auto"/>
          <w:szCs w:val="20"/>
        </w:rPr>
        <w:t xml:space="preserve">Few studies investigated </w:t>
      </w:r>
      <w:r w:rsidR="00561747" w:rsidRPr="0031049E">
        <w:rPr>
          <w:rFonts w:asciiTheme="majorHAnsi" w:hAnsiTheme="majorHAnsi" w:cstheme="majorHAnsi"/>
          <w:color w:val="auto"/>
          <w:szCs w:val="20"/>
        </w:rPr>
        <w:t xml:space="preserve">the haemofiltration characteristics that influence </w:t>
      </w:r>
      <w:r w:rsidR="00B92C7D" w:rsidRPr="0031049E">
        <w:rPr>
          <w:rFonts w:asciiTheme="majorHAnsi" w:hAnsiTheme="majorHAnsi" w:cstheme="majorHAnsi"/>
          <w:color w:val="auto"/>
          <w:szCs w:val="20"/>
        </w:rPr>
        <w:t>clearance</w:t>
      </w:r>
      <w:r w:rsidR="00485AD5" w:rsidRPr="0031049E">
        <w:rPr>
          <w:rFonts w:asciiTheme="majorHAnsi" w:hAnsiTheme="majorHAnsi" w:cstheme="majorHAnsi"/>
          <w:color w:val="auto"/>
          <w:szCs w:val="20"/>
        </w:rPr>
        <w:t xml:space="preserve"> </w:t>
      </w:r>
      <w:r w:rsidR="00B92C7D" w:rsidRPr="0031049E">
        <w:rPr>
          <w:rFonts w:asciiTheme="majorHAnsi" w:hAnsiTheme="majorHAnsi" w:cstheme="majorHAnsi"/>
          <w:color w:val="auto"/>
          <w:szCs w:val="20"/>
        </w:rPr>
        <w:t xml:space="preserve">with the exception of Kalaria et al. Their analysis </w:t>
      </w:r>
      <w:r w:rsidR="00472B14" w:rsidRPr="0031049E">
        <w:rPr>
          <w:rFonts w:asciiTheme="majorHAnsi" w:hAnsiTheme="majorHAnsi" w:cstheme="majorHAnsi"/>
          <w:color w:val="auto"/>
          <w:szCs w:val="20"/>
        </w:rPr>
        <w:t>identified</w:t>
      </w:r>
      <w:r w:rsidR="00B92C7D" w:rsidRPr="0031049E">
        <w:rPr>
          <w:rFonts w:asciiTheme="majorHAnsi" w:hAnsiTheme="majorHAnsi" w:cstheme="majorHAnsi"/>
          <w:color w:val="auto"/>
          <w:szCs w:val="20"/>
        </w:rPr>
        <w:t xml:space="preserve"> effluent flow rate and sieving co-efficient </w:t>
      </w:r>
      <w:r w:rsidR="00472B14" w:rsidRPr="0031049E">
        <w:rPr>
          <w:rFonts w:asciiTheme="majorHAnsi" w:hAnsiTheme="majorHAnsi" w:cstheme="majorHAnsi"/>
          <w:color w:val="auto"/>
          <w:szCs w:val="20"/>
        </w:rPr>
        <w:t>as</w:t>
      </w:r>
      <w:r w:rsidR="00B92C7D" w:rsidRPr="0031049E">
        <w:rPr>
          <w:rFonts w:asciiTheme="majorHAnsi" w:hAnsiTheme="majorHAnsi" w:cstheme="majorHAnsi"/>
          <w:color w:val="auto"/>
          <w:szCs w:val="20"/>
        </w:rPr>
        <w:t xml:space="preserve"> the main influences on clearance. Effluent rates in excess of 3.5L/h were</w:t>
      </w:r>
      <w:r w:rsidR="00601E15" w:rsidRPr="0031049E">
        <w:rPr>
          <w:rFonts w:asciiTheme="majorHAnsi" w:hAnsiTheme="majorHAnsi" w:cstheme="majorHAnsi"/>
          <w:color w:val="auto"/>
          <w:szCs w:val="20"/>
        </w:rPr>
        <w:t xml:space="preserve"> also</w:t>
      </w:r>
      <w:r w:rsidR="00B92C7D" w:rsidRPr="0031049E">
        <w:rPr>
          <w:rFonts w:asciiTheme="majorHAnsi" w:hAnsiTheme="majorHAnsi" w:cstheme="majorHAnsi"/>
          <w:color w:val="auto"/>
          <w:szCs w:val="20"/>
        </w:rPr>
        <w:t xml:space="preserve"> associated with increased clearance and so higher doses may be required in these patients</w:t>
      </w:r>
      <w:r w:rsidR="00310D74" w:rsidRPr="0031049E">
        <w:rPr>
          <w:rFonts w:asciiTheme="majorHAnsi" w:hAnsiTheme="majorHAnsi" w:cstheme="majorHAnsi"/>
          <w:color w:val="auto"/>
          <w:szCs w:val="20"/>
        </w:rPr>
        <w:t xml:space="preserve"> but the potential for toxicity with such doses</w:t>
      </w:r>
      <w:r w:rsidR="004733BB" w:rsidRPr="0031049E">
        <w:rPr>
          <w:rFonts w:asciiTheme="majorHAnsi" w:hAnsiTheme="majorHAnsi" w:cstheme="majorHAnsi"/>
          <w:color w:val="auto"/>
          <w:szCs w:val="20"/>
        </w:rPr>
        <w:t xml:space="preserve"> owing to drug accumulation</w:t>
      </w:r>
      <w:r w:rsidR="00310D74" w:rsidRPr="0031049E">
        <w:rPr>
          <w:rFonts w:asciiTheme="majorHAnsi" w:hAnsiTheme="majorHAnsi" w:cstheme="majorHAnsi"/>
          <w:color w:val="auto"/>
          <w:szCs w:val="20"/>
        </w:rPr>
        <w:t xml:space="preserve"> is unclear.</w:t>
      </w:r>
    </w:p>
    <w:p w14:paraId="71ED07FA" w14:textId="77777777" w:rsidR="00B92C7D" w:rsidRPr="0031049E" w:rsidRDefault="00B92C7D" w:rsidP="00B92C7D">
      <w:pPr>
        <w:pStyle w:val="OpiniumNormal"/>
        <w:spacing w:after="0" w:line="360" w:lineRule="auto"/>
        <w:rPr>
          <w:rFonts w:asciiTheme="majorHAnsi" w:hAnsiTheme="majorHAnsi" w:cstheme="majorHAnsi"/>
          <w:color w:val="auto"/>
          <w:szCs w:val="20"/>
        </w:rPr>
      </w:pPr>
    </w:p>
    <w:p w14:paraId="73588D47" w14:textId="77C4F160" w:rsidR="00B92C7D" w:rsidRPr="0031049E" w:rsidRDefault="00BC559F" w:rsidP="00B92C7D">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Similarly, further investigation into the intrinsic patient-specific factors that affect clearance is also required. </w:t>
      </w:r>
      <w:r w:rsidR="00802355" w:rsidRPr="0031049E">
        <w:rPr>
          <w:rFonts w:asciiTheme="majorHAnsi" w:hAnsiTheme="majorHAnsi" w:cstheme="majorHAnsi"/>
          <w:color w:val="auto"/>
          <w:szCs w:val="20"/>
        </w:rPr>
        <w:t>While mean clearance was consistent between studies, there w</w:t>
      </w:r>
      <w:r w:rsidR="007A7D2A" w:rsidRPr="0031049E">
        <w:rPr>
          <w:rFonts w:asciiTheme="majorHAnsi" w:hAnsiTheme="majorHAnsi" w:cstheme="majorHAnsi"/>
          <w:color w:val="auto"/>
          <w:szCs w:val="20"/>
        </w:rPr>
        <w:t>as a wide variation in individual patient clearance and plasma concentrations which are not easily explained by effluent rate and sieving co-efficient alone.</w:t>
      </w:r>
      <w:r w:rsidR="00300A7F" w:rsidRPr="0031049E">
        <w:rPr>
          <w:rFonts w:asciiTheme="majorHAnsi" w:hAnsiTheme="majorHAnsi" w:cstheme="majorHAnsi"/>
          <w:color w:val="auto"/>
          <w:szCs w:val="20"/>
        </w:rPr>
        <w:t xml:space="preserve"> Six patients demonstrated trough drug concentrations below the therapeutic target level</w:t>
      </w:r>
      <w:r w:rsidR="009E0642" w:rsidRPr="0031049E">
        <w:rPr>
          <w:rFonts w:asciiTheme="majorHAnsi" w:hAnsiTheme="majorHAnsi" w:cstheme="majorHAnsi"/>
          <w:color w:val="auto"/>
          <w:szCs w:val="20"/>
        </w:rPr>
        <w:t xml:space="preserve"> but a post</w:t>
      </w:r>
      <w:r w:rsidR="00802355" w:rsidRPr="0031049E">
        <w:rPr>
          <w:rFonts w:asciiTheme="majorHAnsi" w:hAnsiTheme="majorHAnsi" w:cstheme="majorHAnsi"/>
          <w:color w:val="auto"/>
          <w:szCs w:val="20"/>
        </w:rPr>
        <w:t>-hoc descriptive analysis (</w:t>
      </w:r>
      <w:r w:rsidR="00802355" w:rsidRPr="0031049E">
        <w:rPr>
          <w:rFonts w:asciiTheme="majorHAnsi" w:hAnsiTheme="majorHAnsi" w:cstheme="majorHAnsi"/>
          <w:b/>
          <w:bCs/>
          <w:color w:val="00B0F0" w:themeColor="accent1"/>
          <w:szCs w:val="20"/>
        </w:rPr>
        <w:t>Appendix 3</w:t>
      </w:r>
      <w:r w:rsidR="00802355" w:rsidRPr="0031049E">
        <w:rPr>
          <w:rFonts w:asciiTheme="majorHAnsi" w:hAnsiTheme="majorHAnsi" w:cstheme="majorHAnsi"/>
          <w:color w:val="auto"/>
          <w:szCs w:val="20"/>
        </w:rPr>
        <w:t xml:space="preserve">) </w:t>
      </w:r>
      <w:r w:rsidR="009E0642" w:rsidRPr="0031049E">
        <w:rPr>
          <w:rFonts w:asciiTheme="majorHAnsi" w:hAnsiTheme="majorHAnsi" w:cstheme="majorHAnsi"/>
          <w:color w:val="auto"/>
          <w:szCs w:val="20"/>
        </w:rPr>
        <w:t>found</w:t>
      </w:r>
      <w:r w:rsidR="00802355" w:rsidRPr="0031049E">
        <w:rPr>
          <w:rFonts w:asciiTheme="majorHAnsi" w:hAnsiTheme="majorHAnsi" w:cstheme="majorHAnsi"/>
          <w:color w:val="auto"/>
          <w:szCs w:val="20"/>
        </w:rPr>
        <w:t xml:space="preserve"> no obvious </w:t>
      </w:r>
      <w:r w:rsidR="009F6159" w:rsidRPr="0031049E">
        <w:rPr>
          <w:rFonts w:asciiTheme="majorHAnsi" w:hAnsiTheme="majorHAnsi" w:cstheme="majorHAnsi"/>
          <w:color w:val="auto"/>
          <w:szCs w:val="20"/>
        </w:rPr>
        <w:t>explanation</w:t>
      </w:r>
      <w:r w:rsidR="00802355" w:rsidRPr="0031049E">
        <w:rPr>
          <w:rFonts w:asciiTheme="majorHAnsi" w:hAnsiTheme="majorHAnsi" w:cstheme="majorHAnsi"/>
          <w:color w:val="auto"/>
          <w:szCs w:val="20"/>
        </w:rPr>
        <w:t>.</w:t>
      </w:r>
      <w:r w:rsidR="00DA1819" w:rsidRPr="0031049E">
        <w:rPr>
          <w:rFonts w:asciiTheme="majorHAnsi" w:hAnsiTheme="majorHAnsi" w:cstheme="majorHAnsi"/>
          <w:color w:val="auto"/>
          <w:szCs w:val="20"/>
        </w:rPr>
        <w:t xml:space="preserve"> </w:t>
      </w:r>
      <w:r w:rsidR="00802355" w:rsidRPr="0031049E">
        <w:rPr>
          <w:rFonts w:asciiTheme="majorHAnsi" w:hAnsiTheme="majorHAnsi" w:cstheme="majorHAnsi"/>
          <w:color w:val="auto"/>
          <w:szCs w:val="20"/>
        </w:rPr>
        <w:t>Three of these patients had significant residual urine output (&gt;300</w:t>
      </w:r>
      <w:r w:rsidR="00DC2FB1" w:rsidRPr="0031049E">
        <w:rPr>
          <w:rFonts w:asciiTheme="majorHAnsi" w:hAnsiTheme="majorHAnsi" w:cstheme="majorHAnsi"/>
          <w:color w:val="auto"/>
          <w:szCs w:val="20"/>
        </w:rPr>
        <w:t xml:space="preserve"> mL </w:t>
      </w:r>
      <w:r w:rsidR="00802355" w:rsidRPr="0031049E">
        <w:rPr>
          <w:rFonts w:asciiTheme="majorHAnsi" w:hAnsiTheme="majorHAnsi" w:cstheme="majorHAnsi"/>
          <w:color w:val="auto"/>
          <w:szCs w:val="20"/>
        </w:rPr>
        <w:t>per day)</w:t>
      </w:r>
      <w:r w:rsidR="005D39D7" w:rsidRPr="0031049E">
        <w:rPr>
          <w:rFonts w:asciiTheme="majorHAnsi" w:hAnsiTheme="majorHAnsi" w:cstheme="majorHAnsi"/>
          <w:color w:val="auto"/>
          <w:szCs w:val="20"/>
        </w:rPr>
        <w:t xml:space="preserve">, while </w:t>
      </w:r>
      <w:r w:rsidR="00802355" w:rsidRPr="0031049E">
        <w:rPr>
          <w:rFonts w:asciiTheme="majorHAnsi" w:hAnsiTheme="majorHAnsi" w:cstheme="majorHAnsi"/>
          <w:color w:val="auto"/>
          <w:szCs w:val="20"/>
        </w:rPr>
        <w:t xml:space="preserve">three others had high effluent rates. However, other patients received similar doses at higher effluent rates or indeed had higher urine outputs without their plasma concentrations falling outside of target levels. </w:t>
      </w:r>
      <w:r w:rsidR="00045ABB" w:rsidRPr="0031049E">
        <w:rPr>
          <w:rFonts w:asciiTheme="majorHAnsi" w:hAnsiTheme="majorHAnsi" w:cstheme="majorHAnsi"/>
          <w:color w:val="auto"/>
          <w:szCs w:val="20"/>
        </w:rPr>
        <w:t xml:space="preserve">These data suggest that there is a high inter-person variability of drug pharmacokinetics and </w:t>
      </w:r>
      <w:r w:rsidR="00B92C7D" w:rsidRPr="0031049E">
        <w:rPr>
          <w:rFonts w:asciiTheme="majorHAnsi" w:hAnsiTheme="majorHAnsi" w:cstheme="majorHAnsi"/>
          <w:color w:val="auto"/>
          <w:szCs w:val="20"/>
        </w:rPr>
        <w:t xml:space="preserve">determining optimum dosing strategies for </w:t>
      </w:r>
      <w:r w:rsidR="005E56E4" w:rsidRPr="0031049E">
        <w:rPr>
          <w:rFonts w:asciiTheme="majorHAnsi" w:hAnsiTheme="majorHAnsi" w:cstheme="majorHAnsi"/>
          <w:color w:val="auto"/>
          <w:szCs w:val="20"/>
        </w:rPr>
        <w:t>individuals</w:t>
      </w:r>
      <w:r w:rsidR="00B92C7D" w:rsidRPr="0031049E">
        <w:rPr>
          <w:rFonts w:asciiTheme="majorHAnsi" w:hAnsiTheme="majorHAnsi" w:cstheme="majorHAnsi"/>
          <w:color w:val="auto"/>
          <w:szCs w:val="20"/>
        </w:rPr>
        <w:t xml:space="preserve"> </w:t>
      </w:r>
      <w:r w:rsidR="00045ABB" w:rsidRPr="0031049E">
        <w:rPr>
          <w:rFonts w:asciiTheme="majorHAnsi" w:hAnsiTheme="majorHAnsi" w:cstheme="majorHAnsi"/>
          <w:color w:val="auto"/>
          <w:szCs w:val="20"/>
        </w:rPr>
        <w:t>may</w:t>
      </w:r>
      <w:r w:rsidR="00B92C7D" w:rsidRPr="0031049E">
        <w:rPr>
          <w:rFonts w:asciiTheme="majorHAnsi" w:hAnsiTheme="majorHAnsi" w:cstheme="majorHAnsi"/>
          <w:color w:val="auto"/>
          <w:szCs w:val="20"/>
        </w:rPr>
        <w:t xml:space="preserve"> </w:t>
      </w:r>
      <w:r w:rsidR="005E56E4" w:rsidRPr="0031049E">
        <w:rPr>
          <w:rFonts w:asciiTheme="majorHAnsi" w:hAnsiTheme="majorHAnsi" w:cstheme="majorHAnsi"/>
          <w:color w:val="auto"/>
          <w:szCs w:val="20"/>
        </w:rPr>
        <w:t xml:space="preserve">require </w:t>
      </w:r>
      <w:r w:rsidR="00B92C7D" w:rsidRPr="0031049E">
        <w:rPr>
          <w:rFonts w:asciiTheme="majorHAnsi" w:hAnsiTheme="majorHAnsi" w:cstheme="majorHAnsi"/>
          <w:color w:val="auto"/>
          <w:szCs w:val="20"/>
        </w:rPr>
        <w:t>therapeutic drug monitoring.</w:t>
      </w:r>
    </w:p>
    <w:p w14:paraId="3031DB4C" w14:textId="77777777" w:rsidR="00045ABB" w:rsidRPr="0031049E" w:rsidRDefault="00045ABB" w:rsidP="00B92C7D">
      <w:pPr>
        <w:pStyle w:val="OpiniumNormal"/>
        <w:spacing w:after="0" w:line="360" w:lineRule="auto"/>
        <w:rPr>
          <w:rFonts w:asciiTheme="majorHAnsi" w:hAnsiTheme="majorHAnsi" w:cstheme="majorHAnsi"/>
          <w:color w:val="auto"/>
          <w:szCs w:val="20"/>
        </w:rPr>
      </w:pPr>
    </w:p>
    <w:p w14:paraId="1D6C9DAE" w14:textId="596CD4CD" w:rsidR="00934067" w:rsidRPr="0031049E" w:rsidRDefault="00895E0C" w:rsidP="00045ABB">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Finally, </w:t>
      </w:r>
      <w:r w:rsidR="00EC6C56" w:rsidRPr="0031049E">
        <w:rPr>
          <w:rFonts w:asciiTheme="majorHAnsi" w:hAnsiTheme="majorHAnsi" w:cstheme="majorHAnsi"/>
          <w:color w:val="auto"/>
          <w:szCs w:val="20"/>
        </w:rPr>
        <w:t xml:space="preserve">the </w:t>
      </w:r>
      <w:r w:rsidR="009E2313" w:rsidRPr="0031049E">
        <w:rPr>
          <w:rFonts w:asciiTheme="majorHAnsi" w:hAnsiTheme="majorHAnsi" w:cstheme="majorHAnsi"/>
          <w:color w:val="auto"/>
          <w:szCs w:val="20"/>
        </w:rPr>
        <w:t>lack of a standardised and consistent approach to pharmacokinetic studies in this population limits the quality of evidence on which to base recommendations</w:t>
      </w:r>
      <w:r w:rsidR="009F77BE" w:rsidRPr="0031049E">
        <w:rPr>
          <w:rFonts w:asciiTheme="majorHAnsi" w:hAnsiTheme="majorHAnsi" w:cstheme="majorHAnsi"/>
          <w:color w:val="auto"/>
          <w:szCs w:val="20"/>
        </w:rPr>
        <w:t>.</w:t>
      </w:r>
      <w:r w:rsidR="006F6D44" w:rsidRPr="0031049E">
        <w:rPr>
          <w:rFonts w:asciiTheme="majorHAnsi" w:hAnsiTheme="majorHAnsi" w:cstheme="majorHAnsi"/>
          <w:color w:val="auto"/>
          <w:szCs w:val="20"/>
        </w:rPr>
        <w:t xml:space="preserve"> </w:t>
      </w:r>
      <w:r w:rsidR="008611AD" w:rsidRPr="0031049E">
        <w:rPr>
          <w:rFonts w:asciiTheme="majorHAnsi" w:hAnsiTheme="majorHAnsi" w:cstheme="majorHAnsi"/>
          <w:color w:val="auto"/>
          <w:szCs w:val="20"/>
        </w:rPr>
        <w:t xml:space="preserve">Data </w:t>
      </w:r>
      <w:r w:rsidR="00E335CD" w:rsidRPr="0031049E">
        <w:rPr>
          <w:rFonts w:asciiTheme="majorHAnsi" w:hAnsiTheme="majorHAnsi" w:cstheme="majorHAnsi"/>
          <w:color w:val="auto"/>
          <w:szCs w:val="20"/>
        </w:rPr>
        <w:t>are</w:t>
      </w:r>
      <w:r w:rsidR="008611AD" w:rsidRPr="0031049E">
        <w:rPr>
          <w:rFonts w:asciiTheme="majorHAnsi" w:hAnsiTheme="majorHAnsi" w:cstheme="majorHAnsi"/>
          <w:color w:val="auto"/>
          <w:szCs w:val="20"/>
        </w:rPr>
        <w:t xml:space="preserve"> limited to a small number of case reports and two </w:t>
      </w:r>
      <w:r w:rsidR="003F3456" w:rsidRPr="0031049E">
        <w:rPr>
          <w:rFonts w:asciiTheme="majorHAnsi" w:hAnsiTheme="majorHAnsi" w:cstheme="majorHAnsi"/>
          <w:color w:val="auto"/>
          <w:szCs w:val="20"/>
        </w:rPr>
        <w:t>small prospective studies</w:t>
      </w:r>
      <w:r w:rsidR="0066089F" w:rsidRPr="0031049E">
        <w:rPr>
          <w:rFonts w:asciiTheme="majorHAnsi" w:hAnsiTheme="majorHAnsi" w:cstheme="majorHAnsi"/>
          <w:color w:val="auto"/>
          <w:szCs w:val="20"/>
        </w:rPr>
        <w:t xml:space="preserve"> with</w:t>
      </w:r>
      <w:r w:rsidR="00344187" w:rsidRPr="0031049E">
        <w:rPr>
          <w:rFonts w:asciiTheme="majorHAnsi" w:hAnsiTheme="majorHAnsi" w:cstheme="majorHAnsi"/>
          <w:color w:val="auto"/>
          <w:szCs w:val="20"/>
        </w:rPr>
        <w:t xml:space="preserve"> a</w:t>
      </w:r>
      <w:r w:rsidR="009255D5" w:rsidRPr="0031049E">
        <w:rPr>
          <w:rFonts w:asciiTheme="majorHAnsi" w:hAnsiTheme="majorHAnsi" w:cstheme="majorHAnsi"/>
          <w:color w:val="auto"/>
          <w:szCs w:val="20"/>
        </w:rPr>
        <w:t xml:space="preserve"> lack of consistency between studies, both in terms of methodology and data reporting, </w:t>
      </w:r>
      <w:r w:rsidR="00AD4464" w:rsidRPr="0031049E">
        <w:rPr>
          <w:rFonts w:asciiTheme="majorHAnsi" w:hAnsiTheme="majorHAnsi" w:cstheme="majorHAnsi"/>
          <w:color w:val="auto"/>
          <w:szCs w:val="20"/>
        </w:rPr>
        <w:t>that limits the</w:t>
      </w:r>
      <w:r w:rsidR="009F77BE" w:rsidRPr="0031049E">
        <w:rPr>
          <w:rFonts w:asciiTheme="majorHAnsi" w:hAnsiTheme="majorHAnsi" w:cstheme="majorHAnsi"/>
          <w:color w:val="auto"/>
          <w:szCs w:val="20"/>
        </w:rPr>
        <w:t xml:space="preserve"> extent to which modelling can be performed </w:t>
      </w:r>
      <w:r w:rsidR="0066089F" w:rsidRPr="0031049E">
        <w:rPr>
          <w:rFonts w:asciiTheme="majorHAnsi" w:hAnsiTheme="majorHAnsi" w:cstheme="majorHAnsi"/>
          <w:color w:val="auto"/>
          <w:szCs w:val="20"/>
        </w:rPr>
        <w:t>on larger data sets.</w:t>
      </w:r>
      <w:r w:rsidR="00B62844" w:rsidRPr="0031049E">
        <w:rPr>
          <w:rFonts w:asciiTheme="majorHAnsi" w:hAnsiTheme="majorHAnsi" w:cstheme="majorHAnsi"/>
          <w:color w:val="auto"/>
          <w:szCs w:val="20"/>
        </w:rPr>
        <w:t xml:space="preserve"> </w:t>
      </w:r>
      <w:r w:rsidR="00AF2388" w:rsidRPr="0031049E">
        <w:rPr>
          <w:rFonts w:asciiTheme="majorHAnsi" w:hAnsiTheme="majorHAnsi" w:cstheme="majorHAnsi"/>
          <w:color w:val="auto"/>
          <w:szCs w:val="20"/>
        </w:rPr>
        <w:t>In this paper, we have introduced a novel quality assessment method that utilises a combination of the QoE framework, which assesses the strength of pharmacokinetic studies based on the quality of data and pharmacokinetic modelling provided, and the ADQI minimum reporting criteria, which was developed to standardise comparisons between studies that reported on CRRT techniques.</w:t>
      </w:r>
      <w:r w:rsidR="0047026E" w:rsidRPr="0031049E">
        <w:rPr>
          <w:rFonts w:asciiTheme="majorHAnsi" w:hAnsiTheme="majorHAnsi" w:cstheme="majorHAnsi"/>
          <w:color w:val="auto"/>
          <w:szCs w:val="20"/>
        </w:rPr>
        <w:t xml:space="preserve"> Both methods have been used in similar systematic reviews in this way </w:t>
      </w:r>
      <w:r w:rsidR="0047026E" w:rsidRPr="0031049E">
        <w:rPr>
          <w:rFonts w:asciiTheme="majorHAnsi" w:hAnsiTheme="majorHAnsi" w:cstheme="majorHAnsi"/>
          <w:b/>
          <w:bCs/>
          <w:color w:val="00B0F0" w:themeColor="accent1"/>
          <w:szCs w:val="20"/>
          <w:vertAlign w:val="superscript"/>
        </w:rPr>
        <w:t>[</w:t>
      </w:r>
      <w:r w:rsidR="00201EC9" w:rsidRPr="0031049E">
        <w:rPr>
          <w:rFonts w:asciiTheme="majorHAnsi" w:hAnsiTheme="majorHAnsi" w:cstheme="majorHAnsi"/>
          <w:b/>
          <w:bCs/>
          <w:color w:val="00B0F0" w:themeColor="accent1"/>
          <w:szCs w:val="20"/>
          <w:vertAlign w:val="superscript"/>
        </w:rPr>
        <w:t>48-49</w:t>
      </w:r>
      <w:r w:rsidR="0047026E" w:rsidRPr="0031049E">
        <w:rPr>
          <w:rFonts w:asciiTheme="majorHAnsi" w:hAnsiTheme="majorHAnsi" w:cstheme="majorHAnsi"/>
          <w:b/>
          <w:bCs/>
          <w:color w:val="00B0F0" w:themeColor="accent1"/>
          <w:szCs w:val="20"/>
          <w:vertAlign w:val="superscript"/>
        </w:rPr>
        <w:t>]</w:t>
      </w:r>
      <w:r w:rsidR="008C4CD4" w:rsidRPr="0031049E">
        <w:rPr>
          <w:rFonts w:asciiTheme="majorHAnsi" w:hAnsiTheme="majorHAnsi" w:cstheme="majorHAnsi"/>
          <w:color w:val="auto"/>
          <w:szCs w:val="20"/>
        </w:rPr>
        <w:t xml:space="preserve"> but n</w:t>
      </w:r>
      <w:r w:rsidR="008954A0" w:rsidRPr="0031049E">
        <w:rPr>
          <w:rFonts w:asciiTheme="majorHAnsi" w:hAnsiTheme="majorHAnsi" w:cstheme="majorHAnsi"/>
          <w:color w:val="auto"/>
          <w:szCs w:val="20"/>
        </w:rPr>
        <w:t>ever</w:t>
      </w:r>
      <w:r w:rsidR="00FE7BB8" w:rsidRPr="0031049E">
        <w:rPr>
          <w:rFonts w:asciiTheme="majorHAnsi" w:hAnsiTheme="majorHAnsi" w:cstheme="majorHAnsi"/>
          <w:color w:val="auto"/>
          <w:szCs w:val="20"/>
        </w:rPr>
        <w:t xml:space="preserve"> before</w:t>
      </w:r>
      <w:r w:rsidR="008954A0" w:rsidRPr="0031049E">
        <w:rPr>
          <w:rFonts w:asciiTheme="majorHAnsi" w:hAnsiTheme="majorHAnsi" w:cstheme="majorHAnsi"/>
          <w:color w:val="auto"/>
          <w:szCs w:val="20"/>
        </w:rPr>
        <w:t xml:space="preserve"> in combination. </w:t>
      </w:r>
      <w:r w:rsidR="007B7C82" w:rsidRPr="0031049E">
        <w:rPr>
          <w:rFonts w:asciiTheme="majorHAnsi" w:hAnsiTheme="majorHAnsi" w:cstheme="majorHAnsi"/>
          <w:color w:val="auto"/>
          <w:szCs w:val="20"/>
        </w:rPr>
        <w:t xml:space="preserve">By combining these assessment methods, our quality assessment method </w:t>
      </w:r>
      <w:r w:rsidR="00C27535" w:rsidRPr="0031049E">
        <w:rPr>
          <w:rFonts w:asciiTheme="majorHAnsi" w:hAnsiTheme="majorHAnsi" w:cstheme="majorHAnsi"/>
          <w:color w:val="auto"/>
          <w:szCs w:val="20"/>
        </w:rPr>
        <w:t>allows for equal consideration of both the pharmacokinetic and haemofiltration data. This enables an assessment of both the quality of the data</w:t>
      </w:r>
      <w:r w:rsidR="00114C92" w:rsidRPr="0031049E">
        <w:rPr>
          <w:rFonts w:asciiTheme="majorHAnsi" w:hAnsiTheme="majorHAnsi" w:cstheme="majorHAnsi"/>
          <w:color w:val="auto"/>
          <w:szCs w:val="20"/>
        </w:rPr>
        <w:t xml:space="preserve"> itself</w:t>
      </w:r>
      <w:r w:rsidR="00C27535" w:rsidRPr="0031049E">
        <w:rPr>
          <w:rFonts w:asciiTheme="majorHAnsi" w:hAnsiTheme="majorHAnsi" w:cstheme="majorHAnsi"/>
          <w:color w:val="auto"/>
          <w:szCs w:val="20"/>
        </w:rPr>
        <w:t xml:space="preserve"> and </w:t>
      </w:r>
      <w:r w:rsidR="002F089E" w:rsidRPr="0031049E">
        <w:rPr>
          <w:rFonts w:asciiTheme="majorHAnsi" w:hAnsiTheme="majorHAnsi" w:cstheme="majorHAnsi"/>
          <w:color w:val="auto"/>
          <w:szCs w:val="20"/>
        </w:rPr>
        <w:t xml:space="preserve">the ability to perform </w:t>
      </w:r>
      <w:r w:rsidR="008424C6" w:rsidRPr="0031049E">
        <w:rPr>
          <w:rFonts w:asciiTheme="majorHAnsi" w:hAnsiTheme="majorHAnsi" w:cstheme="majorHAnsi"/>
          <w:color w:val="auto"/>
          <w:szCs w:val="20"/>
        </w:rPr>
        <w:t xml:space="preserve">statistical </w:t>
      </w:r>
      <w:r w:rsidR="002F089E" w:rsidRPr="0031049E">
        <w:rPr>
          <w:rFonts w:asciiTheme="majorHAnsi" w:hAnsiTheme="majorHAnsi" w:cstheme="majorHAnsi"/>
          <w:color w:val="auto"/>
          <w:szCs w:val="20"/>
        </w:rPr>
        <w:t>analysis.</w:t>
      </w:r>
      <w:r w:rsidR="00750FA6" w:rsidRPr="0031049E">
        <w:rPr>
          <w:rFonts w:asciiTheme="majorHAnsi" w:hAnsiTheme="majorHAnsi" w:cstheme="majorHAnsi"/>
          <w:color w:val="auto"/>
          <w:szCs w:val="20"/>
        </w:rPr>
        <w:t xml:space="preserve"> It also provides a framework for protocol development so that future studies present data in a coherent and standardised way.</w:t>
      </w:r>
    </w:p>
    <w:p w14:paraId="1A914BFF" w14:textId="77777777" w:rsidR="00934067" w:rsidRPr="0031049E" w:rsidRDefault="00934067" w:rsidP="00045ABB">
      <w:pPr>
        <w:pStyle w:val="OpiniumNormal"/>
        <w:spacing w:after="0" w:line="360" w:lineRule="auto"/>
        <w:rPr>
          <w:rFonts w:asciiTheme="majorHAnsi" w:hAnsiTheme="majorHAnsi" w:cstheme="majorHAnsi"/>
          <w:color w:val="auto"/>
          <w:szCs w:val="20"/>
        </w:rPr>
      </w:pPr>
    </w:p>
    <w:p w14:paraId="7DEF79D8" w14:textId="6BF21E9F" w:rsidR="00045ABB" w:rsidRPr="0031049E" w:rsidRDefault="00D72CEE" w:rsidP="00045ABB">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Future studies </w:t>
      </w:r>
      <w:r w:rsidR="008D123E" w:rsidRPr="0031049E">
        <w:rPr>
          <w:rFonts w:asciiTheme="majorHAnsi" w:hAnsiTheme="majorHAnsi" w:cstheme="majorHAnsi"/>
          <w:color w:val="auto"/>
          <w:szCs w:val="20"/>
        </w:rPr>
        <w:t xml:space="preserve">should seek to </w:t>
      </w:r>
      <w:r w:rsidR="00F40CED" w:rsidRPr="0031049E">
        <w:rPr>
          <w:rFonts w:asciiTheme="majorHAnsi" w:hAnsiTheme="majorHAnsi" w:cstheme="majorHAnsi"/>
          <w:color w:val="auto"/>
          <w:szCs w:val="20"/>
        </w:rPr>
        <w:t xml:space="preserve">understand the high inter-person variability in levetiracetam clearance and </w:t>
      </w:r>
      <w:r w:rsidR="00E614DA" w:rsidRPr="0031049E">
        <w:rPr>
          <w:rFonts w:asciiTheme="majorHAnsi" w:hAnsiTheme="majorHAnsi" w:cstheme="majorHAnsi"/>
          <w:color w:val="auto"/>
          <w:szCs w:val="20"/>
        </w:rPr>
        <w:t xml:space="preserve">the </w:t>
      </w:r>
      <w:r w:rsidR="00E614DA" w:rsidRPr="0031049E">
        <w:rPr>
          <w:rFonts w:asciiTheme="majorHAnsi" w:hAnsiTheme="majorHAnsi" w:cstheme="majorHAnsi"/>
          <w:i/>
          <w:iCs/>
          <w:color w:val="auto"/>
          <w:szCs w:val="20"/>
        </w:rPr>
        <w:t>in vivo</w:t>
      </w:r>
      <w:r w:rsidR="00E614DA" w:rsidRPr="0031049E">
        <w:rPr>
          <w:rFonts w:asciiTheme="majorHAnsi" w:hAnsiTheme="majorHAnsi" w:cstheme="majorHAnsi"/>
          <w:color w:val="auto"/>
          <w:szCs w:val="20"/>
        </w:rPr>
        <w:t xml:space="preserve"> effects of different dosing strategies. </w:t>
      </w:r>
      <w:r w:rsidR="008D123E" w:rsidRPr="0031049E">
        <w:rPr>
          <w:rFonts w:asciiTheme="majorHAnsi" w:hAnsiTheme="majorHAnsi" w:cstheme="majorHAnsi"/>
          <w:color w:val="auto"/>
          <w:szCs w:val="20"/>
        </w:rPr>
        <w:t xml:space="preserve">The goal of such studies should be to inform </w:t>
      </w:r>
      <w:r w:rsidR="00E614DA" w:rsidRPr="0031049E">
        <w:rPr>
          <w:rFonts w:asciiTheme="majorHAnsi" w:hAnsiTheme="majorHAnsi" w:cstheme="majorHAnsi"/>
          <w:color w:val="auto"/>
          <w:szCs w:val="20"/>
        </w:rPr>
        <w:t>pharmacokinetic models that will enable clinicians to determine patient-specific dosing strategies.</w:t>
      </w:r>
      <w:r w:rsidR="00371E33" w:rsidRPr="0031049E">
        <w:rPr>
          <w:rFonts w:asciiTheme="majorHAnsi" w:hAnsiTheme="majorHAnsi" w:cstheme="majorHAnsi"/>
          <w:color w:val="auto"/>
          <w:szCs w:val="20"/>
        </w:rPr>
        <w:t xml:space="preserve"> </w:t>
      </w:r>
      <w:r w:rsidR="00B85FC6" w:rsidRPr="0031049E">
        <w:rPr>
          <w:rFonts w:asciiTheme="majorHAnsi" w:hAnsiTheme="majorHAnsi" w:cstheme="majorHAnsi"/>
          <w:color w:val="auto"/>
          <w:szCs w:val="20"/>
        </w:rPr>
        <w:t>T</w:t>
      </w:r>
      <w:r w:rsidR="00045ABB" w:rsidRPr="0031049E">
        <w:rPr>
          <w:rFonts w:asciiTheme="majorHAnsi" w:hAnsiTheme="majorHAnsi" w:cstheme="majorHAnsi"/>
          <w:color w:val="auto"/>
          <w:szCs w:val="20"/>
        </w:rPr>
        <w:t xml:space="preserve">he collection of standardised data </w:t>
      </w:r>
      <w:r w:rsidR="00B85FC6" w:rsidRPr="0031049E">
        <w:rPr>
          <w:rFonts w:asciiTheme="majorHAnsi" w:hAnsiTheme="majorHAnsi" w:cstheme="majorHAnsi"/>
          <w:color w:val="auto"/>
          <w:szCs w:val="20"/>
        </w:rPr>
        <w:t>can</w:t>
      </w:r>
      <w:r w:rsidR="00045ABB" w:rsidRPr="0031049E">
        <w:rPr>
          <w:rFonts w:asciiTheme="majorHAnsi" w:hAnsiTheme="majorHAnsi" w:cstheme="majorHAnsi"/>
          <w:color w:val="auto"/>
          <w:szCs w:val="20"/>
        </w:rPr>
        <w:t xml:space="preserve"> facilitate meta-analysis and modelling</w:t>
      </w:r>
      <w:r w:rsidR="00B85FC6" w:rsidRPr="0031049E">
        <w:rPr>
          <w:rFonts w:asciiTheme="majorHAnsi" w:hAnsiTheme="majorHAnsi" w:cstheme="majorHAnsi"/>
          <w:color w:val="auto"/>
          <w:szCs w:val="20"/>
        </w:rPr>
        <w:t xml:space="preserve"> and o</w:t>
      </w:r>
      <w:r w:rsidR="00045ABB" w:rsidRPr="0031049E">
        <w:rPr>
          <w:rFonts w:asciiTheme="majorHAnsi" w:hAnsiTheme="majorHAnsi" w:cstheme="majorHAnsi"/>
          <w:color w:val="auto"/>
          <w:szCs w:val="20"/>
        </w:rPr>
        <w:t>ur recommendation is that this should include the ADQI minimum reporting criteria alongside the following: (1) IBW; (2) urine output; (3) baseline bloods (albumin, creatinine, haematocrit, liver function); (4) dosing strategy; (5) a sampling strategy that at a minimum includes pre-filter, post-filter and effluent levels; (6) information on whether seizures were controlled or uncontrolled.</w:t>
      </w:r>
    </w:p>
    <w:p w14:paraId="1A144A39" w14:textId="77777777" w:rsidR="00CD14C6" w:rsidRPr="0031049E" w:rsidRDefault="00CD14C6" w:rsidP="00045ABB">
      <w:pPr>
        <w:pStyle w:val="OpiniumNormal"/>
        <w:spacing w:after="0" w:line="360" w:lineRule="auto"/>
        <w:rPr>
          <w:rFonts w:asciiTheme="majorHAnsi" w:hAnsiTheme="majorHAnsi" w:cstheme="majorHAnsi"/>
          <w:color w:val="auto"/>
          <w:szCs w:val="20"/>
        </w:rPr>
      </w:pPr>
    </w:p>
    <w:p w14:paraId="14951EBB" w14:textId="4F95D9DD" w:rsidR="00B64923" w:rsidRPr="0031049E" w:rsidRDefault="00045ABB" w:rsidP="00934067">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lastRenderedPageBreak/>
        <w:t xml:space="preserve">In addition to </w:t>
      </w:r>
      <w:r w:rsidRPr="0031049E">
        <w:rPr>
          <w:rFonts w:asciiTheme="majorHAnsi" w:hAnsiTheme="majorHAnsi" w:cstheme="majorHAnsi"/>
          <w:i/>
          <w:iCs/>
          <w:color w:val="auto"/>
          <w:szCs w:val="20"/>
        </w:rPr>
        <w:t xml:space="preserve">in vivo </w:t>
      </w:r>
      <w:r w:rsidRPr="0031049E">
        <w:rPr>
          <w:rFonts w:asciiTheme="majorHAnsi" w:hAnsiTheme="majorHAnsi" w:cstheme="majorHAnsi"/>
          <w:color w:val="auto"/>
          <w:szCs w:val="20"/>
        </w:rPr>
        <w:t xml:space="preserve">studies, experimental study using lab-based models that </w:t>
      </w:r>
      <w:r w:rsidR="00EF787B" w:rsidRPr="0031049E">
        <w:rPr>
          <w:rFonts w:asciiTheme="majorHAnsi" w:hAnsiTheme="majorHAnsi" w:cstheme="majorHAnsi"/>
          <w:color w:val="auto"/>
          <w:szCs w:val="20"/>
        </w:rPr>
        <w:t>simulate</w:t>
      </w:r>
      <w:r w:rsidRPr="0031049E">
        <w:rPr>
          <w:rFonts w:asciiTheme="majorHAnsi" w:hAnsiTheme="majorHAnsi" w:cstheme="majorHAnsi"/>
          <w:color w:val="auto"/>
          <w:szCs w:val="20"/>
        </w:rPr>
        <w:t xml:space="preserve"> critically ill patients undergoing CRRT may be valuable. </w:t>
      </w:r>
      <w:r w:rsidR="00331F77" w:rsidRPr="0031049E">
        <w:rPr>
          <w:rFonts w:asciiTheme="majorHAnsi" w:hAnsiTheme="majorHAnsi" w:cstheme="majorHAnsi"/>
          <w:color w:val="auto"/>
          <w:szCs w:val="20"/>
        </w:rPr>
        <w:t xml:space="preserve">These studies, such as the latest </w:t>
      </w:r>
      <w:r w:rsidR="005950D1" w:rsidRPr="0031049E">
        <w:rPr>
          <w:rFonts w:asciiTheme="majorHAnsi" w:hAnsiTheme="majorHAnsi" w:cstheme="majorHAnsi"/>
          <w:color w:val="auto"/>
          <w:szCs w:val="20"/>
        </w:rPr>
        <w:t xml:space="preserve">ex-vivo in-vivo study by Kalaria et al. </w:t>
      </w:r>
      <w:r w:rsidR="005950D1" w:rsidRPr="0031049E">
        <w:rPr>
          <w:rFonts w:asciiTheme="majorHAnsi" w:hAnsiTheme="majorHAnsi" w:cstheme="majorHAnsi"/>
          <w:b/>
          <w:bCs/>
          <w:color w:val="00B0F0" w:themeColor="accent1"/>
          <w:szCs w:val="20"/>
          <w:vertAlign w:val="superscript"/>
        </w:rPr>
        <w:t>[</w:t>
      </w:r>
      <w:r w:rsidR="00201EC9" w:rsidRPr="0031049E">
        <w:rPr>
          <w:rFonts w:asciiTheme="majorHAnsi" w:hAnsiTheme="majorHAnsi" w:cstheme="majorHAnsi"/>
          <w:b/>
          <w:bCs/>
          <w:color w:val="00B0F0" w:themeColor="accent1"/>
          <w:szCs w:val="20"/>
          <w:vertAlign w:val="superscript"/>
        </w:rPr>
        <w:t>35</w:t>
      </w:r>
      <w:r w:rsidR="005950D1" w:rsidRPr="0031049E">
        <w:rPr>
          <w:rFonts w:asciiTheme="majorHAnsi" w:hAnsiTheme="majorHAnsi" w:cstheme="majorHAnsi"/>
          <w:b/>
          <w:bCs/>
          <w:color w:val="00B0F0" w:themeColor="accent1"/>
          <w:szCs w:val="20"/>
          <w:vertAlign w:val="superscript"/>
        </w:rPr>
        <w:t>]</w:t>
      </w:r>
      <w:r w:rsidR="00660DD9" w:rsidRPr="0031049E">
        <w:rPr>
          <w:rFonts w:asciiTheme="majorHAnsi" w:hAnsiTheme="majorHAnsi" w:cstheme="majorHAnsi"/>
          <w:color w:val="auto"/>
          <w:szCs w:val="20"/>
        </w:rPr>
        <w:t>,</w:t>
      </w:r>
      <w:r w:rsidRPr="0031049E">
        <w:rPr>
          <w:rFonts w:asciiTheme="majorHAnsi" w:hAnsiTheme="majorHAnsi" w:cstheme="majorHAnsi"/>
          <w:color w:val="auto"/>
          <w:szCs w:val="20"/>
        </w:rPr>
        <w:t xml:space="preserve"> would be useful in </w:t>
      </w:r>
      <w:r w:rsidR="00A82961" w:rsidRPr="0031049E">
        <w:rPr>
          <w:rFonts w:asciiTheme="majorHAnsi" w:hAnsiTheme="majorHAnsi" w:cstheme="majorHAnsi"/>
          <w:color w:val="auto"/>
          <w:szCs w:val="20"/>
        </w:rPr>
        <w:t>evaluating</w:t>
      </w:r>
      <w:r w:rsidRPr="0031049E">
        <w:rPr>
          <w:rFonts w:asciiTheme="majorHAnsi" w:hAnsiTheme="majorHAnsi" w:cstheme="majorHAnsi"/>
          <w:color w:val="auto"/>
          <w:szCs w:val="20"/>
        </w:rPr>
        <w:t xml:space="preserve"> the effects on clearance of different CRRT parameters and levetiracetam dosing without the potential risk of exposing patients to possible sub-therapeutic or toxic drug levels.</w:t>
      </w:r>
    </w:p>
    <w:p w14:paraId="2F8F4F4C" w14:textId="77777777" w:rsidR="002B5618" w:rsidRPr="0031049E" w:rsidRDefault="002B5618" w:rsidP="005152C0">
      <w:pPr>
        <w:pStyle w:val="OpiniumNormal"/>
        <w:spacing w:after="0" w:line="360" w:lineRule="auto"/>
        <w:rPr>
          <w:rFonts w:asciiTheme="majorHAnsi" w:hAnsiTheme="majorHAnsi" w:cstheme="majorHAnsi"/>
          <w:color w:val="auto"/>
          <w:szCs w:val="20"/>
        </w:rPr>
      </w:pPr>
    </w:p>
    <w:p w14:paraId="78437624" w14:textId="671DDF78" w:rsidR="00A04137" w:rsidRPr="0031049E" w:rsidRDefault="00A04137" w:rsidP="00A04137">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b/>
          <w:bCs/>
          <w:color w:val="auto"/>
          <w:szCs w:val="20"/>
        </w:rPr>
        <w:t>CONCLUSIONS</w:t>
      </w:r>
    </w:p>
    <w:p w14:paraId="4776511E" w14:textId="306C203F" w:rsidR="003F6681" w:rsidRPr="0031049E" w:rsidRDefault="008A66B3" w:rsidP="003F6681">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 xml:space="preserve">The </w:t>
      </w:r>
      <w:r w:rsidR="002F6FE9" w:rsidRPr="0031049E">
        <w:rPr>
          <w:rFonts w:asciiTheme="majorHAnsi" w:hAnsiTheme="majorHAnsi" w:cstheme="majorHAnsi"/>
          <w:color w:val="auto"/>
          <w:szCs w:val="20"/>
        </w:rPr>
        <w:t xml:space="preserve">current </w:t>
      </w:r>
      <w:r w:rsidRPr="0031049E">
        <w:rPr>
          <w:rFonts w:asciiTheme="majorHAnsi" w:hAnsiTheme="majorHAnsi" w:cstheme="majorHAnsi"/>
          <w:color w:val="auto"/>
          <w:szCs w:val="20"/>
        </w:rPr>
        <w:t xml:space="preserve">available data on </w:t>
      </w:r>
      <w:r w:rsidRPr="0031049E">
        <w:rPr>
          <w:rFonts w:asciiTheme="majorHAnsi" w:hAnsiTheme="majorHAnsi" w:cstheme="majorHAnsi"/>
          <w:i/>
          <w:iCs/>
          <w:color w:val="auto"/>
          <w:szCs w:val="20"/>
        </w:rPr>
        <w:t>in vivo</w:t>
      </w:r>
      <w:r w:rsidRPr="0031049E">
        <w:rPr>
          <w:rFonts w:asciiTheme="majorHAnsi" w:hAnsiTheme="majorHAnsi" w:cstheme="majorHAnsi"/>
          <w:color w:val="auto"/>
          <w:szCs w:val="20"/>
        </w:rPr>
        <w:t xml:space="preserve"> clearance of levetiracetam in critically ill patients undergoing CRRT does not support </w:t>
      </w:r>
      <w:r w:rsidR="004566B2" w:rsidRPr="0031049E">
        <w:rPr>
          <w:rFonts w:asciiTheme="majorHAnsi" w:hAnsiTheme="majorHAnsi" w:cstheme="majorHAnsi"/>
          <w:color w:val="auto"/>
          <w:szCs w:val="20"/>
        </w:rPr>
        <w:t>dose reduction in th</w:t>
      </w:r>
      <w:r w:rsidR="002F6FE9" w:rsidRPr="0031049E">
        <w:rPr>
          <w:rFonts w:asciiTheme="majorHAnsi" w:hAnsiTheme="majorHAnsi" w:cstheme="majorHAnsi"/>
          <w:color w:val="auto"/>
          <w:szCs w:val="20"/>
        </w:rPr>
        <w:t>is population</w:t>
      </w:r>
      <w:r w:rsidR="004566B2" w:rsidRPr="0031049E">
        <w:rPr>
          <w:rFonts w:asciiTheme="majorHAnsi" w:hAnsiTheme="majorHAnsi" w:cstheme="majorHAnsi"/>
          <w:color w:val="auto"/>
          <w:szCs w:val="20"/>
        </w:rPr>
        <w:t>. Clearance is consistently demonstrated to be similar to healthy adults with normal renal function</w:t>
      </w:r>
      <w:r w:rsidR="00541364" w:rsidRPr="0031049E">
        <w:rPr>
          <w:rFonts w:asciiTheme="majorHAnsi" w:hAnsiTheme="majorHAnsi" w:cstheme="majorHAnsi"/>
          <w:color w:val="auto"/>
          <w:szCs w:val="20"/>
        </w:rPr>
        <w:t xml:space="preserve"> (</w:t>
      </w:r>
      <w:r w:rsidR="00B33C72" w:rsidRPr="0031049E">
        <w:rPr>
          <w:rFonts w:asciiTheme="majorHAnsi" w:hAnsiTheme="majorHAnsi" w:cstheme="majorHAnsi"/>
          <w:color w:val="auto"/>
          <w:szCs w:val="20"/>
        </w:rPr>
        <w:t>GFR &gt;90</w:t>
      </w:r>
      <w:r w:rsidR="00DC2FB1" w:rsidRPr="0031049E">
        <w:rPr>
          <w:rFonts w:asciiTheme="majorHAnsi" w:hAnsiTheme="majorHAnsi" w:cstheme="majorHAnsi"/>
          <w:color w:val="auto"/>
          <w:szCs w:val="20"/>
        </w:rPr>
        <w:t xml:space="preserve"> mL/min</w:t>
      </w:r>
      <w:r w:rsidR="00541364" w:rsidRPr="0031049E">
        <w:rPr>
          <w:rFonts w:asciiTheme="majorHAnsi" w:hAnsiTheme="majorHAnsi" w:cstheme="majorHAnsi"/>
          <w:color w:val="auto"/>
          <w:szCs w:val="20"/>
        </w:rPr>
        <w:t>)</w:t>
      </w:r>
      <w:r w:rsidR="006C36BD" w:rsidRPr="0031049E">
        <w:rPr>
          <w:rFonts w:asciiTheme="majorHAnsi" w:hAnsiTheme="majorHAnsi" w:cstheme="majorHAnsi"/>
          <w:color w:val="auto"/>
          <w:szCs w:val="20"/>
        </w:rPr>
        <w:t xml:space="preserve">. </w:t>
      </w:r>
      <w:r w:rsidR="00F22C8A" w:rsidRPr="0031049E">
        <w:rPr>
          <w:rFonts w:asciiTheme="majorHAnsi" w:hAnsiTheme="majorHAnsi" w:cstheme="majorHAnsi"/>
          <w:color w:val="auto"/>
          <w:szCs w:val="20"/>
        </w:rPr>
        <w:t>Reduced dosing based on creatinine clearance</w:t>
      </w:r>
      <w:r w:rsidR="006C36BD" w:rsidRPr="0031049E">
        <w:rPr>
          <w:rFonts w:asciiTheme="majorHAnsi" w:hAnsiTheme="majorHAnsi" w:cstheme="majorHAnsi"/>
          <w:color w:val="auto"/>
          <w:szCs w:val="20"/>
        </w:rPr>
        <w:t xml:space="preserve"> is likely to result in sub-therapeutic </w:t>
      </w:r>
      <w:r w:rsidR="007A161E" w:rsidRPr="0031049E">
        <w:rPr>
          <w:rFonts w:asciiTheme="majorHAnsi" w:hAnsiTheme="majorHAnsi" w:cstheme="majorHAnsi"/>
          <w:color w:val="auto"/>
          <w:szCs w:val="20"/>
        </w:rPr>
        <w:t>drug concentrations</w:t>
      </w:r>
      <w:r w:rsidR="006C36BD" w:rsidRPr="0031049E">
        <w:rPr>
          <w:rFonts w:asciiTheme="majorHAnsi" w:hAnsiTheme="majorHAnsi" w:cstheme="majorHAnsi"/>
          <w:color w:val="auto"/>
          <w:szCs w:val="20"/>
        </w:rPr>
        <w:t xml:space="preserve"> in a high number of patients.</w:t>
      </w:r>
      <w:r w:rsidR="009E3B34" w:rsidRPr="0031049E">
        <w:rPr>
          <w:rFonts w:asciiTheme="majorHAnsi" w:hAnsiTheme="majorHAnsi" w:cstheme="majorHAnsi"/>
          <w:color w:val="auto"/>
          <w:szCs w:val="20"/>
        </w:rPr>
        <w:t xml:space="preserve"> A lack of consensus on a therapeutic window for levetiracetam makes dosing recommendations challenging</w:t>
      </w:r>
      <w:r w:rsidR="007631DB" w:rsidRPr="0031049E">
        <w:rPr>
          <w:rFonts w:asciiTheme="majorHAnsi" w:hAnsiTheme="majorHAnsi" w:cstheme="majorHAnsi"/>
          <w:color w:val="auto"/>
          <w:szCs w:val="20"/>
        </w:rPr>
        <w:t xml:space="preserve"> and </w:t>
      </w:r>
      <w:r w:rsidR="006D1E28" w:rsidRPr="0031049E">
        <w:rPr>
          <w:rFonts w:asciiTheme="majorHAnsi" w:hAnsiTheme="majorHAnsi" w:cstheme="majorHAnsi"/>
          <w:color w:val="auto"/>
          <w:szCs w:val="20"/>
        </w:rPr>
        <w:t xml:space="preserve">clinicians may find the information in Figure 2 useful </w:t>
      </w:r>
      <w:r w:rsidR="009628FB" w:rsidRPr="0031049E">
        <w:rPr>
          <w:rFonts w:asciiTheme="majorHAnsi" w:hAnsiTheme="majorHAnsi" w:cstheme="majorHAnsi"/>
          <w:color w:val="auto"/>
          <w:szCs w:val="20"/>
        </w:rPr>
        <w:t xml:space="preserve">in determining dosage based on whether targeting a </w:t>
      </w:r>
      <w:r w:rsidR="00601564" w:rsidRPr="0031049E">
        <w:rPr>
          <w:rFonts w:asciiTheme="majorHAnsi" w:hAnsiTheme="majorHAnsi" w:cstheme="majorHAnsi"/>
          <w:color w:val="auto"/>
          <w:szCs w:val="20"/>
        </w:rPr>
        <w:t>therapeutic range or likelihood of patient attainment is more desirable.</w:t>
      </w:r>
      <w:r w:rsidR="00F3699F" w:rsidRPr="0031049E">
        <w:rPr>
          <w:rFonts w:asciiTheme="majorHAnsi" w:hAnsiTheme="majorHAnsi" w:cstheme="majorHAnsi"/>
          <w:color w:val="auto"/>
          <w:szCs w:val="20"/>
        </w:rPr>
        <w:t xml:space="preserve"> </w:t>
      </w:r>
      <w:r w:rsidR="008B1E75" w:rsidRPr="0031049E">
        <w:rPr>
          <w:rFonts w:asciiTheme="majorHAnsi" w:hAnsiTheme="majorHAnsi" w:cstheme="majorHAnsi"/>
          <w:color w:val="auto"/>
          <w:szCs w:val="20"/>
        </w:rPr>
        <w:t xml:space="preserve">There appears to be </w:t>
      </w:r>
      <w:r w:rsidR="001944AD" w:rsidRPr="0031049E">
        <w:rPr>
          <w:rFonts w:asciiTheme="majorHAnsi" w:hAnsiTheme="majorHAnsi" w:cstheme="majorHAnsi"/>
          <w:color w:val="auto"/>
          <w:szCs w:val="20"/>
        </w:rPr>
        <w:t xml:space="preserve">a growing </w:t>
      </w:r>
      <w:r w:rsidR="008B1E75" w:rsidRPr="0031049E">
        <w:rPr>
          <w:rFonts w:asciiTheme="majorHAnsi" w:hAnsiTheme="majorHAnsi" w:cstheme="majorHAnsi"/>
          <w:color w:val="auto"/>
          <w:szCs w:val="20"/>
        </w:rPr>
        <w:t xml:space="preserve">consensus </w:t>
      </w:r>
      <w:r w:rsidR="001944AD" w:rsidRPr="0031049E">
        <w:rPr>
          <w:rFonts w:asciiTheme="majorHAnsi" w:hAnsiTheme="majorHAnsi" w:cstheme="majorHAnsi"/>
          <w:color w:val="auto"/>
          <w:szCs w:val="20"/>
        </w:rPr>
        <w:t>that a dose of 750 – 1,000 mg with an initial loading dose of 60 mg/kg is appropriate in such patients</w:t>
      </w:r>
      <w:r w:rsidR="00D63162" w:rsidRPr="0031049E">
        <w:rPr>
          <w:rFonts w:asciiTheme="majorHAnsi" w:hAnsiTheme="majorHAnsi" w:cstheme="majorHAnsi"/>
          <w:color w:val="auto"/>
          <w:szCs w:val="20"/>
        </w:rPr>
        <w:t>. However, further study is needed to evaluate the potential for drug accumulation and toxicity</w:t>
      </w:r>
      <w:r w:rsidR="003F6681" w:rsidRPr="0031049E">
        <w:rPr>
          <w:rFonts w:asciiTheme="majorHAnsi" w:hAnsiTheme="majorHAnsi" w:cstheme="majorHAnsi"/>
          <w:color w:val="auto"/>
          <w:szCs w:val="20"/>
        </w:rPr>
        <w:t>. Therapeutic drug monitoring may be useful in guiding dosage and identifying those at risk of toxicity.</w:t>
      </w:r>
    </w:p>
    <w:p w14:paraId="4845F15A" w14:textId="77777777" w:rsidR="00724AB6" w:rsidRPr="0031049E" w:rsidRDefault="00724AB6" w:rsidP="003C03A6">
      <w:pPr>
        <w:pStyle w:val="OpiniumNormal"/>
        <w:spacing w:after="0" w:line="360" w:lineRule="auto"/>
        <w:rPr>
          <w:rFonts w:asciiTheme="majorHAnsi" w:hAnsiTheme="majorHAnsi" w:cstheme="majorHAnsi"/>
          <w:color w:val="auto"/>
          <w:szCs w:val="20"/>
        </w:rPr>
      </w:pPr>
    </w:p>
    <w:p w14:paraId="5AD6F698" w14:textId="77777777" w:rsidR="007677C2" w:rsidRPr="0031049E" w:rsidRDefault="007677C2" w:rsidP="007677C2">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ACKNOWLEDGEMENTS</w:t>
      </w:r>
    </w:p>
    <w:p w14:paraId="7B6F1D75" w14:textId="617D72A6" w:rsidR="007677C2" w:rsidRPr="0031049E" w:rsidRDefault="007677C2" w:rsidP="007677C2">
      <w:pPr>
        <w:pStyle w:val="OpiniumNormal"/>
        <w:spacing w:after="0" w:line="360" w:lineRule="auto"/>
        <w:rPr>
          <w:rFonts w:asciiTheme="majorHAnsi" w:hAnsiTheme="majorHAnsi" w:cstheme="majorHAnsi"/>
          <w:color w:val="auto"/>
          <w:szCs w:val="20"/>
        </w:rPr>
      </w:pPr>
      <w:r w:rsidRPr="0031049E">
        <w:rPr>
          <w:rFonts w:asciiTheme="majorHAnsi" w:hAnsiTheme="majorHAnsi" w:cstheme="majorHAnsi"/>
          <w:color w:val="auto"/>
          <w:szCs w:val="20"/>
        </w:rPr>
        <w:t>Our thanks to Stephen Reid at St. George’s University London who provided invaluable support on optimising our search criteria for this under-researched topic area.</w:t>
      </w:r>
    </w:p>
    <w:p w14:paraId="110DD5FD" w14:textId="77777777" w:rsidR="007677C2" w:rsidRPr="0031049E" w:rsidRDefault="007677C2" w:rsidP="003C03A6">
      <w:pPr>
        <w:pStyle w:val="OpiniumNormal"/>
        <w:spacing w:after="0" w:line="360" w:lineRule="auto"/>
        <w:rPr>
          <w:rFonts w:asciiTheme="majorHAnsi" w:hAnsiTheme="majorHAnsi" w:cstheme="majorHAnsi"/>
          <w:color w:val="auto"/>
          <w:szCs w:val="20"/>
        </w:rPr>
      </w:pPr>
    </w:p>
    <w:p w14:paraId="209BDB9C" w14:textId="4ACB579D" w:rsidR="0013602C" w:rsidRPr="0031049E" w:rsidRDefault="007677C2" w:rsidP="0013602C">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CONFLICTS OF INTEREST</w:t>
      </w:r>
    </w:p>
    <w:p w14:paraId="3435589A" w14:textId="164E7481" w:rsidR="007677C2" w:rsidRPr="0031049E" w:rsidRDefault="00C2364E" w:rsidP="00382403">
      <w:pPr>
        <w:pStyle w:val="OpiniumNormal"/>
        <w:spacing w:line="360" w:lineRule="auto"/>
        <w:rPr>
          <w:rFonts w:asciiTheme="majorHAnsi" w:hAnsiTheme="majorHAnsi" w:cstheme="majorHAnsi"/>
          <w:color w:val="auto"/>
          <w:szCs w:val="20"/>
        </w:rPr>
      </w:pPr>
      <w:r w:rsidRPr="0031049E">
        <w:rPr>
          <w:rFonts w:asciiTheme="majorHAnsi" w:hAnsiTheme="majorHAnsi" w:cstheme="majorHAnsi"/>
          <w:color w:val="auto"/>
          <w:szCs w:val="20"/>
        </w:rPr>
        <w:t>The author</w:t>
      </w:r>
      <w:r w:rsidR="0006167D" w:rsidRPr="0031049E">
        <w:rPr>
          <w:rFonts w:asciiTheme="majorHAnsi" w:hAnsiTheme="majorHAnsi" w:cstheme="majorHAnsi"/>
          <w:color w:val="auto"/>
          <w:szCs w:val="20"/>
        </w:rPr>
        <w:t>s</w:t>
      </w:r>
      <w:r w:rsidRPr="0031049E">
        <w:rPr>
          <w:rFonts w:asciiTheme="majorHAnsi" w:hAnsiTheme="majorHAnsi" w:cstheme="majorHAnsi"/>
          <w:color w:val="auto"/>
          <w:szCs w:val="20"/>
        </w:rPr>
        <w:t xml:space="preserve"> declare no </w:t>
      </w:r>
      <w:r w:rsidR="00445A65" w:rsidRPr="0031049E">
        <w:rPr>
          <w:rFonts w:asciiTheme="majorHAnsi" w:hAnsiTheme="majorHAnsi" w:cstheme="majorHAnsi"/>
          <w:color w:val="auto"/>
          <w:szCs w:val="20"/>
        </w:rPr>
        <w:t xml:space="preserve">special interests or </w:t>
      </w:r>
      <w:r w:rsidRPr="0031049E">
        <w:rPr>
          <w:rFonts w:asciiTheme="majorHAnsi" w:hAnsiTheme="majorHAnsi" w:cstheme="majorHAnsi"/>
          <w:color w:val="auto"/>
          <w:szCs w:val="20"/>
        </w:rPr>
        <w:t>conflicts of interest</w:t>
      </w:r>
      <w:r w:rsidR="002F6D8E" w:rsidRPr="0031049E">
        <w:rPr>
          <w:rFonts w:asciiTheme="majorHAnsi" w:hAnsiTheme="majorHAnsi" w:cstheme="majorHAnsi"/>
          <w:color w:val="auto"/>
          <w:szCs w:val="20"/>
        </w:rPr>
        <w:t>.</w:t>
      </w:r>
    </w:p>
    <w:p w14:paraId="6C618F2F" w14:textId="3D2CB669" w:rsidR="007677C2" w:rsidRPr="0031049E" w:rsidRDefault="007677C2" w:rsidP="007677C2">
      <w:pPr>
        <w:pStyle w:val="OpiniumNormal"/>
        <w:spacing w:after="0" w:line="360" w:lineRule="auto"/>
        <w:rPr>
          <w:rFonts w:asciiTheme="majorHAnsi" w:hAnsiTheme="majorHAnsi" w:cstheme="majorHAnsi"/>
          <w:b/>
          <w:bCs/>
          <w:color w:val="00B0F0" w:themeColor="accent1"/>
          <w:szCs w:val="20"/>
        </w:rPr>
      </w:pPr>
      <w:r w:rsidRPr="0031049E">
        <w:rPr>
          <w:rFonts w:asciiTheme="majorHAnsi" w:hAnsiTheme="majorHAnsi" w:cstheme="majorHAnsi"/>
          <w:b/>
          <w:bCs/>
          <w:color w:val="00B0F0" w:themeColor="accent1"/>
          <w:szCs w:val="20"/>
        </w:rPr>
        <w:t>FUNDING</w:t>
      </w:r>
      <w:r w:rsidR="00E6011F" w:rsidRPr="0031049E">
        <w:rPr>
          <w:rFonts w:asciiTheme="majorHAnsi" w:hAnsiTheme="majorHAnsi" w:cstheme="majorHAnsi"/>
          <w:b/>
          <w:bCs/>
          <w:color w:val="00B0F0" w:themeColor="accent1"/>
          <w:szCs w:val="20"/>
        </w:rPr>
        <w:t xml:space="preserve"> INFORMATION</w:t>
      </w:r>
    </w:p>
    <w:p w14:paraId="6039A029" w14:textId="3689AE01" w:rsidR="00C329CB" w:rsidRPr="0031049E" w:rsidRDefault="007677C2" w:rsidP="00B40C67">
      <w:pPr>
        <w:pStyle w:val="OpiniumNormal"/>
        <w:spacing w:line="360" w:lineRule="auto"/>
        <w:rPr>
          <w:rFonts w:asciiTheme="majorHAnsi" w:hAnsiTheme="majorHAnsi" w:cstheme="majorHAnsi"/>
          <w:color w:val="auto"/>
          <w:szCs w:val="20"/>
        </w:rPr>
      </w:pPr>
      <w:r w:rsidRPr="0031049E">
        <w:rPr>
          <w:rFonts w:eastAsia="Times New Roman"/>
          <w:color w:val="auto"/>
        </w:rPr>
        <w:t>This work was supported by St George’s Hospital Charity.</w:t>
      </w:r>
    </w:p>
    <w:p w14:paraId="4CE2B75F" w14:textId="0C3B7664" w:rsidR="0029592D" w:rsidRPr="0031049E" w:rsidRDefault="0029592D" w:rsidP="006C6E16">
      <w:pPr>
        <w:pStyle w:val="Heading1"/>
        <w:rPr>
          <w:rFonts w:asciiTheme="majorHAnsi" w:hAnsiTheme="majorHAnsi" w:cstheme="majorHAnsi"/>
          <w:b/>
          <w:bCs/>
          <w:color w:val="00B0F0" w:themeColor="accent1"/>
          <w:sz w:val="20"/>
          <w:szCs w:val="20"/>
        </w:rPr>
      </w:pPr>
      <w:r w:rsidRPr="0031049E">
        <w:rPr>
          <w:rFonts w:asciiTheme="majorHAnsi" w:hAnsiTheme="majorHAnsi" w:cstheme="majorHAnsi"/>
          <w:b/>
          <w:bCs/>
          <w:sz w:val="20"/>
          <w:szCs w:val="20"/>
        </w:rPr>
        <w:t>REFERENCES</w:t>
      </w:r>
    </w:p>
    <w:p w14:paraId="7EEF7F9E"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French JA, Kanner AM, Bautista J, et al. Efficacy and tolerability of the new antiepileptic drugs I: treatment of new onset epilepsy: report of the Therapeutics and Technology Assessment Subcommittee and Quality Standards Subcommittee of the American Academy of Neurology and the American Epilepsy Society. Neurology 2004;62(8):1252–60.</w:t>
      </w:r>
    </w:p>
    <w:p w14:paraId="44FFBE3E"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Brophy GM, Bell R, Claassen J, et al. Guidelines for the evaluation and management of status epilepticus. Neurocrit Care 2012;17(1):3–23.</w:t>
      </w:r>
    </w:p>
    <w:p w14:paraId="22323574"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De Smedt T, Raedt R, Vonck K, Boon P. Levetiracetam: the profile of a novel anticonvulsant drug-part I: preclinical data. CNS Drug Rev. 2007 Spring;13(1):43-56. Doi: 10.1111/j.1527-3458.2007.00004.x.</w:t>
      </w:r>
    </w:p>
    <w:p w14:paraId="7B397050"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Nau KM, Divertie GD, Valentino AK, Freeman WD: Safety and efficacy of levetiracetam for critically ill patients with seizures. Neurocrit Care, 2009; 11(1): 34–37.</w:t>
      </w:r>
    </w:p>
    <w:p w14:paraId="6596B0B6"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lastRenderedPageBreak/>
        <w:t>Patsalos, P. (2000) ‘Pharmacokinetic profile of levetiracetam toward ideal characteristics.’, Pharmacology &amp; Therapeutics, 85, pp.77-85.</w:t>
      </w:r>
    </w:p>
    <w:p w14:paraId="61061580"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Patsalos PN, Berry DJ, Bourgeois BFD, Cloyd JC, Glauser TA, Johannessen SI, et al. Antiepileptic drugs - best practice guidelines for therapeutic drug monitoring: a position paper by the subcommission on therapeutic drug monitoring, ILAE commission on therapeutic strategies. Epilepsia 2008;49:1239–76. https://doi.org/ 10.1111/j.1528-1167.2008.01561.x</w:t>
      </w:r>
    </w:p>
    <w:p w14:paraId="4173B21B"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Radtke, R.A. (2001), Pharmacokinetics of Levetiracetam. Epilepsia, 42: 24-27. https://doi.org/10.1111/j.1528-1167.2001.00005.</w:t>
      </w:r>
    </w:p>
    <w:p w14:paraId="0E849126"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Patsalos PN: Clinical pharmacokinetics of levetiracetam. Clin Pharmacokinet, 2004; 43(11): 707–24.</w:t>
      </w:r>
    </w:p>
    <w:p w14:paraId="0EC12265"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Walker MC, Patsalos PN: Clinical pharmacokinetics of new antiepileptic drugs. Pharmacol Ther, 1995; 67(3): 351–84.</w:t>
      </w:r>
    </w:p>
    <w:p w14:paraId="22512A06"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DrugBank. Levetiracetam. Available at: https://go.drugbank.com/drugs/DB01202 (Accessed: 16 December 2021).</w:t>
      </w:r>
    </w:p>
    <w:p w14:paraId="1EC5FDE6"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EMC. Keppra 100 mg/ml concentrate for solution for infusion. Available at: https://www.medicines.org.uk/emc/product/2296/smpc#PHARMACOKINETIC_PROPS (Accessed: 8 December 2021).</w:t>
      </w:r>
    </w:p>
    <w:p w14:paraId="2CAA329A"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Strolin Benedetti M, Whomsley R, Nicolas J-M, Young C, Baltes E. Pharmacokinetics and metabolism of 14C-levetiracetam, a new antiepileptic agent, in healthy volunteers. Eur J Clin Pharmacol. 2003;59(8–9):621–30.</w:t>
      </w:r>
    </w:p>
    <w:p w14:paraId="186413D1"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Mora Rodríguez KA, Benbadis SR. Managing Antiepileptic Medication in Dialysis Patients. Curr Treat Options Neurol. 2018 Sep 27;20(11):45. doi: 10.1007/s11940-018-0530-5. PMID: 30259204.</w:t>
      </w:r>
    </w:p>
    <w:p w14:paraId="5258F28B"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Tolwani A: Continuous renal-replacement therapy for acute kidney injury. New Engl J Med, 2012; 367(26): 2505–14.</w:t>
      </w:r>
    </w:p>
    <w:p w14:paraId="395DB27C"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Case J, Khan S, Khalid R, Khan A. Epidemiology of acute kidney injury in the intensive care unit. Crit Care Res Pract. 2013;2013:479730. doi: 10.1155/2013/479730. Epub 2013 Mar 21. PMID: 23573420; PMCID: PMC3618922.</w:t>
      </w:r>
    </w:p>
    <w:p w14:paraId="5A951FC7"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Schetz M: Drug dosing in continuous renal replacement therapy: General rules. Curr Opin Crit Care, 2007; 13(6): 645–51.</w:t>
      </w:r>
    </w:p>
    <w:p w14:paraId="25F1023E"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Ashley, C. and Dunleavy, A. The Renal Drug Database.  Available at: https://renaldrugdatabase.com/ (Accessed: 13 April 2023).</w:t>
      </w:r>
    </w:p>
    <w:p w14:paraId="29EFBC0C"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Ashley C. and Currie A. The Renal Drug Handbook: Third Edition. Oxford. 2004.</w:t>
      </w:r>
    </w:p>
    <w:p w14:paraId="6D0DE2B0"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Arnoff G. et al. Drug prescribing in renal failure. dosing guidelines for adults and children. 5th Edition. Philadelphia: American College of Physicians; 2007.</w:t>
      </w:r>
    </w:p>
    <w:p w14:paraId="48BE5AF8"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Shiue HJ, Taylor M, Sands KA. Comparison of Levetiracetam Dosing Regimens in End-Stage Renal Disease Patients Undergoing Intermittent Hemodialysis. Ann Pharmacother. 2017;51(10):862-865. doi:10.1177/1060028017713294, 10.1177/1060028017713294</w:t>
      </w:r>
    </w:p>
    <w:p w14:paraId="49B4BEA0"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lastRenderedPageBreak/>
        <w:t>Wieruszewski PM, Kashani KB, Rabinstein AA, Frazee E. Levetiracetam Pharmacokinetics in a Critically Ill Anephric Patient on Intermittent Hemodialysis. Neurocrit Care. 2018;28(2):243-246. doi:10.1007/s12028-017-0441-4, 10.1007/s12028-017-0441-4.</w:t>
      </w:r>
    </w:p>
    <w:p w14:paraId="3601D47F"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Smetana KS, Cook AM, Bastin ML, Oyler DR. Antiepileptic dosing for critically ill adult patients receiving renal replacement therapy. J Crit Care. 2016;36:116-124. doi:10.1016/j.jcrc.2016.06.023, 10.1016/j.jcrc.2016.06.023.</w:t>
      </w:r>
    </w:p>
    <w:p w14:paraId="7F41D3D7"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Rodriguez, K. and Benbadis, S. (2018) ‘Managing Antiepileptic Medication in Dialysis Patients’, Current Treatment Options in Neurology, 20:45.</w:t>
      </w:r>
    </w:p>
    <w:p w14:paraId="1B68D8CB"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Cuhls, M., Bosel, J. and Rosche, J. (2020) ‘Treatment with lacosamide or levetiracetam in patients with renal replacement therapy. What is really known?’, Journal of Epileptology, 28, pp.55-58.</w:t>
      </w:r>
    </w:p>
    <w:p w14:paraId="205196A0"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Araki, K. et al. (2020) ‘Pharmacological monitoring of antiepileptic drugs in epilepsy patients on haemodialysis.’, Epileptic Disorders, 22(1), pp. 90-102.</w:t>
      </w:r>
    </w:p>
    <w:p w14:paraId="750C3869"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Maia, J. et al. (2008) ‘Effect of renal impairment on the pharmacokinetics of eslicarbazepine acetate.’, International Journal of Clinical Pharmacology &amp; Therapeutics, 46(3), pp.119-30.</w:t>
      </w:r>
    </w:p>
    <w:p w14:paraId="70DD0E80"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Nei, SD. et al. (2015) ‘Levetiracetam Pharmacokinetics in a Patient Receiving Continuous Venovenous Hemofiltration and Venoarterial Extracorporeal Membrane Oxygenation.’, Pharmacotherapy: The Journal of Human Pharmacology &amp; Drug Therapy, 35(8), pp.127-30.</w:t>
      </w:r>
    </w:p>
    <w:p w14:paraId="6B82362A"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Barker CI, Standing JF, Turner MA, et al. Antibiotic dosing in children in Europe: can we grade the evidence from pharmacokinetic/ pharmacodynamic studies - and when is enough data enough? Curr Opin Infect Dis. 2012 June;25(3):235–242.</w:t>
      </w:r>
    </w:p>
    <w:p w14:paraId="7D64D839"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Gibney RT, Kimmel PL, Lazarus M. The Acute Dialysis Quality Initiative--part I: definitions and reporting of CRRT techniques. Adv Ren Replace Ther. 2002 Oct;9(4):252-4. doi: 10.1053/jarr.2002.35571. PMID: 12382226.</w:t>
      </w:r>
    </w:p>
    <w:p w14:paraId="20C8035C"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Kellum JA, Mehta RL, Angus DC, Palevsky P, Ronco C, ADQI Workgroup. The first international consensus conference on continuous renal replacement therapy. Kidney Int 2002; 62: 1855–63.</w:t>
      </w:r>
    </w:p>
    <w:p w14:paraId="3435B59E"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R Core Team (2022). R: A language and environment for statistical computing. R Foundation for Statistical Computing, Vienna, Austria. URL: https://www.R-project.org/</w:t>
      </w:r>
    </w:p>
    <w:p w14:paraId="0B853609"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Wickham et al., (2019). Welcome to the tidyverse. Journal of Open Source Software, 4(43), 1686. DOI: https://doi.org/10.21105/joss.01686</w:t>
      </w:r>
    </w:p>
    <w:p w14:paraId="10769D43"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Rich B (2021). _linpk: Generate Concentration-Time Profiles from Linear PK Systems_. R package version 1.1.1. URL: https://CRAN.R-project.org/package=linpk</w:t>
      </w:r>
    </w:p>
    <w:p w14:paraId="317BCA57"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Venables N. and Ripley B.D. (2002) Modern Applied Statistics with S. Fourth Edition. Springer, New York. ISBN</w:t>
      </w:r>
    </w:p>
    <w:p w14:paraId="750E2B84"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Kalaria, S.N., Armahizer, M., McCarthy, P. et al. Development and Use of an Ex-Vivo In-Vivo Correlation to Predict Antiepileptic Drug Clearance in Patients Undergoing Continuous Renal Replacement Therapy. Pharm Res 39, 827–836 (2022). https://doi.org/10.1007/s11095-022-03287-x.</w:t>
      </w:r>
    </w:p>
    <w:p w14:paraId="3BA864D5"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lastRenderedPageBreak/>
        <w:t>Toublanc N, Lacroix BD, Yamamoto J. Development of an integrated population pharmacokinetic model for oral levetiracetam in populations of various ages and ethnicities. Drug Metab Pharmacokinet. 2014;29(1):61-8. DOI: 10.2133/dmpk.dmpk-13-rg-045.</w:t>
      </w:r>
    </w:p>
    <w:p w14:paraId="46311F36"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Hernandez-Mitre M et. al. Population Pharmacokinetics and Dosing Recommendations of Levetiracetam in Adult and Elderly Patients With Epilepsy. Journal of Pharmaceutical Sciences. 2020;109(6):2070-8. DOI: https://doi.org/10.1016/j.xphs.2020.02.018.</w:t>
      </w:r>
    </w:p>
    <w:p w14:paraId="658740AB"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Rhee SJ, Shin JW, Lee S, Moon J, Kim TJ, Jung KY, Park KI, Lee ST, Jung KH, Yu KS, Jang IJ, Chu K, Lee SK. Population pharmacokinetics and dose-response relationship of levetiracetam in adult patients with epilepsy. Epilepsy Res. 2017 May;132:8-14. DOI: 10.1016/j.eplepsyres.2017.02.011.</w:t>
      </w:r>
    </w:p>
    <w:p w14:paraId="10C8C919"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le Noble JL, Foudraine NA, Kornips FH, van Dam DG, Neef C, Janssen PK. Extracorporeal Clearance of Levetiracetam During Continuous Venovenous Hemofiltration in a Critically Ill Patient and New Dosing Recommendation. J Clin Pharmacol. 2017 Apr;57(4):536-537. doi: 10.1002/jcph.844. Epub 2016 Nov 21. PMID: 27868207.</w:t>
      </w:r>
    </w:p>
    <w:p w14:paraId="01D789EB"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Chappell K, Kimmons LA, Haller JT, Canada RB, He H, Hudson JQ. Levetiracetam pharmacokinetics in critically ill patients undergoing renal replacement therapy. J Crit Care. 2021 Feb;61:216-220. doi: 10.1016/j.jcrc.2020.10.032. Epub 2020 Nov 2. PMID: 33217623.</w:t>
      </w:r>
    </w:p>
    <w:p w14:paraId="44D2BAF0"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New AM, Nei SD, Kashani KB, Rabinstein AA, Frazee EN. Levetiracetam Pharmacokinetics During Continuous Venovenous Hemofiltration and Acute Liver Dysfunction. Neurocrit Care. 2016 Aug;25(1):141-4. doi: 10.1007/s12028-016-0242-1. PMID: 26800696.</w:t>
      </w:r>
    </w:p>
    <w:p w14:paraId="635A565D"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Van Matre ET, Mueller SW, Fish DN, MacLaren R, Cava LF, Neumann RT, Kiser TH. Levetiracetam Pharmacokinetics in a Patient with Intracranial Hemorrhage Undergoing Continuous Veno-Venous Hemofiltration. Am J Case Rep. 2017 Apr 27;18:458-462. doi: 10.12659/ajcr.902709. PMID: 28446744; PMCID: PMC5414484.</w:t>
      </w:r>
    </w:p>
    <w:p w14:paraId="1BB02214"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Louie JM, Raphael KL, Barker B. Levetiracetam Use With Continuous Renal Replacement Therapy. Ann Pharmacother. 2015 Sep;49(9):1079-80. doi: 10.1177/1060028015591845. Epub 2015 Jun 23. PMID: 26104053.</w:t>
      </w:r>
    </w:p>
    <w:p w14:paraId="4F180925"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Kalaria SN, Armahizer M, McCarthy P, Badjatia N, Gobburu JV, Gopalakrishnan M. A Practice-Based, Clinical Pharmacokinetic Study to Inform Levetiracetam Dosing in Critically Ill Patients Undergoing Continuous Venovenous Hemofiltration (PADRE-01). Clin Transl Sci. 2020 Sep;13(5):950-959. doi: 10.1111/cts.12782. Epub 2020 Apr 3. PMID: 32223067; PMCID: PMC7485952.</w:t>
      </w:r>
    </w:p>
    <w:p w14:paraId="6823ACE7"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Kapur J, Elm J, Chamberlain JM, Barsan W, Cloyd J, Lowenstein D, Shinnar S, Conwit R, Meinzer C, Cock H, Fountain N, Connor JT, Silbergleit R; NETT and PECARN Investigators. Randomized Trial of Three Anticonvulsant Medications for Status Epilepticus. N Engl J Med. 2019 Nov 28;381(22):2103-2113. doi: 10.1056/NEJMoa1905795.</w:t>
      </w:r>
    </w:p>
    <w:p w14:paraId="3BACF94D"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Haller JT, Bonnin S, Radosevich J. Rapid administration of undiluted intravenous levetiracetam. Epilepsia. 2021 Aug;62(8):1865-1870. doi: 10.1111/epi.16961. Epub 2021 Jun 24. PMID: 34164804.</w:t>
      </w:r>
    </w:p>
    <w:p w14:paraId="75E4E193"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lastRenderedPageBreak/>
        <w:t>Wood KE, Palmer KL, Krasowski MD. Correlation of elevated lamotrigine and levetiracetam serum/plasma levels with toxicity: A long-term retrospective review at an academic medical center. Toxicol Rep. 2021 Aug 30;8:1592-1598. doi: 10.1016/j.toxrep.2021.08.005. PMID: 34522622; PMCID: PMC8424104.</w:t>
      </w:r>
    </w:p>
    <w:p w14:paraId="68AEC61A" w14:textId="77777777"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Silke Gastine, Asia N. Rashed, Yingfen Hsia, Charlotte Jackson, Charlotte I. S. Barker, Shrey Mathur, Stephen Tomlin, Irja Lutsar, Julia Bielicki, Joseph F. Standing &amp; Mike Sharland (2019) GAPPS (Grading and Assessment of Pharmacokinetic-Pharmacodynamic Studies) a critical appraisal system for antimicrobial PKPD studies – development and application in pediatric antibiotic studies, Expert Review of Clinical Pharmacology, 12:12, 1091-1098, DOI: 10.1080/17512433.2019.1695600.</w:t>
      </w:r>
    </w:p>
    <w:p w14:paraId="769D3450" w14:textId="3F1DEC13" w:rsidR="001E15D0" w:rsidRPr="0031049E" w:rsidRDefault="001E15D0"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Vaara S, Pettila V, Kaukonen KM. Quality of pharmacokinetic studies in critically ill patients receiving continuous renal replacement therapy. Acta Anaesthesiol Scand. 2012;56(2):147-57. doi: 10.1111/j.1399-6576.2011.02571.x. Epub 2011 Oct 19. PMID: 22092254.</w:t>
      </w:r>
    </w:p>
    <w:p w14:paraId="53DF8843" w14:textId="6CDC51E2" w:rsidR="00BA4A90" w:rsidRPr="0031049E" w:rsidRDefault="00E4438B"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t>Chaijamorn W, Charoensareerat T, Rungkitwattanakul D, Phunpon S, Sathienluckana T, Srisawat N, et al. Levetiracetam dosing in patients receiving continuous renal replacement therapy. Epilepsia. 2021;62: 2151–2158. https://doi.org/10.1111/epi.16971</w:t>
      </w:r>
      <w:r w:rsidR="00945ADD" w:rsidRPr="0031049E">
        <w:rPr>
          <w:rFonts w:eastAsia="Calibri"/>
          <w:color w:val="auto"/>
          <w:szCs w:val="20"/>
        </w:rPr>
        <w:t>.</w:t>
      </w:r>
    </w:p>
    <w:p w14:paraId="7579EBCF" w14:textId="387091A6" w:rsidR="00C528FF" w:rsidRPr="0031049E" w:rsidRDefault="00C528FF" w:rsidP="001E15D0">
      <w:pPr>
        <w:numPr>
          <w:ilvl w:val="0"/>
          <w:numId w:val="15"/>
        </w:numPr>
        <w:spacing w:after="0" w:line="360" w:lineRule="auto"/>
        <w:ind w:left="426" w:hanging="426"/>
        <w:rPr>
          <w:rFonts w:eastAsia="Calibri"/>
          <w:color w:val="auto"/>
          <w:szCs w:val="20"/>
        </w:rPr>
      </w:pPr>
      <w:r w:rsidRPr="0031049E">
        <w:rPr>
          <w:rFonts w:eastAsia="Calibri"/>
          <w:color w:val="auto"/>
          <w:szCs w:val="20"/>
        </w:rPr>
        <w:br w:type="page"/>
      </w:r>
    </w:p>
    <w:p w14:paraId="61584E85" w14:textId="1B630F4A" w:rsidR="00C528FF" w:rsidRPr="0031049E" w:rsidRDefault="00EA3E30" w:rsidP="00C528FF">
      <w:pPr>
        <w:pStyle w:val="Heading1"/>
        <w:rPr>
          <w:rFonts w:asciiTheme="majorHAnsi" w:hAnsiTheme="majorHAnsi" w:cstheme="majorHAnsi"/>
          <w:b/>
          <w:bCs/>
          <w:color w:val="00B0F0" w:themeColor="accent1"/>
          <w:sz w:val="20"/>
          <w:szCs w:val="20"/>
        </w:rPr>
      </w:pPr>
      <w:r w:rsidRPr="0031049E">
        <w:rPr>
          <w:rFonts w:asciiTheme="majorHAnsi" w:hAnsiTheme="majorHAnsi" w:cstheme="majorHAnsi"/>
          <w:b/>
          <w:bCs/>
          <w:sz w:val="20"/>
          <w:szCs w:val="20"/>
        </w:rPr>
        <w:lastRenderedPageBreak/>
        <w:t>TABLES AND FIGURES</w:t>
      </w:r>
    </w:p>
    <w:p w14:paraId="0FC86B2A" w14:textId="623FC9B1" w:rsidR="00DD41BB" w:rsidRPr="0031049E" w:rsidRDefault="00EA3E30" w:rsidP="00C528FF">
      <w:pPr>
        <w:spacing w:after="0" w:line="360" w:lineRule="auto"/>
        <w:rPr>
          <w:rFonts w:eastAsia="Calibri"/>
          <w:color w:val="auto"/>
          <w:szCs w:val="20"/>
        </w:rPr>
      </w:pPr>
      <w:r w:rsidRPr="0031049E">
        <w:rPr>
          <w:rFonts w:eastAsia="Calibri"/>
          <w:noProof/>
          <w:color w:val="auto"/>
          <w:szCs w:val="20"/>
        </w:rPr>
        <w:drawing>
          <wp:inline distT="0" distB="0" distL="0" distR="0" wp14:anchorId="25CEC5A5" wp14:editId="6FBFDAA1">
            <wp:extent cx="3857625" cy="4238140"/>
            <wp:effectExtent l="0" t="0" r="0" b="0"/>
            <wp:docPr id="1813493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8329" cy="4249899"/>
                    </a:xfrm>
                    <a:prstGeom prst="rect">
                      <a:avLst/>
                    </a:prstGeom>
                    <a:noFill/>
                  </pic:spPr>
                </pic:pic>
              </a:graphicData>
            </a:graphic>
          </wp:inline>
        </w:drawing>
      </w:r>
    </w:p>
    <w:p w14:paraId="74B462F5" w14:textId="77777777" w:rsidR="00EA3E30" w:rsidRPr="0031049E" w:rsidRDefault="00EA3E30" w:rsidP="00C528FF">
      <w:pPr>
        <w:spacing w:after="0" w:line="360" w:lineRule="auto"/>
        <w:rPr>
          <w:rFonts w:eastAsia="Calibri"/>
          <w:color w:val="auto"/>
          <w:szCs w:val="20"/>
        </w:rPr>
      </w:pPr>
    </w:p>
    <w:p w14:paraId="49602EF7" w14:textId="1A30BF03" w:rsidR="00C541C6" w:rsidRPr="0031049E" w:rsidRDefault="00DB7F11" w:rsidP="00C528FF">
      <w:pPr>
        <w:spacing w:after="0" w:line="360" w:lineRule="auto"/>
        <w:rPr>
          <w:rFonts w:eastAsia="Calibri"/>
          <w:color w:val="auto"/>
          <w:szCs w:val="20"/>
        </w:rPr>
      </w:pPr>
      <w:r w:rsidRPr="0031049E">
        <w:rPr>
          <w:rFonts w:eastAsia="Calibri"/>
          <w:noProof/>
          <w:color w:val="auto"/>
          <w:szCs w:val="20"/>
        </w:rPr>
        <w:drawing>
          <wp:inline distT="0" distB="0" distL="0" distR="0" wp14:anchorId="7730CB44" wp14:editId="41BC4C17">
            <wp:extent cx="5896800" cy="3261844"/>
            <wp:effectExtent l="0" t="0" r="0" b="0"/>
            <wp:docPr id="671843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6800" cy="3261844"/>
                    </a:xfrm>
                    <a:prstGeom prst="rect">
                      <a:avLst/>
                    </a:prstGeom>
                    <a:noFill/>
                  </pic:spPr>
                </pic:pic>
              </a:graphicData>
            </a:graphic>
          </wp:inline>
        </w:drawing>
      </w:r>
    </w:p>
    <w:p w14:paraId="17DD7C93" w14:textId="77777777" w:rsidR="00C541C6" w:rsidRPr="0031049E" w:rsidRDefault="00C541C6">
      <w:pPr>
        <w:rPr>
          <w:rFonts w:eastAsia="Calibri"/>
          <w:color w:val="auto"/>
          <w:szCs w:val="20"/>
        </w:rPr>
      </w:pPr>
      <w:r w:rsidRPr="0031049E">
        <w:rPr>
          <w:rFonts w:eastAsia="Calibri"/>
          <w:color w:val="auto"/>
          <w:szCs w:val="20"/>
        </w:rPr>
        <w:br w:type="page"/>
      </w:r>
    </w:p>
    <w:p w14:paraId="3227E5B5" w14:textId="5FC4ABCF" w:rsidR="00EA3E30" w:rsidRPr="0031049E" w:rsidRDefault="00F400C1" w:rsidP="00C528FF">
      <w:pPr>
        <w:spacing w:after="0" w:line="360" w:lineRule="auto"/>
        <w:rPr>
          <w:rFonts w:eastAsia="Calibri"/>
          <w:color w:val="auto"/>
          <w:szCs w:val="20"/>
        </w:rPr>
      </w:pPr>
      <w:r w:rsidRPr="0031049E">
        <w:rPr>
          <w:rFonts w:eastAsia="Calibri"/>
          <w:noProof/>
          <w:color w:val="auto"/>
          <w:szCs w:val="20"/>
        </w:rPr>
        <w:lastRenderedPageBreak/>
        <w:drawing>
          <wp:inline distT="0" distB="0" distL="0" distR="0" wp14:anchorId="360E5590" wp14:editId="41FDD40A">
            <wp:extent cx="5896800" cy="3056889"/>
            <wp:effectExtent l="0" t="0" r="0" b="0"/>
            <wp:docPr id="3242857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6800" cy="3056889"/>
                    </a:xfrm>
                    <a:prstGeom prst="rect">
                      <a:avLst/>
                    </a:prstGeom>
                    <a:noFill/>
                  </pic:spPr>
                </pic:pic>
              </a:graphicData>
            </a:graphic>
          </wp:inline>
        </w:drawing>
      </w:r>
    </w:p>
    <w:p w14:paraId="39996B33" w14:textId="77777777" w:rsidR="00F400C1" w:rsidRPr="0031049E" w:rsidRDefault="00F400C1" w:rsidP="00C528FF">
      <w:pPr>
        <w:spacing w:after="0" w:line="360" w:lineRule="auto"/>
        <w:rPr>
          <w:rFonts w:eastAsia="Calibri"/>
          <w:color w:val="auto"/>
          <w:szCs w:val="20"/>
        </w:rPr>
      </w:pPr>
    </w:p>
    <w:p w14:paraId="4C5ECBB8" w14:textId="06020F0C" w:rsidR="00F400C1" w:rsidRPr="0031049E" w:rsidRDefault="00F400C1" w:rsidP="00C528FF">
      <w:pPr>
        <w:spacing w:after="0" w:line="360" w:lineRule="auto"/>
        <w:rPr>
          <w:rFonts w:eastAsia="Calibri"/>
          <w:color w:val="auto"/>
          <w:szCs w:val="20"/>
        </w:rPr>
      </w:pPr>
      <w:r w:rsidRPr="0031049E">
        <w:rPr>
          <w:rFonts w:eastAsia="Calibri"/>
          <w:noProof/>
          <w:color w:val="auto"/>
          <w:szCs w:val="20"/>
        </w:rPr>
        <w:drawing>
          <wp:inline distT="0" distB="0" distL="0" distR="0" wp14:anchorId="62135442" wp14:editId="5749B6FC">
            <wp:extent cx="5896800" cy="2876301"/>
            <wp:effectExtent l="0" t="0" r="8890" b="0"/>
            <wp:docPr id="16938655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6800" cy="2876301"/>
                    </a:xfrm>
                    <a:prstGeom prst="rect">
                      <a:avLst/>
                    </a:prstGeom>
                    <a:noFill/>
                  </pic:spPr>
                </pic:pic>
              </a:graphicData>
            </a:graphic>
          </wp:inline>
        </w:drawing>
      </w:r>
    </w:p>
    <w:p w14:paraId="50D81B92" w14:textId="77777777" w:rsidR="00F400C1" w:rsidRPr="0031049E" w:rsidRDefault="00F400C1" w:rsidP="00C528FF">
      <w:pPr>
        <w:spacing w:after="0" w:line="360" w:lineRule="auto"/>
        <w:rPr>
          <w:rFonts w:eastAsia="Calibri"/>
          <w:color w:val="auto"/>
          <w:szCs w:val="20"/>
        </w:rPr>
      </w:pPr>
    </w:p>
    <w:p w14:paraId="490A0E27" w14:textId="460B1D91" w:rsidR="00F400C1" w:rsidRPr="0031049E" w:rsidRDefault="00972B73" w:rsidP="00C528FF">
      <w:pPr>
        <w:spacing w:after="0" w:line="360" w:lineRule="auto"/>
        <w:rPr>
          <w:rFonts w:eastAsia="Calibri"/>
          <w:color w:val="auto"/>
          <w:szCs w:val="20"/>
        </w:rPr>
      </w:pPr>
      <w:r w:rsidRPr="0031049E">
        <w:rPr>
          <w:rFonts w:eastAsia="Calibri"/>
          <w:noProof/>
          <w:color w:val="auto"/>
          <w:szCs w:val="20"/>
        </w:rPr>
        <w:lastRenderedPageBreak/>
        <w:drawing>
          <wp:inline distT="0" distB="0" distL="0" distR="0" wp14:anchorId="6884A415" wp14:editId="376FCE4A">
            <wp:extent cx="5760000" cy="2598788"/>
            <wp:effectExtent l="0" t="0" r="0" b="0"/>
            <wp:docPr id="1159571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598788"/>
                    </a:xfrm>
                    <a:prstGeom prst="rect">
                      <a:avLst/>
                    </a:prstGeom>
                    <a:noFill/>
                  </pic:spPr>
                </pic:pic>
              </a:graphicData>
            </a:graphic>
          </wp:inline>
        </w:drawing>
      </w:r>
    </w:p>
    <w:p w14:paraId="380D0DA8" w14:textId="77777777" w:rsidR="00972B73" w:rsidRPr="0031049E" w:rsidRDefault="00972B73" w:rsidP="00C528FF">
      <w:pPr>
        <w:spacing w:after="0" w:line="360" w:lineRule="auto"/>
        <w:rPr>
          <w:rFonts w:eastAsia="Calibri"/>
          <w:color w:val="auto"/>
          <w:szCs w:val="20"/>
        </w:rPr>
      </w:pPr>
    </w:p>
    <w:p w14:paraId="70F1EB44" w14:textId="7B58F69D" w:rsidR="00972B73" w:rsidRPr="0031049E" w:rsidRDefault="00972B73" w:rsidP="00C528FF">
      <w:pPr>
        <w:spacing w:after="0" w:line="360" w:lineRule="auto"/>
        <w:rPr>
          <w:rFonts w:eastAsia="Calibri"/>
          <w:color w:val="auto"/>
          <w:szCs w:val="20"/>
        </w:rPr>
      </w:pPr>
      <w:r w:rsidRPr="0031049E">
        <w:rPr>
          <w:rFonts w:eastAsia="Calibri"/>
          <w:noProof/>
          <w:color w:val="auto"/>
          <w:szCs w:val="20"/>
        </w:rPr>
        <w:drawing>
          <wp:inline distT="0" distB="0" distL="0" distR="0" wp14:anchorId="7C839E9F" wp14:editId="5A422AC6">
            <wp:extent cx="4251443" cy="3600000"/>
            <wp:effectExtent l="0" t="0" r="0" b="635"/>
            <wp:docPr id="11135667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1443" cy="3600000"/>
                    </a:xfrm>
                    <a:prstGeom prst="rect">
                      <a:avLst/>
                    </a:prstGeom>
                    <a:noFill/>
                  </pic:spPr>
                </pic:pic>
              </a:graphicData>
            </a:graphic>
          </wp:inline>
        </w:drawing>
      </w:r>
    </w:p>
    <w:p w14:paraId="7A0D6D42" w14:textId="77777777" w:rsidR="00972B73" w:rsidRPr="0031049E" w:rsidRDefault="00972B73" w:rsidP="00C528FF">
      <w:pPr>
        <w:spacing w:after="0" w:line="360" w:lineRule="auto"/>
        <w:rPr>
          <w:rFonts w:eastAsia="Calibri"/>
          <w:color w:val="auto"/>
          <w:szCs w:val="20"/>
        </w:rPr>
      </w:pPr>
    </w:p>
    <w:p w14:paraId="6A963024" w14:textId="5D1121B1" w:rsidR="00972B73" w:rsidRPr="0031049E" w:rsidRDefault="005F3D1D" w:rsidP="00C528FF">
      <w:pPr>
        <w:spacing w:after="0" w:line="360" w:lineRule="auto"/>
        <w:rPr>
          <w:rFonts w:eastAsia="Calibri"/>
          <w:color w:val="auto"/>
          <w:szCs w:val="20"/>
        </w:rPr>
      </w:pPr>
      <w:r w:rsidRPr="0031049E">
        <w:rPr>
          <w:rFonts w:eastAsia="Calibri"/>
          <w:noProof/>
          <w:color w:val="auto"/>
          <w:szCs w:val="20"/>
        </w:rPr>
        <w:drawing>
          <wp:inline distT="0" distB="0" distL="0" distR="0" wp14:anchorId="6CC861E6" wp14:editId="3F25B390">
            <wp:extent cx="5040000" cy="1835223"/>
            <wp:effectExtent l="0" t="0" r="8255" b="0"/>
            <wp:docPr id="1046584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1835223"/>
                    </a:xfrm>
                    <a:prstGeom prst="rect">
                      <a:avLst/>
                    </a:prstGeom>
                    <a:noFill/>
                  </pic:spPr>
                </pic:pic>
              </a:graphicData>
            </a:graphic>
          </wp:inline>
        </w:drawing>
      </w:r>
    </w:p>
    <w:p w14:paraId="0E80D168" w14:textId="6A18E2E6" w:rsidR="005F3D1D" w:rsidRPr="0031049E" w:rsidRDefault="005F3D1D" w:rsidP="00C528FF">
      <w:pPr>
        <w:spacing w:after="0" w:line="360" w:lineRule="auto"/>
        <w:rPr>
          <w:rFonts w:eastAsia="Calibri"/>
          <w:color w:val="auto"/>
          <w:szCs w:val="20"/>
        </w:rPr>
      </w:pPr>
      <w:r w:rsidRPr="0031049E">
        <w:rPr>
          <w:rFonts w:eastAsia="Calibri"/>
          <w:noProof/>
          <w:color w:val="auto"/>
          <w:szCs w:val="20"/>
        </w:rPr>
        <w:lastRenderedPageBreak/>
        <w:drawing>
          <wp:inline distT="0" distB="0" distL="0" distR="0" wp14:anchorId="454833FE" wp14:editId="10103EB4">
            <wp:extent cx="4633539" cy="3600000"/>
            <wp:effectExtent l="0" t="0" r="0" b="635"/>
            <wp:docPr id="14076991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3539" cy="3600000"/>
                    </a:xfrm>
                    <a:prstGeom prst="rect">
                      <a:avLst/>
                    </a:prstGeom>
                    <a:noFill/>
                  </pic:spPr>
                </pic:pic>
              </a:graphicData>
            </a:graphic>
          </wp:inline>
        </w:drawing>
      </w:r>
    </w:p>
    <w:p w14:paraId="6FBC3109" w14:textId="77777777" w:rsidR="005F3D1D" w:rsidRPr="0031049E" w:rsidRDefault="005F3D1D" w:rsidP="00C528FF">
      <w:pPr>
        <w:spacing w:after="0" w:line="360" w:lineRule="auto"/>
        <w:rPr>
          <w:rFonts w:eastAsia="Calibri"/>
          <w:color w:val="auto"/>
          <w:szCs w:val="20"/>
        </w:rPr>
      </w:pPr>
    </w:p>
    <w:p w14:paraId="462AF35D" w14:textId="1A43E41D" w:rsidR="005F3D1D" w:rsidRPr="0031049E" w:rsidRDefault="00C60B55" w:rsidP="00C528FF">
      <w:pPr>
        <w:spacing w:after="0" w:line="360" w:lineRule="auto"/>
        <w:rPr>
          <w:rFonts w:eastAsia="Calibri"/>
          <w:color w:val="auto"/>
          <w:szCs w:val="20"/>
        </w:rPr>
      </w:pPr>
      <w:r w:rsidRPr="0031049E">
        <w:rPr>
          <w:rFonts w:eastAsia="Calibri"/>
          <w:noProof/>
          <w:color w:val="auto"/>
          <w:szCs w:val="20"/>
        </w:rPr>
        <w:drawing>
          <wp:inline distT="0" distB="0" distL="0" distR="0" wp14:anchorId="1DA7E6CD" wp14:editId="06D7637C">
            <wp:extent cx="4644000" cy="3519531"/>
            <wp:effectExtent l="0" t="0" r="4445" b="5080"/>
            <wp:docPr id="708086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44000" cy="3519531"/>
                    </a:xfrm>
                    <a:prstGeom prst="rect">
                      <a:avLst/>
                    </a:prstGeom>
                    <a:noFill/>
                  </pic:spPr>
                </pic:pic>
              </a:graphicData>
            </a:graphic>
          </wp:inline>
        </w:drawing>
      </w:r>
    </w:p>
    <w:p w14:paraId="34BAB2AD" w14:textId="77777777" w:rsidR="003753F5" w:rsidRPr="0031049E" w:rsidRDefault="003753F5" w:rsidP="00C528FF">
      <w:pPr>
        <w:spacing w:after="0" w:line="360" w:lineRule="auto"/>
        <w:rPr>
          <w:rFonts w:eastAsia="Calibri"/>
          <w:color w:val="auto"/>
          <w:szCs w:val="20"/>
        </w:rPr>
      </w:pPr>
    </w:p>
    <w:p w14:paraId="44C054AD" w14:textId="1186D9F1" w:rsidR="003753F5" w:rsidRPr="0031049E" w:rsidRDefault="003753F5" w:rsidP="00C528FF">
      <w:pPr>
        <w:spacing w:after="0" w:line="360" w:lineRule="auto"/>
        <w:rPr>
          <w:rFonts w:eastAsia="Calibri"/>
          <w:color w:val="auto"/>
          <w:szCs w:val="20"/>
        </w:rPr>
      </w:pPr>
      <w:r w:rsidRPr="0031049E">
        <w:rPr>
          <w:rFonts w:eastAsia="Calibri"/>
          <w:noProof/>
          <w:color w:val="auto"/>
          <w:szCs w:val="20"/>
        </w:rPr>
        <w:lastRenderedPageBreak/>
        <w:drawing>
          <wp:inline distT="0" distB="0" distL="0" distR="0" wp14:anchorId="6017030E" wp14:editId="1CDA8971">
            <wp:extent cx="4750179" cy="3600000"/>
            <wp:effectExtent l="0" t="0" r="0" b="635"/>
            <wp:docPr id="1592810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0179" cy="3600000"/>
                    </a:xfrm>
                    <a:prstGeom prst="rect">
                      <a:avLst/>
                    </a:prstGeom>
                    <a:noFill/>
                  </pic:spPr>
                </pic:pic>
              </a:graphicData>
            </a:graphic>
          </wp:inline>
        </w:drawing>
      </w:r>
    </w:p>
    <w:p w14:paraId="580CE5E9" w14:textId="77777777" w:rsidR="003753F5" w:rsidRPr="0031049E" w:rsidRDefault="003753F5" w:rsidP="00C528FF">
      <w:pPr>
        <w:spacing w:after="0" w:line="360" w:lineRule="auto"/>
        <w:rPr>
          <w:rFonts w:eastAsia="Calibri"/>
          <w:color w:val="auto"/>
          <w:szCs w:val="20"/>
        </w:rPr>
      </w:pPr>
    </w:p>
    <w:p w14:paraId="17350B87" w14:textId="375AD4EB" w:rsidR="00786C96" w:rsidRPr="0031049E" w:rsidRDefault="00786C96">
      <w:pPr>
        <w:rPr>
          <w:rFonts w:eastAsia="Calibri"/>
          <w:color w:val="auto"/>
          <w:szCs w:val="20"/>
        </w:rPr>
      </w:pPr>
      <w:r w:rsidRPr="0031049E">
        <w:rPr>
          <w:rFonts w:eastAsia="Calibri"/>
          <w:color w:val="auto"/>
          <w:szCs w:val="20"/>
        </w:rPr>
        <w:br w:type="page"/>
      </w:r>
    </w:p>
    <w:p w14:paraId="4EF6C983" w14:textId="5AF76CCD" w:rsidR="00786C96" w:rsidRPr="0031049E" w:rsidRDefault="00786C96" w:rsidP="00786C96">
      <w:pPr>
        <w:pStyle w:val="Heading1"/>
        <w:rPr>
          <w:rFonts w:asciiTheme="majorHAnsi" w:hAnsiTheme="majorHAnsi" w:cstheme="majorHAnsi"/>
          <w:b/>
          <w:bCs/>
          <w:color w:val="00B0F0" w:themeColor="accent1"/>
          <w:sz w:val="20"/>
          <w:szCs w:val="20"/>
        </w:rPr>
      </w:pPr>
      <w:r w:rsidRPr="0031049E">
        <w:rPr>
          <w:rFonts w:asciiTheme="majorHAnsi" w:hAnsiTheme="majorHAnsi" w:cstheme="majorHAnsi"/>
          <w:b/>
          <w:bCs/>
          <w:sz w:val="20"/>
          <w:szCs w:val="20"/>
        </w:rPr>
        <w:lastRenderedPageBreak/>
        <w:t>APPENDICES</w:t>
      </w:r>
    </w:p>
    <w:p w14:paraId="3349B6F2" w14:textId="5A987ABF" w:rsidR="00FF141C" w:rsidRPr="0031049E" w:rsidRDefault="00786C96" w:rsidP="00C528FF">
      <w:pPr>
        <w:spacing w:after="0" w:line="360" w:lineRule="auto"/>
        <w:rPr>
          <w:rFonts w:eastAsia="Calibri"/>
          <w:color w:val="auto"/>
          <w:szCs w:val="20"/>
        </w:rPr>
      </w:pPr>
      <w:r w:rsidRPr="0031049E">
        <w:rPr>
          <w:rFonts w:eastAsia="Calibri"/>
          <w:b/>
          <w:bCs/>
          <w:color w:val="auto"/>
          <w:szCs w:val="20"/>
        </w:rPr>
        <w:t>APPENDIX 1</w:t>
      </w:r>
      <w:r w:rsidR="00FF141C" w:rsidRPr="0031049E">
        <w:rPr>
          <w:rFonts w:eastAsia="Calibri"/>
          <w:b/>
          <w:bCs/>
          <w:color w:val="auto"/>
          <w:szCs w:val="20"/>
        </w:rPr>
        <w:t xml:space="preserve">: </w:t>
      </w:r>
      <w:r w:rsidR="00FF141C" w:rsidRPr="0031049E">
        <w:rPr>
          <w:rFonts w:eastAsia="Calibri"/>
          <w:color w:val="auto"/>
          <w:szCs w:val="20"/>
        </w:rPr>
        <w:t>SEARCH CRITERIA</w:t>
      </w:r>
    </w:p>
    <w:p w14:paraId="4E14A4F1" w14:textId="77777777" w:rsidR="00E4123F" w:rsidRPr="0031049E" w:rsidRDefault="00E4123F" w:rsidP="00E4123F">
      <w:pPr>
        <w:spacing w:after="0" w:line="240" w:lineRule="auto"/>
        <w:jc w:val="left"/>
        <w:rPr>
          <w:rFonts w:ascii="Times New Roman" w:eastAsia="Times New Roman" w:hAnsi="Times New Roman" w:cs="Times New Roman"/>
          <w:color w:val="auto"/>
          <w:sz w:val="24"/>
          <w:szCs w:val="24"/>
          <w:lang w:val="en-US"/>
        </w:rPr>
      </w:pPr>
      <w:r w:rsidRPr="0031049E">
        <w:rPr>
          <w:rFonts w:ascii="Arial Unicode MS" w:eastAsia="Arial Unicode MS" w:hAnsi="Arial Unicode MS" w:cs="Arial Unicode MS"/>
          <w:color w:val="auto"/>
          <w:szCs w:val="24"/>
          <w:lang w:val="en-US"/>
        </w:rPr>
        <w:t>Database: Embase &lt;1996 to 2022 Week 02&gt;</w:t>
      </w:r>
    </w:p>
    <w:p w14:paraId="0908973B"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Search Strategy:</w:t>
      </w:r>
    </w:p>
    <w:p w14:paraId="299E7891"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w:t>
      </w:r>
    </w:p>
    <w:p w14:paraId="3F842D1D"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     (levetiracetam or keppra).mp. [mp=title, abstract, heading word, drug trade name, original title, device manufacturer, drug manufacturer, device trade name, keyword heading word, floating subheading word, candidate term word] (16748)</w:t>
      </w:r>
    </w:p>
    <w:p w14:paraId="4CC39497"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2     exp levetiracetam/ (11013)</w:t>
      </w:r>
    </w:p>
    <w:p w14:paraId="062843A5"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3     1 or 2 (16748)</w:t>
      </w:r>
    </w:p>
    <w:p w14:paraId="51B7BBCD"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4     h#emodialysis.mp. [mp=title, abstract, heading word, drug trade name, original title, device manufacturer, drug manufacturer, device trade name, keyword heading word, floating subheading word, candidate term word] (17934)</w:t>
      </w:r>
    </w:p>
    <w:p w14:paraId="10AC7D6B"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5     h#emofiltration.mp. [mp=title, abstract, heading word, drug trade name, original title, device manufacturer, drug manufacturer, device trade name, keyword heading word, floating subheading word, candidate term word] (1190)</w:t>
      </w:r>
    </w:p>
    <w:p w14:paraId="44543276"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6     (continuous renal replacement or continuous renal replacement therapy or CRRT*).mp. [mp=title, abstract, heading word, drug trade name, original title, device manufacturer, drug manufacturer, device trade name, keyword heading word, floating subheading word, candidate term word] (9078)</w:t>
      </w:r>
    </w:p>
    <w:p w14:paraId="6D20A25F"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7     (CVVH* or continuous veno#venous h#emofil*).mp. [mp=title, abstract, heading word, drug trade name, original title, device manufacturer, drug manufacturer, device trade name, keyword heading word, floating subheading word, candidate term word] (2716)</w:t>
      </w:r>
    </w:p>
    <w:p w14:paraId="1801F79F"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8     exp hemofiltration/ (8133)</w:t>
      </w:r>
    </w:p>
    <w:p w14:paraId="1E8551D3"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9     exp continuous hemofiltration/ (2655)</w:t>
      </w:r>
    </w:p>
    <w:p w14:paraId="7BA0D4EE"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10     4 or 5 or 6 or 7 or 8 or 9 (34213)</w:t>
      </w:r>
    </w:p>
    <w:p w14:paraId="6415A106"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11     dos*.mp. [mp=title, abstract, heading word, drug trade name, original title, device manufacturer, drug manufacturer, device trade name, keyword heading word, floating subheading word, candidate term word] (2382020)</w:t>
      </w:r>
    </w:p>
    <w:p w14:paraId="2CCF590B"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12     exp drug monitoring/ (40652)</w:t>
      </w:r>
    </w:p>
    <w:p w14:paraId="2997CA1F"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13     (drug monitor* or TDM).mp. [mp=title, abstract, heading word, drug trade name, original title, device manufacturer, drug manufacturer, device trade name, keyword heading word, floating subheading word, candidate term word] (47632)</w:t>
      </w:r>
    </w:p>
    <w:p w14:paraId="3F31D9E8"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14     (pharmaco* or PK or PKPD).mp. [mp=title, abstract, heading word, drug trade name, original title, device manufacturer, drug manufacturer, device trade name, keyword heading word, floating subheading word, candidate term word] (2643449)</w:t>
      </w:r>
    </w:p>
    <w:p w14:paraId="76818088"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15     exp pharmacokinetics/ (573589)</w:t>
      </w:r>
    </w:p>
    <w:p w14:paraId="612CC6C8"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16     11 or 12 or 13 or 14 or 15 (4417124)</w:t>
      </w:r>
    </w:p>
    <w:p w14:paraId="0DD2DDB8"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17     3 and 10 and 16 (58)</w:t>
      </w:r>
    </w:p>
    <w:p w14:paraId="6D90A75E"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18     limit 17 to (english language and yr="2000 -Current") (58)</w:t>
      </w:r>
    </w:p>
    <w:p w14:paraId="6171C4F2"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p>
    <w:p w14:paraId="649D653C"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w:t>
      </w:r>
    </w:p>
    <w:p w14:paraId="3E37C5FB"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p>
    <w:p w14:paraId="7CB31116"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p>
    <w:p w14:paraId="7CA37033" w14:textId="77777777" w:rsidR="00E4123F" w:rsidRPr="0031049E" w:rsidRDefault="00E4123F" w:rsidP="00E4123F">
      <w:pPr>
        <w:spacing w:after="0" w:line="240" w:lineRule="auto"/>
        <w:jc w:val="left"/>
        <w:rPr>
          <w:rFonts w:ascii="Times New Roman" w:eastAsia="Times New Roman" w:hAnsi="Times New Roman" w:cs="Times New Roman"/>
          <w:color w:val="auto"/>
          <w:sz w:val="24"/>
          <w:szCs w:val="24"/>
          <w:lang w:val="en-US"/>
        </w:rPr>
      </w:pPr>
      <w:r w:rsidRPr="0031049E">
        <w:rPr>
          <w:rFonts w:ascii="Arial Unicode MS" w:eastAsia="Arial Unicode MS" w:hAnsi="Arial Unicode MS" w:cs="Arial Unicode MS"/>
          <w:color w:val="auto"/>
          <w:szCs w:val="24"/>
          <w:lang w:val="en-US"/>
        </w:rPr>
        <w:t>Database: Ovid MEDLINE(R) ALL &lt;1946 to January 26, 2022&gt;</w:t>
      </w:r>
    </w:p>
    <w:p w14:paraId="2514546F"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Search Strategy:</w:t>
      </w:r>
    </w:p>
    <w:p w14:paraId="17F7DC33"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w:t>
      </w:r>
    </w:p>
    <w:p w14:paraId="1AC75B02"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     (levetiracetam or keppra).mp. [mp=title, abstract, original title, name of substance word, subject heading word, floating sub-heading word, keyword heading word, organism supplementary concept word, protocol supplementary concept word, rare disease supplementary concept word, unique identifier, synonyms] (4712)</w:t>
      </w:r>
    </w:p>
    <w:p w14:paraId="6CFB2454"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2     exp Levetiracetam/ (2478)</w:t>
      </w:r>
    </w:p>
    <w:p w14:paraId="79ADAB17"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3     exp Renal Dialysis/ (120351)</w:t>
      </w:r>
    </w:p>
    <w:p w14:paraId="168985DF"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4     (h#emodialysis or h#emofiltration).mp. [mp=title, abstract, original title, name of substance word, subject heading word, floating sub-heading word, keyword heading word, organism supplementary concept word, protocol supplementary concept word, rare disease supplementary concept word, unique identifier, synonyms] (16684)</w:t>
      </w:r>
    </w:p>
    <w:p w14:paraId="34E180DF"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5     (continuous renal replacement or continuous renal replacement therapy or CRRT*).mp. [mp=title, abstract, original title, name of substance word, subject heading word, floating sub-heading word, keyword heading word, organism supplementary concept word, protocol supplementary concept word, rare disease supplementary concept word, unique identifier, synonyms] (3737)</w:t>
      </w:r>
    </w:p>
    <w:p w14:paraId="4A19C214"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6     (CVVH* or continuous veno#venous h#emofil*).mp. [mp=title, abstract, original title, name of substance word, subject heading word, floating sub-heading word, keyword heading word, organism supplementary concept word, protocol supplementary concept word, rare disease supplementary concept word, unique identifier, synonyms] (1306)</w:t>
      </w:r>
    </w:p>
    <w:p w14:paraId="593755A7"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7     exp Hemofiltration/ (7015)</w:t>
      </w:r>
    </w:p>
    <w:p w14:paraId="3ADDC016"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8     exp Continuous Renal Replacement Therapy/ (460)</w:t>
      </w:r>
    </w:p>
    <w:p w14:paraId="681ECC5A"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9     dos*.mp. (2974912)</w:t>
      </w:r>
    </w:p>
    <w:p w14:paraId="00929A07"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10     (drug monitor* or TDM).mp. [mp=title, abstract, original title, name of substance word, subject heading word, floating sub-heading word, keyword heading word, organism supplementary concept word, protocol supplementary concept word, rare disease supplementary concept word, unique identifier, synonyms] (31552)</w:t>
      </w:r>
    </w:p>
    <w:p w14:paraId="132B9F4A"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11     (pharmaco* or PK or PKPD).mp. [mp=title, abstract, original title, name of substance word, subject heading word, floating sub-heading word, keyword heading word, organism supplementary concept word, protocol supplementary concept word, rare disease supplementary concept word, unique identifier, synonyms] (3875851)</w:t>
      </w:r>
    </w:p>
    <w:p w14:paraId="0B8A9BD3"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12     exp Pharmacokinetics/ (327036)</w:t>
      </w:r>
    </w:p>
    <w:p w14:paraId="5F88A6A2"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13     1 or 2 (4712)</w:t>
      </w:r>
    </w:p>
    <w:p w14:paraId="186D8728"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14     3 or 4 or 5 or 6 or 7 or 8 (130778)</w:t>
      </w:r>
    </w:p>
    <w:p w14:paraId="3CE6D3B6"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15     9 or 10 or 11 or 12 (5989859)</w:t>
      </w:r>
    </w:p>
    <w:p w14:paraId="7E54C036"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lastRenderedPageBreak/>
        <w:t>16     13 and 14 and 15 (21)</w:t>
      </w:r>
    </w:p>
    <w:p w14:paraId="145EC251"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17     limit 16 to (english language and yr="2000 -Current") (20)</w:t>
      </w:r>
    </w:p>
    <w:p w14:paraId="12516A15"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p>
    <w:p w14:paraId="585F5423" w14:textId="77777777" w:rsidR="00E4123F" w:rsidRPr="0031049E" w:rsidRDefault="00E4123F" w:rsidP="00E4123F">
      <w:pPr>
        <w:spacing w:after="0" w:line="240" w:lineRule="auto"/>
        <w:jc w:val="left"/>
        <w:rPr>
          <w:rFonts w:ascii="Arial Unicode MS" w:eastAsia="Arial Unicode MS" w:hAnsi="Arial Unicode MS" w:cs="Arial Unicode MS"/>
          <w:color w:val="auto"/>
          <w:szCs w:val="24"/>
          <w:lang w:val="en-US"/>
        </w:rPr>
      </w:pPr>
      <w:r w:rsidRPr="0031049E">
        <w:rPr>
          <w:rFonts w:ascii="Arial Unicode MS" w:eastAsia="Arial Unicode MS" w:hAnsi="Arial Unicode MS" w:cs="Arial Unicode MS"/>
          <w:color w:val="auto"/>
          <w:szCs w:val="24"/>
          <w:lang w:val="en-US"/>
        </w:rPr>
        <w:t>***************************</w:t>
      </w:r>
    </w:p>
    <w:p w14:paraId="15D1D69B" w14:textId="77777777" w:rsidR="00E4123F" w:rsidRPr="0031049E" w:rsidRDefault="00E4123F" w:rsidP="00C528FF">
      <w:pPr>
        <w:spacing w:after="0" w:line="360" w:lineRule="auto"/>
        <w:rPr>
          <w:rFonts w:eastAsia="Calibri"/>
          <w:color w:val="auto"/>
          <w:szCs w:val="20"/>
        </w:rPr>
      </w:pPr>
    </w:p>
    <w:p w14:paraId="288A36C7" w14:textId="42A49CEC" w:rsidR="00E4123F" w:rsidRPr="0031049E" w:rsidRDefault="000042DD" w:rsidP="00C528FF">
      <w:pPr>
        <w:spacing w:after="0" w:line="360" w:lineRule="auto"/>
        <w:rPr>
          <w:rFonts w:eastAsia="Calibri"/>
          <w:color w:val="auto"/>
          <w:szCs w:val="20"/>
        </w:rPr>
      </w:pPr>
      <w:r w:rsidRPr="0031049E">
        <w:rPr>
          <w:rFonts w:eastAsia="Calibri"/>
          <w:b/>
          <w:bCs/>
          <w:color w:val="auto"/>
          <w:szCs w:val="20"/>
        </w:rPr>
        <w:t xml:space="preserve">APPENDIX 2: </w:t>
      </w:r>
      <w:r w:rsidRPr="0031049E">
        <w:rPr>
          <w:rFonts w:eastAsia="Calibri"/>
          <w:color w:val="auto"/>
          <w:szCs w:val="20"/>
        </w:rPr>
        <w:t>Detailed framework of our hybrid Quality Assessment Method.</w:t>
      </w:r>
    </w:p>
    <w:p w14:paraId="64A83423" w14:textId="77777777" w:rsidR="00836355" w:rsidRPr="0031049E" w:rsidRDefault="00836355" w:rsidP="00C528FF">
      <w:pPr>
        <w:spacing w:after="0" w:line="360" w:lineRule="auto"/>
        <w:rPr>
          <w:rFonts w:eastAsia="Calibri"/>
          <w:color w:val="auto"/>
          <w:szCs w:val="20"/>
        </w:rPr>
      </w:pPr>
    </w:p>
    <w:p w14:paraId="2135D31E" w14:textId="4A0B5520" w:rsidR="00836355" w:rsidRPr="0031049E" w:rsidRDefault="00C25930" w:rsidP="00C528FF">
      <w:pPr>
        <w:spacing w:after="0" w:line="360" w:lineRule="auto"/>
        <w:rPr>
          <w:rFonts w:eastAsia="Calibri"/>
          <w:color w:val="auto"/>
          <w:szCs w:val="20"/>
        </w:rPr>
      </w:pPr>
      <w:r w:rsidRPr="0031049E">
        <w:rPr>
          <w:rFonts w:eastAsia="Calibri"/>
          <w:noProof/>
          <w:color w:val="auto"/>
          <w:szCs w:val="20"/>
        </w:rPr>
        <w:drawing>
          <wp:inline distT="0" distB="0" distL="0" distR="0" wp14:anchorId="176B9BF2" wp14:editId="48EBE5C5">
            <wp:extent cx="5835600" cy="3477710"/>
            <wp:effectExtent l="0" t="0" r="0" b="0"/>
            <wp:docPr id="3921716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35600" cy="3477710"/>
                    </a:xfrm>
                    <a:prstGeom prst="rect">
                      <a:avLst/>
                    </a:prstGeom>
                    <a:noFill/>
                  </pic:spPr>
                </pic:pic>
              </a:graphicData>
            </a:graphic>
          </wp:inline>
        </w:drawing>
      </w:r>
    </w:p>
    <w:p w14:paraId="4046F978" w14:textId="77777777" w:rsidR="00836355" w:rsidRPr="0031049E" w:rsidRDefault="00836355" w:rsidP="00C528FF">
      <w:pPr>
        <w:spacing w:after="0" w:line="360" w:lineRule="auto"/>
        <w:rPr>
          <w:rFonts w:eastAsia="Calibri"/>
          <w:color w:val="auto"/>
          <w:szCs w:val="20"/>
        </w:rPr>
      </w:pPr>
    </w:p>
    <w:p w14:paraId="737BB9EE" w14:textId="5D2A46B5" w:rsidR="00836355" w:rsidRPr="0031049E" w:rsidRDefault="00836355" w:rsidP="00836355">
      <w:pPr>
        <w:spacing w:after="0" w:line="360" w:lineRule="auto"/>
        <w:rPr>
          <w:rFonts w:eastAsia="Calibri"/>
          <w:color w:val="auto"/>
          <w:szCs w:val="20"/>
        </w:rPr>
      </w:pPr>
      <w:r w:rsidRPr="0031049E">
        <w:rPr>
          <w:rFonts w:eastAsia="Calibri"/>
          <w:b/>
          <w:bCs/>
          <w:color w:val="auto"/>
          <w:szCs w:val="20"/>
        </w:rPr>
        <w:t xml:space="preserve">APPENDIX </w:t>
      </w:r>
      <w:r w:rsidR="00301DE1" w:rsidRPr="0031049E">
        <w:rPr>
          <w:rFonts w:eastAsia="Calibri"/>
          <w:b/>
          <w:bCs/>
          <w:color w:val="auto"/>
          <w:szCs w:val="20"/>
        </w:rPr>
        <w:t>3</w:t>
      </w:r>
      <w:r w:rsidRPr="0031049E">
        <w:rPr>
          <w:rFonts w:eastAsia="Calibri"/>
          <w:b/>
          <w:bCs/>
          <w:color w:val="auto"/>
          <w:szCs w:val="20"/>
        </w:rPr>
        <w:t xml:space="preserve">: </w:t>
      </w:r>
      <w:r w:rsidR="00301DE1" w:rsidRPr="0031049E">
        <w:rPr>
          <w:rFonts w:eastAsia="Calibri"/>
          <w:color w:val="auto"/>
          <w:szCs w:val="20"/>
        </w:rPr>
        <w:t>Ad-hoc analysis of patients with sub-therapeutic drug concentrati</w:t>
      </w:r>
      <w:r w:rsidR="00CD01F2" w:rsidRPr="0031049E">
        <w:rPr>
          <w:rFonts w:eastAsia="Calibri"/>
          <w:color w:val="auto"/>
          <w:szCs w:val="20"/>
        </w:rPr>
        <w:t>o</w:t>
      </w:r>
      <w:r w:rsidR="00301DE1" w:rsidRPr="0031049E">
        <w:rPr>
          <w:rFonts w:eastAsia="Calibri"/>
          <w:color w:val="auto"/>
          <w:szCs w:val="20"/>
        </w:rPr>
        <w:t>ns.</w:t>
      </w:r>
    </w:p>
    <w:p w14:paraId="2BFF12A9" w14:textId="77777777" w:rsidR="00836355" w:rsidRPr="0031049E" w:rsidRDefault="00836355" w:rsidP="00C528FF">
      <w:pPr>
        <w:spacing w:after="0" w:line="360" w:lineRule="auto"/>
        <w:rPr>
          <w:rFonts w:eastAsia="Calibri"/>
          <w:color w:val="auto"/>
          <w:szCs w:val="20"/>
        </w:rPr>
      </w:pPr>
    </w:p>
    <w:p w14:paraId="4CF0825A" w14:textId="7C48B4CC" w:rsidR="00301DE1" w:rsidRPr="00FF141C" w:rsidRDefault="00301DE1" w:rsidP="00C528FF">
      <w:pPr>
        <w:spacing w:after="0" w:line="360" w:lineRule="auto"/>
        <w:rPr>
          <w:rFonts w:eastAsia="Calibri"/>
          <w:color w:val="auto"/>
          <w:szCs w:val="20"/>
        </w:rPr>
      </w:pPr>
      <w:r w:rsidRPr="0031049E">
        <w:rPr>
          <w:rFonts w:eastAsia="Calibri"/>
          <w:noProof/>
          <w:color w:val="auto"/>
          <w:szCs w:val="20"/>
        </w:rPr>
        <w:lastRenderedPageBreak/>
        <w:drawing>
          <wp:inline distT="0" distB="0" distL="0" distR="0" wp14:anchorId="434ED088" wp14:editId="4C8FEFB6">
            <wp:extent cx="5591175" cy="3127011"/>
            <wp:effectExtent l="0" t="0" r="0" b="0"/>
            <wp:docPr id="14304566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4609" cy="3140117"/>
                    </a:xfrm>
                    <a:prstGeom prst="rect">
                      <a:avLst/>
                    </a:prstGeom>
                    <a:noFill/>
                  </pic:spPr>
                </pic:pic>
              </a:graphicData>
            </a:graphic>
          </wp:inline>
        </w:drawing>
      </w:r>
    </w:p>
    <w:sectPr w:rsidR="00301DE1" w:rsidRPr="00FF141C" w:rsidSect="0052642A">
      <w:footerReference w:type="default" r:id="rId20"/>
      <w:pgSz w:w="11906" w:h="16838"/>
      <w:pgMar w:top="1440" w:right="1440" w:bottom="1440" w:left="1440" w:header="227"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40964" w14:textId="77777777" w:rsidR="00DF544A" w:rsidRDefault="00DF544A" w:rsidP="00713A24">
      <w:r>
        <w:separator/>
      </w:r>
    </w:p>
    <w:p w14:paraId="1BD90D75" w14:textId="77777777" w:rsidR="00DF544A" w:rsidRDefault="00DF544A" w:rsidP="00713A24"/>
    <w:p w14:paraId="70E609F5" w14:textId="77777777" w:rsidR="00DF544A" w:rsidRDefault="00DF544A" w:rsidP="00713A24"/>
    <w:p w14:paraId="4418EEA5" w14:textId="77777777" w:rsidR="00DF544A" w:rsidRDefault="00DF544A"/>
  </w:endnote>
  <w:endnote w:type="continuationSeparator" w:id="0">
    <w:p w14:paraId="7C6D9504" w14:textId="77777777" w:rsidR="00DF544A" w:rsidRDefault="00DF544A" w:rsidP="00713A24">
      <w:r>
        <w:continuationSeparator/>
      </w:r>
    </w:p>
    <w:p w14:paraId="12FAAFB8" w14:textId="77777777" w:rsidR="00DF544A" w:rsidRDefault="00DF544A" w:rsidP="00713A24"/>
    <w:p w14:paraId="3633E3A9" w14:textId="77777777" w:rsidR="00DF544A" w:rsidRDefault="00DF544A" w:rsidP="00713A24"/>
    <w:p w14:paraId="7FB19E9C" w14:textId="77777777" w:rsidR="00DF544A" w:rsidRDefault="00DF5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ews Gothic MT">
    <w:panose1 w:val="020B0503020103020203"/>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Segoe UI Semilight" w:hAnsi="Segoe UI Semilight" w:cs="Segoe UI Semilight"/>
        <w:color w:val="9B9B9B" w:themeColor="text1" w:themeTint="99"/>
        <w:sz w:val="18"/>
      </w:rPr>
      <w:id w:val="287243544"/>
      <w:docPartObj>
        <w:docPartGallery w:val="Page Numbers (Bottom of Page)"/>
        <w:docPartUnique/>
      </w:docPartObj>
    </w:sdtPr>
    <w:sdtEndPr/>
    <w:sdtContent>
      <w:p w14:paraId="109A0ED2" w14:textId="20F07A09" w:rsidR="00563F71" w:rsidRPr="00563F71" w:rsidRDefault="00563F71">
        <w:pPr>
          <w:pStyle w:val="Footer"/>
          <w:jc w:val="center"/>
          <w:rPr>
            <w:rFonts w:ascii="Segoe UI Semilight" w:hAnsi="Segoe UI Semilight" w:cs="Segoe UI Semilight"/>
            <w:color w:val="9B9B9B" w:themeColor="text1" w:themeTint="99"/>
            <w:sz w:val="18"/>
          </w:rPr>
        </w:pPr>
        <w:r w:rsidRPr="00563F71">
          <w:rPr>
            <w:rFonts w:ascii="Segoe UI Semilight" w:hAnsi="Segoe UI Semilight" w:cs="Segoe UI Semilight"/>
            <w:color w:val="9B9B9B" w:themeColor="text1" w:themeTint="99"/>
            <w:sz w:val="18"/>
          </w:rPr>
          <w:t>[</w:t>
        </w:r>
        <w:r w:rsidRPr="00563F71">
          <w:rPr>
            <w:rFonts w:ascii="Segoe UI Semilight" w:hAnsi="Segoe UI Semilight" w:cs="Segoe UI Semilight"/>
            <w:color w:val="9B9B9B" w:themeColor="text1" w:themeTint="99"/>
            <w:sz w:val="18"/>
          </w:rPr>
          <w:fldChar w:fldCharType="begin"/>
        </w:r>
        <w:r w:rsidRPr="00563F71">
          <w:rPr>
            <w:rFonts w:ascii="Segoe UI Semilight" w:hAnsi="Segoe UI Semilight" w:cs="Segoe UI Semilight"/>
            <w:color w:val="9B9B9B" w:themeColor="text1" w:themeTint="99"/>
            <w:sz w:val="18"/>
          </w:rPr>
          <w:instrText xml:space="preserve"> PAGE   \* MERGEFORMAT </w:instrText>
        </w:r>
        <w:r w:rsidRPr="00563F71">
          <w:rPr>
            <w:rFonts w:ascii="Segoe UI Semilight" w:hAnsi="Segoe UI Semilight" w:cs="Segoe UI Semilight"/>
            <w:color w:val="9B9B9B" w:themeColor="text1" w:themeTint="99"/>
            <w:sz w:val="18"/>
          </w:rPr>
          <w:fldChar w:fldCharType="separate"/>
        </w:r>
        <w:r w:rsidR="00B21930">
          <w:rPr>
            <w:rFonts w:ascii="Segoe UI Semilight" w:hAnsi="Segoe UI Semilight" w:cs="Segoe UI Semilight"/>
            <w:noProof/>
            <w:color w:val="9B9B9B" w:themeColor="text1" w:themeTint="99"/>
            <w:sz w:val="18"/>
          </w:rPr>
          <w:t>8</w:t>
        </w:r>
        <w:r w:rsidRPr="00563F71">
          <w:rPr>
            <w:rFonts w:ascii="Segoe UI Semilight" w:hAnsi="Segoe UI Semilight" w:cs="Segoe UI Semilight"/>
            <w:noProof/>
            <w:color w:val="9B9B9B" w:themeColor="text1" w:themeTint="99"/>
            <w:sz w:val="18"/>
          </w:rPr>
          <w:fldChar w:fldCharType="end"/>
        </w:r>
        <w:r w:rsidRPr="00563F71">
          <w:rPr>
            <w:rFonts w:ascii="Segoe UI Semilight" w:hAnsi="Segoe UI Semilight" w:cs="Segoe UI Semilight"/>
            <w:color w:val="9B9B9B" w:themeColor="text1" w:themeTint="99"/>
            <w:sz w:val="18"/>
          </w:rPr>
          <w:t>]</w:t>
        </w:r>
      </w:p>
    </w:sdtContent>
  </w:sdt>
  <w:p w14:paraId="2F750ADB" w14:textId="77777777" w:rsidR="00901F9E" w:rsidRPr="00FE49E2" w:rsidRDefault="00901F9E" w:rsidP="00FE49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4F0175" w14:textId="77777777" w:rsidR="00DF544A" w:rsidRDefault="00DF544A" w:rsidP="00713A24">
      <w:r>
        <w:separator/>
      </w:r>
    </w:p>
    <w:p w14:paraId="2EF7C6B0" w14:textId="77777777" w:rsidR="00DF544A" w:rsidRDefault="00DF544A" w:rsidP="00713A24"/>
    <w:p w14:paraId="728E17F7" w14:textId="77777777" w:rsidR="00DF544A" w:rsidRDefault="00DF544A" w:rsidP="00713A24"/>
    <w:p w14:paraId="503A4A40" w14:textId="77777777" w:rsidR="00DF544A" w:rsidRDefault="00DF544A"/>
  </w:footnote>
  <w:footnote w:type="continuationSeparator" w:id="0">
    <w:p w14:paraId="07293F94" w14:textId="77777777" w:rsidR="00DF544A" w:rsidRDefault="00DF544A" w:rsidP="00713A24">
      <w:r>
        <w:continuationSeparator/>
      </w:r>
    </w:p>
    <w:p w14:paraId="5478C032" w14:textId="77777777" w:rsidR="00DF544A" w:rsidRDefault="00DF544A" w:rsidP="00713A24"/>
    <w:p w14:paraId="3772172E" w14:textId="77777777" w:rsidR="00DF544A" w:rsidRDefault="00DF544A" w:rsidP="00713A24"/>
    <w:p w14:paraId="2EF01176" w14:textId="77777777" w:rsidR="00DF544A" w:rsidRDefault="00DF544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F200F"/>
    <w:multiLevelType w:val="hybridMultilevel"/>
    <w:tmpl w:val="53125D38"/>
    <w:lvl w:ilvl="0" w:tplc="0C5442CE">
      <w:start w:val="1"/>
      <w:numFmt w:val="bullet"/>
      <w:lvlText w:val="-"/>
      <w:lvlJc w:val="left"/>
      <w:pPr>
        <w:ind w:left="2137" w:hanging="360"/>
      </w:pPr>
      <w:rPr>
        <w:rFonts w:ascii="Courier New" w:hAnsi="Courier New"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1" w15:restartNumberingAfterBreak="0">
    <w:nsid w:val="053B6233"/>
    <w:multiLevelType w:val="multilevel"/>
    <w:tmpl w:val="F538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383EE1"/>
    <w:multiLevelType w:val="hybridMultilevel"/>
    <w:tmpl w:val="ABBE2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AF105A"/>
    <w:multiLevelType w:val="multilevel"/>
    <w:tmpl w:val="0486030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3E519A"/>
    <w:multiLevelType w:val="hybridMultilevel"/>
    <w:tmpl w:val="7700B8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E6C9C"/>
    <w:multiLevelType w:val="multilevel"/>
    <w:tmpl w:val="B7D4D1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Wingdings" w:hAnsi="Wingdings"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24945"/>
    <w:multiLevelType w:val="multilevel"/>
    <w:tmpl w:val="29C0F4A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72181B"/>
    <w:multiLevelType w:val="multilevel"/>
    <w:tmpl w:val="F0CC7D1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161A1A46"/>
    <w:multiLevelType w:val="hybridMultilevel"/>
    <w:tmpl w:val="EC40F7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71F4486"/>
    <w:multiLevelType w:val="multilevel"/>
    <w:tmpl w:val="34F4F94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0F7865"/>
    <w:multiLevelType w:val="multilevel"/>
    <w:tmpl w:val="FFBED52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B390344"/>
    <w:multiLevelType w:val="multilevel"/>
    <w:tmpl w:val="CD56E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A37AE0"/>
    <w:multiLevelType w:val="hybridMultilevel"/>
    <w:tmpl w:val="661A4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B303D6"/>
    <w:multiLevelType w:val="hybridMultilevel"/>
    <w:tmpl w:val="50BCAB34"/>
    <w:lvl w:ilvl="0" w:tplc="613CB87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C84793"/>
    <w:multiLevelType w:val="hybridMultilevel"/>
    <w:tmpl w:val="10CA796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ED8056F"/>
    <w:multiLevelType w:val="hybridMultilevel"/>
    <w:tmpl w:val="4EE2AB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264195"/>
    <w:multiLevelType w:val="hybridMultilevel"/>
    <w:tmpl w:val="772A23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3495EFA"/>
    <w:multiLevelType w:val="multilevel"/>
    <w:tmpl w:val="DA2E924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D940A2"/>
    <w:multiLevelType w:val="hybridMultilevel"/>
    <w:tmpl w:val="8C58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F55523"/>
    <w:multiLevelType w:val="hybridMultilevel"/>
    <w:tmpl w:val="EFE85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9B0263"/>
    <w:multiLevelType w:val="multilevel"/>
    <w:tmpl w:val="78A27FF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6535578"/>
    <w:multiLevelType w:val="multilevel"/>
    <w:tmpl w:val="4B86DB0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DD72C4"/>
    <w:multiLevelType w:val="multilevel"/>
    <w:tmpl w:val="2D267C8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DE3E59"/>
    <w:multiLevelType w:val="hybridMultilevel"/>
    <w:tmpl w:val="855C8222"/>
    <w:lvl w:ilvl="0" w:tplc="1EAE3A86">
      <w:start w:val="1"/>
      <w:numFmt w:val="bullet"/>
      <w:lvlText w:val="-"/>
      <w:lvlJc w:val="left"/>
      <w:pPr>
        <w:ind w:left="405" w:hanging="360"/>
      </w:pPr>
      <w:rPr>
        <w:rFonts w:ascii="Calibri" w:eastAsiaTheme="minorHAns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24" w15:restartNumberingAfterBreak="0">
    <w:nsid w:val="462B1F84"/>
    <w:multiLevelType w:val="hybridMultilevel"/>
    <w:tmpl w:val="958CC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8C1D2B"/>
    <w:multiLevelType w:val="hybridMultilevel"/>
    <w:tmpl w:val="5F825E4A"/>
    <w:lvl w:ilvl="0" w:tplc="08090001">
      <w:start w:val="1"/>
      <w:numFmt w:val="bullet"/>
      <w:lvlText w:val=""/>
      <w:lvlJc w:val="left"/>
      <w:pPr>
        <w:ind w:left="720" w:hanging="360"/>
      </w:pPr>
      <w:rPr>
        <w:rFonts w:ascii="Symbol" w:hAnsi="Symbol" w:hint="default"/>
      </w:rPr>
    </w:lvl>
    <w:lvl w:ilvl="1" w:tplc="270A3428">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12F4B"/>
    <w:multiLevelType w:val="multilevel"/>
    <w:tmpl w:val="FB28DB6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02786A"/>
    <w:multiLevelType w:val="hybridMultilevel"/>
    <w:tmpl w:val="E3F6D756"/>
    <w:lvl w:ilvl="0" w:tplc="990AC1DE">
      <w:start w:val="1"/>
      <w:numFmt w:val="decimal"/>
      <w:lvlText w:val="%1."/>
      <w:lvlJc w:val="left"/>
      <w:pPr>
        <w:ind w:left="720" w:hanging="360"/>
      </w:pPr>
      <w:rPr>
        <w:rFonts w:ascii="Calibri" w:hAnsi="Calibri" w:hint="default"/>
        <w:b w:val="0"/>
        <w:i w:val="0"/>
        <w:sz w:val="22"/>
      </w:rPr>
    </w:lvl>
    <w:lvl w:ilvl="1" w:tplc="DBC6CE78">
      <w:start w:val="1"/>
      <w:numFmt w:val="bullet"/>
      <w:lvlText w:val="–"/>
      <w:lvlJc w:val="left"/>
      <w:pPr>
        <w:ind w:left="1440" w:hanging="360"/>
      </w:pPr>
      <w:rPr>
        <w:rFonts w:ascii="Segoe UI Semilight" w:hAnsi="Segoe UI Semi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4E5774"/>
    <w:multiLevelType w:val="multilevel"/>
    <w:tmpl w:val="AD564D20"/>
    <w:lvl w:ilvl="0">
      <w:start w:val="1"/>
      <w:numFmt w:val="bullet"/>
      <w:lvlText w:val="o"/>
      <w:lvlJc w:val="left"/>
      <w:pPr>
        <w:tabs>
          <w:tab w:val="num" w:pos="720"/>
        </w:tabs>
        <w:ind w:left="720" w:hanging="360"/>
      </w:pPr>
      <w:rPr>
        <w:rFonts w:ascii="Courier New" w:hAnsi="Courier New" w:hint="default"/>
        <w:sz w:val="20"/>
      </w:rPr>
    </w:lvl>
    <w:lvl w:ilvl="1">
      <w:numFmt w:val="bullet"/>
      <w:lvlText w:val=""/>
      <w:lvlJc w:val="left"/>
      <w:pPr>
        <w:tabs>
          <w:tab w:val="num" w:pos="1440"/>
        </w:tabs>
        <w:ind w:left="1440" w:hanging="360"/>
      </w:pPr>
      <w:rPr>
        <w:rFonts w:ascii="Wingdings" w:hAnsi="Wingdings"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4BF2383C"/>
    <w:multiLevelType w:val="hybridMultilevel"/>
    <w:tmpl w:val="F3A47F9C"/>
    <w:lvl w:ilvl="0" w:tplc="A13E391A">
      <w:numFmt w:val="bullet"/>
      <w:lvlText w:val="-"/>
      <w:lvlJc w:val="left"/>
      <w:pPr>
        <w:ind w:left="1080" w:hanging="360"/>
      </w:pPr>
      <w:rPr>
        <w:rFonts w:ascii="Calibri" w:eastAsiaTheme="minorHAns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2636044"/>
    <w:multiLevelType w:val="hybridMultilevel"/>
    <w:tmpl w:val="6E7AA23A"/>
    <w:lvl w:ilvl="0" w:tplc="3EDE367A">
      <w:numFmt w:val="bullet"/>
      <w:lvlText w:val="-"/>
      <w:lvlJc w:val="left"/>
      <w:pPr>
        <w:ind w:left="720" w:hanging="360"/>
      </w:pPr>
      <w:rPr>
        <w:rFonts w:ascii="Segoe UI Light" w:eastAsiaTheme="minorHAnsi" w:hAnsi="Segoe UI Light" w:cs="Segoe U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EF7D1B"/>
    <w:multiLevelType w:val="hybridMultilevel"/>
    <w:tmpl w:val="9244D44A"/>
    <w:lvl w:ilvl="0" w:tplc="A3FA1770">
      <w:start w:val="1"/>
      <w:numFmt w:val="bullet"/>
      <w:lvlText w:val="‒"/>
      <w:lvlJc w:val="left"/>
      <w:pPr>
        <w:tabs>
          <w:tab w:val="num" w:pos="720"/>
        </w:tabs>
        <w:ind w:left="720" w:hanging="360"/>
      </w:pPr>
      <w:rPr>
        <w:rFonts w:ascii="Segoe UI Semilight" w:hAnsi="Segoe UI Semilight" w:hint="default"/>
      </w:rPr>
    </w:lvl>
    <w:lvl w:ilvl="1" w:tplc="86560C34">
      <w:start w:val="1"/>
      <w:numFmt w:val="bullet"/>
      <w:lvlText w:val="‒"/>
      <w:lvlJc w:val="left"/>
      <w:pPr>
        <w:tabs>
          <w:tab w:val="num" w:pos="1440"/>
        </w:tabs>
        <w:ind w:left="1440" w:hanging="360"/>
      </w:pPr>
      <w:rPr>
        <w:rFonts w:ascii="Segoe UI Semilight" w:hAnsi="Segoe UI Semilight" w:hint="default"/>
      </w:rPr>
    </w:lvl>
    <w:lvl w:ilvl="2" w:tplc="88384CAE">
      <w:numFmt w:val="bullet"/>
      <w:lvlText w:val=""/>
      <w:lvlJc w:val="left"/>
      <w:pPr>
        <w:tabs>
          <w:tab w:val="num" w:pos="2160"/>
        </w:tabs>
        <w:ind w:left="2160" w:hanging="360"/>
      </w:pPr>
      <w:rPr>
        <w:rFonts w:ascii="Wingdings 3" w:hAnsi="Wingdings 3" w:hint="default"/>
      </w:rPr>
    </w:lvl>
    <w:lvl w:ilvl="3" w:tplc="29447FB6" w:tentative="1">
      <w:start w:val="1"/>
      <w:numFmt w:val="bullet"/>
      <w:lvlText w:val="‒"/>
      <w:lvlJc w:val="left"/>
      <w:pPr>
        <w:tabs>
          <w:tab w:val="num" w:pos="2880"/>
        </w:tabs>
        <w:ind w:left="2880" w:hanging="360"/>
      </w:pPr>
      <w:rPr>
        <w:rFonts w:ascii="Segoe UI Semilight" w:hAnsi="Segoe UI Semilight" w:hint="default"/>
      </w:rPr>
    </w:lvl>
    <w:lvl w:ilvl="4" w:tplc="07C6933A" w:tentative="1">
      <w:start w:val="1"/>
      <w:numFmt w:val="bullet"/>
      <w:lvlText w:val="‒"/>
      <w:lvlJc w:val="left"/>
      <w:pPr>
        <w:tabs>
          <w:tab w:val="num" w:pos="3600"/>
        </w:tabs>
        <w:ind w:left="3600" w:hanging="360"/>
      </w:pPr>
      <w:rPr>
        <w:rFonts w:ascii="Segoe UI Semilight" w:hAnsi="Segoe UI Semilight" w:hint="default"/>
      </w:rPr>
    </w:lvl>
    <w:lvl w:ilvl="5" w:tplc="A51C9408" w:tentative="1">
      <w:start w:val="1"/>
      <w:numFmt w:val="bullet"/>
      <w:lvlText w:val="‒"/>
      <w:lvlJc w:val="left"/>
      <w:pPr>
        <w:tabs>
          <w:tab w:val="num" w:pos="4320"/>
        </w:tabs>
        <w:ind w:left="4320" w:hanging="360"/>
      </w:pPr>
      <w:rPr>
        <w:rFonts w:ascii="Segoe UI Semilight" w:hAnsi="Segoe UI Semilight" w:hint="default"/>
      </w:rPr>
    </w:lvl>
    <w:lvl w:ilvl="6" w:tplc="A328B7E6" w:tentative="1">
      <w:start w:val="1"/>
      <w:numFmt w:val="bullet"/>
      <w:lvlText w:val="‒"/>
      <w:lvlJc w:val="left"/>
      <w:pPr>
        <w:tabs>
          <w:tab w:val="num" w:pos="5040"/>
        </w:tabs>
        <w:ind w:left="5040" w:hanging="360"/>
      </w:pPr>
      <w:rPr>
        <w:rFonts w:ascii="Segoe UI Semilight" w:hAnsi="Segoe UI Semilight" w:hint="default"/>
      </w:rPr>
    </w:lvl>
    <w:lvl w:ilvl="7" w:tplc="9F2E19AC" w:tentative="1">
      <w:start w:val="1"/>
      <w:numFmt w:val="bullet"/>
      <w:lvlText w:val="‒"/>
      <w:lvlJc w:val="left"/>
      <w:pPr>
        <w:tabs>
          <w:tab w:val="num" w:pos="5760"/>
        </w:tabs>
        <w:ind w:left="5760" w:hanging="360"/>
      </w:pPr>
      <w:rPr>
        <w:rFonts w:ascii="Segoe UI Semilight" w:hAnsi="Segoe UI Semilight" w:hint="default"/>
      </w:rPr>
    </w:lvl>
    <w:lvl w:ilvl="8" w:tplc="50367AB6" w:tentative="1">
      <w:start w:val="1"/>
      <w:numFmt w:val="bullet"/>
      <w:lvlText w:val="‒"/>
      <w:lvlJc w:val="left"/>
      <w:pPr>
        <w:tabs>
          <w:tab w:val="num" w:pos="6480"/>
        </w:tabs>
        <w:ind w:left="6480" w:hanging="360"/>
      </w:pPr>
      <w:rPr>
        <w:rFonts w:ascii="Segoe UI Semilight" w:hAnsi="Segoe UI Semilight" w:hint="default"/>
      </w:rPr>
    </w:lvl>
  </w:abstractNum>
  <w:abstractNum w:abstractNumId="32" w15:restartNumberingAfterBreak="0">
    <w:nsid w:val="64887976"/>
    <w:multiLevelType w:val="multilevel"/>
    <w:tmpl w:val="F10625D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E34185"/>
    <w:multiLevelType w:val="hybridMultilevel"/>
    <w:tmpl w:val="9FFAC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B23B84"/>
    <w:multiLevelType w:val="hybridMultilevel"/>
    <w:tmpl w:val="DE9CC9C6"/>
    <w:lvl w:ilvl="0" w:tplc="11787BC6">
      <w:start w:val="1"/>
      <w:numFmt w:val="decimal"/>
      <w:lvlText w:val="%1."/>
      <w:lvlJc w:val="left"/>
      <w:pPr>
        <w:ind w:left="720" w:hanging="360"/>
      </w:pPr>
      <w:rPr>
        <w:rFonts w:ascii="Segoe UI Semibold" w:hAnsi="Segoe UI Semibold" w:hint="default"/>
        <w:color w:val="00B0F0" w:themeColor="accent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E208CF"/>
    <w:multiLevelType w:val="hybridMultilevel"/>
    <w:tmpl w:val="283A9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CB7525"/>
    <w:multiLevelType w:val="multilevel"/>
    <w:tmpl w:val="D98E972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D3F64DD"/>
    <w:multiLevelType w:val="multilevel"/>
    <w:tmpl w:val="5FCA2FF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FAD20AA"/>
    <w:multiLevelType w:val="multilevel"/>
    <w:tmpl w:val="AB766BF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2F1737"/>
    <w:multiLevelType w:val="hybridMultilevel"/>
    <w:tmpl w:val="A0602910"/>
    <w:lvl w:ilvl="0" w:tplc="270A34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156187"/>
    <w:multiLevelType w:val="hybridMultilevel"/>
    <w:tmpl w:val="7F50AB2E"/>
    <w:lvl w:ilvl="0" w:tplc="EA148A34">
      <w:start w:val="1"/>
      <w:numFmt w:val="bullet"/>
      <w:pStyle w:val="Bullet-List"/>
      <w:lvlText w:val=""/>
      <w:lvlJc w:val="left"/>
      <w:pPr>
        <w:ind w:left="720" w:hanging="360"/>
      </w:pPr>
      <w:rPr>
        <w:rFonts w:ascii="Wingdings" w:hAnsi="Wingdings" w:hint="default"/>
        <w:color w:val="00B0F0" w:themeColor="accent1"/>
      </w:rPr>
    </w:lvl>
    <w:lvl w:ilvl="1" w:tplc="138C473C">
      <w:start w:val="1"/>
      <w:numFmt w:val="bullet"/>
      <w:lvlText w:val="­"/>
      <w:lvlJc w:val="left"/>
      <w:pPr>
        <w:ind w:left="1440" w:hanging="360"/>
      </w:pPr>
      <w:rPr>
        <w:rFonts w:ascii="Arial" w:hAnsi="Arial" w:hint="default"/>
      </w:rPr>
    </w:lvl>
    <w:lvl w:ilvl="2" w:tplc="138C473C">
      <w:start w:val="1"/>
      <w:numFmt w:val="bullet"/>
      <w:lvlText w:val="­"/>
      <w:lvlJc w:val="left"/>
      <w:pPr>
        <w:ind w:left="2160" w:hanging="360"/>
      </w:pPr>
      <w:rPr>
        <w:rFonts w:ascii="Arial" w:hAnsi="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551F4B"/>
    <w:multiLevelType w:val="hybridMultilevel"/>
    <w:tmpl w:val="F20EA4FE"/>
    <w:lvl w:ilvl="0" w:tplc="0FC20A74">
      <w:start w:val="1"/>
      <w:numFmt w:val="decimal"/>
      <w:pStyle w:val="Heading1"/>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0162AB"/>
    <w:multiLevelType w:val="hybridMultilevel"/>
    <w:tmpl w:val="4CEED55E"/>
    <w:lvl w:ilvl="0" w:tplc="7898BA22">
      <w:numFmt w:val="bullet"/>
      <w:lvlText w:val="-"/>
      <w:lvlJc w:val="left"/>
      <w:pPr>
        <w:ind w:left="720" w:hanging="360"/>
      </w:pPr>
      <w:rPr>
        <w:rFonts w:ascii="Segoe UI Light" w:eastAsiaTheme="minorHAnsi" w:hAnsi="Segoe UI Light" w:cs="Segoe U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4668FE"/>
    <w:multiLevelType w:val="hybridMultilevel"/>
    <w:tmpl w:val="8334C8A8"/>
    <w:lvl w:ilvl="0" w:tplc="82266440">
      <w:start w:val="2"/>
      <w:numFmt w:val="bullet"/>
      <w:lvlText w:val="-"/>
      <w:lvlJc w:val="left"/>
      <w:pPr>
        <w:ind w:left="720" w:hanging="360"/>
      </w:pPr>
      <w:rPr>
        <w:rFonts w:ascii="Segoe UI Light" w:eastAsiaTheme="minorHAnsi" w:hAnsi="Segoe UI Light" w:cs="Segoe U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E52DCC"/>
    <w:multiLevelType w:val="hybridMultilevel"/>
    <w:tmpl w:val="13867986"/>
    <w:lvl w:ilvl="0" w:tplc="6C78D34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7DA91D18"/>
    <w:multiLevelType w:val="hybridMultilevel"/>
    <w:tmpl w:val="C37865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196061"/>
    <w:multiLevelType w:val="hybridMultilevel"/>
    <w:tmpl w:val="07221076"/>
    <w:lvl w:ilvl="0" w:tplc="5FF8085C">
      <w:numFmt w:val="bullet"/>
      <w:lvlText w:val="-"/>
      <w:lvlJc w:val="left"/>
      <w:pPr>
        <w:ind w:left="720" w:hanging="360"/>
      </w:pPr>
      <w:rPr>
        <w:rFonts w:ascii="Segoe UI Light" w:eastAsiaTheme="minorHAnsi" w:hAnsi="Segoe UI Light" w:cs="Segoe U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EE335F"/>
    <w:multiLevelType w:val="hybridMultilevel"/>
    <w:tmpl w:val="8A9AAF22"/>
    <w:lvl w:ilvl="0" w:tplc="FB6CEDF8">
      <w:start w:val="1"/>
      <w:numFmt w:val="decimal"/>
      <w:lvlText w:val="[%1]"/>
      <w:lvlJc w:val="left"/>
      <w:pPr>
        <w:ind w:left="720" w:hanging="360"/>
      </w:pPr>
      <w:rPr>
        <w:rFonts w:ascii="Segoe UI Semibold" w:hAnsi="Segoe UI Semibold" w:hint="default"/>
        <w:b w:val="0"/>
        <w:i w:val="0"/>
        <w:color w:val="00B0F0" w:themeColor="accent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8720976">
    <w:abstractNumId w:val="13"/>
  </w:num>
  <w:num w:numId="2" w16cid:durableId="718090558">
    <w:abstractNumId w:val="23"/>
  </w:num>
  <w:num w:numId="3" w16cid:durableId="236983710">
    <w:abstractNumId w:val="0"/>
  </w:num>
  <w:num w:numId="4" w16cid:durableId="1400205707">
    <w:abstractNumId w:val="40"/>
  </w:num>
  <w:num w:numId="5" w16cid:durableId="1436170635">
    <w:abstractNumId w:val="34"/>
  </w:num>
  <w:num w:numId="6" w16cid:durableId="1566066740">
    <w:abstractNumId w:val="41"/>
  </w:num>
  <w:num w:numId="7" w16cid:durableId="1073965087">
    <w:abstractNumId w:val="24"/>
  </w:num>
  <w:num w:numId="8" w16cid:durableId="1390375353">
    <w:abstractNumId w:val="46"/>
  </w:num>
  <w:num w:numId="9" w16cid:durableId="1796095696">
    <w:abstractNumId w:val="42"/>
  </w:num>
  <w:num w:numId="10" w16cid:durableId="1903980590">
    <w:abstractNumId w:val="33"/>
  </w:num>
  <w:num w:numId="11" w16cid:durableId="544607106">
    <w:abstractNumId w:val="15"/>
  </w:num>
  <w:num w:numId="12" w16cid:durableId="1178738831">
    <w:abstractNumId w:val="8"/>
  </w:num>
  <w:num w:numId="13" w16cid:durableId="632060771">
    <w:abstractNumId w:val="30"/>
  </w:num>
  <w:num w:numId="14" w16cid:durableId="650521008">
    <w:abstractNumId w:val="35"/>
  </w:num>
  <w:num w:numId="15" w16cid:durableId="1105805189">
    <w:abstractNumId w:val="47"/>
  </w:num>
  <w:num w:numId="16" w16cid:durableId="2011978737">
    <w:abstractNumId w:val="19"/>
  </w:num>
  <w:num w:numId="17" w16cid:durableId="725107140">
    <w:abstractNumId w:val="28"/>
  </w:num>
  <w:num w:numId="18" w16cid:durableId="1493450225">
    <w:abstractNumId w:val="37"/>
  </w:num>
  <w:num w:numId="19" w16cid:durableId="1819298982">
    <w:abstractNumId w:val="6"/>
  </w:num>
  <w:num w:numId="20" w16cid:durableId="2054110583">
    <w:abstractNumId w:val="17"/>
  </w:num>
  <w:num w:numId="21" w16cid:durableId="1460958158">
    <w:abstractNumId w:val="14"/>
  </w:num>
  <w:num w:numId="22" w16cid:durableId="1705907715">
    <w:abstractNumId w:val="27"/>
  </w:num>
  <w:num w:numId="23" w16cid:durableId="842277643">
    <w:abstractNumId w:val="4"/>
  </w:num>
  <w:num w:numId="24" w16cid:durableId="2013528488">
    <w:abstractNumId w:val="31"/>
  </w:num>
  <w:num w:numId="25" w16cid:durableId="627978886">
    <w:abstractNumId w:val="16"/>
  </w:num>
  <w:num w:numId="26" w16cid:durableId="842164085">
    <w:abstractNumId w:val="5"/>
  </w:num>
  <w:num w:numId="27" w16cid:durableId="837620638">
    <w:abstractNumId w:val="43"/>
  </w:num>
  <w:num w:numId="28" w16cid:durableId="375664097">
    <w:abstractNumId w:val="26"/>
  </w:num>
  <w:num w:numId="29" w16cid:durableId="1289628982">
    <w:abstractNumId w:val="21"/>
  </w:num>
  <w:num w:numId="30" w16cid:durableId="987053272">
    <w:abstractNumId w:val="9"/>
  </w:num>
  <w:num w:numId="31" w16cid:durableId="1399552777">
    <w:abstractNumId w:val="7"/>
  </w:num>
  <w:num w:numId="32" w16cid:durableId="1004746660">
    <w:abstractNumId w:val="3"/>
  </w:num>
  <w:num w:numId="33" w16cid:durableId="527523774">
    <w:abstractNumId w:val="10"/>
  </w:num>
  <w:num w:numId="34" w16cid:durableId="2012904754">
    <w:abstractNumId w:val="32"/>
  </w:num>
  <w:num w:numId="35" w16cid:durableId="367687165">
    <w:abstractNumId w:val="36"/>
  </w:num>
  <w:num w:numId="36" w16cid:durableId="2078477518">
    <w:abstractNumId w:val="22"/>
  </w:num>
  <w:num w:numId="37" w16cid:durableId="1581137489">
    <w:abstractNumId w:val="38"/>
  </w:num>
  <w:num w:numId="38" w16cid:durableId="566962743">
    <w:abstractNumId w:val="45"/>
  </w:num>
  <w:num w:numId="39" w16cid:durableId="703359950">
    <w:abstractNumId w:val="20"/>
  </w:num>
  <w:num w:numId="40" w16cid:durableId="573584916">
    <w:abstractNumId w:val="11"/>
  </w:num>
  <w:num w:numId="41" w16cid:durableId="1249078258">
    <w:abstractNumId w:val="25"/>
  </w:num>
  <w:num w:numId="42" w16cid:durableId="516311801">
    <w:abstractNumId w:val="39"/>
  </w:num>
  <w:num w:numId="43" w16cid:durableId="291518859">
    <w:abstractNumId w:val="44"/>
  </w:num>
  <w:num w:numId="44" w16cid:durableId="33233158">
    <w:abstractNumId w:val="29"/>
  </w:num>
  <w:num w:numId="45" w16cid:durableId="266697773">
    <w:abstractNumId w:val="18"/>
  </w:num>
  <w:num w:numId="46" w16cid:durableId="1068306598">
    <w:abstractNumId w:val="2"/>
  </w:num>
  <w:num w:numId="47" w16cid:durableId="1030567085">
    <w:abstractNumId w:val="12"/>
  </w:num>
  <w:num w:numId="48" w16cid:durableId="264189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defaultTabStop w:val="720"/>
  <w:defaultTableStyle w:val="Opinium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5500"/>
    <w:rsid w:val="00000432"/>
    <w:rsid w:val="00000AB5"/>
    <w:rsid w:val="00000BF8"/>
    <w:rsid w:val="00001BE1"/>
    <w:rsid w:val="00001DF5"/>
    <w:rsid w:val="00003246"/>
    <w:rsid w:val="00003674"/>
    <w:rsid w:val="00003A9C"/>
    <w:rsid w:val="00003B49"/>
    <w:rsid w:val="00003D8C"/>
    <w:rsid w:val="000042DD"/>
    <w:rsid w:val="00005281"/>
    <w:rsid w:val="0000635E"/>
    <w:rsid w:val="000068FE"/>
    <w:rsid w:val="0000706B"/>
    <w:rsid w:val="000074C8"/>
    <w:rsid w:val="00007861"/>
    <w:rsid w:val="000079D4"/>
    <w:rsid w:val="00011077"/>
    <w:rsid w:val="00011709"/>
    <w:rsid w:val="00011725"/>
    <w:rsid w:val="00012C29"/>
    <w:rsid w:val="00013A28"/>
    <w:rsid w:val="000147FE"/>
    <w:rsid w:val="00015100"/>
    <w:rsid w:val="00015639"/>
    <w:rsid w:val="000159ED"/>
    <w:rsid w:val="00016BA3"/>
    <w:rsid w:val="000173B3"/>
    <w:rsid w:val="00017441"/>
    <w:rsid w:val="00017F4E"/>
    <w:rsid w:val="000202D2"/>
    <w:rsid w:val="0002082E"/>
    <w:rsid w:val="00021457"/>
    <w:rsid w:val="00021AA2"/>
    <w:rsid w:val="00021C21"/>
    <w:rsid w:val="00021F49"/>
    <w:rsid w:val="00022919"/>
    <w:rsid w:val="00022AE1"/>
    <w:rsid w:val="0002315C"/>
    <w:rsid w:val="00023917"/>
    <w:rsid w:val="00024075"/>
    <w:rsid w:val="00024411"/>
    <w:rsid w:val="000246AC"/>
    <w:rsid w:val="00024EF8"/>
    <w:rsid w:val="00024F6B"/>
    <w:rsid w:val="000251D5"/>
    <w:rsid w:val="00025DC3"/>
    <w:rsid w:val="00025F56"/>
    <w:rsid w:val="00026D0B"/>
    <w:rsid w:val="00026ECC"/>
    <w:rsid w:val="00027098"/>
    <w:rsid w:val="000273EA"/>
    <w:rsid w:val="00030748"/>
    <w:rsid w:val="00030C8A"/>
    <w:rsid w:val="00031387"/>
    <w:rsid w:val="00032039"/>
    <w:rsid w:val="000321D8"/>
    <w:rsid w:val="00032246"/>
    <w:rsid w:val="00032DCC"/>
    <w:rsid w:val="00033230"/>
    <w:rsid w:val="000334DE"/>
    <w:rsid w:val="00033658"/>
    <w:rsid w:val="00034239"/>
    <w:rsid w:val="000351C6"/>
    <w:rsid w:val="00035A25"/>
    <w:rsid w:val="00035EAF"/>
    <w:rsid w:val="0003665E"/>
    <w:rsid w:val="0003695C"/>
    <w:rsid w:val="00036D52"/>
    <w:rsid w:val="0003794F"/>
    <w:rsid w:val="00037B39"/>
    <w:rsid w:val="00037D10"/>
    <w:rsid w:val="000403AF"/>
    <w:rsid w:val="0004047C"/>
    <w:rsid w:val="00040AC2"/>
    <w:rsid w:val="000413E4"/>
    <w:rsid w:val="0004267E"/>
    <w:rsid w:val="0004423C"/>
    <w:rsid w:val="00044B59"/>
    <w:rsid w:val="00044C5F"/>
    <w:rsid w:val="00045126"/>
    <w:rsid w:val="00045454"/>
    <w:rsid w:val="0004559B"/>
    <w:rsid w:val="00045ABB"/>
    <w:rsid w:val="00045D6B"/>
    <w:rsid w:val="00045FEB"/>
    <w:rsid w:val="000460DB"/>
    <w:rsid w:val="000463D4"/>
    <w:rsid w:val="000463EF"/>
    <w:rsid w:val="00047355"/>
    <w:rsid w:val="00047B98"/>
    <w:rsid w:val="00051D8B"/>
    <w:rsid w:val="000521F5"/>
    <w:rsid w:val="00052626"/>
    <w:rsid w:val="00052E0E"/>
    <w:rsid w:val="000542AB"/>
    <w:rsid w:val="00054463"/>
    <w:rsid w:val="00054CBB"/>
    <w:rsid w:val="00055251"/>
    <w:rsid w:val="0005525F"/>
    <w:rsid w:val="00055303"/>
    <w:rsid w:val="00055470"/>
    <w:rsid w:val="00055FBC"/>
    <w:rsid w:val="0005642E"/>
    <w:rsid w:val="00056937"/>
    <w:rsid w:val="000572ED"/>
    <w:rsid w:val="00057523"/>
    <w:rsid w:val="00057580"/>
    <w:rsid w:val="00057F00"/>
    <w:rsid w:val="0006009E"/>
    <w:rsid w:val="000600C5"/>
    <w:rsid w:val="00060A39"/>
    <w:rsid w:val="00060D26"/>
    <w:rsid w:val="00060DE2"/>
    <w:rsid w:val="00060EAE"/>
    <w:rsid w:val="00060FCD"/>
    <w:rsid w:val="000615E9"/>
    <w:rsid w:val="0006167D"/>
    <w:rsid w:val="000619F6"/>
    <w:rsid w:val="00061E0C"/>
    <w:rsid w:val="00062A16"/>
    <w:rsid w:val="00062BF0"/>
    <w:rsid w:val="00063144"/>
    <w:rsid w:val="0006399A"/>
    <w:rsid w:val="000639AC"/>
    <w:rsid w:val="00063E29"/>
    <w:rsid w:val="000640DC"/>
    <w:rsid w:val="000647F2"/>
    <w:rsid w:val="0006481F"/>
    <w:rsid w:val="00064C36"/>
    <w:rsid w:val="00065521"/>
    <w:rsid w:val="00065881"/>
    <w:rsid w:val="00065F64"/>
    <w:rsid w:val="00066118"/>
    <w:rsid w:val="00066131"/>
    <w:rsid w:val="00066543"/>
    <w:rsid w:val="0006681A"/>
    <w:rsid w:val="00066B41"/>
    <w:rsid w:val="00066DDC"/>
    <w:rsid w:val="00066F5D"/>
    <w:rsid w:val="00070C12"/>
    <w:rsid w:val="00071428"/>
    <w:rsid w:val="00071BFF"/>
    <w:rsid w:val="00071F4F"/>
    <w:rsid w:val="000721C0"/>
    <w:rsid w:val="00072232"/>
    <w:rsid w:val="000722BE"/>
    <w:rsid w:val="00072618"/>
    <w:rsid w:val="0007269C"/>
    <w:rsid w:val="00072A5C"/>
    <w:rsid w:val="00073818"/>
    <w:rsid w:val="00073A2D"/>
    <w:rsid w:val="00073AF8"/>
    <w:rsid w:val="00073F97"/>
    <w:rsid w:val="0007452D"/>
    <w:rsid w:val="00074BC5"/>
    <w:rsid w:val="00075071"/>
    <w:rsid w:val="000754A7"/>
    <w:rsid w:val="00075B1C"/>
    <w:rsid w:val="0007685C"/>
    <w:rsid w:val="000769DB"/>
    <w:rsid w:val="0008106D"/>
    <w:rsid w:val="0008191C"/>
    <w:rsid w:val="000828F3"/>
    <w:rsid w:val="0008295D"/>
    <w:rsid w:val="00082A55"/>
    <w:rsid w:val="000830F4"/>
    <w:rsid w:val="000834AE"/>
    <w:rsid w:val="00083544"/>
    <w:rsid w:val="00083AA8"/>
    <w:rsid w:val="00083B1F"/>
    <w:rsid w:val="0008410A"/>
    <w:rsid w:val="000846EE"/>
    <w:rsid w:val="00084E40"/>
    <w:rsid w:val="00085224"/>
    <w:rsid w:val="00085500"/>
    <w:rsid w:val="00085B65"/>
    <w:rsid w:val="00085CE8"/>
    <w:rsid w:val="00085D85"/>
    <w:rsid w:val="0008631C"/>
    <w:rsid w:val="000877DC"/>
    <w:rsid w:val="00087B98"/>
    <w:rsid w:val="0009048A"/>
    <w:rsid w:val="00090DBC"/>
    <w:rsid w:val="00090E87"/>
    <w:rsid w:val="00091A6F"/>
    <w:rsid w:val="00091A83"/>
    <w:rsid w:val="000920F6"/>
    <w:rsid w:val="00092E2A"/>
    <w:rsid w:val="00093428"/>
    <w:rsid w:val="00094009"/>
    <w:rsid w:val="000940DE"/>
    <w:rsid w:val="00094BAC"/>
    <w:rsid w:val="00094FC8"/>
    <w:rsid w:val="00095205"/>
    <w:rsid w:val="00096B1E"/>
    <w:rsid w:val="000974A3"/>
    <w:rsid w:val="000A09B1"/>
    <w:rsid w:val="000A09ED"/>
    <w:rsid w:val="000A0BBF"/>
    <w:rsid w:val="000A0CFD"/>
    <w:rsid w:val="000A0E6D"/>
    <w:rsid w:val="000A1744"/>
    <w:rsid w:val="000A218E"/>
    <w:rsid w:val="000A226C"/>
    <w:rsid w:val="000A22A1"/>
    <w:rsid w:val="000A2453"/>
    <w:rsid w:val="000A2911"/>
    <w:rsid w:val="000A29B3"/>
    <w:rsid w:val="000A2E43"/>
    <w:rsid w:val="000A3606"/>
    <w:rsid w:val="000A37A4"/>
    <w:rsid w:val="000A38BA"/>
    <w:rsid w:val="000A4104"/>
    <w:rsid w:val="000A510E"/>
    <w:rsid w:val="000A5616"/>
    <w:rsid w:val="000A5DA6"/>
    <w:rsid w:val="000A6A02"/>
    <w:rsid w:val="000A6A76"/>
    <w:rsid w:val="000A6AE9"/>
    <w:rsid w:val="000A6EFA"/>
    <w:rsid w:val="000A74F4"/>
    <w:rsid w:val="000A7886"/>
    <w:rsid w:val="000A7F82"/>
    <w:rsid w:val="000B0095"/>
    <w:rsid w:val="000B011F"/>
    <w:rsid w:val="000B0852"/>
    <w:rsid w:val="000B0996"/>
    <w:rsid w:val="000B0F60"/>
    <w:rsid w:val="000B1925"/>
    <w:rsid w:val="000B1C91"/>
    <w:rsid w:val="000B2B67"/>
    <w:rsid w:val="000B2E53"/>
    <w:rsid w:val="000B30C1"/>
    <w:rsid w:val="000B3A39"/>
    <w:rsid w:val="000B3CB8"/>
    <w:rsid w:val="000B4081"/>
    <w:rsid w:val="000B49BD"/>
    <w:rsid w:val="000B52B7"/>
    <w:rsid w:val="000B57D4"/>
    <w:rsid w:val="000B59FB"/>
    <w:rsid w:val="000B5BE1"/>
    <w:rsid w:val="000B6205"/>
    <w:rsid w:val="000B62E1"/>
    <w:rsid w:val="000B6BCB"/>
    <w:rsid w:val="000B7033"/>
    <w:rsid w:val="000B7057"/>
    <w:rsid w:val="000B79C1"/>
    <w:rsid w:val="000C05E1"/>
    <w:rsid w:val="000C143E"/>
    <w:rsid w:val="000C1A50"/>
    <w:rsid w:val="000C23B8"/>
    <w:rsid w:val="000C3446"/>
    <w:rsid w:val="000C3C52"/>
    <w:rsid w:val="000C4F1C"/>
    <w:rsid w:val="000C5160"/>
    <w:rsid w:val="000C54E8"/>
    <w:rsid w:val="000C5A79"/>
    <w:rsid w:val="000C5E1D"/>
    <w:rsid w:val="000C6252"/>
    <w:rsid w:val="000C6277"/>
    <w:rsid w:val="000C62C1"/>
    <w:rsid w:val="000C6831"/>
    <w:rsid w:val="000C6FE4"/>
    <w:rsid w:val="000C7BF3"/>
    <w:rsid w:val="000D0388"/>
    <w:rsid w:val="000D1376"/>
    <w:rsid w:val="000D1AAF"/>
    <w:rsid w:val="000D204B"/>
    <w:rsid w:val="000D2406"/>
    <w:rsid w:val="000D26D9"/>
    <w:rsid w:val="000D2CF0"/>
    <w:rsid w:val="000D33EA"/>
    <w:rsid w:val="000D38A7"/>
    <w:rsid w:val="000D38F6"/>
    <w:rsid w:val="000D3EE2"/>
    <w:rsid w:val="000D4056"/>
    <w:rsid w:val="000D4357"/>
    <w:rsid w:val="000D43EF"/>
    <w:rsid w:val="000D4882"/>
    <w:rsid w:val="000D4AD1"/>
    <w:rsid w:val="000D53EE"/>
    <w:rsid w:val="000D5B2E"/>
    <w:rsid w:val="000D64D2"/>
    <w:rsid w:val="000D69EA"/>
    <w:rsid w:val="000D6A0A"/>
    <w:rsid w:val="000D6B17"/>
    <w:rsid w:val="000D7332"/>
    <w:rsid w:val="000D7AE3"/>
    <w:rsid w:val="000E0D84"/>
    <w:rsid w:val="000E0FDF"/>
    <w:rsid w:val="000E20A9"/>
    <w:rsid w:val="000E2B4A"/>
    <w:rsid w:val="000E2B92"/>
    <w:rsid w:val="000E2EE6"/>
    <w:rsid w:val="000E3183"/>
    <w:rsid w:val="000E3B46"/>
    <w:rsid w:val="000E3FFA"/>
    <w:rsid w:val="000E4F4E"/>
    <w:rsid w:val="000E55E5"/>
    <w:rsid w:val="000E668C"/>
    <w:rsid w:val="000E6C7E"/>
    <w:rsid w:val="000E72D0"/>
    <w:rsid w:val="000E7B37"/>
    <w:rsid w:val="000E7C11"/>
    <w:rsid w:val="000F0036"/>
    <w:rsid w:val="000F063E"/>
    <w:rsid w:val="000F0DAC"/>
    <w:rsid w:val="000F1B59"/>
    <w:rsid w:val="000F1BB0"/>
    <w:rsid w:val="000F2276"/>
    <w:rsid w:val="000F243E"/>
    <w:rsid w:val="000F25DF"/>
    <w:rsid w:val="000F26CB"/>
    <w:rsid w:val="000F2ABD"/>
    <w:rsid w:val="000F3278"/>
    <w:rsid w:val="000F349D"/>
    <w:rsid w:val="000F353A"/>
    <w:rsid w:val="000F3C1E"/>
    <w:rsid w:val="000F3EA9"/>
    <w:rsid w:val="000F42E3"/>
    <w:rsid w:val="000F463C"/>
    <w:rsid w:val="000F4E4A"/>
    <w:rsid w:val="000F513A"/>
    <w:rsid w:val="000F590B"/>
    <w:rsid w:val="000F5A22"/>
    <w:rsid w:val="000F5FB7"/>
    <w:rsid w:val="000F600E"/>
    <w:rsid w:val="000F6C2A"/>
    <w:rsid w:val="000F6D8D"/>
    <w:rsid w:val="000F716F"/>
    <w:rsid w:val="000F718C"/>
    <w:rsid w:val="000F74AB"/>
    <w:rsid w:val="000F78B3"/>
    <w:rsid w:val="000F7B74"/>
    <w:rsid w:val="00101306"/>
    <w:rsid w:val="00101FE6"/>
    <w:rsid w:val="00102689"/>
    <w:rsid w:val="00102C71"/>
    <w:rsid w:val="00103D71"/>
    <w:rsid w:val="00104158"/>
    <w:rsid w:val="00104177"/>
    <w:rsid w:val="00104AFD"/>
    <w:rsid w:val="001054D1"/>
    <w:rsid w:val="00105576"/>
    <w:rsid w:val="00105640"/>
    <w:rsid w:val="00105A4D"/>
    <w:rsid w:val="00105FDD"/>
    <w:rsid w:val="001079FA"/>
    <w:rsid w:val="00107D29"/>
    <w:rsid w:val="00111140"/>
    <w:rsid w:val="0011235E"/>
    <w:rsid w:val="001125C4"/>
    <w:rsid w:val="00112696"/>
    <w:rsid w:val="00112940"/>
    <w:rsid w:val="00113391"/>
    <w:rsid w:val="001143E9"/>
    <w:rsid w:val="00114707"/>
    <w:rsid w:val="0011492E"/>
    <w:rsid w:val="00114C92"/>
    <w:rsid w:val="00114D93"/>
    <w:rsid w:val="00114D9B"/>
    <w:rsid w:val="001153C4"/>
    <w:rsid w:val="001154E0"/>
    <w:rsid w:val="0011583B"/>
    <w:rsid w:val="00115A54"/>
    <w:rsid w:val="00116097"/>
    <w:rsid w:val="001169F5"/>
    <w:rsid w:val="00117000"/>
    <w:rsid w:val="00117530"/>
    <w:rsid w:val="00117F2D"/>
    <w:rsid w:val="00120888"/>
    <w:rsid w:val="001208EC"/>
    <w:rsid w:val="00120FDA"/>
    <w:rsid w:val="0012131A"/>
    <w:rsid w:val="0012150C"/>
    <w:rsid w:val="00121685"/>
    <w:rsid w:val="00121696"/>
    <w:rsid w:val="00121B62"/>
    <w:rsid w:val="00122317"/>
    <w:rsid w:val="001233BF"/>
    <w:rsid w:val="00123A5E"/>
    <w:rsid w:val="00123B3E"/>
    <w:rsid w:val="00124330"/>
    <w:rsid w:val="001246DB"/>
    <w:rsid w:val="0012476B"/>
    <w:rsid w:val="00124DC1"/>
    <w:rsid w:val="00124F70"/>
    <w:rsid w:val="0012508F"/>
    <w:rsid w:val="00125944"/>
    <w:rsid w:val="00125FA3"/>
    <w:rsid w:val="001260C4"/>
    <w:rsid w:val="00126385"/>
    <w:rsid w:val="001266FD"/>
    <w:rsid w:val="00126754"/>
    <w:rsid w:val="001267A8"/>
    <w:rsid w:val="00126D40"/>
    <w:rsid w:val="001272CC"/>
    <w:rsid w:val="0012751B"/>
    <w:rsid w:val="00127A5F"/>
    <w:rsid w:val="00130036"/>
    <w:rsid w:val="001300D8"/>
    <w:rsid w:val="00130A90"/>
    <w:rsid w:val="00130C77"/>
    <w:rsid w:val="001311E1"/>
    <w:rsid w:val="00131636"/>
    <w:rsid w:val="0013169E"/>
    <w:rsid w:val="001328FF"/>
    <w:rsid w:val="00132A5B"/>
    <w:rsid w:val="0013339E"/>
    <w:rsid w:val="00133EFA"/>
    <w:rsid w:val="00133F68"/>
    <w:rsid w:val="00134493"/>
    <w:rsid w:val="001346B5"/>
    <w:rsid w:val="00134B2C"/>
    <w:rsid w:val="00135359"/>
    <w:rsid w:val="001354C2"/>
    <w:rsid w:val="001358AD"/>
    <w:rsid w:val="00135908"/>
    <w:rsid w:val="001359B9"/>
    <w:rsid w:val="00135A17"/>
    <w:rsid w:val="00135C45"/>
    <w:rsid w:val="00135EC0"/>
    <w:rsid w:val="0013602C"/>
    <w:rsid w:val="0013614B"/>
    <w:rsid w:val="00136380"/>
    <w:rsid w:val="0013683D"/>
    <w:rsid w:val="0013684F"/>
    <w:rsid w:val="00137755"/>
    <w:rsid w:val="00137E16"/>
    <w:rsid w:val="00140303"/>
    <w:rsid w:val="00140351"/>
    <w:rsid w:val="00140511"/>
    <w:rsid w:val="00141621"/>
    <w:rsid w:val="001416D5"/>
    <w:rsid w:val="00141705"/>
    <w:rsid w:val="00141853"/>
    <w:rsid w:val="001418D9"/>
    <w:rsid w:val="0014246E"/>
    <w:rsid w:val="001428EF"/>
    <w:rsid w:val="001436FC"/>
    <w:rsid w:val="001445DB"/>
    <w:rsid w:val="00144D1B"/>
    <w:rsid w:val="0014508B"/>
    <w:rsid w:val="00145443"/>
    <w:rsid w:val="00145983"/>
    <w:rsid w:val="00146680"/>
    <w:rsid w:val="001470F2"/>
    <w:rsid w:val="0014715E"/>
    <w:rsid w:val="00147238"/>
    <w:rsid w:val="001476AA"/>
    <w:rsid w:val="001478DD"/>
    <w:rsid w:val="00147BD2"/>
    <w:rsid w:val="00147DE2"/>
    <w:rsid w:val="0015009E"/>
    <w:rsid w:val="0015037B"/>
    <w:rsid w:val="00150640"/>
    <w:rsid w:val="00151B40"/>
    <w:rsid w:val="00151CED"/>
    <w:rsid w:val="00152221"/>
    <w:rsid w:val="00152C92"/>
    <w:rsid w:val="00154282"/>
    <w:rsid w:val="00154E0B"/>
    <w:rsid w:val="00154E5A"/>
    <w:rsid w:val="00155626"/>
    <w:rsid w:val="00155CB5"/>
    <w:rsid w:val="0015605D"/>
    <w:rsid w:val="001567E0"/>
    <w:rsid w:val="00156D65"/>
    <w:rsid w:val="00156DC1"/>
    <w:rsid w:val="001572D8"/>
    <w:rsid w:val="00157C9C"/>
    <w:rsid w:val="00157FED"/>
    <w:rsid w:val="001604A3"/>
    <w:rsid w:val="0016086D"/>
    <w:rsid w:val="00160D84"/>
    <w:rsid w:val="0016163C"/>
    <w:rsid w:val="001628B7"/>
    <w:rsid w:val="001629A9"/>
    <w:rsid w:val="00162D1F"/>
    <w:rsid w:val="00163451"/>
    <w:rsid w:val="0016351E"/>
    <w:rsid w:val="00163E10"/>
    <w:rsid w:val="00163F71"/>
    <w:rsid w:val="00164E7E"/>
    <w:rsid w:val="00165783"/>
    <w:rsid w:val="00165890"/>
    <w:rsid w:val="00165BB0"/>
    <w:rsid w:val="001668A2"/>
    <w:rsid w:val="00166B1B"/>
    <w:rsid w:val="001671DF"/>
    <w:rsid w:val="00167B10"/>
    <w:rsid w:val="00170309"/>
    <w:rsid w:val="0017154E"/>
    <w:rsid w:val="00171F33"/>
    <w:rsid w:val="00172F10"/>
    <w:rsid w:val="00173123"/>
    <w:rsid w:val="0017334A"/>
    <w:rsid w:val="00173396"/>
    <w:rsid w:val="0017395A"/>
    <w:rsid w:val="00173BF6"/>
    <w:rsid w:val="00174302"/>
    <w:rsid w:val="00174ABD"/>
    <w:rsid w:val="001752E9"/>
    <w:rsid w:val="001757E4"/>
    <w:rsid w:val="00175864"/>
    <w:rsid w:val="00175C7F"/>
    <w:rsid w:val="001773FA"/>
    <w:rsid w:val="001777E6"/>
    <w:rsid w:val="00177B0F"/>
    <w:rsid w:val="00180047"/>
    <w:rsid w:val="001802A5"/>
    <w:rsid w:val="001816CB"/>
    <w:rsid w:val="0018174B"/>
    <w:rsid w:val="00181A45"/>
    <w:rsid w:val="00182598"/>
    <w:rsid w:val="00182A8B"/>
    <w:rsid w:val="0018310E"/>
    <w:rsid w:val="00183329"/>
    <w:rsid w:val="00183CBC"/>
    <w:rsid w:val="00183D37"/>
    <w:rsid w:val="00183F68"/>
    <w:rsid w:val="00185378"/>
    <w:rsid w:val="0018589C"/>
    <w:rsid w:val="00186615"/>
    <w:rsid w:val="00186C2F"/>
    <w:rsid w:val="00186C34"/>
    <w:rsid w:val="00186FB3"/>
    <w:rsid w:val="00186FF9"/>
    <w:rsid w:val="001872B7"/>
    <w:rsid w:val="001872D1"/>
    <w:rsid w:val="001879E3"/>
    <w:rsid w:val="00187AEA"/>
    <w:rsid w:val="00190AAF"/>
    <w:rsid w:val="001913D7"/>
    <w:rsid w:val="00191923"/>
    <w:rsid w:val="00191A17"/>
    <w:rsid w:val="00191F33"/>
    <w:rsid w:val="00192A7D"/>
    <w:rsid w:val="00192E10"/>
    <w:rsid w:val="00193848"/>
    <w:rsid w:val="00193BFD"/>
    <w:rsid w:val="00193E9E"/>
    <w:rsid w:val="00194471"/>
    <w:rsid w:val="001944AD"/>
    <w:rsid w:val="00194556"/>
    <w:rsid w:val="0019455A"/>
    <w:rsid w:val="00194863"/>
    <w:rsid w:val="001952B1"/>
    <w:rsid w:val="001952E4"/>
    <w:rsid w:val="0019585F"/>
    <w:rsid w:val="0019612B"/>
    <w:rsid w:val="00196AE1"/>
    <w:rsid w:val="00196D81"/>
    <w:rsid w:val="001A02C0"/>
    <w:rsid w:val="001A0CC5"/>
    <w:rsid w:val="001A0CCC"/>
    <w:rsid w:val="001A0F2E"/>
    <w:rsid w:val="001A1178"/>
    <w:rsid w:val="001A144B"/>
    <w:rsid w:val="001A14B3"/>
    <w:rsid w:val="001A1AD8"/>
    <w:rsid w:val="001A2399"/>
    <w:rsid w:val="001A2F07"/>
    <w:rsid w:val="001A3519"/>
    <w:rsid w:val="001A35E8"/>
    <w:rsid w:val="001A3649"/>
    <w:rsid w:val="001A392A"/>
    <w:rsid w:val="001A3B10"/>
    <w:rsid w:val="001A3C3A"/>
    <w:rsid w:val="001A3DFE"/>
    <w:rsid w:val="001A4883"/>
    <w:rsid w:val="001A5732"/>
    <w:rsid w:val="001A5ABE"/>
    <w:rsid w:val="001A5F6B"/>
    <w:rsid w:val="001A5F83"/>
    <w:rsid w:val="001A61E8"/>
    <w:rsid w:val="001A63B5"/>
    <w:rsid w:val="001A6657"/>
    <w:rsid w:val="001A696D"/>
    <w:rsid w:val="001A7FEC"/>
    <w:rsid w:val="001B0DF7"/>
    <w:rsid w:val="001B2025"/>
    <w:rsid w:val="001B269C"/>
    <w:rsid w:val="001B2B83"/>
    <w:rsid w:val="001B355B"/>
    <w:rsid w:val="001B35FA"/>
    <w:rsid w:val="001B3992"/>
    <w:rsid w:val="001B3DE1"/>
    <w:rsid w:val="001B3DFE"/>
    <w:rsid w:val="001B6152"/>
    <w:rsid w:val="001B6487"/>
    <w:rsid w:val="001B6490"/>
    <w:rsid w:val="001B6500"/>
    <w:rsid w:val="001B7B44"/>
    <w:rsid w:val="001B7C26"/>
    <w:rsid w:val="001C02BD"/>
    <w:rsid w:val="001C03EF"/>
    <w:rsid w:val="001C0879"/>
    <w:rsid w:val="001C1BAE"/>
    <w:rsid w:val="001C2648"/>
    <w:rsid w:val="001C2786"/>
    <w:rsid w:val="001C2E7E"/>
    <w:rsid w:val="001C3607"/>
    <w:rsid w:val="001C37A0"/>
    <w:rsid w:val="001C3D8F"/>
    <w:rsid w:val="001C4049"/>
    <w:rsid w:val="001C4A3C"/>
    <w:rsid w:val="001C4C82"/>
    <w:rsid w:val="001C5132"/>
    <w:rsid w:val="001C54CB"/>
    <w:rsid w:val="001C5546"/>
    <w:rsid w:val="001C58A4"/>
    <w:rsid w:val="001C5AB6"/>
    <w:rsid w:val="001C6635"/>
    <w:rsid w:val="001C693B"/>
    <w:rsid w:val="001C6B3B"/>
    <w:rsid w:val="001C6CC6"/>
    <w:rsid w:val="001C6E1F"/>
    <w:rsid w:val="001C70A4"/>
    <w:rsid w:val="001C7113"/>
    <w:rsid w:val="001C7739"/>
    <w:rsid w:val="001C77AC"/>
    <w:rsid w:val="001C78BC"/>
    <w:rsid w:val="001D00AD"/>
    <w:rsid w:val="001D16F7"/>
    <w:rsid w:val="001D1743"/>
    <w:rsid w:val="001D1748"/>
    <w:rsid w:val="001D178F"/>
    <w:rsid w:val="001D186A"/>
    <w:rsid w:val="001D1C43"/>
    <w:rsid w:val="001D2D47"/>
    <w:rsid w:val="001D345C"/>
    <w:rsid w:val="001D43AB"/>
    <w:rsid w:val="001D48BF"/>
    <w:rsid w:val="001D4908"/>
    <w:rsid w:val="001D5AD8"/>
    <w:rsid w:val="001D5C28"/>
    <w:rsid w:val="001D7AAC"/>
    <w:rsid w:val="001D7BBF"/>
    <w:rsid w:val="001E0326"/>
    <w:rsid w:val="001E050E"/>
    <w:rsid w:val="001E061B"/>
    <w:rsid w:val="001E10A8"/>
    <w:rsid w:val="001E15D0"/>
    <w:rsid w:val="001E164C"/>
    <w:rsid w:val="001E1D1D"/>
    <w:rsid w:val="001E3688"/>
    <w:rsid w:val="001E3ECE"/>
    <w:rsid w:val="001E454C"/>
    <w:rsid w:val="001E4A52"/>
    <w:rsid w:val="001E4B5F"/>
    <w:rsid w:val="001E4E0C"/>
    <w:rsid w:val="001E5CFD"/>
    <w:rsid w:val="001E5DF3"/>
    <w:rsid w:val="001E5FEA"/>
    <w:rsid w:val="001E6846"/>
    <w:rsid w:val="001E7132"/>
    <w:rsid w:val="001E71FD"/>
    <w:rsid w:val="001E7399"/>
    <w:rsid w:val="001F05A0"/>
    <w:rsid w:val="001F06AA"/>
    <w:rsid w:val="001F07FB"/>
    <w:rsid w:val="001F0ABE"/>
    <w:rsid w:val="001F0D1D"/>
    <w:rsid w:val="001F2805"/>
    <w:rsid w:val="001F3DD6"/>
    <w:rsid w:val="001F4CAC"/>
    <w:rsid w:val="001F5948"/>
    <w:rsid w:val="001F5BA8"/>
    <w:rsid w:val="001F6077"/>
    <w:rsid w:val="001F62C7"/>
    <w:rsid w:val="001F634A"/>
    <w:rsid w:val="001F6443"/>
    <w:rsid w:val="001F77AA"/>
    <w:rsid w:val="001F784D"/>
    <w:rsid w:val="00200AB7"/>
    <w:rsid w:val="00200C81"/>
    <w:rsid w:val="00200F05"/>
    <w:rsid w:val="00201B66"/>
    <w:rsid w:val="00201EC9"/>
    <w:rsid w:val="002028D4"/>
    <w:rsid w:val="00202BAB"/>
    <w:rsid w:val="00202EDD"/>
    <w:rsid w:val="002038B7"/>
    <w:rsid w:val="00203ABF"/>
    <w:rsid w:val="0020431D"/>
    <w:rsid w:val="002047BA"/>
    <w:rsid w:val="00204FC1"/>
    <w:rsid w:val="002050A2"/>
    <w:rsid w:val="0020525A"/>
    <w:rsid w:val="002053C2"/>
    <w:rsid w:val="002053CD"/>
    <w:rsid w:val="00205B1E"/>
    <w:rsid w:val="002061F2"/>
    <w:rsid w:val="002066B5"/>
    <w:rsid w:val="00206B9A"/>
    <w:rsid w:val="00206CA9"/>
    <w:rsid w:val="002075FF"/>
    <w:rsid w:val="00207B11"/>
    <w:rsid w:val="00207DA6"/>
    <w:rsid w:val="00211228"/>
    <w:rsid w:val="0021139D"/>
    <w:rsid w:val="002114B2"/>
    <w:rsid w:val="00211D83"/>
    <w:rsid w:val="00212D04"/>
    <w:rsid w:val="002133F4"/>
    <w:rsid w:val="00214382"/>
    <w:rsid w:val="00214570"/>
    <w:rsid w:val="002149E0"/>
    <w:rsid w:val="0021580F"/>
    <w:rsid w:val="00216197"/>
    <w:rsid w:val="00216290"/>
    <w:rsid w:val="002163E1"/>
    <w:rsid w:val="00216539"/>
    <w:rsid w:val="00216D35"/>
    <w:rsid w:val="002174A6"/>
    <w:rsid w:val="00217EC8"/>
    <w:rsid w:val="00220265"/>
    <w:rsid w:val="002205B5"/>
    <w:rsid w:val="002205BF"/>
    <w:rsid w:val="0022083F"/>
    <w:rsid w:val="00220848"/>
    <w:rsid w:val="002208F9"/>
    <w:rsid w:val="0022096C"/>
    <w:rsid w:val="00220CB1"/>
    <w:rsid w:val="0022158F"/>
    <w:rsid w:val="00221F71"/>
    <w:rsid w:val="002220C4"/>
    <w:rsid w:val="002229AD"/>
    <w:rsid w:val="00222E74"/>
    <w:rsid w:val="00222FE1"/>
    <w:rsid w:val="00223DA8"/>
    <w:rsid w:val="00224124"/>
    <w:rsid w:val="00224EFE"/>
    <w:rsid w:val="002261F3"/>
    <w:rsid w:val="00226414"/>
    <w:rsid w:val="0022695B"/>
    <w:rsid w:val="0022729E"/>
    <w:rsid w:val="0022730B"/>
    <w:rsid w:val="00227943"/>
    <w:rsid w:val="00227C20"/>
    <w:rsid w:val="00227E64"/>
    <w:rsid w:val="00230013"/>
    <w:rsid w:val="00230719"/>
    <w:rsid w:val="002317A6"/>
    <w:rsid w:val="002321EC"/>
    <w:rsid w:val="00232D3D"/>
    <w:rsid w:val="00233B62"/>
    <w:rsid w:val="0023406F"/>
    <w:rsid w:val="00234A44"/>
    <w:rsid w:val="00234DB4"/>
    <w:rsid w:val="00235104"/>
    <w:rsid w:val="0023535E"/>
    <w:rsid w:val="00235516"/>
    <w:rsid w:val="00235A6B"/>
    <w:rsid w:val="0023658E"/>
    <w:rsid w:val="002368EB"/>
    <w:rsid w:val="00237035"/>
    <w:rsid w:val="002406C1"/>
    <w:rsid w:val="002406C2"/>
    <w:rsid w:val="00240F83"/>
    <w:rsid w:val="002415DC"/>
    <w:rsid w:val="00243E24"/>
    <w:rsid w:val="00243FE2"/>
    <w:rsid w:val="00244061"/>
    <w:rsid w:val="00244238"/>
    <w:rsid w:val="00244FA6"/>
    <w:rsid w:val="002458D7"/>
    <w:rsid w:val="002461AB"/>
    <w:rsid w:val="00246649"/>
    <w:rsid w:val="0024696D"/>
    <w:rsid w:val="0024699E"/>
    <w:rsid w:val="00246B5F"/>
    <w:rsid w:val="00246BFD"/>
    <w:rsid w:val="002471AD"/>
    <w:rsid w:val="002473AC"/>
    <w:rsid w:val="002477C3"/>
    <w:rsid w:val="00247B9D"/>
    <w:rsid w:val="002506D1"/>
    <w:rsid w:val="00250D4A"/>
    <w:rsid w:val="00251142"/>
    <w:rsid w:val="002512C1"/>
    <w:rsid w:val="002517F9"/>
    <w:rsid w:val="002526B2"/>
    <w:rsid w:val="00254AB8"/>
    <w:rsid w:val="00254FDF"/>
    <w:rsid w:val="00255178"/>
    <w:rsid w:val="0025570C"/>
    <w:rsid w:val="00255B23"/>
    <w:rsid w:val="00256CFA"/>
    <w:rsid w:val="00256E35"/>
    <w:rsid w:val="00256E88"/>
    <w:rsid w:val="002575D7"/>
    <w:rsid w:val="00260E6B"/>
    <w:rsid w:val="00261305"/>
    <w:rsid w:val="002623C7"/>
    <w:rsid w:val="0026251C"/>
    <w:rsid w:val="002628DD"/>
    <w:rsid w:val="00263786"/>
    <w:rsid w:val="00263ED8"/>
    <w:rsid w:val="00264DAB"/>
    <w:rsid w:val="00265BD2"/>
    <w:rsid w:val="0026621D"/>
    <w:rsid w:val="00266CFD"/>
    <w:rsid w:val="00266DE4"/>
    <w:rsid w:val="00267626"/>
    <w:rsid w:val="00267FBF"/>
    <w:rsid w:val="00270544"/>
    <w:rsid w:val="00271597"/>
    <w:rsid w:val="002716DB"/>
    <w:rsid w:val="002717F6"/>
    <w:rsid w:val="00271E35"/>
    <w:rsid w:val="00271EDD"/>
    <w:rsid w:val="002723CC"/>
    <w:rsid w:val="00273A2B"/>
    <w:rsid w:val="00274117"/>
    <w:rsid w:val="00274281"/>
    <w:rsid w:val="0027483D"/>
    <w:rsid w:val="002757FD"/>
    <w:rsid w:val="00275D9D"/>
    <w:rsid w:val="0027622C"/>
    <w:rsid w:val="00276477"/>
    <w:rsid w:val="002765C6"/>
    <w:rsid w:val="00276BC4"/>
    <w:rsid w:val="00276ED6"/>
    <w:rsid w:val="00276F5F"/>
    <w:rsid w:val="0027729E"/>
    <w:rsid w:val="00277A8F"/>
    <w:rsid w:val="002806DE"/>
    <w:rsid w:val="002806FE"/>
    <w:rsid w:val="00280A33"/>
    <w:rsid w:val="00280D12"/>
    <w:rsid w:val="00281337"/>
    <w:rsid w:val="002814D3"/>
    <w:rsid w:val="00281CD1"/>
    <w:rsid w:val="002822DE"/>
    <w:rsid w:val="00282D4F"/>
    <w:rsid w:val="00282E79"/>
    <w:rsid w:val="00283A22"/>
    <w:rsid w:val="00283A46"/>
    <w:rsid w:val="00284255"/>
    <w:rsid w:val="00284293"/>
    <w:rsid w:val="00284299"/>
    <w:rsid w:val="00284306"/>
    <w:rsid w:val="00284393"/>
    <w:rsid w:val="002846E0"/>
    <w:rsid w:val="00284797"/>
    <w:rsid w:val="002847E8"/>
    <w:rsid w:val="00284A8C"/>
    <w:rsid w:val="00285C03"/>
    <w:rsid w:val="00286BAE"/>
    <w:rsid w:val="00287029"/>
    <w:rsid w:val="0028729F"/>
    <w:rsid w:val="00287DA7"/>
    <w:rsid w:val="0029025E"/>
    <w:rsid w:val="00290AF1"/>
    <w:rsid w:val="00291F3E"/>
    <w:rsid w:val="00291FC6"/>
    <w:rsid w:val="00292F55"/>
    <w:rsid w:val="00293170"/>
    <w:rsid w:val="00293301"/>
    <w:rsid w:val="00293D4C"/>
    <w:rsid w:val="002947A3"/>
    <w:rsid w:val="0029592D"/>
    <w:rsid w:val="00295B2A"/>
    <w:rsid w:val="00295C98"/>
    <w:rsid w:val="00295D96"/>
    <w:rsid w:val="00296A14"/>
    <w:rsid w:val="002971F7"/>
    <w:rsid w:val="00297EB8"/>
    <w:rsid w:val="002A037A"/>
    <w:rsid w:val="002A29C5"/>
    <w:rsid w:val="002A2BF8"/>
    <w:rsid w:val="002A2F72"/>
    <w:rsid w:val="002A31B0"/>
    <w:rsid w:val="002A3DC1"/>
    <w:rsid w:val="002A492E"/>
    <w:rsid w:val="002A4BFD"/>
    <w:rsid w:val="002A5278"/>
    <w:rsid w:val="002A598F"/>
    <w:rsid w:val="002A6A71"/>
    <w:rsid w:val="002A7F8C"/>
    <w:rsid w:val="002B0359"/>
    <w:rsid w:val="002B13B7"/>
    <w:rsid w:val="002B15F8"/>
    <w:rsid w:val="002B1C93"/>
    <w:rsid w:val="002B1DFB"/>
    <w:rsid w:val="002B20CD"/>
    <w:rsid w:val="002B24A3"/>
    <w:rsid w:val="002B26D2"/>
    <w:rsid w:val="002B2742"/>
    <w:rsid w:val="002B28EB"/>
    <w:rsid w:val="002B2D38"/>
    <w:rsid w:val="002B39A0"/>
    <w:rsid w:val="002B4B95"/>
    <w:rsid w:val="002B5618"/>
    <w:rsid w:val="002B6E2B"/>
    <w:rsid w:val="002B78D7"/>
    <w:rsid w:val="002C00F8"/>
    <w:rsid w:val="002C03CF"/>
    <w:rsid w:val="002C0D3D"/>
    <w:rsid w:val="002C1197"/>
    <w:rsid w:val="002C122A"/>
    <w:rsid w:val="002C12F3"/>
    <w:rsid w:val="002C1373"/>
    <w:rsid w:val="002C1E2E"/>
    <w:rsid w:val="002C2108"/>
    <w:rsid w:val="002C2250"/>
    <w:rsid w:val="002C24D0"/>
    <w:rsid w:val="002C30A0"/>
    <w:rsid w:val="002C3CD8"/>
    <w:rsid w:val="002C4598"/>
    <w:rsid w:val="002C4D31"/>
    <w:rsid w:val="002C4E60"/>
    <w:rsid w:val="002C515B"/>
    <w:rsid w:val="002C5666"/>
    <w:rsid w:val="002C567F"/>
    <w:rsid w:val="002C5CFB"/>
    <w:rsid w:val="002C5F1B"/>
    <w:rsid w:val="002C6290"/>
    <w:rsid w:val="002C7567"/>
    <w:rsid w:val="002C756A"/>
    <w:rsid w:val="002C7B7D"/>
    <w:rsid w:val="002D0096"/>
    <w:rsid w:val="002D0AAC"/>
    <w:rsid w:val="002D0DB3"/>
    <w:rsid w:val="002D192F"/>
    <w:rsid w:val="002D2474"/>
    <w:rsid w:val="002D25A6"/>
    <w:rsid w:val="002D2626"/>
    <w:rsid w:val="002D2736"/>
    <w:rsid w:val="002D2B47"/>
    <w:rsid w:val="002D2DD3"/>
    <w:rsid w:val="002D30B6"/>
    <w:rsid w:val="002D4735"/>
    <w:rsid w:val="002D47C9"/>
    <w:rsid w:val="002D5323"/>
    <w:rsid w:val="002D6133"/>
    <w:rsid w:val="002D66AB"/>
    <w:rsid w:val="002D731E"/>
    <w:rsid w:val="002D7AB3"/>
    <w:rsid w:val="002E01E7"/>
    <w:rsid w:val="002E020B"/>
    <w:rsid w:val="002E10A2"/>
    <w:rsid w:val="002E1238"/>
    <w:rsid w:val="002E12DB"/>
    <w:rsid w:val="002E1712"/>
    <w:rsid w:val="002E1893"/>
    <w:rsid w:val="002E22F2"/>
    <w:rsid w:val="002E2664"/>
    <w:rsid w:val="002E2FB2"/>
    <w:rsid w:val="002E3193"/>
    <w:rsid w:val="002E4B3C"/>
    <w:rsid w:val="002E583A"/>
    <w:rsid w:val="002E5EBC"/>
    <w:rsid w:val="002E682B"/>
    <w:rsid w:val="002E68B2"/>
    <w:rsid w:val="002E7FA7"/>
    <w:rsid w:val="002F011B"/>
    <w:rsid w:val="002F04A0"/>
    <w:rsid w:val="002F089E"/>
    <w:rsid w:val="002F0912"/>
    <w:rsid w:val="002F0A1B"/>
    <w:rsid w:val="002F0BDF"/>
    <w:rsid w:val="002F1733"/>
    <w:rsid w:val="002F18CA"/>
    <w:rsid w:val="002F1A22"/>
    <w:rsid w:val="002F1D67"/>
    <w:rsid w:val="002F1E98"/>
    <w:rsid w:val="002F2A3F"/>
    <w:rsid w:val="002F2A9E"/>
    <w:rsid w:val="002F2B56"/>
    <w:rsid w:val="002F2BDB"/>
    <w:rsid w:val="002F2BEA"/>
    <w:rsid w:val="002F2DDA"/>
    <w:rsid w:val="002F32EE"/>
    <w:rsid w:val="002F3BE7"/>
    <w:rsid w:val="002F47BB"/>
    <w:rsid w:val="002F5D01"/>
    <w:rsid w:val="002F648C"/>
    <w:rsid w:val="002F682B"/>
    <w:rsid w:val="002F6D8E"/>
    <w:rsid w:val="002F6F86"/>
    <w:rsid w:val="002F6FE9"/>
    <w:rsid w:val="002F74D2"/>
    <w:rsid w:val="002F75BC"/>
    <w:rsid w:val="002F76E5"/>
    <w:rsid w:val="002F78DF"/>
    <w:rsid w:val="002F79ED"/>
    <w:rsid w:val="002F7EAC"/>
    <w:rsid w:val="00300080"/>
    <w:rsid w:val="00300643"/>
    <w:rsid w:val="0030084F"/>
    <w:rsid w:val="00300943"/>
    <w:rsid w:val="00300A7F"/>
    <w:rsid w:val="00300B1F"/>
    <w:rsid w:val="00300C21"/>
    <w:rsid w:val="00300F12"/>
    <w:rsid w:val="00301004"/>
    <w:rsid w:val="003015F3"/>
    <w:rsid w:val="00301D02"/>
    <w:rsid w:val="00301DE1"/>
    <w:rsid w:val="00301E3F"/>
    <w:rsid w:val="00302B61"/>
    <w:rsid w:val="00302E85"/>
    <w:rsid w:val="003032A8"/>
    <w:rsid w:val="00303C05"/>
    <w:rsid w:val="00303C26"/>
    <w:rsid w:val="00303C57"/>
    <w:rsid w:val="0030452B"/>
    <w:rsid w:val="00305AC7"/>
    <w:rsid w:val="00305D30"/>
    <w:rsid w:val="00305D88"/>
    <w:rsid w:val="00305FE4"/>
    <w:rsid w:val="0030652B"/>
    <w:rsid w:val="00307661"/>
    <w:rsid w:val="0031049E"/>
    <w:rsid w:val="00310785"/>
    <w:rsid w:val="00310910"/>
    <w:rsid w:val="00310961"/>
    <w:rsid w:val="00310D74"/>
    <w:rsid w:val="00311088"/>
    <w:rsid w:val="0031115C"/>
    <w:rsid w:val="003116F9"/>
    <w:rsid w:val="00311CE9"/>
    <w:rsid w:val="00311E18"/>
    <w:rsid w:val="003132C4"/>
    <w:rsid w:val="0031381B"/>
    <w:rsid w:val="0031484A"/>
    <w:rsid w:val="0031491D"/>
    <w:rsid w:val="00314BB4"/>
    <w:rsid w:val="00316921"/>
    <w:rsid w:val="00316CBF"/>
    <w:rsid w:val="00316DBA"/>
    <w:rsid w:val="00316DE8"/>
    <w:rsid w:val="00317351"/>
    <w:rsid w:val="00317452"/>
    <w:rsid w:val="00317B39"/>
    <w:rsid w:val="00317CB5"/>
    <w:rsid w:val="0032075C"/>
    <w:rsid w:val="0032098F"/>
    <w:rsid w:val="00320E22"/>
    <w:rsid w:val="00321DDB"/>
    <w:rsid w:val="00321F11"/>
    <w:rsid w:val="00322456"/>
    <w:rsid w:val="00322BDA"/>
    <w:rsid w:val="00322F08"/>
    <w:rsid w:val="00323338"/>
    <w:rsid w:val="00323532"/>
    <w:rsid w:val="00324597"/>
    <w:rsid w:val="00324C1B"/>
    <w:rsid w:val="003251D1"/>
    <w:rsid w:val="00325514"/>
    <w:rsid w:val="003259F9"/>
    <w:rsid w:val="00325B90"/>
    <w:rsid w:val="00326CC8"/>
    <w:rsid w:val="00326D9A"/>
    <w:rsid w:val="00327183"/>
    <w:rsid w:val="003273BA"/>
    <w:rsid w:val="00327C71"/>
    <w:rsid w:val="00327CC9"/>
    <w:rsid w:val="00330620"/>
    <w:rsid w:val="0033073F"/>
    <w:rsid w:val="00330CE4"/>
    <w:rsid w:val="00330D31"/>
    <w:rsid w:val="00330DDF"/>
    <w:rsid w:val="00330E0C"/>
    <w:rsid w:val="00331086"/>
    <w:rsid w:val="00331985"/>
    <w:rsid w:val="00331F77"/>
    <w:rsid w:val="003321EF"/>
    <w:rsid w:val="00332290"/>
    <w:rsid w:val="00332304"/>
    <w:rsid w:val="0033278A"/>
    <w:rsid w:val="00332CA3"/>
    <w:rsid w:val="00333396"/>
    <w:rsid w:val="003334EF"/>
    <w:rsid w:val="0033356F"/>
    <w:rsid w:val="00333699"/>
    <w:rsid w:val="003341D6"/>
    <w:rsid w:val="003359BC"/>
    <w:rsid w:val="00336A8C"/>
    <w:rsid w:val="00336FA6"/>
    <w:rsid w:val="00340040"/>
    <w:rsid w:val="0034007D"/>
    <w:rsid w:val="003417DC"/>
    <w:rsid w:val="00342525"/>
    <w:rsid w:val="00343ACB"/>
    <w:rsid w:val="00344187"/>
    <w:rsid w:val="003444D8"/>
    <w:rsid w:val="00344D4F"/>
    <w:rsid w:val="00345612"/>
    <w:rsid w:val="00345826"/>
    <w:rsid w:val="00345A25"/>
    <w:rsid w:val="003461EB"/>
    <w:rsid w:val="00346489"/>
    <w:rsid w:val="003465B9"/>
    <w:rsid w:val="00346AD6"/>
    <w:rsid w:val="00347053"/>
    <w:rsid w:val="003524B1"/>
    <w:rsid w:val="0035275E"/>
    <w:rsid w:val="00352C44"/>
    <w:rsid w:val="003531EE"/>
    <w:rsid w:val="003536BC"/>
    <w:rsid w:val="00353AED"/>
    <w:rsid w:val="00353C44"/>
    <w:rsid w:val="00353EE6"/>
    <w:rsid w:val="00354B54"/>
    <w:rsid w:val="00354BE9"/>
    <w:rsid w:val="00354CFA"/>
    <w:rsid w:val="00354D66"/>
    <w:rsid w:val="00354E6F"/>
    <w:rsid w:val="00354FB7"/>
    <w:rsid w:val="00355B8D"/>
    <w:rsid w:val="00356567"/>
    <w:rsid w:val="003566BC"/>
    <w:rsid w:val="00356715"/>
    <w:rsid w:val="00356A07"/>
    <w:rsid w:val="00356C98"/>
    <w:rsid w:val="00356D8C"/>
    <w:rsid w:val="0035733C"/>
    <w:rsid w:val="00357673"/>
    <w:rsid w:val="0035771A"/>
    <w:rsid w:val="00357AD3"/>
    <w:rsid w:val="00357C1B"/>
    <w:rsid w:val="00357D14"/>
    <w:rsid w:val="00360C83"/>
    <w:rsid w:val="00361217"/>
    <w:rsid w:val="0036179A"/>
    <w:rsid w:val="003618EE"/>
    <w:rsid w:val="00361A58"/>
    <w:rsid w:val="00362123"/>
    <w:rsid w:val="00362302"/>
    <w:rsid w:val="00362416"/>
    <w:rsid w:val="003625E9"/>
    <w:rsid w:val="003627BC"/>
    <w:rsid w:val="00362858"/>
    <w:rsid w:val="003629EA"/>
    <w:rsid w:val="0036320D"/>
    <w:rsid w:val="0036386E"/>
    <w:rsid w:val="00363A74"/>
    <w:rsid w:val="003645E5"/>
    <w:rsid w:val="003649F9"/>
    <w:rsid w:val="00364DC8"/>
    <w:rsid w:val="00365DD3"/>
    <w:rsid w:val="003669C1"/>
    <w:rsid w:val="00367190"/>
    <w:rsid w:val="00370937"/>
    <w:rsid w:val="00370B5E"/>
    <w:rsid w:val="003713CF"/>
    <w:rsid w:val="00371E33"/>
    <w:rsid w:val="00372FE7"/>
    <w:rsid w:val="003735BE"/>
    <w:rsid w:val="003740FA"/>
    <w:rsid w:val="003749DD"/>
    <w:rsid w:val="003753F5"/>
    <w:rsid w:val="0037547B"/>
    <w:rsid w:val="0037567E"/>
    <w:rsid w:val="00375930"/>
    <w:rsid w:val="00375E4A"/>
    <w:rsid w:val="00376040"/>
    <w:rsid w:val="0037638B"/>
    <w:rsid w:val="00377299"/>
    <w:rsid w:val="00380630"/>
    <w:rsid w:val="00380B82"/>
    <w:rsid w:val="0038163F"/>
    <w:rsid w:val="00381DF7"/>
    <w:rsid w:val="00381E31"/>
    <w:rsid w:val="00382374"/>
    <w:rsid w:val="00382403"/>
    <w:rsid w:val="00382540"/>
    <w:rsid w:val="00382776"/>
    <w:rsid w:val="00382FD2"/>
    <w:rsid w:val="0038319A"/>
    <w:rsid w:val="0038414F"/>
    <w:rsid w:val="00384DE6"/>
    <w:rsid w:val="00384F26"/>
    <w:rsid w:val="00384F63"/>
    <w:rsid w:val="003851F9"/>
    <w:rsid w:val="00385396"/>
    <w:rsid w:val="003857BE"/>
    <w:rsid w:val="00385D0D"/>
    <w:rsid w:val="00385E23"/>
    <w:rsid w:val="00385E7E"/>
    <w:rsid w:val="00386065"/>
    <w:rsid w:val="00386783"/>
    <w:rsid w:val="0038700B"/>
    <w:rsid w:val="00387397"/>
    <w:rsid w:val="00387500"/>
    <w:rsid w:val="003879D0"/>
    <w:rsid w:val="00387FDF"/>
    <w:rsid w:val="00390052"/>
    <w:rsid w:val="00390239"/>
    <w:rsid w:val="003902A9"/>
    <w:rsid w:val="00390D5E"/>
    <w:rsid w:val="00390F15"/>
    <w:rsid w:val="003913EA"/>
    <w:rsid w:val="00391CB3"/>
    <w:rsid w:val="00391D64"/>
    <w:rsid w:val="00391F54"/>
    <w:rsid w:val="00392374"/>
    <w:rsid w:val="003926BC"/>
    <w:rsid w:val="003927A9"/>
    <w:rsid w:val="003932BE"/>
    <w:rsid w:val="00393A57"/>
    <w:rsid w:val="00393C1A"/>
    <w:rsid w:val="0039415F"/>
    <w:rsid w:val="00395320"/>
    <w:rsid w:val="00396B7E"/>
    <w:rsid w:val="00396C49"/>
    <w:rsid w:val="00396FC8"/>
    <w:rsid w:val="00397533"/>
    <w:rsid w:val="00397B03"/>
    <w:rsid w:val="003A060E"/>
    <w:rsid w:val="003A0AF5"/>
    <w:rsid w:val="003A155D"/>
    <w:rsid w:val="003A160D"/>
    <w:rsid w:val="003A1900"/>
    <w:rsid w:val="003A1C77"/>
    <w:rsid w:val="003A1DC3"/>
    <w:rsid w:val="003A200D"/>
    <w:rsid w:val="003A2CEE"/>
    <w:rsid w:val="003A38D8"/>
    <w:rsid w:val="003A39B9"/>
    <w:rsid w:val="003A3E9D"/>
    <w:rsid w:val="003A4310"/>
    <w:rsid w:val="003A45D0"/>
    <w:rsid w:val="003A4669"/>
    <w:rsid w:val="003A4BDF"/>
    <w:rsid w:val="003A5217"/>
    <w:rsid w:val="003A57A3"/>
    <w:rsid w:val="003A5D1E"/>
    <w:rsid w:val="003A5E50"/>
    <w:rsid w:val="003A672F"/>
    <w:rsid w:val="003A69E7"/>
    <w:rsid w:val="003A7B6A"/>
    <w:rsid w:val="003B0A6A"/>
    <w:rsid w:val="003B0BF8"/>
    <w:rsid w:val="003B0CB2"/>
    <w:rsid w:val="003B1323"/>
    <w:rsid w:val="003B163B"/>
    <w:rsid w:val="003B242B"/>
    <w:rsid w:val="003B2552"/>
    <w:rsid w:val="003B2738"/>
    <w:rsid w:val="003B2DE2"/>
    <w:rsid w:val="003B2EA8"/>
    <w:rsid w:val="003B32CD"/>
    <w:rsid w:val="003B3479"/>
    <w:rsid w:val="003B3798"/>
    <w:rsid w:val="003B399C"/>
    <w:rsid w:val="003B3BCF"/>
    <w:rsid w:val="003B3DB3"/>
    <w:rsid w:val="003B42F3"/>
    <w:rsid w:val="003B45FC"/>
    <w:rsid w:val="003B4815"/>
    <w:rsid w:val="003B4EA1"/>
    <w:rsid w:val="003B514A"/>
    <w:rsid w:val="003B5579"/>
    <w:rsid w:val="003B56D0"/>
    <w:rsid w:val="003B5C62"/>
    <w:rsid w:val="003B5D69"/>
    <w:rsid w:val="003B69F4"/>
    <w:rsid w:val="003B6CBC"/>
    <w:rsid w:val="003B715D"/>
    <w:rsid w:val="003B74A4"/>
    <w:rsid w:val="003B7608"/>
    <w:rsid w:val="003C0306"/>
    <w:rsid w:val="003C03A6"/>
    <w:rsid w:val="003C1A69"/>
    <w:rsid w:val="003C2290"/>
    <w:rsid w:val="003C23AB"/>
    <w:rsid w:val="003C2D59"/>
    <w:rsid w:val="003C33D1"/>
    <w:rsid w:val="003C3485"/>
    <w:rsid w:val="003C38F4"/>
    <w:rsid w:val="003C39C2"/>
    <w:rsid w:val="003C45A0"/>
    <w:rsid w:val="003C4736"/>
    <w:rsid w:val="003C4825"/>
    <w:rsid w:val="003C4B66"/>
    <w:rsid w:val="003C514C"/>
    <w:rsid w:val="003C5E19"/>
    <w:rsid w:val="003C5EF6"/>
    <w:rsid w:val="003C5FB8"/>
    <w:rsid w:val="003C6611"/>
    <w:rsid w:val="003C6A1A"/>
    <w:rsid w:val="003C6EAB"/>
    <w:rsid w:val="003C70B9"/>
    <w:rsid w:val="003C7A92"/>
    <w:rsid w:val="003D13A8"/>
    <w:rsid w:val="003D13DC"/>
    <w:rsid w:val="003D1846"/>
    <w:rsid w:val="003D2597"/>
    <w:rsid w:val="003D2A5B"/>
    <w:rsid w:val="003D2D04"/>
    <w:rsid w:val="003D3099"/>
    <w:rsid w:val="003D313F"/>
    <w:rsid w:val="003D37FF"/>
    <w:rsid w:val="003D4074"/>
    <w:rsid w:val="003D480D"/>
    <w:rsid w:val="003D4B2E"/>
    <w:rsid w:val="003D4CD1"/>
    <w:rsid w:val="003D547D"/>
    <w:rsid w:val="003D55C6"/>
    <w:rsid w:val="003D5874"/>
    <w:rsid w:val="003D5A7F"/>
    <w:rsid w:val="003D64E2"/>
    <w:rsid w:val="003D6692"/>
    <w:rsid w:val="003D6EAB"/>
    <w:rsid w:val="003D737D"/>
    <w:rsid w:val="003D756B"/>
    <w:rsid w:val="003D790C"/>
    <w:rsid w:val="003D7BE5"/>
    <w:rsid w:val="003E0060"/>
    <w:rsid w:val="003E065E"/>
    <w:rsid w:val="003E1AE4"/>
    <w:rsid w:val="003E1BD3"/>
    <w:rsid w:val="003E2307"/>
    <w:rsid w:val="003E3670"/>
    <w:rsid w:val="003E4BED"/>
    <w:rsid w:val="003E4E04"/>
    <w:rsid w:val="003E52F0"/>
    <w:rsid w:val="003E5A40"/>
    <w:rsid w:val="003E5B9E"/>
    <w:rsid w:val="003E5D0C"/>
    <w:rsid w:val="003E68C3"/>
    <w:rsid w:val="003E6E73"/>
    <w:rsid w:val="003E771B"/>
    <w:rsid w:val="003E79D6"/>
    <w:rsid w:val="003F0CC7"/>
    <w:rsid w:val="003F0F6D"/>
    <w:rsid w:val="003F1276"/>
    <w:rsid w:val="003F1845"/>
    <w:rsid w:val="003F1E62"/>
    <w:rsid w:val="003F3456"/>
    <w:rsid w:val="003F41DD"/>
    <w:rsid w:val="003F42F2"/>
    <w:rsid w:val="003F56F9"/>
    <w:rsid w:val="003F5B01"/>
    <w:rsid w:val="003F5D25"/>
    <w:rsid w:val="003F63CB"/>
    <w:rsid w:val="003F6681"/>
    <w:rsid w:val="003F6E00"/>
    <w:rsid w:val="003F6F2B"/>
    <w:rsid w:val="003F7098"/>
    <w:rsid w:val="003F70D9"/>
    <w:rsid w:val="00400ABF"/>
    <w:rsid w:val="00400E85"/>
    <w:rsid w:val="00401A5A"/>
    <w:rsid w:val="00401C40"/>
    <w:rsid w:val="00401D93"/>
    <w:rsid w:val="004020E5"/>
    <w:rsid w:val="004026B8"/>
    <w:rsid w:val="00402981"/>
    <w:rsid w:val="00403311"/>
    <w:rsid w:val="00403D21"/>
    <w:rsid w:val="0040414C"/>
    <w:rsid w:val="00404493"/>
    <w:rsid w:val="00404711"/>
    <w:rsid w:val="004047E1"/>
    <w:rsid w:val="0040485A"/>
    <w:rsid w:val="0040566F"/>
    <w:rsid w:val="00406D43"/>
    <w:rsid w:val="00406F04"/>
    <w:rsid w:val="00407404"/>
    <w:rsid w:val="00407976"/>
    <w:rsid w:val="00407C1F"/>
    <w:rsid w:val="00407C47"/>
    <w:rsid w:val="00407F35"/>
    <w:rsid w:val="00407FF8"/>
    <w:rsid w:val="004100DA"/>
    <w:rsid w:val="00410188"/>
    <w:rsid w:val="00410E64"/>
    <w:rsid w:val="00411033"/>
    <w:rsid w:val="00412ACC"/>
    <w:rsid w:val="00412F69"/>
    <w:rsid w:val="00413617"/>
    <w:rsid w:val="00414463"/>
    <w:rsid w:val="00414675"/>
    <w:rsid w:val="004147A4"/>
    <w:rsid w:val="004149AC"/>
    <w:rsid w:val="00414CA8"/>
    <w:rsid w:val="00415093"/>
    <w:rsid w:val="0041525A"/>
    <w:rsid w:val="0041544C"/>
    <w:rsid w:val="004164D0"/>
    <w:rsid w:val="004172ED"/>
    <w:rsid w:val="0041735A"/>
    <w:rsid w:val="004178B8"/>
    <w:rsid w:val="00420195"/>
    <w:rsid w:val="00420BC1"/>
    <w:rsid w:val="00420D21"/>
    <w:rsid w:val="00420DC9"/>
    <w:rsid w:val="0042262A"/>
    <w:rsid w:val="00422A25"/>
    <w:rsid w:val="00422F4A"/>
    <w:rsid w:val="00423392"/>
    <w:rsid w:val="0042435B"/>
    <w:rsid w:val="004247C2"/>
    <w:rsid w:val="004248FD"/>
    <w:rsid w:val="00424F2E"/>
    <w:rsid w:val="0042502F"/>
    <w:rsid w:val="004250B1"/>
    <w:rsid w:val="00425405"/>
    <w:rsid w:val="00425808"/>
    <w:rsid w:val="00425EC6"/>
    <w:rsid w:val="0042723D"/>
    <w:rsid w:val="00427392"/>
    <w:rsid w:val="004315BA"/>
    <w:rsid w:val="00431EA8"/>
    <w:rsid w:val="004325E4"/>
    <w:rsid w:val="00433536"/>
    <w:rsid w:val="00433896"/>
    <w:rsid w:val="0043540B"/>
    <w:rsid w:val="004354DA"/>
    <w:rsid w:val="00435A61"/>
    <w:rsid w:val="00437012"/>
    <w:rsid w:val="00437116"/>
    <w:rsid w:val="004377B0"/>
    <w:rsid w:val="00440082"/>
    <w:rsid w:val="004402CD"/>
    <w:rsid w:val="00440422"/>
    <w:rsid w:val="004406DF"/>
    <w:rsid w:val="00440731"/>
    <w:rsid w:val="00440CCB"/>
    <w:rsid w:val="00441B1D"/>
    <w:rsid w:val="00442DEA"/>
    <w:rsid w:val="004433D2"/>
    <w:rsid w:val="004433EE"/>
    <w:rsid w:val="004435AB"/>
    <w:rsid w:val="0044378B"/>
    <w:rsid w:val="00443C96"/>
    <w:rsid w:val="004443CF"/>
    <w:rsid w:val="00444AED"/>
    <w:rsid w:val="00444C0E"/>
    <w:rsid w:val="00444C60"/>
    <w:rsid w:val="00444DA7"/>
    <w:rsid w:val="00444EE2"/>
    <w:rsid w:val="00444F15"/>
    <w:rsid w:val="004451F6"/>
    <w:rsid w:val="00445A65"/>
    <w:rsid w:val="00446179"/>
    <w:rsid w:val="0044665E"/>
    <w:rsid w:val="0044718E"/>
    <w:rsid w:val="004473AC"/>
    <w:rsid w:val="004502A9"/>
    <w:rsid w:val="00450DC7"/>
    <w:rsid w:val="00450E1D"/>
    <w:rsid w:val="0045119E"/>
    <w:rsid w:val="004512E9"/>
    <w:rsid w:val="0045148E"/>
    <w:rsid w:val="004517D8"/>
    <w:rsid w:val="004519A1"/>
    <w:rsid w:val="00452542"/>
    <w:rsid w:val="004527B6"/>
    <w:rsid w:val="00452998"/>
    <w:rsid w:val="004532D5"/>
    <w:rsid w:val="00453406"/>
    <w:rsid w:val="00453797"/>
    <w:rsid w:val="00453D55"/>
    <w:rsid w:val="0045426D"/>
    <w:rsid w:val="004542E9"/>
    <w:rsid w:val="004545D3"/>
    <w:rsid w:val="00454821"/>
    <w:rsid w:val="00454F8B"/>
    <w:rsid w:val="0045541F"/>
    <w:rsid w:val="00455427"/>
    <w:rsid w:val="00455499"/>
    <w:rsid w:val="00455537"/>
    <w:rsid w:val="00455CB0"/>
    <w:rsid w:val="004566B2"/>
    <w:rsid w:val="00456D5B"/>
    <w:rsid w:val="00456FFD"/>
    <w:rsid w:val="00457399"/>
    <w:rsid w:val="00457C9F"/>
    <w:rsid w:val="004602CE"/>
    <w:rsid w:val="004609F2"/>
    <w:rsid w:val="00461490"/>
    <w:rsid w:val="00461AA4"/>
    <w:rsid w:val="00461D82"/>
    <w:rsid w:val="004631CB"/>
    <w:rsid w:val="00463DA5"/>
    <w:rsid w:val="00464D31"/>
    <w:rsid w:val="0046528E"/>
    <w:rsid w:val="00465774"/>
    <w:rsid w:val="00465BF6"/>
    <w:rsid w:val="00465C52"/>
    <w:rsid w:val="0046605F"/>
    <w:rsid w:val="0046610F"/>
    <w:rsid w:val="004664E8"/>
    <w:rsid w:val="00466501"/>
    <w:rsid w:val="00466551"/>
    <w:rsid w:val="00466935"/>
    <w:rsid w:val="00466ABE"/>
    <w:rsid w:val="00467245"/>
    <w:rsid w:val="00467AF3"/>
    <w:rsid w:val="00467CEB"/>
    <w:rsid w:val="0047026E"/>
    <w:rsid w:val="004706AF"/>
    <w:rsid w:val="00470871"/>
    <w:rsid w:val="00470A97"/>
    <w:rsid w:val="00470C8E"/>
    <w:rsid w:val="00470CED"/>
    <w:rsid w:val="00471348"/>
    <w:rsid w:val="00471864"/>
    <w:rsid w:val="0047188E"/>
    <w:rsid w:val="0047206D"/>
    <w:rsid w:val="00472AFC"/>
    <w:rsid w:val="00472B14"/>
    <w:rsid w:val="00472CAE"/>
    <w:rsid w:val="00472CC8"/>
    <w:rsid w:val="00472F71"/>
    <w:rsid w:val="00473064"/>
    <w:rsid w:val="00473198"/>
    <w:rsid w:val="004733BB"/>
    <w:rsid w:val="00473571"/>
    <w:rsid w:val="004735FC"/>
    <w:rsid w:val="00473796"/>
    <w:rsid w:val="00473B50"/>
    <w:rsid w:val="00473E58"/>
    <w:rsid w:val="00474261"/>
    <w:rsid w:val="00474A50"/>
    <w:rsid w:val="0047597B"/>
    <w:rsid w:val="00476A19"/>
    <w:rsid w:val="00476CEE"/>
    <w:rsid w:val="00476F5D"/>
    <w:rsid w:val="0047766F"/>
    <w:rsid w:val="00480036"/>
    <w:rsid w:val="00480808"/>
    <w:rsid w:val="00480C0D"/>
    <w:rsid w:val="00480D09"/>
    <w:rsid w:val="004811A4"/>
    <w:rsid w:val="00481401"/>
    <w:rsid w:val="004814EC"/>
    <w:rsid w:val="00483953"/>
    <w:rsid w:val="00483D03"/>
    <w:rsid w:val="00483DBD"/>
    <w:rsid w:val="00484739"/>
    <w:rsid w:val="0048475D"/>
    <w:rsid w:val="00485867"/>
    <w:rsid w:val="00485AD5"/>
    <w:rsid w:val="00485C0F"/>
    <w:rsid w:val="0048753E"/>
    <w:rsid w:val="00487B2E"/>
    <w:rsid w:val="00487CD4"/>
    <w:rsid w:val="004903BA"/>
    <w:rsid w:val="00490575"/>
    <w:rsid w:val="00490692"/>
    <w:rsid w:val="0049231D"/>
    <w:rsid w:val="004923B5"/>
    <w:rsid w:val="0049241C"/>
    <w:rsid w:val="00492E9F"/>
    <w:rsid w:val="00492F06"/>
    <w:rsid w:val="004934FC"/>
    <w:rsid w:val="00494A9E"/>
    <w:rsid w:val="00495126"/>
    <w:rsid w:val="0049536E"/>
    <w:rsid w:val="004955A4"/>
    <w:rsid w:val="00496044"/>
    <w:rsid w:val="00496ADA"/>
    <w:rsid w:val="004975E8"/>
    <w:rsid w:val="00497716"/>
    <w:rsid w:val="004A01BF"/>
    <w:rsid w:val="004A02A8"/>
    <w:rsid w:val="004A0CB1"/>
    <w:rsid w:val="004A1535"/>
    <w:rsid w:val="004A1A10"/>
    <w:rsid w:val="004A1A28"/>
    <w:rsid w:val="004A2079"/>
    <w:rsid w:val="004A29D8"/>
    <w:rsid w:val="004A3260"/>
    <w:rsid w:val="004A3DB9"/>
    <w:rsid w:val="004A5334"/>
    <w:rsid w:val="004A56BD"/>
    <w:rsid w:val="004A6224"/>
    <w:rsid w:val="004A63A0"/>
    <w:rsid w:val="004A65D5"/>
    <w:rsid w:val="004A6818"/>
    <w:rsid w:val="004A6D7B"/>
    <w:rsid w:val="004A7A9D"/>
    <w:rsid w:val="004B060D"/>
    <w:rsid w:val="004B06F7"/>
    <w:rsid w:val="004B10B6"/>
    <w:rsid w:val="004B1342"/>
    <w:rsid w:val="004B144E"/>
    <w:rsid w:val="004B172C"/>
    <w:rsid w:val="004B1A7B"/>
    <w:rsid w:val="004B2956"/>
    <w:rsid w:val="004B2C4B"/>
    <w:rsid w:val="004B3025"/>
    <w:rsid w:val="004B326F"/>
    <w:rsid w:val="004B3598"/>
    <w:rsid w:val="004B3A80"/>
    <w:rsid w:val="004B4107"/>
    <w:rsid w:val="004B4665"/>
    <w:rsid w:val="004B4B98"/>
    <w:rsid w:val="004B4CC8"/>
    <w:rsid w:val="004B4D78"/>
    <w:rsid w:val="004B5625"/>
    <w:rsid w:val="004B59FE"/>
    <w:rsid w:val="004B5E40"/>
    <w:rsid w:val="004B658B"/>
    <w:rsid w:val="004B6CF6"/>
    <w:rsid w:val="004B6E12"/>
    <w:rsid w:val="004B6EEA"/>
    <w:rsid w:val="004B7135"/>
    <w:rsid w:val="004B7346"/>
    <w:rsid w:val="004C046F"/>
    <w:rsid w:val="004C0835"/>
    <w:rsid w:val="004C0CB2"/>
    <w:rsid w:val="004C0E82"/>
    <w:rsid w:val="004C1105"/>
    <w:rsid w:val="004C15D1"/>
    <w:rsid w:val="004C16D5"/>
    <w:rsid w:val="004C1709"/>
    <w:rsid w:val="004C1CBF"/>
    <w:rsid w:val="004C279D"/>
    <w:rsid w:val="004C2E0F"/>
    <w:rsid w:val="004C37A8"/>
    <w:rsid w:val="004C3AE7"/>
    <w:rsid w:val="004C3D84"/>
    <w:rsid w:val="004C442D"/>
    <w:rsid w:val="004C48C4"/>
    <w:rsid w:val="004C49F2"/>
    <w:rsid w:val="004C4C08"/>
    <w:rsid w:val="004C4E56"/>
    <w:rsid w:val="004C52C1"/>
    <w:rsid w:val="004C670F"/>
    <w:rsid w:val="004C6E68"/>
    <w:rsid w:val="004C7C16"/>
    <w:rsid w:val="004D02DD"/>
    <w:rsid w:val="004D038A"/>
    <w:rsid w:val="004D039F"/>
    <w:rsid w:val="004D086A"/>
    <w:rsid w:val="004D12C3"/>
    <w:rsid w:val="004D162E"/>
    <w:rsid w:val="004D1972"/>
    <w:rsid w:val="004D1AD6"/>
    <w:rsid w:val="004D1E38"/>
    <w:rsid w:val="004D2BB5"/>
    <w:rsid w:val="004D2D51"/>
    <w:rsid w:val="004D4207"/>
    <w:rsid w:val="004D435D"/>
    <w:rsid w:val="004D44A5"/>
    <w:rsid w:val="004D4C0F"/>
    <w:rsid w:val="004D4EA2"/>
    <w:rsid w:val="004D4EE7"/>
    <w:rsid w:val="004D58B6"/>
    <w:rsid w:val="004D5C96"/>
    <w:rsid w:val="004D5F96"/>
    <w:rsid w:val="004D6671"/>
    <w:rsid w:val="004D66BC"/>
    <w:rsid w:val="004D6937"/>
    <w:rsid w:val="004D6C91"/>
    <w:rsid w:val="004D7065"/>
    <w:rsid w:val="004D74F0"/>
    <w:rsid w:val="004D7892"/>
    <w:rsid w:val="004D7F5E"/>
    <w:rsid w:val="004E0566"/>
    <w:rsid w:val="004E0BEF"/>
    <w:rsid w:val="004E0E7B"/>
    <w:rsid w:val="004E115D"/>
    <w:rsid w:val="004E13E9"/>
    <w:rsid w:val="004E1416"/>
    <w:rsid w:val="004E20FD"/>
    <w:rsid w:val="004E25DB"/>
    <w:rsid w:val="004E2D9C"/>
    <w:rsid w:val="004E38BD"/>
    <w:rsid w:val="004E39AE"/>
    <w:rsid w:val="004E3DDD"/>
    <w:rsid w:val="004E3EBD"/>
    <w:rsid w:val="004E429E"/>
    <w:rsid w:val="004E46E0"/>
    <w:rsid w:val="004E4788"/>
    <w:rsid w:val="004E5AF0"/>
    <w:rsid w:val="004E5DD9"/>
    <w:rsid w:val="004E6002"/>
    <w:rsid w:val="004E73E3"/>
    <w:rsid w:val="004E7B4D"/>
    <w:rsid w:val="004F0025"/>
    <w:rsid w:val="004F0033"/>
    <w:rsid w:val="004F20D8"/>
    <w:rsid w:val="004F2327"/>
    <w:rsid w:val="004F2965"/>
    <w:rsid w:val="004F309C"/>
    <w:rsid w:val="004F3211"/>
    <w:rsid w:val="004F38F4"/>
    <w:rsid w:val="004F3AF8"/>
    <w:rsid w:val="004F4349"/>
    <w:rsid w:val="004F47F5"/>
    <w:rsid w:val="004F48E2"/>
    <w:rsid w:val="004F538C"/>
    <w:rsid w:val="004F5BA8"/>
    <w:rsid w:val="004F5E1F"/>
    <w:rsid w:val="004F6650"/>
    <w:rsid w:val="004F6F09"/>
    <w:rsid w:val="004F725D"/>
    <w:rsid w:val="004F7445"/>
    <w:rsid w:val="004F7773"/>
    <w:rsid w:val="004F7F0D"/>
    <w:rsid w:val="004F7FBC"/>
    <w:rsid w:val="0050043D"/>
    <w:rsid w:val="005009B5"/>
    <w:rsid w:val="00500EAC"/>
    <w:rsid w:val="00501394"/>
    <w:rsid w:val="005020A4"/>
    <w:rsid w:val="0050281C"/>
    <w:rsid w:val="00502A8D"/>
    <w:rsid w:val="00503393"/>
    <w:rsid w:val="0050545A"/>
    <w:rsid w:val="00505538"/>
    <w:rsid w:val="0050595E"/>
    <w:rsid w:val="00505F3F"/>
    <w:rsid w:val="005065C6"/>
    <w:rsid w:val="005071C3"/>
    <w:rsid w:val="0050759B"/>
    <w:rsid w:val="0050786F"/>
    <w:rsid w:val="005078D2"/>
    <w:rsid w:val="00507A97"/>
    <w:rsid w:val="00507AB0"/>
    <w:rsid w:val="00511066"/>
    <w:rsid w:val="00511176"/>
    <w:rsid w:val="00512397"/>
    <w:rsid w:val="00512599"/>
    <w:rsid w:val="00512ACB"/>
    <w:rsid w:val="00513389"/>
    <w:rsid w:val="005139A4"/>
    <w:rsid w:val="00514600"/>
    <w:rsid w:val="00514973"/>
    <w:rsid w:val="00514DAC"/>
    <w:rsid w:val="005152C0"/>
    <w:rsid w:val="005157ED"/>
    <w:rsid w:val="00515E00"/>
    <w:rsid w:val="00515E1C"/>
    <w:rsid w:val="00516290"/>
    <w:rsid w:val="005163A1"/>
    <w:rsid w:val="00516502"/>
    <w:rsid w:val="00517414"/>
    <w:rsid w:val="005177EA"/>
    <w:rsid w:val="005215CB"/>
    <w:rsid w:val="00521C2B"/>
    <w:rsid w:val="00521FBB"/>
    <w:rsid w:val="005220BD"/>
    <w:rsid w:val="00522213"/>
    <w:rsid w:val="0052226D"/>
    <w:rsid w:val="00522815"/>
    <w:rsid w:val="00522EAD"/>
    <w:rsid w:val="00523357"/>
    <w:rsid w:val="00523487"/>
    <w:rsid w:val="00523784"/>
    <w:rsid w:val="005239A0"/>
    <w:rsid w:val="00523C55"/>
    <w:rsid w:val="00524EE9"/>
    <w:rsid w:val="0052512B"/>
    <w:rsid w:val="00525250"/>
    <w:rsid w:val="005263D8"/>
    <w:rsid w:val="0052642A"/>
    <w:rsid w:val="00526654"/>
    <w:rsid w:val="005268B6"/>
    <w:rsid w:val="00526E14"/>
    <w:rsid w:val="00527153"/>
    <w:rsid w:val="005274FA"/>
    <w:rsid w:val="00530734"/>
    <w:rsid w:val="0053075F"/>
    <w:rsid w:val="005314DA"/>
    <w:rsid w:val="0053182F"/>
    <w:rsid w:val="00532321"/>
    <w:rsid w:val="005327E5"/>
    <w:rsid w:val="00532DA2"/>
    <w:rsid w:val="00533572"/>
    <w:rsid w:val="00533790"/>
    <w:rsid w:val="00533C0A"/>
    <w:rsid w:val="0053448A"/>
    <w:rsid w:val="005344BB"/>
    <w:rsid w:val="0053565C"/>
    <w:rsid w:val="005358C5"/>
    <w:rsid w:val="00536CD3"/>
    <w:rsid w:val="00536E08"/>
    <w:rsid w:val="00540CB9"/>
    <w:rsid w:val="00541364"/>
    <w:rsid w:val="00541511"/>
    <w:rsid w:val="005420C6"/>
    <w:rsid w:val="00542706"/>
    <w:rsid w:val="00542B0A"/>
    <w:rsid w:val="00543A63"/>
    <w:rsid w:val="00544420"/>
    <w:rsid w:val="00544A27"/>
    <w:rsid w:val="00544C6D"/>
    <w:rsid w:val="00546C68"/>
    <w:rsid w:val="00546EC0"/>
    <w:rsid w:val="00547C89"/>
    <w:rsid w:val="00547F6D"/>
    <w:rsid w:val="0055016E"/>
    <w:rsid w:val="00550410"/>
    <w:rsid w:val="0055064C"/>
    <w:rsid w:val="0055095F"/>
    <w:rsid w:val="00550997"/>
    <w:rsid w:val="00550AD0"/>
    <w:rsid w:val="00550C7A"/>
    <w:rsid w:val="00550E44"/>
    <w:rsid w:val="00551566"/>
    <w:rsid w:val="00551DE5"/>
    <w:rsid w:val="00552897"/>
    <w:rsid w:val="0055344C"/>
    <w:rsid w:val="00553522"/>
    <w:rsid w:val="00553C10"/>
    <w:rsid w:val="0055410C"/>
    <w:rsid w:val="00554C1A"/>
    <w:rsid w:val="005550CE"/>
    <w:rsid w:val="00555373"/>
    <w:rsid w:val="0055609E"/>
    <w:rsid w:val="005563A2"/>
    <w:rsid w:val="00556C8A"/>
    <w:rsid w:val="00556D45"/>
    <w:rsid w:val="0055760D"/>
    <w:rsid w:val="00557919"/>
    <w:rsid w:val="00557A4B"/>
    <w:rsid w:val="00560439"/>
    <w:rsid w:val="00560FC0"/>
    <w:rsid w:val="005613B0"/>
    <w:rsid w:val="005615BC"/>
    <w:rsid w:val="00561747"/>
    <w:rsid w:val="00561F8B"/>
    <w:rsid w:val="00562286"/>
    <w:rsid w:val="0056278B"/>
    <w:rsid w:val="00562A36"/>
    <w:rsid w:val="005632DE"/>
    <w:rsid w:val="00563492"/>
    <w:rsid w:val="00563A0A"/>
    <w:rsid w:val="00563C9B"/>
    <w:rsid w:val="00563F57"/>
    <w:rsid w:val="00563F71"/>
    <w:rsid w:val="00563FFB"/>
    <w:rsid w:val="0056402B"/>
    <w:rsid w:val="00564607"/>
    <w:rsid w:val="0056476A"/>
    <w:rsid w:val="00565E01"/>
    <w:rsid w:val="00565FAC"/>
    <w:rsid w:val="00566072"/>
    <w:rsid w:val="005664C6"/>
    <w:rsid w:val="005667B1"/>
    <w:rsid w:val="00566AF4"/>
    <w:rsid w:val="00566B2C"/>
    <w:rsid w:val="00566CF3"/>
    <w:rsid w:val="0056751F"/>
    <w:rsid w:val="00570263"/>
    <w:rsid w:val="0057073F"/>
    <w:rsid w:val="00570EA9"/>
    <w:rsid w:val="0057154D"/>
    <w:rsid w:val="00571BD4"/>
    <w:rsid w:val="00572011"/>
    <w:rsid w:val="0057229E"/>
    <w:rsid w:val="00572AA3"/>
    <w:rsid w:val="00573339"/>
    <w:rsid w:val="00573C2D"/>
    <w:rsid w:val="00574187"/>
    <w:rsid w:val="00574326"/>
    <w:rsid w:val="0057448E"/>
    <w:rsid w:val="00574A44"/>
    <w:rsid w:val="00574B3E"/>
    <w:rsid w:val="00574FD9"/>
    <w:rsid w:val="00575694"/>
    <w:rsid w:val="00576AB8"/>
    <w:rsid w:val="005778A2"/>
    <w:rsid w:val="00577B0D"/>
    <w:rsid w:val="00577F23"/>
    <w:rsid w:val="005809DC"/>
    <w:rsid w:val="00581136"/>
    <w:rsid w:val="005822E2"/>
    <w:rsid w:val="005827C0"/>
    <w:rsid w:val="00582FC3"/>
    <w:rsid w:val="00583E6C"/>
    <w:rsid w:val="0058418A"/>
    <w:rsid w:val="00585450"/>
    <w:rsid w:val="00585AB0"/>
    <w:rsid w:val="00585BDF"/>
    <w:rsid w:val="00586059"/>
    <w:rsid w:val="005860EA"/>
    <w:rsid w:val="00587546"/>
    <w:rsid w:val="00587973"/>
    <w:rsid w:val="00587F50"/>
    <w:rsid w:val="00590154"/>
    <w:rsid w:val="0059035C"/>
    <w:rsid w:val="0059059E"/>
    <w:rsid w:val="005906F4"/>
    <w:rsid w:val="00590914"/>
    <w:rsid w:val="00590BD7"/>
    <w:rsid w:val="00590E95"/>
    <w:rsid w:val="00591006"/>
    <w:rsid w:val="00591CDC"/>
    <w:rsid w:val="0059229A"/>
    <w:rsid w:val="005922E3"/>
    <w:rsid w:val="00592E7B"/>
    <w:rsid w:val="00592F05"/>
    <w:rsid w:val="005937D7"/>
    <w:rsid w:val="00594212"/>
    <w:rsid w:val="0059486B"/>
    <w:rsid w:val="00594DF2"/>
    <w:rsid w:val="005950D1"/>
    <w:rsid w:val="00595708"/>
    <w:rsid w:val="005957AC"/>
    <w:rsid w:val="00595A1E"/>
    <w:rsid w:val="0059712A"/>
    <w:rsid w:val="00597510"/>
    <w:rsid w:val="005978BD"/>
    <w:rsid w:val="00597A00"/>
    <w:rsid w:val="005A0438"/>
    <w:rsid w:val="005A074C"/>
    <w:rsid w:val="005A0773"/>
    <w:rsid w:val="005A0A8D"/>
    <w:rsid w:val="005A0C73"/>
    <w:rsid w:val="005A0CAB"/>
    <w:rsid w:val="005A165B"/>
    <w:rsid w:val="005A1993"/>
    <w:rsid w:val="005A21B6"/>
    <w:rsid w:val="005A2584"/>
    <w:rsid w:val="005A2794"/>
    <w:rsid w:val="005A2B2D"/>
    <w:rsid w:val="005A2D64"/>
    <w:rsid w:val="005A31A0"/>
    <w:rsid w:val="005A31F8"/>
    <w:rsid w:val="005A3E52"/>
    <w:rsid w:val="005A3F11"/>
    <w:rsid w:val="005A47CF"/>
    <w:rsid w:val="005A4E53"/>
    <w:rsid w:val="005A50DA"/>
    <w:rsid w:val="005A595D"/>
    <w:rsid w:val="005A5E5A"/>
    <w:rsid w:val="005A61FC"/>
    <w:rsid w:val="005A6C19"/>
    <w:rsid w:val="005A7887"/>
    <w:rsid w:val="005A7B31"/>
    <w:rsid w:val="005B0897"/>
    <w:rsid w:val="005B0B65"/>
    <w:rsid w:val="005B11DC"/>
    <w:rsid w:val="005B11E8"/>
    <w:rsid w:val="005B1691"/>
    <w:rsid w:val="005B170B"/>
    <w:rsid w:val="005B22FF"/>
    <w:rsid w:val="005B2352"/>
    <w:rsid w:val="005B24EF"/>
    <w:rsid w:val="005B2EB5"/>
    <w:rsid w:val="005B2F9C"/>
    <w:rsid w:val="005B339A"/>
    <w:rsid w:val="005B3D83"/>
    <w:rsid w:val="005B4D3B"/>
    <w:rsid w:val="005B544A"/>
    <w:rsid w:val="005B606F"/>
    <w:rsid w:val="005B62D9"/>
    <w:rsid w:val="005B6987"/>
    <w:rsid w:val="005B6F75"/>
    <w:rsid w:val="005B7BB2"/>
    <w:rsid w:val="005C01BD"/>
    <w:rsid w:val="005C0703"/>
    <w:rsid w:val="005C0803"/>
    <w:rsid w:val="005C0BF3"/>
    <w:rsid w:val="005C0FEA"/>
    <w:rsid w:val="005C1546"/>
    <w:rsid w:val="005C2D66"/>
    <w:rsid w:val="005C2F6B"/>
    <w:rsid w:val="005C2FD4"/>
    <w:rsid w:val="005C3408"/>
    <w:rsid w:val="005C38F9"/>
    <w:rsid w:val="005C420C"/>
    <w:rsid w:val="005C5B84"/>
    <w:rsid w:val="005C5B93"/>
    <w:rsid w:val="005C6889"/>
    <w:rsid w:val="005C68EE"/>
    <w:rsid w:val="005C6CB6"/>
    <w:rsid w:val="005C6D6B"/>
    <w:rsid w:val="005C6E25"/>
    <w:rsid w:val="005C7608"/>
    <w:rsid w:val="005C7DF6"/>
    <w:rsid w:val="005D0367"/>
    <w:rsid w:val="005D0CC5"/>
    <w:rsid w:val="005D0D3F"/>
    <w:rsid w:val="005D1154"/>
    <w:rsid w:val="005D1388"/>
    <w:rsid w:val="005D2AC3"/>
    <w:rsid w:val="005D34CB"/>
    <w:rsid w:val="005D361E"/>
    <w:rsid w:val="005D39D7"/>
    <w:rsid w:val="005D39EB"/>
    <w:rsid w:val="005D450D"/>
    <w:rsid w:val="005D4DA7"/>
    <w:rsid w:val="005D55E4"/>
    <w:rsid w:val="005D58E1"/>
    <w:rsid w:val="005D5EF5"/>
    <w:rsid w:val="005D5F64"/>
    <w:rsid w:val="005D640F"/>
    <w:rsid w:val="005D6E73"/>
    <w:rsid w:val="005D7BDF"/>
    <w:rsid w:val="005E0307"/>
    <w:rsid w:val="005E090D"/>
    <w:rsid w:val="005E0C63"/>
    <w:rsid w:val="005E0D3B"/>
    <w:rsid w:val="005E1AA7"/>
    <w:rsid w:val="005E1C05"/>
    <w:rsid w:val="005E22B2"/>
    <w:rsid w:val="005E2567"/>
    <w:rsid w:val="005E2D44"/>
    <w:rsid w:val="005E2E35"/>
    <w:rsid w:val="005E3BDF"/>
    <w:rsid w:val="005E56E4"/>
    <w:rsid w:val="005E5742"/>
    <w:rsid w:val="005E5C9C"/>
    <w:rsid w:val="005E5FB9"/>
    <w:rsid w:val="005E62FB"/>
    <w:rsid w:val="005E6579"/>
    <w:rsid w:val="005E679C"/>
    <w:rsid w:val="005E6AA5"/>
    <w:rsid w:val="005E6FC0"/>
    <w:rsid w:val="005E7173"/>
    <w:rsid w:val="005E735F"/>
    <w:rsid w:val="005F05BB"/>
    <w:rsid w:val="005F0652"/>
    <w:rsid w:val="005F0CED"/>
    <w:rsid w:val="005F14F5"/>
    <w:rsid w:val="005F176D"/>
    <w:rsid w:val="005F17BB"/>
    <w:rsid w:val="005F27FD"/>
    <w:rsid w:val="005F3444"/>
    <w:rsid w:val="005F3457"/>
    <w:rsid w:val="005F3956"/>
    <w:rsid w:val="005F39FF"/>
    <w:rsid w:val="005F3D1D"/>
    <w:rsid w:val="005F52A6"/>
    <w:rsid w:val="005F52BF"/>
    <w:rsid w:val="005F53C9"/>
    <w:rsid w:val="005F56C4"/>
    <w:rsid w:val="005F56E3"/>
    <w:rsid w:val="005F58D2"/>
    <w:rsid w:val="005F5ACF"/>
    <w:rsid w:val="005F5CBC"/>
    <w:rsid w:val="005F645A"/>
    <w:rsid w:val="005F685D"/>
    <w:rsid w:val="005F7666"/>
    <w:rsid w:val="005F7DF7"/>
    <w:rsid w:val="005F7E73"/>
    <w:rsid w:val="00600558"/>
    <w:rsid w:val="00600774"/>
    <w:rsid w:val="0060123E"/>
    <w:rsid w:val="00601564"/>
    <w:rsid w:val="0060162D"/>
    <w:rsid w:val="00601E15"/>
    <w:rsid w:val="006025E7"/>
    <w:rsid w:val="00602616"/>
    <w:rsid w:val="00603002"/>
    <w:rsid w:val="00603C5A"/>
    <w:rsid w:val="00605193"/>
    <w:rsid w:val="00605299"/>
    <w:rsid w:val="006057E7"/>
    <w:rsid w:val="0060675E"/>
    <w:rsid w:val="00606888"/>
    <w:rsid w:val="00606BCA"/>
    <w:rsid w:val="00606CEE"/>
    <w:rsid w:val="0060731E"/>
    <w:rsid w:val="006073CB"/>
    <w:rsid w:val="00607531"/>
    <w:rsid w:val="0060790C"/>
    <w:rsid w:val="00607EC0"/>
    <w:rsid w:val="006102EA"/>
    <w:rsid w:val="006104E4"/>
    <w:rsid w:val="00610AC6"/>
    <w:rsid w:val="00610DF9"/>
    <w:rsid w:val="0061101A"/>
    <w:rsid w:val="00611195"/>
    <w:rsid w:val="006118BB"/>
    <w:rsid w:val="00611BBD"/>
    <w:rsid w:val="006125B7"/>
    <w:rsid w:val="0061311D"/>
    <w:rsid w:val="006133FE"/>
    <w:rsid w:val="0061408D"/>
    <w:rsid w:val="006141AC"/>
    <w:rsid w:val="00614265"/>
    <w:rsid w:val="00614914"/>
    <w:rsid w:val="00615163"/>
    <w:rsid w:val="006153ED"/>
    <w:rsid w:val="006162E2"/>
    <w:rsid w:val="00616B79"/>
    <w:rsid w:val="00616F57"/>
    <w:rsid w:val="006172DE"/>
    <w:rsid w:val="00617544"/>
    <w:rsid w:val="006177AF"/>
    <w:rsid w:val="00617A76"/>
    <w:rsid w:val="006203F0"/>
    <w:rsid w:val="006205A6"/>
    <w:rsid w:val="006205E2"/>
    <w:rsid w:val="0062061F"/>
    <w:rsid w:val="00620D92"/>
    <w:rsid w:val="0062134D"/>
    <w:rsid w:val="006217AB"/>
    <w:rsid w:val="00622238"/>
    <w:rsid w:val="00622332"/>
    <w:rsid w:val="00623093"/>
    <w:rsid w:val="006232E9"/>
    <w:rsid w:val="0062387B"/>
    <w:rsid w:val="006239C3"/>
    <w:rsid w:val="006248D9"/>
    <w:rsid w:val="00624BDF"/>
    <w:rsid w:val="00626125"/>
    <w:rsid w:val="00626AC3"/>
    <w:rsid w:val="006271E8"/>
    <w:rsid w:val="00627421"/>
    <w:rsid w:val="0062760D"/>
    <w:rsid w:val="00627FE5"/>
    <w:rsid w:val="00630A0C"/>
    <w:rsid w:val="00630E81"/>
    <w:rsid w:val="00631A39"/>
    <w:rsid w:val="00631B7B"/>
    <w:rsid w:val="006321C9"/>
    <w:rsid w:val="00632DED"/>
    <w:rsid w:val="00632F53"/>
    <w:rsid w:val="006331B0"/>
    <w:rsid w:val="0063325D"/>
    <w:rsid w:val="006334DD"/>
    <w:rsid w:val="00633522"/>
    <w:rsid w:val="0063437F"/>
    <w:rsid w:val="006349E3"/>
    <w:rsid w:val="00634B46"/>
    <w:rsid w:val="006353C5"/>
    <w:rsid w:val="0063564F"/>
    <w:rsid w:val="00635D23"/>
    <w:rsid w:val="00636A70"/>
    <w:rsid w:val="00636BA3"/>
    <w:rsid w:val="0063723A"/>
    <w:rsid w:val="0063730A"/>
    <w:rsid w:val="00637881"/>
    <w:rsid w:val="00637D2F"/>
    <w:rsid w:val="006403C0"/>
    <w:rsid w:val="00640601"/>
    <w:rsid w:val="00641554"/>
    <w:rsid w:val="00641AFF"/>
    <w:rsid w:val="00641C69"/>
    <w:rsid w:val="00642428"/>
    <w:rsid w:val="00642B6B"/>
    <w:rsid w:val="00642C24"/>
    <w:rsid w:val="00642CE5"/>
    <w:rsid w:val="0064391C"/>
    <w:rsid w:val="0064401A"/>
    <w:rsid w:val="00644222"/>
    <w:rsid w:val="00644A18"/>
    <w:rsid w:val="00645720"/>
    <w:rsid w:val="00645ECA"/>
    <w:rsid w:val="0064611A"/>
    <w:rsid w:val="006468E2"/>
    <w:rsid w:val="006470DD"/>
    <w:rsid w:val="006476A2"/>
    <w:rsid w:val="00647729"/>
    <w:rsid w:val="00647B23"/>
    <w:rsid w:val="00647D5C"/>
    <w:rsid w:val="00647E3A"/>
    <w:rsid w:val="006503AB"/>
    <w:rsid w:val="00650C22"/>
    <w:rsid w:val="006514BB"/>
    <w:rsid w:val="0065156C"/>
    <w:rsid w:val="006516AD"/>
    <w:rsid w:val="00652252"/>
    <w:rsid w:val="00652B7F"/>
    <w:rsid w:val="00652BDD"/>
    <w:rsid w:val="00653483"/>
    <w:rsid w:val="00653FB1"/>
    <w:rsid w:val="0065448B"/>
    <w:rsid w:val="006548ED"/>
    <w:rsid w:val="006556CE"/>
    <w:rsid w:val="006557B4"/>
    <w:rsid w:val="006562E5"/>
    <w:rsid w:val="006568E0"/>
    <w:rsid w:val="00656B58"/>
    <w:rsid w:val="00657069"/>
    <w:rsid w:val="006574BB"/>
    <w:rsid w:val="0065781D"/>
    <w:rsid w:val="0065783D"/>
    <w:rsid w:val="00657F52"/>
    <w:rsid w:val="00660435"/>
    <w:rsid w:val="006604F3"/>
    <w:rsid w:val="0066089F"/>
    <w:rsid w:val="00660AC6"/>
    <w:rsid w:val="00660DD9"/>
    <w:rsid w:val="00662CC1"/>
    <w:rsid w:val="006639C3"/>
    <w:rsid w:val="006643A0"/>
    <w:rsid w:val="006643CB"/>
    <w:rsid w:val="00664684"/>
    <w:rsid w:val="006648CA"/>
    <w:rsid w:val="00664987"/>
    <w:rsid w:val="00665236"/>
    <w:rsid w:val="006655DE"/>
    <w:rsid w:val="0066637F"/>
    <w:rsid w:val="00666765"/>
    <w:rsid w:val="006669CB"/>
    <w:rsid w:val="006673A9"/>
    <w:rsid w:val="00667449"/>
    <w:rsid w:val="00667941"/>
    <w:rsid w:val="00670676"/>
    <w:rsid w:val="0067093C"/>
    <w:rsid w:val="00670A44"/>
    <w:rsid w:val="00670B9B"/>
    <w:rsid w:val="00670C86"/>
    <w:rsid w:val="00670DC9"/>
    <w:rsid w:val="00670F0D"/>
    <w:rsid w:val="0067194F"/>
    <w:rsid w:val="00671B38"/>
    <w:rsid w:val="00671BB4"/>
    <w:rsid w:val="00671C09"/>
    <w:rsid w:val="00672171"/>
    <w:rsid w:val="006721CB"/>
    <w:rsid w:val="006730D6"/>
    <w:rsid w:val="00673997"/>
    <w:rsid w:val="00673C50"/>
    <w:rsid w:val="006745A5"/>
    <w:rsid w:val="00674B16"/>
    <w:rsid w:val="00674DEF"/>
    <w:rsid w:val="00675671"/>
    <w:rsid w:val="00676C08"/>
    <w:rsid w:val="0068006D"/>
    <w:rsid w:val="006800D6"/>
    <w:rsid w:val="00680187"/>
    <w:rsid w:val="0068059B"/>
    <w:rsid w:val="00680687"/>
    <w:rsid w:val="006808D2"/>
    <w:rsid w:val="00680CCD"/>
    <w:rsid w:val="006813B8"/>
    <w:rsid w:val="00682266"/>
    <w:rsid w:val="00682FB8"/>
    <w:rsid w:val="00683B84"/>
    <w:rsid w:val="00683FC2"/>
    <w:rsid w:val="0068413F"/>
    <w:rsid w:val="00684666"/>
    <w:rsid w:val="00684916"/>
    <w:rsid w:val="00685959"/>
    <w:rsid w:val="00685E31"/>
    <w:rsid w:val="00686B67"/>
    <w:rsid w:val="0068742E"/>
    <w:rsid w:val="00687F47"/>
    <w:rsid w:val="00691501"/>
    <w:rsid w:val="00691BDA"/>
    <w:rsid w:val="006920D8"/>
    <w:rsid w:val="00692130"/>
    <w:rsid w:val="0069258D"/>
    <w:rsid w:val="00693B27"/>
    <w:rsid w:val="00693C02"/>
    <w:rsid w:val="00693DA3"/>
    <w:rsid w:val="0069402B"/>
    <w:rsid w:val="00694277"/>
    <w:rsid w:val="006943EC"/>
    <w:rsid w:val="00694984"/>
    <w:rsid w:val="0069515E"/>
    <w:rsid w:val="00695F80"/>
    <w:rsid w:val="006961DC"/>
    <w:rsid w:val="006964A1"/>
    <w:rsid w:val="00696964"/>
    <w:rsid w:val="006974A8"/>
    <w:rsid w:val="0069761B"/>
    <w:rsid w:val="0069763D"/>
    <w:rsid w:val="006A0E90"/>
    <w:rsid w:val="006A151B"/>
    <w:rsid w:val="006A1649"/>
    <w:rsid w:val="006A196B"/>
    <w:rsid w:val="006A1B39"/>
    <w:rsid w:val="006A1D86"/>
    <w:rsid w:val="006A1FC0"/>
    <w:rsid w:val="006A228A"/>
    <w:rsid w:val="006A2769"/>
    <w:rsid w:val="006A3D68"/>
    <w:rsid w:val="006A3F49"/>
    <w:rsid w:val="006A4014"/>
    <w:rsid w:val="006A464A"/>
    <w:rsid w:val="006A4753"/>
    <w:rsid w:val="006A49B3"/>
    <w:rsid w:val="006A4DDF"/>
    <w:rsid w:val="006A5866"/>
    <w:rsid w:val="006A5899"/>
    <w:rsid w:val="006A5AD2"/>
    <w:rsid w:val="006A5E5E"/>
    <w:rsid w:val="006A61B1"/>
    <w:rsid w:val="006A662A"/>
    <w:rsid w:val="006A68CB"/>
    <w:rsid w:val="006A6FED"/>
    <w:rsid w:val="006A72B9"/>
    <w:rsid w:val="006A7A27"/>
    <w:rsid w:val="006A7B6E"/>
    <w:rsid w:val="006A7C43"/>
    <w:rsid w:val="006A7FFA"/>
    <w:rsid w:val="006B0159"/>
    <w:rsid w:val="006B02CA"/>
    <w:rsid w:val="006B0372"/>
    <w:rsid w:val="006B1924"/>
    <w:rsid w:val="006B19B4"/>
    <w:rsid w:val="006B1B93"/>
    <w:rsid w:val="006B2C38"/>
    <w:rsid w:val="006B2E4D"/>
    <w:rsid w:val="006B2F3C"/>
    <w:rsid w:val="006B3B92"/>
    <w:rsid w:val="006B4418"/>
    <w:rsid w:val="006B4589"/>
    <w:rsid w:val="006B4929"/>
    <w:rsid w:val="006B5030"/>
    <w:rsid w:val="006B5149"/>
    <w:rsid w:val="006B54E3"/>
    <w:rsid w:val="006B5A75"/>
    <w:rsid w:val="006B5C20"/>
    <w:rsid w:val="006B61E5"/>
    <w:rsid w:val="006B627B"/>
    <w:rsid w:val="006B650D"/>
    <w:rsid w:val="006B677D"/>
    <w:rsid w:val="006B6C5B"/>
    <w:rsid w:val="006B6FF2"/>
    <w:rsid w:val="006B7250"/>
    <w:rsid w:val="006B72D3"/>
    <w:rsid w:val="006C0537"/>
    <w:rsid w:val="006C062F"/>
    <w:rsid w:val="006C0885"/>
    <w:rsid w:val="006C1286"/>
    <w:rsid w:val="006C13F5"/>
    <w:rsid w:val="006C18BE"/>
    <w:rsid w:val="006C1C18"/>
    <w:rsid w:val="006C20CC"/>
    <w:rsid w:val="006C2A11"/>
    <w:rsid w:val="006C36BD"/>
    <w:rsid w:val="006C392F"/>
    <w:rsid w:val="006C42DC"/>
    <w:rsid w:val="006C4306"/>
    <w:rsid w:val="006C4491"/>
    <w:rsid w:val="006C4928"/>
    <w:rsid w:val="006C4C27"/>
    <w:rsid w:val="006C5540"/>
    <w:rsid w:val="006C5794"/>
    <w:rsid w:val="006C665B"/>
    <w:rsid w:val="006C6A48"/>
    <w:rsid w:val="006C6D2E"/>
    <w:rsid w:val="006C6DF0"/>
    <w:rsid w:val="006C6E16"/>
    <w:rsid w:val="006C75BF"/>
    <w:rsid w:val="006C768E"/>
    <w:rsid w:val="006C7B83"/>
    <w:rsid w:val="006C7C58"/>
    <w:rsid w:val="006C7E48"/>
    <w:rsid w:val="006D094E"/>
    <w:rsid w:val="006D0F87"/>
    <w:rsid w:val="006D11AE"/>
    <w:rsid w:val="006D1626"/>
    <w:rsid w:val="006D186B"/>
    <w:rsid w:val="006D193A"/>
    <w:rsid w:val="006D1E28"/>
    <w:rsid w:val="006D1F30"/>
    <w:rsid w:val="006D216E"/>
    <w:rsid w:val="006D219B"/>
    <w:rsid w:val="006D2229"/>
    <w:rsid w:val="006D24C8"/>
    <w:rsid w:val="006D3A9D"/>
    <w:rsid w:val="006D3E04"/>
    <w:rsid w:val="006D3E25"/>
    <w:rsid w:val="006D43FF"/>
    <w:rsid w:val="006D45F7"/>
    <w:rsid w:val="006D47AA"/>
    <w:rsid w:val="006D498C"/>
    <w:rsid w:val="006D5042"/>
    <w:rsid w:val="006D532B"/>
    <w:rsid w:val="006D58C1"/>
    <w:rsid w:val="006D5BB2"/>
    <w:rsid w:val="006D5EF9"/>
    <w:rsid w:val="006D5FCB"/>
    <w:rsid w:val="006D634D"/>
    <w:rsid w:val="006D6B86"/>
    <w:rsid w:val="006D6FB9"/>
    <w:rsid w:val="006D741A"/>
    <w:rsid w:val="006D7664"/>
    <w:rsid w:val="006D7CE9"/>
    <w:rsid w:val="006E0140"/>
    <w:rsid w:val="006E0A24"/>
    <w:rsid w:val="006E1678"/>
    <w:rsid w:val="006E264C"/>
    <w:rsid w:val="006E2F22"/>
    <w:rsid w:val="006E393D"/>
    <w:rsid w:val="006E3F4F"/>
    <w:rsid w:val="006E44D2"/>
    <w:rsid w:val="006E4EC6"/>
    <w:rsid w:val="006E503F"/>
    <w:rsid w:val="006E50E0"/>
    <w:rsid w:val="006E56FA"/>
    <w:rsid w:val="006E588B"/>
    <w:rsid w:val="006E5D10"/>
    <w:rsid w:val="006E6481"/>
    <w:rsid w:val="006E6D29"/>
    <w:rsid w:val="006E6D9A"/>
    <w:rsid w:val="006E7087"/>
    <w:rsid w:val="006E70A3"/>
    <w:rsid w:val="006E71F8"/>
    <w:rsid w:val="006E758C"/>
    <w:rsid w:val="006E7F7D"/>
    <w:rsid w:val="006F00B1"/>
    <w:rsid w:val="006F05B8"/>
    <w:rsid w:val="006F0670"/>
    <w:rsid w:val="006F0D69"/>
    <w:rsid w:val="006F0EB7"/>
    <w:rsid w:val="006F0F36"/>
    <w:rsid w:val="006F1B88"/>
    <w:rsid w:val="006F24D1"/>
    <w:rsid w:val="006F2637"/>
    <w:rsid w:val="006F3379"/>
    <w:rsid w:val="006F380A"/>
    <w:rsid w:val="006F3C7B"/>
    <w:rsid w:val="006F5073"/>
    <w:rsid w:val="006F5AF9"/>
    <w:rsid w:val="006F60FE"/>
    <w:rsid w:val="006F677F"/>
    <w:rsid w:val="006F6A11"/>
    <w:rsid w:val="006F6A38"/>
    <w:rsid w:val="006F6D44"/>
    <w:rsid w:val="006F7887"/>
    <w:rsid w:val="006F78F6"/>
    <w:rsid w:val="006F7B33"/>
    <w:rsid w:val="006F7CA5"/>
    <w:rsid w:val="006F7E61"/>
    <w:rsid w:val="00700351"/>
    <w:rsid w:val="00700439"/>
    <w:rsid w:val="00701C09"/>
    <w:rsid w:val="007028F2"/>
    <w:rsid w:val="0070322C"/>
    <w:rsid w:val="00703293"/>
    <w:rsid w:val="00703477"/>
    <w:rsid w:val="00703687"/>
    <w:rsid w:val="00703AF4"/>
    <w:rsid w:val="00703B42"/>
    <w:rsid w:val="00703E5D"/>
    <w:rsid w:val="00704013"/>
    <w:rsid w:val="00704B53"/>
    <w:rsid w:val="00704E00"/>
    <w:rsid w:val="007064C8"/>
    <w:rsid w:val="00706C16"/>
    <w:rsid w:val="00706CA5"/>
    <w:rsid w:val="00706DD6"/>
    <w:rsid w:val="0070735A"/>
    <w:rsid w:val="00710817"/>
    <w:rsid w:val="00710984"/>
    <w:rsid w:val="007110F8"/>
    <w:rsid w:val="00711660"/>
    <w:rsid w:val="00711B80"/>
    <w:rsid w:val="00712D42"/>
    <w:rsid w:val="00712ED1"/>
    <w:rsid w:val="007131DE"/>
    <w:rsid w:val="007135F3"/>
    <w:rsid w:val="007138A2"/>
    <w:rsid w:val="00713A24"/>
    <w:rsid w:val="00713AA1"/>
    <w:rsid w:val="00713EEA"/>
    <w:rsid w:val="00714461"/>
    <w:rsid w:val="00714B4A"/>
    <w:rsid w:val="0071516A"/>
    <w:rsid w:val="00715272"/>
    <w:rsid w:val="00715791"/>
    <w:rsid w:val="007157BF"/>
    <w:rsid w:val="00715C15"/>
    <w:rsid w:val="00716647"/>
    <w:rsid w:val="00716C51"/>
    <w:rsid w:val="00717515"/>
    <w:rsid w:val="00717C5A"/>
    <w:rsid w:val="00720977"/>
    <w:rsid w:val="00720B39"/>
    <w:rsid w:val="00720C96"/>
    <w:rsid w:val="00720D91"/>
    <w:rsid w:val="007210F2"/>
    <w:rsid w:val="00722330"/>
    <w:rsid w:val="007235F4"/>
    <w:rsid w:val="00723E04"/>
    <w:rsid w:val="007246A7"/>
    <w:rsid w:val="00724AB6"/>
    <w:rsid w:val="00725099"/>
    <w:rsid w:val="00725691"/>
    <w:rsid w:val="00725C91"/>
    <w:rsid w:val="00725D5B"/>
    <w:rsid w:val="007260C6"/>
    <w:rsid w:val="0072635D"/>
    <w:rsid w:val="00726B02"/>
    <w:rsid w:val="00726FAC"/>
    <w:rsid w:val="00727684"/>
    <w:rsid w:val="00727E12"/>
    <w:rsid w:val="00730239"/>
    <w:rsid w:val="00730B82"/>
    <w:rsid w:val="00732AB4"/>
    <w:rsid w:val="007332B1"/>
    <w:rsid w:val="00733413"/>
    <w:rsid w:val="00733459"/>
    <w:rsid w:val="007335BD"/>
    <w:rsid w:val="007337B4"/>
    <w:rsid w:val="00733DAF"/>
    <w:rsid w:val="0073484E"/>
    <w:rsid w:val="00734ACA"/>
    <w:rsid w:val="00735D26"/>
    <w:rsid w:val="00736370"/>
    <w:rsid w:val="00736549"/>
    <w:rsid w:val="00736C2D"/>
    <w:rsid w:val="00736C54"/>
    <w:rsid w:val="00740339"/>
    <w:rsid w:val="007405A5"/>
    <w:rsid w:val="00740768"/>
    <w:rsid w:val="007414F1"/>
    <w:rsid w:val="007415FF"/>
    <w:rsid w:val="00741B5C"/>
    <w:rsid w:val="00741C9C"/>
    <w:rsid w:val="007423DD"/>
    <w:rsid w:val="00742413"/>
    <w:rsid w:val="007429C6"/>
    <w:rsid w:val="00744379"/>
    <w:rsid w:val="0074446F"/>
    <w:rsid w:val="007446DD"/>
    <w:rsid w:val="00745000"/>
    <w:rsid w:val="00745154"/>
    <w:rsid w:val="00745208"/>
    <w:rsid w:val="007452A5"/>
    <w:rsid w:val="00745AD3"/>
    <w:rsid w:val="00746522"/>
    <w:rsid w:val="00746B6C"/>
    <w:rsid w:val="00746F4F"/>
    <w:rsid w:val="0074712D"/>
    <w:rsid w:val="007477E1"/>
    <w:rsid w:val="00747D15"/>
    <w:rsid w:val="0075010D"/>
    <w:rsid w:val="007507AB"/>
    <w:rsid w:val="00750805"/>
    <w:rsid w:val="00750DC1"/>
    <w:rsid w:val="00750FA6"/>
    <w:rsid w:val="00751658"/>
    <w:rsid w:val="007519F6"/>
    <w:rsid w:val="00752435"/>
    <w:rsid w:val="00752480"/>
    <w:rsid w:val="007526E8"/>
    <w:rsid w:val="00752AD3"/>
    <w:rsid w:val="00752CB7"/>
    <w:rsid w:val="00752FFC"/>
    <w:rsid w:val="00753106"/>
    <w:rsid w:val="00753168"/>
    <w:rsid w:val="0075458C"/>
    <w:rsid w:val="00754F92"/>
    <w:rsid w:val="0075508E"/>
    <w:rsid w:val="00755F28"/>
    <w:rsid w:val="00756019"/>
    <w:rsid w:val="007562BC"/>
    <w:rsid w:val="007563F7"/>
    <w:rsid w:val="00756A86"/>
    <w:rsid w:val="00756A92"/>
    <w:rsid w:val="0075735F"/>
    <w:rsid w:val="0075773A"/>
    <w:rsid w:val="00760316"/>
    <w:rsid w:val="00760332"/>
    <w:rsid w:val="00760BE4"/>
    <w:rsid w:val="00761F50"/>
    <w:rsid w:val="0076288B"/>
    <w:rsid w:val="00762C53"/>
    <w:rsid w:val="007631DB"/>
    <w:rsid w:val="00763263"/>
    <w:rsid w:val="00763343"/>
    <w:rsid w:val="007635DD"/>
    <w:rsid w:val="00763639"/>
    <w:rsid w:val="00763855"/>
    <w:rsid w:val="00765097"/>
    <w:rsid w:val="00765559"/>
    <w:rsid w:val="0076645E"/>
    <w:rsid w:val="00766F40"/>
    <w:rsid w:val="0076738C"/>
    <w:rsid w:val="007677C2"/>
    <w:rsid w:val="00770908"/>
    <w:rsid w:val="00770A3A"/>
    <w:rsid w:val="00770E6A"/>
    <w:rsid w:val="007710E6"/>
    <w:rsid w:val="0077120B"/>
    <w:rsid w:val="0077154C"/>
    <w:rsid w:val="00772552"/>
    <w:rsid w:val="00772F54"/>
    <w:rsid w:val="00773740"/>
    <w:rsid w:val="00773A03"/>
    <w:rsid w:val="00773B45"/>
    <w:rsid w:val="00774020"/>
    <w:rsid w:val="007742B7"/>
    <w:rsid w:val="007747F0"/>
    <w:rsid w:val="00774A1E"/>
    <w:rsid w:val="00775ED7"/>
    <w:rsid w:val="007762C6"/>
    <w:rsid w:val="00777E96"/>
    <w:rsid w:val="00780708"/>
    <w:rsid w:val="007808EC"/>
    <w:rsid w:val="007809DA"/>
    <w:rsid w:val="007811E6"/>
    <w:rsid w:val="00781754"/>
    <w:rsid w:val="007817A7"/>
    <w:rsid w:val="00781CC4"/>
    <w:rsid w:val="0078200C"/>
    <w:rsid w:val="007820A4"/>
    <w:rsid w:val="00782433"/>
    <w:rsid w:val="007826DD"/>
    <w:rsid w:val="0078297E"/>
    <w:rsid w:val="00782C40"/>
    <w:rsid w:val="00782C60"/>
    <w:rsid w:val="00783A26"/>
    <w:rsid w:val="007846B2"/>
    <w:rsid w:val="00784A1D"/>
    <w:rsid w:val="00784E04"/>
    <w:rsid w:val="00785273"/>
    <w:rsid w:val="007857D5"/>
    <w:rsid w:val="007858E5"/>
    <w:rsid w:val="007859A6"/>
    <w:rsid w:val="00785A39"/>
    <w:rsid w:val="00785B31"/>
    <w:rsid w:val="00785CC3"/>
    <w:rsid w:val="00786C96"/>
    <w:rsid w:val="00786EBE"/>
    <w:rsid w:val="0078716E"/>
    <w:rsid w:val="00787847"/>
    <w:rsid w:val="00790B3D"/>
    <w:rsid w:val="0079114F"/>
    <w:rsid w:val="00791921"/>
    <w:rsid w:val="00791A1C"/>
    <w:rsid w:val="00791C6C"/>
    <w:rsid w:val="00791E81"/>
    <w:rsid w:val="00791F14"/>
    <w:rsid w:val="007923A2"/>
    <w:rsid w:val="0079275E"/>
    <w:rsid w:val="007928BE"/>
    <w:rsid w:val="00792F0A"/>
    <w:rsid w:val="00794338"/>
    <w:rsid w:val="0079591B"/>
    <w:rsid w:val="00795932"/>
    <w:rsid w:val="00795EA7"/>
    <w:rsid w:val="00796033"/>
    <w:rsid w:val="007964A3"/>
    <w:rsid w:val="00797085"/>
    <w:rsid w:val="0079749F"/>
    <w:rsid w:val="0079772F"/>
    <w:rsid w:val="00797B08"/>
    <w:rsid w:val="00797C0E"/>
    <w:rsid w:val="00797F4B"/>
    <w:rsid w:val="007A089A"/>
    <w:rsid w:val="007A0C2A"/>
    <w:rsid w:val="007A161E"/>
    <w:rsid w:val="007A1767"/>
    <w:rsid w:val="007A17AA"/>
    <w:rsid w:val="007A2268"/>
    <w:rsid w:val="007A3026"/>
    <w:rsid w:val="007A31C7"/>
    <w:rsid w:val="007A3314"/>
    <w:rsid w:val="007A3396"/>
    <w:rsid w:val="007A3947"/>
    <w:rsid w:val="007A4735"/>
    <w:rsid w:val="007A586F"/>
    <w:rsid w:val="007A587F"/>
    <w:rsid w:val="007A5AAA"/>
    <w:rsid w:val="007A6488"/>
    <w:rsid w:val="007A6AF6"/>
    <w:rsid w:val="007A6D77"/>
    <w:rsid w:val="007A6DA8"/>
    <w:rsid w:val="007A7C8C"/>
    <w:rsid w:val="007A7D2A"/>
    <w:rsid w:val="007B03E7"/>
    <w:rsid w:val="007B06B1"/>
    <w:rsid w:val="007B092F"/>
    <w:rsid w:val="007B1170"/>
    <w:rsid w:val="007B224D"/>
    <w:rsid w:val="007B2D29"/>
    <w:rsid w:val="007B42F7"/>
    <w:rsid w:val="007B4456"/>
    <w:rsid w:val="007B4A50"/>
    <w:rsid w:val="007B4AA8"/>
    <w:rsid w:val="007B4CDE"/>
    <w:rsid w:val="007B626B"/>
    <w:rsid w:val="007B6770"/>
    <w:rsid w:val="007B6810"/>
    <w:rsid w:val="007B70B7"/>
    <w:rsid w:val="007B7A3A"/>
    <w:rsid w:val="007B7B36"/>
    <w:rsid w:val="007B7C82"/>
    <w:rsid w:val="007B7CA4"/>
    <w:rsid w:val="007B7E73"/>
    <w:rsid w:val="007B7EC8"/>
    <w:rsid w:val="007C0F4D"/>
    <w:rsid w:val="007C1878"/>
    <w:rsid w:val="007C18AB"/>
    <w:rsid w:val="007C1AF0"/>
    <w:rsid w:val="007C233B"/>
    <w:rsid w:val="007C2788"/>
    <w:rsid w:val="007C2BE2"/>
    <w:rsid w:val="007C2D1B"/>
    <w:rsid w:val="007C2EBD"/>
    <w:rsid w:val="007C3367"/>
    <w:rsid w:val="007C3B73"/>
    <w:rsid w:val="007C3C2D"/>
    <w:rsid w:val="007C4270"/>
    <w:rsid w:val="007C50B6"/>
    <w:rsid w:val="007C53BD"/>
    <w:rsid w:val="007C5495"/>
    <w:rsid w:val="007C5ACD"/>
    <w:rsid w:val="007C5B6F"/>
    <w:rsid w:val="007C5C46"/>
    <w:rsid w:val="007C5DBF"/>
    <w:rsid w:val="007C6338"/>
    <w:rsid w:val="007C63FC"/>
    <w:rsid w:val="007C66F7"/>
    <w:rsid w:val="007C6ABC"/>
    <w:rsid w:val="007C6C48"/>
    <w:rsid w:val="007C6F3D"/>
    <w:rsid w:val="007C70C4"/>
    <w:rsid w:val="007C76CC"/>
    <w:rsid w:val="007C780F"/>
    <w:rsid w:val="007C7FC7"/>
    <w:rsid w:val="007D0445"/>
    <w:rsid w:val="007D07D8"/>
    <w:rsid w:val="007D1336"/>
    <w:rsid w:val="007D170E"/>
    <w:rsid w:val="007D26C6"/>
    <w:rsid w:val="007D2C75"/>
    <w:rsid w:val="007D3089"/>
    <w:rsid w:val="007D52BB"/>
    <w:rsid w:val="007D5442"/>
    <w:rsid w:val="007D561F"/>
    <w:rsid w:val="007D58E4"/>
    <w:rsid w:val="007D6148"/>
    <w:rsid w:val="007D6979"/>
    <w:rsid w:val="007D71FB"/>
    <w:rsid w:val="007D77BA"/>
    <w:rsid w:val="007D7F05"/>
    <w:rsid w:val="007E03E1"/>
    <w:rsid w:val="007E0F42"/>
    <w:rsid w:val="007E1118"/>
    <w:rsid w:val="007E1751"/>
    <w:rsid w:val="007E1FDD"/>
    <w:rsid w:val="007E3BF4"/>
    <w:rsid w:val="007E3D10"/>
    <w:rsid w:val="007E3F7A"/>
    <w:rsid w:val="007E421E"/>
    <w:rsid w:val="007E4CEA"/>
    <w:rsid w:val="007E4DC9"/>
    <w:rsid w:val="007E59EC"/>
    <w:rsid w:val="007E6663"/>
    <w:rsid w:val="007E68B9"/>
    <w:rsid w:val="007E68E3"/>
    <w:rsid w:val="007E7A27"/>
    <w:rsid w:val="007E7EE7"/>
    <w:rsid w:val="007E7FA3"/>
    <w:rsid w:val="007F10A9"/>
    <w:rsid w:val="007F1233"/>
    <w:rsid w:val="007F23A6"/>
    <w:rsid w:val="007F3146"/>
    <w:rsid w:val="007F336B"/>
    <w:rsid w:val="007F350F"/>
    <w:rsid w:val="007F3784"/>
    <w:rsid w:val="007F4761"/>
    <w:rsid w:val="007F5096"/>
    <w:rsid w:val="007F581E"/>
    <w:rsid w:val="007F5996"/>
    <w:rsid w:val="007F59D1"/>
    <w:rsid w:val="007F6606"/>
    <w:rsid w:val="007F6F77"/>
    <w:rsid w:val="007F7E59"/>
    <w:rsid w:val="007F7E8B"/>
    <w:rsid w:val="008003D8"/>
    <w:rsid w:val="00801047"/>
    <w:rsid w:val="00801166"/>
    <w:rsid w:val="00801860"/>
    <w:rsid w:val="00801D80"/>
    <w:rsid w:val="00802018"/>
    <w:rsid w:val="00802355"/>
    <w:rsid w:val="008025DF"/>
    <w:rsid w:val="0080288B"/>
    <w:rsid w:val="008029A9"/>
    <w:rsid w:val="008032A2"/>
    <w:rsid w:val="00803556"/>
    <w:rsid w:val="008036FA"/>
    <w:rsid w:val="00803A25"/>
    <w:rsid w:val="00804480"/>
    <w:rsid w:val="008053C3"/>
    <w:rsid w:val="00805AC9"/>
    <w:rsid w:val="00806596"/>
    <w:rsid w:val="00806C45"/>
    <w:rsid w:val="00806F5A"/>
    <w:rsid w:val="00806FC8"/>
    <w:rsid w:val="00807906"/>
    <w:rsid w:val="00807977"/>
    <w:rsid w:val="00807C76"/>
    <w:rsid w:val="008107C8"/>
    <w:rsid w:val="0081124A"/>
    <w:rsid w:val="00811DC7"/>
    <w:rsid w:val="00811E80"/>
    <w:rsid w:val="00812EAA"/>
    <w:rsid w:val="00813444"/>
    <w:rsid w:val="00813653"/>
    <w:rsid w:val="0081369A"/>
    <w:rsid w:val="0081369E"/>
    <w:rsid w:val="008136DC"/>
    <w:rsid w:val="0081379B"/>
    <w:rsid w:val="0081380D"/>
    <w:rsid w:val="0081384A"/>
    <w:rsid w:val="00813954"/>
    <w:rsid w:val="00814466"/>
    <w:rsid w:val="00814A25"/>
    <w:rsid w:val="00816055"/>
    <w:rsid w:val="0081717F"/>
    <w:rsid w:val="00820075"/>
    <w:rsid w:val="00820723"/>
    <w:rsid w:val="0082074A"/>
    <w:rsid w:val="00821FED"/>
    <w:rsid w:val="008221F6"/>
    <w:rsid w:val="00822331"/>
    <w:rsid w:val="0082246F"/>
    <w:rsid w:val="00822561"/>
    <w:rsid w:val="0082263B"/>
    <w:rsid w:val="00822899"/>
    <w:rsid w:val="00822A95"/>
    <w:rsid w:val="00822D76"/>
    <w:rsid w:val="00823015"/>
    <w:rsid w:val="00823719"/>
    <w:rsid w:val="00824562"/>
    <w:rsid w:val="008245BB"/>
    <w:rsid w:val="00824C39"/>
    <w:rsid w:val="00824F6F"/>
    <w:rsid w:val="00825254"/>
    <w:rsid w:val="00825263"/>
    <w:rsid w:val="00825C32"/>
    <w:rsid w:val="008261CF"/>
    <w:rsid w:val="00826E80"/>
    <w:rsid w:val="00827265"/>
    <w:rsid w:val="00827505"/>
    <w:rsid w:val="00827596"/>
    <w:rsid w:val="00830277"/>
    <w:rsid w:val="00830C26"/>
    <w:rsid w:val="0083101C"/>
    <w:rsid w:val="00831640"/>
    <w:rsid w:val="0083169C"/>
    <w:rsid w:val="00831AAD"/>
    <w:rsid w:val="00831EA2"/>
    <w:rsid w:val="00831F01"/>
    <w:rsid w:val="00832183"/>
    <w:rsid w:val="00832401"/>
    <w:rsid w:val="00833029"/>
    <w:rsid w:val="0083346F"/>
    <w:rsid w:val="00833888"/>
    <w:rsid w:val="00833DE0"/>
    <w:rsid w:val="00834325"/>
    <w:rsid w:val="008346BB"/>
    <w:rsid w:val="00834E5C"/>
    <w:rsid w:val="00834F0C"/>
    <w:rsid w:val="0083502C"/>
    <w:rsid w:val="008357B4"/>
    <w:rsid w:val="008358F3"/>
    <w:rsid w:val="0083595A"/>
    <w:rsid w:val="008362F5"/>
    <w:rsid w:val="00836355"/>
    <w:rsid w:val="00836D40"/>
    <w:rsid w:val="0083756A"/>
    <w:rsid w:val="00837B7F"/>
    <w:rsid w:val="00840384"/>
    <w:rsid w:val="00841F63"/>
    <w:rsid w:val="0084207E"/>
    <w:rsid w:val="008424C6"/>
    <w:rsid w:val="00842861"/>
    <w:rsid w:val="008431B3"/>
    <w:rsid w:val="00843263"/>
    <w:rsid w:val="008438AE"/>
    <w:rsid w:val="00843BD6"/>
    <w:rsid w:val="00843CB9"/>
    <w:rsid w:val="0084446E"/>
    <w:rsid w:val="008444BD"/>
    <w:rsid w:val="00844547"/>
    <w:rsid w:val="00844AD3"/>
    <w:rsid w:val="00844C5F"/>
    <w:rsid w:val="00844EBB"/>
    <w:rsid w:val="00845796"/>
    <w:rsid w:val="00845AE5"/>
    <w:rsid w:val="00846733"/>
    <w:rsid w:val="008468E6"/>
    <w:rsid w:val="00846BBC"/>
    <w:rsid w:val="00846D89"/>
    <w:rsid w:val="0084727F"/>
    <w:rsid w:val="0084756A"/>
    <w:rsid w:val="00847724"/>
    <w:rsid w:val="00847E97"/>
    <w:rsid w:val="008504F2"/>
    <w:rsid w:val="00850621"/>
    <w:rsid w:val="00850AE3"/>
    <w:rsid w:val="00850BC4"/>
    <w:rsid w:val="00850BD2"/>
    <w:rsid w:val="00851768"/>
    <w:rsid w:val="00851B03"/>
    <w:rsid w:val="00852038"/>
    <w:rsid w:val="0085225F"/>
    <w:rsid w:val="00852406"/>
    <w:rsid w:val="008528B5"/>
    <w:rsid w:val="00852A4C"/>
    <w:rsid w:val="00853124"/>
    <w:rsid w:val="00853391"/>
    <w:rsid w:val="0085376F"/>
    <w:rsid w:val="008537D9"/>
    <w:rsid w:val="00853937"/>
    <w:rsid w:val="00853FA5"/>
    <w:rsid w:val="00854BB3"/>
    <w:rsid w:val="0085612A"/>
    <w:rsid w:val="00857707"/>
    <w:rsid w:val="00857931"/>
    <w:rsid w:val="00857D0B"/>
    <w:rsid w:val="00857E06"/>
    <w:rsid w:val="008604B3"/>
    <w:rsid w:val="008605D9"/>
    <w:rsid w:val="0086079F"/>
    <w:rsid w:val="008611AD"/>
    <w:rsid w:val="00861620"/>
    <w:rsid w:val="008620B1"/>
    <w:rsid w:val="00862550"/>
    <w:rsid w:val="008629E0"/>
    <w:rsid w:val="00862CE4"/>
    <w:rsid w:val="00863550"/>
    <w:rsid w:val="00863D5B"/>
    <w:rsid w:val="00864015"/>
    <w:rsid w:val="00864642"/>
    <w:rsid w:val="0086473B"/>
    <w:rsid w:val="008648DE"/>
    <w:rsid w:val="0086502A"/>
    <w:rsid w:val="008650B2"/>
    <w:rsid w:val="008656FA"/>
    <w:rsid w:val="0086659A"/>
    <w:rsid w:val="0086661E"/>
    <w:rsid w:val="008668D0"/>
    <w:rsid w:val="00866E8E"/>
    <w:rsid w:val="00867806"/>
    <w:rsid w:val="00867C37"/>
    <w:rsid w:val="0087014B"/>
    <w:rsid w:val="00870443"/>
    <w:rsid w:val="00870E2C"/>
    <w:rsid w:val="00871746"/>
    <w:rsid w:val="008717A5"/>
    <w:rsid w:val="008719A1"/>
    <w:rsid w:val="00871C59"/>
    <w:rsid w:val="00872102"/>
    <w:rsid w:val="008728A5"/>
    <w:rsid w:val="00873280"/>
    <w:rsid w:val="00873A70"/>
    <w:rsid w:val="00873ECB"/>
    <w:rsid w:val="00874002"/>
    <w:rsid w:val="0087523F"/>
    <w:rsid w:val="00875716"/>
    <w:rsid w:val="00875A6C"/>
    <w:rsid w:val="00876754"/>
    <w:rsid w:val="00876C2A"/>
    <w:rsid w:val="00876D7D"/>
    <w:rsid w:val="00877315"/>
    <w:rsid w:val="008776AE"/>
    <w:rsid w:val="0087773B"/>
    <w:rsid w:val="00877D9F"/>
    <w:rsid w:val="00877FC0"/>
    <w:rsid w:val="008804AB"/>
    <w:rsid w:val="0088051C"/>
    <w:rsid w:val="008811EC"/>
    <w:rsid w:val="0088165B"/>
    <w:rsid w:val="00881665"/>
    <w:rsid w:val="00881970"/>
    <w:rsid w:val="00881BDF"/>
    <w:rsid w:val="00882086"/>
    <w:rsid w:val="00882738"/>
    <w:rsid w:val="0088279E"/>
    <w:rsid w:val="00882E55"/>
    <w:rsid w:val="00882EDB"/>
    <w:rsid w:val="008837C6"/>
    <w:rsid w:val="00883B38"/>
    <w:rsid w:val="00883C0D"/>
    <w:rsid w:val="008840C6"/>
    <w:rsid w:val="00884AC4"/>
    <w:rsid w:val="00885637"/>
    <w:rsid w:val="00886391"/>
    <w:rsid w:val="00886550"/>
    <w:rsid w:val="00886F75"/>
    <w:rsid w:val="0088708A"/>
    <w:rsid w:val="00887502"/>
    <w:rsid w:val="00887684"/>
    <w:rsid w:val="008878A1"/>
    <w:rsid w:val="00887D0D"/>
    <w:rsid w:val="00887DFD"/>
    <w:rsid w:val="00887F7D"/>
    <w:rsid w:val="00887FA8"/>
    <w:rsid w:val="00890005"/>
    <w:rsid w:val="0089013E"/>
    <w:rsid w:val="00890AB7"/>
    <w:rsid w:val="00890BE1"/>
    <w:rsid w:val="00891A2A"/>
    <w:rsid w:val="008923CD"/>
    <w:rsid w:val="00892C99"/>
    <w:rsid w:val="00892E3C"/>
    <w:rsid w:val="00892E5F"/>
    <w:rsid w:val="00893ADE"/>
    <w:rsid w:val="00893FF5"/>
    <w:rsid w:val="0089413B"/>
    <w:rsid w:val="008954A0"/>
    <w:rsid w:val="008955DF"/>
    <w:rsid w:val="00895D8D"/>
    <w:rsid w:val="00895E0C"/>
    <w:rsid w:val="00896193"/>
    <w:rsid w:val="008962DC"/>
    <w:rsid w:val="0089668F"/>
    <w:rsid w:val="00896DA2"/>
    <w:rsid w:val="00897826"/>
    <w:rsid w:val="00897947"/>
    <w:rsid w:val="00897ABE"/>
    <w:rsid w:val="00897B74"/>
    <w:rsid w:val="00897DEC"/>
    <w:rsid w:val="008A0436"/>
    <w:rsid w:val="008A2953"/>
    <w:rsid w:val="008A2A31"/>
    <w:rsid w:val="008A2AC2"/>
    <w:rsid w:val="008A2E16"/>
    <w:rsid w:val="008A3131"/>
    <w:rsid w:val="008A3464"/>
    <w:rsid w:val="008A39B1"/>
    <w:rsid w:val="008A3E8F"/>
    <w:rsid w:val="008A41EC"/>
    <w:rsid w:val="008A42A7"/>
    <w:rsid w:val="008A482A"/>
    <w:rsid w:val="008A4F1D"/>
    <w:rsid w:val="008A5169"/>
    <w:rsid w:val="008A57BD"/>
    <w:rsid w:val="008A66B3"/>
    <w:rsid w:val="008A696A"/>
    <w:rsid w:val="008A7409"/>
    <w:rsid w:val="008A7EC9"/>
    <w:rsid w:val="008B08D1"/>
    <w:rsid w:val="008B090D"/>
    <w:rsid w:val="008B10CD"/>
    <w:rsid w:val="008B1601"/>
    <w:rsid w:val="008B1E75"/>
    <w:rsid w:val="008B2278"/>
    <w:rsid w:val="008B2496"/>
    <w:rsid w:val="008B2695"/>
    <w:rsid w:val="008B2768"/>
    <w:rsid w:val="008B2B93"/>
    <w:rsid w:val="008B320E"/>
    <w:rsid w:val="008B3469"/>
    <w:rsid w:val="008B36F4"/>
    <w:rsid w:val="008B3EB4"/>
    <w:rsid w:val="008B4258"/>
    <w:rsid w:val="008B45C9"/>
    <w:rsid w:val="008B519C"/>
    <w:rsid w:val="008B5736"/>
    <w:rsid w:val="008B5C18"/>
    <w:rsid w:val="008B5ED0"/>
    <w:rsid w:val="008B606B"/>
    <w:rsid w:val="008B61EC"/>
    <w:rsid w:val="008B6526"/>
    <w:rsid w:val="008B7706"/>
    <w:rsid w:val="008B7B0F"/>
    <w:rsid w:val="008B7D7F"/>
    <w:rsid w:val="008C0983"/>
    <w:rsid w:val="008C0E96"/>
    <w:rsid w:val="008C1033"/>
    <w:rsid w:val="008C13B4"/>
    <w:rsid w:val="008C1E99"/>
    <w:rsid w:val="008C219E"/>
    <w:rsid w:val="008C3CD1"/>
    <w:rsid w:val="008C3D64"/>
    <w:rsid w:val="008C4892"/>
    <w:rsid w:val="008C4CD4"/>
    <w:rsid w:val="008C4E06"/>
    <w:rsid w:val="008C55A1"/>
    <w:rsid w:val="008C6024"/>
    <w:rsid w:val="008C6BDD"/>
    <w:rsid w:val="008C7049"/>
    <w:rsid w:val="008C7703"/>
    <w:rsid w:val="008C7A32"/>
    <w:rsid w:val="008D0A01"/>
    <w:rsid w:val="008D1013"/>
    <w:rsid w:val="008D1177"/>
    <w:rsid w:val="008D123E"/>
    <w:rsid w:val="008D2146"/>
    <w:rsid w:val="008D283E"/>
    <w:rsid w:val="008D308B"/>
    <w:rsid w:val="008D35A2"/>
    <w:rsid w:val="008D3AEC"/>
    <w:rsid w:val="008D3CC7"/>
    <w:rsid w:val="008D3D92"/>
    <w:rsid w:val="008D3EAA"/>
    <w:rsid w:val="008D43B9"/>
    <w:rsid w:val="008D4949"/>
    <w:rsid w:val="008D4A5F"/>
    <w:rsid w:val="008D4E4C"/>
    <w:rsid w:val="008D6220"/>
    <w:rsid w:val="008D6504"/>
    <w:rsid w:val="008D6FEC"/>
    <w:rsid w:val="008E02BE"/>
    <w:rsid w:val="008E03E5"/>
    <w:rsid w:val="008E1B87"/>
    <w:rsid w:val="008E276B"/>
    <w:rsid w:val="008E2D9F"/>
    <w:rsid w:val="008E308F"/>
    <w:rsid w:val="008E34B8"/>
    <w:rsid w:val="008E34C2"/>
    <w:rsid w:val="008E3925"/>
    <w:rsid w:val="008E41F4"/>
    <w:rsid w:val="008E4D84"/>
    <w:rsid w:val="008E4E1B"/>
    <w:rsid w:val="008E4ED0"/>
    <w:rsid w:val="008E5545"/>
    <w:rsid w:val="008E5BEE"/>
    <w:rsid w:val="008E65D3"/>
    <w:rsid w:val="008E6A54"/>
    <w:rsid w:val="008E78A3"/>
    <w:rsid w:val="008E7D19"/>
    <w:rsid w:val="008E7E22"/>
    <w:rsid w:val="008F101B"/>
    <w:rsid w:val="008F1A9C"/>
    <w:rsid w:val="008F227A"/>
    <w:rsid w:val="008F36EC"/>
    <w:rsid w:val="008F37D4"/>
    <w:rsid w:val="008F39EB"/>
    <w:rsid w:val="008F3EF4"/>
    <w:rsid w:val="008F5443"/>
    <w:rsid w:val="008F61B4"/>
    <w:rsid w:val="008F6724"/>
    <w:rsid w:val="008F73C8"/>
    <w:rsid w:val="008F73D9"/>
    <w:rsid w:val="008F79A7"/>
    <w:rsid w:val="008F7C50"/>
    <w:rsid w:val="008F7C77"/>
    <w:rsid w:val="00900543"/>
    <w:rsid w:val="009007BC"/>
    <w:rsid w:val="00900944"/>
    <w:rsid w:val="00901120"/>
    <w:rsid w:val="0090113C"/>
    <w:rsid w:val="00901590"/>
    <w:rsid w:val="00901DA3"/>
    <w:rsid w:val="00901F9E"/>
    <w:rsid w:val="0090201D"/>
    <w:rsid w:val="00902022"/>
    <w:rsid w:val="009025A5"/>
    <w:rsid w:val="009029B4"/>
    <w:rsid w:val="00902C19"/>
    <w:rsid w:val="00902DB3"/>
    <w:rsid w:val="00902E3B"/>
    <w:rsid w:val="00902F68"/>
    <w:rsid w:val="0090315C"/>
    <w:rsid w:val="009033F5"/>
    <w:rsid w:val="00903720"/>
    <w:rsid w:val="009037FD"/>
    <w:rsid w:val="00904B61"/>
    <w:rsid w:val="00904ED8"/>
    <w:rsid w:val="009052E0"/>
    <w:rsid w:val="009058B3"/>
    <w:rsid w:val="00905E0A"/>
    <w:rsid w:val="0090623F"/>
    <w:rsid w:val="00906756"/>
    <w:rsid w:val="00906B0F"/>
    <w:rsid w:val="00907DDC"/>
    <w:rsid w:val="009102C0"/>
    <w:rsid w:val="00910632"/>
    <w:rsid w:val="009106DC"/>
    <w:rsid w:val="00910815"/>
    <w:rsid w:val="00910CAF"/>
    <w:rsid w:val="00911433"/>
    <w:rsid w:val="00911C2A"/>
    <w:rsid w:val="009128DE"/>
    <w:rsid w:val="00912DC1"/>
    <w:rsid w:val="00913506"/>
    <w:rsid w:val="0091391C"/>
    <w:rsid w:val="00913DCE"/>
    <w:rsid w:val="009143A2"/>
    <w:rsid w:val="009149CB"/>
    <w:rsid w:val="00915236"/>
    <w:rsid w:val="00915C29"/>
    <w:rsid w:val="00915DD0"/>
    <w:rsid w:val="009161A5"/>
    <w:rsid w:val="00916251"/>
    <w:rsid w:val="00916ADC"/>
    <w:rsid w:val="00916DEA"/>
    <w:rsid w:val="00917CB8"/>
    <w:rsid w:val="00917D04"/>
    <w:rsid w:val="00917E42"/>
    <w:rsid w:val="00920314"/>
    <w:rsid w:val="0092048D"/>
    <w:rsid w:val="00920B71"/>
    <w:rsid w:val="009210BA"/>
    <w:rsid w:val="0092133A"/>
    <w:rsid w:val="00921541"/>
    <w:rsid w:val="00921A29"/>
    <w:rsid w:val="00921A90"/>
    <w:rsid w:val="00921F77"/>
    <w:rsid w:val="00922283"/>
    <w:rsid w:val="009235DB"/>
    <w:rsid w:val="00923CE7"/>
    <w:rsid w:val="00923D67"/>
    <w:rsid w:val="00923EF0"/>
    <w:rsid w:val="00924F08"/>
    <w:rsid w:val="00925484"/>
    <w:rsid w:val="009255D5"/>
    <w:rsid w:val="00925B36"/>
    <w:rsid w:val="00925BCC"/>
    <w:rsid w:val="009261AE"/>
    <w:rsid w:val="009262BB"/>
    <w:rsid w:val="00926AAC"/>
    <w:rsid w:val="00927316"/>
    <w:rsid w:val="00927CC9"/>
    <w:rsid w:val="00927DCE"/>
    <w:rsid w:val="0093013E"/>
    <w:rsid w:val="00930C3D"/>
    <w:rsid w:val="00930DEA"/>
    <w:rsid w:val="00931BD6"/>
    <w:rsid w:val="00931E33"/>
    <w:rsid w:val="00931FB0"/>
    <w:rsid w:val="0093269D"/>
    <w:rsid w:val="00932A6D"/>
    <w:rsid w:val="00932F57"/>
    <w:rsid w:val="00932F5A"/>
    <w:rsid w:val="009332BA"/>
    <w:rsid w:val="009335C7"/>
    <w:rsid w:val="00933605"/>
    <w:rsid w:val="0093368E"/>
    <w:rsid w:val="00933A43"/>
    <w:rsid w:val="00933CD9"/>
    <w:rsid w:val="00934067"/>
    <w:rsid w:val="009344A6"/>
    <w:rsid w:val="00934674"/>
    <w:rsid w:val="009346B1"/>
    <w:rsid w:val="00935435"/>
    <w:rsid w:val="00935A80"/>
    <w:rsid w:val="00936538"/>
    <w:rsid w:val="00936ACA"/>
    <w:rsid w:val="00936E35"/>
    <w:rsid w:val="00937910"/>
    <w:rsid w:val="00937973"/>
    <w:rsid w:val="00940B57"/>
    <w:rsid w:val="00940C12"/>
    <w:rsid w:val="009411F5"/>
    <w:rsid w:val="0094134A"/>
    <w:rsid w:val="009415B6"/>
    <w:rsid w:val="0094162F"/>
    <w:rsid w:val="009419D9"/>
    <w:rsid w:val="00941DE9"/>
    <w:rsid w:val="00941EDB"/>
    <w:rsid w:val="009421E6"/>
    <w:rsid w:val="00942DAE"/>
    <w:rsid w:val="00943D25"/>
    <w:rsid w:val="00943E20"/>
    <w:rsid w:val="00944056"/>
    <w:rsid w:val="0094532F"/>
    <w:rsid w:val="00945ADD"/>
    <w:rsid w:val="00945DB6"/>
    <w:rsid w:val="009467A8"/>
    <w:rsid w:val="00946C65"/>
    <w:rsid w:val="00947164"/>
    <w:rsid w:val="00947BF9"/>
    <w:rsid w:val="0095013F"/>
    <w:rsid w:val="00950995"/>
    <w:rsid w:val="00950B75"/>
    <w:rsid w:val="009513E9"/>
    <w:rsid w:val="009515F9"/>
    <w:rsid w:val="00951634"/>
    <w:rsid w:val="0095176B"/>
    <w:rsid w:val="00951FC2"/>
    <w:rsid w:val="00952C26"/>
    <w:rsid w:val="0095334B"/>
    <w:rsid w:val="00953A56"/>
    <w:rsid w:val="00954032"/>
    <w:rsid w:val="0095512C"/>
    <w:rsid w:val="00955884"/>
    <w:rsid w:val="00955DEB"/>
    <w:rsid w:val="0095611A"/>
    <w:rsid w:val="00956148"/>
    <w:rsid w:val="0095663A"/>
    <w:rsid w:val="00957C8F"/>
    <w:rsid w:val="009600AB"/>
    <w:rsid w:val="0096037F"/>
    <w:rsid w:val="00961065"/>
    <w:rsid w:val="00961486"/>
    <w:rsid w:val="00961B3E"/>
    <w:rsid w:val="0096225C"/>
    <w:rsid w:val="00962336"/>
    <w:rsid w:val="009628F8"/>
    <w:rsid w:val="009628FB"/>
    <w:rsid w:val="00962EE0"/>
    <w:rsid w:val="00962EF4"/>
    <w:rsid w:val="009637D1"/>
    <w:rsid w:val="0096380D"/>
    <w:rsid w:val="00963B82"/>
    <w:rsid w:val="00963E1E"/>
    <w:rsid w:val="00964113"/>
    <w:rsid w:val="009642A0"/>
    <w:rsid w:val="00964923"/>
    <w:rsid w:val="0096492C"/>
    <w:rsid w:val="00964A0A"/>
    <w:rsid w:val="00964D41"/>
    <w:rsid w:val="009655AF"/>
    <w:rsid w:val="00965A70"/>
    <w:rsid w:val="00965C16"/>
    <w:rsid w:val="00965D91"/>
    <w:rsid w:val="00967479"/>
    <w:rsid w:val="0096797F"/>
    <w:rsid w:val="009703E9"/>
    <w:rsid w:val="0097064E"/>
    <w:rsid w:val="00970F40"/>
    <w:rsid w:val="009711F9"/>
    <w:rsid w:val="0097177D"/>
    <w:rsid w:val="009718D2"/>
    <w:rsid w:val="009719CC"/>
    <w:rsid w:val="00971B35"/>
    <w:rsid w:val="00972627"/>
    <w:rsid w:val="00972832"/>
    <w:rsid w:val="00972A56"/>
    <w:rsid w:val="00972B73"/>
    <w:rsid w:val="00973A37"/>
    <w:rsid w:val="00973B0C"/>
    <w:rsid w:val="00974732"/>
    <w:rsid w:val="00974734"/>
    <w:rsid w:val="00974BAD"/>
    <w:rsid w:val="00974E6A"/>
    <w:rsid w:val="00975111"/>
    <w:rsid w:val="009752D0"/>
    <w:rsid w:val="009758AC"/>
    <w:rsid w:val="00976764"/>
    <w:rsid w:val="00976B7D"/>
    <w:rsid w:val="00977281"/>
    <w:rsid w:val="009773DC"/>
    <w:rsid w:val="00977653"/>
    <w:rsid w:val="00977792"/>
    <w:rsid w:val="009779F8"/>
    <w:rsid w:val="00977F11"/>
    <w:rsid w:val="00980199"/>
    <w:rsid w:val="009801A2"/>
    <w:rsid w:val="00980EE9"/>
    <w:rsid w:val="00981067"/>
    <w:rsid w:val="0098120E"/>
    <w:rsid w:val="0098121B"/>
    <w:rsid w:val="00981378"/>
    <w:rsid w:val="009816EA"/>
    <w:rsid w:val="00982092"/>
    <w:rsid w:val="00982397"/>
    <w:rsid w:val="0098255A"/>
    <w:rsid w:val="00982EDC"/>
    <w:rsid w:val="00983110"/>
    <w:rsid w:val="009833AF"/>
    <w:rsid w:val="0098379A"/>
    <w:rsid w:val="0098402B"/>
    <w:rsid w:val="00984130"/>
    <w:rsid w:val="00984175"/>
    <w:rsid w:val="00984ACB"/>
    <w:rsid w:val="00984BB1"/>
    <w:rsid w:val="00985EC2"/>
    <w:rsid w:val="009862E2"/>
    <w:rsid w:val="00986478"/>
    <w:rsid w:val="0098648C"/>
    <w:rsid w:val="009864B9"/>
    <w:rsid w:val="0098650F"/>
    <w:rsid w:val="00986616"/>
    <w:rsid w:val="00986FA0"/>
    <w:rsid w:val="00987330"/>
    <w:rsid w:val="009873B2"/>
    <w:rsid w:val="009905C6"/>
    <w:rsid w:val="00990835"/>
    <w:rsid w:val="00990B70"/>
    <w:rsid w:val="00990E7E"/>
    <w:rsid w:val="00990FBF"/>
    <w:rsid w:val="00991118"/>
    <w:rsid w:val="00991F08"/>
    <w:rsid w:val="0099230D"/>
    <w:rsid w:val="009923E0"/>
    <w:rsid w:val="009925B9"/>
    <w:rsid w:val="009927B7"/>
    <w:rsid w:val="00993383"/>
    <w:rsid w:val="00993705"/>
    <w:rsid w:val="009941ED"/>
    <w:rsid w:val="0099589F"/>
    <w:rsid w:val="00995932"/>
    <w:rsid w:val="009962B4"/>
    <w:rsid w:val="009963FC"/>
    <w:rsid w:val="009970CD"/>
    <w:rsid w:val="009971CD"/>
    <w:rsid w:val="00997B2C"/>
    <w:rsid w:val="009A04B9"/>
    <w:rsid w:val="009A0500"/>
    <w:rsid w:val="009A12A4"/>
    <w:rsid w:val="009A1AEC"/>
    <w:rsid w:val="009A1B0B"/>
    <w:rsid w:val="009A1CAF"/>
    <w:rsid w:val="009A242A"/>
    <w:rsid w:val="009A2594"/>
    <w:rsid w:val="009A271B"/>
    <w:rsid w:val="009A29FD"/>
    <w:rsid w:val="009A4971"/>
    <w:rsid w:val="009A51F8"/>
    <w:rsid w:val="009A536C"/>
    <w:rsid w:val="009A64DB"/>
    <w:rsid w:val="009A658D"/>
    <w:rsid w:val="009A67BD"/>
    <w:rsid w:val="009A6AEF"/>
    <w:rsid w:val="009A7120"/>
    <w:rsid w:val="009A78F7"/>
    <w:rsid w:val="009A7E8D"/>
    <w:rsid w:val="009B0A32"/>
    <w:rsid w:val="009B0E0D"/>
    <w:rsid w:val="009B14A3"/>
    <w:rsid w:val="009B1722"/>
    <w:rsid w:val="009B1B54"/>
    <w:rsid w:val="009B1D35"/>
    <w:rsid w:val="009B1D7F"/>
    <w:rsid w:val="009B22E4"/>
    <w:rsid w:val="009B259D"/>
    <w:rsid w:val="009B2943"/>
    <w:rsid w:val="009B2CD9"/>
    <w:rsid w:val="009B3197"/>
    <w:rsid w:val="009B4329"/>
    <w:rsid w:val="009B4342"/>
    <w:rsid w:val="009B4B13"/>
    <w:rsid w:val="009B4E5C"/>
    <w:rsid w:val="009B5B32"/>
    <w:rsid w:val="009B6A21"/>
    <w:rsid w:val="009B6D3A"/>
    <w:rsid w:val="009B71E8"/>
    <w:rsid w:val="009B7426"/>
    <w:rsid w:val="009B7C7B"/>
    <w:rsid w:val="009B7CCB"/>
    <w:rsid w:val="009B7E79"/>
    <w:rsid w:val="009B7EDB"/>
    <w:rsid w:val="009B7FCA"/>
    <w:rsid w:val="009C03BE"/>
    <w:rsid w:val="009C074F"/>
    <w:rsid w:val="009C176D"/>
    <w:rsid w:val="009C184F"/>
    <w:rsid w:val="009C1F34"/>
    <w:rsid w:val="009C285F"/>
    <w:rsid w:val="009C28DB"/>
    <w:rsid w:val="009C29FD"/>
    <w:rsid w:val="009C2B04"/>
    <w:rsid w:val="009C2DE0"/>
    <w:rsid w:val="009C3A2F"/>
    <w:rsid w:val="009C3DBD"/>
    <w:rsid w:val="009C48E9"/>
    <w:rsid w:val="009C4AE9"/>
    <w:rsid w:val="009C558B"/>
    <w:rsid w:val="009C60CE"/>
    <w:rsid w:val="009C6622"/>
    <w:rsid w:val="009C6A77"/>
    <w:rsid w:val="009C6D52"/>
    <w:rsid w:val="009D008B"/>
    <w:rsid w:val="009D0312"/>
    <w:rsid w:val="009D0D6E"/>
    <w:rsid w:val="009D104F"/>
    <w:rsid w:val="009D1902"/>
    <w:rsid w:val="009D2554"/>
    <w:rsid w:val="009D278C"/>
    <w:rsid w:val="009D2F20"/>
    <w:rsid w:val="009D31C3"/>
    <w:rsid w:val="009D3B48"/>
    <w:rsid w:val="009D3CC7"/>
    <w:rsid w:val="009D4FB1"/>
    <w:rsid w:val="009D50DB"/>
    <w:rsid w:val="009D542F"/>
    <w:rsid w:val="009D5C07"/>
    <w:rsid w:val="009D5CD6"/>
    <w:rsid w:val="009D60F5"/>
    <w:rsid w:val="009D6475"/>
    <w:rsid w:val="009D6AB7"/>
    <w:rsid w:val="009D7151"/>
    <w:rsid w:val="009D74F7"/>
    <w:rsid w:val="009D7AC5"/>
    <w:rsid w:val="009E0642"/>
    <w:rsid w:val="009E0CFB"/>
    <w:rsid w:val="009E0E65"/>
    <w:rsid w:val="009E1182"/>
    <w:rsid w:val="009E1544"/>
    <w:rsid w:val="009E1A9A"/>
    <w:rsid w:val="009E1E7E"/>
    <w:rsid w:val="009E2313"/>
    <w:rsid w:val="009E232D"/>
    <w:rsid w:val="009E2C5B"/>
    <w:rsid w:val="009E2C99"/>
    <w:rsid w:val="009E2F5C"/>
    <w:rsid w:val="009E3621"/>
    <w:rsid w:val="009E3B34"/>
    <w:rsid w:val="009E3BEF"/>
    <w:rsid w:val="009E40F1"/>
    <w:rsid w:val="009E46E5"/>
    <w:rsid w:val="009E49D6"/>
    <w:rsid w:val="009E5786"/>
    <w:rsid w:val="009E589D"/>
    <w:rsid w:val="009E5E2A"/>
    <w:rsid w:val="009E6AE4"/>
    <w:rsid w:val="009E6C69"/>
    <w:rsid w:val="009E7764"/>
    <w:rsid w:val="009E7942"/>
    <w:rsid w:val="009E7D0E"/>
    <w:rsid w:val="009F0265"/>
    <w:rsid w:val="009F0352"/>
    <w:rsid w:val="009F0C1D"/>
    <w:rsid w:val="009F1213"/>
    <w:rsid w:val="009F196D"/>
    <w:rsid w:val="009F1CE2"/>
    <w:rsid w:val="009F23CB"/>
    <w:rsid w:val="009F265A"/>
    <w:rsid w:val="009F2DAB"/>
    <w:rsid w:val="009F3A9C"/>
    <w:rsid w:val="009F3ED1"/>
    <w:rsid w:val="009F4A15"/>
    <w:rsid w:val="009F4B68"/>
    <w:rsid w:val="009F4C84"/>
    <w:rsid w:val="009F4E2E"/>
    <w:rsid w:val="009F5310"/>
    <w:rsid w:val="009F5AB1"/>
    <w:rsid w:val="009F6126"/>
    <w:rsid w:val="009F6159"/>
    <w:rsid w:val="009F64B0"/>
    <w:rsid w:val="009F659B"/>
    <w:rsid w:val="009F6DCF"/>
    <w:rsid w:val="009F6E81"/>
    <w:rsid w:val="009F77BE"/>
    <w:rsid w:val="009F79B7"/>
    <w:rsid w:val="009F79C4"/>
    <w:rsid w:val="00A00814"/>
    <w:rsid w:val="00A008BF"/>
    <w:rsid w:val="00A00C65"/>
    <w:rsid w:val="00A01EEB"/>
    <w:rsid w:val="00A02309"/>
    <w:rsid w:val="00A02445"/>
    <w:rsid w:val="00A02774"/>
    <w:rsid w:val="00A02A75"/>
    <w:rsid w:val="00A02B5B"/>
    <w:rsid w:val="00A02B92"/>
    <w:rsid w:val="00A02CF3"/>
    <w:rsid w:val="00A02E46"/>
    <w:rsid w:val="00A031A4"/>
    <w:rsid w:val="00A0328E"/>
    <w:rsid w:val="00A03DA3"/>
    <w:rsid w:val="00A04137"/>
    <w:rsid w:val="00A046AF"/>
    <w:rsid w:val="00A050D0"/>
    <w:rsid w:val="00A05195"/>
    <w:rsid w:val="00A061C2"/>
    <w:rsid w:val="00A06771"/>
    <w:rsid w:val="00A06C19"/>
    <w:rsid w:val="00A0706D"/>
    <w:rsid w:val="00A0715E"/>
    <w:rsid w:val="00A10652"/>
    <w:rsid w:val="00A106C9"/>
    <w:rsid w:val="00A10935"/>
    <w:rsid w:val="00A110B0"/>
    <w:rsid w:val="00A114B7"/>
    <w:rsid w:val="00A11540"/>
    <w:rsid w:val="00A117C5"/>
    <w:rsid w:val="00A11DDE"/>
    <w:rsid w:val="00A11FC7"/>
    <w:rsid w:val="00A12723"/>
    <w:rsid w:val="00A127A4"/>
    <w:rsid w:val="00A13618"/>
    <w:rsid w:val="00A1384E"/>
    <w:rsid w:val="00A139B5"/>
    <w:rsid w:val="00A13ADD"/>
    <w:rsid w:val="00A141F9"/>
    <w:rsid w:val="00A142FB"/>
    <w:rsid w:val="00A14366"/>
    <w:rsid w:val="00A144F5"/>
    <w:rsid w:val="00A15A66"/>
    <w:rsid w:val="00A15E0E"/>
    <w:rsid w:val="00A15F6D"/>
    <w:rsid w:val="00A16B23"/>
    <w:rsid w:val="00A16E40"/>
    <w:rsid w:val="00A17009"/>
    <w:rsid w:val="00A1786F"/>
    <w:rsid w:val="00A17932"/>
    <w:rsid w:val="00A1795A"/>
    <w:rsid w:val="00A17BDC"/>
    <w:rsid w:val="00A202B4"/>
    <w:rsid w:val="00A202FC"/>
    <w:rsid w:val="00A20830"/>
    <w:rsid w:val="00A20B28"/>
    <w:rsid w:val="00A20BBC"/>
    <w:rsid w:val="00A21144"/>
    <w:rsid w:val="00A213F1"/>
    <w:rsid w:val="00A219D6"/>
    <w:rsid w:val="00A21B1D"/>
    <w:rsid w:val="00A21EAB"/>
    <w:rsid w:val="00A229E1"/>
    <w:rsid w:val="00A22EE4"/>
    <w:rsid w:val="00A23655"/>
    <w:rsid w:val="00A23734"/>
    <w:rsid w:val="00A24219"/>
    <w:rsid w:val="00A25321"/>
    <w:rsid w:val="00A260BF"/>
    <w:rsid w:val="00A26B56"/>
    <w:rsid w:val="00A26DFC"/>
    <w:rsid w:val="00A30A45"/>
    <w:rsid w:val="00A30E4F"/>
    <w:rsid w:val="00A3117D"/>
    <w:rsid w:val="00A3131B"/>
    <w:rsid w:val="00A31342"/>
    <w:rsid w:val="00A3163B"/>
    <w:rsid w:val="00A31C87"/>
    <w:rsid w:val="00A320CA"/>
    <w:rsid w:val="00A32272"/>
    <w:rsid w:val="00A3242A"/>
    <w:rsid w:val="00A32884"/>
    <w:rsid w:val="00A32FE2"/>
    <w:rsid w:val="00A333AD"/>
    <w:rsid w:val="00A33D27"/>
    <w:rsid w:val="00A33FF0"/>
    <w:rsid w:val="00A34DFE"/>
    <w:rsid w:val="00A350EB"/>
    <w:rsid w:val="00A35D3B"/>
    <w:rsid w:val="00A35E31"/>
    <w:rsid w:val="00A367F1"/>
    <w:rsid w:val="00A3686B"/>
    <w:rsid w:val="00A368A1"/>
    <w:rsid w:val="00A3757A"/>
    <w:rsid w:val="00A37D07"/>
    <w:rsid w:val="00A404C1"/>
    <w:rsid w:val="00A40BD0"/>
    <w:rsid w:val="00A422E9"/>
    <w:rsid w:val="00A423CD"/>
    <w:rsid w:val="00A43733"/>
    <w:rsid w:val="00A4391A"/>
    <w:rsid w:val="00A43B06"/>
    <w:rsid w:val="00A43FEB"/>
    <w:rsid w:val="00A44090"/>
    <w:rsid w:val="00A444EF"/>
    <w:rsid w:val="00A44778"/>
    <w:rsid w:val="00A44C4B"/>
    <w:rsid w:val="00A452E8"/>
    <w:rsid w:val="00A45A36"/>
    <w:rsid w:val="00A45FA8"/>
    <w:rsid w:val="00A46254"/>
    <w:rsid w:val="00A4657A"/>
    <w:rsid w:val="00A469DF"/>
    <w:rsid w:val="00A46F57"/>
    <w:rsid w:val="00A47D26"/>
    <w:rsid w:val="00A47D98"/>
    <w:rsid w:val="00A47DA8"/>
    <w:rsid w:val="00A50B08"/>
    <w:rsid w:val="00A51080"/>
    <w:rsid w:val="00A511AB"/>
    <w:rsid w:val="00A51233"/>
    <w:rsid w:val="00A51A5B"/>
    <w:rsid w:val="00A51AEF"/>
    <w:rsid w:val="00A52754"/>
    <w:rsid w:val="00A52994"/>
    <w:rsid w:val="00A52A87"/>
    <w:rsid w:val="00A52D2E"/>
    <w:rsid w:val="00A52DCD"/>
    <w:rsid w:val="00A53AC6"/>
    <w:rsid w:val="00A53E01"/>
    <w:rsid w:val="00A541A0"/>
    <w:rsid w:val="00A5439F"/>
    <w:rsid w:val="00A54DB4"/>
    <w:rsid w:val="00A54FC4"/>
    <w:rsid w:val="00A55FA6"/>
    <w:rsid w:val="00A562CE"/>
    <w:rsid w:val="00A56387"/>
    <w:rsid w:val="00A5653B"/>
    <w:rsid w:val="00A567A0"/>
    <w:rsid w:val="00A56A0F"/>
    <w:rsid w:val="00A56D17"/>
    <w:rsid w:val="00A57000"/>
    <w:rsid w:val="00A57298"/>
    <w:rsid w:val="00A60114"/>
    <w:rsid w:val="00A601E3"/>
    <w:rsid w:val="00A60341"/>
    <w:rsid w:val="00A60814"/>
    <w:rsid w:val="00A60BBF"/>
    <w:rsid w:val="00A6147E"/>
    <w:rsid w:val="00A6185E"/>
    <w:rsid w:val="00A61A89"/>
    <w:rsid w:val="00A61DD9"/>
    <w:rsid w:val="00A620F4"/>
    <w:rsid w:val="00A623F7"/>
    <w:rsid w:val="00A62653"/>
    <w:rsid w:val="00A628DB"/>
    <w:rsid w:val="00A6296B"/>
    <w:rsid w:val="00A629ED"/>
    <w:rsid w:val="00A62CDB"/>
    <w:rsid w:val="00A62F50"/>
    <w:rsid w:val="00A63984"/>
    <w:rsid w:val="00A63BAC"/>
    <w:rsid w:val="00A63E1F"/>
    <w:rsid w:val="00A6466F"/>
    <w:rsid w:val="00A6479D"/>
    <w:rsid w:val="00A64F7A"/>
    <w:rsid w:val="00A65051"/>
    <w:rsid w:val="00A65482"/>
    <w:rsid w:val="00A656C5"/>
    <w:rsid w:val="00A659C6"/>
    <w:rsid w:val="00A66F5B"/>
    <w:rsid w:val="00A66FC4"/>
    <w:rsid w:val="00A6712D"/>
    <w:rsid w:val="00A675F4"/>
    <w:rsid w:val="00A677D6"/>
    <w:rsid w:val="00A67C4A"/>
    <w:rsid w:val="00A67DBF"/>
    <w:rsid w:val="00A67F0C"/>
    <w:rsid w:val="00A70BBE"/>
    <w:rsid w:val="00A70CE6"/>
    <w:rsid w:val="00A71188"/>
    <w:rsid w:val="00A71240"/>
    <w:rsid w:val="00A7137F"/>
    <w:rsid w:val="00A7173A"/>
    <w:rsid w:val="00A71907"/>
    <w:rsid w:val="00A71FE9"/>
    <w:rsid w:val="00A72482"/>
    <w:rsid w:val="00A7268E"/>
    <w:rsid w:val="00A729A7"/>
    <w:rsid w:val="00A73529"/>
    <w:rsid w:val="00A73BCE"/>
    <w:rsid w:val="00A743C1"/>
    <w:rsid w:val="00A74BA1"/>
    <w:rsid w:val="00A75307"/>
    <w:rsid w:val="00A75619"/>
    <w:rsid w:val="00A75652"/>
    <w:rsid w:val="00A75824"/>
    <w:rsid w:val="00A76168"/>
    <w:rsid w:val="00A76DEF"/>
    <w:rsid w:val="00A77B76"/>
    <w:rsid w:val="00A808DC"/>
    <w:rsid w:val="00A80ACD"/>
    <w:rsid w:val="00A80C6C"/>
    <w:rsid w:val="00A80DEA"/>
    <w:rsid w:val="00A80E7C"/>
    <w:rsid w:val="00A816A3"/>
    <w:rsid w:val="00A8196E"/>
    <w:rsid w:val="00A81CCF"/>
    <w:rsid w:val="00A82080"/>
    <w:rsid w:val="00A82961"/>
    <w:rsid w:val="00A8300B"/>
    <w:rsid w:val="00A83B51"/>
    <w:rsid w:val="00A841D5"/>
    <w:rsid w:val="00A843A5"/>
    <w:rsid w:val="00A84502"/>
    <w:rsid w:val="00A84E98"/>
    <w:rsid w:val="00A85125"/>
    <w:rsid w:val="00A853EC"/>
    <w:rsid w:val="00A85463"/>
    <w:rsid w:val="00A8558E"/>
    <w:rsid w:val="00A8595F"/>
    <w:rsid w:val="00A866D4"/>
    <w:rsid w:val="00A86B01"/>
    <w:rsid w:val="00A870F9"/>
    <w:rsid w:val="00A87865"/>
    <w:rsid w:val="00A879FC"/>
    <w:rsid w:val="00A9099C"/>
    <w:rsid w:val="00A90D71"/>
    <w:rsid w:val="00A91926"/>
    <w:rsid w:val="00A91D2F"/>
    <w:rsid w:val="00A91E05"/>
    <w:rsid w:val="00A924BB"/>
    <w:rsid w:val="00A92743"/>
    <w:rsid w:val="00A936D9"/>
    <w:rsid w:val="00A93DF1"/>
    <w:rsid w:val="00A95AEA"/>
    <w:rsid w:val="00A96015"/>
    <w:rsid w:val="00A967E1"/>
    <w:rsid w:val="00A97F96"/>
    <w:rsid w:val="00AA00AB"/>
    <w:rsid w:val="00AA0A64"/>
    <w:rsid w:val="00AA131D"/>
    <w:rsid w:val="00AA182A"/>
    <w:rsid w:val="00AA2206"/>
    <w:rsid w:val="00AA31F6"/>
    <w:rsid w:val="00AA3441"/>
    <w:rsid w:val="00AA457F"/>
    <w:rsid w:val="00AA4826"/>
    <w:rsid w:val="00AA4965"/>
    <w:rsid w:val="00AA5278"/>
    <w:rsid w:val="00AA52BE"/>
    <w:rsid w:val="00AA5C00"/>
    <w:rsid w:val="00AA601C"/>
    <w:rsid w:val="00AA6C28"/>
    <w:rsid w:val="00AA6CB4"/>
    <w:rsid w:val="00AA6D8F"/>
    <w:rsid w:val="00AA7419"/>
    <w:rsid w:val="00AA75D4"/>
    <w:rsid w:val="00AA76D7"/>
    <w:rsid w:val="00AA7D5B"/>
    <w:rsid w:val="00AB0022"/>
    <w:rsid w:val="00AB094E"/>
    <w:rsid w:val="00AB0A45"/>
    <w:rsid w:val="00AB192E"/>
    <w:rsid w:val="00AB299B"/>
    <w:rsid w:val="00AB2A34"/>
    <w:rsid w:val="00AB3387"/>
    <w:rsid w:val="00AB3590"/>
    <w:rsid w:val="00AB3E83"/>
    <w:rsid w:val="00AB4D27"/>
    <w:rsid w:val="00AB50EC"/>
    <w:rsid w:val="00AB5CF8"/>
    <w:rsid w:val="00AB6022"/>
    <w:rsid w:val="00AB6780"/>
    <w:rsid w:val="00AC04FE"/>
    <w:rsid w:val="00AC0586"/>
    <w:rsid w:val="00AC0BB8"/>
    <w:rsid w:val="00AC1A99"/>
    <w:rsid w:val="00AC25C1"/>
    <w:rsid w:val="00AC2751"/>
    <w:rsid w:val="00AC29DB"/>
    <w:rsid w:val="00AC2A37"/>
    <w:rsid w:val="00AC2E2F"/>
    <w:rsid w:val="00AC32F2"/>
    <w:rsid w:val="00AC342F"/>
    <w:rsid w:val="00AC406C"/>
    <w:rsid w:val="00AC407D"/>
    <w:rsid w:val="00AC4715"/>
    <w:rsid w:val="00AC4D61"/>
    <w:rsid w:val="00AC534C"/>
    <w:rsid w:val="00AC562B"/>
    <w:rsid w:val="00AC5B8B"/>
    <w:rsid w:val="00AC624C"/>
    <w:rsid w:val="00AC6807"/>
    <w:rsid w:val="00AC6C20"/>
    <w:rsid w:val="00AC6E9A"/>
    <w:rsid w:val="00AC6EBB"/>
    <w:rsid w:val="00AC76D7"/>
    <w:rsid w:val="00AC78DC"/>
    <w:rsid w:val="00AD033A"/>
    <w:rsid w:val="00AD03E3"/>
    <w:rsid w:val="00AD1672"/>
    <w:rsid w:val="00AD1C02"/>
    <w:rsid w:val="00AD25B5"/>
    <w:rsid w:val="00AD25F4"/>
    <w:rsid w:val="00AD2985"/>
    <w:rsid w:val="00AD2C3F"/>
    <w:rsid w:val="00AD2CF6"/>
    <w:rsid w:val="00AD3622"/>
    <w:rsid w:val="00AD375B"/>
    <w:rsid w:val="00AD4464"/>
    <w:rsid w:val="00AD44FC"/>
    <w:rsid w:val="00AD4AA0"/>
    <w:rsid w:val="00AD4BBA"/>
    <w:rsid w:val="00AD4C38"/>
    <w:rsid w:val="00AD51D2"/>
    <w:rsid w:val="00AD54EE"/>
    <w:rsid w:val="00AD5910"/>
    <w:rsid w:val="00AD59A4"/>
    <w:rsid w:val="00AD631A"/>
    <w:rsid w:val="00AD6613"/>
    <w:rsid w:val="00AD6B49"/>
    <w:rsid w:val="00AD752B"/>
    <w:rsid w:val="00AD7562"/>
    <w:rsid w:val="00AE004A"/>
    <w:rsid w:val="00AE01EE"/>
    <w:rsid w:val="00AE040E"/>
    <w:rsid w:val="00AE0991"/>
    <w:rsid w:val="00AE132A"/>
    <w:rsid w:val="00AE3376"/>
    <w:rsid w:val="00AE3754"/>
    <w:rsid w:val="00AE3D31"/>
    <w:rsid w:val="00AE43ED"/>
    <w:rsid w:val="00AE5560"/>
    <w:rsid w:val="00AE566E"/>
    <w:rsid w:val="00AE5CA6"/>
    <w:rsid w:val="00AE5DA0"/>
    <w:rsid w:val="00AE5E2B"/>
    <w:rsid w:val="00AE70CF"/>
    <w:rsid w:val="00AE76A6"/>
    <w:rsid w:val="00AE7764"/>
    <w:rsid w:val="00AF0968"/>
    <w:rsid w:val="00AF099B"/>
    <w:rsid w:val="00AF143C"/>
    <w:rsid w:val="00AF178C"/>
    <w:rsid w:val="00AF1B26"/>
    <w:rsid w:val="00AF1F59"/>
    <w:rsid w:val="00AF2093"/>
    <w:rsid w:val="00AF2388"/>
    <w:rsid w:val="00AF3E4D"/>
    <w:rsid w:val="00AF4F5F"/>
    <w:rsid w:val="00AF53AD"/>
    <w:rsid w:val="00AF559A"/>
    <w:rsid w:val="00AF5872"/>
    <w:rsid w:val="00AF5B3B"/>
    <w:rsid w:val="00AF5E29"/>
    <w:rsid w:val="00AF618D"/>
    <w:rsid w:val="00AF6377"/>
    <w:rsid w:val="00AF69E8"/>
    <w:rsid w:val="00AF6AFC"/>
    <w:rsid w:val="00AF6ECF"/>
    <w:rsid w:val="00AF7C47"/>
    <w:rsid w:val="00B0029B"/>
    <w:rsid w:val="00B007DD"/>
    <w:rsid w:val="00B00CBD"/>
    <w:rsid w:val="00B00EF6"/>
    <w:rsid w:val="00B020C6"/>
    <w:rsid w:val="00B02AA3"/>
    <w:rsid w:val="00B02EA5"/>
    <w:rsid w:val="00B0383D"/>
    <w:rsid w:val="00B03902"/>
    <w:rsid w:val="00B03993"/>
    <w:rsid w:val="00B03BC8"/>
    <w:rsid w:val="00B03D76"/>
    <w:rsid w:val="00B03EC6"/>
    <w:rsid w:val="00B0534A"/>
    <w:rsid w:val="00B05459"/>
    <w:rsid w:val="00B0561C"/>
    <w:rsid w:val="00B05FBE"/>
    <w:rsid w:val="00B06590"/>
    <w:rsid w:val="00B0664D"/>
    <w:rsid w:val="00B06C40"/>
    <w:rsid w:val="00B07329"/>
    <w:rsid w:val="00B077EA"/>
    <w:rsid w:val="00B07C48"/>
    <w:rsid w:val="00B1000D"/>
    <w:rsid w:val="00B10656"/>
    <w:rsid w:val="00B10AB0"/>
    <w:rsid w:val="00B11083"/>
    <w:rsid w:val="00B11718"/>
    <w:rsid w:val="00B12F99"/>
    <w:rsid w:val="00B134DA"/>
    <w:rsid w:val="00B1353C"/>
    <w:rsid w:val="00B1371F"/>
    <w:rsid w:val="00B13D34"/>
    <w:rsid w:val="00B141BF"/>
    <w:rsid w:val="00B14933"/>
    <w:rsid w:val="00B153B9"/>
    <w:rsid w:val="00B1540C"/>
    <w:rsid w:val="00B15461"/>
    <w:rsid w:val="00B15923"/>
    <w:rsid w:val="00B15ED2"/>
    <w:rsid w:val="00B16965"/>
    <w:rsid w:val="00B1746D"/>
    <w:rsid w:val="00B20956"/>
    <w:rsid w:val="00B20A36"/>
    <w:rsid w:val="00B20B1A"/>
    <w:rsid w:val="00B20DF2"/>
    <w:rsid w:val="00B2128B"/>
    <w:rsid w:val="00B21930"/>
    <w:rsid w:val="00B21F8C"/>
    <w:rsid w:val="00B22238"/>
    <w:rsid w:val="00B2247E"/>
    <w:rsid w:val="00B2260D"/>
    <w:rsid w:val="00B22BAB"/>
    <w:rsid w:val="00B22BD2"/>
    <w:rsid w:val="00B230C2"/>
    <w:rsid w:val="00B23EA0"/>
    <w:rsid w:val="00B23FF8"/>
    <w:rsid w:val="00B24187"/>
    <w:rsid w:val="00B24802"/>
    <w:rsid w:val="00B24FBF"/>
    <w:rsid w:val="00B250FB"/>
    <w:rsid w:val="00B262B6"/>
    <w:rsid w:val="00B26CBA"/>
    <w:rsid w:val="00B277F1"/>
    <w:rsid w:val="00B305A8"/>
    <w:rsid w:val="00B3147A"/>
    <w:rsid w:val="00B3180F"/>
    <w:rsid w:val="00B31DEA"/>
    <w:rsid w:val="00B31E44"/>
    <w:rsid w:val="00B321EA"/>
    <w:rsid w:val="00B32DA2"/>
    <w:rsid w:val="00B3365E"/>
    <w:rsid w:val="00B33BFD"/>
    <w:rsid w:val="00B33C72"/>
    <w:rsid w:val="00B344B6"/>
    <w:rsid w:val="00B34539"/>
    <w:rsid w:val="00B35892"/>
    <w:rsid w:val="00B35AF9"/>
    <w:rsid w:val="00B35D25"/>
    <w:rsid w:val="00B365B8"/>
    <w:rsid w:val="00B365D2"/>
    <w:rsid w:val="00B37061"/>
    <w:rsid w:val="00B3710D"/>
    <w:rsid w:val="00B37204"/>
    <w:rsid w:val="00B37D85"/>
    <w:rsid w:val="00B401F0"/>
    <w:rsid w:val="00B40C67"/>
    <w:rsid w:val="00B427A2"/>
    <w:rsid w:val="00B427E1"/>
    <w:rsid w:val="00B4379C"/>
    <w:rsid w:val="00B439BD"/>
    <w:rsid w:val="00B43AF5"/>
    <w:rsid w:val="00B43F18"/>
    <w:rsid w:val="00B452F0"/>
    <w:rsid w:val="00B45A3C"/>
    <w:rsid w:val="00B46011"/>
    <w:rsid w:val="00B460C2"/>
    <w:rsid w:val="00B460FB"/>
    <w:rsid w:val="00B462D1"/>
    <w:rsid w:val="00B46684"/>
    <w:rsid w:val="00B4730B"/>
    <w:rsid w:val="00B47360"/>
    <w:rsid w:val="00B47790"/>
    <w:rsid w:val="00B47AC4"/>
    <w:rsid w:val="00B47C5D"/>
    <w:rsid w:val="00B50AB2"/>
    <w:rsid w:val="00B50BF3"/>
    <w:rsid w:val="00B5116B"/>
    <w:rsid w:val="00B5225F"/>
    <w:rsid w:val="00B52574"/>
    <w:rsid w:val="00B54267"/>
    <w:rsid w:val="00B54B09"/>
    <w:rsid w:val="00B5527B"/>
    <w:rsid w:val="00B55C6E"/>
    <w:rsid w:val="00B56435"/>
    <w:rsid w:val="00B56591"/>
    <w:rsid w:val="00B565F2"/>
    <w:rsid w:val="00B566D5"/>
    <w:rsid w:val="00B574D1"/>
    <w:rsid w:val="00B6039F"/>
    <w:rsid w:val="00B60876"/>
    <w:rsid w:val="00B60C25"/>
    <w:rsid w:val="00B60E52"/>
    <w:rsid w:val="00B61119"/>
    <w:rsid w:val="00B618DF"/>
    <w:rsid w:val="00B62227"/>
    <w:rsid w:val="00B622A4"/>
    <w:rsid w:val="00B6241A"/>
    <w:rsid w:val="00B627CD"/>
    <w:rsid w:val="00B62844"/>
    <w:rsid w:val="00B63470"/>
    <w:rsid w:val="00B64923"/>
    <w:rsid w:val="00B65156"/>
    <w:rsid w:val="00B6560C"/>
    <w:rsid w:val="00B65BAB"/>
    <w:rsid w:val="00B66BEC"/>
    <w:rsid w:val="00B66E4B"/>
    <w:rsid w:val="00B67174"/>
    <w:rsid w:val="00B67A82"/>
    <w:rsid w:val="00B7042A"/>
    <w:rsid w:val="00B706E5"/>
    <w:rsid w:val="00B70981"/>
    <w:rsid w:val="00B70E55"/>
    <w:rsid w:val="00B71341"/>
    <w:rsid w:val="00B71DF1"/>
    <w:rsid w:val="00B72159"/>
    <w:rsid w:val="00B72524"/>
    <w:rsid w:val="00B72A01"/>
    <w:rsid w:val="00B73261"/>
    <w:rsid w:val="00B732B2"/>
    <w:rsid w:val="00B739CE"/>
    <w:rsid w:val="00B745B7"/>
    <w:rsid w:val="00B74736"/>
    <w:rsid w:val="00B749B6"/>
    <w:rsid w:val="00B74E54"/>
    <w:rsid w:val="00B75A9C"/>
    <w:rsid w:val="00B75DAF"/>
    <w:rsid w:val="00B76342"/>
    <w:rsid w:val="00B7684D"/>
    <w:rsid w:val="00B769B1"/>
    <w:rsid w:val="00B76ABB"/>
    <w:rsid w:val="00B76E3D"/>
    <w:rsid w:val="00B77231"/>
    <w:rsid w:val="00B7736F"/>
    <w:rsid w:val="00B77A11"/>
    <w:rsid w:val="00B77C3C"/>
    <w:rsid w:val="00B80019"/>
    <w:rsid w:val="00B809B5"/>
    <w:rsid w:val="00B81220"/>
    <w:rsid w:val="00B8278C"/>
    <w:rsid w:val="00B82B96"/>
    <w:rsid w:val="00B84595"/>
    <w:rsid w:val="00B848A5"/>
    <w:rsid w:val="00B84D71"/>
    <w:rsid w:val="00B85034"/>
    <w:rsid w:val="00B854CB"/>
    <w:rsid w:val="00B855E9"/>
    <w:rsid w:val="00B85BFA"/>
    <w:rsid w:val="00B85FC6"/>
    <w:rsid w:val="00B86394"/>
    <w:rsid w:val="00B87E34"/>
    <w:rsid w:val="00B902A8"/>
    <w:rsid w:val="00B904F9"/>
    <w:rsid w:val="00B90566"/>
    <w:rsid w:val="00B905AC"/>
    <w:rsid w:val="00B910EF"/>
    <w:rsid w:val="00B912B4"/>
    <w:rsid w:val="00B9135C"/>
    <w:rsid w:val="00B91730"/>
    <w:rsid w:val="00B91990"/>
    <w:rsid w:val="00B924CA"/>
    <w:rsid w:val="00B9256B"/>
    <w:rsid w:val="00B92721"/>
    <w:rsid w:val="00B92902"/>
    <w:rsid w:val="00B92C7D"/>
    <w:rsid w:val="00B93FA8"/>
    <w:rsid w:val="00B9530C"/>
    <w:rsid w:val="00B96485"/>
    <w:rsid w:val="00B966BF"/>
    <w:rsid w:val="00B9741E"/>
    <w:rsid w:val="00B97879"/>
    <w:rsid w:val="00B9792E"/>
    <w:rsid w:val="00BA09F8"/>
    <w:rsid w:val="00BA19F3"/>
    <w:rsid w:val="00BA287B"/>
    <w:rsid w:val="00BA2E7B"/>
    <w:rsid w:val="00BA354D"/>
    <w:rsid w:val="00BA3D6E"/>
    <w:rsid w:val="00BA4156"/>
    <w:rsid w:val="00BA4549"/>
    <w:rsid w:val="00BA4A90"/>
    <w:rsid w:val="00BA59C4"/>
    <w:rsid w:val="00BA7331"/>
    <w:rsid w:val="00BA777F"/>
    <w:rsid w:val="00BB12D9"/>
    <w:rsid w:val="00BB1403"/>
    <w:rsid w:val="00BB1B71"/>
    <w:rsid w:val="00BB1C2F"/>
    <w:rsid w:val="00BB1CC0"/>
    <w:rsid w:val="00BB2386"/>
    <w:rsid w:val="00BB23AB"/>
    <w:rsid w:val="00BB250B"/>
    <w:rsid w:val="00BB292D"/>
    <w:rsid w:val="00BB2A13"/>
    <w:rsid w:val="00BB33BB"/>
    <w:rsid w:val="00BB3C4D"/>
    <w:rsid w:val="00BB4E29"/>
    <w:rsid w:val="00BB4EEE"/>
    <w:rsid w:val="00BB4F0F"/>
    <w:rsid w:val="00BB4F6F"/>
    <w:rsid w:val="00BB54C3"/>
    <w:rsid w:val="00BB5535"/>
    <w:rsid w:val="00BB5CFD"/>
    <w:rsid w:val="00BB5DA2"/>
    <w:rsid w:val="00BB67A2"/>
    <w:rsid w:val="00BB684E"/>
    <w:rsid w:val="00BB6E37"/>
    <w:rsid w:val="00BB7313"/>
    <w:rsid w:val="00BC0149"/>
    <w:rsid w:val="00BC01A8"/>
    <w:rsid w:val="00BC09EC"/>
    <w:rsid w:val="00BC0AC4"/>
    <w:rsid w:val="00BC0BDC"/>
    <w:rsid w:val="00BC0D7B"/>
    <w:rsid w:val="00BC0D84"/>
    <w:rsid w:val="00BC172E"/>
    <w:rsid w:val="00BC1869"/>
    <w:rsid w:val="00BC1D12"/>
    <w:rsid w:val="00BC1DA8"/>
    <w:rsid w:val="00BC23B0"/>
    <w:rsid w:val="00BC23D5"/>
    <w:rsid w:val="00BC2970"/>
    <w:rsid w:val="00BC2BB4"/>
    <w:rsid w:val="00BC338B"/>
    <w:rsid w:val="00BC3822"/>
    <w:rsid w:val="00BC3A06"/>
    <w:rsid w:val="00BC3A82"/>
    <w:rsid w:val="00BC3BAE"/>
    <w:rsid w:val="00BC42E5"/>
    <w:rsid w:val="00BC4E13"/>
    <w:rsid w:val="00BC5105"/>
    <w:rsid w:val="00BC52F6"/>
    <w:rsid w:val="00BC559F"/>
    <w:rsid w:val="00BC5800"/>
    <w:rsid w:val="00BC592F"/>
    <w:rsid w:val="00BC5B85"/>
    <w:rsid w:val="00BC6938"/>
    <w:rsid w:val="00BC7267"/>
    <w:rsid w:val="00BC7981"/>
    <w:rsid w:val="00BC7A7B"/>
    <w:rsid w:val="00BD0032"/>
    <w:rsid w:val="00BD03B3"/>
    <w:rsid w:val="00BD05E4"/>
    <w:rsid w:val="00BD0D15"/>
    <w:rsid w:val="00BD12ED"/>
    <w:rsid w:val="00BD1879"/>
    <w:rsid w:val="00BD1A40"/>
    <w:rsid w:val="00BD1BE9"/>
    <w:rsid w:val="00BD1D2E"/>
    <w:rsid w:val="00BD2DE2"/>
    <w:rsid w:val="00BD301C"/>
    <w:rsid w:val="00BD3190"/>
    <w:rsid w:val="00BD3A65"/>
    <w:rsid w:val="00BD3E30"/>
    <w:rsid w:val="00BD3F52"/>
    <w:rsid w:val="00BD5045"/>
    <w:rsid w:val="00BD57E5"/>
    <w:rsid w:val="00BD719E"/>
    <w:rsid w:val="00BD7A0B"/>
    <w:rsid w:val="00BD7A98"/>
    <w:rsid w:val="00BD7AA9"/>
    <w:rsid w:val="00BD7D6E"/>
    <w:rsid w:val="00BE01AE"/>
    <w:rsid w:val="00BE0D1A"/>
    <w:rsid w:val="00BE0F14"/>
    <w:rsid w:val="00BE0F9C"/>
    <w:rsid w:val="00BE0FF0"/>
    <w:rsid w:val="00BE10BE"/>
    <w:rsid w:val="00BE163F"/>
    <w:rsid w:val="00BE18F5"/>
    <w:rsid w:val="00BE1AD4"/>
    <w:rsid w:val="00BE2827"/>
    <w:rsid w:val="00BE2D4F"/>
    <w:rsid w:val="00BE2E68"/>
    <w:rsid w:val="00BE366A"/>
    <w:rsid w:val="00BE3AB9"/>
    <w:rsid w:val="00BE3B5E"/>
    <w:rsid w:val="00BE4678"/>
    <w:rsid w:val="00BE47EF"/>
    <w:rsid w:val="00BE4DD8"/>
    <w:rsid w:val="00BE5114"/>
    <w:rsid w:val="00BE5381"/>
    <w:rsid w:val="00BE583A"/>
    <w:rsid w:val="00BE5B23"/>
    <w:rsid w:val="00BE6F3F"/>
    <w:rsid w:val="00BE735F"/>
    <w:rsid w:val="00BE7506"/>
    <w:rsid w:val="00BE7587"/>
    <w:rsid w:val="00BE7636"/>
    <w:rsid w:val="00BE7E66"/>
    <w:rsid w:val="00BF05E0"/>
    <w:rsid w:val="00BF072C"/>
    <w:rsid w:val="00BF08C0"/>
    <w:rsid w:val="00BF0B9A"/>
    <w:rsid w:val="00BF12A1"/>
    <w:rsid w:val="00BF1A8C"/>
    <w:rsid w:val="00BF1E7F"/>
    <w:rsid w:val="00BF21E5"/>
    <w:rsid w:val="00BF2462"/>
    <w:rsid w:val="00BF2E65"/>
    <w:rsid w:val="00BF32FD"/>
    <w:rsid w:val="00BF3B5C"/>
    <w:rsid w:val="00BF3D40"/>
    <w:rsid w:val="00BF42A8"/>
    <w:rsid w:val="00BF51AA"/>
    <w:rsid w:val="00BF571E"/>
    <w:rsid w:val="00BF651F"/>
    <w:rsid w:val="00BF7164"/>
    <w:rsid w:val="00BF7214"/>
    <w:rsid w:val="00BF7505"/>
    <w:rsid w:val="00BF777E"/>
    <w:rsid w:val="00BF7B68"/>
    <w:rsid w:val="00BF7E05"/>
    <w:rsid w:val="00C00360"/>
    <w:rsid w:val="00C005D0"/>
    <w:rsid w:val="00C00C4D"/>
    <w:rsid w:val="00C01C3B"/>
    <w:rsid w:val="00C01DB2"/>
    <w:rsid w:val="00C022AA"/>
    <w:rsid w:val="00C02C6D"/>
    <w:rsid w:val="00C02E7F"/>
    <w:rsid w:val="00C03372"/>
    <w:rsid w:val="00C0372A"/>
    <w:rsid w:val="00C03958"/>
    <w:rsid w:val="00C03F62"/>
    <w:rsid w:val="00C040D8"/>
    <w:rsid w:val="00C04BAF"/>
    <w:rsid w:val="00C05304"/>
    <w:rsid w:val="00C05732"/>
    <w:rsid w:val="00C05F81"/>
    <w:rsid w:val="00C067AE"/>
    <w:rsid w:val="00C06824"/>
    <w:rsid w:val="00C06A55"/>
    <w:rsid w:val="00C1027A"/>
    <w:rsid w:val="00C10856"/>
    <w:rsid w:val="00C10948"/>
    <w:rsid w:val="00C109D6"/>
    <w:rsid w:val="00C10C42"/>
    <w:rsid w:val="00C10FD2"/>
    <w:rsid w:val="00C123B6"/>
    <w:rsid w:val="00C12B06"/>
    <w:rsid w:val="00C132EB"/>
    <w:rsid w:val="00C133C8"/>
    <w:rsid w:val="00C14C17"/>
    <w:rsid w:val="00C1514C"/>
    <w:rsid w:val="00C1571A"/>
    <w:rsid w:val="00C15DE2"/>
    <w:rsid w:val="00C15EF7"/>
    <w:rsid w:val="00C15F93"/>
    <w:rsid w:val="00C16E0E"/>
    <w:rsid w:val="00C17040"/>
    <w:rsid w:val="00C171D1"/>
    <w:rsid w:val="00C17E13"/>
    <w:rsid w:val="00C20641"/>
    <w:rsid w:val="00C20B57"/>
    <w:rsid w:val="00C20B98"/>
    <w:rsid w:val="00C219F0"/>
    <w:rsid w:val="00C22173"/>
    <w:rsid w:val="00C2224E"/>
    <w:rsid w:val="00C2287C"/>
    <w:rsid w:val="00C22A9B"/>
    <w:rsid w:val="00C2364E"/>
    <w:rsid w:val="00C23ACD"/>
    <w:rsid w:val="00C23EDA"/>
    <w:rsid w:val="00C2441C"/>
    <w:rsid w:val="00C24514"/>
    <w:rsid w:val="00C25930"/>
    <w:rsid w:val="00C26476"/>
    <w:rsid w:val="00C26DC1"/>
    <w:rsid w:val="00C2704E"/>
    <w:rsid w:val="00C27535"/>
    <w:rsid w:val="00C300B8"/>
    <w:rsid w:val="00C3086A"/>
    <w:rsid w:val="00C30E7D"/>
    <w:rsid w:val="00C31315"/>
    <w:rsid w:val="00C3149C"/>
    <w:rsid w:val="00C3165F"/>
    <w:rsid w:val="00C32625"/>
    <w:rsid w:val="00C32668"/>
    <w:rsid w:val="00C3288D"/>
    <w:rsid w:val="00C329CB"/>
    <w:rsid w:val="00C32DC8"/>
    <w:rsid w:val="00C32DDE"/>
    <w:rsid w:val="00C33267"/>
    <w:rsid w:val="00C33417"/>
    <w:rsid w:val="00C33974"/>
    <w:rsid w:val="00C34946"/>
    <w:rsid w:val="00C35546"/>
    <w:rsid w:val="00C360C5"/>
    <w:rsid w:val="00C363A5"/>
    <w:rsid w:val="00C36CB7"/>
    <w:rsid w:val="00C36EE3"/>
    <w:rsid w:val="00C3717A"/>
    <w:rsid w:val="00C3752D"/>
    <w:rsid w:val="00C375F0"/>
    <w:rsid w:val="00C378A4"/>
    <w:rsid w:val="00C37C77"/>
    <w:rsid w:val="00C37D0C"/>
    <w:rsid w:val="00C40865"/>
    <w:rsid w:val="00C40CAD"/>
    <w:rsid w:val="00C4116E"/>
    <w:rsid w:val="00C41300"/>
    <w:rsid w:val="00C418E5"/>
    <w:rsid w:val="00C4197B"/>
    <w:rsid w:val="00C41989"/>
    <w:rsid w:val="00C41DD0"/>
    <w:rsid w:val="00C42439"/>
    <w:rsid w:val="00C42947"/>
    <w:rsid w:val="00C42A07"/>
    <w:rsid w:val="00C44336"/>
    <w:rsid w:val="00C45E9C"/>
    <w:rsid w:val="00C461ED"/>
    <w:rsid w:val="00C46214"/>
    <w:rsid w:val="00C46293"/>
    <w:rsid w:val="00C4638A"/>
    <w:rsid w:val="00C467FA"/>
    <w:rsid w:val="00C469CA"/>
    <w:rsid w:val="00C47235"/>
    <w:rsid w:val="00C47271"/>
    <w:rsid w:val="00C4758B"/>
    <w:rsid w:val="00C47601"/>
    <w:rsid w:val="00C47609"/>
    <w:rsid w:val="00C47A01"/>
    <w:rsid w:val="00C47DBA"/>
    <w:rsid w:val="00C50047"/>
    <w:rsid w:val="00C50364"/>
    <w:rsid w:val="00C50435"/>
    <w:rsid w:val="00C51454"/>
    <w:rsid w:val="00C51828"/>
    <w:rsid w:val="00C51CCE"/>
    <w:rsid w:val="00C51F7D"/>
    <w:rsid w:val="00C5253C"/>
    <w:rsid w:val="00C528FF"/>
    <w:rsid w:val="00C53312"/>
    <w:rsid w:val="00C53665"/>
    <w:rsid w:val="00C53A32"/>
    <w:rsid w:val="00C53CA0"/>
    <w:rsid w:val="00C54083"/>
    <w:rsid w:val="00C5418F"/>
    <w:rsid w:val="00C541C6"/>
    <w:rsid w:val="00C5460E"/>
    <w:rsid w:val="00C556E5"/>
    <w:rsid w:val="00C55853"/>
    <w:rsid w:val="00C560F0"/>
    <w:rsid w:val="00C56768"/>
    <w:rsid w:val="00C56F93"/>
    <w:rsid w:val="00C57961"/>
    <w:rsid w:val="00C60B55"/>
    <w:rsid w:val="00C60C58"/>
    <w:rsid w:val="00C60E8B"/>
    <w:rsid w:val="00C60FC9"/>
    <w:rsid w:val="00C6121B"/>
    <w:rsid w:val="00C62CD0"/>
    <w:rsid w:val="00C62ED0"/>
    <w:rsid w:val="00C634D4"/>
    <w:rsid w:val="00C63BF9"/>
    <w:rsid w:val="00C6412D"/>
    <w:rsid w:val="00C641FB"/>
    <w:rsid w:val="00C64CAB"/>
    <w:rsid w:val="00C65BDF"/>
    <w:rsid w:val="00C65F6F"/>
    <w:rsid w:val="00C6604A"/>
    <w:rsid w:val="00C66B35"/>
    <w:rsid w:val="00C6715F"/>
    <w:rsid w:val="00C671E9"/>
    <w:rsid w:val="00C679D9"/>
    <w:rsid w:val="00C70AFD"/>
    <w:rsid w:val="00C70EE9"/>
    <w:rsid w:val="00C70F2F"/>
    <w:rsid w:val="00C71539"/>
    <w:rsid w:val="00C72F55"/>
    <w:rsid w:val="00C730F1"/>
    <w:rsid w:val="00C736CD"/>
    <w:rsid w:val="00C7444E"/>
    <w:rsid w:val="00C75E4E"/>
    <w:rsid w:val="00C7601B"/>
    <w:rsid w:val="00C7655C"/>
    <w:rsid w:val="00C766E7"/>
    <w:rsid w:val="00C768F0"/>
    <w:rsid w:val="00C76B51"/>
    <w:rsid w:val="00C76E0E"/>
    <w:rsid w:val="00C770A3"/>
    <w:rsid w:val="00C7743D"/>
    <w:rsid w:val="00C777DC"/>
    <w:rsid w:val="00C8072E"/>
    <w:rsid w:val="00C8075F"/>
    <w:rsid w:val="00C80E38"/>
    <w:rsid w:val="00C80E51"/>
    <w:rsid w:val="00C812C6"/>
    <w:rsid w:val="00C8169C"/>
    <w:rsid w:val="00C82B8C"/>
    <w:rsid w:val="00C82F39"/>
    <w:rsid w:val="00C83007"/>
    <w:rsid w:val="00C8311D"/>
    <w:rsid w:val="00C832D1"/>
    <w:rsid w:val="00C8357E"/>
    <w:rsid w:val="00C83C14"/>
    <w:rsid w:val="00C83C55"/>
    <w:rsid w:val="00C84006"/>
    <w:rsid w:val="00C8409D"/>
    <w:rsid w:val="00C85220"/>
    <w:rsid w:val="00C854D9"/>
    <w:rsid w:val="00C85676"/>
    <w:rsid w:val="00C85AB5"/>
    <w:rsid w:val="00C85C2F"/>
    <w:rsid w:val="00C85F30"/>
    <w:rsid w:val="00C86795"/>
    <w:rsid w:val="00C86C06"/>
    <w:rsid w:val="00C87358"/>
    <w:rsid w:val="00C87901"/>
    <w:rsid w:val="00C87B15"/>
    <w:rsid w:val="00C90120"/>
    <w:rsid w:val="00C906C7"/>
    <w:rsid w:val="00C908D5"/>
    <w:rsid w:val="00C90BCB"/>
    <w:rsid w:val="00C90C26"/>
    <w:rsid w:val="00C911C8"/>
    <w:rsid w:val="00C912CA"/>
    <w:rsid w:val="00C91C09"/>
    <w:rsid w:val="00C92171"/>
    <w:rsid w:val="00C9262A"/>
    <w:rsid w:val="00C9294A"/>
    <w:rsid w:val="00C938D2"/>
    <w:rsid w:val="00C93BE2"/>
    <w:rsid w:val="00C93EE1"/>
    <w:rsid w:val="00C9436F"/>
    <w:rsid w:val="00C94917"/>
    <w:rsid w:val="00C951EB"/>
    <w:rsid w:val="00C957CB"/>
    <w:rsid w:val="00C95BE0"/>
    <w:rsid w:val="00C96435"/>
    <w:rsid w:val="00C968CB"/>
    <w:rsid w:val="00C9775F"/>
    <w:rsid w:val="00C97978"/>
    <w:rsid w:val="00C97D99"/>
    <w:rsid w:val="00CA016F"/>
    <w:rsid w:val="00CA0650"/>
    <w:rsid w:val="00CA0B0F"/>
    <w:rsid w:val="00CA1072"/>
    <w:rsid w:val="00CA10B8"/>
    <w:rsid w:val="00CA1868"/>
    <w:rsid w:val="00CA1BC0"/>
    <w:rsid w:val="00CA255E"/>
    <w:rsid w:val="00CA2CC2"/>
    <w:rsid w:val="00CA2DA6"/>
    <w:rsid w:val="00CA304B"/>
    <w:rsid w:val="00CA30A1"/>
    <w:rsid w:val="00CA3168"/>
    <w:rsid w:val="00CA31A4"/>
    <w:rsid w:val="00CA349E"/>
    <w:rsid w:val="00CA3C19"/>
    <w:rsid w:val="00CA3E2E"/>
    <w:rsid w:val="00CA4190"/>
    <w:rsid w:val="00CA4398"/>
    <w:rsid w:val="00CA4B5C"/>
    <w:rsid w:val="00CA5764"/>
    <w:rsid w:val="00CA5AB6"/>
    <w:rsid w:val="00CA5EFF"/>
    <w:rsid w:val="00CA6007"/>
    <w:rsid w:val="00CA6B4C"/>
    <w:rsid w:val="00CA6B8E"/>
    <w:rsid w:val="00CA7147"/>
    <w:rsid w:val="00CA7618"/>
    <w:rsid w:val="00CA7FC2"/>
    <w:rsid w:val="00CB0273"/>
    <w:rsid w:val="00CB0D54"/>
    <w:rsid w:val="00CB149C"/>
    <w:rsid w:val="00CB1715"/>
    <w:rsid w:val="00CB1880"/>
    <w:rsid w:val="00CB1F30"/>
    <w:rsid w:val="00CB27BB"/>
    <w:rsid w:val="00CB27CE"/>
    <w:rsid w:val="00CB2DAB"/>
    <w:rsid w:val="00CB2E84"/>
    <w:rsid w:val="00CB393F"/>
    <w:rsid w:val="00CB3EA5"/>
    <w:rsid w:val="00CB4627"/>
    <w:rsid w:val="00CB48B9"/>
    <w:rsid w:val="00CB494B"/>
    <w:rsid w:val="00CB49F2"/>
    <w:rsid w:val="00CB4ADC"/>
    <w:rsid w:val="00CB5ABF"/>
    <w:rsid w:val="00CB6AB7"/>
    <w:rsid w:val="00CB6FF5"/>
    <w:rsid w:val="00CB74DF"/>
    <w:rsid w:val="00CB7630"/>
    <w:rsid w:val="00CB76E8"/>
    <w:rsid w:val="00CC13E6"/>
    <w:rsid w:val="00CC15EF"/>
    <w:rsid w:val="00CC182E"/>
    <w:rsid w:val="00CC2293"/>
    <w:rsid w:val="00CC232C"/>
    <w:rsid w:val="00CC259E"/>
    <w:rsid w:val="00CC2628"/>
    <w:rsid w:val="00CC2A97"/>
    <w:rsid w:val="00CC2D8A"/>
    <w:rsid w:val="00CC3BEE"/>
    <w:rsid w:val="00CC3E0E"/>
    <w:rsid w:val="00CC4670"/>
    <w:rsid w:val="00CC4A68"/>
    <w:rsid w:val="00CC53C5"/>
    <w:rsid w:val="00CC5B8A"/>
    <w:rsid w:val="00CC6231"/>
    <w:rsid w:val="00CC6D9F"/>
    <w:rsid w:val="00CC6DE6"/>
    <w:rsid w:val="00CC7022"/>
    <w:rsid w:val="00CC7763"/>
    <w:rsid w:val="00CC7969"/>
    <w:rsid w:val="00CC7C58"/>
    <w:rsid w:val="00CC7F6C"/>
    <w:rsid w:val="00CD01F2"/>
    <w:rsid w:val="00CD0696"/>
    <w:rsid w:val="00CD14C6"/>
    <w:rsid w:val="00CD1C0C"/>
    <w:rsid w:val="00CD2A05"/>
    <w:rsid w:val="00CD2CD1"/>
    <w:rsid w:val="00CD2FB0"/>
    <w:rsid w:val="00CD3F1D"/>
    <w:rsid w:val="00CD422B"/>
    <w:rsid w:val="00CD4386"/>
    <w:rsid w:val="00CD46FC"/>
    <w:rsid w:val="00CD5479"/>
    <w:rsid w:val="00CD5D58"/>
    <w:rsid w:val="00CD64BD"/>
    <w:rsid w:val="00CD65B5"/>
    <w:rsid w:val="00CD72AA"/>
    <w:rsid w:val="00CD73AD"/>
    <w:rsid w:val="00CD7414"/>
    <w:rsid w:val="00CD7923"/>
    <w:rsid w:val="00CD79A6"/>
    <w:rsid w:val="00CE0438"/>
    <w:rsid w:val="00CE0B9A"/>
    <w:rsid w:val="00CE1C1F"/>
    <w:rsid w:val="00CE2DC4"/>
    <w:rsid w:val="00CE331E"/>
    <w:rsid w:val="00CE4A85"/>
    <w:rsid w:val="00CE516B"/>
    <w:rsid w:val="00CE53CD"/>
    <w:rsid w:val="00CE5EBD"/>
    <w:rsid w:val="00CE662A"/>
    <w:rsid w:val="00CE68F5"/>
    <w:rsid w:val="00CE6A14"/>
    <w:rsid w:val="00CE6B1F"/>
    <w:rsid w:val="00CE6EEC"/>
    <w:rsid w:val="00CE7575"/>
    <w:rsid w:val="00CE7C87"/>
    <w:rsid w:val="00CE7EC3"/>
    <w:rsid w:val="00CF01D4"/>
    <w:rsid w:val="00CF037F"/>
    <w:rsid w:val="00CF0B48"/>
    <w:rsid w:val="00CF0DCB"/>
    <w:rsid w:val="00CF0E0A"/>
    <w:rsid w:val="00CF15C0"/>
    <w:rsid w:val="00CF240C"/>
    <w:rsid w:val="00CF240F"/>
    <w:rsid w:val="00CF26D5"/>
    <w:rsid w:val="00CF397A"/>
    <w:rsid w:val="00CF44AE"/>
    <w:rsid w:val="00CF4804"/>
    <w:rsid w:val="00CF4945"/>
    <w:rsid w:val="00CF5861"/>
    <w:rsid w:val="00CF63F1"/>
    <w:rsid w:val="00CF67ED"/>
    <w:rsid w:val="00CF6F0C"/>
    <w:rsid w:val="00CF7DB1"/>
    <w:rsid w:val="00CF7F7B"/>
    <w:rsid w:val="00D0020C"/>
    <w:rsid w:val="00D0039B"/>
    <w:rsid w:val="00D003BC"/>
    <w:rsid w:val="00D00502"/>
    <w:rsid w:val="00D006E0"/>
    <w:rsid w:val="00D00712"/>
    <w:rsid w:val="00D007C9"/>
    <w:rsid w:val="00D00AB9"/>
    <w:rsid w:val="00D013E0"/>
    <w:rsid w:val="00D01B5C"/>
    <w:rsid w:val="00D020DF"/>
    <w:rsid w:val="00D02294"/>
    <w:rsid w:val="00D022AB"/>
    <w:rsid w:val="00D028ED"/>
    <w:rsid w:val="00D02C86"/>
    <w:rsid w:val="00D03611"/>
    <w:rsid w:val="00D03B5F"/>
    <w:rsid w:val="00D03D16"/>
    <w:rsid w:val="00D0404E"/>
    <w:rsid w:val="00D0428F"/>
    <w:rsid w:val="00D04D60"/>
    <w:rsid w:val="00D04E94"/>
    <w:rsid w:val="00D052CF"/>
    <w:rsid w:val="00D053B9"/>
    <w:rsid w:val="00D053ED"/>
    <w:rsid w:val="00D0552B"/>
    <w:rsid w:val="00D061D3"/>
    <w:rsid w:val="00D0684B"/>
    <w:rsid w:val="00D06F0E"/>
    <w:rsid w:val="00D0703D"/>
    <w:rsid w:val="00D0719A"/>
    <w:rsid w:val="00D07431"/>
    <w:rsid w:val="00D07AFE"/>
    <w:rsid w:val="00D10639"/>
    <w:rsid w:val="00D12028"/>
    <w:rsid w:val="00D12456"/>
    <w:rsid w:val="00D1292F"/>
    <w:rsid w:val="00D12C00"/>
    <w:rsid w:val="00D1334A"/>
    <w:rsid w:val="00D1364F"/>
    <w:rsid w:val="00D13A79"/>
    <w:rsid w:val="00D14642"/>
    <w:rsid w:val="00D14A08"/>
    <w:rsid w:val="00D14EDD"/>
    <w:rsid w:val="00D150B1"/>
    <w:rsid w:val="00D1531A"/>
    <w:rsid w:val="00D15AD3"/>
    <w:rsid w:val="00D15E95"/>
    <w:rsid w:val="00D16114"/>
    <w:rsid w:val="00D163C6"/>
    <w:rsid w:val="00D1643E"/>
    <w:rsid w:val="00D16655"/>
    <w:rsid w:val="00D16802"/>
    <w:rsid w:val="00D16B4A"/>
    <w:rsid w:val="00D16C91"/>
    <w:rsid w:val="00D17103"/>
    <w:rsid w:val="00D17BC7"/>
    <w:rsid w:val="00D17FA8"/>
    <w:rsid w:val="00D2016A"/>
    <w:rsid w:val="00D20258"/>
    <w:rsid w:val="00D209B4"/>
    <w:rsid w:val="00D20A35"/>
    <w:rsid w:val="00D2171C"/>
    <w:rsid w:val="00D21822"/>
    <w:rsid w:val="00D21FDC"/>
    <w:rsid w:val="00D21FE2"/>
    <w:rsid w:val="00D231F4"/>
    <w:rsid w:val="00D2328A"/>
    <w:rsid w:val="00D2357E"/>
    <w:rsid w:val="00D238C9"/>
    <w:rsid w:val="00D24287"/>
    <w:rsid w:val="00D2441D"/>
    <w:rsid w:val="00D251A8"/>
    <w:rsid w:val="00D257E2"/>
    <w:rsid w:val="00D25C01"/>
    <w:rsid w:val="00D26C98"/>
    <w:rsid w:val="00D27235"/>
    <w:rsid w:val="00D27A19"/>
    <w:rsid w:val="00D30348"/>
    <w:rsid w:val="00D30605"/>
    <w:rsid w:val="00D308E5"/>
    <w:rsid w:val="00D309AE"/>
    <w:rsid w:val="00D30E18"/>
    <w:rsid w:val="00D33E23"/>
    <w:rsid w:val="00D33EFF"/>
    <w:rsid w:val="00D34355"/>
    <w:rsid w:val="00D34523"/>
    <w:rsid w:val="00D34B50"/>
    <w:rsid w:val="00D353D5"/>
    <w:rsid w:val="00D355D7"/>
    <w:rsid w:val="00D36332"/>
    <w:rsid w:val="00D36EF6"/>
    <w:rsid w:val="00D37E80"/>
    <w:rsid w:val="00D4016B"/>
    <w:rsid w:val="00D403BD"/>
    <w:rsid w:val="00D405E7"/>
    <w:rsid w:val="00D40ADB"/>
    <w:rsid w:val="00D41432"/>
    <w:rsid w:val="00D41849"/>
    <w:rsid w:val="00D4184E"/>
    <w:rsid w:val="00D41B0A"/>
    <w:rsid w:val="00D42726"/>
    <w:rsid w:val="00D42848"/>
    <w:rsid w:val="00D42909"/>
    <w:rsid w:val="00D43494"/>
    <w:rsid w:val="00D4464C"/>
    <w:rsid w:val="00D44E69"/>
    <w:rsid w:val="00D45341"/>
    <w:rsid w:val="00D459E7"/>
    <w:rsid w:val="00D45A65"/>
    <w:rsid w:val="00D45BE2"/>
    <w:rsid w:val="00D46C37"/>
    <w:rsid w:val="00D47097"/>
    <w:rsid w:val="00D472A0"/>
    <w:rsid w:val="00D4779E"/>
    <w:rsid w:val="00D4798A"/>
    <w:rsid w:val="00D50D6D"/>
    <w:rsid w:val="00D512A8"/>
    <w:rsid w:val="00D519D0"/>
    <w:rsid w:val="00D51A30"/>
    <w:rsid w:val="00D51C7A"/>
    <w:rsid w:val="00D52F58"/>
    <w:rsid w:val="00D53079"/>
    <w:rsid w:val="00D5328E"/>
    <w:rsid w:val="00D539CA"/>
    <w:rsid w:val="00D53A6D"/>
    <w:rsid w:val="00D53C4B"/>
    <w:rsid w:val="00D53C9B"/>
    <w:rsid w:val="00D53F69"/>
    <w:rsid w:val="00D545B4"/>
    <w:rsid w:val="00D549C9"/>
    <w:rsid w:val="00D551A9"/>
    <w:rsid w:val="00D553EE"/>
    <w:rsid w:val="00D55D99"/>
    <w:rsid w:val="00D56675"/>
    <w:rsid w:val="00D5694F"/>
    <w:rsid w:val="00D57433"/>
    <w:rsid w:val="00D57DC9"/>
    <w:rsid w:val="00D62714"/>
    <w:rsid w:val="00D62F00"/>
    <w:rsid w:val="00D63162"/>
    <w:rsid w:val="00D63D01"/>
    <w:rsid w:val="00D648B6"/>
    <w:rsid w:val="00D64DFE"/>
    <w:rsid w:val="00D65334"/>
    <w:rsid w:val="00D6623C"/>
    <w:rsid w:val="00D6702E"/>
    <w:rsid w:val="00D6750F"/>
    <w:rsid w:val="00D67539"/>
    <w:rsid w:val="00D67D34"/>
    <w:rsid w:val="00D7010A"/>
    <w:rsid w:val="00D70BB1"/>
    <w:rsid w:val="00D712FA"/>
    <w:rsid w:val="00D71377"/>
    <w:rsid w:val="00D7141F"/>
    <w:rsid w:val="00D718B8"/>
    <w:rsid w:val="00D71F69"/>
    <w:rsid w:val="00D72CEE"/>
    <w:rsid w:val="00D7323D"/>
    <w:rsid w:val="00D7430F"/>
    <w:rsid w:val="00D76239"/>
    <w:rsid w:val="00D764B7"/>
    <w:rsid w:val="00D76F41"/>
    <w:rsid w:val="00D7719C"/>
    <w:rsid w:val="00D77EF7"/>
    <w:rsid w:val="00D80089"/>
    <w:rsid w:val="00D80136"/>
    <w:rsid w:val="00D801E7"/>
    <w:rsid w:val="00D80367"/>
    <w:rsid w:val="00D807A2"/>
    <w:rsid w:val="00D809E4"/>
    <w:rsid w:val="00D81710"/>
    <w:rsid w:val="00D8188F"/>
    <w:rsid w:val="00D8194B"/>
    <w:rsid w:val="00D819A8"/>
    <w:rsid w:val="00D82780"/>
    <w:rsid w:val="00D82839"/>
    <w:rsid w:val="00D82BA0"/>
    <w:rsid w:val="00D82C9A"/>
    <w:rsid w:val="00D83176"/>
    <w:rsid w:val="00D835F2"/>
    <w:rsid w:val="00D83C0B"/>
    <w:rsid w:val="00D84C49"/>
    <w:rsid w:val="00D858BB"/>
    <w:rsid w:val="00D85DA5"/>
    <w:rsid w:val="00D85EFE"/>
    <w:rsid w:val="00D869EC"/>
    <w:rsid w:val="00D86A22"/>
    <w:rsid w:val="00D8761D"/>
    <w:rsid w:val="00D87FFD"/>
    <w:rsid w:val="00D90FCD"/>
    <w:rsid w:val="00D916FE"/>
    <w:rsid w:val="00D918D5"/>
    <w:rsid w:val="00D91E92"/>
    <w:rsid w:val="00D91ED7"/>
    <w:rsid w:val="00D91FF3"/>
    <w:rsid w:val="00D92354"/>
    <w:rsid w:val="00D926FE"/>
    <w:rsid w:val="00D92C26"/>
    <w:rsid w:val="00D930A3"/>
    <w:rsid w:val="00D93369"/>
    <w:rsid w:val="00D94FAF"/>
    <w:rsid w:val="00D96BC2"/>
    <w:rsid w:val="00D97F2C"/>
    <w:rsid w:val="00DA1674"/>
    <w:rsid w:val="00DA1819"/>
    <w:rsid w:val="00DA1A99"/>
    <w:rsid w:val="00DA1EC6"/>
    <w:rsid w:val="00DA1FBE"/>
    <w:rsid w:val="00DA405A"/>
    <w:rsid w:val="00DA4416"/>
    <w:rsid w:val="00DA548E"/>
    <w:rsid w:val="00DA5D1D"/>
    <w:rsid w:val="00DA620A"/>
    <w:rsid w:val="00DA692B"/>
    <w:rsid w:val="00DA6C57"/>
    <w:rsid w:val="00DA7284"/>
    <w:rsid w:val="00DA734B"/>
    <w:rsid w:val="00DB05B6"/>
    <w:rsid w:val="00DB075A"/>
    <w:rsid w:val="00DB1536"/>
    <w:rsid w:val="00DB1990"/>
    <w:rsid w:val="00DB226C"/>
    <w:rsid w:val="00DB2278"/>
    <w:rsid w:val="00DB2354"/>
    <w:rsid w:val="00DB2384"/>
    <w:rsid w:val="00DB2D23"/>
    <w:rsid w:val="00DB3425"/>
    <w:rsid w:val="00DB3643"/>
    <w:rsid w:val="00DB4113"/>
    <w:rsid w:val="00DB45F2"/>
    <w:rsid w:val="00DB51A6"/>
    <w:rsid w:val="00DB5386"/>
    <w:rsid w:val="00DB57CF"/>
    <w:rsid w:val="00DB593A"/>
    <w:rsid w:val="00DB62B1"/>
    <w:rsid w:val="00DB69F3"/>
    <w:rsid w:val="00DB6AF2"/>
    <w:rsid w:val="00DB6BA9"/>
    <w:rsid w:val="00DB7F11"/>
    <w:rsid w:val="00DC0042"/>
    <w:rsid w:val="00DC0ACF"/>
    <w:rsid w:val="00DC17B9"/>
    <w:rsid w:val="00DC18F1"/>
    <w:rsid w:val="00DC2346"/>
    <w:rsid w:val="00DC2A27"/>
    <w:rsid w:val="00DC2FB1"/>
    <w:rsid w:val="00DC30B2"/>
    <w:rsid w:val="00DC3406"/>
    <w:rsid w:val="00DC34B8"/>
    <w:rsid w:val="00DC38F2"/>
    <w:rsid w:val="00DC3C93"/>
    <w:rsid w:val="00DC4653"/>
    <w:rsid w:val="00DC48D6"/>
    <w:rsid w:val="00DC4998"/>
    <w:rsid w:val="00DC516E"/>
    <w:rsid w:val="00DC5671"/>
    <w:rsid w:val="00DC5C6C"/>
    <w:rsid w:val="00DC621E"/>
    <w:rsid w:val="00DC6637"/>
    <w:rsid w:val="00DC7334"/>
    <w:rsid w:val="00DC7620"/>
    <w:rsid w:val="00DC791B"/>
    <w:rsid w:val="00DC7AD2"/>
    <w:rsid w:val="00DC7D8E"/>
    <w:rsid w:val="00DD0365"/>
    <w:rsid w:val="00DD0420"/>
    <w:rsid w:val="00DD240D"/>
    <w:rsid w:val="00DD24B6"/>
    <w:rsid w:val="00DD2546"/>
    <w:rsid w:val="00DD2B36"/>
    <w:rsid w:val="00DD2E25"/>
    <w:rsid w:val="00DD3110"/>
    <w:rsid w:val="00DD3E89"/>
    <w:rsid w:val="00DD40B6"/>
    <w:rsid w:val="00DD41BB"/>
    <w:rsid w:val="00DD4251"/>
    <w:rsid w:val="00DD4329"/>
    <w:rsid w:val="00DD495A"/>
    <w:rsid w:val="00DD7605"/>
    <w:rsid w:val="00DE0E15"/>
    <w:rsid w:val="00DE2102"/>
    <w:rsid w:val="00DE211F"/>
    <w:rsid w:val="00DE31FB"/>
    <w:rsid w:val="00DE3BC1"/>
    <w:rsid w:val="00DE4174"/>
    <w:rsid w:val="00DE4A20"/>
    <w:rsid w:val="00DE531D"/>
    <w:rsid w:val="00DE55E7"/>
    <w:rsid w:val="00DE5EAE"/>
    <w:rsid w:val="00DE6F42"/>
    <w:rsid w:val="00DE7234"/>
    <w:rsid w:val="00DE74EA"/>
    <w:rsid w:val="00DE7E57"/>
    <w:rsid w:val="00DF0713"/>
    <w:rsid w:val="00DF0A0E"/>
    <w:rsid w:val="00DF13A5"/>
    <w:rsid w:val="00DF1677"/>
    <w:rsid w:val="00DF2183"/>
    <w:rsid w:val="00DF224B"/>
    <w:rsid w:val="00DF24C7"/>
    <w:rsid w:val="00DF251D"/>
    <w:rsid w:val="00DF25F3"/>
    <w:rsid w:val="00DF2677"/>
    <w:rsid w:val="00DF2773"/>
    <w:rsid w:val="00DF29FB"/>
    <w:rsid w:val="00DF2EA8"/>
    <w:rsid w:val="00DF3724"/>
    <w:rsid w:val="00DF3E42"/>
    <w:rsid w:val="00DF4A18"/>
    <w:rsid w:val="00DF4DF9"/>
    <w:rsid w:val="00DF50F5"/>
    <w:rsid w:val="00DF544A"/>
    <w:rsid w:val="00DF60CC"/>
    <w:rsid w:val="00DF6336"/>
    <w:rsid w:val="00DF6B7C"/>
    <w:rsid w:val="00DF6E9F"/>
    <w:rsid w:val="00DF78D3"/>
    <w:rsid w:val="00E005DB"/>
    <w:rsid w:val="00E0099F"/>
    <w:rsid w:val="00E01272"/>
    <w:rsid w:val="00E0178B"/>
    <w:rsid w:val="00E01C4D"/>
    <w:rsid w:val="00E0211E"/>
    <w:rsid w:val="00E02268"/>
    <w:rsid w:val="00E022D0"/>
    <w:rsid w:val="00E02B0D"/>
    <w:rsid w:val="00E03E88"/>
    <w:rsid w:val="00E040E1"/>
    <w:rsid w:val="00E042E1"/>
    <w:rsid w:val="00E043CD"/>
    <w:rsid w:val="00E045BF"/>
    <w:rsid w:val="00E04E6E"/>
    <w:rsid w:val="00E05451"/>
    <w:rsid w:val="00E0545D"/>
    <w:rsid w:val="00E056F2"/>
    <w:rsid w:val="00E058BB"/>
    <w:rsid w:val="00E05CD7"/>
    <w:rsid w:val="00E0701F"/>
    <w:rsid w:val="00E100A5"/>
    <w:rsid w:val="00E10A65"/>
    <w:rsid w:val="00E1104C"/>
    <w:rsid w:val="00E11BD8"/>
    <w:rsid w:val="00E11CE7"/>
    <w:rsid w:val="00E11E27"/>
    <w:rsid w:val="00E11F7F"/>
    <w:rsid w:val="00E12007"/>
    <w:rsid w:val="00E13082"/>
    <w:rsid w:val="00E1452F"/>
    <w:rsid w:val="00E14875"/>
    <w:rsid w:val="00E15058"/>
    <w:rsid w:val="00E15FF8"/>
    <w:rsid w:val="00E165E2"/>
    <w:rsid w:val="00E166BC"/>
    <w:rsid w:val="00E16951"/>
    <w:rsid w:val="00E169EF"/>
    <w:rsid w:val="00E16A43"/>
    <w:rsid w:val="00E20599"/>
    <w:rsid w:val="00E20A3A"/>
    <w:rsid w:val="00E21116"/>
    <w:rsid w:val="00E2187F"/>
    <w:rsid w:val="00E235C6"/>
    <w:rsid w:val="00E2365F"/>
    <w:rsid w:val="00E23BC6"/>
    <w:rsid w:val="00E24067"/>
    <w:rsid w:val="00E244CA"/>
    <w:rsid w:val="00E2499E"/>
    <w:rsid w:val="00E25546"/>
    <w:rsid w:val="00E262F0"/>
    <w:rsid w:val="00E2656E"/>
    <w:rsid w:val="00E26726"/>
    <w:rsid w:val="00E27104"/>
    <w:rsid w:val="00E27550"/>
    <w:rsid w:val="00E27811"/>
    <w:rsid w:val="00E30BCD"/>
    <w:rsid w:val="00E30CFF"/>
    <w:rsid w:val="00E33503"/>
    <w:rsid w:val="00E335CD"/>
    <w:rsid w:val="00E33A9C"/>
    <w:rsid w:val="00E33F9B"/>
    <w:rsid w:val="00E34073"/>
    <w:rsid w:val="00E341E0"/>
    <w:rsid w:val="00E34389"/>
    <w:rsid w:val="00E344FA"/>
    <w:rsid w:val="00E35408"/>
    <w:rsid w:val="00E35542"/>
    <w:rsid w:val="00E35858"/>
    <w:rsid w:val="00E35989"/>
    <w:rsid w:val="00E35AAE"/>
    <w:rsid w:val="00E360E8"/>
    <w:rsid w:val="00E3662C"/>
    <w:rsid w:val="00E36CCC"/>
    <w:rsid w:val="00E37EC2"/>
    <w:rsid w:val="00E37F00"/>
    <w:rsid w:val="00E40B21"/>
    <w:rsid w:val="00E41106"/>
    <w:rsid w:val="00E4123F"/>
    <w:rsid w:val="00E41327"/>
    <w:rsid w:val="00E425FC"/>
    <w:rsid w:val="00E4268A"/>
    <w:rsid w:val="00E42AF3"/>
    <w:rsid w:val="00E42E17"/>
    <w:rsid w:val="00E42E3C"/>
    <w:rsid w:val="00E4344D"/>
    <w:rsid w:val="00E4353D"/>
    <w:rsid w:val="00E4356D"/>
    <w:rsid w:val="00E435A8"/>
    <w:rsid w:val="00E43662"/>
    <w:rsid w:val="00E4387F"/>
    <w:rsid w:val="00E43E2E"/>
    <w:rsid w:val="00E43F6E"/>
    <w:rsid w:val="00E4438B"/>
    <w:rsid w:val="00E4446E"/>
    <w:rsid w:val="00E44840"/>
    <w:rsid w:val="00E44B6C"/>
    <w:rsid w:val="00E45013"/>
    <w:rsid w:val="00E459A6"/>
    <w:rsid w:val="00E4618B"/>
    <w:rsid w:val="00E4660F"/>
    <w:rsid w:val="00E47077"/>
    <w:rsid w:val="00E47345"/>
    <w:rsid w:val="00E47760"/>
    <w:rsid w:val="00E477CD"/>
    <w:rsid w:val="00E47CC7"/>
    <w:rsid w:val="00E47E80"/>
    <w:rsid w:val="00E47F7E"/>
    <w:rsid w:val="00E50065"/>
    <w:rsid w:val="00E5012A"/>
    <w:rsid w:val="00E505D1"/>
    <w:rsid w:val="00E507DD"/>
    <w:rsid w:val="00E50F2D"/>
    <w:rsid w:val="00E5162D"/>
    <w:rsid w:val="00E52766"/>
    <w:rsid w:val="00E53247"/>
    <w:rsid w:val="00E53B11"/>
    <w:rsid w:val="00E54AFC"/>
    <w:rsid w:val="00E555B7"/>
    <w:rsid w:val="00E5577F"/>
    <w:rsid w:val="00E55998"/>
    <w:rsid w:val="00E55C1B"/>
    <w:rsid w:val="00E55CD0"/>
    <w:rsid w:val="00E564EA"/>
    <w:rsid w:val="00E56C6D"/>
    <w:rsid w:val="00E56D0F"/>
    <w:rsid w:val="00E56D43"/>
    <w:rsid w:val="00E56DD0"/>
    <w:rsid w:val="00E57087"/>
    <w:rsid w:val="00E57AD8"/>
    <w:rsid w:val="00E60017"/>
    <w:rsid w:val="00E60050"/>
    <w:rsid w:val="00E6011F"/>
    <w:rsid w:val="00E60564"/>
    <w:rsid w:val="00E60B2E"/>
    <w:rsid w:val="00E61414"/>
    <w:rsid w:val="00E614DA"/>
    <w:rsid w:val="00E61595"/>
    <w:rsid w:val="00E61F05"/>
    <w:rsid w:val="00E62049"/>
    <w:rsid w:val="00E62B2B"/>
    <w:rsid w:val="00E6343B"/>
    <w:rsid w:val="00E635E1"/>
    <w:rsid w:val="00E6390E"/>
    <w:rsid w:val="00E639E6"/>
    <w:rsid w:val="00E63BA8"/>
    <w:rsid w:val="00E6410A"/>
    <w:rsid w:val="00E64435"/>
    <w:rsid w:val="00E64436"/>
    <w:rsid w:val="00E647C5"/>
    <w:rsid w:val="00E647FC"/>
    <w:rsid w:val="00E65079"/>
    <w:rsid w:val="00E65A09"/>
    <w:rsid w:val="00E65D46"/>
    <w:rsid w:val="00E65F67"/>
    <w:rsid w:val="00E66195"/>
    <w:rsid w:val="00E661FC"/>
    <w:rsid w:val="00E666FC"/>
    <w:rsid w:val="00E672FD"/>
    <w:rsid w:val="00E67639"/>
    <w:rsid w:val="00E7004E"/>
    <w:rsid w:val="00E70870"/>
    <w:rsid w:val="00E709D8"/>
    <w:rsid w:val="00E70E8D"/>
    <w:rsid w:val="00E7117E"/>
    <w:rsid w:val="00E714EC"/>
    <w:rsid w:val="00E71568"/>
    <w:rsid w:val="00E72146"/>
    <w:rsid w:val="00E7232D"/>
    <w:rsid w:val="00E724C1"/>
    <w:rsid w:val="00E72D1F"/>
    <w:rsid w:val="00E7300C"/>
    <w:rsid w:val="00E731E5"/>
    <w:rsid w:val="00E749A2"/>
    <w:rsid w:val="00E74E87"/>
    <w:rsid w:val="00E75B2C"/>
    <w:rsid w:val="00E75C4F"/>
    <w:rsid w:val="00E75DF6"/>
    <w:rsid w:val="00E75FC3"/>
    <w:rsid w:val="00E77B8C"/>
    <w:rsid w:val="00E80213"/>
    <w:rsid w:val="00E802A6"/>
    <w:rsid w:val="00E8085E"/>
    <w:rsid w:val="00E80944"/>
    <w:rsid w:val="00E80F03"/>
    <w:rsid w:val="00E810AB"/>
    <w:rsid w:val="00E81B8D"/>
    <w:rsid w:val="00E81DD1"/>
    <w:rsid w:val="00E822EA"/>
    <w:rsid w:val="00E8238F"/>
    <w:rsid w:val="00E82E22"/>
    <w:rsid w:val="00E831E8"/>
    <w:rsid w:val="00E832AF"/>
    <w:rsid w:val="00E832BA"/>
    <w:rsid w:val="00E832D3"/>
    <w:rsid w:val="00E83342"/>
    <w:rsid w:val="00E83367"/>
    <w:rsid w:val="00E83BC7"/>
    <w:rsid w:val="00E84092"/>
    <w:rsid w:val="00E8421C"/>
    <w:rsid w:val="00E84429"/>
    <w:rsid w:val="00E84E09"/>
    <w:rsid w:val="00E84F75"/>
    <w:rsid w:val="00E85930"/>
    <w:rsid w:val="00E859A1"/>
    <w:rsid w:val="00E859CB"/>
    <w:rsid w:val="00E859D1"/>
    <w:rsid w:val="00E85A37"/>
    <w:rsid w:val="00E85A3D"/>
    <w:rsid w:val="00E85CDC"/>
    <w:rsid w:val="00E864F2"/>
    <w:rsid w:val="00E8663A"/>
    <w:rsid w:val="00E86EB6"/>
    <w:rsid w:val="00E8721E"/>
    <w:rsid w:val="00E8783D"/>
    <w:rsid w:val="00E9042D"/>
    <w:rsid w:val="00E9054A"/>
    <w:rsid w:val="00E908FD"/>
    <w:rsid w:val="00E91316"/>
    <w:rsid w:val="00E91736"/>
    <w:rsid w:val="00E919C4"/>
    <w:rsid w:val="00E92093"/>
    <w:rsid w:val="00E92564"/>
    <w:rsid w:val="00E925BA"/>
    <w:rsid w:val="00E93AB0"/>
    <w:rsid w:val="00E947B2"/>
    <w:rsid w:val="00E94C1C"/>
    <w:rsid w:val="00E94E00"/>
    <w:rsid w:val="00E94FB0"/>
    <w:rsid w:val="00E95D8B"/>
    <w:rsid w:val="00E960F4"/>
    <w:rsid w:val="00E964BD"/>
    <w:rsid w:val="00E96512"/>
    <w:rsid w:val="00E96952"/>
    <w:rsid w:val="00E96EED"/>
    <w:rsid w:val="00E972CC"/>
    <w:rsid w:val="00E97616"/>
    <w:rsid w:val="00EA00FA"/>
    <w:rsid w:val="00EA08EB"/>
    <w:rsid w:val="00EA0A82"/>
    <w:rsid w:val="00EA196C"/>
    <w:rsid w:val="00EA1B69"/>
    <w:rsid w:val="00EA21B4"/>
    <w:rsid w:val="00EA221F"/>
    <w:rsid w:val="00EA2A2A"/>
    <w:rsid w:val="00EA2D9C"/>
    <w:rsid w:val="00EA3C46"/>
    <w:rsid w:val="00EA3D09"/>
    <w:rsid w:val="00EA3E30"/>
    <w:rsid w:val="00EA4017"/>
    <w:rsid w:val="00EA492A"/>
    <w:rsid w:val="00EA562F"/>
    <w:rsid w:val="00EA5FB1"/>
    <w:rsid w:val="00EA620B"/>
    <w:rsid w:val="00EA6371"/>
    <w:rsid w:val="00EA6BBA"/>
    <w:rsid w:val="00EA6BBE"/>
    <w:rsid w:val="00EA6C19"/>
    <w:rsid w:val="00EA6E4C"/>
    <w:rsid w:val="00EA7373"/>
    <w:rsid w:val="00EA7A54"/>
    <w:rsid w:val="00EA7A8F"/>
    <w:rsid w:val="00EA7C86"/>
    <w:rsid w:val="00EB01C1"/>
    <w:rsid w:val="00EB127C"/>
    <w:rsid w:val="00EB2D7D"/>
    <w:rsid w:val="00EB5757"/>
    <w:rsid w:val="00EB57FA"/>
    <w:rsid w:val="00EB67DA"/>
    <w:rsid w:val="00EB6C13"/>
    <w:rsid w:val="00EB6D4F"/>
    <w:rsid w:val="00EB7700"/>
    <w:rsid w:val="00EB7735"/>
    <w:rsid w:val="00EB7876"/>
    <w:rsid w:val="00EB7DDF"/>
    <w:rsid w:val="00EC082C"/>
    <w:rsid w:val="00EC1370"/>
    <w:rsid w:val="00EC1699"/>
    <w:rsid w:val="00EC1C54"/>
    <w:rsid w:val="00EC3439"/>
    <w:rsid w:val="00EC3840"/>
    <w:rsid w:val="00EC3B14"/>
    <w:rsid w:val="00EC477E"/>
    <w:rsid w:val="00EC4B1D"/>
    <w:rsid w:val="00EC4CBF"/>
    <w:rsid w:val="00EC5387"/>
    <w:rsid w:val="00EC56B4"/>
    <w:rsid w:val="00EC595F"/>
    <w:rsid w:val="00EC5C05"/>
    <w:rsid w:val="00EC65AE"/>
    <w:rsid w:val="00EC6C56"/>
    <w:rsid w:val="00EC715C"/>
    <w:rsid w:val="00ED0038"/>
    <w:rsid w:val="00ED0133"/>
    <w:rsid w:val="00ED0B81"/>
    <w:rsid w:val="00ED0DA0"/>
    <w:rsid w:val="00ED0DAA"/>
    <w:rsid w:val="00ED0F9F"/>
    <w:rsid w:val="00ED13FA"/>
    <w:rsid w:val="00ED14F9"/>
    <w:rsid w:val="00ED1AD6"/>
    <w:rsid w:val="00ED1FEB"/>
    <w:rsid w:val="00ED22AB"/>
    <w:rsid w:val="00ED2A0F"/>
    <w:rsid w:val="00ED2CCD"/>
    <w:rsid w:val="00ED3B8B"/>
    <w:rsid w:val="00ED3DD6"/>
    <w:rsid w:val="00ED5158"/>
    <w:rsid w:val="00ED54DE"/>
    <w:rsid w:val="00ED5F8A"/>
    <w:rsid w:val="00ED6A7D"/>
    <w:rsid w:val="00ED7FF8"/>
    <w:rsid w:val="00EE062D"/>
    <w:rsid w:val="00EE06C9"/>
    <w:rsid w:val="00EE1487"/>
    <w:rsid w:val="00EE1495"/>
    <w:rsid w:val="00EE15C3"/>
    <w:rsid w:val="00EE1E13"/>
    <w:rsid w:val="00EE2296"/>
    <w:rsid w:val="00EE2457"/>
    <w:rsid w:val="00EE26CA"/>
    <w:rsid w:val="00EE2BD9"/>
    <w:rsid w:val="00EE2F15"/>
    <w:rsid w:val="00EE2F9A"/>
    <w:rsid w:val="00EE3334"/>
    <w:rsid w:val="00EE3663"/>
    <w:rsid w:val="00EE3755"/>
    <w:rsid w:val="00EE3EC4"/>
    <w:rsid w:val="00EE3EF1"/>
    <w:rsid w:val="00EE418B"/>
    <w:rsid w:val="00EE426E"/>
    <w:rsid w:val="00EE4961"/>
    <w:rsid w:val="00EE50C8"/>
    <w:rsid w:val="00EE528A"/>
    <w:rsid w:val="00EE52B0"/>
    <w:rsid w:val="00EE5A5A"/>
    <w:rsid w:val="00EE5F3F"/>
    <w:rsid w:val="00EE6234"/>
    <w:rsid w:val="00EE62C7"/>
    <w:rsid w:val="00EE68D7"/>
    <w:rsid w:val="00EE76EF"/>
    <w:rsid w:val="00EE78AC"/>
    <w:rsid w:val="00EF043B"/>
    <w:rsid w:val="00EF119C"/>
    <w:rsid w:val="00EF17C0"/>
    <w:rsid w:val="00EF1F5E"/>
    <w:rsid w:val="00EF1F86"/>
    <w:rsid w:val="00EF217F"/>
    <w:rsid w:val="00EF22F4"/>
    <w:rsid w:val="00EF23C5"/>
    <w:rsid w:val="00EF2447"/>
    <w:rsid w:val="00EF2470"/>
    <w:rsid w:val="00EF2B26"/>
    <w:rsid w:val="00EF2C49"/>
    <w:rsid w:val="00EF2E5F"/>
    <w:rsid w:val="00EF2ECC"/>
    <w:rsid w:val="00EF330F"/>
    <w:rsid w:val="00EF3510"/>
    <w:rsid w:val="00EF39C1"/>
    <w:rsid w:val="00EF4225"/>
    <w:rsid w:val="00EF45B4"/>
    <w:rsid w:val="00EF49F1"/>
    <w:rsid w:val="00EF5329"/>
    <w:rsid w:val="00EF5D72"/>
    <w:rsid w:val="00EF624F"/>
    <w:rsid w:val="00EF66D1"/>
    <w:rsid w:val="00EF6C29"/>
    <w:rsid w:val="00EF6F3C"/>
    <w:rsid w:val="00EF72C9"/>
    <w:rsid w:val="00EF7472"/>
    <w:rsid w:val="00EF787B"/>
    <w:rsid w:val="00F005CC"/>
    <w:rsid w:val="00F00737"/>
    <w:rsid w:val="00F008E3"/>
    <w:rsid w:val="00F010E9"/>
    <w:rsid w:val="00F011EB"/>
    <w:rsid w:val="00F0198B"/>
    <w:rsid w:val="00F029A7"/>
    <w:rsid w:val="00F02AF9"/>
    <w:rsid w:val="00F02F39"/>
    <w:rsid w:val="00F0311F"/>
    <w:rsid w:val="00F03317"/>
    <w:rsid w:val="00F039F7"/>
    <w:rsid w:val="00F03B14"/>
    <w:rsid w:val="00F0435A"/>
    <w:rsid w:val="00F044D0"/>
    <w:rsid w:val="00F04C5E"/>
    <w:rsid w:val="00F04D2A"/>
    <w:rsid w:val="00F052B6"/>
    <w:rsid w:val="00F05427"/>
    <w:rsid w:val="00F05A42"/>
    <w:rsid w:val="00F05FC4"/>
    <w:rsid w:val="00F06325"/>
    <w:rsid w:val="00F0658A"/>
    <w:rsid w:val="00F06D1A"/>
    <w:rsid w:val="00F06F95"/>
    <w:rsid w:val="00F07EEE"/>
    <w:rsid w:val="00F10459"/>
    <w:rsid w:val="00F110BB"/>
    <w:rsid w:val="00F111E7"/>
    <w:rsid w:val="00F112CA"/>
    <w:rsid w:val="00F13443"/>
    <w:rsid w:val="00F13451"/>
    <w:rsid w:val="00F1387F"/>
    <w:rsid w:val="00F139D1"/>
    <w:rsid w:val="00F142DB"/>
    <w:rsid w:val="00F14354"/>
    <w:rsid w:val="00F1512A"/>
    <w:rsid w:val="00F151C6"/>
    <w:rsid w:val="00F152FE"/>
    <w:rsid w:val="00F15ABB"/>
    <w:rsid w:val="00F1620B"/>
    <w:rsid w:val="00F165CE"/>
    <w:rsid w:val="00F20040"/>
    <w:rsid w:val="00F203EF"/>
    <w:rsid w:val="00F2067F"/>
    <w:rsid w:val="00F208F2"/>
    <w:rsid w:val="00F210DE"/>
    <w:rsid w:val="00F21183"/>
    <w:rsid w:val="00F212ED"/>
    <w:rsid w:val="00F21FBA"/>
    <w:rsid w:val="00F221B6"/>
    <w:rsid w:val="00F222CC"/>
    <w:rsid w:val="00F22C8A"/>
    <w:rsid w:val="00F23714"/>
    <w:rsid w:val="00F24523"/>
    <w:rsid w:val="00F26305"/>
    <w:rsid w:val="00F2728C"/>
    <w:rsid w:val="00F27499"/>
    <w:rsid w:val="00F27FB2"/>
    <w:rsid w:val="00F30071"/>
    <w:rsid w:val="00F31161"/>
    <w:rsid w:val="00F32597"/>
    <w:rsid w:val="00F32B09"/>
    <w:rsid w:val="00F32C21"/>
    <w:rsid w:val="00F3300D"/>
    <w:rsid w:val="00F337C2"/>
    <w:rsid w:val="00F33C27"/>
    <w:rsid w:val="00F34469"/>
    <w:rsid w:val="00F3460B"/>
    <w:rsid w:val="00F34B71"/>
    <w:rsid w:val="00F35BDF"/>
    <w:rsid w:val="00F35C76"/>
    <w:rsid w:val="00F36989"/>
    <w:rsid w:val="00F3699F"/>
    <w:rsid w:val="00F36FD2"/>
    <w:rsid w:val="00F36FF0"/>
    <w:rsid w:val="00F400C1"/>
    <w:rsid w:val="00F407A8"/>
    <w:rsid w:val="00F40CED"/>
    <w:rsid w:val="00F40F34"/>
    <w:rsid w:val="00F40FF3"/>
    <w:rsid w:val="00F4123D"/>
    <w:rsid w:val="00F41CCD"/>
    <w:rsid w:val="00F41DD5"/>
    <w:rsid w:val="00F41F8F"/>
    <w:rsid w:val="00F42CC6"/>
    <w:rsid w:val="00F42D41"/>
    <w:rsid w:val="00F43388"/>
    <w:rsid w:val="00F434A7"/>
    <w:rsid w:val="00F43521"/>
    <w:rsid w:val="00F43990"/>
    <w:rsid w:val="00F44088"/>
    <w:rsid w:val="00F440DF"/>
    <w:rsid w:val="00F44FA2"/>
    <w:rsid w:val="00F44FE4"/>
    <w:rsid w:val="00F454DA"/>
    <w:rsid w:val="00F45919"/>
    <w:rsid w:val="00F45DBC"/>
    <w:rsid w:val="00F47DF1"/>
    <w:rsid w:val="00F47E96"/>
    <w:rsid w:val="00F50332"/>
    <w:rsid w:val="00F5120B"/>
    <w:rsid w:val="00F51B12"/>
    <w:rsid w:val="00F51BC6"/>
    <w:rsid w:val="00F52230"/>
    <w:rsid w:val="00F523EC"/>
    <w:rsid w:val="00F524F8"/>
    <w:rsid w:val="00F52F5D"/>
    <w:rsid w:val="00F53E3E"/>
    <w:rsid w:val="00F549EA"/>
    <w:rsid w:val="00F54CA9"/>
    <w:rsid w:val="00F54D98"/>
    <w:rsid w:val="00F55163"/>
    <w:rsid w:val="00F552C9"/>
    <w:rsid w:val="00F55CFB"/>
    <w:rsid w:val="00F55D68"/>
    <w:rsid w:val="00F56204"/>
    <w:rsid w:val="00F562B8"/>
    <w:rsid w:val="00F5681C"/>
    <w:rsid w:val="00F575B1"/>
    <w:rsid w:val="00F57AE9"/>
    <w:rsid w:val="00F60BF7"/>
    <w:rsid w:val="00F60D59"/>
    <w:rsid w:val="00F61088"/>
    <w:rsid w:val="00F6171F"/>
    <w:rsid w:val="00F62418"/>
    <w:rsid w:val="00F627F8"/>
    <w:rsid w:val="00F629CD"/>
    <w:rsid w:val="00F63293"/>
    <w:rsid w:val="00F6367E"/>
    <w:rsid w:val="00F63B46"/>
    <w:rsid w:val="00F63B69"/>
    <w:rsid w:val="00F6416C"/>
    <w:rsid w:val="00F65175"/>
    <w:rsid w:val="00F65526"/>
    <w:rsid w:val="00F66716"/>
    <w:rsid w:val="00F66892"/>
    <w:rsid w:val="00F66E4B"/>
    <w:rsid w:val="00F67959"/>
    <w:rsid w:val="00F701C7"/>
    <w:rsid w:val="00F7143E"/>
    <w:rsid w:val="00F71483"/>
    <w:rsid w:val="00F71584"/>
    <w:rsid w:val="00F7165B"/>
    <w:rsid w:val="00F72241"/>
    <w:rsid w:val="00F72414"/>
    <w:rsid w:val="00F72A29"/>
    <w:rsid w:val="00F72B45"/>
    <w:rsid w:val="00F72CF6"/>
    <w:rsid w:val="00F73470"/>
    <w:rsid w:val="00F7382F"/>
    <w:rsid w:val="00F73A96"/>
    <w:rsid w:val="00F74061"/>
    <w:rsid w:val="00F74348"/>
    <w:rsid w:val="00F74803"/>
    <w:rsid w:val="00F74A4C"/>
    <w:rsid w:val="00F752ED"/>
    <w:rsid w:val="00F753E5"/>
    <w:rsid w:val="00F7562A"/>
    <w:rsid w:val="00F756D7"/>
    <w:rsid w:val="00F76350"/>
    <w:rsid w:val="00F7638F"/>
    <w:rsid w:val="00F76455"/>
    <w:rsid w:val="00F76D60"/>
    <w:rsid w:val="00F81225"/>
    <w:rsid w:val="00F8139A"/>
    <w:rsid w:val="00F814AF"/>
    <w:rsid w:val="00F8182B"/>
    <w:rsid w:val="00F82037"/>
    <w:rsid w:val="00F82345"/>
    <w:rsid w:val="00F82C6D"/>
    <w:rsid w:val="00F8301B"/>
    <w:rsid w:val="00F836F0"/>
    <w:rsid w:val="00F83A09"/>
    <w:rsid w:val="00F84770"/>
    <w:rsid w:val="00F84E67"/>
    <w:rsid w:val="00F85D30"/>
    <w:rsid w:val="00F85D59"/>
    <w:rsid w:val="00F85D6B"/>
    <w:rsid w:val="00F861F1"/>
    <w:rsid w:val="00F86DA9"/>
    <w:rsid w:val="00F87159"/>
    <w:rsid w:val="00F902C2"/>
    <w:rsid w:val="00F91AB9"/>
    <w:rsid w:val="00F91B76"/>
    <w:rsid w:val="00F91CF7"/>
    <w:rsid w:val="00F925EE"/>
    <w:rsid w:val="00F928C7"/>
    <w:rsid w:val="00F92F77"/>
    <w:rsid w:val="00F93CF6"/>
    <w:rsid w:val="00F93D0C"/>
    <w:rsid w:val="00F94164"/>
    <w:rsid w:val="00F945A4"/>
    <w:rsid w:val="00F949C7"/>
    <w:rsid w:val="00F950B9"/>
    <w:rsid w:val="00F95C7D"/>
    <w:rsid w:val="00F96123"/>
    <w:rsid w:val="00F96E37"/>
    <w:rsid w:val="00F9707F"/>
    <w:rsid w:val="00F970C2"/>
    <w:rsid w:val="00F979FB"/>
    <w:rsid w:val="00FA059D"/>
    <w:rsid w:val="00FA15B1"/>
    <w:rsid w:val="00FA19F9"/>
    <w:rsid w:val="00FA21C5"/>
    <w:rsid w:val="00FA2D62"/>
    <w:rsid w:val="00FA3018"/>
    <w:rsid w:val="00FA385C"/>
    <w:rsid w:val="00FA473F"/>
    <w:rsid w:val="00FA4D30"/>
    <w:rsid w:val="00FA4D91"/>
    <w:rsid w:val="00FA4FD7"/>
    <w:rsid w:val="00FA65F7"/>
    <w:rsid w:val="00FA6AB8"/>
    <w:rsid w:val="00FA74FC"/>
    <w:rsid w:val="00FB014B"/>
    <w:rsid w:val="00FB0448"/>
    <w:rsid w:val="00FB120C"/>
    <w:rsid w:val="00FB17A3"/>
    <w:rsid w:val="00FB2562"/>
    <w:rsid w:val="00FB2A1A"/>
    <w:rsid w:val="00FB4027"/>
    <w:rsid w:val="00FB50AA"/>
    <w:rsid w:val="00FB55D3"/>
    <w:rsid w:val="00FB627D"/>
    <w:rsid w:val="00FB685A"/>
    <w:rsid w:val="00FB7AEE"/>
    <w:rsid w:val="00FB7B35"/>
    <w:rsid w:val="00FB7E73"/>
    <w:rsid w:val="00FC0EF2"/>
    <w:rsid w:val="00FC0F26"/>
    <w:rsid w:val="00FC1CB0"/>
    <w:rsid w:val="00FC1CBC"/>
    <w:rsid w:val="00FC21EA"/>
    <w:rsid w:val="00FC250B"/>
    <w:rsid w:val="00FC27B2"/>
    <w:rsid w:val="00FC2AFB"/>
    <w:rsid w:val="00FC45EE"/>
    <w:rsid w:val="00FC4923"/>
    <w:rsid w:val="00FC4C48"/>
    <w:rsid w:val="00FC5414"/>
    <w:rsid w:val="00FC5891"/>
    <w:rsid w:val="00FC5C66"/>
    <w:rsid w:val="00FC5CEA"/>
    <w:rsid w:val="00FC5FA4"/>
    <w:rsid w:val="00FC64C7"/>
    <w:rsid w:val="00FC6609"/>
    <w:rsid w:val="00FC6702"/>
    <w:rsid w:val="00FC776C"/>
    <w:rsid w:val="00FC7861"/>
    <w:rsid w:val="00FD091B"/>
    <w:rsid w:val="00FD1657"/>
    <w:rsid w:val="00FD18EF"/>
    <w:rsid w:val="00FD19FD"/>
    <w:rsid w:val="00FD1B4E"/>
    <w:rsid w:val="00FD2A91"/>
    <w:rsid w:val="00FD2C7C"/>
    <w:rsid w:val="00FD2FE5"/>
    <w:rsid w:val="00FD3336"/>
    <w:rsid w:val="00FD35AA"/>
    <w:rsid w:val="00FD35FD"/>
    <w:rsid w:val="00FD3966"/>
    <w:rsid w:val="00FD42BD"/>
    <w:rsid w:val="00FD438B"/>
    <w:rsid w:val="00FD4E62"/>
    <w:rsid w:val="00FD4E80"/>
    <w:rsid w:val="00FD4FDC"/>
    <w:rsid w:val="00FD5290"/>
    <w:rsid w:val="00FD5C21"/>
    <w:rsid w:val="00FD5C50"/>
    <w:rsid w:val="00FD64AC"/>
    <w:rsid w:val="00FD6711"/>
    <w:rsid w:val="00FD773D"/>
    <w:rsid w:val="00FD79D5"/>
    <w:rsid w:val="00FE0269"/>
    <w:rsid w:val="00FE057B"/>
    <w:rsid w:val="00FE05AD"/>
    <w:rsid w:val="00FE05DD"/>
    <w:rsid w:val="00FE0684"/>
    <w:rsid w:val="00FE090D"/>
    <w:rsid w:val="00FE232A"/>
    <w:rsid w:val="00FE241B"/>
    <w:rsid w:val="00FE2430"/>
    <w:rsid w:val="00FE246D"/>
    <w:rsid w:val="00FE2793"/>
    <w:rsid w:val="00FE2D5E"/>
    <w:rsid w:val="00FE2FF4"/>
    <w:rsid w:val="00FE36AE"/>
    <w:rsid w:val="00FE376C"/>
    <w:rsid w:val="00FE3C85"/>
    <w:rsid w:val="00FE412E"/>
    <w:rsid w:val="00FE49E2"/>
    <w:rsid w:val="00FE4E4A"/>
    <w:rsid w:val="00FE60D1"/>
    <w:rsid w:val="00FE63F9"/>
    <w:rsid w:val="00FE6778"/>
    <w:rsid w:val="00FE6A97"/>
    <w:rsid w:val="00FE6DF6"/>
    <w:rsid w:val="00FE6E4A"/>
    <w:rsid w:val="00FE75F7"/>
    <w:rsid w:val="00FE766A"/>
    <w:rsid w:val="00FE7A1F"/>
    <w:rsid w:val="00FE7BB8"/>
    <w:rsid w:val="00FE7FD3"/>
    <w:rsid w:val="00FF042D"/>
    <w:rsid w:val="00FF0F5E"/>
    <w:rsid w:val="00FF141C"/>
    <w:rsid w:val="00FF1977"/>
    <w:rsid w:val="00FF1E59"/>
    <w:rsid w:val="00FF2088"/>
    <w:rsid w:val="00FF22F8"/>
    <w:rsid w:val="00FF2605"/>
    <w:rsid w:val="00FF2940"/>
    <w:rsid w:val="00FF2D85"/>
    <w:rsid w:val="00FF4472"/>
    <w:rsid w:val="00FF5671"/>
    <w:rsid w:val="00FF5AB4"/>
    <w:rsid w:val="00FF62C4"/>
    <w:rsid w:val="00FF66A3"/>
    <w:rsid w:val="00FF75C5"/>
    <w:rsid w:val="00FF779C"/>
    <w:rsid w:val="00FF7937"/>
    <w:rsid w:val="00FF7AC3"/>
    <w:rsid w:val="00FF7B50"/>
    <w:rsid w:val="00FF7CD4"/>
    <w:rsid w:val="5B785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4F8A7"/>
  <w15:chartTrackingRefBased/>
  <w15:docId w15:val="{6503F1ED-F4E7-47F6-97F2-C554750C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034"/>
    <w:rPr>
      <w:rFonts w:ascii="Calibri" w:hAnsi="Calibri" w:cs="Calibri"/>
      <w:color w:val="595959"/>
      <w:sz w:val="20"/>
    </w:rPr>
  </w:style>
  <w:style w:type="paragraph" w:styleId="Heading1">
    <w:name w:val="heading 1"/>
    <w:basedOn w:val="OpiniumHeading2"/>
    <w:next w:val="Normal"/>
    <w:link w:val="Heading1Char"/>
    <w:uiPriority w:val="9"/>
    <w:qFormat/>
    <w:rsid w:val="003E1AE4"/>
    <w:pPr>
      <w:numPr>
        <w:numId w:val="6"/>
      </w:numPr>
      <w:spacing w:after="360"/>
      <w:ind w:left="0" w:firstLine="0"/>
      <w:outlineLvl w:val="0"/>
    </w:pPr>
    <w:rPr>
      <w:color w:val="424242" w:themeColor="text1" w:themeShade="BF"/>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5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5500"/>
  </w:style>
  <w:style w:type="paragraph" w:styleId="Footer">
    <w:name w:val="footer"/>
    <w:basedOn w:val="Normal"/>
    <w:link w:val="FooterChar"/>
    <w:uiPriority w:val="99"/>
    <w:unhideWhenUsed/>
    <w:rsid w:val="000855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5500"/>
  </w:style>
  <w:style w:type="paragraph" w:styleId="BalloonText">
    <w:name w:val="Balloon Text"/>
    <w:basedOn w:val="Normal"/>
    <w:link w:val="BalloonTextChar"/>
    <w:uiPriority w:val="99"/>
    <w:semiHidden/>
    <w:unhideWhenUsed/>
    <w:rsid w:val="000855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500"/>
    <w:rPr>
      <w:rFonts w:ascii="Segoe UI" w:hAnsi="Segoe UI" w:cs="Segoe UI"/>
      <w:sz w:val="18"/>
      <w:szCs w:val="18"/>
    </w:rPr>
  </w:style>
  <w:style w:type="paragraph" w:styleId="NormalWeb">
    <w:name w:val="Normal (Web)"/>
    <w:basedOn w:val="Normal"/>
    <w:link w:val="NormalWebChar"/>
    <w:uiPriority w:val="99"/>
    <w:unhideWhenUsed/>
    <w:rsid w:val="000855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piniumHeading1">
    <w:name w:val="Opinium Heading 1"/>
    <w:basedOn w:val="NormalWeb"/>
    <w:link w:val="OpiniumHeading1Char"/>
    <w:qFormat/>
    <w:rsid w:val="00085500"/>
    <w:pPr>
      <w:overflowPunct w:val="0"/>
      <w:spacing w:before="0" w:beforeAutospacing="0" w:after="240" w:afterAutospacing="0"/>
    </w:pPr>
    <w:rPr>
      <w:rFonts w:ascii="Calibri" w:eastAsia="News Gothic MT" w:hAnsi="Calibri" w:cs="Calibri"/>
      <w:caps/>
      <w:color w:val="00B0F0"/>
      <w:spacing w:val="30"/>
      <w:position w:val="1"/>
      <w:sz w:val="44"/>
      <w:szCs w:val="72"/>
    </w:rPr>
  </w:style>
  <w:style w:type="paragraph" w:customStyle="1" w:styleId="OpiniumHeading2">
    <w:name w:val="Opinium Heading 2"/>
    <w:basedOn w:val="NormalWeb"/>
    <w:link w:val="OpiniumHeading2Char"/>
    <w:qFormat/>
    <w:rsid w:val="00085500"/>
    <w:pPr>
      <w:overflowPunct w:val="0"/>
      <w:spacing w:before="0" w:beforeAutospacing="0" w:after="480" w:afterAutospacing="0"/>
    </w:pPr>
    <w:rPr>
      <w:rFonts w:ascii="Calibri" w:eastAsia="News Gothic MT" w:hAnsi="Calibri" w:cs="Calibri"/>
      <w:caps/>
      <w:spacing w:val="30"/>
      <w:position w:val="1"/>
      <w:sz w:val="32"/>
      <w:szCs w:val="72"/>
    </w:rPr>
  </w:style>
  <w:style w:type="character" w:customStyle="1" w:styleId="NormalWebChar">
    <w:name w:val="Normal (Web) Char"/>
    <w:basedOn w:val="DefaultParagraphFont"/>
    <w:link w:val="NormalWeb"/>
    <w:uiPriority w:val="99"/>
    <w:rsid w:val="00085500"/>
    <w:rPr>
      <w:rFonts w:ascii="Times New Roman" w:eastAsia="Times New Roman" w:hAnsi="Times New Roman" w:cs="Times New Roman"/>
      <w:sz w:val="24"/>
      <w:szCs w:val="24"/>
      <w:lang w:eastAsia="en-GB"/>
    </w:rPr>
  </w:style>
  <w:style w:type="character" w:customStyle="1" w:styleId="OpiniumHeading1Char">
    <w:name w:val="Opinium Heading 1 Char"/>
    <w:basedOn w:val="NormalWebChar"/>
    <w:link w:val="OpiniumHeading1"/>
    <w:rsid w:val="00085500"/>
    <w:rPr>
      <w:rFonts w:ascii="Calibri" w:eastAsia="News Gothic MT" w:hAnsi="Calibri" w:cs="Calibri"/>
      <w:caps/>
      <w:color w:val="00B0F0"/>
      <w:spacing w:val="30"/>
      <w:position w:val="1"/>
      <w:sz w:val="44"/>
      <w:szCs w:val="72"/>
      <w:lang w:eastAsia="en-GB"/>
    </w:rPr>
  </w:style>
  <w:style w:type="paragraph" w:customStyle="1" w:styleId="OpiniumNormal">
    <w:name w:val="Opinium Normal"/>
    <w:basedOn w:val="Normal"/>
    <w:link w:val="OpiniumNormalChar"/>
    <w:qFormat/>
    <w:rsid w:val="00085500"/>
  </w:style>
  <w:style w:type="character" w:customStyle="1" w:styleId="OpiniumHeading2Char">
    <w:name w:val="Opinium Heading 2 Char"/>
    <w:basedOn w:val="NormalWebChar"/>
    <w:link w:val="OpiniumHeading2"/>
    <w:rsid w:val="00085500"/>
    <w:rPr>
      <w:rFonts w:ascii="Calibri" w:eastAsia="News Gothic MT" w:hAnsi="Calibri" w:cs="Calibri"/>
      <w:caps/>
      <w:color w:val="595959"/>
      <w:spacing w:val="30"/>
      <w:position w:val="1"/>
      <w:sz w:val="32"/>
      <w:szCs w:val="72"/>
      <w:lang w:eastAsia="en-GB"/>
    </w:rPr>
  </w:style>
  <w:style w:type="character" w:customStyle="1" w:styleId="OpiniumNormalChar">
    <w:name w:val="Opinium Normal Char"/>
    <w:basedOn w:val="DefaultParagraphFont"/>
    <w:link w:val="OpiniumNormal"/>
    <w:rsid w:val="00085500"/>
    <w:rPr>
      <w:rFonts w:ascii="Calibri" w:hAnsi="Calibri" w:cs="Calibri"/>
      <w:color w:val="595959"/>
      <w:sz w:val="20"/>
    </w:rPr>
  </w:style>
  <w:style w:type="paragraph" w:styleId="NoSpacing">
    <w:name w:val="No Spacing"/>
    <w:uiPriority w:val="1"/>
    <w:qFormat/>
    <w:rsid w:val="00BD05E4"/>
    <w:pPr>
      <w:spacing w:after="0" w:line="240" w:lineRule="auto"/>
    </w:pPr>
    <w:rPr>
      <w:color w:val="7F7F7F" w:themeColor="text2"/>
      <w:sz w:val="20"/>
      <w:szCs w:val="20"/>
      <w:lang w:val="en-US"/>
    </w:rPr>
  </w:style>
  <w:style w:type="character" w:styleId="PlaceholderText">
    <w:name w:val="Placeholder Text"/>
    <w:basedOn w:val="DefaultParagraphFont"/>
    <w:uiPriority w:val="99"/>
    <w:semiHidden/>
    <w:rsid w:val="00BD05E4"/>
    <w:rPr>
      <w:color w:val="808080"/>
    </w:rPr>
  </w:style>
  <w:style w:type="character" w:styleId="Hyperlink">
    <w:name w:val="Hyperlink"/>
    <w:basedOn w:val="DefaultParagraphFont"/>
    <w:uiPriority w:val="99"/>
    <w:unhideWhenUsed/>
    <w:rsid w:val="00ED5F8A"/>
    <w:rPr>
      <w:color w:val="00B0F0" w:themeColor="hyperlink"/>
      <w:u w:val="single"/>
    </w:rPr>
  </w:style>
  <w:style w:type="table" w:styleId="TableGrid">
    <w:name w:val="Table Grid"/>
    <w:basedOn w:val="TableNormal"/>
    <w:uiPriority w:val="39"/>
    <w:rsid w:val="00357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357AD3"/>
    <w:pPr>
      <w:spacing w:after="0" w:line="240" w:lineRule="auto"/>
    </w:pPr>
    <w:tblPr>
      <w:tblStyleRowBandSize w:val="1"/>
      <w:tblStyleColBandSize w:val="1"/>
      <w:tblBorders>
        <w:top w:val="single" w:sz="4" w:space="0" w:color="93E2FF" w:themeColor="accent1" w:themeTint="66"/>
        <w:left w:val="single" w:sz="4" w:space="0" w:color="93E2FF" w:themeColor="accent1" w:themeTint="66"/>
        <w:bottom w:val="single" w:sz="4" w:space="0" w:color="93E2FF" w:themeColor="accent1" w:themeTint="66"/>
        <w:right w:val="single" w:sz="4" w:space="0" w:color="93E2FF" w:themeColor="accent1" w:themeTint="66"/>
        <w:insideH w:val="single" w:sz="4" w:space="0" w:color="93E2FF" w:themeColor="accent1" w:themeTint="66"/>
        <w:insideV w:val="single" w:sz="4" w:space="0" w:color="93E2FF" w:themeColor="accent1" w:themeTint="66"/>
      </w:tblBorders>
    </w:tblPr>
    <w:tblStylePr w:type="firstRow">
      <w:rPr>
        <w:b/>
        <w:bCs/>
      </w:rPr>
      <w:tblPr/>
      <w:tcPr>
        <w:tcBorders>
          <w:bottom w:val="single" w:sz="12" w:space="0" w:color="5DD3FF" w:themeColor="accent1" w:themeTint="99"/>
        </w:tcBorders>
      </w:tcPr>
    </w:tblStylePr>
    <w:tblStylePr w:type="lastRow">
      <w:rPr>
        <w:b/>
        <w:bCs/>
      </w:rPr>
      <w:tblPr/>
      <w:tcPr>
        <w:tcBorders>
          <w:top w:val="double" w:sz="2" w:space="0" w:color="5DD3FF"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C0885"/>
    <w:rPr>
      <w:sz w:val="16"/>
      <w:szCs w:val="16"/>
    </w:rPr>
  </w:style>
  <w:style w:type="paragraph" w:styleId="CommentText">
    <w:name w:val="annotation text"/>
    <w:basedOn w:val="Normal"/>
    <w:link w:val="CommentTextChar"/>
    <w:uiPriority w:val="99"/>
    <w:unhideWhenUsed/>
    <w:rsid w:val="006C0885"/>
    <w:pPr>
      <w:spacing w:line="240" w:lineRule="auto"/>
    </w:pPr>
    <w:rPr>
      <w:szCs w:val="20"/>
    </w:rPr>
  </w:style>
  <w:style w:type="character" w:customStyle="1" w:styleId="CommentTextChar">
    <w:name w:val="Comment Text Char"/>
    <w:basedOn w:val="DefaultParagraphFont"/>
    <w:link w:val="CommentText"/>
    <w:uiPriority w:val="99"/>
    <w:rsid w:val="006C0885"/>
    <w:rPr>
      <w:rFonts w:ascii="Calibri" w:hAnsi="Calibri" w:cs="Calibri"/>
      <w:color w:val="595959"/>
      <w:sz w:val="20"/>
      <w:szCs w:val="20"/>
    </w:rPr>
  </w:style>
  <w:style w:type="paragraph" w:styleId="CommentSubject">
    <w:name w:val="annotation subject"/>
    <w:basedOn w:val="CommentText"/>
    <w:next w:val="CommentText"/>
    <w:link w:val="CommentSubjectChar"/>
    <w:uiPriority w:val="99"/>
    <w:semiHidden/>
    <w:unhideWhenUsed/>
    <w:rsid w:val="006C0885"/>
    <w:rPr>
      <w:b/>
      <w:bCs/>
    </w:rPr>
  </w:style>
  <w:style w:type="character" w:customStyle="1" w:styleId="CommentSubjectChar">
    <w:name w:val="Comment Subject Char"/>
    <w:basedOn w:val="CommentTextChar"/>
    <w:link w:val="CommentSubject"/>
    <w:uiPriority w:val="99"/>
    <w:semiHidden/>
    <w:rsid w:val="006C0885"/>
    <w:rPr>
      <w:rFonts w:ascii="Calibri" w:hAnsi="Calibri" w:cs="Calibri"/>
      <w:b/>
      <w:bCs/>
      <w:color w:val="595959"/>
      <w:sz w:val="20"/>
      <w:szCs w:val="20"/>
    </w:rPr>
  </w:style>
  <w:style w:type="paragraph" w:customStyle="1" w:styleId="Bullet-List">
    <w:name w:val="Bullet-List"/>
    <w:basedOn w:val="OpiniumNormal"/>
    <w:link w:val="Bullet-ListChar"/>
    <w:qFormat/>
    <w:rsid w:val="00C37D0C"/>
    <w:pPr>
      <w:numPr>
        <w:numId w:val="4"/>
      </w:numPr>
      <w:spacing w:after="0"/>
      <w:ind w:left="1418" w:right="1656"/>
    </w:pPr>
  </w:style>
  <w:style w:type="character" w:customStyle="1" w:styleId="Bullet-ListChar">
    <w:name w:val="Bullet-List Char"/>
    <w:basedOn w:val="OpiniumNormalChar"/>
    <w:link w:val="Bullet-List"/>
    <w:rsid w:val="00C37D0C"/>
    <w:rPr>
      <w:rFonts w:ascii="Calibri" w:hAnsi="Calibri" w:cs="Calibri"/>
      <w:color w:val="595959"/>
      <w:sz w:val="20"/>
    </w:rPr>
  </w:style>
  <w:style w:type="table" w:customStyle="1" w:styleId="Opinium1">
    <w:name w:val="Opinium1"/>
    <w:basedOn w:val="TableNormal"/>
    <w:uiPriority w:val="99"/>
    <w:rsid w:val="002E68B2"/>
    <w:pPr>
      <w:spacing w:before="80" w:after="80" w:line="240" w:lineRule="auto"/>
    </w:pPr>
    <w:rPr>
      <w:color w:val="595959" w:themeColor="text1"/>
      <w:sz w:val="20"/>
      <w:szCs w:val="20"/>
    </w:rPr>
    <w:tblPr>
      <w:jc w:val="center"/>
      <w:tblBorders>
        <w:insideH w:val="single" w:sz="4" w:space="0" w:color="00B0F0" w:themeColor="accent1"/>
      </w:tblBorders>
    </w:tblPr>
    <w:trPr>
      <w:jc w:val="center"/>
    </w:trPr>
    <w:tblStylePr w:type="firstRow">
      <w:pPr>
        <w:wordWrap/>
        <w:spacing w:beforeLines="0" w:before="160" w:beforeAutospacing="0" w:afterLines="0" w:after="160" w:afterAutospacing="0"/>
      </w:pPr>
      <w:rPr>
        <w:rFonts w:asciiTheme="majorHAnsi" w:hAnsiTheme="majorHAnsi"/>
        <w:caps/>
        <w:smallCaps w:val="0"/>
        <w:strike w:val="0"/>
        <w:dstrike w:val="0"/>
        <w:vanish w:val="0"/>
        <w:color w:val="00B0F0" w:themeColor="accent1"/>
        <w:spacing w:val="30"/>
        <w:sz w:val="28"/>
        <w:vertAlign w:val="baseline"/>
      </w:rPr>
      <w:tblPr/>
      <w:tcPr>
        <w:shd w:val="clear" w:color="auto" w:fill="E7E6E6" w:themeFill="background2"/>
      </w:tcPr>
    </w:tblStylePr>
  </w:style>
  <w:style w:type="character" w:customStyle="1" w:styleId="BLUEHIGHLIGHT">
    <w:name w:val="BLUE HIGHLIGHT"/>
    <w:basedOn w:val="DefaultParagraphFont"/>
    <w:qFormat/>
    <w:rsid w:val="000647F2"/>
    <w:rPr>
      <w:rFonts w:ascii="Segoe UI Semibold" w:eastAsiaTheme="majorEastAsia" w:hAnsi="Segoe UI Semibold" w:cs="Segoe UI Semibold"/>
      <w:color w:val="0083B3" w:themeColor="accent1" w:themeShade="BF"/>
      <w:sz w:val="18"/>
      <w:szCs w:val="18"/>
    </w:rPr>
  </w:style>
  <w:style w:type="paragraph" w:styleId="Revision">
    <w:name w:val="Revision"/>
    <w:hidden/>
    <w:uiPriority w:val="99"/>
    <w:semiHidden/>
    <w:rsid w:val="00AF4F5F"/>
    <w:pPr>
      <w:spacing w:after="0" w:line="240" w:lineRule="auto"/>
      <w:jc w:val="left"/>
    </w:pPr>
    <w:rPr>
      <w:rFonts w:ascii="Calibri" w:hAnsi="Calibri" w:cs="Calibri"/>
      <w:color w:val="595959"/>
      <w:sz w:val="20"/>
    </w:rPr>
  </w:style>
  <w:style w:type="character" w:customStyle="1" w:styleId="Heading1Char">
    <w:name w:val="Heading 1 Char"/>
    <w:basedOn w:val="DefaultParagraphFont"/>
    <w:link w:val="Heading1"/>
    <w:uiPriority w:val="9"/>
    <w:rsid w:val="003E1AE4"/>
    <w:rPr>
      <w:rFonts w:ascii="Calibri" w:eastAsia="News Gothic MT" w:hAnsi="Calibri" w:cs="Calibri"/>
      <w:caps/>
      <w:color w:val="424242" w:themeColor="text1" w:themeShade="BF"/>
      <w:spacing w:val="30"/>
      <w:position w:val="1"/>
      <w:sz w:val="36"/>
      <w:szCs w:val="72"/>
      <w:lang w:eastAsia="en-GB"/>
    </w:rPr>
  </w:style>
  <w:style w:type="paragraph" w:styleId="ListParagraph">
    <w:name w:val="List Paragraph"/>
    <w:basedOn w:val="Normal"/>
    <w:uiPriority w:val="34"/>
    <w:qFormat/>
    <w:rsid w:val="00263786"/>
    <w:pPr>
      <w:ind w:left="720"/>
      <w:contextualSpacing/>
    </w:pPr>
  </w:style>
  <w:style w:type="character" w:customStyle="1" w:styleId="UnresolvedMention1">
    <w:name w:val="Unresolved Mention1"/>
    <w:basedOn w:val="DefaultParagraphFont"/>
    <w:uiPriority w:val="99"/>
    <w:semiHidden/>
    <w:unhideWhenUsed/>
    <w:rsid w:val="00E24067"/>
    <w:rPr>
      <w:color w:val="605E5C"/>
      <w:shd w:val="clear" w:color="auto" w:fill="E1DFDD"/>
    </w:rPr>
  </w:style>
  <w:style w:type="table" w:styleId="GridTable1Light">
    <w:name w:val="Grid Table 1 Light"/>
    <w:basedOn w:val="TableNormal"/>
    <w:uiPriority w:val="46"/>
    <w:rsid w:val="009C176D"/>
    <w:pPr>
      <w:spacing w:after="0" w:line="240" w:lineRule="auto"/>
    </w:pPr>
    <w:tblPr>
      <w:tblStyleRowBandSize w:val="1"/>
      <w:tblStyleColBandSize w:val="1"/>
      <w:tblBorders>
        <w:top w:val="single" w:sz="4" w:space="0" w:color="BCBCBC" w:themeColor="text1" w:themeTint="66"/>
        <w:left w:val="single" w:sz="4" w:space="0" w:color="BCBCBC" w:themeColor="text1" w:themeTint="66"/>
        <w:bottom w:val="single" w:sz="4" w:space="0" w:color="BCBCBC" w:themeColor="text1" w:themeTint="66"/>
        <w:right w:val="single" w:sz="4" w:space="0" w:color="BCBCBC" w:themeColor="text1" w:themeTint="66"/>
        <w:insideH w:val="single" w:sz="4" w:space="0" w:color="BCBCBC" w:themeColor="text1" w:themeTint="66"/>
        <w:insideV w:val="single" w:sz="4" w:space="0" w:color="BCBCBC" w:themeColor="text1" w:themeTint="66"/>
      </w:tblBorders>
    </w:tblPr>
    <w:tblStylePr w:type="firstRow">
      <w:rPr>
        <w:b/>
        <w:bCs/>
      </w:rPr>
      <w:tblPr/>
      <w:tcPr>
        <w:tcBorders>
          <w:bottom w:val="single" w:sz="12" w:space="0" w:color="9B9B9B" w:themeColor="text1" w:themeTint="99"/>
        </w:tcBorders>
      </w:tcPr>
    </w:tblStylePr>
    <w:tblStylePr w:type="lastRow">
      <w:rPr>
        <w:b/>
        <w:bCs/>
      </w:rPr>
      <w:tblPr/>
      <w:tcPr>
        <w:tcBorders>
          <w:top w:val="double" w:sz="2" w:space="0" w:color="9B9B9B" w:themeColor="text1" w:themeTint="99"/>
        </w:tcBorders>
      </w:tcPr>
    </w:tblStylePr>
    <w:tblStylePr w:type="firstCol">
      <w:rPr>
        <w:b/>
        <w:bCs/>
      </w:rPr>
    </w:tblStylePr>
    <w:tblStylePr w:type="lastCol">
      <w:rPr>
        <w:b/>
        <w:bCs/>
      </w:rPr>
    </w:tblStylePr>
  </w:style>
  <w:style w:type="character" w:customStyle="1" w:styleId="ref-title">
    <w:name w:val="ref-title"/>
    <w:basedOn w:val="DefaultParagraphFont"/>
    <w:rsid w:val="008B320E"/>
  </w:style>
  <w:style w:type="character" w:customStyle="1" w:styleId="ref-journal">
    <w:name w:val="ref-journal"/>
    <w:basedOn w:val="DefaultParagraphFont"/>
    <w:rsid w:val="008B320E"/>
  </w:style>
  <w:style w:type="character" w:customStyle="1" w:styleId="ref-vol">
    <w:name w:val="ref-vol"/>
    <w:basedOn w:val="DefaultParagraphFont"/>
    <w:rsid w:val="008B320E"/>
  </w:style>
  <w:style w:type="paragraph" w:customStyle="1" w:styleId="paragraph">
    <w:name w:val="paragraph"/>
    <w:basedOn w:val="Normal"/>
    <w:rsid w:val="00590BD7"/>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590BD7"/>
  </w:style>
  <w:style w:type="character" w:customStyle="1" w:styleId="eop">
    <w:name w:val="eop"/>
    <w:basedOn w:val="DefaultParagraphFont"/>
    <w:rsid w:val="00590BD7"/>
  </w:style>
  <w:style w:type="character" w:customStyle="1" w:styleId="authors">
    <w:name w:val="authors"/>
    <w:basedOn w:val="DefaultParagraphFont"/>
    <w:rsid w:val="005A50DA"/>
  </w:style>
  <w:style w:type="character" w:customStyle="1" w:styleId="Date1">
    <w:name w:val="Date1"/>
    <w:basedOn w:val="DefaultParagraphFont"/>
    <w:rsid w:val="005A50DA"/>
  </w:style>
  <w:style w:type="character" w:customStyle="1" w:styleId="arttitle">
    <w:name w:val="art_title"/>
    <w:basedOn w:val="DefaultParagraphFont"/>
    <w:rsid w:val="005A50DA"/>
  </w:style>
  <w:style w:type="character" w:customStyle="1" w:styleId="serialtitle">
    <w:name w:val="serial_title"/>
    <w:basedOn w:val="DefaultParagraphFont"/>
    <w:rsid w:val="005A50DA"/>
  </w:style>
  <w:style w:type="character" w:customStyle="1" w:styleId="volumeissue">
    <w:name w:val="volume_issue"/>
    <w:basedOn w:val="DefaultParagraphFont"/>
    <w:rsid w:val="005A50DA"/>
  </w:style>
  <w:style w:type="character" w:customStyle="1" w:styleId="pagerange">
    <w:name w:val="page_range"/>
    <w:basedOn w:val="DefaultParagraphFont"/>
    <w:rsid w:val="005A50DA"/>
  </w:style>
  <w:style w:type="character" w:customStyle="1" w:styleId="doilink">
    <w:name w:val="doi_link"/>
    <w:basedOn w:val="DefaultParagraphFont"/>
    <w:rsid w:val="005A50DA"/>
  </w:style>
  <w:style w:type="character" w:styleId="FollowedHyperlink">
    <w:name w:val="FollowedHyperlink"/>
    <w:basedOn w:val="DefaultParagraphFont"/>
    <w:uiPriority w:val="99"/>
    <w:semiHidden/>
    <w:unhideWhenUsed/>
    <w:rsid w:val="005A50DA"/>
    <w:rPr>
      <w:color w:val="BFBFBF" w:themeColor="followedHyperlink"/>
      <w:u w:val="single"/>
    </w:rPr>
  </w:style>
  <w:style w:type="character" w:styleId="UnresolvedMention">
    <w:name w:val="Unresolved Mention"/>
    <w:basedOn w:val="DefaultParagraphFont"/>
    <w:uiPriority w:val="99"/>
    <w:semiHidden/>
    <w:unhideWhenUsed/>
    <w:rsid w:val="00EB7DDF"/>
    <w:rPr>
      <w:color w:val="605E5C"/>
      <w:shd w:val="clear" w:color="auto" w:fill="E1DFDD"/>
    </w:rPr>
  </w:style>
  <w:style w:type="character" w:customStyle="1" w:styleId="cf01">
    <w:name w:val="cf01"/>
    <w:basedOn w:val="DefaultParagraphFont"/>
    <w:rsid w:val="00BC01A8"/>
    <w:rPr>
      <w:rFonts w:ascii="Segoe UI" w:hAnsi="Segoe UI" w:cs="Segoe UI" w:hint="default"/>
      <w:color w:val="59595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98954">
      <w:bodyDiv w:val="1"/>
      <w:marLeft w:val="0"/>
      <w:marRight w:val="0"/>
      <w:marTop w:val="0"/>
      <w:marBottom w:val="0"/>
      <w:divBdr>
        <w:top w:val="none" w:sz="0" w:space="0" w:color="auto"/>
        <w:left w:val="none" w:sz="0" w:space="0" w:color="auto"/>
        <w:bottom w:val="none" w:sz="0" w:space="0" w:color="auto"/>
        <w:right w:val="none" w:sz="0" w:space="0" w:color="auto"/>
      </w:divBdr>
    </w:div>
    <w:div w:id="26958084">
      <w:bodyDiv w:val="1"/>
      <w:marLeft w:val="0"/>
      <w:marRight w:val="0"/>
      <w:marTop w:val="0"/>
      <w:marBottom w:val="0"/>
      <w:divBdr>
        <w:top w:val="none" w:sz="0" w:space="0" w:color="auto"/>
        <w:left w:val="none" w:sz="0" w:space="0" w:color="auto"/>
        <w:bottom w:val="none" w:sz="0" w:space="0" w:color="auto"/>
        <w:right w:val="none" w:sz="0" w:space="0" w:color="auto"/>
      </w:divBdr>
    </w:div>
    <w:div w:id="49771074">
      <w:bodyDiv w:val="1"/>
      <w:marLeft w:val="0"/>
      <w:marRight w:val="0"/>
      <w:marTop w:val="0"/>
      <w:marBottom w:val="0"/>
      <w:divBdr>
        <w:top w:val="none" w:sz="0" w:space="0" w:color="auto"/>
        <w:left w:val="none" w:sz="0" w:space="0" w:color="auto"/>
        <w:bottom w:val="none" w:sz="0" w:space="0" w:color="auto"/>
        <w:right w:val="none" w:sz="0" w:space="0" w:color="auto"/>
      </w:divBdr>
      <w:divsChild>
        <w:div w:id="579292018">
          <w:marLeft w:val="850"/>
          <w:marRight w:val="0"/>
          <w:marTop w:val="0"/>
          <w:marBottom w:val="0"/>
          <w:divBdr>
            <w:top w:val="none" w:sz="0" w:space="0" w:color="auto"/>
            <w:left w:val="none" w:sz="0" w:space="0" w:color="auto"/>
            <w:bottom w:val="none" w:sz="0" w:space="0" w:color="auto"/>
            <w:right w:val="none" w:sz="0" w:space="0" w:color="auto"/>
          </w:divBdr>
        </w:div>
        <w:div w:id="82726559">
          <w:marLeft w:val="1541"/>
          <w:marRight w:val="0"/>
          <w:marTop w:val="0"/>
          <w:marBottom w:val="0"/>
          <w:divBdr>
            <w:top w:val="none" w:sz="0" w:space="0" w:color="auto"/>
            <w:left w:val="none" w:sz="0" w:space="0" w:color="auto"/>
            <w:bottom w:val="none" w:sz="0" w:space="0" w:color="auto"/>
            <w:right w:val="none" w:sz="0" w:space="0" w:color="auto"/>
          </w:divBdr>
        </w:div>
        <w:div w:id="1836530164">
          <w:marLeft w:val="1541"/>
          <w:marRight w:val="0"/>
          <w:marTop w:val="0"/>
          <w:marBottom w:val="0"/>
          <w:divBdr>
            <w:top w:val="none" w:sz="0" w:space="0" w:color="auto"/>
            <w:left w:val="none" w:sz="0" w:space="0" w:color="auto"/>
            <w:bottom w:val="none" w:sz="0" w:space="0" w:color="auto"/>
            <w:right w:val="none" w:sz="0" w:space="0" w:color="auto"/>
          </w:divBdr>
        </w:div>
        <w:div w:id="1762137803">
          <w:marLeft w:val="1541"/>
          <w:marRight w:val="0"/>
          <w:marTop w:val="0"/>
          <w:marBottom w:val="0"/>
          <w:divBdr>
            <w:top w:val="none" w:sz="0" w:space="0" w:color="auto"/>
            <w:left w:val="none" w:sz="0" w:space="0" w:color="auto"/>
            <w:bottom w:val="none" w:sz="0" w:space="0" w:color="auto"/>
            <w:right w:val="none" w:sz="0" w:space="0" w:color="auto"/>
          </w:divBdr>
        </w:div>
      </w:divsChild>
    </w:div>
    <w:div w:id="372079976">
      <w:bodyDiv w:val="1"/>
      <w:marLeft w:val="0"/>
      <w:marRight w:val="0"/>
      <w:marTop w:val="0"/>
      <w:marBottom w:val="0"/>
      <w:divBdr>
        <w:top w:val="none" w:sz="0" w:space="0" w:color="auto"/>
        <w:left w:val="none" w:sz="0" w:space="0" w:color="auto"/>
        <w:bottom w:val="none" w:sz="0" w:space="0" w:color="auto"/>
        <w:right w:val="none" w:sz="0" w:space="0" w:color="auto"/>
      </w:divBdr>
    </w:div>
    <w:div w:id="441801589">
      <w:bodyDiv w:val="1"/>
      <w:marLeft w:val="0"/>
      <w:marRight w:val="0"/>
      <w:marTop w:val="0"/>
      <w:marBottom w:val="0"/>
      <w:divBdr>
        <w:top w:val="none" w:sz="0" w:space="0" w:color="auto"/>
        <w:left w:val="none" w:sz="0" w:space="0" w:color="auto"/>
        <w:bottom w:val="none" w:sz="0" w:space="0" w:color="auto"/>
        <w:right w:val="none" w:sz="0" w:space="0" w:color="auto"/>
      </w:divBdr>
    </w:div>
    <w:div w:id="475270063">
      <w:bodyDiv w:val="1"/>
      <w:marLeft w:val="0"/>
      <w:marRight w:val="0"/>
      <w:marTop w:val="0"/>
      <w:marBottom w:val="0"/>
      <w:divBdr>
        <w:top w:val="none" w:sz="0" w:space="0" w:color="auto"/>
        <w:left w:val="none" w:sz="0" w:space="0" w:color="auto"/>
        <w:bottom w:val="none" w:sz="0" w:space="0" w:color="auto"/>
        <w:right w:val="none" w:sz="0" w:space="0" w:color="auto"/>
      </w:divBdr>
    </w:div>
    <w:div w:id="481891223">
      <w:bodyDiv w:val="1"/>
      <w:marLeft w:val="0"/>
      <w:marRight w:val="0"/>
      <w:marTop w:val="0"/>
      <w:marBottom w:val="0"/>
      <w:divBdr>
        <w:top w:val="none" w:sz="0" w:space="0" w:color="auto"/>
        <w:left w:val="none" w:sz="0" w:space="0" w:color="auto"/>
        <w:bottom w:val="none" w:sz="0" w:space="0" w:color="auto"/>
        <w:right w:val="none" w:sz="0" w:space="0" w:color="auto"/>
      </w:divBdr>
    </w:div>
    <w:div w:id="488592482">
      <w:bodyDiv w:val="1"/>
      <w:marLeft w:val="0"/>
      <w:marRight w:val="0"/>
      <w:marTop w:val="0"/>
      <w:marBottom w:val="0"/>
      <w:divBdr>
        <w:top w:val="none" w:sz="0" w:space="0" w:color="auto"/>
        <w:left w:val="none" w:sz="0" w:space="0" w:color="auto"/>
        <w:bottom w:val="none" w:sz="0" w:space="0" w:color="auto"/>
        <w:right w:val="none" w:sz="0" w:space="0" w:color="auto"/>
      </w:divBdr>
    </w:div>
    <w:div w:id="593395261">
      <w:bodyDiv w:val="1"/>
      <w:marLeft w:val="0"/>
      <w:marRight w:val="0"/>
      <w:marTop w:val="0"/>
      <w:marBottom w:val="0"/>
      <w:divBdr>
        <w:top w:val="none" w:sz="0" w:space="0" w:color="auto"/>
        <w:left w:val="none" w:sz="0" w:space="0" w:color="auto"/>
        <w:bottom w:val="none" w:sz="0" w:space="0" w:color="auto"/>
        <w:right w:val="none" w:sz="0" w:space="0" w:color="auto"/>
      </w:divBdr>
    </w:div>
    <w:div w:id="639381754">
      <w:bodyDiv w:val="1"/>
      <w:marLeft w:val="0"/>
      <w:marRight w:val="0"/>
      <w:marTop w:val="0"/>
      <w:marBottom w:val="0"/>
      <w:divBdr>
        <w:top w:val="none" w:sz="0" w:space="0" w:color="auto"/>
        <w:left w:val="none" w:sz="0" w:space="0" w:color="auto"/>
        <w:bottom w:val="none" w:sz="0" w:space="0" w:color="auto"/>
        <w:right w:val="none" w:sz="0" w:space="0" w:color="auto"/>
      </w:divBdr>
    </w:div>
    <w:div w:id="710690361">
      <w:bodyDiv w:val="1"/>
      <w:marLeft w:val="0"/>
      <w:marRight w:val="0"/>
      <w:marTop w:val="0"/>
      <w:marBottom w:val="0"/>
      <w:divBdr>
        <w:top w:val="none" w:sz="0" w:space="0" w:color="auto"/>
        <w:left w:val="none" w:sz="0" w:space="0" w:color="auto"/>
        <w:bottom w:val="none" w:sz="0" w:space="0" w:color="auto"/>
        <w:right w:val="none" w:sz="0" w:space="0" w:color="auto"/>
      </w:divBdr>
    </w:div>
    <w:div w:id="742945052">
      <w:bodyDiv w:val="1"/>
      <w:marLeft w:val="0"/>
      <w:marRight w:val="0"/>
      <w:marTop w:val="0"/>
      <w:marBottom w:val="0"/>
      <w:divBdr>
        <w:top w:val="none" w:sz="0" w:space="0" w:color="auto"/>
        <w:left w:val="none" w:sz="0" w:space="0" w:color="auto"/>
        <w:bottom w:val="none" w:sz="0" w:space="0" w:color="auto"/>
        <w:right w:val="none" w:sz="0" w:space="0" w:color="auto"/>
      </w:divBdr>
    </w:div>
    <w:div w:id="819612509">
      <w:bodyDiv w:val="1"/>
      <w:marLeft w:val="0"/>
      <w:marRight w:val="0"/>
      <w:marTop w:val="0"/>
      <w:marBottom w:val="0"/>
      <w:divBdr>
        <w:top w:val="none" w:sz="0" w:space="0" w:color="auto"/>
        <w:left w:val="none" w:sz="0" w:space="0" w:color="auto"/>
        <w:bottom w:val="none" w:sz="0" w:space="0" w:color="auto"/>
        <w:right w:val="none" w:sz="0" w:space="0" w:color="auto"/>
      </w:divBdr>
    </w:div>
    <w:div w:id="820539761">
      <w:bodyDiv w:val="1"/>
      <w:marLeft w:val="0"/>
      <w:marRight w:val="0"/>
      <w:marTop w:val="0"/>
      <w:marBottom w:val="0"/>
      <w:divBdr>
        <w:top w:val="none" w:sz="0" w:space="0" w:color="auto"/>
        <w:left w:val="none" w:sz="0" w:space="0" w:color="auto"/>
        <w:bottom w:val="none" w:sz="0" w:space="0" w:color="auto"/>
        <w:right w:val="none" w:sz="0" w:space="0" w:color="auto"/>
      </w:divBdr>
    </w:div>
    <w:div w:id="919753328">
      <w:bodyDiv w:val="1"/>
      <w:marLeft w:val="0"/>
      <w:marRight w:val="0"/>
      <w:marTop w:val="0"/>
      <w:marBottom w:val="0"/>
      <w:divBdr>
        <w:top w:val="none" w:sz="0" w:space="0" w:color="auto"/>
        <w:left w:val="none" w:sz="0" w:space="0" w:color="auto"/>
        <w:bottom w:val="none" w:sz="0" w:space="0" w:color="auto"/>
        <w:right w:val="none" w:sz="0" w:space="0" w:color="auto"/>
      </w:divBdr>
    </w:div>
    <w:div w:id="962927740">
      <w:bodyDiv w:val="1"/>
      <w:marLeft w:val="0"/>
      <w:marRight w:val="0"/>
      <w:marTop w:val="0"/>
      <w:marBottom w:val="0"/>
      <w:divBdr>
        <w:top w:val="none" w:sz="0" w:space="0" w:color="auto"/>
        <w:left w:val="none" w:sz="0" w:space="0" w:color="auto"/>
        <w:bottom w:val="none" w:sz="0" w:space="0" w:color="auto"/>
        <w:right w:val="none" w:sz="0" w:space="0" w:color="auto"/>
      </w:divBdr>
    </w:div>
    <w:div w:id="993145332">
      <w:bodyDiv w:val="1"/>
      <w:marLeft w:val="0"/>
      <w:marRight w:val="0"/>
      <w:marTop w:val="0"/>
      <w:marBottom w:val="0"/>
      <w:divBdr>
        <w:top w:val="none" w:sz="0" w:space="0" w:color="auto"/>
        <w:left w:val="none" w:sz="0" w:space="0" w:color="auto"/>
        <w:bottom w:val="none" w:sz="0" w:space="0" w:color="auto"/>
        <w:right w:val="none" w:sz="0" w:space="0" w:color="auto"/>
      </w:divBdr>
    </w:div>
    <w:div w:id="1050038847">
      <w:bodyDiv w:val="1"/>
      <w:marLeft w:val="0"/>
      <w:marRight w:val="0"/>
      <w:marTop w:val="0"/>
      <w:marBottom w:val="0"/>
      <w:divBdr>
        <w:top w:val="none" w:sz="0" w:space="0" w:color="auto"/>
        <w:left w:val="none" w:sz="0" w:space="0" w:color="auto"/>
        <w:bottom w:val="none" w:sz="0" w:space="0" w:color="auto"/>
        <w:right w:val="none" w:sz="0" w:space="0" w:color="auto"/>
      </w:divBdr>
    </w:div>
    <w:div w:id="1074008897">
      <w:bodyDiv w:val="1"/>
      <w:marLeft w:val="0"/>
      <w:marRight w:val="0"/>
      <w:marTop w:val="0"/>
      <w:marBottom w:val="0"/>
      <w:divBdr>
        <w:top w:val="none" w:sz="0" w:space="0" w:color="auto"/>
        <w:left w:val="none" w:sz="0" w:space="0" w:color="auto"/>
        <w:bottom w:val="none" w:sz="0" w:space="0" w:color="auto"/>
        <w:right w:val="none" w:sz="0" w:space="0" w:color="auto"/>
      </w:divBdr>
    </w:div>
    <w:div w:id="1174104559">
      <w:bodyDiv w:val="1"/>
      <w:marLeft w:val="0"/>
      <w:marRight w:val="0"/>
      <w:marTop w:val="0"/>
      <w:marBottom w:val="0"/>
      <w:divBdr>
        <w:top w:val="none" w:sz="0" w:space="0" w:color="auto"/>
        <w:left w:val="none" w:sz="0" w:space="0" w:color="auto"/>
        <w:bottom w:val="none" w:sz="0" w:space="0" w:color="auto"/>
        <w:right w:val="none" w:sz="0" w:space="0" w:color="auto"/>
      </w:divBdr>
    </w:div>
    <w:div w:id="1245409924">
      <w:bodyDiv w:val="1"/>
      <w:marLeft w:val="0"/>
      <w:marRight w:val="0"/>
      <w:marTop w:val="0"/>
      <w:marBottom w:val="0"/>
      <w:divBdr>
        <w:top w:val="none" w:sz="0" w:space="0" w:color="auto"/>
        <w:left w:val="none" w:sz="0" w:space="0" w:color="auto"/>
        <w:bottom w:val="none" w:sz="0" w:space="0" w:color="auto"/>
        <w:right w:val="none" w:sz="0" w:space="0" w:color="auto"/>
      </w:divBdr>
    </w:div>
    <w:div w:id="1411731738">
      <w:bodyDiv w:val="1"/>
      <w:marLeft w:val="0"/>
      <w:marRight w:val="0"/>
      <w:marTop w:val="0"/>
      <w:marBottom w:val="0"/>
      <w:divBdr>
        <w:top w:val="none" w:sz="0" w:space="0" w:color="auto"/>
        <w:left w:val="none" w:sz="0" w:space="0" w:color="auto"/>
        <w:bottom w:val="none" w:sz="0" w:space="0" w:color="auto"/>
        <w:right w:val="none" w:sz="0" w:space="0" w:color="auto"/>
      </w:divBdr>
    </w:div>
    <w:div w:id="1504585133">
      <w:bodyDiv w:val="1"/>
      <w:marLeft w:val="0"/>
      <w:marRight w:val="0"/>
      <w:marTop w:val="0"/>
      <w:marBottom w:val="0"/>
      <w:divBdr>
        <w:top w:val="none" w:sz="0" w:space="0" w:color="auto"/>
        <w:left w:val="none" w:sz="0" w:space="0" w:color="auto"/>
        <w:bottom w:val="none" w:sz="0" w:space="0" w:color="auto"/>
        <w:right w:val="none" w:sz="0" w:space="0" w:color="auto"/>
      </w:divBdr>
    </w:div>
    <w:div w:id="1519277585">
      <w:bodyDiv w:val="1"/>
      <w:marLeft w:val="0"/>
      <w:marRight w:val="0"/>
      <w:marTop w:val="0"/>
      <w:marBottom w:val="0"/>
      <w:divBdr>
        <w:top w:val="none" w:sz="0" w:space="0" w:color="auto"/>
        <w:left w:val="none" w:sz="0" w:space="0" w:color="auto"/>
        <w:bottom w:val="none" w:sz="0" w:space="0" w:color="auto"/>
        <w:right w:val="none" w:sz="0" w:space="0" w:color="auto"/>
      </w:divBdr>
    </w:div>
    <w:div w:id="1548179125">
      <w:bodyDiv w:val="1"/>
      <w:marLeft w:val="0"/>
      <w:marRight w:val="0"/>
      <w:marTop w:val="0"/>
      <w:marBottom w:val="0"/>
      <w:divBdr>
        <w:top w:val="none" w:sz="0" w:space="0" w:color="auto"/>
        <w:left w:val="none" w:sz="0" w:space="0" w:color="auto"/>
        <w:bottom w:val="none" w:sz="0" w:space="0" w:color="auto"/>
        <w:right w:val="none" w:sz="0" w:space="0" w:color="auto"/>
      </w:divBdr>
    </w:div>
    <w:div w:id="1704789319">
      <w:bodyDiv w:val="1"/>
      <w:marLeft w:val="0"/>
      <w:marRight w:val="0"/>
      <w:marTop w:val="0"/>
      <w:marBottom w:val="0"/>
      <w:divBdr>
        <w:top w:val="none" w:sz="0" w:space="0" w:color="auto"/>
        <w:left w:val="none" w:sz="0" w:space="0" w:color="auto"/>
        <w:bottom w:val="none" w:sz="0" w:space="0" w:color="auto"/>
        <w:right w:val="none" w:sz="0" w:space="0" w:color="auto"/>
      </w:divBdr>
    </w:div>
    <w:div w:id="1706519255">
      <w:bodyDiv w:val="1"/>
      <w:marLeft w:val="0"/>
      <w:marRight w:val="0"/>
      <w:marTop w:val="0"/>
      <w:marBottom w:val="0"/>
      <w:divBdr>
        <w:top w:val="none" w:sz="0" w:space="0" w:color="auto"/>
        <w:left w:val="none" w:sz="0" w:space="0" w:color="auto"/>
        <w:bottom w:val="none" w:sz="0" w:space="0" w:color="auto"/>
        <w:right w:val="none" w:sz="0" w:space="0" w:color="auto"/>
      </w:divBdr>
    </w:div>
    <w:div w:id="1709136793">
      <w:bodyDiv w:val="1"/>
      <w:marLeft w:val="0"/>
      <w:marRight w:val="0"/>
      <w:marTop w:val="0"/>
      <w:marBottom w:val="0"/>
      <w:divBdr>
        <w:top w:val="none" w:sz="0" w:space="0" w:color="auto"/>
        <w:left w:val="none" w:sz="0" w:space="0" w:color="auto"/>
        <w:bottom w:val="none" w:sz="0" w:space="0" w:color="auto"/>
        <w:right w:val="none" w:sz="0" w:space="0" w:color="auto"/>
      </w:divBdr>
    </w:div>
    <w:div w:id="1888837379">
      <w:bodyDiv w:val="1"/>
      <w:marLeft w:val="0"/>
      <w:marRight w:val="0"/>
      <w:marTop w:val="0"/>
      <w:marBottom w:val="0"/>
      <w:divBdr>
        <w:top w:val="none" w:sz="0" w:space="0" w:color="auto"/>
        <w:left w:val="none" w:sz="0" w:space="0" w:color="auto"/>
        <w:bottom w:val="none" w:sz="0" w:space="0" w:color="auto"/>
        <w:right w:val="none" w:sz="0" w:space="0" w:color="auto"/>
      </w:divBdr>
    </w:div>
    <w:div w:id="1963459126">
      <w:bodyDiv w:val="1"/>
      <w:marLeft w:val="0"/>
      <w:marRight w:val="0"/>
      <w:marTop w:val="0"/>
      <w:marBottom w:val="0"/>
      <w:divBdr>
        <w:top w:val="none" w:sz="0" w:space="0" w:color="auto"/>
        <w:left w:val="none" w:sz="0" w:space="0" w:color="auto"/>
        <w:bottom w:val="none" w:sz="0" w:space="0" w:color="auto"/>
        <w:right w:val="none" w:sz="0" w:space="0" w:color="auto"/>
      </w:divBdr>
    </w:div>
    <w:div w:id="1966111336">
      <w:bodyDiv w:val="1"/>
      <w:marLeft w:val="0"/>
      <w:marRight w:val="0"/>
      <w:marTop w:val="0"/>
      <w:marBottom w:val="0"/>
      <w:divBdr>
        <w:top w:val="none" w:sz="0" w:space="0" w:color="auto"/>
        <w:left w:val="none" w:sz="0" w:space="0" w:color="auto"/>
        <w:bottom w:val="none" w:sz="0" w:space="0" w:color="auto"/>
        <w:right w:val="none" w:sz="0" w:space="0" w:color="auto"/>
      </w:divBdr>
    </w:div>
    <w:div w:id="1999385151">
      <w:bodyDiv w:val="1"/>
      <w:marLeft w:val="0"/>
      <w:marRight w:val="0"/>
      <w:marTop w:val="0"/>
      <w:marBottom w:val="0"/>
      <w:divBdr>
        <w:top w:val="none" w:sz="0" w:space="0" w:color="auto"/>
        <w:left w:val="none" w:sz="0" w:space="0" w:color="auto"/>
        <w:bottom w:val="none" w:sz="0" w:space="0" w:color="auto"/>
        <w:right w:val="none" w:sz="0" w:space="0" w:color="auto"/>
      </w:divBdr>
    </w:div>
    <w:div w:id="200084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pinium Colours">
      <a:dk1>
        <a:srgbClr val="595959"/>
      </a:dk1>
      <a:lt1>
        <a:srgbClr val="FFFFFF"/>
      </a:lt1>
      <a:dk2>
        <a:srgbClr val="7F7F7F"/>
      </a:dk2>
      <a:lt2>
        <a:srgbClr val="E7E6E6"/>
      </a:lt2>
      <a:accent1>
        <a:srgbClr val="00B0F0"/>
      </a:accent1>
      <a:accent2>
        <a:srgbClr val="5B645F"/>
      </a:accent2>
      <a:accent3>
        <a:srgbClr val="F84CBC"/>
      </a:accent3>
      <a:accent4>
        <a:srgbClr val="17406D"/>
      </a:accent4>
      <a:accent5>
        <a:srgbClr val="BFBFBF"/>
      </a:accent5>
      <a:accent6>
        <a:srgbClr val="0563C1"/>
      </a:accent6>
      <a:hlink>
        <a:srgbClr val="00B0F0"/>
      </a:hlink>
      <a:folHlink>
        <a:srgbClr val="BFBFBF"/>
      </a:folHlink>
    </a:clrScheme>
    <a:fontScheme name="Custom 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FA3E2-5CFD-49F8-A89D-6E9473142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6684</Words>
  <Characters>38105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Services</dc:creator>
  <cp:keywords/>
  <dc:description/>
  <cp:lastModifiedBy>Dagan Lonsdale</cp:lastModifiedBy>
  <cp:revision>3</cp:revision>
  <cp:lastPrinted>2018-11-17T16:55:00Z</cp:lastPrinted>
  <dcterms:created xsi:type="dcterms:W3CDTF">2024-09-12T15:02:00Z</dcterms:created>
  <dcterms:modified xsi:type="dcterms:W3CDTF">2025-03-04T15:19:00Z</dcterms:modified>
</cp:coreProperties>
</file>