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05703" w14:textId="77777777" w:rsidR="00A92481" w:rsidRDefault="00A92481" w:rsidP="00A92481">
      <w:pPr>
        <w:pStyle w:val="HeadA"/>
      </w:pPr>
      <w:r>
        <w:t>TITLE</w:t>
      </w:r>
    </w:p>
    <w:p w14:paraId="06135FF3" w14:textId="731AC558" w:rsidR="00277EB9" w:rsidRPr="00686FFC" w:rsidRDefault="00433F44" w:rsidP="00A92481">
      <w:pPr>
        <w:pStyle w:val="HeadA"/>
        <w:rPr>
          <w:sz w:val="36"/>
          <w:szCs w:val="36"/>
          <w:lang w:val="de-DE"/>
        </w:rPr>
      </w:pPr>
      <w:r>
        <w:rPr>
          <w:sz w:val="36"/>
          <w:szCs w:val="36"/>
          <w:lang w:val="de-DE"/>
        </w:rPr>
        <w:t xml:space="preserve">Single </w:t>
      </w:r>
      <w:proofErr w:type="spellStart"/>
      <w:r>
        <w:rPr>
          <w:sz w:val="36"/>
          <w:szCs w:val="36"/>
          <w:lang w:val="de-DE"/>
        </w:rPr>
        <w:t>surgeon</w:t>
      </w:r>
      <w:proofErr w:type="spellEnd"/>
      <w:r>
        <w:rPr>
          <w:sz w:val="36"/>
          <w:szCs w:val="36"/>
          <w:lang w:val="de-DE"/>
        </w:rPr>
        <w:t xml:space="preserve"> DBS </w:t>
      </w:r>
      <w:proofErr w:type="spellStart"/>
      <w:r>
        <w:rPr>
          <w:sz w:val="36"/>
          <w:szCs w:val="36"/>
          <w:lang w:val="de-DE"/>
        </w:rPr>
        <w:t>surgeries</w:t>
      </w:r>
      <w:proofErr w:type="spellEnd"/>
      <w:r>
        <w:rPr>
          <w:sz w:val="36"/>
          <w:szCs w:val="36"/>
          <w:lang w:val="de-DE"/>
        </w:rPr>
        <w:t xml:space="preserve"> </w:t>
      </w:r>
      <w:proofErr w:type="spellStart"/>
      <w:r>
        <w:rPr>
          <w:sz w:val="36"/>
          <w:szCs w:val="36"/>
          <w:lang w:val="de-DE"/>
        </w:rPr>
        <w:t>can</w:t>
      </w:r>
      <w:proofErr w:type="spellEnd"/>
      <w:r>
        <w:rPr>
          <w:sz w:val="36"/>
          <w:szCs w:val="36"/>
          <w:lang w:val="de-DE"/>
        </w:rPr>
        <w:t xml:space="preserve"> also </w:t>
      </w:r>
      <w:proofErr w:type="spellStart"/>
      <w:r>
        <w:rPr>
          <w:sz w:val="36"/>
          <w:szCs w:val="36"/>
          <w:lang w:val="de-DE"/>
        </w:rPr>
        <w:t>be</w:t>
      </w:r>
      <w:proofErr w:type="spellEnd"/>
      <w:r>
        <w:rPr>
          <w:sz w:val="36"/>
          <w:szCs w:val="36"/>
          <w:lang w:val="de-DE"/>
        </w:rPr>
        <w:t xml:space="preserve"> </w:t>
      </w:r>
      <w:proofErr w:type="spellStart"/>
      <w:r>
        <w:rPr>
          <w:sz w:val="36"/>
          <w:szCs w:val="36"/>
          <w:lang w:val="de-DE"/>
        </w:rPr>
        <w:t>optimised</w:t>
      </w:r>
      <w:proofErr w:type="spellEnd"/>
      <w:r>
        <w:rPr>
          <w:sz w:val="36"/>
          <w:szCs w:val="36"/>
          <w:lang w:val="de-DE"/>
        </w:rPr>
        <w:t xml:space="preserve"> </w:t>
      </w:r>
      <w:proofErr w:type="spellStart"/>
      <w:r>
        <w:rPr>
          <w:sz w:val="36"/>
          <w:szCs w:val="36"/>
          <w:lang w:val="de-DE"/>
        </w:rPr>
        <w:t>to</w:t>
      </w:r>
      <w:proofErr w:type="spellEnd"/>
      <w:r>
        <w:rPr>
          <w:sz w:val="36"/>
          <w:szCs w:val="36"/>
          <w:lang w:val="de-DE"/>
        </w:rPr>
        <w:t xml:space="preserve"> </w:t>
      </w:r>
      <w:proofErr w:type="spellStart"/>
      <w:r>
        <w:rPr>
          <w:sz w:val="36"/>
          <w:szCs w:val="36"/>
          <w:lang w:val="de-DE"/>
        </w:rPr>
        <w:t>two</w:t>
      </w:r>
      <w:proofErr w:type="spellEnd"/>
      <w:r>
        <w:rPr>
          <w:sz w:val="36"/>
          <w:szCs w:val="36"/>
          <w:lang w:val="de-DE"/>
        </w:rPr>
        <w:t xml:space="preserve"> a </w:t>
      </w:r>
      <w:proofErr w:type="spellStart"/>
      <w:r>
        <w:rPr>
          <w:sz w:val="36"/>
          <w:szCs w:val="36"/>
          <w:lang w:val="de-DE"/>
        </w:rPr>
        <w:t>day</w:t>
      </w:r>
      <w:proofErr w:type="spellEnd"/>
      <w:r>
        <w:rPr>
          <w:sz w:val="36"/>
          <w:szCs w:val="36"/>
          <w:lang w:val="de-DE"/>
        </w:rPr>
        <w:t>.</w:t>
      </w:r>
    </w:p>
    <w:p w14:paraId="3C2EA0B0" w14:textId="77777777" w:rsidR="00A92481" w:rsidRDefault="00A92481" w:rsidP="00A92481">
      <w:pPr>
        <w:pStyle w:val="HeadA"/>
      </w:pPr>
    </w:p>
    <w:p w14:paraId="08C5CD35" w14:textId="77777777" w:rsidR="00B021F9" w:rsidRDefault="00B021F9" w:rsidP="003151CA">
      <w:pPr>
        <w:pStyle w:val="HeadA"/>
      </w:pPr>
      <w:r>
        <w:t>RUNNING TITLE</w:t>
      </w:r>
    </w:p>
    <w:p w14:paraId="61035C77" w14:textId="0912B14A" w:rsidR="00B021F9" w:rsidRDefault="00433F44" w:rsidP="003151CA">
      <w:pPr>
        <w:pStyle w:val="HeadA"/>
      </w:pPr>
      <w:r>
        <w:t>Two single surgeon DBS surgeries a day.</w:t>
      </w:r>
    </w:p>
    <w:p w14:paraId="50E8EEBE" w14:textId="77777777" w:rsidR="00B021F9" w:rsidRDefault="00B021F9" w:rsidP="003151CA">
      <w:pPr>
        <w:pStyle w:val="HeadA"/>
      </w:pPr>
    </w:p>
    <w:p w14:paraId="63D752CE" w14:textId="275E2021" w:rsidR="00A92481" w:rsidRDefault="00A92481" w:rsidP="003151CA">
      <w:pPr>
        <w:pStyle w:val="HeadA"/>
      </w:pPr>
      <w:r>
        <w:t>AUTHORS</w:t>
      </w:r>
    </w:p>
    <w:p w14:paraId="27D151A2" w14:textId="766053D8" w:rsidR="00A92481" w:rsidRDefault="00FD74E4" w:rsidP="00F566A9">
      <w:pPr>
        <w:spacing w:line="480" w:lineRule="auto"/>
        <w:jc w:val="both"/>
        <w:rPr>
          <w:lang w:val="en-US"/>
        </w:rPr>
      </w:pPr>
      <w:proofErr w:type="spellStart"/>
      <w:r w:rsidRPr="00AE7D5E">
        <w:rPr>
          <w:lang w:val="en-US"/>
        </w:rPr>
        <w:t>E</w:t>
      </w:r>
      <w:r w:rsidR="00383825">
        <w:rPr>
          <w:lang w:val="en-US"/>
        </w:rPr>
        <w:t>rlick</w:t>
      </w:r>
      <w:proofErr w:type="spellEnd"/>
      <w:r w:rsidR="00383825">
        <w:rPr>
          <w:lang w:val="en-US"/>
        </w:rPr>
        <w:t xml:space="preserve"> </w:t>
      </w:r>
      <w:r w:rsidRPr="00AE7D5E">
        <w:rPr>
          <w:lang w:val="en-US"/>
        </w:rPr>
        <w:t>A</w:t>
      </w:r>
      <w:r w:rsidR="00383825">
        <w:rPr>
          <w:lang w:val="en-US"/>
        </w:rPr>
        <w:t>C</w:t>
      </w:r>
      <w:r w:rsidRPr="00AE7D5E">
        <w:rPr>
          <w:lang w:val="en-US"/>
        </w:rPr>
        <w:t xml:space="preserve"> Pereira</w:t>
      </w:r>
      <w:r w:rsidR="00F566A9">
        <w:rPr>
          <w:lang w:val="en-US"/>
        </w:rPr>
        <w:t xml:space="preserve"> 1</w:t>
      </w:r>
      <w:r w:rsidR="00433F44">
        <w:rPr>
          <w:lang w:val="en-US"/>
        </w:rPr>
        <w:t>,2</w:t>
      </w:r>
      <w:r w:rsidRPr="00AE7D5E">
        <w:rPr>
          <w:lang w:val="en-US"/>
        </w:rPr>
        <w:t>,</w:t>
      </w:r>
      <w:r w:rsidR="00433F44">
        <w:rPr>
          <w:lang w:val="en-US"/>
        </w:rPr>
        <w:t xml:space="preserve"> Teresa Scott 1, Audrey Tan 1,2</w:t>
      </w:r>
    </w:p>
    <w:p w14:paraId="7E7DE41A" w14:textId="7C04912A" w:rsidR="00F566A9" w:rsidRDefault="00F566A9" w:rsidP="00F566A9">
      <w:pPr>
        <w:pStyle w:val="ListParagraph"/>
        <w:numPr>
          <w:ilvl w:val="0"/>
          <w:numId w:val="3"/>
        </w:numPr>
        <w:spacing w:line="480" w:lineRule="auto"/>
        <w:jc w:val="both"/>
        <w:rPr>
          <w:lang w:val="en-US"/>
        </w:rPr>
      </w:pPr>
      <w:r>
        <w:rPr>
          <w:lang w:val="en-US"/>
        </w:rPr>
        <w:t xml:space="preserve">City St George’s, University of London and St George’s </w:t>
      </w:r>
      <w:r w:rsidR="00433F44">
        <w:rPr>
          <w:lang w:val="en-US"/>
        </w:rPr>
        <w:t xml:space="preserve">University </w:t>
      </w:r>
      <w:r>
        <w:rPr>
          <w:lang w:val="en-US"/>
        </w:rPr>
        <w:t>Hospital, London, UK</w:t>
      </w:r>
    </w:p>
    <w:p w14:paraId="2E5CDBA5" w14:textId="00303D89" w:rsidR="00F566A9" w:rsidRPr="00F566A9" w:rsidRDefault="00433F44" w:rsidP="00F566A9">
      <w:pPr>
        <w:pStyle w:val="ListParagraph"/>
        <w:numPr>
          <w:ilvl w:val="0"/>
          <w:numId w:val="3"/>
        </w:numPr>
        <w:spacing w:line="480" w:lineRule="auto"/>
        <w:jc w:val="both"/>
        <w:rPr>
          <w:lang w:val="en-US"/>
        </w:rPr>
      </w:pPr>
      <w:r>
        <w:rPr>
          <w:lang w:val="en-US"/>
        </w:rPr>
        <w:t>The London Clinic</w:t>
      </w:r>
      <w:r w:rsidR="00F566A9">
        <w:rPr>
          <w:lang w:val="en-US"/>
        </w:rPr>
        <w:t>, London, UK</w:t>
      </w:r>
    </w:p>
    <w:p w14:paraId="525F7A54" w14:textId="77777777" w:rsidR="00B021F9" w:rsidRDefault="00B021F9" w:rsidP="00A92481">
      <w:pPr>
        <w:autoSpaceDE w:val="0"/>
        <w:autoSpaceDN w:val="0"/>
        <w:adjustRightInd w:val="0"/>
        <w:spacing w:line="360" w:lineRule="auto"/>
        <w:rPr>
          <w:rFonts w:ascii="Times-Bold" w:hAnsi="Times-Bold" w:cs="Times-Bold"/>
          <w:b/>
          <w:bCs/>
        </w:rPr>
      </w:pPr>
    </w:p>
    <w:p w14:paraId="6AF87952" w14:textId="51736110" w:rsidR="00F566A9" w:rsidRDefault="00B021F9" w:rsidP="00A92481">
      <w:pPr>
        <w:autoSpaceDE w:val="0"/>
        <w:autoSpaceDN w:val="0"/>
        <w:adjustRightInd w:val="0"/>
        <w:spacing w:line="360" w:lineRule="auto"/>
        <w:rPr>
          <w:rFonts w:ascii="Times-Bold" w:hAnsi="Times-Bold" w:cs="Times-Bold"/>
          <w:b/>
          <w:bCs/>
        </w:rPr>
      </w:pPr>
      <w:r>
        <w:rPr>
          <w:rFonts w:ascii="Times-Bold" w:hAnsi="Times-Bold" w:cs="Times-Bold"/>
          <w:b/>
          <w:bCs/>
        </w:rPr>
        <w:t>CORRESPONDING AUTHOR</w:t>
      </w:r>
    </w:p>
    <w:p w14:paraId="33D7BE5C" w14:textId="11DA8257" w:rsidR="00B021F9" w:rsidRDefault="00B021F9" w:rsidP="00A92481">
      <w:pPr>
        <w:autoSpaceDE w:val="0"/>
        <w:autoSpaceDN w:val="0"/>
        <w:adjustRightInd w:val="0"/>
        <w:spacing w:line="360" w:lineRule="auto"/>
        <w:rPr>
          <w:lang w:val="en-US"/>
        </w:rPr>
      </w:pPr>
      <w:proofErr w:type="spellStart"/>
      <w:r>
        <w:rPr>
          <w:lang w:val="en-US"/>
        </w:rPr>
        <w:t>Mr</w:t>
      </w:r>
      <w:proofErr w:type="spellEnd"/>
      <w:r>
        <w:rPr>
          <w:lang w:val="en-US"/>
        </w:rPr>
        <w:t xml:space="preserve"> </w:t>
      </w:r>
      <w:proofErr w:type="spellStart"/>
      <w:r w:rsidRPr="00AE7D5E">
        <w:rPr>
          <w:lang w:val="en-US"/>
        </w:rPr>
        <w:t>E</w:t>
      </w:r>
      <w:r>
        <w:rPr>
          <w:lang w:val="en-US"/>
        </w:rPr>
        <w:t>rlick</w:t>
      </w:r>
      <w:proofErr w:type="spellEnd"/>
      <w:r>
        <w:rPr>
          <w:lang w:val="en-US"/>
        </w:rPr>
        <w:t xml:space="preserve"> </w:t>
      </w:r>
      <w:r w:rsidRPr="00AE7D5E">
        <w:rPr>
          <w:lang w:val="en-US"/>
        </w:rPr>
        <w:t>Pereira</w:t>
      </w:r>
      <w:r>
        <w:rPr>
          <w:lang w:val="en-US"/>
        </w:rPr>
        <w:t>, Reader in Neurosurgery, City St George’s, University of London and St George’s University Hospital, London SW17 0QT, United Kingdom.</w:t>
      </w:r>
    </w:p>
    <w:p w14:paraId="2695D14E" w14:textId="722D2D93" w:rsidR="00B021F9" w:rsidRPr="00B021F9" w:rsidRDefault="00B021F9" w:rsidP="00A92481">
      <w:pPr>
        <w:autoSpaceDE w:val="0"/>
        <w:autoSpaceDN w:val="0"/>
        <w:adjustRightInd w:val="0"/>
        <w:spacing w:line="360" w:lineRule="auto"/>
        <w:rPr>
          <w:rFonts w:ascii="Times-Bold" w:hAnsi="Times-Bold" w:cs="Times-Bold"/>
          <w:b/>
          <w:bCs/>
        </w:rPr>
      </w:pPr>
      <w:r>
        <w:rPr>
          <w:lang w:val="en-US"/>
        </w:rPr>
        <w:t>Email eacp@eacp.co.uk</w:t>
      </w:r>
    </w:p>
    <w:p w14:paraId="6C74C8EC" w14:textId="77777777" w:rsidR="00B021F9" w:rsidRDefault="00B021F9" w:rsidP="00A92481">
      <w:pPr>
        <w:autoSpaceDE w:val="0"/>
        <w:autoSpaceDN w:val="0"/>
        <w:adjustRightInd w:val="0"/>
        <w:spacing w:line="360" w:lineRule="auto"/>
        <w:rPr>
          <w:rFonts w:ascii="Times-Bold" w:hAnsi="Times-Bold" w:cs="Times-Bold"/>
          <w:b/>
          <w:bCs/>
        </w:rPr>
      </w:pPr>
    </w:p>
    <w:p w14:paraId="6AE6E462" w14:textId="5968C5CD" w:rsidR="00B021F9" w:rsidRDefault="00B021F9" w:rsidP="00A92481">
      <w:pPr>
        <w:autoSpaceDE w:val="0"/>
        <w:autoSpaceDN w:val="0"/>
        <w:adjustRightInd w:val="0"/>
        <w:spacing w:line="360" w:lineRule="auto"/>
        <w:rPr>
          <w:rFonts w:ascii="Times-Bold" w:hAnsi="Times-Bold" w:cs="Times-Bold"/>
          <w:b/>
          <w:bCs/>
        </w:rPr>
      </w:pPr>
      <w:r>
        <w:rPr>
          <w:rFonts w:ascii="Times-Bold" w:hAnsi="Times-Bold" w:cs="Times-Bold"/>
          <w:b/>
          <w:bCs/>
        </w:rPr>
        <w:t>KEY WORDS</w:t>
      </w:r>
    </w:p>
    <w:p w14:paraId="7C3DA3D9" w14:textId="5D5774D9" w:rsidR="00B021F9" w:rsidRPr="00B021F9" w:rsidRDefault="00B021F9" w:rsidP="00A92481">
      <w:pPr>
        <w:autoSpaceDE w:val="0"/>
        <w:autoSpaceDN w:val="0"/>
        <w:adjustRightInd w:val="0"/>
        <w:spacing w:line="360" w:lineRule="auto"/>
        <w:rPr>
          <w:rFonts w:ascii="Times-Bold" w:hAnsi="Times-Bold" w:cs="Times-Bold"/>
        </w:rPr>
      </w:pPr>
      <w:r>
        <w:rPr>
          <w:lang w:val="en-US"/>
        </w:rPr>
        <w:t xml:space="preserve">Deep Brain Stimulation, </w:t>
      </w:r>
      <w:r w:rsidR="00433F44">
        <w:rPr>
          <w:lang w:val="en-US"/>
        </w:rPr>
        <w:t xml:space="preserve">CT-verified, General </w:t>
      </w:r>
      <w:proofErr w:type="spellStart"/>
      <w:r w:rsidR="00433F44">
        <w:rPr>
          <w:lang w:val="en-US"/>
        </w:rPr>
        <w:t>Anaesthesia</w:t>
      </w:r>
      <w:proofErr w:type="spellEnd"/>
      <w:r w:rsidR="00CB1E02">
        <w:rPr>
          <w:lang w:val="en-US"/>
        </w:rPr>
        <w:t>, Neurosurgery, Stereotactic Surgery</w:t>
      </w:r>
    </w:p>
    <w:p w14:paraId="1DBC075E" w14:textId="77777777" w:rsidR="00B021F9" w:rsidRDefault="00B021F9" w:rsidP="00A92481">
      <w:pPr>
        <w:autoSpaceDE w:val="0"/>
        <w:autoSpaceDN w:val="0"/>
        <w:adjustRightInd w:val="0"/>
        <w:spacing w:line="360" w:lineRule="auto"/>
        <w:rPr>
          <w:rFonts w:ascii="Times-Bold" w:hAnsi="Times-Bold" w:cs="Times-Bold"/>
          <w:b/>
          <w:bCs/>
        </w:rPr>
      </w:pPr>
    </w:p>
    <w:p w14:paraId="24356DD9" w14:textId="62518554" w:rsidR="00A92481" w:rsidRDefault="00A92481" w:rsidP="00A92481">
      <w:pPr>
        <w:autoSpaceDE w:val="0"/>
        <w:autoSpaceDN w:val="0"/>
        <w:adjustRightInd w:val="0"/>
        <w:spacing w:line="360" w:lineRule="auto"/>
        <w:rPr>
          <w:rFonts w:ascii="Times-Bold" w:hAnsi="Times-Bold" w:cs="Times-Bold"/>
          <w:b/>
          <w:bCs/>
        </w:rPr>
      </w:pPr>
      <w:r>
        <w:rPr>
          <w:rFonts w:ascii="Times-Bold" w:hAnsi="Times-Bold" w:cs="Times-Bold"/>
          <w:b/>
          <w:bCs/>
        </w:rPr>
        <w:t>WORD COUNT</w:t>
      </w:r>
    </w:p>
    <w:p w14:paraId="30C3E7F0" w14:textId="170DA56F" w:rsidR="00A92481" w:rsidRDefault="00433F44" w:rsidP="00A92481">
      <w:pPr>
        <w:pStyle w:val="BodyText"/>
      </w:pPr>
      <w:r>
        <w:t>62</w:t>
      </w:r>
      <w:r w:rsidR="00A1667B">
        <w:t>4</w:t>
      </w:r>
    </w:p>
    <w:p w14:paraId="66A5AE50" w14:textId="77777777" w:rsidR="00A92481" w:rsidRDefault="00A92481" w:rsidP="00A92481">
      <w:pPr>
        <w:autoSpaceDE w:val="0"/>
        <w:autoSpaceDN w:val="0"/>
        <w:adjustRightInd w:val="0"/>
        <w:spacing w:line="360" w:lineRule="auto"/>
        <w:rPr>
          <w:rFonts w:ascii="Times-Bold" w:hAnsi="Times-Bold" w:cs="Times-Bold"/>
          <w:b/>
          <w:bCs/>
        </w:rPr>
      </w:pPr>
      <w:r>
        <w:rPr>
          <w:rFonts w:ascii="Times-Bold" w:hAnsi="Times-Bold" w:cs="Times-Bold"/>
          <w:b/>
          <w:bCs/>
        </w:rPr>
        <w:t>REFERENCES</w:t>
      </w:r>
    </w:p>
    <w:p w14:paraId="7D1D21E1" w14:textId="0D86455D" w:rsidR="00A92481" w:rsidRDefault="00433F44" w:rsidP="00A92481">
      <w:pPr>
        <w:pStyle w:val="BodyText"/>
      </w:pPr>
      <w:r>
        <w:t>1</w:t>
      </w:r>
    </w:p>
    <w:p w14:paraId="61A9A760" w14:textId="77777777" w:rsidR="00A92481" w:rsidRPr="005A3B7D" w:rsidRDefault="00A92481" w:rsidP="00A92481">
      <w:pPr>
        <w:autoSpaceDE w:val="0"/>
        <w:autoSpaceDN w:val="0"/>
        <w:adjustRightInd w:val="0"/>
        <w:spacing w:line="360" w:lineRule="auto"/>
        <w:rPr>
          <w:rFonts w:ascii="Times-Bold" w:hAnsi="Times-Bold" w:cs="Times-Bold"/>
          <w:b/>
          <w:bCs/>
        </w:rPr>
      </w:pPr>
      <w:r>
        <w:rPr>
          <w:rFonts w:ascii="Times-Bold" w:hAnsi="Times-Bold" w:cs="Times-Bold"/>
          <w:b/>
          <w:bCs/>
        </w:rPr>
        <w:t>FIGURES</w:t>
      </w:r>
    </w:p>
    <w:p w14:paraId="44870AC8" w14:textId="21BDC6BD" w:rsidR="00A92481" w:rsidRDefault="00433F44" w:rsidP="00A92481">
      <w:pPr>
        <w:pStyle w:val="BodyText"/>
        <w:rPr>
          <w:lang w:val="en-US"/>
        </w:rPr>
      </w:pPr>
      <w:r>
        <w:rPr>
          <w:lang w:val="en-US"/>
        </w:rPr>
        <w:t>0</w:t>
      </w:r>
    </w:p>
    <w:p w14:paraId="02503974" w14:textId="77777777" w:rsidR="008A6502" w:rsidRDefault="008A6502" w:rsidP="00A92481">
      <w:pPr>
        <w:pStyle w:val="BodyText"/>
        <w:rPr>
          <w:lang w:val="en-US"/>
        </w:rPr>
      </w:pPr>
    </w:p>
    <w:p w14:paraId="3146A18E" w14:textId="77777777" w:rsidR="00A92481" w:rsidRPr="000733D8" w:rsidRDefault="00A92481" w:rsidP="00A92481">
      <w:pPr>
        <w:pStyle w:val="HeadA"/>
        <w:spacing w:line="360" w:lineRule="auto"/>
        <w:rPr>
          <w:lang w:val="en-US"/>
        </w:rPr>
      </w:pPr>
    </w:p>
    <w:p w14:paraId="7DB0882B" w14:textId="493B5E37" w:rsidR="007078AB" w:rsidRDefault="00A92481" w:rsidP="002B6D89">
      <w:pPr>
        <w:pStyle w:val="Para"/>
        <w:ind w:firstLine="0"/>
      </w:pPr>
      <w:r w:rsidRPr="00520923">
        <w:rPr>
          <w:rStyle w:val="AbstractTitleChar"/>
          <w:lang w:val="en-US"/>
        </w:rPr>
        <w:br w:type="page"/>
      </w:r>
    </w:p>
    <w:p w14:paraId="7674A708" w14:textId="0C5D009E" w:rsidR="00433F44" w:rsidRDefault="00433F44" w:rsidP="00433F44">
      <w:pPr>
        <w:spacing w:line="360" w:lineRule="auto"/>
      </w:pPr>
      <w:r>
        <w:lastRenderedPageBreak/>
        <w:t xml:space="preserve">We read with interest </w:t>
      </w:r>
      <w:proofErr w:type="spellStart"/>
      <w:r>
        <w:t>Zrinzo</w:t>
      </w:r>
      <w:proofErr w:type="spellEnd"/>
      <w:r>
        <w:t xml:space="preserve"> et </w:t>
      </w:r>
      <w:proofErr w:type="spellStart"/>
      <w:r>
        <w:t>al’s</w:t>
      </w:r>
      <w:proofErr w:type="spellEnd"/>
      <w:r>
        <w:t xml:space="preserve"> audit of ‘two surgeons, one list’ parallel working enabling two DBS surgeries to be performed in one working day</w:t>
      </w:r>
      <w:r w:rsidR="002A0700">
        <w:t xml:space="preserve"> </w:t>
      </w:r>
      <w:r w:rsidR="002A0700">
        <w:fldChar w:fldCharType="begin"/>
      </w:r>
      <w:r w:rsidR="002A0700">
        <w:instrText xml:space="preserve"> ADDIN ZOTERO_ITEM CSL_CITATION {"citationID":"awEdzcdN","properties":{"formattedCitation":"[1]","plainCitation":"[1]","noteIndex":0},"citationItems":[{"id":774,"uris":["http://zotero.org/users/local/TE9as3Z0/items/BQAI8MPA"],"itemData":{"id":774,"type":"article-journal","abstract":"Introduction: Rising NHS waiting lists are a major problem following the COVID-19 pandemic. In our institution, surgical waiting time for elective functional neurosurgical procedures, such as deep brain stimulation (DBS) and radiofrequency ablation (RFA), reached &gt;1.5 years by the end of 2022. During 2023, reduced operating room availability, intraoperative MRI (iMRI) suite closure for refurbishment, and ongoing strikes threatened to increase waiting times further. Methods: Our previous surgical workflow for DBS and RFA procedures was examined. Several aspects were identified, and changes implemented to increase efficiency. Procedure numbers, waiting times, lead placement accuracy, and complication rates before and after these changes were compared. Results: Prior to 2023, an average of 0.8 new procedures were performed per surgical list. Introduction of a new workflow in 2023 allowed an average of 1.6 new procedures per surgical list (100% increase in productivity). In 2023, 95 DBS and 31 RFA procedures were performed on 79 surgical lists. This represents a 52% increase over “pre-pandemic” activity in 2019 (74 DBS, 9 RFA) on 102 available surgical lists. Mean (SD) targeting accuracy (0.8 [0.4] mm) was comparable to previous years (0.9[0.3] mm). In 2023, there were no infections requiring hardware removal and only one asymptomatic haemorrhage following an RFA procedure. The surgical waiting time was reduced from &gt;1.5 years to &lt;4 months by the end of 2023. Conclusion: Changes in surgical workflow, with neurosurgeons working in parallel, maximise surgical efficiency and productivity, significantly increasing the number of DBS and RFA procedures without compromising accuracy and safety.","container-title":"Stereotactic and Functional Neurosurgery","DOI":"10.1159/000542110","ISSN":"1011-6125, 1423-0372","journalAbbreviation":"Stereotact Funct Neurosurg","language":"en","license":"https://creativecommons.org/licenses/by/4.0/","page":"1-9","source":"DOI.org (Crossref)","title":"Disruption Driving Innovation: Optimising Efficiency in Functional Neurosurgery","title-short":"Disruption Driving Innovation","author":[{"family":"Zrinzo","given":"Ludvic"},{"family":"Akram","given":"Harith"},{"family":"Hyam","given":"Jonathan"},{"family":"Candelario-Mckeown","given":"Joseph"},{"family":"Rangnekar","given":"Ranjit"},{"family":"Nwanze","given":"Ashley"},{"family":"Xu","given":"San San"},{"family":"Foltynie","given":"Thomas"},{"family":"Limousin","given":"Patricia"},{"family":"Krüger","given":"Marie T."}],"issued":{"date-parts":[["2024",11,28]]}}}],"schema":"https://github.com/citation-style-language/schema/raw/master/csl-citation.json"} </w:instrText>
      </w:r>
      <w:r w:rsidR="002A0700">
        <w:fldChar w:fldCharType="separate"/>
      </w:r>
      <w:r w:rsidR="002A0700">
        <w:rPr>
          <w:noProof/>
        </w:rPr>
        <w:t>[1]</w:t>
      </w:r>
      <w:r w:rsidR="002A0700">
        <w:fldChar w:fldCharType="end"/>
      </w:r>
      <w:r>
        <w:t xml:space="preserve">.  We have been doing two DBS surgeries in a working day for over half a decade, in series as a single surgeon, often unassisted without </w:t>
      </w:r>
      <w:r w:rsidR="002A0700">
        <w:t>CT or MRI</w:t>
      </w:r>
      <w:r>
        <w:t xml:space="preserve"> in theatre.  </w:t>
      </w:r>
      <w:r w:rsidRPr="00BA2EA0">
        <w:t>In 2023, 34 cases were performed</w:t>
      </w:r>
      <w:r w:rsidR="002A0700">
        <w:t xml:space="preserve"> in one hospital</w:t>
      </w:r>
      <w:r w:rsidRPr="00BA2EA0">
        <w:t xml:space="preserve">, of which 22 were two cases in the same day.  </w:t>
      </w:r>
      <w:r>
        <w:t xml:space="preserve">Our workflow (with mean times) is pre-operative outpatient MRI and trajectory planning before day of surgery; general anaesthesia (17 min); stereotactic base-ring and localiser placement then transfer to CT (19 min); transfer to theatre and urinary catheter insertion by anaesthetist while stereotactic coordinates are obtained from CT fusion to MRI plan (26 min); brain electrode insertion (44 min); transfer to CT in frame </w:t>
      </w:r>
      <w:r w:rsidRPr="00BA2EA0">
        <w:t>for verification of electrode position</w:t>
      </w:r>
      <w:r>
        <w:t xml:space="preserve"> (17 min)</w:t>
      </w:r>
      <w:r w:rsidRPr="00BA2EA0">
        <w:t>; transfer to theatre for frame removal and pulse generator implantation</w:t>
      </w:r>
      <w:r>
        <w:t xml:space="preserve"> (31 min)</w:t>
      </w:r>
      <w:r w:rsidRPr="00BA2EA0">
        <w:t xml:space="preserve">.  Mean time from induction of anaesthesia to </w:t>
      </w:r>
      <w:proofErr w:type="spellStart"/>
      <w:r w:rsidRPr="00BA2EA0">
        <w:t>extubation</w:t>
      </w:r>
      <w:proofErr w:type="spellEnd"/>
      <w:r w:rsidRPr="00BA2EA0">
        <w:t xml:space="preserve"> was 181 min (</w:t>
      </w:r>
      <w:proofErr w:type="spellStart"/>
      <w:r w:rsidRPr="00BA2EA0">
        <w:t>sd</w:t>
      </w:r>
      <w:proofErr w:type="spellEnd"/>
      <w:r w:rsidRPr="00BA2EA0">
        <w:t xml:space="preserve"> 32 min). </w:t>
      </w:r>
      <w:r>
        <w:t xml:space="preserve">  </w:t>
      </w:r>
      <w:r w:rsidRPr="00BA2EA0">
        <w:t>The</w:t>
      </w:r>
      <w:r>
        <w:t xml:space="preserve"> workflow was modified a few times to implant the IPG while still in the frame before the verification CT due to radiographers advising delay of half an hour or more for CT access.  A typical operating list would commence with WHO briefing at 9am, mean knife to skin 9:59am for the first case and mean skin closure at 4:40pm for the second case.</w:t>
      </w:r>
    </w:p>
    <w:p w14:paraId="7438CCCC" w14:textId="77777777" w:rsidR="00433F44" w:rsidRDefault="00433F44" w:rsidP="002A0700">
      <w:pPr>
        <w:spacing w:line="360" w:lineRule="auto"/>
        <w:ind w:firstLine="720"/>
      </w:pPr>
      <w:r>
        <w:t xml:space="preserve">The authors are a long-established high-volume DBS centre with a reputation for publishing audits of outstanding clinical outcomes from an MRI guided, MRI verified asleep surgical approach emphasising the superiority of direct target visualisation by MRI.  We are pleased to see their recent acknowledgment of CT verification as having benefits in more accurately determining electrode depth and reducing time being scanned.  We agree that minimising air ingress and thus brain shift during surgery optimises accuracy and contend that this is augmented by a 3mm </w:t>
      </w:r>
      <w:proofErr w:type="spellStart"/>
      <w:r>
        <w:t>twistdrill</w:t>
      </w:r>
      <w:proofErr w:type="spellEnd"/>
      <w:r>
        <w:t xml:space="preserve"> </w:t>
      </w:r>
      <w:proofErr w:type="spellStart"/>
      <w:r>
        <w:t>craniostomy</w:t>
      </w:r>
      <w:proofErr w:type="spellEnd"/>
      <w:r>
        <w:t xml:space="preserve"> and quick operation.  With constant improvements in modern DBS planning software, their workflow could be sped up further by a ‘CT fusion to prior MRI’ guided approach.  We do not know that their fiducial registration of framed CT to framed MRI is necessarily more accurate than our head registration of framed CT to prior </w:t>
      </w:r>
      <w:proofErr w:type="gramStart"/>
      <w:r>
        <w:t>MRI</w:t>
      </w:r>
      <w:proofErr w:type="gramEnd"/>
      <w:r>
        <w:t xml:space="preserve"> but this would be worthy of further investigation.  We have also found that server-based planning solutions expedite surgeries as planning and checking can be done ‘on the go’ from a laptop or any hospital computer whether in theatre, scanner or at home.</w:t>
      </w:r>
    </w:p>
    <w:p w14:paraId="4215A7B8" w14:textId="77777777" w:rsidR="00433F44" w:rsidRDefault="00433F44" w:rsidP="00433F44">
      <w:pPr>
        <w:spacing w:line="360" w:lineRule="auto"/>
      </w:pPr>
    </w:p>
    <w:p w14:paraId="7009F32D" w14:textId="24F3B825" w:rsidR="00433F44" w:rsidRDefault="00433F44" w:rsidP="00433F44">
      <w:pPr>
        <w:spacing w:line="360" w:lineRule="auto"/>
      </w:pPr>
      <w:r>
        <w:lastRenderedPageBreak/>
        <w:t xml:space="preserve">Our similar approach to </w:t>
      </w:r>
      <w:r w:rsidR="002A0700">
        <w:t xml:space="preserve">the authors in </w:t>
      </w:r>
      <w:r>
        <w:t xml:space="preserve">performing quick, asleep DBS </w:t>
      </w:r>
      <w:r w:rsidR="00F54046">
        <w:t xml:space="preserve">without microelectrode recording </w:t>
      </w:r>
      <w:r>
        <w:t xml:space="preserve">has been driven by a belief that minimising operative (and general anaesthetic) time minimises risks of infection, thromboembolic events thus morbidity and optimises recovery thus outcome, particularly for more frail Parkinson’s patients.  Ultimately DBS centres should adapt solutions to local infrastructure availability or its disruption.  We perform DBS in three to four hospitals that currently lack MRI-compatible stereotactic frames let alone intra-operative MRI or cranial robots, but whether such technologies are superior for bilateral DBS alone is debatable.  We commend the authors for having adapted their workflow to increase efficiency, even with ample technological resource, </w:t>
      </w:r>
      <w:proofErr w:type="gramStart"/>
      <w:r>
        <w:t>and also</w:t>
      </w:r>
      <w:proofErr w:type="gramEnd"/>
      <w:r>
        <w:t xml:space="preserve"> reduced their public sector patient waiting times for DBS.  It is heartening to see service improvements made not just to improve patient care but also for patient access to care.</w:t>
      </w:r>
    </w:p>
    <w:p w14:paraId="3C192AF8" w14:textId="03FE0CB6" w:rsidR="00433F44" w:rsidRDefault="00433F44" w:rsidP="002A0700">
      <w:pPr>
        <w:spacing w:line="360" w:lineRule="auto"/>
        <w:ind w:firstLine="720"/>
      </w:pPr>
      <w:r>
        <w:t xml:space="preserve">DBS is a complex operation.  Few other surgeries have so many steps before knife to skin.  </w:t>
      </w:r>
      <w:proofErr w:type="spellStart"/>
      <w:r>
        <w:t>Zrinzo</w:t>
      </w:r>
      <w:proofErr w:type="spellEnd"/>
      <w:r>
        <w:t xml:space="preserve"> et al show how productivity can be doubled with the complexity juggled by roleplay between two senior surgeons.  Here we describe alternative nuances to surgical workflow that we hope can also help solo functional neurosurgeons to increase their speed and productivity.</w:t>
      </w:r>
    </w:p>
    <w:p w14:paraId="0D3C39F0" w14:textId="2ABBC603" w:rsidR="00B43C8D" w:rsidRDefault="00B43C8D" w:rsidP="00A92481">
      <w:pPr>
        <w:pStyle w:val="HeadA"/>
        <w:spacing w:line="360" w:lineRule="auto"/>
        <w:rPr>
          <w:bCs/>
          <w:szCs w:val="24"/>
          <w:lang w:val="en-US"/>
        </w:rPr>
      </w:pPr>
      <w:r>
        <w:rPr>
          <w:bCs/>
          <w:szCs w:val="24"/>
          <w:lang w:val="en-US"/>
        </w:rPr>
        <w:t>Acknowledgments</w:t>
      </w:r>
    </w:p>
    <w:p w14:paraId="6EA8560C" w14:textId="1814DBE5" w:rsidR="00B43C8D" w:rsidRPr="00B43C8D" w:rsidRDefault="00B43C8D" w:rsidP="00A92481">
      <w:pPr>
        <w:pStyle w:val="HeadA"/>
        <w:spacing w:line="360" w:lineRule="auto"/>
        <w:rPr>
          <w:b w:val="0"/>
          <w:szCs w:val="24"/>
          <w:lang w:val="en-US"/>
        </w:rPr>
      </w:pPr>
      <w:r>
        <w:rPr>
          <w:b w:val="0"/>
          <w:szCs w:val="24"/>
          <w:lang w:val="en-US"/>
        </w:rPr>
        <w:t xml:space="preserve">The authors acknowledge Dr </w:t>
      </w:r>
      <w:proofErr w:type="spellStart"/>
      <w:r>
        <w:rPr>
          <w:b w:val="0"/>
          <w:szCs w:val="24"/>
          <w:lang w:val="en-US"/>
        </w:rPr>
        <w:t>Moein</w:t>
      </w:r>
      <w:proofErr w:type="spellEnd"/>
      <w:r>
        <w:rPr>
          <w:b w:val="0"/>
          <w:szCs w:val="24"/>
          <w:lang w:val="en-US"/>
        </w:rPr>
        <w:t xml:space="preserve"> </w:t>
      </w:r>
      <w:proofErr w:type="spellStart"/>
      <w:r>
        <w:rPr>
          <w:b w:val="0"/>
          <w:szCs w:val="24"/>
          <w:lang w:val="en-US"/>
        </w:rPr>
        <w:t>Tavakkoli</w:t>
      </w:r>
      <w:proofErr w:type="spellEnd"/>
      <w:r>
        <w:rPr>
          <w:b w:val="0"/>
          <w:szCs w:val="24"/>
          <w:lang w:val="en-US"/>
        </w:rPr>
        <w:t>-Zadeh for anaesthetizing some cases.</w:t>
      </w:r>
    </w:p>
    <w:p w14:paraId="3DAECCF3" w14:textId="72E17E85" w:rsidR="00B43C8D" w:rsidRDefault="00B43C8D" w:rsidP="00A92481">
      <w:pPr>
        <w:pStyle w:val="HeadA"/>
        <w:spacing w:line="360" w:lineRule="auto"/>
        <w:rPr>
          <w:bCs/>
          <w:szCs w:val="24"/>
          <w:lang w:val="en-US"/>
        </w:rPr>
      </w:pPr>
      <w:r>
        <w:rPr>
          <w:bCs/>
          <w:szCs w:val="24"/>
          <w:lang w:val="en-US"/>
        </w:rPr>
        <w:t>Conflict of Interest</w:t>
      </w:r>
    </w:p>
    <w:p w14:paraId="1F87EDCD" w14:textId="450D14AE" w:rsidR="00B43C8D" w:rsidRPr="00B43C8D" w:rsidRDefault="00B43C8D" w:rsidP="00A92481">
      <w:pPr>
        <w:pStyle w:val="HeadA"/>
        <w:spacing w:line="360" w:lineRule="auto"/>
        <w:rPr>
          <w:b w:val="0"/>
          <w:szCs w:val="24"/>
          <w:lang w:val="en-US"/>
        </w:rPr>
      </w:pPr>
      <w:r>
        <w:rPr>
          <w:b w:val="0"/>
          <w:szCs w:val="24"/>
          <w:lang w:val="en-US"/>
        </w:rPr>
        <w:t>The authors have no conflicts of interest</w:t>
      </w:r>
      <w:r w:rsidR="003B5EB3">
        <w:rPr>
          <w:b w:val="0"/>
          <w:szCs w:val="24"/>
          <w:lang w:val="en-US"/>
        </w:rPr>
        <w:t xml:space="preserve"> to declare</w:t>
      </w:r>
      <w:r>
        <w:rPr>
          <w:b w:val="0"/>
          <w:szCs w:val="24"/>
          <w:lang w:val="en-US"/>
        </w:rPr>
        <w:t>.</w:t>
      </w:r>
    </w:p>
    <w:p w14:paraId="6BF0EE17" w14:textId="44C6B23E" w:rsidR="00B43C8D" w:rsidRDefault="00B43C8D" w:rsidP="00A92481">
      <w:pPr>
        <w:pStyle w:val="HeadA"/>
        <w:spacing w:line="360" w:lineRule="auto"/>
        <w:rPr>
          <w:bCs/>
          <w:szCs w:val="24"/>
          <w:lang w:val="en-US"/>
        </w:rPr>
      </w:pPr>
      <w:r>
        <w:rPr>
          <w:bCs/>
          <w:szCs w:val="24"/>
          <w:lang w:val="en-US"/>
        </w:rPr>
        <w:t>Funding Sources</w:t>
      </w:r>
    </w:p>
    <w:p w14:paraId="1C08E82A" w14:textId="65051AF2" w:rsidR="00B43C8D" w:rsidRPr="00B43C8D" w:rsidRDefault="00B43C8D" w:rsidP="00A92481">
      <w:pPr>
        <w:pStyle w:val="HeadA"/>
        <w:spacing w:line="360" w:lineRule="auto"/>
        <w:rPr>
          <w:b w:val="0"/>
          <w:szCs w:val="24"/>
          <w:lang w:val="en-US"/>
        </w:rPr>
      </w:pPr>
      <w:r>
        <w:rPr>
          <w:b w:val="0"/>
          <w:szCs w:val="24"/>
          <w:lang w:val="en-US"/>
        </w:rPr>
        <w:t>The authors received no external funding.</w:t>
      </w:r>
    </w:p>
    <w:p w14:paraId="471ABEB5" w14:textId="41365945" w:rsidR="00B43C8D" w:rsidRDefault="00B43C8D" w:rsidP="00A92481">
      <w:pPr>
        <w:pStyle w:val="HeadA"/>
        <w:spacing w:line="360" w:lineRule="auto"/>
        <w:rPr>
          <w:bCs/>
          <w:szCs w:val="24"/>
          <w:lang w:val="en-US"/>
        </w:rPr>
      </w:pPr>
      <w:r>
        <w:rPr>
          <w:bCs/>
          <w:szCs w:val="24"/>
          <w:lang w:val="en-US"/>
        </w:rPr>
        <w:t>Author Contributions</w:t>
      </w:r>
    </w:p>
    <w:p w14:paraId="1662C3CB" w14:textId="43745613" w:rsidR="00B43C8D" w:rsidRPr="00B43C8D" w:rsidRDefault="00B43C8D" w:rsidP="00A92481">
      <w:pPr>
        <w:pStyle w:val="HeadA"/>
        <w:spacing w:line="360" w:lineRule="auto"/>
        <w:rPr>
          <w:b w:val="0"/>
          <w:szCs w:val="24"/>
          <w:lang w:val="en-US"/>
        </w:rPr>
      </w:pPr>
      <w:r>
        <w:rPr>
          <w:b w:val="0"/>
          <w:szCs w:val="24"/>
          <w:lang w:val="en-US"/>
        </w:rPr>
        <w:t>EP conceived and wrote the letter and performed the operations.  TS collated and analyzed the data. AT reviewed the data and anaesthetized most cases.</w:t>
      </w:r>
    </w:p>
    <w:p w14:paraId="59134F48" w14:textId="7CC8C808" w:rsidR="00BA5FDD" w:rsidRPr="008344F4" w:rsidRDefault="00A92481" w:rsidP="00A92481">
      <w:pPr>
        <w:pStyle w:val="HeadA"/>
        <w:spacing w:line="360" w:lineRule="auto"/>
        <w:rPr>
          <w:bCs/>
          <w:szCs w:val="24"/>
          <w:lang w:val="en-US"/>
        </w:rPr>
      </w:pPr>
      <w:r w:rsidRPr="009B4FE3">
        <w:rPr>
          <w:bCs/>
          <w:szCs w:val="24"/>
          <w:lang w:val="en-US"/>
        </w:rPr>
        <w:t>References</w:t>
      </w:r>
    </w:p>
    <w:p w14:paraId="349842C6" w14:textId="77777777" w:rsidR="002A0700" w:rsidRPr="002A0700" w:rsidRDefault="002A0700" w:rsidP="002A0700">
      <w:pPr>
        <w:pStyle w:val="Bibliography"/>
      </w:pPr>
      <w:r>
        <w:rPr>
          <w:b/>
        </w:rPr>
        <w:fldChar w:fldCharType="begin"/>
      </w:r>
      <w:r>
        <w:rPr>
          <w:b/>
        </w:rPr>
        <w:instrText xml:space="preserve"> ADDIN ZOTERO_BIBL {"uncited":[],"omitted":[],"custom":[]} CSL_BIBLIOGRAPHY </w:instrText>
      </w:r>
      <w:r>
        <w:rPr>
          <w:b/>
        </w:rPr>
        <w:fldChar w:fldCharType="separate"/>
      </w:r>
      <w:r w:rsidRPr="002A0700">
        <w:t xml:space="preserve">1 </w:t>
      </w:r>
      <w:r w:rsidRPr="002A0700">
        <w:tab/>
        <w:t xml:space="preserve">Zrinzo L, Akram H, Hyam J, Candelario-Mckeown J, Rangnekar R, Nwanze A, et al. Disruption Driving Innovation: Optimising Efficiency in Functional Neurosurgery. Stereotact Funct Neurosurg. 2024 Nov;1–9. </w:t>
      </w:r>
    </w:p>
    <w:p w14:paraId="3B8608AA" w14:textId="3E245673" w:rsidR="000E37D0" w:rsidRPr="00BF0001" w:rsidRDefault="002A0700" w:rsidP="00BF0001">
      <w:pPr>
        <w:rPr>
          <w:b/>
        </w:rPr>
      </w:pPr>
      <w:r>
        <w:rPr>
          <w:b/>
        </w:rPr>
        <w:fldChar w:fldCharType="end"/>
      </w:r>
    </w:p>
    <w:sectPr w:rsidR="000E37D0" w:rsidRPr="00BF0001" w:rsidSect="00B43C8D">
      <w:footerReference w:type="default" r:id="rId8"/>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28F1" w14:textId="77777777" w:rsidR="00227A84" w:rsidRDefault="00227A84">
      <w:r>
        <w:separator/>
      </w:r>
    </w:p>
  </w:endnote>
  <w:endnote w:type="continuationSeparator" w:id="0">
    <w:p w14:paraId="089375DE" w14:textId="77777777" w:rsidR="00227A84" w:rsidRDefault="0022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8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6510" w14:textId="77777777" w:rsidR="008E302C" w:rsidRPr="00A92481" w:rsidRDefault="008E302C" w:rsidP="00A92481">
    <w:pPr>
      <w:pStyle w:val="Footer"/>
      <w:jc w:val="center"/>
      <w:rPr>
        <w:sz w:val="20"/>
        <w:szCs w:val="20"/>
      </w:rPr>
    </w:pPr>
    <w:r w:rsidRPr="00A92481">
      <w:rPr>
        <w:sz w:val="20"/>
        <w:szCs w:val="20"/>
      </w:rPr>
      <w:t xml:space="preserve">Page </w:t>
    </w:r>
    <w:r w:rsidRPr="00A92481">
      <w:rPr>
        <w:rStyle w:val="PageNumber"/>
        <w:sz w:val="20"/>
        <w:szCs w:val="20"/>
      </w:rPr>
      <w:fldChar w:fldCharType="begin"/>
    </w:r>
    <w:r w:rsidRPr="00A92481">
      <w:rPr>
        <w:rStyle w:val="PageNumber"/>
        <w:sz w:val="20"/>
        <w:szCs w:val="20"/>
      </w:rPr>
      <w:instrText xml:space="preserve"> PAGE </w:instrText>
    </w:r>
    <w:r w:rsidRPr="00A92481">
      <w:rPr>
        <w:rStyle w:val="PageNumber"/>
        <w:sz w:val="20"/>
        <w:szCs w:val="20"/>
      </w:rPr>
      <w:fldChar w:fldCharType="separate"/>
    </w:r>
    <w:r>
      <w:rPr>
        <w:rStyle w:val="PageNumber"/>
        <w:noProof/>
        <w:sz w:val="20"/>
        <w:szCs w:val="20"/>
      </w:rPr>
      <w:t>4</w:t>
    </w:r>
    <w:r w:rsidRPr="00A92481">
      <w:rPr>
        <w:rStyle w:val="PageNumber"/>
        <w:sz w:val="20"/>
        <w:szCs w:val="20"/>
      </w:rPr>
      <w:fldChar w:fldCharType="end"/>
    </w:r>
    <w:r w:rsidRPr="00A92481">
      <w:rPr>
        <w:rStyle w:val="PageNumber"/>
        <w:sz w:val="20"/>
        <w:szCs w:val="20"/>
      </w:rPr>
      <w:t xml:space="preserve"> of </w:t>
    </w:r>
    <w:r w:rsidRPr="00071A4E">
      <w:rPr>
        <w:rStyle w:val="PageNumber"/>
        <w:sz w:val="20"/>
        <w:szCs w:val="20"/>
      </w:rPr>
      <w:fldChar w:fldCharType="begin"/>
    </w:r>
    <w:r w:rsidRPr="00071A4E">
      <w:rPr>
        <w:rStyle w:val="PageNumber"/>
        <w:sz w:val="20"/>
        <w:szCs w:val="20"/>
      </w:rPr>
      <w:instrText xml:space="preserve"> NUMPAGES </w:instrText>
    </w:r>
    <w:r w:rsidRPr="00071A4E">
      <w:rPr>
        <w:rStyle w:val="PageNumber"/>
        <w:sz w:val="20"/>
        <w:szCs w:val="20"/>
      </w:rPr>
      <w:fldChar w:fldCharType="separate"/>
    </w:r>
    <w:r>
      <w:rPr>
        <w:rStyle w:val="PageNumber"/>
        <w:noProof/>
        <w:sz w:val="20"/>
        <w:szCs w:val="20"/>
      </w:rPr>
      <w:t>5</w:t>
    </w:r>
    <w:r w:rsidRPr="00071A4E">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C1F5" w14:textId="77777777" w:rsidR="00227A84" w:rsidRDefault="00227A84">
      <w:r>
        <w:separator/>
      </w:r>
    </w:p>
  </w:footnote>
  <w:footnote w:type="continuationSeparator" w:id="0">
    <w:p w14:paraId="78D4CD35" w14:textId="77777777" w:rsidR="00227A84" w:rsidRDefault="0022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622"/>
    <w:multiLevelType w:val="hybridMultilevel"/>
    <w:tmpl w:val="17128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E10B7"/>
    <w:multiLevelType w:val="hybridMultilevel"/>
    <w:tmpl w:val="8F809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194D15"/>
    <w:multiLevelType w:val="hybridMultilevel"/>
    <w:tmpl w:val="020CF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7206A"/>
    <w:multiLevelType w:val="multilevel"/>
    <w:tmpl w:val="94F0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330628">
    <w:abstractNumId w:val="3"/>
  </w:num>
  <w:num w:numId="2" w16cid:durableId="1324510812">
    <w:abstractNumId w:val="0"/>
  </w:num>
  <w:num w:numId="3" w16cid:durableId="1257863542">
    <w:abstractNumId w:val="2"/>
  </w:num>
  <w:num w:numId="4" w16cid:durableId="23679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Brit J Surge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ACP training.enl&lt;/item&gt;&lt;/Libraries&gt;&lt;/ENLibraries&gt;"/>
  </w:docVars>
  <w:rsids>
    <w:rsidRoot w:val="00FC05DB"/>
    <w:rsid w:val="000105FE"/>
    <w:rsid w:val="00013E75"/>
    <w:rsid w:val="00023740"/>
    <w:rsid w:val="00023BE5"/>
    <w:rsid w:val="0002431E"/>
    <w:rsid w:val="0002536B"/>
    <w:rsid w:val="00037C5B"/>
    <w:rsid w:val="00040191"/>
    <w:rsid w:val="0004019E"/>
    <w:rsid w:val="00040611"/>
    <w:rsid w:val="00044E42"/>
    <w:rsid w:val="000505BD"/>
    <w:rsid w:val="000632C4"/>
    <w:rsid w:val="00067930"/>
    <w:rsid w:val="0007063A"/>
    <w:rsid w:val="00071A4E"/>
    <w:rsid w:val="000733D8"/>
    <w:rsid w:val="00083181"/>
    <w:rsid w:val="000A459E"/>
    <w:rsid w:val="000B2712"/>
    <w:rsid w:val="000B36D6"/>
    <w:rsid w:val="000C064B"/>
    <w:rsid w:val="000D0628"/>
    <w:rsid w:val="000D3585"/>
    <w:rsid w:val="000D4BA1"/>
    <w:rsid w:val="000D522D"/>
    <w:rsid w:val="000D5CEC"/>
    <w:rsid w:val="000E37D0"/>
    <w:rsid w:val="000E4FC2"/>
    <w:rsid w:val="000E6E87"/>
    <w:rsid w:val="000F5599"/>
    <w:rsid w:val="000F6438"/>
    <w:rsid w:val="00103DE5"/>
    <w:rsid w:val="001042AE"/>
    <w:rsid w:val="0012449A"/>
    <w:rsid w:val="00127279"/>
    <w:rsid w:val="001516A2"/>
    <w:rsid w:val="0016116D"/>
    <w:rsid w:val="00174811"/>
    <w:rsid w:val="00182402"/>
    <w:rsid w:val="00183098"/>
    <w:rsid w:val="00184108"/>
    <w:rsid w:val="00184ED2"/>
    <w:rsid w:val="00185359"/>
    <w:rsid w:val="00185D2C"/>
    <w:rsid w:val="001C5A01"/>
    <w:rsid w:val="001D7772"/>
    <w:rsid w:val="001F6B42"/>
    <w:rsid w:val="002029BC"/>
    <w:rsid w:val="002175BA"/>
    <w:rsid w:val="00217893"/>
    <w:rsid w:val="00227A84"/>
    <w:rsid w:val="00232335"/>
    <w:rsid w:val="00240436"/>
    <w:rsid w:val="0024204C"/>
    <w:rsid w:val="002538A1"/>
    <w:rsid w:val="002571FA"/>
    <w:rsid w:val="00277EB9"/>
    <w:rsid w:val="00280984"/>
    <w:rsid w:val="0028214E"/>
    <w:rsid w:val="00295E98"/>
    <w:rsid w:val="002A0700"/>
    <w:rsid w:val="002A192A"/>
    <w:rsid w:val="002A4A67"/>
    <w:rsid w:val="002B5BDB"/>
    <w:rsid w:val="002B6D89"/>
    <w:rsid w:val="002C72ED"/>
    <w:rsid w:val="002D53CC"/>
    <w:rsid w:val="002D7CD2"/>
    <w:rsid w:val="002E726E"/>
    <w:rsid w:val="002F66BC"/>
    <w:rsid w:val="00300F01"/>
    <w:rsid w:val="00306143"/>
    <w:rsid w:val="0031104B"/>
    <w:rsid w:val="003151CA"/>
    <w:rsid w:val="00331DE6"/>
    <w:rsid w:val="003427AE"/>
    <w:rsid w:val="00347BE7"/>
    <w:rsid w:val="003517FF"/>
    <w:rsid w:val="00352A52"/>
    <w:rsid w:val="00366E6A"/>
    <w:rsid w:val="00370708"/>
    <w:rsid w:val="00383825"/>
    <w:rsid w:val="00394DF9"/>
    <w:rsid w:val="00396E78"/>
    <w:rsid w:val="003A57E7"/>
    <w:rsid w:val="003A656C"/>
    <w:rsid w:val="003B1570"/>
    <w:rsid w:val="003B5EB3"/>
    <w:rsid w:val="003C73D7"/>
    <w:rsid w:val="003D1A09"/>
    <w:rsid w:val="003E5ADA"/>
    <w:rsid w:val="003F6F47"/>
    <w:rsid w:val="00401A4A"/>
    <w:rsid w:val="00412D32"/>
    <w:rsid w:val="0041324E"/>
    <w:rsid w:val="004162EF"/>
    <w:rsid w:val="004221FC"/>
    <w:rsid w:val="00423675"/>
    <w:rsid w:val="00425A7E"/>
    <w:rsid w:val="00431AB7"/>
    <w:rsid w:val="00433887"/>
    <w:rsid w:val="00433F44"/>
    <w:rsid w:val="0045144B"/>
    <w:rsid w:val="004516C6"/>
    <w:rsid w:val="004617A9"/>
    <w:rsid w:val="00465846"/>
    <w:rsid w:val="0047612E"/>
    <w:rsid w:val="004828C0"/>
    <w:rsid w:val="00482E0A"/>
    <w:rsid w:val="004909FF"/>
    <w:rsid w:val="0049184F"/>
    <w:rsid w:val="004A6823"/>
    <w:rsid w:val="004B0E26"/>
    <w:rsid w:val="004C2468"/>
    <w:rsid w:val="004D07CF"/>
    <w:rsid w:val="004E0F80"/>
    <w:rsid w:val="004E49DD"/>
    <w:rsid w:val="004E78C0"/>
    <w:rsid w:val="004E7999"/>
    <w:rsid w:val="00500179"/>
    <w:rsid w:val="00520923"/>
    <w:rsid w:val="005218C0"/>
    <w:rsid w:val="005263CC"/>
    <w:rsid w:val="00545F9A"/>
    <w:rsid w:val="00562DCE"/>
    <w:rsid w:val="00563BD8"/>
    <w:rsid w:val="00564950"/>
    <w:rsid w:val="005745E5"/>
    <w:rsid w:val="005842CF"/>
    <w:rsid w:val="00584B33"/>
    <w:rsid w:val="00590433"/>
    <w:rsid w:val="005A4DC0"/>
    <w:rsid w:val="005A6690"/>
    <w:rsid w:val="005B47A7"/>
    <w:rsid w:val="005B7BC0"/>
    <w:rsid w:val="005C4D8C"/>
    <w:rsid w:val="005D2647"/>
    <w:rsid w:val="005E6A0D"/>
    <w:rsid w:val="005E6B57"/>
    <w:rsid w:val="00612FE2"/>
    <w:rsid w:val="0061327C"/>
    <w:rsid w:val="00641E3E"/>
    <w:rsid w:val="0064782A"/>
    <w:rsid w:val="00667AE8"/>
    <w:rsid w:val="00674F96"/>
    <w:rsid w:val="006803F5"/>
    <w:rsid w:val="00681D7E"/>
    <w:rsid w:val="00681DF2"/>
    <w:rsid w:val="00686FFC"/>
    <w:rsid w:val="006900FB"/>
    <w:rsid w:val="006936C3"/>
    <w:rsid w:val="006A46CC"/>
    <w:rsid w:val="006B2044"/>
    <w:rsid w:val="006B27BE"/>
    <w:rsid w:val="006C0CC0"/>
    <w:rsid w:val="006C2EF2"/>
    <w:rsid w:val="006C5C9F"/>
    <w:rsid w:val="006E0EA4"/>
    <w:rsid w:val="006E1E9C"/>
    <w:rsid w:val="006F3075"/>
    <w:rsid w:val="006F417B"/>
    <w:rsid w:val="00702D62"/>
    <w:rsid w:val="00706E07"/>
    <w:rsid w:val="007078AB"/>
    <w:rsid w:val="00720843"/>
    <w:rsid w:val="00724F42"/>
    <w:rsid w:val="00732F46"/>
    <w:rsid w:val="007458B2"/>
    <w:rsid w:val="00746A60"/>
    <w:rsid w:val="00750448"/>
    <w:rsid w:val="00765BF4"/>
    <w:rsid w:val="00795075"/>
    <w:rsid w:val="007A546A"/>
    <w:rsid w:val="007A6012"/>
    <w:rsid w:val="007A61D8"/>
    <w:rsid w:val="007B3062"/>
    <w:rsid w:val="007B59F3"/>
    <w:rsid w:val="007B76BE"/>
    <w:rsid w:val="007D111E"/>
    <w:rsid w:val="007D449C"/>
    <w:rsid w:val="007D5887"/>
    <w:rsid w:val="007D60D6"/>
    <w:rsid w:val="007E4BF2"/>
    <w:rsid w:val="007E7236"/>
    <w:rsid w:val="007F1723"/>
    <w:rsid w:val="007F46F9"/>
    <w:rsid w:val="00801D62"/>
    <w:rsid w:val="008219EB"/>
    <w:rsid w:val="00823E94"/>
    <w:rsid w:val="00830558"/>
    <w:rsid w:val="008344F4"/>
    <w:rsid w:val="00834CDA"/>
    <w:rsid w:val="0085313D"/>
    <w:rsid w:val="00855D17"/>
    <w:rsid w:val="00865496"/>
    <w:rsid w:val="00866D97"/>
    <w:rsid w:val="00875C52"/>
    <w:rsid w:val="00895D3B"/>
    <w:rsid w:val="008A35E1"/>
    <w:rsid w:val="008A6502"/>
    <w:rsid w:val="008A6584"/>
    <w:rsid w:val="008B1297"/>
    <w:rsid w:val="008C65B9"/>
    <w:rsid w:val="008C7739"/>
    <w:rsid w:val="008D02C2"/>
    <w:rsid w:val="008D1F60"/>
    <w:rsid w:val="008D6F6C"/>
    <w:rsid w:val="008E182A"/>
    <w:rsid w:val="008E302C"/>
    <w:rsid w:val="008E3AB6"/>
    <w:rsid w:val="008E5235"/>
    <w:rsid w:val="00903143"/>
    <w:rsid w:val="00903EB0"/>
    <w:rsid w:val="00905931"/>
    <w:rsid w:val="00913646"/>
    <w:rsid w:val="009159E0"/>
    <w:rsid w:val="009265FF"/>
    <w:rsid w:val="00954DB1"/>
    <w:rsid w:val="009554E8"/>
    <w:rsid w:val="00956DF0"/>
    <w:rsid w:val="00957569"/>
    <w:rsid w:val="009642FB"/>
    <w:rsid w:val="00964E89"/>
    <w:rsid w:val="009702A4"/>
    <w:rsid w:val="00984C93"/>
    <w:rsid w:val="00991FDA"/>
    <w:rsid w:val="009927C2"/>
    <w:rsid w:val="009A014A"/>
    <w:rsid w:val="009B0FDE"/>
    <w:rsid w:val="009B2464"/>
    <w:rsid w:val="009B336A"/>
    <w:rsid w:val="009B4FE3"/>
    <w:rsid w:val="009C0126"/>
    <w:rsid w:val="009D4CB4"/>
    <w:rsid w:val="009F0E58"/>
    <w:rsid w:val="009F1A49"/>
    <w:rsid w:val="00A1667B"/>
    <w:rsid w:val="00A22B8E"/>
    <w:rsid w:val="00A31005"/>
    <w:rsid w:val="00A61950"/>
    <w:rsid w:val="00A64A9D"/>
    <w:rsid w:val="00A8146C"/>
    <w:rsid w:val="00A86F65"/>
    <w:rsid w:val="00A92481"/>
    <w:rsid w:val="00AA240F"/>
    <w:rsid w:val="00AA299D"/>
    <w:rsid w:val="00AB7D41"/>
    <w:rsid w:val="00AC3CCA"/>
    <w:rsid w:val="00AC4055"/>
    <w:rsid w:val="00AD08C6"/>
    <w:rsid w:val="00AE1D3C"/>
    <w:rsid w:val="00AE7D5E"/>
    <w:rsid w:val="00AF50F6"/>
    <w:rsid w:val="00AF7871"/>
    <w:rsid w:val="00B010E0"/>
    <w:rsid w:val="00B021F9"/>
    <w:rsid w:val="00B214C8"/>
    <w:rsid w:val="00B3136D"/>
    <w:rsid w:val="00B33E0B"/>
    <w:rsid w:val="00B43C8D"/>
    <w:rsid w:val="00B46DAA"/>
    <w:rsid w:val="00B5628B"/>
    <w:rsid w:val="00B61C6A"/>
    <w:rsid w:val="00B62BC1"/>
    <w:rsid w:val="00B7498B"/>
    <w:rsid w:val="00B844C4"/>
    <w:rsid w:val="00BA0899"/>
    <w:rsid w:val="00BA3AE9"/>
    <w:rsid w:val="00BA5FDD"/>
    <w:rsid w:val="00BE0798"/>
    <w:rsid w:val="00BE5EE5"/>
    <w:rsid w:val="00BF0001"/>
    <w:rsid w:val="00C01EC4"/>
    <w:rsid w:val="00C152DF"/>
    <w:rsid w:val="00C25077"/>
    <w:rsid w:val="00C429B6"/>
    <w:rsid w:val="00C43566"/>
    <w:rsid w:val="00C43AA0"/>
    <w:rsid w:val="00C50F69"/>
    <w:rsid w:val="00C55517"/>
    <w:rsid w:val="00C6380F"/>
    <w:rsid w:val="00C73333"/>
    <w:rsid w:val="00C74875"/>
    <w:rsid w:val="00CB1E02"/>
    <w:rsid w:val="00CB245A"/>
    <w:rsid w:val="00CC124A"/>
    <w:rsid w:val="00CC642E"/>
    <w:rsid w:val="00CC6D42"/>
    <w:rsid w:val="00CE1551"/>
    <w:rsid w:val="00CF0F36"/>
    <w:rsid w:val="00CF61CA"/>
    <w:rsid w:val="00D11249"/>
    <w:rsid w:val="00D23CA6"/>
    <w:rsid w:val="00D27A3B"/>
    <w:rsid w:val="00D43B22"/>
    <w:rsid w:val="00D54CB8"/>
    <w:rsid w:val="00D55566"/>
    <w:rsid w:val="00D624FE"/>
    <w:rsid w:val="00D627E9"/>
    <w:rsid w:val="00D63579"/>
    <w:rsid w:val="00D6622C"/>
    <w:rsid w:val="00D74441"/>
    <w:rsid w:val="00D85303"/>
    <w:rsid w:val="00D874C3"/>
    <w:rsid w:val="00D874ED"/>
    <w:rsid w:val="00D94D4A"/>
    <w:rsid w:val="00DA2309"/>
    <w:rsid w:val="00DC5CAF"/>
    <w:rsid w:val="00DC5DEF"/>
    <w:rsid w:val="00DD1B59"/>
    <w:rsid w:val="00DD2B4A"/>
    <w:rsid w:val="00DD6C31"/>
    <w:rsid w:val="00DE2568"/>
    <w:rsid w:val="00DE2C5D"/>
    <w:rsid w:val="00DE321B"/>
    <w:rsid w:val="00DF2420"/>
    <w:rsid w:val="00E12742"/>
    <w:rsid w:val="00E25B0A"/>
    <w:rsid w:val="00E2633A"/>
    <w:rsid w:val="00E43856"/>
    <w:rsid w:val="00E72F08"/>
    <w:rsid w:val="00E76F79"/>
    <w:rsid w:val="00E8184C"/>
    <w:rsid w:val="00E8754A"/>
    <w:rsid w:val="00EA5029"/>
    <w:rsid w:val="00EB26A1"/>
    <w:rsid w:val="00EB41AA"/>
    <w:rsid w:val="00EB4A11"/>
    <w:rsid w:val="00EC3A5A"/>
    <w:rsid w:val="00ED1681"/>
    <w:rsid w:val="00ED5793"/>
    <w:rsid w:val="00EE7AE6"/>
    <w:rsid w:val="00EF0D4F"/>
    <w:rsid w:val="00EF3704"/>
    <w:rsid w:val="00F104DC"/>
    <w:rsid w:val="00F10C31"/>
    <w:rsid w:val="00F15C73"/>
    <w:rsid w:val="00F161DF"/>
    <w:rsid w:val="00F163D5"/>
    <w:rsid w:val="00F2020F"/>
    <w:rsid w:val="00F21076"/>
    <w:rsid w:val="00F27C6A"/>
    <w:rsid w:val="00F40B83"/>
    <w:rsid w:val="00F41F69"/>
    <w:rsid w:val="00F47B4F"/>
    <w:rsid w:val="00F54046"/>
    <w:rsid w:val="00F54AC2"/>
    <w:rsid w:val="00F566A9"/>
    <w:rsid w:val="00F75C40"/>
    <w:rsid w:val="00F7626C"/>
    <w:rsid w:val="00F85FDF"/>
    <w:rsid w:val="00F9039B"/>
    <w:rsid w:val="00F9177B"/>
    <w:rsid w:val="00F93DC1"/>
    <w:rsid w:val="00FB4952"/>
    <w:rsid w:val="00FC05DB"/>
    <w:rsid w:val="00FC1D1B"/>
    <w:rsid w:val="00FC2B62"/>
    <w:rsid w:val="00FD74E4"/>
    <w:rsid w:val="00FE0A3C"/>
    <w:rsid w:val="00FF2862"/>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C4D0A"/>
  <w15:chartTrackingRefBased/>
  <w15:docId w15:val="{44059E07-AC7E-0543-B420-3B9A26F0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184C"/>
    <w:rPr>
      <w:rFonts w:ascii="Tahoma" w:hAnsi="Tahoma" w:cs="Tahoma"/>
      <w:sz w:val="16"/>
      <w:szCs w:val="16"/>
    </w:rPr>
  </w:style>
  <w:style w:type="character" w:styleId="CommentReference">
    <w:name w:val="annotation reference"/>
    <w:basedOn w:val="DefaultParagraphFont"/>
    <w:semiHidden/>
    <w:rsid w:val="00E8184C"/>
    <w:rPr>
      <w:sz w:val="16"/>
      <w:szCs w:val="16"/>
    </w:rPr>
  </w:style>
  <w:style w:type="paragraph" w:styleId="CommentText">
    <w:name w:val="annotation text"/>
    <w:basedOn w:val="Normal"/>
    <w:semiHidden/>
    <w:rsid w:val="00E8184C"/>
    <w:rPr>
      <w:sz w:val="20"/>
      <w:szCs w:val="20"/>
    </w:rPr>
  </w:style>
  <w:style w:type="paragraph" w:styleId="CommentSubject">
    <w:name w:val="annotation subject"/>
    <w:basedOn w:val="CommentText"/>
    <w:next w:val="CommentText"/>
    <w:semiHidden/>
    <w:rsid w:val="00E8184C"/>
    <w:rPr>
      <w:b/>
      <w:bCs/>
    </w:rPr>
  </w:style>
  <w:style w:type="paragraph" w:styleId="BodyText">
    <w:name w:val="Body Text"/>
    <w:basedOn w:val="Normal"/>
    <w:rsid w:val="00A92481"/>
    <w:pPr>
      <w:spacing w:after="120" w:line="300" w:lineRule="exact"/>
    </w:pPr>
    <w:rPr>
      <w:szCs w:val="20"/>
      <w:lang w:eastAsia="en-US"/>
    </w:rPr>
  </w:style>
  <w:style w:type="paragraph" w:customStyle="1" w:styleId="AbstractTitle">
    <w:name w:val="AbstractTitle"/>
    <w:basedOn w:val="Normal"/>
    <w:next w:val="Normal"/>
    <w:link w:val="AbstractTitleChar"/>
    <w:rsid w:val="00A92481"/>
    <w:pPr>
      <w:spacing w:before="120" w:line="240" w:lineRule="exact"/>
      <w:outlineLvl w:val="1"/>
    </w:pPr>
    <w:rPr>
      <w:b/>
      <w:sz w:val="26"/>
      <w:szCs w:val="20"/>
      <w:lang w:eastAsia="en-US"/>
    </w:rPr>
  </w:style>
  <w:style w:type="paragraph" w:customStyle="1" w:styleId="Address">
    <w:name w:val="Address"/>
    <w:basedOn w:val="Normal"/>
    <w:rsid w:val="00A92481"/>
    <w:pPr>
      <w:spacing w:before="80"/>
    </w:pPr>
    <w:rPr>
      <w:b/>
      <w:szCs w:val="20"/>
      <w:lang w:eastAsia="en-US"/>
    </w:rPr>
  </w:style>
  <w:style w:type="paragraph" w:customStyle="1" w:styleId="Author">
    <w:name w:val="Author"/>
    <w:basedOn w:val="Normal"/>
    <w:next w:val="Normal"/>
    <w:rsid w:val="00A92481"/>
    <w:pPr>
      <w:spacing w:before="80"/>
    </w:pPr>
    <w:rPr>
      <w:szCs w:val="20"/>
      <w:lang w:eastAsia="en-US"/>
    </w:rPr>
  </w:style>
  <w:style w:type="paragraph" w:styleId="Title">
    <w:name w:val="Title"/>
    <w:basedOn w:val="Normal"/>
    <w:qFormat/>
    <w:rsid w:val="00A92481"/>
    <w:pPr>
      <w:spacing w:before="60" w:after="60" w:line="300" w:lineRule="exact"/>
      <w:outlineLvl w:val="0"/>
    </w:pPr>
    <w:rPr>
      <w:b/>
      <w:sz w:val="28"/>
      <w:szCs w:val="20"/>
      <w:lang w:eastAsia="en-US"/>
    </w:rPr>
  </w:style>
  <w:style w:type="paragraph" w:customStyle="1" w:styleId="Para">
    <w:name w:val="Para"/>
    <w:basedOn w:val="Normal"/>
    <w:link w:val="ParaChar"/>
    <w:rsid w:val="00A92481"/>
    <w:pPr>
      <w:spacing w:line="360" w:lineRule="auto"/>
      <w:ind w:firstLine="288"/>
    </w:pPr>
    <w:rPr>
      <w:szCs w:val="20"/>
      <w:lang w:eastAsia="en-US"/>
    </w:rPr>
  </w:style>
  <w:style w:type="character" w:customStyle="1" w:styleId="ParaChar">
    <w:name w:val="Para Char"/>
    <w:basedOn w:val="DefaultParagraphFont"/>
    <w:link w:val="Para"/>
    <w:rsid w:val="00A92481"/>
    <w:rPr>
      <w:sz w:val="24"/>
      <w:lang w:val="en-GB" w:eastAsia="en-US" w:bidi="ar-SA"/>
    </w:rPr>
  </w:style>
  <w:style w:type="paragraph" w:customStyle="1" w:styleId="HeadA">
    <w:name w:val="HeadA"/>
    <w:basedOn w:val="Normal"/>
    <w:link w:val="HeadAChar"/>
    <w:rsid w:val="00A92481"/>
    <w:pPr>
      <w:keepNext/>
      <w:suppressAutoHyphens/>
      <w:spacing w:before="120" w:line="280" w:lineRule="exact"/>
      <w:outlineLvl w:val="1"/>
    </w:pPr>
    <w:rPr>
      <w:b/>
      <w:szCs w:val="20"/>
      <w:lang w:eastAsia="en-US"/>
    </w:rPr>
  </w:style>
  <w:style w:type="character" w:customStyle="1" w:styleId="AbstractTitleChar">
    <w:name w:val="AbstractTitle Char"/>
    <w:basedOn w:val="DefaultParagraphFont"/>
    <w:link w:val="AbstractTitle"/>
    <w:rsid w:val="00A92481"/>
    <w:rPr>
      <w:b/>
      <w:sz w:val="26"/>
      <w:lang w:val="en-GB" w:eastAsia="en-US" w:bidi="ar-SA"/>
    </w:rPr>
  </w:style>
  <w:style w:type="character" w:customStyle="1" w:styleId="HeadAChar">
    <w:name w:val="HeadA Char"/>
    <w:basedOn w:val="DefaultParagraphFont"/>
    <w:link w:val="HeadA"/>
    <w:rsid w:val="00A92481"/>
    <w:rPr>
      <w:b/>
      <w:sz w:val="24"/>
      <w:lang w:val="en-GB" w:eastAsia="en-US" w:bidi="ar-SA"/>
    </w:rPr>
  </w:style>
  <w:style w:type="paragraph" w:styleId="Header">
    <w:name w:val="header"/>
    <w:basedOn w:val="Normal"/>
    <w:rsid w:val="00A92481"/>
    <w:pPr>
      <w:tabs>
        <w:tab w:val="center" w:pos="4320"/>
        <w:tab w:val="right" w:pos="8640"/>
      </w:tabs>
    </w:pPr>
  </w:style>
  <w:style w:type="paragraph" w:styleId="Footer">
    <w:name w:val="footer"/>
    <w:basedOn w:val="Normal"/>
    <w:rsid w:val="00A92481"/>
    <w:pPr>
      <w:tabs>
        <w:tab w:val="center" w:pos="4320"/>
        <w:tab w:val="right" w:pos="8640"/>
      </w:tabs>
    </w:pPr>
  </w:style>
  <w:style w:type="character" w:styleId="PageNumber">
    <w:name w:val="page number"/>
    <w:basedOn w:val="DefaultParagraphFont"/>
    <w:rsid w:val="00A92481"/>
  </w:style>
  <w:style w:type="paragraph" w:styleId="NormalWeb">
    <w:name w:val="Normal (Web)"/>
    <w:basedOn w:val="Normal"/>
    <w:rsid w:val="00865496"/>
    <w:pPr>
      <w:spacing w:before="100" w:beforeAutospacing="1" w:after="100" w:afterAutospacing="1"/>
    </w:pPr>
    <w:rPr>
      <w:lang w:val="en-US" w:eastAsia="en-US"/>
    </w:rPr>
  </w:style>
  <w:style w:type="character" w:styleId="Hyperlink">
    <w:name w:val="Hyperlink"/>
    <w:basedOn w:val="DefaultParagraphFont"/>
    <w:rsid w:val="00903EB0"/>
    <w:rPr>
      <w:color w:val="0000FF"/>
      <w:u w:val="single"/>
    </w:rPr>
  </w:style>
  <w:style w:type="paragraph" w:styleId="Revision">
    <w:name w:val="Revision"/>
    <w:hidden/>
    <w:uiPriority w:val="99"/>
    <w:semiHidden/>
    <w:rsid w:val="0002431E"/>
    <w:rPr>
      <w:sz w:val="24"/>
      <w:szCs w:val="24"/>
    </w:rPr>
  </w:style>
  <w:style w:type="paragraph" w:styleId="ListParagraph">
    <w:name w:val="List Paragraph"/>
    <w:basedOn w:val="Normal"/>
    <w:uiPriority w:val="34"/>
    <w:qFormat/>
    <w:rsid w:val="00F566A9"/>
    <w:pPr>
      <w:ind w:left="720"/>
      <w:contextualSpacing/>
    </w:pPr>
  </w:style>
  <w:style w:type="paragraph" w:styleId="FootnoteText">
    <w:name w:val="footnote text"/>
    <w:basedOn w:val="Normal"/>
    <w:link w:val="FootnoteTextChar"/>
    <w:rsid w:val="009B4FE3"/>
    <w:rPr>
      <w:sz w:val="20"/>
      <w:szCs w:val="20"/>
      <w:lang w:val="en-US"/>
    </w:rPr>
  </w:style>
  <w:style w:type="character" w:customStyle="1" w:styleId="FootnoteTextChar">
    <w:name w:val="Footnote Text Char"/>
    <w:basedOn w:val="DefaultParagraphFont"/>
    <w:link w:val="FootnoteText"/>
    <w:rsid w:val="009B4FE3"/>
    <w:rPr>
      <w:lang w:val="en-US"/>
    </w:rPr>
  </w:style>
  <w:style w:type="paragraph" w:styleId="Bibliography">
    <w:name w:val="Bibliography"/>
    <w:basedOn w:val="Normal"/>
    <w:next w:val="Normal"/>
    <w:uiPriority w:val="37"/>
    <w:unhideWhenUsed/>
    <w:rsid w:val="007B3062"/>
    <w:pPr>
      <w:tabs>
        <w:tab w:val="left" w:pos="260"/>
      </w:tabs>
      <w:spacing w:after="240"/>
      <w:ind w:left="264" w:hanging="264"/>
    </w:pPr>
  </w:style>
  <w:style w:type="character" w:styleId="LineNumber">
    <w:name w:val="line number"/>
    <w:basedOn w:val="DefaultParagraphFont"/>
    <w:rsid w:val="00B4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561524">
      <w:bodyDiv w:val="1"/>
      <w:marLeft w:val="0"/>
      <w:marRight w:val="0"/>
      <w:marTop w:val="0"/>
      <w:marBottom w:val="0"/>
      <w:divBdr>
        <w:top w:val="none" w:sz="0" w:space="0" w:color="auto"/>
        <w:left w:val="none" w:sz="0" w:space="0" w:color="auto"/>
        <w:bottom w:val="none" w:sz="0" w:space="0" w:color="auto"/>
        <w:right w:val="none" w:sz="0" w:space="0" w:color="auto"/>
      </w:divBdr>
      <w:divsChild>
        <w:div w:id="1766346443">
          <w:marLeft w:val="0"/>
          <w:marRight w:val="0"/>
          <w:marTop w:val="0"/>
          <w:marBottom w:val="0"/>
          <w:divBdr>
            <w:top w:val="none" w:sz="0" w:space="0" w:color="auto"/>
            <w:left w:val="none" w:sz="0" w:space="0" w:color="auto"/>
            <w:bottom w:val="none" w:sz="0" w:space="0" w:color="auto"/>
            <w:right w:val="none" w:sz="0" w:space="0" w:color="auto"/>
          </w:divBdr>
          <w:divsChild>
            <w:div w:id="1368067943">
              <w:marLeft w:val="0"/>
              <w:marRight w:val="0"/>
              <w:marTop w:val="0"/>
              <w:marBottom w:val="0"/>
              <w:divBdr>
                <w:top w:val="none" w:sz="0" w:space="0" w:color="auto"/>
                <w:left w:val="none" w:sz="0" w:space="0" w:color="auto"/>
                <w:bottom w:val="none" w:sz="0" w:space="0" w:color="auto"/>
                <w:right w:val="none" w:sz="0" w:space="0" w:color="auto"/>
              </w:divBdr>
              <w:divsChild>
                <w:div w:id="1371029687">
                  <w:marLeft w:val="0"/>
                  <w:marRight w:val="0"/>
                  <w:marTop w:val="0"/>
                  <w:marBottom w:val="0"/>
                  <w:divBdr>
                    <w:top w:val="none" w:sz="0" w:space="0" w:color="auto"/>
                    <w:left w:val="none" w:sz="0" w:space="0" w:color="auto"/>
                    <w:bottom w:val="none" w:sz="0" w:space="0" w:color="auto"/>
                    <w:right w:val="none" w:sz="0" w:space="0" w:color="auto"/>
                  </w:divBdr>
                  <w:divsChild>
                    <w:div w:id="115871710">
                      <w:marLeft w:val="0"/>
                      <w:marRight w:val="0"/>
                      <w:marTop w:val="0"/>
                      <w:marBottom w:val="0"/>
                      <w:divBdr>
                        <w:top w:val="none" w:sz="0" w:space="0" w:color="auto"/>
                        <w:left w:val="none" w:sz="0" w:space="0" w:color="auto"/>
                        <w:bottom w:val="none" w:sz="0" w:space="0" w:color="auto"/>
                        <w:right w:val="none" w:sz="0" w:space="0" w:color="auto"/>
                      </w:divBdr>
                      <w:divsChild>
                        <w:div w:id="1213617628">
                          <w:marLeft w:val="0"/>
                          <w:marRight w:val="0"/>
                          <w:marTop w:val="0"/>
                          <w:marBottom w:val="0"/>
                          <w:divBdr>
                            <w:top w:val="none" w:sz="0" w:space="0" w:color="auto"/>
                            <w:left w:val="none" w:sz="0" w:space="0" w:color="auto"/>
                            <w:bottom w:val="none" w:sz="0" w:space="0" w:color="auto"/>
                            <w:right w:val="none" w:sz="0" w:space="0" w:color="auto"/>
                          </w:divBdr>
                          <w:divsChild>
                            <w:div w:id="484782786">
                              <w:marLeft w:val="0"/>
                              <w:marRight w:val="0"/>
                              <w:marTop w:val="0"/>
                              <w:marBottom w:val="0"/>
                              <w:divBdr>
                                <w:top w:val="none" w:sz="0" w:space="0" w:color="auto"/>
                                <w:left w:val="none" w:sz="0" w:space="0" w:color="auto"/>
                                <w:bottom w:val="none" w:sz="0" w:space="0" w:color="auto"/>
                                <w:right w:val="none" w:sz="0" w:space="0" w:color="auto"/>
                              </w:divBdr>
                              <w:divsChild>
                                <w:div w:id="12475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42FA-E730-6341-8B14-20789A0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8199</CharactersWithSpaces>
  <SharedDoc>false</SharedDoc>
  <HLinks>
    <vt:vector size="6" baseType="variant">
      <vt:variant>
        <vt:i4>3735600</vt:i4>
      </vt:variant>
      <vt:variant>
        <vt:i4>17</vt:i4>
      </vt:variant>
      <vt:variant>
        <vt:i4>0</vt:i4>
      </vt:variant>
      <vt:variant>
        <vt:i4>5</vt:i4>
      </vt:variant>
      <vt:variant>
        <vt:lpwstr>http://www.societyns.org/runn/index.asp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c:creator>
  <cp:keywords/>
  <cp:lastModifiedBy>Erlick Pereira</cp:lastModifiedBy>
  <cp:revision>3</cp:revision>
  <cp:lastPrinted>2024-10-13T11:30:00Z</cp:lastPrinted>
  <dcterms:created xsi:type="dcterms:W3CDTF">2024-12-09T06:06:00Z</dcterms:created>
  <dcterms:modified xsi:type="dcterms:W3CDTF">2024-12-09T06:06:00Z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id="jqvMxyPu"/&gt;&lt;style id="http://www.zotero.org/styles/stereotactic-and-functional-neurosurgery" hasBibliography="1" bibliographyStyleHasBeenSet="1"/&gt;&lt;prefs&gt;&lt;pref name="fieldType" value="Field"/&gt;&lt;pref</vt:lpwstr>
  </property>
  <property fmtid="{D5CDD505-2E9C-101B-9397-08002B2CF9AE}" pid="3" name="ZOTERO_PREF_2">
    <vt:lpwstr> name="automaticJournalAbbreviations" value="true"/&gt;&lt;/prefs&gt;&lt;/data&gt;</vt:lpwstr>
  </property>
</Properties>
</file>