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50CC" w14:textId="77777777" w:rsidR="00084ADE" w:rsidRPr="00084ADE" w:rsidRDefault="00084ADE" w:rsidP="00084ADE">
      <w:pPr>
        <w:pStyle w:val="MDPI11articletype"/>
        <w:suppressLineNumbers/>
        <w:rPr>
          <w:rFonts w:asciiTheme="minorHAnsi" w:hAnsiTheme="minorHAnsi" w:cstheme="minorHAnsi"/>
          <w:b/>
          <w:bCs/>
          <w:i w:val="0"/>
          <w:iCs/>
          <w:color w:val="auto"/>
          <w:szCs w:val="24"/>
        </w:rPr>
      </w:pPr>
      <w:r w:rsidRPr="00084ADE">
        <w:rPr>
          <w:rFonts w:asciiTheme="minorHAnsi" w:hAnsiTheme="minorHAnsi" w:cstheme="minorHAnsi"/>
          <w:b/>
          <w:bCs/>
          <w:i w:val="0"/>
          <w:iCs/>
          <w:color w:val="auto"/>
          <w:szCs w:val="24"/>
        </w:rPr>
        <w:t>Journal of Public Health Policy</w:t>
      </w:r>
    </w:p>
    <w:p w14:paraId="700F6FE2" w14:textId="77777777" w:rsidR="00084ADE" w:rsidRPr="00084ADE" w:rsidRDefault="00084ADE" w:rsidP="00084ADE">
      <w:pPr>
        <w:pStyle w:val="MDPI11articletype"/>
        <w:suppressLineNumbers/>
        <w:rPr>
          <w:rFonts w:asciiTheme="minorHAnsi" w:hAnsiTheme="minorHAnsi" w:cstheme="minorHAnsi"/>
          <w:color w:val="auto"/>
          <w:szCs w:val="24"/>
        </w:rPr>
      </w:pPr>
      <w:r w:rsidRPr="00084ADE">
        <w:rPr>
          <w:rFonts w:asciiTheme="minorHAnsi" w:hAnsiTheme="minorHAnsi" w:cstheme="minorHAnsi"/>
          <w:color w:val="auto"/>
          <w:szCs w:val="24"/>
        </w:rPr>
        <w:t>Supplementary Materials</w:t>
      </w:r>
    </w:p>
    <w:p w14:paraId="62CBC6A4" w14:textId="1C19CFFE" w:rsidR="002A3AD9" w:rsidRDefault="002A3AD9"/>
    <w:p w14:paraId="4F9E5E93" w14:textId="77777777" w:rsidR="002A7736" w:rsidRPr="002A7736" w:rsidRDefault="002A7736" w:rsidP="002A7736">
      <w:pPr>
        <w:spacing w:line="276" w:lineRule="auto"/>
        <w:rPr>
          <w:b/>
          <w:bCs/>
          <w:sz w:val="24"/>
          <w:szCs w:val="24"/>
          <w:lang w:val="en-GB"/>
        </w:rPr>
      </w:pPr>
      <w:r w:rsidRPr="002A7736">
        <w:rPr>
          <w:b/>
          <w:bCs/>
          <w:sz w:val="24"/>
          <w:szCs w:val="24"/>
          <w:lang w:val="en-GB"/>
        </w:rPr>
        <w:t xml:space="preserve">Challenges and opportunities of vaccination during pregnancy: perspectives of 20 healthcare professionals </w:t>
      </w:r>
    </w:p>
    <w:p w14:paraId="2EB7508E" w14:textId="6C405231" w:rsidR="00084ADE" w:rsidRDefault="00084ADE" w:rsidP="00084ADE">
      <w:pPr>
        <w:spacing w:line="276" w:lineRule="auto"/>
        <w:rPr>
          <w:rFonts w:cstheme="minorHAnsi"/>
          <w:sz w:val="24"/>
          <w:szCs w:val="24"/>
        </w:rPr>
      </w:pPr>
      <w:r w:rsidRPr="00F97F07">
        <w:rPr>
          <w:rFonts w:cstheme="minorHAnsi"/>
          <w:b/>
          <w:bCs/>
          <w:sz w:val="24"/>
          <w:szCs w:val="24"/>
        </w:rPr>
        <w:t>Running title:</w:t>
      </w:r>
      <w:r>
        <w:rPr>
          <w:rFonts w:cstheme="minorHAnsi"/>
          <w:sz w:val="24"/>
          <w:szCs w:val="24"/>
        </w:rPr>
        <w:t xml:space="preserve"> </w:t>
      </w:r>
      <w:r w:rsidR="005C4AFE">
        <w:rPr>
          <w:rFonts w:cstheme="minorHAnsi"/>
          <w:sz w:val="24"/>
          <w:szCs w:val="24"/>
        </w:rPr>
        <w:t xml:space="preserve">Vaccination in pregnancy </w:t>
      </w:r>
      <w:r>
        <w:rPr>
          <w:rFonts w:cstheme="minorHAnsi"/>
          <w:sz w:val="24"/>
          <w:szCs w:val="24"/>
        </w:rPr>
        <w:t xml:space="preserve"> </w:t>
      </w:r>
    </w:p>
    <w:p w14:paraId="499A2822" w14:textId="63167477" w:rsidR="00084ADE" w:rsidRDefault="005C4AFE" w:rsidP="00084ADE">
      <w:pPr>
        <w:spacing w:line="276" w:lineRule="auto"/>
        <w:rPr>
          <w:rFonts w:cstheme="minorHAnsi"/>
          <w:i/>
          <w:iCs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Mohammad S Razai </w:t>
      </w:r>
      <w:r w:rsidR="0060712D">
        <w:rPr>
          <w:rFonts w:cstheme="minorHAnsi"/>
          <w:sz w:val="24"/>
          <w:szCs w:val="24"/>
          <w:vertAlign w:val="superscript"/>
        </w:rPr>
        <w:t>1,2</w:t>
      </w:r>
      <w:r w:rsidR="00084ADE">
        <w:rPr>
          <w:rFonts w:cstheme="minorHAnsi"/>
          <w:i/>
          <w:iCs/>
          <w:sz w:val="24"/>
          <w:szCs w:val="24"/>
          <w:vertAlign w:val="superscript"/>
        </w:rPr>
        <w:t>*</w:t>
      </w:r>
      <w:r w:rsidR="00084ADE" w:rsidRPr="00E41DC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Sally Hargreaves</w:t>
      </w:r>
      <w:r w:rsidR="0060712D">
        <w:rPr>
          <w:rFonts w:cstheme="minorHAnsi"/>
          <w:sz w:val="24"/>
          <w:szCs w:val="24"/>
        </w:rPr>
        <w:t xml:space="preserve"> </w:t>
      </w:r>
      <w:r w:rsidR="0060712D" w:rsidRPr="0060712D">
        <w:rPr>
          <w:rFonts w:cstheme="minorHAnsi"/>
          <w:sz w:val="24"/>
          <w:szCs w:val="24"/>
          <w:vertAlign w:val="superscript"/>
        </w:rPr>
        <w:t>2,3</w:t>
      </w:r>
      <w:r w:rsidR="00084ADE" w:rsidRPr="00E41DC5">
        <w:rPr>
          <w:rFonts w:cstheme="minorHAnsi"/>
          <w:sz w:val="24"/>
          <w:szCs w:val="24"/>
        </w:rPr>
        <w:t xml:space="preserve">, and </w:t>
      </w:r>
      <w:r>
        <w:rPr>
          <w:rFonts w:cstheme="minorHAnsi"/>
          <w:sz w:val="24"/>
          <w:szCs w:val="24"/>
        </w:rPr>
        <w:t>Pippa Oakeshott</w:t>
      </w:r>
      <w:r w:rsidR="0060712D">
        <w:rPr>
          <w:rFonts w:cstheme="minorHAnsi"/>
          <w:sz w:val="24"/>
          <w:szCs w:val="24"/>
        </w:rPr>
        <w:t xml:space="preserve"> </w:t>
      </w:r>
      <w:r w:rsidR="0060712D" w:rsidRPr="0060712D">
        <w:rPr>
          <w:rFonts w:cstheme="minorHAnsi"/>
          <w:sz w:val="24"/>
          <w:szCs w:val="24"/>
          <w:vertAlign w:val="superscript"/>
        </w:rPr>
        <w:t>2</w:t>
      </w:r>
    </w:p>
    <w:p w14:paraId="32184E24" w14:textId="77777777" w:rsidR="00084ADE" w:rsidRPr="00E41DC5" w:rsidRDefault="00084ADE" w:rsidP="00084ADE">
      <w:pPr>
        <w:spacing w:line="276" w:lineRule="auto"/>
        <w:rPr>
          <w:rFonts w:cstheme="minorHAnsi"/>
          <w:sz w:val="24"/>
          <w:szCs w:val="24"/>
        </w:rPr>
      </w:pPr>
    </w:p>
    <w:p w14:paraId="3A02844E" w14:textId="7106991A" w:rsidR="00084ADE" w:rsidRPr="00770DD0" w:rsidRDefault="0060712D" w:rsidP="00770D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vertAlign w:val="superscript"/>
        </w:rPr>
        <w:t>1</w:t>
      </w:r>
      <w:r w:rsidR="00084ADE" w:rsidRPr="00E41DC5">
        <w:rPr>
          <w:rFonts w:cstheme="minorHAnsi"/>
          <w:i/>
          <w:iCs/>
          <w:sz w:val="24"/>
          <w:szCs w:val="24"/>
          <w:vertAlign w:val="superscript"/>
        </w:rPr>
        <w:t xml:space="preserve"> </w:t>
      </w:r>
      <w:r w:rsidR="00770DD0" w:rsidRPr="00770DD0">
        <w:rPr>
          <w:rFonts w:cstheme="minorHAnsi"/>
          <w:sz w:val="24"/>
          <w:szCs w:val="24"/>
          <w:lang w:val="en-GB"/>
        </w:rPr>
        <w:t>Primary Care Unit, Department of Public Health and Primary Care, University of Cambridge, Cambridge, UK</w:t>
      </w:r>
    </w:p>
    <w:p w14:paraId="0D9A8A04" w14:textId="36250728" w:rsidR="00084ADE" w:rsidRDefault="0060712D" w:rsidP="00432A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vertAlign w:val="superscript"/>
        </w:rPr>
        <w:t>2</w:t>
      </w:r>
      <w:r w:rsidR="00084ADE" w:rsidRPr="00E41DC5">
        <w:rPr>
          <w:rFonts w:cstheme="minorHAnsi"/>
          <w:sz w:val="24"/>
          <w:szCs w:val="24"/>
        </w:rPr>
        <w:t xml:space="preserve"> </w:t>
      </w:r>
      <w:r w:rsidR="00432A31" w:rsidRPr="00432A31">
        <w:rPr>
          <w:rFonts w:cstheme="minorHAnsi"/>
          <w:sz w:val="24"/>
          <w:szCs w:val="24"/>
          <w:lang w:val="en-GB"/>
        </w:rPr>
        <w:t>St George’s School of Health and Medical Sciences, Population Health Research Institute, City St George’s, University of London, London, UK</w:t>
      </w:r>
    </w:p>
    <w:p w14:paraId="65F39DB7" w14:textId="4DCE35DE" w:rsidR="00432A31" w:rsidRDefault="0060712D" w:rsidP="00056F5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vertAlign w:val="superscript"/>
          <w:lang w:val="en-GB"/>
        </w:rPr>
        <w:t>3</w:t>
      </w:r>
      <w:r w:rsidR="00056F50">
        <w:rPr>
          <w:rFonts w:cstheme="minorHAnsi"/>
          <w:sz w:val="24"/>
          <w:szCs w:val="24"/>
          <w:lang w:val="en-GB"/>
        </w:rPr>
        <w:t xml:space="preserve"> </w:t>
      </w:r>
      <w:r w:rsidR="00056F50" w:rsidRPr="00056F50">
        <w:rPr>
          <w:rFonts w:cstheme="minorHAnsi"/>
          <w:sz w:val="24"/>
          <w:szCs w:val="24"/>
          <w:lang w:val="en-GB"/>
        </w:rPr>
        <w:t>The Migrant Health Research Unit, Institute for Infection and Immunity, City St George’s, University of London, London, UK</w:t>
      </w:r>
    </w:p>
    <w:p w14:paraId="64B99527" w14:textId="77777777" w:rsidR="00056F50" w:rsidRPr="00E41DC5" w:rsidRDefault="00056F50" w:rsidP="00056F5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CAD8195" w14:textId="77777777" w:rsidR="00084ADE" w:rsidRDefault="00084ADE" w:rsidP="00084AD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vertAlign w:val="superscript"/>
        </w:rPr>
        <w:t>*</w:t>
      </w:r>
      <w:r w:rsidRPr="00E41DC5">
        <w:rPr>
          <w:rFonts w:cstheme="minorHAnsi"/>
          <w:sz w:val="24"/>
          <w:szCs w:val="24"/>
        </w:rPr>
        <w:t>Corresponding Author</w:t>
      </w:r>
      <w:r>
        <w:rPr>
          <w:rFonts w:cstheme="minorHAnsi"/>
          <w:sz w:val="24"/>
          <w:szCs w:val="24"/>
        </w:rPr>
        <w:t>:</w:t>
      </w:r>
    </w:p>
    <w:p w14:paraId="1F643AD4" w14:textId="77777777" w:rsidR="009C5BF4" w:rsidRPr="009C5BF4" w:rsidRDefault="009C5BF4" w:rsidP="009C5BF4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  <w:lang w:val="en-GB"/>
        </w:rPr>
      </w:pPr>
      <w:r w:rsidRPr="009C5BF4">
        <w:rPr>
          <w:rFonts w:cstheme="minorHAnsi"/>
          <w:bCs/>
          <w:sz w:val="24"/>
          <w:szCs w:val="24"/>
          <w:lang w:val="en-GB"/>
        </w:rPr>
        <w:t xml:space="preserve">Primary Care Unit, Department of Public Health and Primary Care, University of Cambridge, East </w:t>
      </w:r>
      <w:proofErr w:type="spellStart"/>
      <w:r w:rsidRPr="009C5BF4">
        <w:rPr>
          <w:rFonts w:cstheme="minorHAnsi"/>
          <w:bCs/>
          <w:sz w:val="24"/>
          <w:szCs w:val="24"/>
          <w:lang w:val="en-GB"/>
        </w:rPr>
        <w:t>Forvie</w:t>
      </w:r>
      <w:proofErr w:type="spellEnd"/>
      <w:r w:rsidRPr="009C5BF4">
        <w:rPr>
          <w:rFonts w:cstheme="minorHAnsi"/>
          <w:bCs/>
          <w:sz w:val="24"/>
          <w:szCs w:val="24"/>
          <w:lang w:val="en-GB"/>
        </w:rPr>
        <w:t xml:space="preserve"> Building, East </w:t>
      </w:r>
      <w:proofErr w:type="spellStart"/>
      <w:r w:rsidRPr="009C5BF4">
        <w:rPr>
          <w:rFonts w:cstheme="minorHAnsi"/>
          <w:bCs/>
          <w:sz w:val="24"/>
          <w:szCs w:val="24"/>
          <w:lang w:val="en-GB"/>
        </w:rPr>
        <w:t>Forvie</w:t>
      </w:r>
      <w:proofErr w:type="spellEnd"/>
      <w:r w:rsidRPr="009C5BF4">
        <w:rPr>
          <w:rFonts w:cstheme="minorHAnsi"/>
          <w:bCs/>
          <w:sz w:val="24"/>
          <w:szCs w:val="24"/>
          <w:lang w:val="en-GB"/>
        </w:rPr>
        <w:t xml:space="preserve"> Site, Robinson Way, Cambridge, CB2 0SR, UK</w:t>
      </w:r>
    </w:p>
    <w:p w14:paraId="23140F02" w14:textId="746D8F47" w:rsidR="00056F50" w:rsidRPr="00056F50" w:rsidRDefault="00000000" w:rsidP="00056F50">
      <w:pPr>
        <w:rPr>
          <w:rFonts w:cstheme="minorHAnsi"/>
          <w:bCs/>
          <w:sz w:val="24"/>
          <w:szCs w:val="24"/>
          <w:lang w:val="en-GB"/>
        </w:rPr>
      </w:pPr>
      <w:hyperlink r:id="rId5" w:history="1">
        <w:r w:rsidR="00056F50" w:rsidRPr="00056F50">
          <w:rPr>
            <w:rStyle w:val="Hyperlink"/>
            <w:rFonts w:cstheme="minorHAnsi"/>
            <w:bCs/>
            <w:sz w:val="24"/>
            <w:szCs w:val="24"/>
            <w:lang w:val="en-GB"/>
          </w:rPr>
          <w:t>msr37@cam.ac.uk</w:t>
        </w:r>
      </w:hyperlink>
    </w:p>
    <w:p w14:paraId="0D46280B" w14:textId="77777777" w:rsidR="00056F50" w:rsidRPr="00056F50" w:rsidRDefault="00056F50" w:rsidP="00056F50">
      <w:pPr>
        <w:rPr>
          <w:rFonts w:cstheme="minorHAnsi"/>
          <w:bCs/>
          <w:sz w:val="24"/>
          <w:szCs w:val="24"/>
          <w:lang w:val="en-GB"/>
        </w:rPr>
      </w:pPr>
    </w:p>
    <w:p w14:paraId="02B0ED9D" w14:textId="77777777" w:rsidR="00084ADE" w:rsidRDefault="00084ADE">
      <w:pPr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br w:type="page"/>
      </w:r>
    </w:p>
    <w:p w14:paraId="7E873A0E" w14:textId="77777777" w:rsidR="00F32D34" w:rsidRDefault="00F32D34" w:rsidP="00F32D34">
      <w:pPr>
        <w:spacing w:after="0" w:line="276" w:lineRule="auto"/>
        <w:jc w:val="both"/>
        <w:rPr>
          <w:b/>
          <w:bCs/>
          <w:sz w:val="24"/>
          <w:szCs w:val="24"/>
          <w:lang w:val="en-GB"/>
        </w:rPr>
      </w:pPr>
      <w:r w:rsidRPr="00F32D34">
        <w:rPr>
          <w:b/>
          <w:bCs/>
          <w:sz w:val="24"/>
          <w:szCs w:val="24"/>
          <w:lang w:val="en-GB"/>
        </w:rPr>
        <w:lastRenderedPageBreak/>
        <w:t xml:space="preserve">Challenges and Opportunities of Vaccination during Pregnancy: Perspectives of 20 Healthcare Professionals </w:t>
      </w:r>
    </w:p>
    <w:p w14:paraId="07AB9261" w14:textId="77777777" w:rsidR="00F32D34" w:rsidRPr="00F32D34" w:rsidRDefault="00F32D34" w:rsidP="00F32D34">
      <w:pPr>
        <w:spacing w:after="0" w:line="276" w:lineRule="auto"/>
        <w:jc w:val="both"/>
        <w:rPr>
          <w:b/>
          <w:bCs/>
          <w:sz w:val="24"/>
          <w:szCs w:val="24"/>
          <w:lang w:val="en-GB"/>
        </w:rPr>
      </w:pPr>
    </w:p>
    <w:p w14:paraId="24CB1D6E" w14:textId="77777777" w:rsidR="00F32D34" w:rsidRDefault="00F32D34" w:rsidP="00F32D34">
      <w:pPr>
        <w:spacing w:after="0" w:line="276" w:lineRule="auto"/>
        <w:jc w:val="both"/>
        <w:rPr>
          <w:b/>
          <w:bCs/>
          <w:sz w:val="24"/>
          <w:szCs w:val="24"/>
        </w:rPr>
      </w:pPr>
      <w:r w:rsidRPr="00F32D34">
        <w:rPr>
          <w:b/>
          <w:bCs/>
          <w:sz w:val="24"/>
          <w:szCs w:val="24"/>
        </w:rPr>
        <w:t xml:space="preserve">Running title: </w:t>
      </w:r>
      <w:r w:rsidRPr="00F32D34">
        <w:rPr>
          <w:sz w:val="24"/>
          <w:szCs w:val="24"/>
        </w:rPr>
        <w:t>Vaccination in pregnancy</w:t>
      </w:r>
      <w:r w:rsidRPr="00F32D34">
        <w:rPr>
          <w:b/>
          <w:bCs/>
          <w:sz w:val="24"/>
          <w:szCs w:val="24"/>
        </w:rPr>
        <w:t xml:space="preserve">  </w:t>
      </w:r>
    </w:p>
    <w:p w14:paraId="7F33616F" w14:textId="77777777" w:rsidR="00F32D34" w:rsidRPr="00F32D34" w:rsidRDefault="00F32D34" w:rsidP="00F32D34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F34BFA2" w14:textId="77777777" w:rsidR="00F32D34" w:rsidRPr="00F32D34" w:rsidRDefault="00F32D34" w:rsidP="00F32D34">
      <w:pPr>
        <w:spacing w:after="0" w:line="276" w:lineRule="auto"/>
        <w:jc w:val="both"/>
        <w:rPr>
          <w:i/>
          <w:iCs/>
          <w:sz w:val="24"/>
          <w:szCs w:val="24"/>
          <w:vertAlign w:val="superscript"/>
        </w:rPr>
      </w:pPr>
      <w:r w:rsidRPr="00F32D34">
        <w:rPr>
          <w:sz w:val="24"/>
          <w:szCs w:val="24"/>
        </w:rPr>
        <w:t xml:space="preserve">Mohammad S Razai </w:t>
      </w:r>
      <w:r w:rsidRPr="00F32D34">
        <w:rPr>
          <w:sz w:val="24"/>
          <w:szCs w:val="24"/>
          <w:vertAlign w:val="superscript"/>
        </w:rPr>
        <w:t>ab</w:t>
      </w:r>
      <w:r w:rsidRPr="00F32D34">
        <w:rPr>
          <w:i/>
          <w:iCs/>
          <w:sz w:val="24"/>
          <w:szCs w:val="24"/>
          <w:vertAlign w:val="superscript"/>
        </w:rPr>
        <w:t>*</w:t>
      </w:r>
      <w:r w:rsidRPr="00F32D34">
        <w:rPr>
          <w:sz w:val="24"/>
          <w:szCs w:val="24"/>
        </w:rPr>
        <w:t xml:space="preserve">, Sally Hargreaves </w:t>
      </w:r>
      <w:proofErr w:type="spellStart"/>
      <w:r w:rsidRPr="00F32D34">
        <w:rPr>
          <w:i/>
          <w:iCs/>
          <w:sz w:val="24"/>
          <w:szCs w:val="24"/>
          <w:vertAlign w:val="superscript"/>
        </w:rPr>
        <w:t>bc</w:t>
      </w:r>
      <w:proofErr w:type="spellEnd"/>
      <w:r w:rsidRPr="00F32D34">
        <w:rPr>
          <w:sz w:val="24"/>
          <w:szCs w:val="24"/>
        </w:rPr>
        <w:t xml:space="preserve">, and Pippa Oakeshott </w:t>
      </w:r>
      <w:r w:rsidRPr="00F32D34">
        <w:rPr>
          <w:i/>
          <w:iCs/>
          <w:sz w:val="24"/>
          <w:szCs w:val="24"/>
          <w:vertAlign w:val="superscript"/>
        </w:rPr>
        <w:t>b</w:t>
      </w:r>
    </w:p>
    <w:p w14:paraId="45A865F2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</w:rPr>
      </w:pPr>
    </w:p>
    <w:p w14:paraId="685BC250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</w:rPr>
      </w:pPr>
      <w:r w:rsidRPr="00F32D34">
        <w:rPr>
          <w:i/>
          <w:iCs/>
          <w:sz w:val="24"/>
          <w:szCs w:val="24"/>
          <w:vertAlign w:val="superscript"/>
        </w:rPr>
        <w:t xml:space="preserve">a </w:t>
      </w:r>
      <w:r w:rsidRPr="00F32D34">
        <w:rPr>
          <w:sz w:val="24"/>
          <w:szCs w:val="24"/>
          <w:lang w:val="en-GB"/>
        </w:rPr>
        <w:t>Primary Care Unit, Department of Public Health and Primary Care, University of Cambridge, Cambridge, UK</w:t>
      </w:r>
    </w:p>
    <w:p w14:paraId="233A6941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  <w:lang w:val="en-GB"/>
        </w:rPr>
      </w:pPr>
      <w:r w:rsidRPr="00F32D34">
        <w:rPr>
          <w:i/>
          <w:iCs/>
          <w:sz w:val="24"/>
          <w:szCs w:val="24"/>
          <w:vertAlign w:val="superscript"/>
        </w:rPr>
        <w:t>b</w:t>
      </w:r>
      <w:r w:rsidRPr="00F32D34">
        <w:rPr>
          <w:sz w:val="24"/>
          <w:szCs w:val="24"/>
        </w:rPr>
        <w:t xml:space="preserve"> </w:t>
      </w:r>
      <w:r w:rsidRPr="00F32D34">
        <w:rPr>
          <w:sz w:val="24"/>
          <w:szCs w:val="24"/>
          <w:lang w:val="en-GB"/>
        </w:rPr>
        <w:t>St George’s School of Health and Medical Sciences, Population Health Research Institute, City St George’s, University of London, London, UK</w:t>
      </w:r>
    </w:p>
    <w:p w14:paraId="12E4B590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  <w:lang w:val="en-GB"/>
        </w:rPr>
      </w:pPr>
      <w:r w:rsidRPr="00F32D34">
        <w:rPr>
          <w:i/>
          <w:iCs/>
          <w:sz w:val="24"/>
          <w:szCs w:val="24"/>
          <w:vertAlign w:val="superscript"/>
          <w:lang w:val="en-GB"/>
        </w:rPr>
        <w:t>c</w:t>
      </w:r>
      <w:r w:rsidRPr="00F32D34">
        <w:rPr>
          <w:sz w:val="24"/>
          <w:szCs w:val="24"/>
          <w:lang w:val="en-GB"/>
        </w:rPr>
        <w:t xml:space="preserve"> The Migrant Health Research Unit, Institute for Infection and Immunity, City St George’s, University of London, London, UK</w:t>
      </w:r>
    </w:p>
    <w:p w14:paraId="6B160BB5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</w:rPr>
      </w:pPr>
    </w:p>
    <w:p w14:paraId="47CC1A03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</w:rPr>
      </w:pPr>
      <w:r w:rsidRPr="00F32D34">
        <w:rPr>
          <w:i/>
          <w:iCs/>
          <w:sz w:val="24"/>
          <w:szCs w:val="24"/>
          <w:vertAlign w:val="superscript"/>
        </w:rPr>
        <w:t>*</w:t>
      </w:r>
      <w:r w:rsidRPr="00F32D34">
        <w:rPr>
          <w:sz w:val="24"/>
          <w:szCs w:val="24"/>
        </w:rPr>
        <w:t>Corresponding Author:</w:t>
      </w:r>
    </w:p>
    <w:p w14:paraId="7C0EB748" w14:textId="77777777" w:rsidR="00F32D34" w:rsidRPr="00F32D34" w:rsidRDefault="00F32D34" w:rsidP="00F32D34">
      <w:pPr>
        <w:spacing w:after="0" w:line="276" w:lineRule="auto"/>
        <w:jc w:val="both"/>
        <w:rPr>
          <w:sz w:val="24"/>
          <w:szCs w:val="24"/>
          <w:lang w:val="en-GB"/>
        </w:rPr>
      </w:pPr>
      <w:r w:rsidRPr="00F32D34">
        <w:rPr>
          <w:sz w:val="24"/>
          <w:szCs w:val="24"/>
          <w:lang w:val="en-GB"/>
        </w:rPr>
        <w:t xml:space="preserve">Department of Public Health and Primary Care, University of Cambridge, East </w:t>
      </w:r>
      <w:proofErr w:type="spellStart"/>
      <w:r w:rsidRPr="00F32D34">
        <w:rPr>
          <w:sz w:val="24"/>
          <w:szCs w:val="24"/>
          <w:lang w:val="en-GB"/>
        </w:rPr>
        <w:t>Forvie</w:t>
      </w:r>
      <w:proofErr w:type="spellEnd"/>
      <w:r w:rsidRPr="00F32D34">
        <w:rPr>
          <w:sz w:val="24"/>
          <w:szCs w:val="24"/>
          <w:lang w:val="en-GB"/>
        </w:rPr>
        <w:t xml:space="preserve"> Building, East </w:t>
      </w:r>
      <w:proofErr w:type="spellStart"/>
      <w:r w:rsidRPr="00F32D34">
        <w:rPr>
          <w:sz w:val="24"/>
          <w:szCs w:val="24"/>
          <w:lang w:val="en-GB"/>
        </w:rPr>
        <w:t>Forvie</w:t>
      </w:r>
      <w:proofErr w:type="spellEnd"/>
      <w:r w:rsidRPr="00F32D34">
        <w:rPr>
          <w:sz w:val="24"/>
          <w:szCs w:val="24"/>
          <w:lang w:val="en-GB"/>
        </w:rPr>
        <w:t xml:space="preserve"> Site, Robinson Way, Cambridge, CB2 0SR</w:t>
      </w:r>
    </w:p>
    <w:p w14:paraId="5B9A4F53" w14:textId="77777777" w:rsidR="00F32D34" w:rsidRPr="00F32D34" w:rsidRDefault="00000000" w:rsidP="00F32D34">
      <w:pPr>
        <w:spacing w:after="0" w:line="276" w:lineRule="auto"/>
        <w:jc w:val="both"/>
        <w:rPr>
          <w:sz w:val="24"/>
          <w:szCs w:val="24"/>
          <w:lang w:val="en-GB"/>
        </w:rPr>
      </w:pPr>
      <w:hyperlink r:id="rId6" w:history="1">
        <w:r w:rsidR="00F32D34" w:rsidRPr="00F32D34">
          <w:rPr>
            <w:rStyle w:val="Hyperlink"/>
            <w:sz w:val="24"/>
            <w:szCs w:val="24"/>
            <w:lang w:val="en-GB"/>
          </w:rPr>
          <w:t>msr37@cam.ac.uk</w:t>
        </w:r>
      </w:hyperlink>
    </w:p>
    <w:p w14:paraId="358AAB05" w14:textId="77777777" w:rsidR="0080353C" w:rsidRDefault="0080353C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0DBC339" w14:textId="68EF0B20" w:rsidR="00084ADE" w:rsidRPr="00BC1326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C1326">
        <w:rPr>
          <w:rFonts w:cstheme="minorHAnsi"/>
          <w:b/>
          <w:bCs/>
          <w:sz w:val="24"/>
          <w:szCs w:val="24"/>
        </w:rPr>
        <w:t>Data and Methods</w:t>
      </w:r>
    </w:p>
    <w:p w14:paraId="79DD395F" w14:textId="77777777" w:rsidR="00084ADE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EEDF48" w14:textId="538121CB" w:rsidR="00084ADE" w:rsidRPr="009D07E3" w:rsidRDefault="00E532F6" w:rsidP="00084ADE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Online survey </w:t>
      </w:r>
    </w:p>
    <w:p w14:paraId="04F8AB0C" w14:textId="6007C27A" w:rsidR="00084ADE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7E3">
        <w:rPr>
          <w:rFonts w:cstheme="minorHAnsi"/>
          <w:sz w:val="24"/>
          <w:szCs w:val="24"/>
        </w:rPr>
        <w:t>In Table 1 we provide th</w:t>
      </w:r>
      <w:r>
        <w:rPr>
          <w:rFonts w:cstheme="minorHAnsi"/>
          <w:sz w:val="24"/>
          <w:szCs w:val="24"/>
        </w:rPr>
        <w:t xml:space="preserve">e </w:t>
      </w:r>
      <w:r w:rsidR="00E532F6">
        <w:rPr>
          <w:rFonts w:cstheme="minorHAnsi"/>
          <w:sz w:val="24"/>
          <w:szCs w:val="24"/>
        </w:rPr>
        <w:t>online survey among healthcare professionals involved in vaccination during pregnancy</w:t>
      </w:r>
      <w:r>
        <w:rPr>
          <w:rFonts w:cstheme="minorHAnsi"/>
          <w:sz w:val="24"/>
          <w:szCs w:val="24"/>
        </w:rPr>
        <w:t xml:space="preserve">. </w:t>
      </w:r>
    </w:p>
    <w:p w14:paraId="52C68F53" w14:textId="77777777" w:rsidR="00084ADE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6754430" w14:textId="47B12EFD" w:rsidR="00084ADE" w:rsidRDefault="00084ADE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97269">
        <w:rPr>
          <w:rFonts w:cstheme="minorHAnsi"/>
          <w:b/>
          <w:bCs/>
          <w:sz w:val="24"/>
          <w:szCs w:val="24"/>
        </w:rPr>
        <w:t xml:space="preserve">Table </w:t>
      </w:r>
      <w:r w:rsidR="00BB3924">
        <w:rPr>
          <w:rFonts w:cstheme="minorHAnsi"/>
          <w:b/>
          <w:bCs/>
          <w:sz w:val="24"/>
          <w:szCs w:val="24"/>
        </w:rPr>
        <w:t>S</w:t>
      </w:r>
      <w:r w:rsidRPr="00797269">
        <w:rPr>
          <w:rFonts w:cstheme="minorHAnsi"/>
          <w:b/>
          <w:bCs/>
          <w:sz w:val="24"/>
          <w:szCs w:val="24"/>
        </w:rPr>
        <w:t xml:space="preserve">1: </w:t>
      </w:r>
      <w:r w:rsidR="00E532F6">
        <w:rPr>
          <w:rFonts w:cstheme="minorHAnsi"/>
          <w:b/>
          <w:bCs/>
          <w:sz w:val="24"/>
          <w:szCs w:val="24"/>
        </w:rPr>
        <w:t xml:space="preserve">Vaccination in pregnancy: Healthcare professional online survey </w:t>
      </w:r>
    </w:p>
    <w:p w14:paraId="69EE218F" w14:textId="77777777" w:rsidR="00581618" w:rsidRPr="00797269" w:rsidRDefault="00581618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E532F6" w:rsidRPr="00BE4DE0" w14:paraId="08E2403B" w14:textId="77777777" w:rsidTr="00225BEC">
        <w:tc>
          <w:tcPr>
            <w:tcW w:w="8185" w:type="dxa"/>
          </w:tcPr>
          <w:p w14:paraId="6050AD50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</w:p>
          <w:p w14:paraId="1215C662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  <w:r w:rsidRPr="00E532F6">
              <w:rPr>
                <w:rFonts w:cstheme="minorHAnsi"/>
                <w:b/>
                <w:bCs/>
                <w:lang w:val="en-GB"/>
              </w:rPr>
              <w:t>1.Age group (years)</w:t>
            </w:r>
          </w:p>
          <w:p w14:paraId="68685BCA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</w:p>
          <w:p w14:paraId="06964B73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20-30</w:t>
            </w:r>
          </w:p>
          <w:p w14:paraId="4ED91FF1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30-40</w:t>
            </w:r>
          </w:p>
          <w:p w14:paraId="7AAB3DFC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40-50</w:t>
            </w:r>
          </w:p>
          <w:p w14:paraId="1675D9CC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50-60</w:t>
            </w:r>
          </w:p>
          <w:p w14:paraId="4231144B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Over 60</w:t>
            </w:r>
          </w:p>
          <w:p w14:paraId="6FE44906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 xml:space="preserve">Prefer not to </w:t>
            </w:r>
            <w:proofErr w:type="gramStart"/>
            <w:r w:rsidRPr="00E532F6">
              <w:rPr>
                <w:rFonts w:cstheme="minorHAnsi"/>
                <w:lang w:val="en-GB"/>
              </w:rPr>
              <w:t>say</w:t>
            </w:r>
            <w:proofErr w:type="gramEnd"/>
          </w:p>
          <w:p w14:paraId="71DEBC14" w14:textId="77777777" w:rsidR="00E532F6" w:rsidRPr="00BE4DE0" w:rsidRDefault="00E532F6" w:rsidP="00E532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797F5284" w14:textId="77777777" w:rsidTr="00225BEC">
        <w:tc>
          <w:tcPr>
            <w:tcW w:w="8185" w:type="dxa"/>
          </w:tcPr>
          <w:p w14:paraId="0BD2D373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  <w:r w:rsidRPr="00E532F6">
              <w:rPr>
                <w:rFonts w:cstheme="minorHAnsi"/>
                <w:b/>
                <w:bCs/>
                <w:lang w:val="en-GB"/>
              </w:rPr>
              <w:t>2.Gender </w:t>
            </w:r>
          </w:p>
          <w:p w14:paraId="3206A983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</w:p>
          <w:p w14:paraId="44A1CC0C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Woman</w:t>
            </w:r>
          </w:p>
          <w:p w14:paraId="0E1DD0D0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Man</w:t>
            </w:r>
          </w:p>
          <w:p w14:paraId="28E076FB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lastRenderedPageBreak/>
              <w:t>Non-binary</w:t>
            </w:r>
          </w:p>
          <w:p w14:paraId="46415699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 xml:space="preserve">Prefer not to </w:t>
            </w:r>
            <w:proofErr w:type="gramStart"/>
            <w:r w:rsidRPr="00E532F6">
              <w:rPr>
                <w:rFonts w:cstheme="minorHAnsi"/>
                <w:lang w:val="en-GB"/>
              </w:rPr>
              <w:t>say</w:t>
            </w:r>
            <w:proofErr w:type="gramEnd"/>
          </w:p>
          <w:p w14:paraId="2105E06C" w14:textId="77777777" w:rsidR="00E532F6" w:rsidRPr="00BE4DE0" w:rsidRDefault="00E532F6" w:rsidP="00E532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2BA8EC09" w14:textId="77777777" w:rsidTr="00225BEC">
        <w:tc>
          <w:tcPr>
            <w:tcW w:w="8185" w:type="dxa"/>
          </w:tcPr>
          <w:p w14:paraId="4DF3D4A8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  <w:r w:rsidRPr="00E532F6">
              <w:rPr>
                <w:rFonts w:cstheme="minorHAnsi"/>
                <w:b/>
                <w:bCs/>
                <w:lang w:val="en-GB"/>
              </w:rPr>
              <w:lastRenderedPageBreak/>
              <w:t>3.Ethnicity</w:t>
            </w:r>
          </w:p>
          <w:p w14:paraId="1E3210DE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</w:p>
          <w:p w14:paraId="01BDD457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White British </w:t>
            </w:r>
          </w:p>
          <w:p w14:paraId="6A87D037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Black African</w:t>
            </w:r>
          </w:p>
          <w:p w14:paraId="774BBA2D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Black Caribbean </w:t>
            </w:r>
          </w:p>
          <w:p w14:paraId="2F324C48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Asian or Asian British </w:t>
            </w:r>
          </w:p>
          <w:p w14:paraId="37A52A6B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Other </w:t>
            </w:r>
          </w:p>
          <w:p w14:paraId="5659108E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 xml:space="preserve">Prefer not to </w:t>
            </w:r>
            <w:proofErr w:type="gramStart"/>
            <w:r w:rsidRPr="00E532F6">
              <w:rPr>
                <w:rFonts w:cstheme="minorHAnsi"/>
                <w:lang w:val="en-GB"/>
              </w:rPr>
              <w:t>say</w:t>
            </w:r>
            <w:proofErr w:type="gramEnd"/>
            <w:r w:rsidRPr="00E532F6">
              <w:rPr>
                <w:rFonts w:cstheme="minorHAnsi"/>
                <w:lang w:val="en-GB"/>
              </w:rPr>
              <w:t> </w:t>
            </w:r>
          </w:p>
          <w:p w14:paraId="5DB2B3CF" w14:textId="77777777" w:rsidR="00E532F6" w:rsidRPr="00BE4DE0" w:rsidRDefault="00E532F6" w:rsidP="00E532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02497063" w14:textId="77777777" w:rsidTr="00225BEC">
        <w:tc>
          <w:tcPr>
            <w:tcW w:w="8185" w:type="dxa"/>
          </w:tcPr>
          <w:p w14:paraId="075C9C18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  <w:r w:rsidRPr="00E532F6">
              <w:rPr>
                <w:rFonts w:cstheme="minorHAnsi"/>
                <w:b/>
                <w:bCs/>
                <w:lang w:val="en-GB"/>
              </w:rPr>
              <w:t>4.Professional Category </w:t>
            </w:r>
          </w:p>
          <w:p w14:paraId="06DD0563" w14:textId="77777777" w:rsidR="00E532F6" w:rsidRPr="00E532F6" w:rsidRDefault="00E532F6" w:rsidP="00E532F6">
            <w:pPr>
              <w:rPr>
                <w:rFonts w:cstheme="minorHAnsi"/>
                <w:b/>
                <w:bCs/>
                <w:lang w:val="en-GB"/>
              </w:rPr>
            </w:pPr>
          </w:p>
          <w:p w14:paraId="68245113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Midwife</w:t>
            </w:r>
          </w:p>
          <w:p w14:paraId="544722E3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Obstetrician </w:t>
            </w:r>
          </w:p>
          <w:p w14:paraId="48124843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Pharmacist </w:t>
            </w:r>
          </w:p>
          <w:p w14:paraId="006B1E77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Nurse</w:t>
            </w:r>
          </w:p>
          <w:p w14:paraId="287C72D4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General Practitioner </w:t>
            </w:r>
          </w:p>
          <w:p w14:paraId="494E0050" w14:textId="77777777" w:rsidR="00E532F6" w:rsidRPr="00E532F6" w:rsidRDefault="00E532F6" w:rsidP="00E532F6">
            <w:pPr>
              <w:rPr>
                <w:rFonts w:cstheme="minorHAnsi"/>
                <w:lang w:val="en-GB"/>
              </w:rPr>
            </w:pPr>
            <w:r w:rsidRPr="00E532F6">
              <w:rPr>
                <w:rFonts w:cstheme="minorHAnsi"/>
                <w:lang w:val="en-GB"/>
              </w:rPr>
              <w:t>Other </w:t>
            </w:r>
          </w:p>
          <w:p w14:paraId="3E489A04" w14:textId="77777777" w:rsidR="00E532F6" w:rsidRPr="00BE4DE0" w:rsidRDefault="00E532F6" w:rsidP="00E532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355028D6" w14:textId="77777777" w:rsidTr="00225BEC">
        <w:tc>
          <w:tcPr>
            <w:tcW w:w="8185" w:type="dxa"/>
          </w:tcPr>
          <w:p w14:paraId="25D10B1F" w14:textId="77777777" w:rsidR="003F7A78" w:rsidRPr="003F7A78" w:rsidRDefault="003F7A78" w:rsidP="003F7A78">
            <w:pPr>
              <w:rPr>
                <w:rFonts w:cstheme="minorHAnsi"/>
                <w:b/>
                <w:bCs/>
                <w:lang w:val="en-GB"/>
              </w:rPr>
            </w:pPr>
            <w:r w:rsidRPr="003F7A78">
              <w:rPr>
                <w:rFonts w:cstheme="minorHAnsi"/>
                <w:b/>
                <w:bCs/>
                <w:lang w:val="en-GB"/>
              </w:rPr>
              <w:t>5.Place of Work </w:t>
            </w:r>
          </w:p>
          <w:p w14:paraId="5FA45C28" w14:textId="77777777" w:rsidR="003F7A78" w:rsidRPr="003F7A78" w:rsidRDefault="003F7A78" w:rsidP="003F7A78">
            <w:pPr>
              <w:rPr>
                <w:rFonts w:cstheme="minorHAnsi"/>
                <w:b/>
                <w:bCs/>
                <w:lang w:val="en-GB"/>
              </w:rPr>
            </w:pPr>
          </w:p>
          <w:p w14:paraId="3F7057B4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Hospital </w:t>
            </w:r>
          </w:p>
          <w:p w14:paraId="53E160D1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General Practice</w:t>
            </w:r>
          </w:p>
          <w:p w14:paraId="084C1642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Community Midwife</w:t>
            </w:r>
          </w:p>
          <w:p w14:paraId="69FE9DC4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Community Pharmacy</w:t>
            </w:r>
          </w:p>
          <w:p w14:paraId="67F76675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Other</w:t>
            </w:r>
          </w:p>
          <w:p w14:paraId="21AE4314" w14:textId="77777777" w:rsidR="00E532F6" w:rsidRPr="00BE4DE0" w:rsidRDefault="00E532F6" w:rsidP="003F7A7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0014D6F4" w14:textId="77777777" w:rsidTr="00225BEC">
        <w:tc>
          <w:tcPr>
            <w:tcW w:w="8185" w:type="dxa"/>
          </w:tcPr>
          <w:p w14:paraId="2E1F1C4B" w14:textId="77777777" w:rsidR="00E532F6" w:rsidRDefault="003F7A78" w:rsidP="003F7A78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3F7A78">
              <w:rPr>
                <w:rFonts w:cstheme="minorHAnsi"/>
                <w:sz w:val="22"/>
                <w:szCs w:val="22"/>
                <w:lang w:val="en-GB"/>
              </w:rPr>
              <w:t>6. Based on your experience, what challenges and barriers have you faced in both administering and promoting vaccinations during pregnancy?</w:t>
            </w:r>
          </w:p>
          <w:p w14:paraId="183995D5" w14:textId="77777777" w:rsidR="003F7A78" w:rsidRDefault="003F7A78" w:rsidP="003F7A78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4CCEC913" w14:textId="77777777" w:rsidR="003F7A78" w:rsidRDefault="003F7A78" w:rsidP="003F7A78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30A9E076" w14:textId="58A20901" w:rsidR="003F7A78" w:rsidRPr="00BE4DE0" w:rsidRDefault="003F7A78" w:rsidP="003F7A7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634AE37A" w14:textId="77777777" w:rsidTr="00225BEC">
        <w:tc>
          <w:tcPr>
            <w:tcW w:w="8185" w:type="dxa"/>
          </w:tcPr>
          <w:p w14:paraId="7F748B5F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7. In your opinion, what are the most effective strategies to enhance vaccination rates during pregnancy? Please elaborate.</w:t>
            </w:r>
          </w:p>
          <w:p w14:paraId="54C6CC64" w14:textId="77777777" w:rsidR="00E532F6" w:rsidRDefault="00E532F6" w:rsidP="003F7A78">
            <w:pPr>
              <w:rPr>
                <w:rFonts w:cstheme="minorHAnsi"/>
                <w:sz w:val="22"/>
                <w:szCs w:val="22"/>
              </w:rPr>
            </w:pPr>
          </w:p>
          <w:p w14:paraId="67EBFCB7" w14:textId="77777777" w:rsidR="003F7A78" w:rsidRPr="00BE4DE0" w:rsidRDefault="003F7A78" w:rsidP="003F7A7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5C29A924" w14:textId="77777777" w:rsidTr="00225BEC">
        <w:tc>
          <w:tcPr>
            <w:tcW w:w="8185" w:type="dxa"/>
          </w:tcPr>
          <w:p w14:paraId="204CBA49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8. Do you have any additional insights or recommendations regarding vaccination during pregnancy?</w:t>
            </w:r>
            <w:r w:rsidRPr="003F7A78">
              <w:rPr>
                <w:rFonts w:cstheme="minorHAnsi"/>
                <w:lang w:val="en-GB"/>
              </w:rPr>
              <w:br/>
            </w:r>
          </w:p>
          <w:p w14:paraId="5FCD25A2" w14:textId="77777777" w:rsidR="00E532F6" w:rsidRPr="00BE4DE0" w:rsidRDefault="00E532F6" w:rsidP="003F7A7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32F6" w:rsidRPr="00BE4DE0" w14:paraId="5929C9B2" w14:textId="77777777" w:rsidTr="00225BEC">
        <w:tc>
          <w:tcPr>
            <w:tcW w:w="8185" w:type="dxa"/>
          </w:tcPr>
          <w:p w14:paraId="7590726A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End of Survey</w:t>
            </w:r>
          </w:p>
          <w:p w14:paraId="4182363B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</w:p>
          <w:p w14:paraId="3B675AAA" w14:textId="77777777" w:rsidR="003F7A78" w:rsidRPr="003F7A78" w:rsidRDefault="003F7A78" w:rsidP="003F7A78">
            <w:pPr>
              <w:rPr>
                <w:rFonts w:cstheme="minorHAnsi"/>
                <w:lang w:val="en-GB"/>
              </w:rPr>
            </w:pPr>
            <w:r w:rsidRPr="003F7A78">
              <w:rPr>
                <w:rFonts w:cstheme="minorHAnsi"/>
                <w:lang w:val="en-GB"/>
              </w:rPr>
              <w:t>Submit</w:t>
            </w:r>
          </w:p>
          <w:p w14:paraId="06006B87" w14:textId="77777777" w:rsidR="00E532F6" w:rsidRPr="00BE4DE0" w:rsidRDefault="00E532F6" w:rsidP="00225BE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1EAB86C" w14:textId="77777777" w:rsidR="00084ADE" w:rsidRPr="009D07E3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4B1E5B9" w14:textId="77777777" w:rsidR="00084ADE" w:rsidRDefault="00084ADE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32D828" w14:textId="12D6C929" w:rsidR="00837212" w:rsidRPr="0000425E" w:rsidRDefault="00837212" w:rsidP="0000425E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837212">
        <w:rPr>
          <w:rFonts w:cstheme="minorHAnsi"/>
          <w:b/>
          <w:bCs/>
          <w:sz w:val="24"/>
          <w:szCs w:val="24"/>
        </w:rPr>
        <w:lastRenderedPageBreak/>
        <w:t>Table S</w:t>
      </w:r>
      <w:r>
        <w:rPr>
          <w:rFonts w:cstheme="minorHAnsi"/>
          <w:b/>
          <w:bCs/>
          <w:sz w:val="24"/>
          <w:szCs w:val="24"/>
        </w:rPr>
        <w:t>2</w:t>
      </w:r>
      <w:r w:rsidRPr="00837212">
        <w:rPr>
          <w:rFonts w:cstheme="minorHAnsi"/>
          <w:b/>
          <w:bCs/>
          <w:sz w:val="24"/>
          <w:szCs w:val="24"/>
        </w:rPr>
        <w:t xml:space="preserve">: 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 xml:space="preserve">Discussion </w:t>
      </w:r>
      <w:r w:rsidR="0000425E">
        <w:rPr>
          <w:rFonts w:cstheme="minorHAnsi"/>
          <w:b/>
          <w:bCs/>
          <w:sz w:val="24"/>
          <w:szCs w:val="24"/>
          <w:lang w:val="en-GB"/>
        </w:rPr>
        <w:t>g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 xml:space="preserve">uide </w:t>
      </w:r>
      <w:r w:rsidR="0000425E">
        <w:rPr>
          <w:rFonts w:cstheme="minorHAnsi"/>
          <w:b/>
          <w:bCs/>
          <w:sz w:val="24"/>
          <w:szCs w:val="24"/>
          <w:lang w:val="en-GB"/>
        </w:rPr>
        <w:t>p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 xml:space="preserve">rompts for </w:t>
      </w:r>
      <w:r w:rsidR="0000425E">
        <w:rPr>
          <w:rFonts w:cstheme="minorHAnsi"/>
          <w:b/>
          <w:bCs/>
          <w:sz w:val="24"/>
          <w:szCs w:val="24"/>
          <w:lang w:val="en-GB"/>
        </w:rPr>
        <w:t>h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 xml:space="preserve">ealthcare </w:t>
      </w:r>
      <w:proofErr w:type="gramStart"/>
      <w:r w:rsidR="0000425E">
        <w:rPr>
          <w:rFonts w:cstheme="minorHAnsi"/>
          <w:b/>
          <w:bCs/>
          <w:sz w:val="24"/>
          <w:szCs w:val="24"/>
          <w:lang w:val="en-GB"/>
        </w:rPr>
        <w:t>p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>rofessionals</w:t>
      </w:r>
      <w:proofErr w:type="gramEnd"/>
      <w:r w:rsidR="0000425E" w:rsidRPr="000042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0425E">
        <w:rPr>
          <w:rFonts w:cstheme="minorHAnsi"/>
          <w:b/>
          <w:bCs/>
          <w:sz w:val="24"/>
          <w:szCs w:val="24"/>
          <w:lang w:val="en-GB"/>
        </w:rPr>
        <w:t>w</w:t>
      </w:r>
      <w:r w:rsidR="0000425E" w:rsidRPr="0000425E">
        <w:rPr>
          <w:rFonts w:cstheme="minorHAnsi"/>
          <w:b/>
          <w:bCs/>
          <w:sz w:val="24"/>
          <w:szCs w:val="24"/>
          <w:lang w:val="en-GB"/>
        </w:rPr>
        <w:t>orkshop</w:t>
      </w:r>
    </w:p>
    <w:p w14:paraId="527D6F2F" w14:textId="77777777" w:rsidR="00837212" w:rsidRDefault="00837212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212" w:rsidRPr="00861780" w14:paraId="261C97CD" w14:textId="77777777" w:rsidTr="00D15B89">
        <w:tc>
          <w:tcPr>
            <w:tcW w:w="9016" w:type="dxa"/>
          </w:tcPr>
          <w:p w14:paraId="57E277D9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Opening Prompt:</w:t>
            </w:r>
          </w:p>
        </w:tc>
      </w:tr>
      <w:tr w:rsidR="00837212" w:rsidRPr="00861780" w14:paraId="1E30D9A8" w14:textId="77777777" w:rsidTr="00D15B89">
        <w:tc>
          <w:tcPr>
            <w:tcW w:w="9016" w:type="dxa"/>
          </w:tcPr>
          <w:p w14:paraId="31F85064" w14:textId="77777777" w:rsidR="00837212" w:rsidRPr="00861780" w:rsidRDefault="00837212" w:rsidP="0083721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Can you share your initial thoughts on the current state of vaccination uptake among pregnant women within your practice?</w:t>
            </w:r>
          </w:p>
        </w:tc>
      </w:tr>
      <w:tr w:rsidR="00837212" w:rsidRPr="00861780" w14:paraId="454CEFE5" w14:textId="77777777" w:rsidTr="00D15B89">
        <w:tc>
          <w:tcPr>
            <w:tcW w:w="9016" w:type="dxa"/>
          </w:tcPr>
          <w:p w14:paraId="531AC6E4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Evolving Nature of Vaccine Uptake:</w:t>
            </w:r>
          </w:p>
        </w:tc>
      </w:tr>
      <w:tr w:rsidR="00837212" w:rsidRPr="00861780" w14:paraId="02CF062F" w14:textId="77777777" w:rsidTr="00D15B89">
        <w:tc>
          <w:tcPr>
            <w:tcW w:w="9016" w:type="dxa"/>
          </w:tcPr>
          <w:p w14:paraId="339C0094" w14:textId="77777777" w:rsidR="00837212" w:rsidRPr="00861780" w:rsidRDefault="00837212" w:rsidP="0083721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How have you seen attitudes towards vaccination in pregnancy change over time, and what do you believe are the driving forces behind these changes?</w:t>
            </w:r>
          </w:p>
        </w:tc>
      </w:tr>
      <w:tr w:rsidR="00837212" w:rsidRPr="00861780" w14:paraId="676A18A7" w14:textId="77777777" w:rsidTr="00D15B89">
        <w:tc>
          <w:tcPr>
            <w:tcW w:w="9016" w:type="dxa"/>
          </w:tcPr>
          <w:p w14:paraId="5B2CF970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Differences in Vaccine Acceptance:</w:t>
            </w:r>
          </w:p>
        </w:tc>
      </w:tr>
      <w:tr w:rsidR="00837212" w:rsidRPr="00861780" w14:paraId="05CB5D88" w14:textId="77777777" w:rsidTr="00D15B89">
        <w:tc>
          <w:tcPr>
            <w:tcW w:w="9016" w:type="dxa"/>
          </w:tcPr>
          <w:p w14:paraId="6C409CC7" w14:textId="77777777" w:rsidR="00837212" w:rsidRPr="00861780" w:rsidRDefault="00837212" w:rsidP="0083721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In your experience, what are the most common concerns that pregnant women express about vaccines?</w:t>
            </w:r>
          </w:p>
        </w:tc>
      </w:tr>
      <w:tr w:rsidR="00837212" w:rsidRPr="00861780" w14:paraId="71BC8191" w14:textId="77777777" w:rsidTr="00D15B89">
        <w:tc>
          <w:tcPr>
            <w:tcW w:w="9016" w:type="dxa"/>
          </w:tcPr>
          <w:p w14:paraId="65CFD8C9" w14:textId="77777777" w:rsidR="00837212" w:rsidRPr="00861780" w:rsidRDefault="00837212" w:rsidP="0083721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How do vaccine acceptance rates vary among different communities or demographic groups that you serve?</w:t>
            </w:r>
          </w:p>
        </w:tc>
      </w:tr>
      <w:tr w:rsidR="00837212" w:rsidRPr="00861780" w14:paraId="5195D34D" w14:textId="77777777" w:rsidTr="00D15B89">
        <w:tc>
          <w:tcPr>
            <w:tcW w:w="9016" w:type="dxa"/>
          </w:tcPr>
          <w:p w14:paraId="67C37CC0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Impact of Communication and Messaging:</w:t>
            </w:r>
          </w:p>
        </w:tc>
      </w:tr>
      <w:tr w:rsidR="00837212" w:rsidRPr="00861780" w14:paraId="2A76FB7C" w14:textId="77777777" w:rsidTr="00D15B89">
        <w:tc>
          <w:tcPr>
            <w:tcW w:w="9016" w:type="dxa"/>
          </w:tcPr>
          <w:p w14:paraId="7BD80CFB" w14:textId="77777777" w:rsidR="00837212" w:rsidRPr="00861780" w:rsidRDefault="00837212" w:rsidP="0083721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What messaging strategies have you found to be most effective when discussing vaccination with pregnant women?</w:t>
            </w:r>
          </w:p>
        </w:tc>
      </w:tr>
      <w:tr w:rsidR="00837212" w:rsidRPr="00861780" w14:paraId="12EFE76B" w14:textId="77777777" w:rsidTr="00D15B89">
        <w:tc>
          <w:tcPr>
            <w:tcW w:w="9016" w:type="dxa"/>
          </w:tcPr>
          <w:p w14:paraId="319A9917" w14:textId="77777777" w:rsidR="00837212" w:rsidRPr="00861780" w:rsidRDefault="00837212" w:rsidP="0083721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How do you address misinformation or concerns about vaccine safety and efficacy?</w:t>
            </w:r>
          </w:p>
        </w:tc>
      </w:tr>
      <w:tr w:rsidR="00837212" w:rsidRPr="00861780" w14:paraId="0C909C0F" w14:textId="77777777" w:rsidTr="00D15B89">
        <w:tc>
          <w:tcPr>
            <w:tcW w:w="9016" w:type="dxa"/>
          </w:tcPr>
          <w:p w14:paraId="188DA21B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Accessibility and Convenience of Vaccine Services:</w:t>
            </w:r>
          </w:p>
        </w:tc>
      </w:tr>
      <w:tr w:rsidR="00837212" w:rsidRPr="00861780" w14:paraId="2F2C1A25" w14:textId="77777777" w:rsidTr="00D15B89">
        <w:tc>
          <w:tcPr>
            <w:tcW w:w="9016" w:type="dxa"/>
          </w:tcPr>
          <w:p w14:paraId="22BFB269" w14:textId="77777777" w:rsidR="00837212" w:rsidRPr="00861780" w:rsidRDefault="00837212" w:rsidP="0083721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Can you describe the challenges that pregnant women might face in accessing vaccination services?</w:t>
            </w:r>
          </w:p>
        </w:tc>
      </w:tr>
      <w:tr w:rsidR="00837212" w:rsidRPr="00861780" w14:paraId="2AECF2F3" w14:textId="77777777" w:rsidTr="00D15B89">
        <w:tc>
          <w:tcPr>
            <w:tcW w:w="9016" w:type="dxa"/>
          </w:tcPr>
          <w:p w14:paraId="49F3D987" w14:textId="77777777" w:rsidR="00837212" w:rsidRPr="00861780" w:rsidRDefault="00837212" w:rsidP="0083721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What improvements can be made to make vaccine services more convenient for pregnant women?</w:t>
            </w:r>
          </w:p>
        </w:tc>
      </w:tr>
      <w:tr w:rsidR="00837212" w:rsidRPr="00861780" w14:paraId="7B6A1616" w14:textId="77777777" w:rsidTr="00D15B89">
        <w:tc>
          <w:tcPr>
            <w:tcW w:w="9016" w:type="dxa"/>
          </w:tcPr>
          <w:p w14:paraId="5F312520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Role of Healthcare Professionals:</w:t>
            </w:r>
          </w:p>
        </w:tc>
      </w:tr>
      <w:tr w:rsidR="00837212" w:rsidRPr="00861780" w14:paraId="7D1EF9ED" w14:textId="77777777" w:rsidTr="00D15B89">
        <w:tc>
          <w:tcPr>
            <w:tcW w:w="9016" w:type="dxa"/>
          </w:tcPr>
          <w:p w14:paraId="2FDE458D" w14:textId="77777777" w:rsidR="00837212" w:rsidRPr="00861780" w:rsidRDefault="00837212" w:rsidP="0083721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What role do you think healthcare professionals should play in a pregnant woman’s decision to get vaccinated?</w:t>
            </w:r>
          </w:p>
        </w:tc>
      </w:tr>
      <w:tr w:rsidR="00837212" w:rsidRPr="00861780" w14:paraId="107CBBE6" w14:textId="77777777" w:rsidTr="00D15B89">
        <w:tc>
          <w:tcPr>
            <w:tcW w:w="9016" w:type="dxa"/>
          </w:tcPr>
          <w:p w14:paraId="2866F2C8" w14:textId="77777777" w:rsidR="00837212" w:rsidRPr="00861780" w:rsidRDefault="00837212" w:rsidP="0083721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How can midwives</w:t>
            </w:r>
            <w:proofErr w:type="gramStart"/>
            <w:r w:rsidRPr="00861780">
              <w:rPr>
                <w:rFonts w:ascii="Arial" w:hAnsi="Arial" w:cs="Arial"/>
              </w:rPr>
              <w:t>, in particular, be</w:t>
            </w:r>
            <w:proofErr w:type="gramEnd"/>
            <w:r w:rsidRPr="00861780">
              <w:rPr>
                <w:rFonts w:ascii="Arial" w:hAnsi="Arial" w:cs="Arial"/>
              </w:rPr>
              <w:t xml:space="preserve"> better supported to facilitate vaccine discussions and decisions?</w:t>
            </w:r>
          </w:p>
        </w:tc>
      </w:tr>
      <w:tr w:rsidR="00837212" w:rsidRPr="00861780" w14:paraId="0A7C0078" w14:textId="77777777" w:rsidTr="00D15B89">
        <w:tc>
          <w:tcPr>
            <w:tcW w:w="9016" w:type="dxa"/>
          </w:tcPr>
          <w:p w14:paraId="1C4126D8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Influence of Family and Social Networks:</w:t>
            </w:r>
          </w:p>
        </w:tc>
      </w:tr>
      <w:tr w:rsidR="00837212" w:rsidRPr="00861780" w14:paraId="485A906E" w14:textId="77777777" w:rsidTr="00D15B89">
        <w:tc>
          <w:tcPr>
            <w:tcW w:w="9016" w:type="dxa"/>
          </w:tcPr>
          <w:p w14:paraId="522AA075" w14:textId="77777777" w:rsidR="00837212" w:rsidRPr="00861780" w:rsidRDefault="00837212" w:rsidP="0083721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In what ways do you observe family and social networks influencing pregnant women's vaccination decisions?</w:t>
            </w:r>
          </w:p>
        </w:tc>
      </w:tr>
      <w:tr w:rsidR="00837212" w:rsidRPr="00861780" w14:paraId="6A7D9F69" w14:textId="77777777" w:rsidTr="00D15B89">
        <w:tc>
          <w:tcPr>
            <w:tcW w:w="9016" w:type="dxa"/>
          </w:tcPr>
          <w:p w14:paraId="5563A354" w14:textId="77777777" w:rsidR="00837212" w:rsidRPr="00861780" w:rsidRDefault="00837212" w:rsidP="0083721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How can positive influences from these networks be harnessed to improve vaccine uptake?</w:t>
            </w:r>
          </w:p>
        </w:tc>
      </w:tr>
      <w:tr w:rsidR="00837212" w:rsidRPr="00861780" w14:paraId="31C849EA" w14:textId="77777777" w:rsidTr="00D15B89">
        <w:tc>
          <w:tcPr>
            <w:tcW w:w="9016" w:type="dxa"/>
          </w:tcPr>
          <w:p w14:paraId="70596D70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Use of AI and Digital Tools:</w:t>
            </w:r>
          </w:p>
        </w:tc>
      </w:tr>
      <w:tr w:rsidR="00837212" w:rsidRPr="00861780" w14:paraId="01893FC1" w14:textId="77777777" w:rsidTr="00D15B89">
        <w:tc>
          <w:tcPr>
            <w:tcW w:w="9016" w:type="dxa"/>
          </w:tcPr>
          <w:p w14:paraId="6BC862F5" w14:textId="77777777" w:rsidR="00837212" w:rsidRPr="00861780" w:rsidRDefault="00837212" w:rsidP="00837212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lastRenderedPageBreak/>
              <w:t>What potential do you see for AI and digital tools to impact vaccine decision-making among pregnant women?</w:t>
            </w:r>
          </w:p>
        </w:tc>
      </w:tr>
      <w:tr w:rsidR="00837212" w:rsidRPr="00861780" w14:paraId="2D13CFB5" w14:textId="77777777" w:rsidTr="00D15B89">
        <w:tc>
          <w:tcPr>
            <w:tcW w:w="9016" w:type="dxa"/>
          </w:tcPr>
          <w:p w14:paraId="095F6E36" w14:textId="77777777" w:rsidR="00837212" w:rsidRPr="00861780" w:rsidRDefault="00837212" w:rsidP="00837212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Have you had experience with any digital tools that support vaccination decisions? If so, what has been the feedback?</w:t>
            </w:r>
          </w:p>
        </w:tc>
      </w:tr>
      <w:tr w:rsidR="00837212" w:rsidRPr="00861780" w14:paraId="5A29C58B" w14:textId="77777777" w:rsidTr="00D15B89">
        <w:tc>
          <w:tcPr>
            <w:tcW w:w="9016" w:type="dxa"/>
          </w:tcPr>
          <w:p w14:paraId="6C1419AC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Closing Prompt:</w:t>
            </w:r>
          </w:p>
        </w:tc>
      </w:tr>
      <w:tr w:rsidR="00837212" w:rsidRPr="00861780" w14:paraId="15ED2F4F" w14:textId="77777777" w:rsidTr="00D15B89">
        <w:tc>
          <w:tcPr>
            <w:tcW w:w="9016" w:type="dxa"/>
          </w:tcPr>
          <w:p w14:paraId="0F8C56DE" w14:textId="77777777" w:rsidR="00837212" w:rsidRPr="00861780" w:rsidRDefault="00837212" w:rsidP="0083721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 xml:space="preserve">Reflecting on our discussion, what key strategies would you </w:t>
            </w:r>
            <w:proofErr w:type="spellStart"/>
            <w:r w:rsidRPr="00861780">
              <w:rPr>
                <w:rFonts w:ascii="Arial" w:hAnsi="Arial" w:cs="Arial"/>
              </w:rPr>
              <w:t>prioritise</w:t>
            </w:r>
            <w:proofErr w:type="spellEnd"/>
            <w:r w:rsidRPr="00861780">
              <w:rPr>
                <w:rFonts w:ascii="Arial" w:hAnsi="Arial" w:cs="Arial"/>
              </w:rPr>
              <w:t xml:space="preserve"> to improve vaccination rates among pregnant women?</w:t>
            </w:r>
          </w:p>
        </w:tc>
      </w:tr>
      <w:tr w:rsidR="00837212" w:rsidRPr="00861780" w14:paraId="7CE207F2" w14:textId="77777777" w:rsidTr="00D15B89">
        <w:tc>
          <w:tcPr>
            <w:tcW w:w="9016" w:type="dxa"/>
          </w:tcPr>
          <w:p w14:paraId="473CA711" w14:textId="77777777" w:rsidR="00837212" w:rsidRPr="00861780" w:rsidRDefault="00837212" w:rsidP="00D15B89">
            <w:pPr>
              <w:spacing w:line="360" w:lineRule="auto"/>
              <w:rPr>
                <w:rFonts w:ascii="Arial" w:hAnsi="Arial" w:cs="Arial"/>
                <w:i/>
              </w:rPr>
            </w:pPr>
            <w:r w:rsidRPr="00861780">
              <w:rPr>
                <w:rFonts w:ascii="Arial" w:hAnsi="Arial" w:cs="Arial"/>
                <w:i/>
              </w:rPr>
              <w:t>Additional Comments:</w:t>
            </w:r>
          </w:p>
        </w:tc>
      </w:tr>
      <w:tr w:rsidR="00837212" w:rsidRPr="00EA1CB4" w14:paraId="7097D051" w14:textId="77777777" w:rsidTr="00D15B89">
        <w:tc>
          <w:tcPr>
            <w:tcW w:w="9016" w:type="dxa"/>
          </w:tcPr>
          <w:p w14:paraId="0657C7C7" w14:textId="77777777" w:rsidR="00837212" w:rsidRPr="00EA1CB4" w:rsidRDefault="00837212" w:rsidP="0083721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861780">
              <w:rPr>
                <w:rFonts w:ascii="Arial" w:hAnsi="Arial" w:cs="Arial"/>
              </w:rPr>
              <w:t>Is there anything else you would like to add that we have not covered, particularly regarding your personal experiences or insights into vaccination during pregnancy?</w:t>
            </w:r>
          </w:p>
        </w:tc>
      </w:tr>
    </w:tbl>
    <w:p w14:paraId="3B37A346" w14:textId="77777777" w:rsidR="00837212" w:rsidRDefault="00837212" w:rsidP="00084AD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DD81B1D" w14:textId="77777777" w:rsidR="00084ADE" w:rsidRPr="00BC1326" w:rsidRDefault="00084ADE" w:rsidP="00084AD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B7ADC39" w14:textId="07C04FD0" w:rsidR="002E408B" w:rsidRDefault="00084ADE" w:rsidP="002E408B">
      <w:pPr>
        <w:spacing w:after="0" w:line="240" w:lineRule="auto"/>
        <w:rPr>
          <w:i/>
          <w:iCs/>
          <w:sz w:val="24"/>
          <w:szCs w:val="24"/>
        </w:rPr>
      </w:pPr>
      <w:r w:rsidRPr="00BC1326">
        <w:rPr>
          <w:i/>
          <w:iCs/>
          <w:sz w:val="24"/>
          <w:szCs w:val="24"/>
        </w:rPr>
        <w:t>Ethical procedures</w:t>
      </w:r>
    </w:p>
    <w:p w14:paraId="7D9A649D" w14:textId="77777777" w:rsidR="002E408B" w:rsidRPr="002E408B" w:rsidRDefault="002E408B" w:rsidP="002E408B">
      <w:pPr>
        <w:spacing w:after="0" w:line="240" w:lineRule="auto"/>
        <w:rPr>
          <w:i/>
          <w:iCs/>
          <w:sz w:val="24"/>
          <w:szCs w:val="24"/>
        </w:rPr>
      </w:pPr>
    </w:p>
    <w:p w14:paraId="00BE4044" w14:textId="7D031430" w:rsidR="002E408B" w:rsidRDefault="002E408B" w:rsidP="00D23CE9">
      <w:pPr>
        <w:spacing w:after="100" w:afterAutospacing="1" w:line="360" w:lineRule="auto"/>
        <w:jc w:val="both"/>
        <w:rPr>
          <w:rFonts w:cstheme="minorHAnsi"/>
          <w:sz w:val="24"/>
          <w:szCs w:val="24"/>
          <w:lang w:val="en-GB"/>
        </w:rPr>
      </w:pPr>
      <w:r w:rsidRPr="002E408B">
        <w:rPr>
          <w:rFonts w:cstheme="minorHAnsi"/>
          <w:sz w:val="24"/>
          <w:szCs w:val="24"/>
          <w:lang w:val="en-GB"/>
        </w:rPr>
        <w:t>The workshop and anonymous survey were exempt from ethics review in line with Medical Research Council (MRC) Criteria</w:t>
      </w:r>
      <w:r w:rsidR="00B20D1A">
        <w:rPr>
          <w:rFonts w:cstheme="minorHAnsi"/>
          <w:sz w:val="24"/>
          <w:szCs w:val="24"/>
          <w:lang w:val="en-GB"/>
        </w:rPr>
        <w:t xml:space="preserve"> [Figure S1 below]</w:t>
      </w:r>
      <w:r w:rsidRPr="002E408B">
        <w:rPr>
          <w:rFonts w:cstheme="minorHAnsi"/>
          <w:sz w:val="24"/>
          <w:szCs w:val="24"/>
          <w:lang w:val="en-GB"/>
        </w:rPr>
        <w:t xml:space="preserve">. All participants were informed about the purpose of the study, and verbal informed consent was obtained before the workshop. </w:t>
      </w:r>
      <w:r w:rsidR="00D23CE9" w:rsidRPr="00D23CE9">
        <w:rPr>
          <w:rFonts w:cstheme="minorHAnsi"/>
          <w:sz w:val="24"/>
          <w:szCs w:val="24"/>
        </w:rPr>
        <w:t>Although the workshop was exempt from formal ethical approval, we adhered to ethical guidelines regarding data collection, consent, and the handling of recordings.</w:t>
      </w:r>
      <w:r w:rsidR="00D23CE9">
        <w:rPr>
          <w:rFonts w:cstheme="minorHAnsi"/>
          <w:sz w:val="24"/>
          <w:szCs w:val="24"/>
        </w:rPr>
        <w:t xml:space="preserve"> </w:t>
      </w:r>
      <w:r w:rsidRPr="002E408B">
        <w:rPr>
          <w:rFonts w:cstheme="minorHAnsi"/>
          <w:sz w:val="24"/>
          <w:szCs w:val="24"/>
          <w:lang w:val="en-GB"/>
        </w:rPr>
        <w:t>Survey respondents provided written informed consent. Participants were assured of anonymity and the confidentiality of their contributions.</w:t>
      </w:r>
      <w:r w:rsidR="00D23CE9">
        <w:rPr>
          <w:rFonts w:cstheme="minorHAnsi"/>
          <w:sz w:val="24"/>
          <w:szCs w:val="24"/>
          <w:lang w:val="en-GB"/>
        </w:rPr>
        <w:t xml:space="preserve"> </w:t>
      </w:r>
    </w:p>
    <w:p w14:paraId="6AC92AC2" w14:textId="1489B891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A51860E" w14:textId="0CABCD6A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08ADB71" w14:textId="77777777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981D3AE" w14:textId="4A60252B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7AFBB16" w14:textId="77777777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6E07873" w14:textId="6CD3203E" w:rsidR="005B4CA7" w:rsidRDefault="005B4CA7" w:rsidP="005B4CA7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CB52CE5" w14:textId="7CFABFD1" w:rsidR="009C4780" w:rsidRPr="00512DE8" w:rsidRDefault="00512DE8" w:rsidP="00512DE8">
      <w:pPr>
        <w:spacing w:after="100" w:afterAutospacing="1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4E01" wp14:editId="0B740544">
                <wp:simplePos x="0" y="0"/>
                <wp:positionH relativeFrom="column">
                  <wp:posOffset>548640</wp:posOffset>
                </wp:positionH>
                <wp:positionV relativeFrom="paragraph">
                  <wp:posOffset>-435610</wp:posOffset>
                </wp:positionV>
                <wp:extent cx="5074276" cy="437882"/>
                <wp:effectExtent l="0" t="0" r="6350" b="0"/>
                <wp:wrapNone/>
                <wp:docPr id="5228214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76" cy="4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D0FF6" w14:textId="77777777" w:rsidR="00512DE8" w:rsidRPr="005B4CA7" w:rsidRDefault="00512DE8" w:rsidP="00512DE8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5B4CA7">
                              <w:rPr>
                                <w:b/>
                                <w:bCs/>
                              </w:rPr>
                              <w:t xml:space="preserve">Figure S1: </w:t>
                            </w:r>
                            <w:r w:rsidRPr="005B4CA7">
                              <w:rPr>
                                <w:b/>
                                <w:bCs/>
                                <w:lang w:val="en-GB"/>
                              </w:rPr>
                              <w:t xml:space="preserve">MRC Criteria for Research </w:t>
                            </w:r>
                          </w:p>
                          <w:p w14:paraId="1ADA287C" w14:textId="77777777" w:rsidR="00512DE8" w:rsidRDefault="00512DE8" w:rsidP="00512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04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pt;margin-top:-34.3pt;width:399.5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" fillcolor="white [3201]" stroked="f" strokeweight=".5pt">
                <v:textbox>
                  <w:txbxContent>
                    <w:p w14:paraId="2A7D0FF6" w14:textId="77777777" w:rsidR="00512DE8" w:rsidRPr="005B4CA7" w:rsidRDefault="00512DE8" w:rsidP="00512DE8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5B4CA7">
                        <w:rPr>
                          <w:b/>
                          <w:bCs/>
                        </w:rPr>
                        <w:t xml:space="preserve">Figure S1: </w:t>
                      </w:r>
                      <w:r w:rsidRPr="005B4CA7">
                        <w:rPr>
                          <w:b/>
                          <w:bCs/>
                          <w:lang w:val="en-GB"/>
                        </w:rPr>
                        <w:t xml:space="preserve">MRC Criteria for Research </w:t>
                      </w:r>
                    </w:p>
                    <w:p w14:paraId="1ADA287C" w14:textId="77777777" w:rsidR="00512DE8" w:rsidRDefault="00512DE8" w:rsidP="00512DE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44A582" wp14:editId="13727EF4">
            <wp:simplePos x="0" y="0"/>
            <wp:positionH relativeFrom="column">
              <wp:posOffset>-182880</wp:posOffset>
            </wp:positionH>
            <wp:positionV relativeFrom="paragraph">
              <wp:posOffset>254</wp:posOffset>
            </wp:positionV>
            <wp:extent cx="6232525" cy="9401175"/>
            <wp:effectExtent l="0" t="0" r="3175" b="0"/>
            <wp:wrapTight wrapText="bothSides">
              <wp:wrapPolygon edited="0">
                <wp:start x="0" y="0"/>
                <wp:lineTo x="0" y="21564"/>
                <wp:lineTo x="21567" y="21564"/>
                <wp:lineTo x="21567" y="0"/>
                <wp:lineTo x="0" y="0"/>
              </wp:wrapPolygon>
            </wp:wrapTight>
            <wp:docPr id="1589329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29525" name="Picture 158932952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"/>
                    <a:stretch/>
                  </pic:blipFill>
                  <pic:spPr bwMode="auto">
                    <a:xfrm>
                      <a:off x="0" y="0"/>
                      <a:ext cx="6232525" cy="940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780" w:rsidRPr="0051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83"/>
    <w:multiLevelType w:val="hybridMultilevel"/>
    <w:tmpl w:val="8B66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B00"/>
    <w:multiLevelType w:val="hybridMultilevel"/>
    <w:tmpl w:val="CCCE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C88"/>
    <w:multiLevelType w:val="hybridMultilevel"/>
    <w:tmpl w:val="82B6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3EAE"/>
    <w:multiLevelType w:val="hybridMultilevel"/>
    <w:tmpl w:val="ABF4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70F3"/>
    <w:multiLevelType w:val="hybridMultilevel"/>
    <w:tmpl w:val="F310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4BB6"/>
    <w:multiLevelType w:val="hybridMultilevel"/>
    <w:tmpl w:val="B208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9732A"/>
    <w:multiLevelType w:val="hybridMultilevel"/>
    <w:tmpl w:val="D74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090D"/>
    <w:multiLevelType w:val="hybridMultilevel"/>
    <w:tmpl w:val="E230F60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9215B21"/>
    <w:multiLevelType w:val="hybridMultilevel"/>
    <w:tmpl w:val="79E8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20B49"/>
    <w:multiLevelType w:val="hybridMultilevel"/>
    <w:tmpl w:val="2244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633158">
    <w:abstractNumId w:val="7"/>
  </w:num>
  <w:num w:numId="2" w16cid:durableId="303462941">
    <w:abstractNumId w:val="2"/>
  </w:num>
  <w:num w:numId="3" w16cid:durableId="1484733524">
    <w:abstractNumId w:val="5"/>
  </w:num>
  <w:num w:numId="4" w16cid:durableId="768694243">
    <w:abstractNumId w:val="0"/>
  </w:num>
  <w:num w:numId="5" w16cid:durableId="1812363854">
    <w:abstractNumId w:val="4"/>
  </w:num>
  <w:num w:numId="6" w16cid:durableId="2009287675">
    <w:abstractNumId w:val="9"/>
  </w:num>
  <w:num w:numId="7" w16cid:durableId="1100294763">
    <w:abstractNumId w:val="8"/>
  </w:num>
  <w:num w:numId="8" w16cid:durableId="1066683126">
    <w:abstractNumId w:val="6"/>
  </w:num>
  <w:num w:numId="9" w16cid:durableId="874580720">
    <w:abstractNumId w:val="3"/>
  </w:num>
  <w:num w:numId="10" w16cid:durableId="187669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DE"/>
    <w:rsid w:val="0000425E"/>
    <w:rsid w:val="00042B53"/>
    <w:rsid w:val="00056F50"/>
    <w:rsid w:val="00084ADE"/>
    <w:rsid w:val="000D3586"/>
    <w:rsid w:val="002A3AD9"/>
    <w:rsid w:val="002A7736"/>
    <w:rsid w:val="002E408B"/>
    <w:rsid w:val="003949FA"/>
    <w:rsid w:val="003E57DD"/>
    <w:rsid w:val="003F7A78"/>
    <w:rsid w:val="00432A31"/>
    <w:rsid w:val="004A2AF9"/>
    <w:rsid w:val="00512DE8"/>
    <w:rsid w:val="00514182"/>
    <w:rsid w:val="00581618"/>
    <w:rsid w:val="005B4CA7"/>
    <w:rsid w:val="005C4AFE"/>
    <w:rsid w:val="0060712D"/>
    <w:rsid w:val="006D7DFB"/>
    <w:rsid w:val="0075624D"/>
    <w:rsid w:val="00770DD0"/>
    <w:rsid w:val="0080353C"/>
    <w:rsid w:val="00837212"/>
    <w:rsid w:val="009C4780"/>
    <w:rsid w:val="009C5BF4"/>
    <w:rsid w:val="009D16FF"/>
    <w:rsid w:val="00B20D1A"/>
    <w:rsid w:val="00BB3924"/>
    <w:rsid w:val="00BE77C3"/>
    <w:rsid w:val="00CF6611"/>
    <w:rsid w:val="00D23CE9"/>
    <w:rsid w:val="00E532F6"/>
    <w:rsid w:val="00EC61A8"/>
    <w:rsid w:val="00F32D34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B8EB"/>
  <w15:chartTrackingRefBased/>
  <w15:docId w15:val="{FD256609-F85A-4017-8043-6973424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Normal"/>
    <w:next w:val="Normal"/>
    <w:qFormat/>
    <w:rsid w:val="00084ADE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4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084AD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84ADE"/>
    <w:pPr>
      <w:spacing w:after="100" w:afterAutospacing="1" w:line="264" w:lineRule="auto"/>
      <w:jc w:val="both"/>
    </w:pPr>
    <w:rPr>
      <w:rFonts w:eastAsiaTheme="minorEastAsia"/>
      <w:color w:val="AEAAAA" w:themeColor="background2" w:themeShade="BF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84ADE"/>
    <w:rPr>
      <w:rFonts w:eastAsiaTheme="minorEastAsia"/>
      <w:color w:val="AEAAAA" w:themeColor="background2" w:themeShade="BF"/>
      <w:sz w:val="21"/>
      <w:szCs w:val="21"/>
    </w:rPr>
  </w:style>
  <w:style w:type="paragraph" w:styleId="Caption">
    <w:name w:val="caption"/>
    <w:aliases w:val="REP_FIGUREHEADING,FIGURE 1_SLRC"/>
    <w:basedOn w:val="Normal"/>
    <w:next w:val="Normal"/>
    <w:link w:val="CaptionChar"/>
    <w:uiPriority w:val="35"/>
    <w:unhideWhenUsed/>
    <w:qFormat/>
    <w:rsid w:val="00084ADE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character" w:customStyle="1" w:styleId="CaptionChar">
    <w:name w:val="Caption Char"/>
    <w:aliases w:val="REP_FIGUREHEADING Char,FIGURE 1_SLRC Char"/>
    <w:link w:val="Caption"/>
    <w:uiPriority w:val="35"/>
    <w:locked/>
    <w:rsid w:val="00084ADE"/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"/>
    <w:basedOn w:val="Normal"/>
    <w:link w:val="ListParagraphChar"/>
    <w:uiPriority w:val="34"/>
    <w:qFormat/>
    <w:rsid w:val="00084ADE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link w:val="ListParagraph"/>
    <w:uiPriority w:val="34"/>
    <w:locked/>
    <w:rsid w:val="00084ADE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084AD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PI31textChar">
    <w:name w:val="MDPI_3.1_text Char"/>
    <w:link w:val="MDPI31text"/>
    <w:locked/>
    <w:rsid w:val="00084ADE"/>
    <w:rPr>
      <w:rFonts w:ascii="Palatino Linotype" w:eastAsia="Times New Roman" w:hAnsi="Palatino Linotype"/>
      <w:color w:val="000000"/>
      <w:lang w:eastAsia="de-DE" w:bidi="en-US"/>
    </w:rPr>
  </w:style>
  <w:style w:type="paragraph" w:customStyle="1" w:styleId="MDPI31text">
    <w:name w:val="MDPI_3.1_text"/>
    <w:link w:val="MDPI31textChar"/>
    <w:qFormat/>
    <w:rsid w:val="00084ADE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/>
      <w:color w:val="000000"/>
      <w:lang w:eastAsia="de-DE" w:bidi="en-US"/>
    </w:rPr>
  </w:style>
  <w:style w:type="paragraph" w:styleId="Revision">
    <w:name w:val="Revision"/>
    <w:hidden/>
    <w:uiPriority w:val="99"/>
    <w:semiHidden/>
    <w:rsid w:val="00BB39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r37@cam.ac.uk" TargetMode="External"/><Relationship Id="rId5" Type="http://schemas.openxmlformats.org/officeDocument/2006/relationships/hyperlink" Target="mailto:msr37@cam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Marshak, Anastasia</dc:creator>
  <cp:keywords/>
  <dc:description/>
  <cp:lastModifiedBy>Mohammad Razai</cp:lastModifiedBy>
  <cp:revision>32</cp:revision>
  <dcterms:created xsi:type="dcterms:W3CDTF">2023-04-12T12:31:00Z</dcterms:created>
  <dcterms:modified xsi:type="dcterms:W3CDTF">2024-11-25T09:12:00Z</dcterms:modified>
</cp:coreProperties>
</file>