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A4A1" w14:textId="3B684ECE" w:rsidR="00FF3601" w:rsidRDefault="00C34FF9" w:rsidP="00C34FF9">
      <w:pPr>
        <w:rPr>
          <w:rFonts w:asciiTheme="minorHAnsi" w:eastAsia="Arial" w:hAnsiTheme="minorHAnsi" w:cstheme="minorHAnsi"/>
          <w:b/>
          <w:color w:val="000000" w:themeColor="text1"/>
          <w:sz w:val="22"/>
          <w:szCs w:val="22"/>
          <w:lang w:val="en-GB"/>
        </w:rPr>
      </w:pPr>
      <w:r>
        <w:rPr>
          <w:rFonts w:asciiTheme="minorHAnsi" w:eastAsia="Arial" w:hAnsiTheme="minorHAnsi" w:cstheme="minorHAnsi"/>
          <w:b/>
          <w:color w:val="000000" w:themeColor="text1"/>
          <w:sz w:val="22"/>
          <w:szCs w:val="22"/>
          <w:lang w:val="en-GB"/>
        </w:rPr>
        <w:t xml:space="preserve">The Scope of </w:t>
      </w:r>
      <w:r w:rsidR="00EA6EE5">
        <w:rPr>
          <w:rFonts w:asciiTheme="minorHAnsi" w:eastAsia="Arial" w:hAnsiTheme="minorHAnsi" w:cstheme="minorHAnsi"/>
          <w:b/>
          <w:color w:val="000000" w:themeColor="text1"/>
          <w:sz w:val="22"/>
          <w:szCs w:val="22"/>
          <w:lang w:val="en-GB"/>
        </w:rPr>
        <w:t>t</w:t>
      </w:r>
      <w:r>
        <w:rPr>
          <w:rFonts w:asciiTheme="minorHAnsi" w:eastAsia="Arial" w:hAnsiTheme="minorHAnsi" w:cstheme="minorHAnsi"/>
          <w:b/>
          <w:color w:val="000000" w:themeColor="text1"/>
          <w:sz w:val="22"/>
          <w:szCs w:val="22"/>
          <w:lang w:val="en-GB"/>
        </w:rPr>
        <w:t>he Antimicrobial Resistance Challenge</w:t>
      </w:r>
      <w:r w:rsidR="00125021">
        <w:rPr>
          <w:rFonts w:asciiTheme="minorHAnsi" w:eastAsia="Arial" w:hAnsiTheme="minorHAnsi" w:cstheme="minorHAnsi"/>
          <w:b/>
          <w:color w:val="000000" w:themeColor="text1"/>
          <w:sz w:val="22"/>
          <w:szCs w:val="22"/>
          <w:lang w:val="en-GB"/>
        </w:rPr>
        <w:t xml:space="preserve"> and the Need for Sustainable Access to Effective Antibiotics</w:t>
      </w:r>
    </w:p>
    <w:p w14:paraId="508CC0D9" w14:textId="77777777" w:rsidR="00C42DDF" w:rsidRPr="00C37A4D" w:rsidRDefault="00C42DDF" w:rsidP="00C42DDF">
      <w:pPr>
        <w:rPr>
          <w:rFonts w:asciiTheme="minorHAnsi" w:eastAsia="Arial" w:hAnsiTheme="minorHAnsi" w:cstheme="minorHAnsi"/>
          <w:color w:val="000000" w:themeColor="text1"/>
          <w:sz w:val="22"/>
          <w:szCs w:val="22"/>
          <w:lang w:val="en-GB"/>
        </w:rPr>
      </w:pPr>
    </w:p>
    <w:p w14:paraId="2963491C" w14:textId="29705DCC" w:rsidR="00145379" w:rsidRPr="00C37A4D" w:rsidRDefault="00151500" w:rsidP="00145379">
      <w:pPr>
        <w:rPr>
          <w:rFonts w:asciiTheme="minorHAnsi" w:eastAsia="Arial" w:hAnsiTheme="minorHAnsi" w:cstheme="minorHAnsi"/>
          <w:color w:val="000000" w:themeColor="text1"/>
          <w:sz w:val="22"/>
          <w:szCs w:val="22"/>
        </w:rPr>
      </w:pPr>
      <w:r>
        <w:rPr>
          <w:rFonts w:asciiTheme="minorHAnsi" w:eastAsia="Arial" w:hAnsiTheme="minorHAnsi" w:cstheme="minorHAnsi"/>
          <w:color w:val="000000" w:themeColor="text1"/>
          <w:sz w:val="22"/>
          <w:szCs w:val="22"/>
        </w:rPr>
        <w:t xml:space="preserve">Prof. </w:t>
      </w:r>
      <w:r w:rsidR="00145379" w:rsidRPr="00C37A4D">
        <w:rPr>
          <w:rFonts w:asciiTheme="minorHAnsi" w:eastAsia="Arial" w:hAnsiTheme="minorHAnsi" w:cstheme="minorHAnsi"/>
          <w:color w:val="000000" w:themeColor="text1"/>
          <w:sz w:val="22"/>
          <w:szCs w:val="22"/>
        </w:rPr>
        <w:t>Iruka N</w:t>
      </w:r>
      <w:r w:rsidR="00531DCA" w:rsidRPr="00C37A4D">
        <w:rPr>
          <w:rFonts w:asciiTheme="minorHAnsi" w:eastAsia="Arial" w:hAnsiTheme="minorHAnsi" w:cstheme="minorHAnsi"/>
          <w:color w:val="000000" w:themeColor="text1"/>
          <w:sz w:val="22"/>
          <w:szCs w:val="22"/>
        </w:rPr>
        <w:t>.</w:t>
      </w:r>
      <w:r w:rsidR="00145379" w:rsidRPr="00C37A4D">
        <w:rPr>
          <w:rFonts w:asciiTheme="minorHAnsi" w:eastAsia="Arial" w:hAnsiTheme="minorHAnsi" w:cstheme="minorHAnsi"/>
          <w:color w:val="000000" w:themeColor="text1"/>
          <w:sz w:val="22"/>
          <w:szCs w:val="22"/>
        </w:rPr>
        <w:t xml:space="preserve"> Okeke, PhD</w:t>
      </w:r>
      <w:r w:rsidR="00145379" w:rsidRPr="00C37A4D">
        <w:rPr>
          <w:rFonts w:asciiTheme="minorHAnsi" w:eastAsia="Arial" w:hAnsiTheme="minorHAnsi" w:cstheme="minorHAnsi"/>
          <w:color w:val="000000" w:themeColor="text1"/>
          <w:sz w:val="22"/>
          <w:szCs w:val="22"/>
          <w:vertAlign w:val="superscript"/>
        </w:rPr>
        <w:t>1</w:t>
      </w:r>
      <w:r w:rsidR="00C009E5" w:rsidRPr="00C37A4D">
        <w:rPr>
          <w:rFonts w:asciiTheme="minorHAnsi" w:eastAsia="Arial" w:hAnsiTheme="minorHAnsi" w:cstheme="minorHAnsi"/>
          <w:color w:val="000000" w:themeColor="text1"/>
          <w:sz w:val="22"/>
          <w:szCs w:val="22"/>
        </w:rPr>
        <w:t>*</w:t>
      </w:r>
      <w:r w:rsidR="00145379" w:rsidRPr="00C37A4D">
        <w:rPr>
          <w:rFonts w:asciiTheme="minorHAnsi" w:eastAsia="Arial" w:hAnsiTheme="minorHAnsi" w:cstheme="minorHAnsi"/>
          <w:color w:val="000000" w:themeColor="text1"/>
          <w:sz w:val="22"/>
          <w:szCs w:val="22"/>
        </w:rPr>
        <w:t xml:space="preserve">; </w:t>
      </w:r>
      <w:proofErr w:type="spellStart"/>
      <w:r w:rsidR="00145379" w:rsidRPr="00C37A4D">
        <w:rPr>
          <w:rFonts w:asciiTheme="minorHAnsi" w:eastAsia="Arial" w:hAnsiTheme="minorHAnsi" w:cstheme="minorHAnsi"/>
          <w:color w:val="000000" w:themeColor="text1"/>
          <w:sz w:val="22"/>
          <w:szCs w:val="22"/>
        </w:rPr>
        <w:t>Marlieke</w:t>
      </w:r>
      <w:proofErr w:type="spellEnd"/>
      <w:r w:rsidR="00145379" w:rsidRPr="00C37A4D">
        <w:rPr>
          <w:sz w:val="22"/>
          <w:szCs w:val="22"/>
        </w:rPr>
        <w:t xml:space="preserve"> </w:t>
      </w:r>
      <w:r w:rsidR="00145379" w:rsidRPr="00C37A4D">
        <w:rPr>
          <w:rFonts w:asciiTheme="minorHAnsi" w:eastAsia="Arial" w:hAnsiTheme="minorHAnsi" w:cstheme="minorHAnsi"/>
          <w:color w:val="000000" w:themeColor="text1"/>
          <w:sz w:val="22"/>
          <w:szCs w:val="22"/>
        </w:rPr>
        <w:t>E.A. de Kraker, PhD</w:t>
      </w:r>
      <w:r w:rsidR="00145379" w:rsidRPr="00C37A4D">
        <w:rPr>
          <w:rFonts w:asciiTheme="minorHAnsi" w:eastAsia="Arial" w:hAnsiTheme="minorHAnsi" w:cstheme="minorHAnsi"/>
          <w:color w:val="000000" w:themeColor="text1"/>
          <w:sz w:val="22"/>
          <w:szCs w:val="22"/>
          <w:vertAlign w:val="superscript"/>
        </w:rPr>
        <w:t>2,3</w:t>
      </w:r>
      <w:r w:rsidR="00145379" w:rsidRPr="00C37A4D">
        <w:rPr>
          <w:rFonts w:asciiTheme="minorHAnsi" w:eastAsia="Arial" w:hAnsiTheme="minorHAnsi" w:cstheme="minorHAnsi"/>
          <w:color w:val="000000" w:themeColor="text1"/>
          <w:sz w:val="22"/>
          <w:szCs w:val="22"/>
        </w:rPr>
        <w:t xml:space="preserve">; Thomas P. </w:t>
      </w:r>
      <w:proofErr w:type="gramStart"/>
      <w:r w:rsidR="00145379" w:rsidRPr="00C37A4D">
        <w:rPr>
          <w:rFonts w:asciiTheme="minorHAnsi" w:eastAsia="Arial" w:hAnsiTheme="minorHAnsi" w:cstheme="minorHAnsi"/>
          <w:color w:val="000000" w:themeColor="text1"/>
          <w:sz w:val="22"/>
          <w:szCs w:val="22"/>
        </w:rPr>
        <w:t>Van</w:t>
      </w:r>
      <w:proofErr w:type="gramEnd"/>
      <w:r w:rsidR="00145379" w:rsidRPr="00C37A4D">
        <w:rPr>
          <w:rFonts w:asciiTheme="minorHAnsi" w:eastAsia="Arial" w:hAnsiTheme="minorHAnsi" w:cstheme="minorHAnsi"/>
          <w:color w:val="000000" w:themeColor="text1"/>
          <w:sz w:val="22"/>
          <w:szCs w:val="22"/>
        </w:rPr>
        <w:t xml:space="preserve"> Boeckel, PhD</w:t>
      </w:r>
      <w:r w:rsidR="00145379" w:rsidRPr="00C37A4D">
        <w:rPr>
          <w:rFonts w:asciiTheme="minorHAnsi" w:eastAsia="Arial" w:hAnsiTheme="minorHAnsi" w:cstheme="minorHAnsi"/>
          <w:color w:val="000000" w:themeColor="text1"/>
          <w:sz w:val="22"/>
          <w:szCs w:val="22"/>
          <w:vertAlign w:val="superscript"/>
        </w:rPr>
        <w:t>4,5</w:t>
      </w:r>
      <w:r w:rsidR="00145379" w:rsidRPr="00C37A4D">
        <w:rPr>
          <w:rFonts w:asciiTheme="minorHAnsi" w:eastAsia="Arial" w:hAnsiTheme="minorHAnsi" w:cstheme="minorHAnsi"/>
          <w:color w:val="000000" w:themeColor="text1"/>
          <w:sz w:val="22"/>
          <w:szCs w:val="22"/>
        </w:rPr>
        <w:t xml:space="preserve">; </w:t>
      </w:r>
      <w:r>
        <w:rPr>
          <w:rFonts w:asciiTheme="minorHAnsi" w:eastAsia="Arial" w:hAnsiTheme="minorHAnsi" w:cstheme="minorHAnsi"/>
          <w:color w:val="000000" w:themeColor="text1"/>
          <w:sz w:val="22"/>
          <w:szCs w:val="22"/>
        </w:rPr>
        <w:t xml:space="preserve">Prof. </w:t>
      </w:r>
      <w:r w:rsidR="00145379" w:rsidRPr="00C37A4D">
        <w:rPr>
          <w:rFonts w:asciiTheme="minorHAnsi" w:eastAsia="Arial" w:hAnsiTheme="minorHAnsi" w:cstheme="minorHAnsi"/>
          <w:color w:val="000000" w:themeColor="text1"/>
          <w:sz w:val="22"/>
          <w:szCs w:val="22"/>
        </w:rPr>
        <w:t>Heike Schmitt, PhD</w:t>
      </w:r>
      <w:r w:rsidR="00145379" w:rsidRPr="00C37A4D">
        <w:rPr>
          <w:rFonts w:asciiTheme="minorHAnsi" w:eastAsia="Arial" w:hAnsiTheme="minorHAnsi" w:cstheme="minorHAnsi"/>
          <w:color w:val="000000" w:themeColor="text1"/>
          <w:sz w:val="22"/>
          <w:szCs w:val="22"/>
          <w:vertAlign w:val="superscript"/>
        </w:rPr>
        <w:t>6,7</w:t>
      </w:r>
      <w:r w:rsidR="00145379" w:rsidRPr="00C37A4D">
        <w:rPr>
          <w:rFonts w:asciiTheme="minorHAnsi" w:eastAsia="Arial" w:hAnsiTheme="minorHAnsi" w:cstheme="minorHAnsi"/>
          <w:color w:val="000000" w:themeColor="text1"/>
          <w:sz w:val="22"/>
          <w:szCs w:val="22"/>
        </w:rPr>
        <w:t xml:space="preserve">; </w:t>
      </w:r>
      <w:r>
        <w:rPr>
          <w:rFonts w:asciiTheme="minorHAnsi" w:eastAsia="Arial" w:hAnsiTheme="minorHAnsi" w:cstheme="minorHAnsi"/>
          <w:color w:val="000000" w:themeColor="text1"/>
          <w:sz w:val="22"/>
          <w:szCs w:val="22"/>
        </w:rPr>
        <w:t xml:space="preserve">Prof. </w:t>
      </w:r>
      <w:r w:rsidR="00145379" w:rsidRPr="00C37A4D">
        <w:rPr>
          <w:rFonts w:asciiTheme="minorHAnsi" w:eastAsia="Arial" w:hAnsiTheme="minorHAnsi" w:cstheme="minorHAnsi"/>
          <w:color w:val="000000" w:themeColor="text1"/>
          <w:sz w:val="22"/>
          <w:szCs w:val="22"/>
        </w:rPr>
        <w:t>Ana Gales,</w:t>
      </w:r>
      <w:r w:rsidR="00CA4DA8" w:rsidRPr="00C37A4D">
        <w:rPr>
          <w:rFonts w:asciiTheme="minorHAnsi" w:eastAsia="Arial" w:hAnsiTheme="minorHAnsi" w:cstheme="minorHAnsi"/>
          <w:color w:val="000000" w:themeColor="text1"/>
          <w:sz w:val="22"/>
          <w:szCs w:val="22"/>
        </w:rPr>
        <w:t xml:space="preserve"> MD PhD</w:t>
      </w:r>
      <w:r w:rsidR="00CA4DA8" w:rsidRPr="00C37A4D">
        <w:rPr>
          <w:rFonts w:asciiTheme="minorHAnsi" w:eastAsia="Arial" w:hAnsiTheme="minorHAnsi" w:cstheme="minorHAnsi"/>
          <w:color w:val="000000" w:themeColor="text1"/>
          <w:sz w:val="22"/>
          <w:szCs w:val="22"/>
          <w:vertAlign w:val="superscript"/>
        </w:rPr>
        <w:t>8</w:t>
      </w:r>
      <w:r w:rsidR="00CA4DA8" w:rsidRPr="00C37A4D">
        <w:rPr>
          <w:rFonts w:asciiTheme="minorHAnsi" w:eastAsia="Arial" w:hAnsiTheme="minorHAnsi" w:cstheme="minorHAnsi"/>
          <w:color w:val="000000" w:themeColor="text1"/>
          <w:sz w:val="22"/>
          <w:szCs w:val="22"/>
        </w:rPr>
        <w:t>;</w:t>
      </w:r>
      <w:r w:rsidR="00145379" w:rsidRPr="00C37A4D">
        <w:rPr>
          <w:rFonts w:asciiTheme="minorHAnsi" w:eastAsia="Arial" w:hAnsiTheme="minorHAnsi" w:cstheme="minorHAnsi"/>
          <w:color w:val="000000" w:themeColor="text1"/>
          <w:sz w:val="22"/>
          <w:szCs w:val="22"/>
        </w:rPr>
        <w:t xml:space="preserve"> Silvia Bertagnolio, MD</w:t>
      </w:r>
      <w:r w:rsidR="00CA4DA8" w:rsidRPr="00C37A4D">
        <w:rPr>
          <w:rFonts w:asciiTheme="minorHAnsi" w:eastAsia="Arial" w:hAnsiTheme="minorHAnsi" w:cstheme="minorHAnsi"/>
          <w:color w:val="000000" w:themeColor="text1"/>
          <w:sz w:val="22"/>
          <w:szCs w:val="22"/>
          <w:vertAlign w:val="superscript"/>
        </w:rPr>
        <w:t>9</w:t>
      </w:r>
      <w:r w:rsidR="00145379" w:rsidRPr="00C37A4D">
        <w:rPr>
          <w:rFonts w:asciiTheme="minorHAnsi" w:eastAsia="Arial" w:hAnsiTheme="minorHAnsi" w:cstheme="minorHAnsi"/>
          <w:color w:val="000000" w:themeColor="text1"/>
          <w:sz w:val="22"/>
          <w:szCs w:val="22"/>
        </w:rPr>
        <w:t xml:space="preserve">; </w:t>
      </w:r>
      <w:r>
        <w:rPr>
          <w:rFonts w:asciiTheme="minorHAnsi" w:eastAsia="Arial" w:hAnsiTheme="minorHAnsi" w:cstheme="minorHAnsi"/>
          <w:color w:val="000000" w:themeColor="text1"/>
          <w:sz w:val="22"/>
          <w:szCs w:val="22"/>
        </w:rPr>
        <w:t xml:space="preserve">Prof. </w:t>
      </w:r>
      <w:r w:rsidR="00145379" w:rsidRPr="00C37A4D">
        <w:rPr>
          <w:rFonts w:asciiTheme="minorHAnsi" w:eastAsia="Arial" w:hAnsiTheme="minorHAnsi" w:cstheme="minorHAnsi"/>
          <w:color w:val="000000" w:themeColor="text1"/>
          <w:sz w:val="22"/>
          <w:szCs w:val="22"/>
        </w:rPr>
        <w:t>Mike Sharland, MD</w:t>
      </w:r>
      <w:r w:rsidR="00CA4DA8" w:rsidRPr="00C37A4D">
        <w:rPr>
          <w:rFonts w:asciiTheme="minorHAnsi" w:eastAsia="Arial" w:hAnsiTheme="minorHAnsi" w:cstheme="minorHAnsi"/>
          <w:color w:val="000000" w:themeColor="text1"/>
          <w:sz w:val="22"/>
          <w:szCs w:val="22"/>
          <w:vertAlign w:val="superscript"/>
        </w:rPr>
        <w:t>10</w:t>
      </w:r>
      <w:r w:rsidR="00145379" w:rsidRPr="00C37A4D">
        <w:rPr>
          <w:rFonts w:asciiTheme="minorHAnsi" w:eastAsia="Arial" w:hAnsiTheme="minorHAnsi" w:cstheme="minorHAnsi"/>
          <w:color w:val="000000" w:themeColor="text1"/>
          <w:sz w:val="22"/>
          <w:szCs w:val="22"/>
        </w:rPr>
        <w:t>; and Ramanan Laxminarayan</w:t>
      </w:r>
      <w:r w:rsidR="00AB2F4E" w:rsidRPr="00C37A4D">
        <w:rPr>
          <w:rFonts w:asciiTheme="minorHAnsi" w:eastAsia="Arial" w:hAnsiTheme="minorHAnsi" w:cstheme="minorHAnsi"/>
          <w:color w:val="000000" w:themeColor="text1"/>
          <w:sz w:val="22"/>
          <w:szCs w:val="22"/>
        </w:rPr>
        <w:t>, PhD</w:t>
      </w:r>
      <w:r w:rsidR="00145379" w:rsidRPr="00C37A4D">
        <w:rPr>
          <w:rFonts w:asciiTheme="minorHAnsi" w:eastAsia="Arial" w:hAnsiTheme="minorHAnsi" w:cstheme="minorHAnsi"/>
          <w:color w:val="000000" w:themeColor="text1"/>
          <w:sz w:val="22"/>
          <w:szCs w:val="22"/>
          <w:vertAlign w:val="superscript"/>
        </w:rPr>
        <w:t>5,</w:t>
      </w:r>
      <w:r w:rsidR="00D71889" w:rsidRPr="00C37A4D">
        <w:rPr>
          <w:rFonts w:asciiTheme="minorHAnsi" w:eastAsia="Arial" w:hAnsiTheme="minorHAnsi" w:cstheme="minorHAnsi"/>
          <w:color w:val="000000" w:themeColor="text1"/>
          <w:sz w:val="22"/>
          <w:szCs w:val="22"/>
          <w:vertAlign w:val="superscript"/>
        </w:rPr>
        <w:t>11</w:t>
      </w:r>
      <w:r w:rsidR="000B1470" w:rsidRPr="00C37A4D">
        <w:rPr>
          <w:rFonts w:asciiTheme="minorHAnsi" w:eastAsia="Arial" w:hAnsiTheme="minorHAnsi" w:cstheme="minorHAnsi"/>
          <w:color w:val="000000" w:themeColor="text1"/>
          <w:sz w:val="22"/>
          <w:szCs w:val="22"/>
        </w:rPr>
        <w:t>*</w:t>
      </w:r>
    </w:p>
    <w:p w14:paraId="2E594064" w14:textId="77777777" w:rsidR="00145379" w:rsidRPr="00C37A4D" w:rsidRDefault="00145379" w:rsidP="00145379">
      <w:pPr>
        <w:rPr>
          <w:rFonts w:asciiTheme="minorHAnsi" w:eastAsia="Arial" w:hAnsiTheme="minorHAnsi" w:cstheme="minorHAnsi"/>
          <w:bCs/>
          <w:color w:val="000000" w:themeColor="text1"/>
          <w:sz w:val="22"/>
          <w:szCs w:val="22"/>
        </w:rPr>
      </w:pPr>
    </w:p>
    <w:p w14:paraId="31080007" w14:textId="77777777" w:rsidR="00145379" w:rsidRPr="00C37A4D" w:rsidRDefault="00145379" w:rsidP="00145379">
      <w:pPr>
        <w:pStyle w:val="ListParagraph"/>
        <w:numPr>
          <w:ilvl w:val="0"/>
          <w:numId w:val="12"/>
        </w:numPr>
        <w:rPr>
          <w:rFonts w:asciiTheme="minorHAnsi" w:eastAsia="Arial" w:hAnsiTheme="minorHAnsi" w:cstheme="minorHAnsi"/>
          <w:bCs/>
          <w:color w:val="000000" w:themeColor="text1"/>
          <w:sz w:val="22"/>
          <w:szCs w:val="22"/>
        </w:rPr>
      </w:pPr>
      <w:r w:rsidRPr="00C37A4D">
        <w:rPr>
          <w:rFonts w:asciiTheme="minorHAnsi" w:eastAsia="Arial" w:hAnsiTheme="minorHAnsi" w:cstheme="minorHAnsi"/>
          <w:bCs/>
          <w:color w:val="000000" w:themeColor="text1"/>
          <w:sz w:val="22"/>
          <w:szCs w:val="22"/>
        </w:rPr>
        <w:t>Department of Pharmaceutical Microbiology, Faculty of Pharmacy, University of Ibadan, Oyo State, Nigeria</w:t>
      </w:r>
    </w:p>
    <w:p w14:paraId="1AF5D783" w14:textId="77777777" w:rsidR="00145379" w:rsidRPr="00C37A4D" w:rsidRDefault="00145379" w:rsidP="00145379">
      <w:pPr>
        <w:pStyle w:val="ListParagraph"/>
        <w:numPr>
          <w:ilvl w:val="0"/>
          <w:numId w:val="12"/>
        </w:numPr>
        <w:rPr>
          <w:rFonts w:asciiTheme="minorHAnsi" w:eastAsia="Arial" w:hAnsiTheme="minorHAnsi" w:cstheme="minorHAnsi"/>
          <w:bCs/>
          <w:color w:val="000000" w:themeColor="text1"/>
          <w:sz w:val="22"/>
          <w:szCs w:val="22"/>
        </w:rPr>
      </w:pPr>
      <w:r w:rsidRPr="00C37A4D">
        <w:rPr>
          <w:rFonts w:asciiTheme="minorHAnsi" w:eastAsia="Arial" w:hAnsiTheme="minorHAnsi" w:cstheme="minorHAnsi"/>
          <w:bCs/>
          <w:color w:val="000000" w:themeColor="text1"/>
          <w:sz w:val="22"/>
          <w:szCs w:val="22"/>
        </w:rPr>
        <w:t>Infection Control Program, Geneva University Hospitals and Faculty of Medicine, Geneva, Switzerland</w:t>
      </w:r>
    </w:p>
    <w:p w14:paraId="645978F1" w14:textId="77777777" w:rsidR="00145379" w:rsidRPr="00C37A4D" w:rsidRDefault="00145379" w:rsidP="00145379">
      <w:pPr>
        <w:pStyle w:val="ListParagraph"/>
        <w:numPr>
          <w:ilvl w:val="0"/>
          <w:numId w:val="12"/>
        </w:numPr>
        <w:rPr>
          <w:rFonts w:asciiTheme="minorHAnsi" w:eastAsia="Arial" w:hAnsiTheme="minorHAnsi" w:cstheme="minorHAnsi"/>
          <w:bCs/>
          <w:color w:val="000000" w:themeColor="text1"/>
          <w:sz w:val="22"/>
          <w:szCs w:val="22"/>
        </w:rPr>
      </w:pPr>
      <w:r w:rsidRPr="00C37A4D">
        <w:rPr>
          <w:rFonts w:asciiTheme="minorHAnsi" w:eastAsia="Arial" w:hAnsiTheme="minorHAnsi" w:cstheme="minorHAnsi"/>
          <w:bCs/>
          <w:color w:val="000000" w:themeColor="text1"/>
          <w:sz w:val="22"/>
          <w:szCs w:val="22"/>
        </w:rPr>
        <w:t>WHO Collaborating Centre on AMR, Geneva, Switzerland</w:t>
      </w:r>
    </w:p>
    <w:p w14:paraId="5781AE85" w14:textId="77777777" w:rsidR="00145379" w:rsidRPr="00C37A4D" w:rsidRDefault="00145379" w:rsidP="00145379">
      <w:pPr>
        <w:pStyle w:val="ListParagraph"/>
        <w:numPr>
          <w:ilvl w:val="0"/>
          <w:numId w:val="12"/>
        </w:numPr>
        <w:rPr>
          <w:rFonts w:asciiTheme="minorHAnsi" w:eastAsia="Arial" w:hAnsiTheme="minorHAnsi" w:cstheme="minorHAnsi"/>
          <w:bCs/>
          <w:color w:val="000000" w:themeColor="text1"/>
          <w:sz w:val="22"/>
          <w:szCs w:val="22"/>
        </w:rPr>
      </w:pPr>
      <w:r w:rsidRPr="00C37A4D">
        <w:rPr>
          <w:rFonts w:asciiTheme="minorHAnsi" w:eastAsia="Arial" w:hAnsiTheme="minorHAnsi" w:cstheme="minorHAnsi"/>
          <w:bCs/>
          <w:color w:val="000000" w:themeColor="text1"/>
          <w:sz w:val="22"/>
          <w:szCs w:val="22"/>
        </w:rPr>
        <w:t>Health Geography and Policy Group, Department of Environmental Systems Science, ETH Zürich, Zürich, Switzerland</w:t>
      </w:r>
    </w:p>
    <w:p w14:paraId="25111B4E" w14:textId="77777777" w:rsidR="00145379" w:rsidRPr="00C37A4D" w:rsidRDefault="00145379" w:rsidP="00145379">
      <w:pPr>
        <w:pStyle w:val="ListParagraph"/>
        <w:numPr>
          <w:ilvl w:val="0"/>
          <w:numId w:val="12"/>
        </w:numPr>
        <w:rPr>
          <w:rFonts w:asciiTheme="minorHAnsi" w:eastAsia="Arial" w:hAnsiTheme="minorHAnsi" w:cstheme="minorHAnsi"/>
          <w:bCs/>
          <w:color w:val="000000" w:themeColor="text1"/>
          <w:sz w:val="22"/>
          <w:szCs w:val="22"/>
        </w:rPr>
      </w:pPr>
      <w:r w:rsidRPr="00C37A4D">
        <w:rPr>
          <w:rFonts w:asciiTheme="minorHAnsi" w:eastAsia="Arial" w:hAnsiTheme="minorHAnsi" w:cstheme="minorHAnsi"/>
          <w:bCs/>
          <w:color w:val="000000" w:themeColor="text1"/>
          <w:sz w:val="22"/>
          <w:szCs w:val="22"/>
        </w:rPr>
        <w:t>One Health Trust, Washington, D.C., United States of America</w:t>
      </w:r>
    </w:p>
    <w:p w14:paraId="1C5143E6" w14:textId="77777777" w:rsidR="00145379" w:rsidRPr="00C37A4D" w:rsidRDefault="00145379" w:rsidP="00145379">
      <w:pPr>
        <w:pStyle w:val="ListParagraph"/>
        <w:numPr>
          <w:ilvl w:val="0"/>
          <w:numId w:val="12"/>
        </w:numPr>
        <w:rPr>
          <w:rFonts w:asciiTheme="minorHAnsi" w:eastAsia="Arial" w:hAnsiTheme="minorHAnsi" w:cstheme="minorHAnsi"/>
          <w:bCs/>
          <w:color w:val="000000" w:themeColor="text1"/>
          <w:sz w:val="22"/>
          <w:szCs w:val="22"/>
        </w:rPr>
      </w:pPr>
      <w:r w:rsidRPr="00C37A4D">
        <w:rPr>
          <w:rFonts w:asciiTheme="minorHAnsi" w:eastAsia="Arial" w:hAnsiTheme="minorHAnsi" w:cstheme="minorHAnsi"/>
          <w:bCs/>
          <w:color w:val="000000" w:themeColor="text1"/>
          <w:sz w:val="22"/>
          <w:szCs w:val="22"/>
        </w:rPr>
        <w:t xml:space="preserve">Centre for Zoonoses and Environmental microbiology, Dutch National Institute for Public </w:t>
      </w:r>
      <w:proofErr w:type="gramStart"/>
      <w:r w:rsidRPr="00C37A4D">
        <w:rPr>
          <w:rFonts w:asciiTheme="minorHAnsi" w:eastAsia="Arial" w:hAnsiTheme="minorHAnsi" w:cstheme="minorHAnsi"/>
          <w:bCs/>
          <w:color w:val="000000" w:themeColor="text1"/>
          <w:sz w:val="22"/>
          <w:szCs w:val="22"/>
        </w:rPr>
        <w:t>Health</w:t>
      </w:r>
      <w:proofErr w:type="gramEnd"/>
      <w:r w:rsidRPr="00C37A4D">
        <w:rPr>
          <w:rFonts w:asciiTheme="minorHAnsi" w:eastAsia="Arial" w:hAnsiTheme="minorHAnsi" w:cstheme="minorHAnsi"/>
          <w:bCs/>
          <w:color w:val="000000" w:themeColor="text1"/>
          <w:sz w:val="22"/>
          <w:szCs w:val="22"/>
        </w:rPr>
        <w:t xml:space="preserve"> and the Environment (RIVM), </w:t>
      </w:r>
      <w:proofErr w:type="spellStart"/>
      <w:r w:rsidRPr="00C37A4D">
        <w:rPr>
          <w:rFonts w:asciiTheme="minorHAnsi" w:eastAsia="Arial" w:hAnsiTheme="minorHAnsi" w:cstheme="minorHAnsi"/>
          <w:bCs/>
          <w:color w:val="000000" w:themeColor="text1"/>
          <w:sz w:val="22"/>
          <w:szCs w:val="22"/>
        </w:rPr>
        <w:t>Bilthoven</w:t>
      </w:r>
      <w:proofErr w:type="spellEnd"/>
      <w:r w:rsidRPr="00C37A4D">
        <w:rPr>
          <w:rFonts w:asciiTheme="minorHAnsi" w:eastAsia="Arial" w:hAnsiTheme="minorHAnsi" w:cstheme="minorHAnsi"/>
          <w:bCs/>
          <w:color w:val="000000" w:themeColor="text1"/>
          <w:sz w:val="22"/>
          <w:szCs w:val="22"/>
        </w:rPr>
        <w:t>, the Netherlands</w:t>
      </w:r>
    </w:p>
    <w:p w14:paraId="74A689BF" w14:textId="77777777" w:rsidR="00145379" w:rsidRPr="00C37A4D" w:rsidRDefault="00145379" w:rsidP="00145379">
      <w:pPr>
        <w:pStyle w:val="ListParagraph"/>
        <w:numPr>
          <w:ilvl w:val="0"/>
          <w:numId w:val="12"/>
        </w:numPr>
        <w:rPr>
          <w:rFonts w:asciiTheme="minorHAnsi" w:eastAsia="Arial" w:hAnsiTheme="minorHAnsi" w:cstheme="minorHAnsi"/>
          <w:bCs/>
          <w:color w:val="000000" w:themeColor="text1"/>
          <w:sz w:val="22"/>
          <w:szCs w:val="22"/>
        </w:rPr>
      </w:pPr>
      <w:r w:rsidRPr="00C37A4D">
        <w:rPr>
          <w:rFonts w:asciiTheme="minorHAnsi" w:eastAsia="Arial" w:hAnsiTheme="minorHAnsi" w:cstheme="minorHAnsi"/>
          <w:bCs/>
          <w:color w:val="000000" w:themeColor="text1"/>
          <w:sz w:val="22"/>
          <w:szCs w:val="22"/>
        </w:rPr>
        <w:t>Environmental Biotechnology, Faculty of Applied Sciences, Delft University of Technology, Delft, the Netherlands</w:t>
      </w:r>
    </w:p>
    <w:p w14:paraId="66213D20" w14:textId="1E542597" w:rsidR="00CA4DA8" w:rsidRPr="00C37A4D" w:rsidRDefault="00CA4DA8" w:rsidP="00145379">
      <w:pPr>
        <w:pStyle w:val="ListParagraph"/>
        <w:numPr>
          <w:ilvl w:val="0"/>
          <w:numId w:val="12"/>
        </w:numPr>
        <w:rPr>
          <w:rFonts w:asciiTheme="minorHAnsi" w:eastAsia="Arial" w:hAnsiTheme="minorHAnsi" w:cstheme="minorHAnsi"/>
          <w:bCs/>
          <w:color w:val="000000" w:themeColor="text1"/>
          <w:sz w:val="22"/>
          <w:szCs w:val="22"/>
          <w:lang w:val="pt-BR"/>
        </w:rPr>
      </w:pPr>
      <w:r w:rsidRPr="00C37A4D">
        <w:rPr>
          <w:rFonts w:asciiTheme="minorHAnsi" w:eastAsia="Arial" w:hAnsiTheme="minorHAnsi" w:cstheme="minorHAnsi"/>
          <w:bCs/>
          <w:color w:val="000000" w:themeColor="text1"/>
          <w:sz w:val="22"/>
          <w:szCs w:val="22"/>
          <w:lang w:val="pt-BR"/>
        </w:rPr>
        <w:t xml:space="preserve">Division </w:t>
      </w:r>
      <w:proofErr w:type="spellStart"/>
      <w:r w:rsidRPr="00C37A4D">
        <w:rPr>
          <w:rFonts w:asciiTheme="minorHAnsi" w:eastAsia="Arial" w:hAnsiTheme="minorHAnsi" w:cstheme="minorHAnsi"/>
          <w:bCs/>
          <w:color w:val="000000" w:themeColor="text1"/>
          <w:sz w:val="22"/>
          <w:szCs w:val="22"/>
          <w:lang w:val="pt-BR"/>
        </w:rPr>
        <w:t>of</w:t>
      </w:r>
      <w:proofErr w:type="spellEnd"/>
      <w:r w:rsidRPr="00C37A4D">
        <w:rPr>
          <w:rFonts w:asciiTheme="minorHAnsi" w:eastAsia="Arial" w:hAnsiTheme="minorHAnsi" w:cstheme="minorHAnsi"/>
          <w:bCs/>
          <w:color w:val="000000" w:themeColor="text1"/>
          <w:sz w:val="22"/>
          <w:szCs w:val="22"/>
          <w:lang w:val="pt-BR"/>
        </w:rPr>
        <w:t xml:space="preserve"> </w:t>
      </w:r>
      <w:proofErr w:type="spellStart"/>
      <w:r w:rsidRPr="00C37A4D">
        <w:rPr>
          <w:rFonts w:asciiTheme="minorHAnsi" w:eastAsia="Arial" w:hAnsiTheme="minorHAnsi" w:cstheme="minorHAnsi"/>
          <w:bCs/>
          <w:color w:val="000000" w:themeColor="text1"/>
          <w:sz w:val="22"/>
          <w:szCs w:val="22"/>
          <w:lang w:val="pt-BR"/>
        </w:rPr>
        <w:t>Infectious</w:t>
      </w:r>
      <w:proofErr w:type="spellEnd"/>
      <w:r w:rsidRPr="00C37A4D">
        <w:rPr>
          <w:rFonts w:asciiTheme="minorHAnsi" w:eastAsia="Arial" w:hAnsiTheme="minorHAnsi" w:cstheme="minorHAnsi"/>
          <w:bCs/>
          <w:color w:val="000000" w:themeColor="text1"/>
          <w:sz w:val="22"/>
          <w:szCs w:val="22"/>
          <w:lang w:val="pt-BR"/>
        </w:rPr>
        <w:t xml:space="preserve"> </w:t>
      </w:r>
      <w:proofErr w:type="spellStart"/>
      <w:r w:rsidRPr="00C37A4D">
        <w:rPr>
          <w:rFonts w:asciiTheme="minorHAnsi" w:eastAsia="Arial" w:hAnsiTheme="minorHAnsi" w:cstheme="minorHAnsi"/>
          <w:bCs/>
          <w:color w:val="000000" w:themeColor="text1"/>
          <w:sz w:val="22"/>
          <w:szCs w:val="22"/>
          <w:lang w:val="pt-BR"/>
        </w:rPr>
        <w:t>Diseases</w:t>
      </w:r>
      <w:proofErr w:type="spellEnd"/>
      <w:r w:rsidRPr="00C37A4D">
        <w:rPr>
          <w:rFonts w:asciiTheme="minorHAnsi" w:eastAsia="Arial" w:hAnsiTheme="minorHAnsi" w:cstheme="minorHAnsi"/>
          <w:bCs/>
          <w:color w:val="000000" w:themeColor="text1"/>
          <w:sz w:val="22"/>
          <w:szCs w:val="22"/>
          <w:lang w:val="pt-BR"/>
        </w:rPr>
        <w:t xml:space="preserve">, Escola Paulista de Medicina, Universidade Federal de São Paulo (EPM-UNIFESP), São Paulo, </w:t>
      </w:r>
      <w:proofErr w:type="spellStart"/>
      <w:r w:rsidRPr="00C37A4D">
        <w:rPr>
          <w:rFonts w:asciiTheme="minorHAnsi" w:eastAsia="Arial" w:hAnsiTheme="minorHAnsi" w:cstheme="minorHAnsi"/>
          <w:bCs/>
          <w:color w:val="000000" w:themeColor="text1"/>
          <w:sz w:val="22"/>
          <w:szCs w:val="22"/>
          <w:lang w:val="pt-BR"/>
        </w:rPr>
        <w:t>Brazil</w:t>
      </w:r>
      <w:proofErr w:type="spellEnd"/>
    </w:p>
    <w:p w14:paraId="18C3F6FD" w14:textId="479EC87E" w:rsidR="00CA4DA8" w:rsidRPr="00C37A4D" w:rsidRDefault="00CA4DA8" w:rsidP="00145379">
      <w:pPr>
        <w:pStyle w:val="ListParagraph"/>
        <w:numPr>
          <w:ilvl w:val="0"/>
          <w:numId w:val="12"/>
        </w:numPr>
        <w:rPr>
          <w:rFonts w:asciiTheme="minorHAnsi" w:eastAsia="Arial" w:hAnsiTheme="minorHAnsi" w:cstheme="minorHAnsi"/>
          <w:bCs/>
          <w:color w:val="000000" w:themeColor="text1"/>
          <w:sz w:val="22"/>
          <w:szCs w:val="22"/>
        </w:rPr>
      </w:pPr>
      <w:r w:rsidRPr="00C37A4D">
        <w:rPr>
          <w:rFonts w:asciiTheme="minorHAnsi" w:eastAsia="Arial" w:hAnsiTheme="minorHAnsi" w:cstheme="minorHAnsi"/>
          <w:bCs/>
          <w:color w:val="000000" w:themeColor="text1"/>
          <w:sz w:val="22"/>
          <w:szCs w:val="22"/>
        </w:rPr>
        <w:t>Department of Control, Surveillance and Prevention of Antimicrobial Resistance, World Health Organization, Geneva, Switzerland</w:t>
      </w:r>
    </w:p>
    <w:p w14:paraId="00622551" w14:textId="038A43D2" w:rsidR="00CA4DA8" w:rsidRPr="00C37A4D" w:rsidRDefault="00CA4DA8" w:rsidP="00145379">
      <w:pPr>
        <w:pStyle w:val="ListParagraph"/>
        <w:numPr>
          <w:ilvl w:val="0"/>
          <w:numId w:val="12"/>
        </w:numPr>
        <w:rPr>
          <w:rFonts w:asciiTheme="minorHAnsi" w:eastAsia="Arial" w:hAnsiTheme="minorHAnsi" w:cstheme="minorHAnsi"/>
          <w:bCs/>
          <w:color w:val="000000" w:themeColor="text1"/>
          <w:sz w:val="22"/>
          <w:szCs w:val="22"/>
        </w:rPr>
      </w:pPr>
      <w:r w:rsidRPr="00C37A4D">
        <w:rPr>
          <w:rFonts w:asciiTheme="minorHAnsi" w:eastAsia="Arial" w:hAnsiTheme="minorHAnsi" w:cstheme="minorHAnsi"/>
          <w:bCs/>
          <w:color w:val="000000" w:themeColor="text1"/>
          <w:sz w:val="22"/>
          <w:szCs w:val="22"/>
        </w:rPr>
        <w:t xml:space="preserve">Centre for Neonatal and </w:t>
      </w:r>
      <w:proofErr w:type="spellStart"/>
      <w:r w:rsidRPr="00C37A4D">
        <w:rPr>
          <w:rFonts w:asciiTheme="minorHAnsi" w:eastAsia="Arial" w:hAnsiTheme="minorHAnsi" w:cstheme="minorHAnsi"/>
          <w:bCs/>
          <w:color w:val="000000" w:themeColor="text1"/>
          <w:sz w:val="22"/>
          <w:szCs w:val="22"/>
        </w:rPr>
        <w:t>Paediatric</w:t>
      </w:r>
      <w:proofErr w:type="spellEnd"/>
      <w:r w:rsidRPr="00C37A4D">
        <w:rPr>
          <w:rFonts w:asciiTheme="minorHAnsi" w:eastAsia="Arial" w:hAnsiTheme="minorHAnsi" w:cstheme="minorHAnsi"/>
          <w:bCs/>
          <w:color w:val="000000" w:themeColor="text1"/>
          <w:sz w:val="22"/>
          <w:szCs w:val="22"/>
        </w:rPr>
        <w:t xml:space="preserve"> Infection, St</w:t>
      </w:r>
      <w:r w:rsidR="00AD3D90" w:rsidRPr="00C37A4D">
        <w:rPr>
          <w:rFonts w:asciiTheme="minorHAnsi" w:eastAsia="Arial" w:hAnsiTheme="minorHAnsi" w:cstheme="minorHAnsi"/>
          <w:bCs/>
          <w:color w:val="000000" w:themeColor="text1"/>
          <w:sz w:val="22"/>
          <w:szCs w:val="22"/>
        </w:rPr>
        <w:t>.</w:t>
      </w:r>
      <w:r w:rsidRPr="00C37A4D">
        <w:rPr>
          <w:rFonts w:asciiTheme="minorHAnsi" w:eastAsia="Arial" w:hAnsiTheme="minorHAnsi" w:cstheme="minorHAnsi"/>
          <w:bCs/>
          <w:color w:val="000000" w:themeColor="text1"/>
          <w:sz w:val="22"/>
          <w:szCs w:val="22"/>
        </w:rPr>
        <w:t xml:space="preserve"> George's University London, United Kingdom</w:t>
      </w:r>
    </w:p>
    <w:p w14:paraId="73005066" w14:textId="71A95C2F" w:rsidR="00D71889" w:rsidRPr="00C37A4D" w:rsidRDefault="00487472" w:rsidP="00487472">
      <w:pPr>
        <w:pStyle w:val="ListParagraph"/>
        <w:numPr>
          <w:ilvl w:val="0"/>
          <w:numId w:val="12"/>
        </w:numPr>
        <w:rPr>
          <w:rFonts w:asciiTheme="minorHAnsi" w:eastAsia="Arial" w:hAnsiTheme="minorHAnsi" w:cstheme="minorHAnsi"/>
          <w:bCs/>
          <w:color w:val="000000" w:themeColor="text1"/>
          <w:sz w:val="22"/>
          <w:szCs w:val="22"/>
        </w:rPr>
      </w:pPr>
      <w:r w:rsidRPr="00C37A4D">
        <w:rPr>
          <w:rFonts w:asciiTheme="minorHAnsi" w:eastAsia="Arial" w:hAnsiTheme="minorHAnsi" w:cstheme="minorHAnsi"/>
          <w:bCs/>
          <w:color w:val="000000" w:themeColor="text1"/>
          <w:sz w:val="22"/>
          <w:szCs w:val="22"/>
        </w:rPr>
        <w:t>High Meadows Environmental Institute, Princeton University, Princeton, NJ, United States of America</w:t>
      </w:r>
    </w:p>
    <w:p w14:paraId="33FF5142" w14:textId="77777777" w:rsidR="00145379" w:rsidRPr="00C37A4D" w:rsidRDefault="00145379" w:rsidP="00145379">
      <w:pPr>
        <w:rPr>
          <w:rFonts w:asciiTheme="minorHAnsi" w:eastAsia="Arial" w:hAnsiTheme="minorHAnsi" w:cstheme="minorHAnsi"/>
          <w:bCs/>
          <w:color w:val="000000" w:themeColor="text1"/>
          <w:sz w:val="22"/>
          <w:szCs w:val="22"/>
        </w:rPr>
      </w:pPr>
    </w:p>
    <w:p w14:paraId="30E171FA" w14:textId="07A773D8" w:rsidR="00145379" w:rsidRPr="00C37A4D" w:rsidRDefault="00145379" w:rsidP="00145379">
      <w:pPr>
        <w:rPr>
          <w:color w:val="242424"/>
          <w:sz w:val="22"/>
          <w:szCs w:val="22"/>
          <w:shd w:val="clear" w:color="auto" w:fill="FFFFFF"/>
        </w:rPr>
      </w:pPr>
      <w:r w:rsidRPr="00C37A4D">
        <w:rPr>
          <w:color w:val="242424"/>
          <w:sz w:val="22"/>
          <w:szCs w:val="22"/>
          <w:shd w:val="clear" w:color="auto" w:fill="FFFFFF"/>
        </w:rPr>
        <w:t>*Corresponding author</w:t>
      </w:r>
      <w:r w:rsidR="00D04BCA" w:rsidRPr="00C37A4D">
        <w:rPr>
          <w:color w:val="242424"/>
          <w:sz w:val="22"/>
          <w:szCs w:val="22"/>
          <w:shd w:val="clear" w:color="auto" w:fill="FFFFFF"/>
        </w:rPr>
        <w:t>s</w:t>
      </w:r>
    </w:p>
    <w:p w14:paraId="53DE624E" w14:textId="2135BDDA" w:rsidR="00145379" w:rsidRPr="00C37A4D" w:rsidRDefault="00145379" w:rsidP="00145379">
      <w:pPr>
        <w:rPr>
          <w:rFonts w:asciiTheme="minorHAnsi" w:eastAsia="Arial" w:hAnsiTheme="minorHAnsi" w:cstheme="minorHAnsi"/>
          <w:bCs/>
          <w:color w:val="000000" w:themeColor="text1"/>
          <w:sz w:val="22"/>
          <w:szCs w:val="22"/>
        </w:rPr>
      </w:pPr>
      <w:r w:rsidRPr="00C37A4D">
        <w:rPr>
          <w:rFonts w:asciiTheme="minorHAnsi" w:eastAsia="Arial" w:hAnsiTheme="minorHAnsi" w:cstheme="minorHAnsi"/>
          <w:bCs/>
          <w:color w:val="000000" w:themeColor="text1"/>
          <w:sz w:val="22"/>
          <w:szCs w:val="22"/>
        </w:rPr>
        <w:t>Dr. Iruka N</w:t>
      </w:r>
      <w:r w:rsidR="00CA4DA8" w:rsidRPr="00C37A4D">
        <w:rPr>
          <w:rFonts w:asciiTheme="minorHAnsi" w:eastAsia="Arial" w:hAnsiTheme="minorHAnsi" w:cstheme="minorHAnsi"/>
          <w:bCs/>
          <w:color w:val="000000" w:themeColor="text1"/>
          <w:sz w:val="22"/>
          <w:szCs w:val="22"/>
        </w:rPr>
        <w:t>.</w:t>
      </w:r>
      <w:r w:rsidRPr="00C37A4D">
        <w:rPr>
          <w:rFonts w:asciiTheme="minorHAnsi" w:eastAsia="Arial" w:hAnsiTheme="minorHAnsi" w:cstheme="minorHAnsi"/>
          <w:bCs/>
          <w:color w:val="000000" w:themeColor="text1"/>
          <w:sz w:val="22"/>
          <w:szCs w:val="22"/>
        </w:rPr>
        <w:t xml:space="preserve"> Okeke</w:t>
      </w:r>
    </w:p>
    <w:p w14:paraId="156E260D" w14:textId="77777777" w:rsidR="00145379" w:rsidRPr="00C37A4D" w:rsidRDefault="00145379" w:rsidP="00145379">
      <w:pPr>
        <w:rPr>
          <w:rFonts w:asciiTheme="minorHAnsi" w:eastAsia="Arial" w:hAnsiTheme="minorHAnsi" w:cstheme="minorHAnsi"/>
          <w:bCs/>
          <w:color w:val="000000" w:themeColor="text1"/>
          <w:sz w:val="22"/>
          <w:szCs w:val="22"/>
        </w:rPr>
      </w:pPr>
      <w:r w:rsidRPr="00C37A4D">
        <w:rPr>
          <w:rFonts w:asciiTheme="minorHAnsi" w:eastAsia="Arial" w:hAnsiTheme="minorHAnsi" w:cstheme="minorHAnsi"/>
          <w:bCs/>
          <w:color w:val="000000" w:themeColor="text1"/>
          <w:sz w:val="22"/>
          <w:szCs w:val="22"/>
        </w:rPr>
        <w:t xml:space="preserve">Professor and </w:t>
      </w:r>
      <w:proofErr w:type="spellStart"/>
      <w:r w:rsidRPr="00C37A4D">
        <w:rPr>
          <w:rFonts w:asciiTheme="minorHAnsi" w:eastAsia="Arial" w:hAnsiTheme="minorHAnsi" w:cstheme="minorHAnsi"/>
          <w:bCs/>
          <w:color w:val="000000" w:themeColor="text1"/>
          <w:sz w:val="22"/>
          <w:szCs w:val="22"/>
        </w:rPr>
        <w:t>Calestous</w:t>
      </w:r>
      <w:proofErr w:type="spellEnd"/>
      <w:r w:rsidRPr="00C37A4D">
        <w:rPr>
          <w:rFonts w:asciiTheme="minorHAnsi" w:eastAsia="Arial" w:hAnsiTheme="minorHAnsi" w:cstheme="minorHAnsi"/>
          <w:bCs/>
          <w:color w:val="000000" w:themeColor="text1"/>
          <w:sz w:val="22"/>
          <w:szCs w:val="22"/>
        </w:rPr>
        <w:t xml:space="preserve"> </w:t>
      </w:r>
      <w:proofErr w:type="spellStart"/>
      <w:r w:rsidRPr="00C37A4D">
        <w:rPr>
          <w:rFonts w:asciiTheme="minorHAnsi" w:eastAsia="Arial" w:hAnsiTheme="minorHAnsi" w:cstheme="minorHAnsi"/>
          <w:bCs/>
          <w:color w:val="000000" w:themeColor="text1"/>
          <w:sz w:val="22"/>
          <w:szCs w:val="22"/>
        </w:rPr>
        <w:t>Juma</w:t>
      </w:r>
      <w:proofErr w:type="spellEnd"/>
      <w:r w:rsidRPr="00C37A4D">
        <w:rPr>
          <w:rFonts w:asciiTheme="minorHAnsi" w:eastAsia="Arial" w:hAnsiTheme="minorHAnsi" w:cstheme="minorHAnsi"/>
          <w:bCs/>
          <w:color w:val="000000" w:themeColor="text1"/>
          <w:sz w:val="22"/>
          <w:szCs w:val="22"/>
        </w:rPr>
        <w:t xml:space="preserve"> Science Leadership Fellow</w:t>
      </w:r>
    </w:p>
    <w:p w14:paraId="3DB680C9" w14:textId="77777777" w:rsidR="00145379" w:rsidRPr="00C37A4D" w:rsidRDefault="00145379" w:rsidP="00145379">
      <w:pPr>
        <w:rPr>
          <w:rFonts w:asciiTheme="minorHAnsi" w:eastAsia="Arial" w:hAnsiTheme="minorHAnsi" w:cstheme="minorHAnsi"/>
          <w:bCs/>
          <w:color w:val="000000" w:themeColor="text1"/>
          <w:sz w:val="22"/>
          <w:szCs w:val="22"/>
        </w:rPr>
      </w:pPr>
      <w:r w:rsidRPr="00C37A4D">
        <w:rPr>
          <w:rFonts w:asciiTheme="minorHAnsi" w:eastAsia="Arial" w:hAnsiTheme="minorHAnsi" w:cstheme="minorHAnsi"/>
          <w:bCs/>
          <w:color w:val="000000" w:themeColor="text1"/>
          <w:sz w:val="22"/>
          <w:szCs w:val="22"/>
        </w:rPr>
        <w:t>Department of Pharmaceutical Microbiology</w:t>
      </w:r>
    </w:p>
    <w:p w14:paraId="1D77847A" w14:textId="77777777" w:rsidR="00145379" w:rsidRPr="00C37A4D" w:rsidRDefault="00145379" w:rsidP="00145379">
      <w:pPr>
        <w:rPr>
          <w:rFonts w:asciiTheme="minorHAnsi" w:eastAsia="Arial" w:hAnsiTheme="minorHAnsi" w:cstheme="minorHAnsi"/>
          <w:bCs/>
          <w:color w:val="000000" w:themeColor="text1"/>
          <w:sz w:val="22"/>
          <w:szCs w:val="22"/>
        </w:rPr>
      </w:pPr>
      <w:r w:rsidRPr="00C37A4D">
        <w:rPr>
          <w:rFonts w:asciiTheme="minorHAnsi" w:eastAsia="Arial" w:hAnsiTheme="minorHAnsi" w:cstheme="minorHAnsi"/>
          <w:bCs/>
          <w:color w:val="000000" w:themeColor="text1"/>
          <w:sz w:val="22"/>
          <w:szCs w:val="22"/>
        </w:rPr>
        <w:t>Faculty of Pharmacy</w:t>
      </w:r>
    </w:p>
    <w:p w14:paraId="0D21ED8D" w14:textId="77777777" w:rsidR="00145379" w:rsidRPr="00C37A4D" w:rsidRDefault="00145379" w:rsidP="00145379">
      <w:pPr>
        <w:rPr>
          <w:rFonts w:asciiTheme="minorHAnsi" w:eastAsia="Arial" w:hAnsiTheme="minorHAnsi" w:cstheme="minorHAnsi"/>
          <w:bCs/>
          <w:color w:val="000000" w:themeColor="text1"/>
          <w:sz w:val="22"/>
          <w:szCs w:val="22"/>
        </w:rPr>
      </w:pPr>
      <w:r w:rsidRPr="00C37A4D">
        <w:rPr>
          <w:rFonts w:asciiTheme="minorHAnsi" w:eastAsia="Arial" w:hAnsiTheme="minorHAnsi" w:cstheme="minorHAnsi"/>
          <w:bCs/>
          <w:color w:val="000000" w:themeColor="text1"/>
          <w:sz w:val="22"/>
          <w:szCs w:val="22"/>
        </w:rPr>
        <w:t>University of Ibadan,</w:t>
      </w:r>
    </w:p>
    <w:p w14:paraId="69A2FAA9" w14:textId="77777777" w:rsidR="00145379" w:rsidRPr="00C37A4D" w:rsidRDefault="00145379" w:rsidP="00145379">
      <w:pPr>
        <w:rPr>
          <w:rFonts w:asciiTheme="minorHAnsi" w:eastAsia="Arial" w:hAnsiTheme="minorHAnsi" w:cstheme="minorHAnsi"/>
          <w:bCs/>
          <w:color w:val="000000" w:themeColor="text1"/>
          <w:sz w:val="22"/>
          <w:szCs w:val="22"/>
        </w:rPr>
      </w:pPr>
      <w:r w:rsidRPr="00C37A4D">
        <w:rPr>
          <w:rFonts w:asciiTheme="minorHAnsi" w:eastAsia="Arial" w:hAnsiTheme="minorHAnsi" w:cstheme="minorHAnsi"/>
          <w:bCs/>
          <w:color w:val="000000" w:themeColor="text1"/>
          <w:sz w:val="22"/>
          <w:szCs w:val="22"/>
        </w:rPr>
        <w:t>Ibadan, Oyo State, 200284, Nigeria</w:t>
      </w:r>
    </w:p>
    <w:p w14:paraId="2C770754" w14:textId="77777777" w:rsidR="00145379" w:rsidRPr="00C37A4D" w:rsidRDefault="00145379" w:rsidP="00145379">
      <w:pPr>
        <w:rPr>
          <w:rFonts w:asciiTheme="minorHAnsi" w:eastAsia="Arial" w:hAnsiTheme="minorHAnsi" w:cstheme="minorHAnsi"/>
          <w:bCs/>
          <w:color w:val="000000" w:themeColor="text1"/>
          <w:sz w:val="22"/>
          <w:szCs w:val="22"/>
          <w:lang w:val="fr-FR"/>
        </w:rPr>
      </w:pPr>
      <w:proofErr w:type="gramStart"/>
      <w:r w:rsidRPr="00C37A4D">
        <w:rPr>
          <w:rFonts w:asciiTheme="minorHAnsi" w:eastAsia="Arial" w:hAnsiTheme="minorHAnsi" w:cstheme="minorHAnsi"/>
          <w:bCs/>
          <w:color w:val="000000" w:themeColor="text1"/>
          <w:sz w:val="22"/>
          <w:szCs w:val="22"/>
          <w:lang w:val="fr-FR"/>
        </w:rPr>
        <w:t>Tel:</w:t>
      </w:r>
      <w:proofErr w:type="gramEnd"/>
      <w:r w:rsidRPr="00C37A4D">
        <w:rPr>
          <w:rFonts w:asciiTheme="minorHAnsi" w:eastAsia="Arial" w:hAnsiTheme="minorHAnsi" w:cstheme="minorHAnsi"/>
          <w:bCs/>
          <w:color w:val="000000" w:themeColor="text1"/>
          <w:sz w:val="22"/>
          <w:szCs w:val="22"/>
          <w:lang w:val="fr-FR"/>
        </w:rPr>
        <w:t xml:space="preserve"> +234 805 328 1714</w:t>
      </w:r>
    </w:p>
    <w:p w14:paraId="6D60E480" w14:textId="77777777" w:rsidR="00145379" w:rsidRPr="00C37A4D" w:rsidRDefault="00145379" w:rsidP="00145379">
      <w:pPr>
        <w:rPr>
          <w:rFonts w:asciiTheme="minorHAnsi" w:eastAsia="Arial" w:hAnsiTheme="minorHAnsi" w:cstheme="minorHAnsi"/>
          <w:bCs/>
          <w:color w:val="000000" w:themeColor="text1"/>
          <w:sz w:val="22"/>
          <w:szCs w:val="22"/>
          <w:lang w:val="fr-FR"/>
        </w:rPr>
      </w:pPr>
      <w:proofErr w:type="gramStart"/>
      <w:r w:rsidRPr="00C37A4D">
        <w:rPr>
          <w:rFonts w:asciiTheme="minorHAnsi" w:eastAsia="Arial" w:hAnsiTheme="minorHAnsi" w:cstheme="minorHAnsi"/>
          <w:bCs/>
          <w:color w:val="000000" w:themeColor="text1"/>
          <w:sz w:val="22"/>
          <w:szCs w:val="22"/>
          <w:lang w:val="fr-FR"/>
        </w:rPr>
        <w:t>Email:</w:t>
      </w:r>
      <w:proofErr w:type="gramEnd"/>
      <w:r w:rsidRPr="00C37A4D">
        <w:rPr>
          <w:rFonts w:asciiTheme="minorHAnsi" w:eastAsia="Arial" w:hAnsiTheme="minorHAnsi" w:cstheme="minorHAnsi"/>
          <w:bCs/>
          <w:color w:val="000000" w:themeColor="text1"/>
          <w:sz w:val="22"/>
          <w:szCs w:val="22"/>
          <w:lang w:val="fr-FR"/>
        </w:rPr>
        <w:t xml:space="preserve"> </w:t>
      </w:r>
      <w:hyperlink r:id="rId9" w:history="1">
        <w:r w:rsidRPr="00C37A4D">
          <w:rPr>
            <w:rStyle w:val="Hyperlink"/>
            <w:rFonts w:asciiTheme="minorHAnsi" w:eastAsia="Arial" w:hAnsiTheme="minorHAnsi" w:cstheme="minorHAnsi"/>
            <w:bCs/>
            <w:sz w:val="22"/>
            <w:szCs w:val="22"/>
            <w:lang w:val="fr-FR"/>
          </w:rPr>
          <w:t>iruka.n.okeke@gmail.com</w:t>
        </w:r>
      </w:hyperlink>
    </w:p>
    <w:p w14:paraId="23DE251D" w14:textId="77777777" w:rsidR="00920171" w:rsidRPr="00C37A4D" w:rsidRDefault="00920171">
      <w:pPr>
        <w:rPr>
          <w:rFonts w:asciiTheme="minorHAnsi" w:eastAsia="Arial" w:hAnsiTheme="minorHAnsi" w:cstheme="minorHAnsi"/>
          <w:b/>
          <w:color w:val="000000" w:themeColor="text1"/>
          <w:sz w:val="22"/>
          <w:szCs w:val="22"/>
          <w:lang w:val="fr-FR"/>
        </w:rPr>
      </w:pPr>
    </w:p>
    <w:p w14:paraId="56C00184" w14:textId="77777777" w:rsidR="00920171" w:rsidRPr="00C37A4D" w:rsidRDefault="00920171" w:rsidP="00920171">
      <w:pPr>
        <w:rPr>
          <w:rFonts w:asciiTheme="minorHAnsi" w:eastAsia="Arial" w:hAnsiTheme="minorHAnsi" w:cstheme="minorHAnsi"/>
          <w:bCs/>
          <w:color w:val="000000" w:themeColor="text1"/>
          <w:sz w:val="22"/>
          <w:szCs w:val="22"/>
          <w:lang w:val="en-GB"/>
        </w:rPr>
      </w:pPr>
      <w:proofErr w:type="spellStart"/>
      <w:r w:rsidRPr="00C37A4D">
        <w:rPr>
          <w:rFonts w:asciiTheme="minorHAnsi" w:eastAsia="Arial" w:hAnsiTheme="minorHAnsi" w:cstheme="minorHAnsi"/>
          <w:bCs/>
          <w:color w:val="000000" w:themeColor="text1"/>
          <w:sz w:val="22"/>
          <w:szCs w:val="22"/>
          <w:lang w:val="en-GB"/>
        </w:rPr>
        <w:t>Dr.</w:t>
      </w:r>
      <w:proofErr w:type="spellEnd"/>
      <w:r w:rsidRPr="00C37A4D">
        <w:rPr>
          <w:rFonts w:asciiTheme="minorHAnsi" w:eastAsia="Arial" w:hAnsiTheme="minorHAnsi" w:cstheme="minorHAnsi"/>
          <w:bCs/>
          <w:color w:val="000000" w:themeColor="text1"/>
          <w:sz w:val="22"/>
          <w:szCs w:val="22"/>
          <w:lang w:val="en-GB"/>
        </w:rPr>
        <w:t xml:space="preserve"> Ramanan Laxminarayan</w:t>
      </w:r>
    </w:p>
    <w:p w14:paraId="1F0705EA" w14:textId="77777777" w:rsidR="00920171" w:rsidRPr="00C37A4D" w:rsidRDefault="00920171" w:rsidP="00920171">
      <w:pPr>
        <w:rPr>
          <w:rFonts w:asciiTheme="minorHAnsi" w:eastAsia="Arial" w:hAnsiTheme="minorHAnsi" w:cstheme="minorHAnsi"/>
          <w:bCs/>
          <w:color w:val="000000" w:themeColor="text1"/>
          <w:sz w:val="22"/>
          <w:szCs w:val="22"/>
          <w:lang w:val="en-GB"/>
        </w:rPr>
      </w:pPr>
      <w:r w:rsidRPr="00C37A4D">
        <w:rPr>
          <w:rFonts w:asciiTheme="minorHAnsi" w:eastAsia="Arial" w:hAnsiTheme="minorHAnsi" w:cstheme="minorHAnsi"/>
          <w:bCs/>
          <w:color w:val="000000" w:themeColor="text1"/>
          <w:sz w:val="22"/>
          <w:szCs w:val="22"/>
          <w:lang w:val="en-GB"/>
        </w:rPr>
        <w:t>One Health Trust</w:t>
      </w:r>
    </w:p>
    <w:p w14:paraId="6B7A9721" w14:textId="77777777" w:rsidR="00920171" w:rsidRPr="00C37A4D" w:rsidRDefault="00920171" w:rsidP="00920171">
      <w:pPr>
        <w:rPr>
          <w:rFonts w:asciiTheme="minorHAnsi" w:eastAsia="Arial" w:hAnsiTheme="minorHAnsi" w:cstheme="minorHAnsi"/>
          <w:bCs/>
          <w:color w:val="000000" w:themeColor="text1"/>
          <w:sz w:val="22"/>
          <w:szCs w:val="22"/>
          <w:lang w:val="en-GB"/>
        </w:rPr>
      </w:pPr>
      <w:proofErr w:type="spellStart"/>
      <w:r w:rsidRPr="00C37A4D">
        <w:rPr>
          <w:rFonts w:asciiTheme="minorHAnsi" w:eastAsia="Arial" w:hAnsiTheme="minorHAnsi" w:cstheme="minorHAnsi"/>
          <w:bCs/>
          <w:color w:val="000000" w:themeColor="text1"/>
          <w:sz w:val="22"/>
          <w:szCs w:val="22"/>
          <w:lang w:val="en-GB"/>
        </w:rPr>
        <w:t>Obeya</w:t>
      </w:r>
      <w:proofErr w:type="spellEnd"/>
      <w:r w:rsidRPr="00C37A4D">
        <w:rPr>
          <w:rFonts w:asciiTheme="minorHAnsi" w:eastAsia="Arial" w:hAnsiTheme="minorHAnsi" w:cstheme="minorHAnsi"/>
          <w:bCs/>
          <w:color w:val="000000" w:themeColor="text1"/>
          <w:sz w:val="22"/>
          <w:szCs w:val="22"/>
          <w:lang w:val="en-GB"/>
        </w:rPr>
        <w:t xml:space="preserve"> Pulse, First Floor, 7/1, </w:t>
      </w:r>
      <w:proofErr w:type="spellStart"/>
      <w:r w:rsidRPr="00C37A4D">
        <w:rPr>
          <w:rFonts w:asciiTheme="minorHAnsi" w:eastAsia="Arial" w:hAnsiTheme="minorHAnsi" w:cstheme="minorHAnsi"/>
          <w:bCs/>
          <w:color w:val="000000" w:themeColor="text1"/>
          <w:sz w:val="22"/>
          <w:szCs w:val="22"/>
          <w:lang w:val="en-GB"/>
        </w:rPr>
        <w:t>Halasur</w:t>
      </w:r>
      <w:proofErr w:type="spellEnd"/>
      <w:r w:rsidRPr="00C37A4D">
        <w:rPr>
          <w:rFonts w:asciiTheme="minorHAnsi" w:eastAsia="Arial" w:hAnsiTheme="minorHAnsi" w:cstheme="minorHAnsi"/>
          <w:bCs/>
          <w:color w:val="000000" w:themeColor="text1"/>
          <w:sz w:val="22"/>
          <w:szCs w:val="22"/>
          <w:lang w:val="en-GB"/>
        </w:rPr>
        <w:t xml:space="preserve"> Road </w:t>
      </w:r>
    </w:p>
    <w:p w14:paraId="5904C4DF" w14:textId="77777777" w:rsidR="00920171" w:rsidRPr="00C37A4D" w:rsidRDefault="00920171" w:rsidP="00920171">
      <w:pPr>
        <w:rPr>
          <w:rFonts w:asciiTheme="minorHAnsi" w:eastAsia="Arial" w:hAnsiTheme="minorHAnsi" w:cstheme="minorHAnsi"/>
          <w:bCs/>
          <w:color w:val="000000" w:themeColor="text1"/>
          <w:sz w:val="22"/>
          <w:szCs w:val="22"/>
          <w:lang w:val="en-GB"/>
        </w:rPr>
      </w:pPr>
      <w:r w:rsidRPr="00C37A4D">
        <w:rPr>
          <w:rFonts w:asciiTheme="minorHAnsi" w:eastAsia="Arial" w:hAnsiTheme="minorHAnsi" w:cstheme="minorHAnsi"/>
          <w:bCs/>
          <w:color w:val="000000" w:themeColor="text1"/>
          <w:sz w:val="22"/>
          <w:szCs w:val="22"/>
          <w:lang w:val="en-GB"/>
        </w:rPr>
        <w:t>Bengaluru, Karnataka 560042</w:t>
      </w:r>
    </w:p>
    <w:p w14:paraId="270190D4" w14:textId="77777777" w:rsidR="00920171" w:rsidRPr="00C37A4D" w:rsidRDefault="00920171" w:rsidP="00920171">
      <w:pPr>
        <w:rPr>
          <w:rFonts w:asciiTheme="minorHAnsi" w:eastAsia="Arial" w:hAnsiTheme="minorHAnsi" w:cstheme="minorHAnsi"/>
          <w:bCs/>
          <w:color w:val="000000" w:themeColor="text1"/>
          <w:sz w:val="22"/>
          <w:szCs w:val="22"/>
          <w:lang w:val="en-GB"/>
        </w:rPr>
      </w:pPr>
      <w:r w:rsidRPr="00C37A4D">
        <w:rPr>
          <w:rFonts w:asciiTheme="minorHAnsi" w:eastAsia="Arial" w:hAnsiTheme="minorHAnsi" w:cstheme="minorHAnsi"/>
          <w:bCs/>
          <w:color w:val="000000" w:themeColor="text1"/>
          <w:sz w:val="22"/>
          <w:szCs w:val="22"/>
          <w:lang w:val="en-GB"/>
        </w:rPr>
        <w:t>India</w:t>
      </w:r>
    </w:p>
    <w:p w14:paraId="021DEB7D" w14:textId="77777777" w:rsidR="00920171" w:rsidRPr="00C37A4D" w:rsidRDefault="00920171" w:rsidP="00920171">
      <w:pPr>
        <w:rPr>
          <w:rFonts w:asciiTheme="minorHAnsi" w:eastAsia="Arial" w:hAnsiTheme="minorHAnsi" w:cstheme="minorHAnsi"/>
          <w:bCs/>
          <w:color w:val="000000" w:themeColor="text1"/>
          <w:sz w:val="22"/>
          <w:szCs w:val="22"/>
          <w:lang w:val="en-GB"/>
        </w:rPr>
      </w:pPr>
      <w:r w:rsidRPr="00C37A4D">
        <w:rPr>
          <w:rFonts w:asciiTheme="minorHAnsi" w:eastAsia="Arial" w:hAnsiTheme="minorHAnsi" w:cstheme="minorHAnsi"/>
          <w:bCs/>
          <w:color w:val="000000" w:themeColor="text1"/>
          <w:sz w:val="22"/>
          <w:szCs w:val="22"/>
          <w:lang w:val="en-GB"/>
        </w:rPr>
        <w:t>Tel: +91 97111 33491</w:t>
      </w:r>
    </w:p>
    <w:p w14:paraId="5174FBC1" w14:textId="22D98EC7" w:rsidR="00920171" w:rsidRPr="00C37A4D" w:rsidRDefault="00920171" w:rsidP="00920171">
      <w:pPr>
        <w:rPr>
          <w:rFonts w:asciiTheme="minorHAnsi" w:eastAsia="Arial" w:hAnsiTheme="minorHAnsi" w:cstheme="minorHAnsi"/>
          <w:bCs/>
          <w:color w:val="000000" w:themeColor="text1"/>
          <w:sz w:val="22"/>
          <w:szCs w:val="22"/>
          <w:lang w:val="en-GB"/>
        </w:rPr>
      </w:pPr>
      <w:r w:rsidRPr="00C37A4D">
        <w:rPr>
          <w:rFonts w:asciiTheme="minorHAnsi" w:eastAsia="Arial" w:hAnsiTheme="minorHAnsi" w:cstheme="minorHAnsi"/>
          <w:bCs/>
          <w:color w:val="000000" w:themeColor="text1"/>
          <w:sz w:val="22"/>
          <w:szCs w:val="22"/>
          <w:lang w:val="en-GB"/>
        </w:rPr>
        <w:t xml:space="preserve">Email: </w:t>
      </w:r>
      <w:hyperlink r:id="rId10" w:history="1">
        <w:r w:rsidRPr="00C37A4D">
          <w:rPr>
            <w:rStyle w:val="Hyperlink"/>
            <w:rFonts w:asciiTheme="minorHAnsi" w:eastAsia="Arial" w:hAnsiTheme="minorHAnsi" w:cstheme="minorHAnsi"/>
            <w:bCs/>
            <w:sz w:val="22"/>
            <w:szCs w:val="22"/>
            <w:lang w:val="en-GB"/>
          </w:rPr>
          <w:t>ramanan@onehealthtrust.org</w:t>
        </w:r>
      </w:hyperlink>
    </w:p>
    <w:p w14:paraId="0AF30E7A" w14:textId="4E41E581" w:rsidR="00C1720E" w:rsidRPr="00C37A4D" w:rsidRDefault="00C42DDF" w:rsidP="0066136A">
      <w:pPr>
        <w:rPr>
          <w:rFonts w:asciiTheme="minorHAnsi" w:hAnsiTheme="minorHAnsi" w:cstheme="minorHAnsi"/>
          <w:color w:val="000000" w:themeColor="text1"/>
          <w:sz w:val="22"/>
          <w:szCs w:val="22"/>
          <w:lang w:val="en-GB"/>
        </w:rPr>
      </w:pPr>
      <w:r w:rsidRPr="00C37A4D">
        <w:rPr>
          <w:rFonts w:asciiTheme="minorHAnsi" w:eastAsia="Arial" w:hAnsiTheme="minorHAnsi" w:cstheme="minorHAnsi"/>
          <w:b/>
          <w:color w:val="000000" w:themeColor="text1"/>
          <w:sz w:val="22"/>
          <w:szCs w:val="22"/>
          <w:lang w:val="en-GB"/>
        </w:rPr>
        <w:br w:type="page"/>
      </w:r>
      <w:r w:rsidR="0097491B" w:rsidRPr="00C37A4D">
        <w:rPr>
          <w:rFonts w:asciiTheme="minorHAnsi" w:hAnsiTheme="minorHAnsi" w:cstheme="minorHAnsi"/>
          <w:b/>
          <w:bCs/>
          <w:color w:val="000000" w:themeColor="text1"/>
          <w:sz w:val="22"/>
          <w:szCs w:val="22"/>
          <w:lang w:val="en-GB"/>
        </w:rPr>
        <w:lastRenderedPageBreak/>
        <w:t>ABSTRACT</w:t>
      </w:r>
      <w:r w:rsidR="00B06906">
        <w:rPr>
          <w:rFonts w:asciiTheme="minorHAnsi" w:hAnsiTheme="minorHAnsi" w:cstheme="minorHAnsi"/>
          <w:b/>
          <w:bCs/>
          <w:color w:val="000000" w:themeColor="text1"/>
          <w:sz w:val="22"/>
          <w:szCs w:val="22"/>
          <w:lang w:val="en-GB"/>
        </w:rPr>
        <w:t xml:space="preserve"> </w:t>
      </w:r>
    </w:p>
    <w:p w14:paraId="34CDC3E2" w14:textId="6388B168" w:rsidR="000C1ACD" w:rsidRPr="00995C51" w:rsidRDefault="00073601" w:rsidP="00FF3601">
      <w:pPr>
        <w:rPr>
          <w:sz w:val="22"/>
          <w:szCs w:val="22"/>
        </w:rPr>
      </w:pPr>
      <w:r w:rsidRPr="00995C51">
        <w:rPr>
          <w:sz w:val="22"/>
          <w:szCs w:val="22"/>
        </w:rPr>
        <w:t>Access to effective antimicrobials, when indicated, prolongs life, reduces disability, limits health care expenses</w:t>
      </w:r>
      <w:r w:rsidR="003025EF" w:rsidRPr="00995C51">
        <w:rPr>
          <w:sz w:val="22"/>
          <w:szCs w:val="22"/>
        </w:rPr>
        <w:t>,</w:t>
      </w:r>
      <w:r w:rsidRPr="00995C51">
        <w:rPr>
          <w:sz w:val="22"/>
          <w:szCs w:val="22"/>
        </w:rPr>
        <w:t xml:space="preserve"> and enables access to other life-saving medical innovations. </w:t>
      </w:r>
      <w:r w:rsidR="00FF3601" w:rsidRPr="00995C51">
        <w:rPr>
          <w:sz w:val="22"/>
          <w:szCs w:val="22"/>
        </w:rPr>
        <w:t>Antimicrobial resistance</w:t>
      </w:r>
      <w:r w:rsidRPr="00995C51">
        <w:rPr>
          <w:sz w:val="22"/>
          <w:szCs w:val="22"/>
        </w:rPr>
        <w:t xml:space="preserve"> thwarts all these benefit</w:t>
      </w:r>
      <w:r w:rsidR="003025EF" w:rsidRPr="00995C51">
        <w:rPr>
          <w:sz w:val="22"/>
          <w:szCs w:val="22"/>
        </w:rPr>
        <w:t>s</w:t>
      </w:r>
      <w:r w:rsidRPr="00995C51">
        <w:rPr>
          <w:sz w:val="22"/>
          <w:szCs w:val="22"/>
        </w:rPr>
        <w:t xml:space="preserve"> and</w:t>
      </w:r>
      <w:r w:rsidR="005D25E0" w:rsidRPr="00995C51">
        <w:rPr>
          <w:sz w:val="22"/>
          <w:szCs w:val="22"/>
        </w:rPr>
        <w:t xml:space="preserve"> is a </w:t>
      </w:r>
      <w:r w:rsidR="00927616" w:rsidRPr="00995C51">
        <w:rPr>
          <w:sz w:val="22"/>
          <w:szCs w:val="22"/>
        </w:rPr>
        <w:t xml:space="preserve">major barrier to the attainment of </w:t>
      </w:r>
      <w:r w:rsidR="00FF3601" w:rsidRPr="00995C51">
        <w:rPr>
          <w:sz w:val="22"/>
          <w:szCs w:val="22"/>
        </w:rPr>
        <w:t>Sustainable Development Goal</w:t>
      </w:r>
      <w:r w:rsidRPr="00995C51">
        <w:rPr>
          <w:sz w:val="22"/>
          <w:szCs w:val="22"/>
        </w:rPr>
        <w:t>s, including</w:t>
      </w:r>
      <w:r w:rsidR="00FF3601" w:rsidRPr="00995C51">
        <w:rPr>
          <w:sz w:val="22"/>
          <w:szCs w:val="22"/>
        </w:rPr>
        <w:t xml:space="preserve"> targets for newborn survival</w:t>
      </w:r>
      <w:r w:rsidR="000C1ACD" w:rsidRPr="00995C51">
        <w:rPr>
          <w:sz w:val="22"/>
          <w:szCs w:val="22"/>
        </w:rPr>
        <w:t xml:space="preserve"> and </w:t>
      </w:r>
      <w:r w:rsidR="00927616" w:rsidRPr="00995C51">
        <w:rPr>
          <w:sz w:val="22"/>
          <w:szCs w:val="22"/>
        </w:rPr>
        <w:t>to</w:t>
      </w:r>
      <w:r w:rsidR="00FF3601" w:rsidRPr="00995C51">
        <w:rPr>
          <w:sz w:val="22"/>
          <w:szCs w:val="22"/>
        </w:rPr>
        <w:t xml:space="preserve"> progress on healthy aging</w:t>
      </w:r>
      <w:r w:rsidR="000C1ACD" w:rsidRPr="00995C51">
        <w:rPr>
          <w:sz w:val="22"/>
          <w:szCs w:val="22"/>
        </w:rPr>
        <w:t xml:space="preserve">.  </w:t>
      </w:r>
      <w:r w:rsidR="00FF3601" w:rsidRPr="00995C51">
        <w:rPr>
          <w:sz w:val="22"/>
          <w:szCs w:val="22"/>
        </w:rPr>
        <w:t xml:space="preserve">Adverse consequences from resistance are seen in both healthcare- and community-associated infections, across the </w:t>
      </w:r>
      <w:r w:rsidR="005D25E0" w:rsidRPr="00995C51">
        <w:rPr>
          <w:sz w:val="22"/>
          <w:szCs w:val="22"/>
        </w:rPr>
        <w:t>human</w:t>
      </w:r>
      <w:r w:rsidR="00FF3601" w:rsidRPr="00995C51">
        <w:rPr>
          <w:sz w:val="22"/>
          <w:szCs w:val="22"/>
        </w:rPr>
        <w:t xml:space="preserve"> life course, </w:t>
      </w:r>
      <w:r w:rsidR="005D25E0" w:rsidRPr="00995C51">
        <w:rPr>
          <w:sz w:val="22"/>
          <w:szCs w:val="22"/>
        </w:rPr>
        <w:t>as well as</w:t>
      </w:r>
      <w:r w:rsidR="00FF3601" w:rsidRPr="00995C51">
        <w:rPr>
          <w:sz w:val="22"/>
          <w:szCs w:val="22"/>
        </w:rPr>
        <w:t xml:space="preserve"> in animals and the food chain</w:t>
      </w:r>
      <w:r w:rsidR="005D25E0" w:rsidRPr="00995C51">
        <w:rPr>
          <w:sz w:val="22"/>
          <w:szCs w:val="22"/>
        </w:rPr>
        <w:t>.</w:t>
      </w:r>
      <w:r w:rsidR="00FF3601" w:rsidRPr="00995C51">
        <w:rPr>
          <w:sz w:val="22"/>
          <w:szCs w:val="22"/>
        </w:rPr>
        <w:t xml:space="preserve"> </w:t>
      </w:r>
      <w:r w:rsidR="000C1ACD" w:rsidRPr="00995C51">
        <w:rPr>
          <w:sz w:val="22"/>
          <w:szCs w:val="22"/>
        </w:rPr>
        <w:t xml:space="preserve">The limited set of effective antibiotics available has narrowed, and the very young, very old, and severely ill are particularly vulnerable to resistant infections because of the disproportionate burden of infectious diseases </w:t>
      </w:r>
      <w:r w:rsidRPr="00995C51">
        <w:rPr>
          <w:sz w:val="22"/>
          <w:szCs w:val="22"/>
        </w:rPr>
        <w:t>they carry</w:t>
      </w:r>
      <w:r w:rsidR="000C1ACD" w:rsidRPr="00995C51">
        <w:rPr>
          <w:sz w:val="22"/>
          <w:szCs w:val="22"/>
        </w:rPr>
        <w:t>. Those in resource-constrained settings are also vulnerable due to the lack of</w:t>
      </w:r>
      <w:r w:rsidR="005D25E0" w:rsidRPr="00995C51">
        <w:rPr>
          <w:sz w:val="22"/>
          <w:szCs w:val="22"/>
        </w:rPr>
        <w:t xml:space="preserve"> </w:t>
      </w:r>
      <w:r w:rsidR="000C1ACD" w:rsidRPr="00995C51">
        <w:rPr>
          <w:sz w:val="22"/>
          <w:szCs w:val="22"/>
        </w:rPr>
        <w:t>alternative medicines.</w:t>
      </w:r>
      <w:r w:rsidR="000C1ACD" w:rsidRPr="00995C51">
        <w:rPr>
          <w:rFonts w:asciiTheme="minorHAnsi" w:hAnsiTheme="minorHAnsi" w:cstheme="minorHAnsi"/>
          <w:color w:val="000000" w:themeColor="text1"/>
          <w:sz w:val="22"/>
          <w:szCs w:val="22"/>
          <w:lang w:val="en-GB"/>
        </w:rPr>
        <w:t xml:space="preserve"> This paper, </w:t>
      </w:r>
      <w:r w:rsidR="00F22ADB" w:rsidRPr="00995C51">
        <w:rPr>
          <w:rFonts w:asciiTheme="minorHAnsi" w:hAnsiTheme="minorHAnsi" w:cstheme="minorHAnsi"/>
          <w:color w:val="000000" w:themeColor="text1"/>
          <w:sz w:val="22"/>
          <w:szCs w:val="22"/>
          <w:lang w:val="en-GB"/>
        </w:rPr>
        <w:t xml:space="preserve">the </w:t>
      </w:r>
      <w:r w:rsidR="000C1ACD" w:rsidRPr="00995C51">
        <w:rPr>
          <w:rFonts w:asciiTheme="minorHAnsi" w:hAnsiTheme="minorHAnsi" w:cstheme="minorHAnsi"/>
          <w:color w:val="000000" w:themeColor="text1"/>
          <w:sz w:val="22"/>
          <w:szCs w:val="22"/>
          <w:lang w:val="en-GB"/>
        </w:rPr>
        <w:t xml:space="preserve">first in a series on the antimicrobial resistance challenge, considers the global scope of the problem and how it should be measured. Antibiotics are the </w:t>
      </w:r>
      <w:proofErr w:type="gramStart"/>
      <w:r w:rsidR="000C1ACD" w:rsidRPr="00995C51">
        <w:rPr>
          <w:rFonts w:asciiTheme="minorHAnsi" w:hAnsiTheme="minorHAnsi" w:cstheme="minorHAnsi"/>
          <w:color w:val="000000" w:themeColor="text1"/>
          <w:sz w:val="22"/>
          <w:szCs w:val="22"/>
          <w:lang w:val="en-GB"/>
        </w:rPr>
        <w:t>most commonly prescribed</w:t>
      </w:r>
      <w:proofErr w:type="gramEnd"/>
      <w:r w:rsidR="000C1ACD" w:rsidRPr="00995C51">
        <w:rPr>
          <w:rFonts w:asciiTheme="minorHAnsi" w:hAnsiTheme="minorHAnsi" w:cstheme="minorHAnsi"/>
          <w:color w:val="000000" w:themeColor="text1"/>
          <w:sz w:val="22"/>
          <w:szCs w:val="22"/>
          <w:lang w:val="en-GB"/>
        </w:rPr>
        <w:t xml:space="preserve"> medicines and the predominant selective force for resistant pathogens. Robust and actionable data are needed to drive changes and inform effective interventions to contain resistance. </w:t>
      </w:r>
      <w:proofErr w:type="gramStart"/>
      <w:r w:rsidR="000C1ACD" w:rsidRPr="00995C51">
        <w:rPr>
          <w:rFonts w:asciiTheme="minorHAnsi" w:hAnsiTheme="minorHAnsi" w:cstheme="minorHAnsi"/>
          <w:color w:val="000000" w:themeColor="text1"/>
          <w:sz w:val="22"/>
          <w:szCs w:val="22"/>
          <w:lang w:val="en-GB"/>
        </w:rPr>
        <w:t>In particular, surveillance</w:t>
      </w:r>
      <w:proofErr w:type="gramEnd"/>
      <w:r w:rsidR="000C1ACD" w:rsidRPr="00995C51">
        <w:rPr>
          <w:rFonts w:asciiTheme="minorHAnsi" w:hAnsiTheme="minorHAnsi" w:cstheme="minorHAnsi"/>
          <w:color w:val="000000" w:themeColor="text1"/>
          <w:sz w:val="22"/>
          <w:szCs w:val="22"/>
          <w:lang w:val="en-GB"/>
        </w:rPr>
        <w:t xml:space="preserve"> must cover all geographical regions, minimize biases towards </w:t>
      </w:r>
      <w:r w:rsidR="00FF5AEE" w:rsidRPr="00995C51">
        <w:rPr>
          <w:rFonts w:asciiTheme="minorHAnsi" w:hAnsiTheme="minorHAnsi" w:cstheme="minorHAnsi"/>
          <w:color w:val="000000" w:themeColor="text1"/>
          <w:sz w:val="22"/>
          <w:szCs w:val="22"/>
          <w:lang w:val="en-GB"/>
        </w:rPr>
        <w:t>hospital</w:t>
      </w:r>
      <w:r w:rsidR="000C1ACD" w:rsidRPr="00995C51">
        <w:rPr>
          <w:rFonts w:asciiTheme="minorHAnsi" w:hAnsiTheme="minorHAnsi" w:cstheme="minorHAnsi"/>
          <w:color w:val="000000" w:themeColor="text1"/>
          <w:sz w:val="22"/>
          <w:szCs w:val="22"/>
          <w:lang w:val="en-GB"/>
        </w:rPr>
        <w:t>–derived data, and include non-human niches.</w:t>
      </w:r>
    </w:p>
    <w:p w14:paraId="16713C63" w14:textId="2F309A54" w:rsidR="00FF3601" w:rsidRDefault="00FF3601" w:rsidP="00FF3601"/>
    <w:p w14:paraId="1F8E4BC4" w14:textId="7ECD8C6B" w:rsidR="0042750F" w:rsidRDefault="00FF5AEE">
      <w:pPr>
        <w:rPr>
          <w:rFonts w:asciiTheme="minorHAnsi" w:hAnsiTheme="minorHAnsi" w:cstheme="minorHAnsi"/>
          <w:b/>
          <w:bCs/>
          <w:color w:val="000000" w:themeColor="text1"/>
          <w:sz w:val="22"/>
          <w:szCs w:val="22"/>
          <w:lang w:val="en-GB"/>
        </w:rPr>
      </w:pPr>
      <w:r>
        <w:rPr>
          <w:rFonts w:asciiTheme="minorHAnsi" w:hAnsiTheme="minorHAnsi" w:cstheme="minorHAnsi"/>
          <w:b/>
          <w:bCs/>
          <w:color w:val="000000" w:themeColor="text1"/>
          <w:sz w:val="22"/>
          <w:szCs w:val="22"/>
          <w:lang w:val="en-GB"/>
        </w:rPr>
        <w:t>[199 words]</w:t>
      </w:r>
    </w:p>
    <w:p w14:paraId="40E41776" w14:textId="77777777" w:rsidR="00C71760" w:rsidRDefault="00C71760">
      <w:pPr>
        <w:rPr>
          <w:rFonts w:asciiTheme="minorHAnsi" w:hAnsiTheme="minorHAnsi" w:cstheme="minorHAnsi"/>
          <w:b/>
          <w:bCs/>
          <w:color w:val="000000" w:themeColor="text1"/>
          <w:sz w:val="22"/>
          <w:szCs w:val="22"/>
          <w:lang w:val="en-GB"/>
        </w:rPr>
      </w:pPr>
    </w:p>
    <w:p w14:paraId="0491AB17" w14:textId="77777777" w:rsidR="0042750F" w:rsidRDefault="0042750F">
      <w:pPr>
        <w:rPr>
          <w:rFonts w:asciiTheme="minorHAnsi" w:hAnsiTheme="minorHAnsi" w:cstheme="minorHAnsi"/>
          <w:b/>
          <w:bCs/>
          <w:color w:val="000000" w:themeColor="text1"/>
          <w:sz w:val="22"/>
          <w:szCs w:val="22"/>
          <w:lang w:val="en-GB"/>
        </w:rPr>
      </w:pPr>
    </w:p>
    <w:p w14:paraId="63E72745" w14:textId="77777777" w:rsidR="0042750F" w:rsidRDefault="0042750F">
      <w:pPr>
        <w:rPr>
          <w:rFonts w:asciiTheme="minorHAnsi" w:hAnsiTheme="minorHAnsi" w:cstheme="minorHAnsi"/>
          <w:b/>
          <w:bCs/>
          <w:color w:val="000000" w:themeColor="text1"/>
          <w:sz w:val="22"/>
          <w:szCs w:val="22"/>
          <w:lang w:val="en-GB"/>
        </w:rPr>
      </w:pPr>
      <w:r>
        <w:rPr>
          <w:rFonts w:asciiTheme="minorHAnsi" w:hAnsiTheme="minorHAnsi" w:cstheme="minorHAnsi"/>
          <w:b/>
          <w:bCs/>
          <w:color w:val="000000" w:themeColor="text1"/>
          <w:sz w:val="22"/>
          <w:szCs w:val="22"/>
          <w:lang w:val="en-GB"/>
        </w:rPr>
        <w:t>KEY MESSAGES</w:t>
      </w:r>
    </w:p>
    <w:p w14:paraId="0BCDFA3D" w14:textId="21108B1C" w:rsidR="0042750F" w:rsidRPr="0054509B" w:rsidRDefault="0042750F" w:rsidP="0054509B">
      <w:pPr>
        <w:pStyle w:val="ListParagraph"/>
        <w:numPr>
          <w:ilvl w:val="0"/>
          <w:numId w:val="21"/>
        </w:numPr>
        <w:rPr>
          <w:rFonts w:asciiTheme="minorHAnsi" w:hAnsiTheme="minorHAnsi" w:cstheme="minorHAnsi"/>
          <w:color w:val="000000" w:themeColor="text1"/>
          <w:sz w:val="22"/>
          <w:szCs w:val="22"/>
          <w:lang w:val="en-GB"/>
        </w:rPr>
      </w:pPr>
      <w:r w:rsidRPr="0054509B">
        <w:rPr>
          <w:rFonts w:asciiTheme="minorHAnsi" w:hAnsiTheme="minorHAnsi" w:cstheme="minorHAnsi"/>
          <w:color w:val="000000" w:themeColor="text1"/>
          <w:sz w:val="22"/>
          <w:szCs w:val="22"/>
          <w:lang w:val="en-GB"/>
        </w:rPr>
        <w:t>Antimicrobial resistance</w:t>
      </w:r>
      <w:r w:rsidR="00787361">
        <w:rPr>
          <w:rFonts w:asciiTheme="minorHAnsi" w:hAnsiTheme="minorHAnsi" w:cstheme="minorHAnsi"/>
          <w:color w:val="000000" w:themeColor="text1"/>
          <w:sz w:val="22"/>
          <w:szCs w:val="22"/>
          <w:lang w:val="en-GB"/>
        </w:rPr>
        <w:t xml:space="preserve"> (AMR)</w:t>
      </w:r>
      <w:r w:rsidRPr="0054509B">
        <w:rPr>
          <w:rFonts w:asciiTheme="minorHAnsi" w:hAnsiTheme="minorHAnsi" w:cstheme="minorHAnsi"/>
          <w:color w:val="000000" w:themeColor="text1"/>
          <w:sz w:val="22"/>
          <w:szCs w:val="22"/>
          <w:lang w:val="en-GB"/>
        </w:rPr>
        <w:t xml:space="preserve"> is compromising health and development targets and innovation.</w:t>
      </w:r>
      <w:r w:rsidR="00E00877" w:rsidRPr="0054509B">
        <w:rPr>
          <w:rFonts w:asciiTheme="minorHAnsi" w:hAnsiTheme="minorHAnsi" w:cstheme="minorHAnsi"/>
          <w:color w:val="000000" w:themeColor="text1"/>
          <w:sz w:val="22"/>
          <w:szCs w:val="22"/>
          <w:lang w:val="en-GB"/>
        </w:rPr>
        <w:t xml:space="preserve"> Everyone is at risk </w:t>
      </w:r>
      <w:r w:rsidR="00943FCC">
        <w:rPr>
          <w:rFonts w:asciiTheme="minorHAnsi" w:hAnsiTheme="minorHAnsi" w:cstheme="minorHAnsi"/>
          <w:color w:val="000000" w:themeColor="text1"/>
          <w:sz w:val="22"/>
          <w:szCs w:val="22"/>
          <w:lang w:val="en-GB"/>
        </w:rPr>
        <w:t>but especially</w:t>
      </w:r>
      <w:r w:rsidR="00787361">
        <w:rPr>
          <w:rFonts w:asciiTheme="minorHAnsi" w:hAnsiTheme="minorHAnsi" w:cstheme="minorHAnsi"/>
          <w:color w:val="000000" w:themeColor="text1"/>
          <w:sz w:val="22"/>
          <w:szCs w:val="22"/>
          <w:lang w:val="en-GB"/>
        </w:rPr>
        <w:t xml:space="preserve"> </w:t>
      </w:r>
      <w:r w:rsidR="00E00877" w:rsidRPr="0054509B">
        <w:rPr>
          <w:rFonts w:asciiTheme="minorHAnsi" w:hAnsiTheme="minorHAnsi" w:cstheme="minorHAnsi"/>
          <w:color w:val="000000" w:themeColor="text1"/>
          <w:sz w:val="22"/>
          <w:szCs w:val="22"/>
          <w:lang w:val="en-GB"/>
        </w:rPr>
        <w:t>vulnerable</w:t>
      </w:r>
      <w:r w:rsidR="00787361">
        <w:rPr>
          <w:rFonts w:asciiTheme="minorHAnsi" w:hAnsiTheme="minorHAnsi" w:cstheme="minorHAnsi"/>
          <w:color w:val="000000" w:themeColor="text1"/>
          <w:sz w:val="22"/>
          <w:szCs w:val="22"/>
          <w:lang w:val="en-GB"/>
        </w:rPr>
        <w:t xml:space="preserve"> individuals and health systems</w:t>
      </w:r>
      <w:r w:rsidR="00E00877" w:rsidRPr="0054509B">
        <w:rPr>
          <w:rFonts w:asciiTheme="minorHAnsi" w:hAnsiTheme="minorHAnsi" w:cstheme="minorHAnsi"/>
          <w:color w:val="000000" w:themeColor="text1"/>
          <w:sz w:val="22"/>
          <w:szCs w:val="22"/>
          <w:lang w:val="en-GB"/>
        </w:rPr>
        <w:t>.</w:t>
      </w:r>
    </w:p>
    <w:p w14:paraId="4481784C" w14:textId="1A47C368" w:rsidR="00E00877" w:rsidRPr="0054509B" w:rsidRDefault="00943FCC" w:rsidP="0054509B">
      <w:pPr>
        <w:pStyle w:val="ListParagraph"/>
        <w:numPr>
          <w:ilvl w:val="0"/>
          <w:numId w:val="21"/>
        </w:num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R</w:t>
      </w:r>
      <w:r w:rsidR="00E00877" w:rsidRPr="0054509B">
        <w:rPr>
          <w:rFonts w:asciiTheme="minorHAnsi" w:hAnsiTheme="minorHAnsi" w:cstheme="minorHAnsi"/>
          <w:color w:val="000000" w:themeColor="text1"/>
          <w:sz w:val="22"/>
          <w:szCs w:val="22"/>
          <w:lang w:val="en-GB"/>
        </w:rPr>
        <w:t>ises in resistance among pathogens and indicator organisms in humans, animals, the food</w:t>
      </w:r>
      <w:r w:rsidR="006C3E8B">
        <w:rPr>
          <w:rFonts w:asciiTheme="minorHAnsi" w:hAnsiTheme="minorHAnsi" w:cstheme="minorHAnsi"/>
          <w:color w:val="000000" w:themeColor="text1"/>
          <w:sz w:val="22"/>
          <w:szCs w:val="22"/>
          <w:lang w:val="en-GB"/>
        </w:rPr>
        <w:t xml:space="preserve"> </w:t>
      </w:r>
      <w:r w:rsidR="00E00877" w:rsidRPr="0054509B">
        <w:rPr>
          <w:rFonts w:asciiTheme="minorHAnsi" w:hAnsiTheme="minorHAnsi" w:cstheme="minorHAnsi"/>
          <w:color w:val="000000" w:themeColor="text1"/>
          <w:sz w:val="22"/>
          <w:szCs w:val="22"/>
          <w:lang w:val="en-GB"/>
        </w:rPr>
        <w:t>chain</w:t>
      </w:r>
      <w:r>
        <w:rPr>
          <w:rFonts w:asciiTheme="minorHAnsi" w:hAnsiTheme="minorHAnsi" w:cstheme="minorHAnsi"/>
          <w:color w:val="000000" w:themeColor="text1"/>
          <w:sz w:val="22"/>
          <w:szCs w:val="22"/>
          <w:lang w:val="en-GB"/>
        </w:rPr>
        <w:t>,</w:t>
      </w:r>
      <w:r w:rsidR="00E00877" w:rsidRPr="0054509B">
        <w:rPr>
          <w:rFonts w:asciiTheme="minorHAnsi" w:hAnsiTheme="minorHAnsi" w:cstheme="minorHAnsi"/>
          <w:color w:val="000000" w:themeColor="text1"/>
          <w:sz w:val="22"/>
          <w:szCs w:val="22"/>
          <w:lang w:val="en-GB"/>
        </w:rPr>
        <w:t xml:space="preserve"> and the environment</w:t>
      </w:r>
      <w:r w:rsidR="00E00877">
        <w:rPr>
          <w:rFonts w:asciiTheme="minorHAnsi" w:hAnsiTheme="minorHAnsi" w:cstheme="minorHAnsi"/>
          <w:color w:val="000000" w:themeColor="text1"/>
          <w:sz w:val="22"/>
          <w:szCs w:val="22"/>
          <w:lang w:val="en-GB"/>
        </w:rPr>
        <w:t xml:space="preserve"> </w:t>
      </w:r>
      <w:r w:rsidR="00787361">
        <w:rPr>
          <w:rFonts w:asciiTheme="minorHAnsi" w:hAnsiTheme="minorHAnsi" w:cstheme="minorHAnsi"/>
          <w:color w:val="000000" w:themeColor="text1"/>
          <w:sz w:val="22"/>
          <w:szCs w:val="22"/>
          <w:lang w:val="en-GB"/>
        </w:rPr>
        <w:t xml:space="preserve">have been documented in the </w:t>
      </w:r>
      <w:r>
        <w:rPr>
          <w:rFonts w:asciiTheme="minorHAnsi" w:hAnsiTheme="minorHAnsi" w:cstheme="minorHAnsi"/>
          <w:color w:val="000000" w:themeColor="text1"/>
          <w:sz w:val="22"/>
          <w:szCs w:val="22"/>
          <w:lang w:val="en-GB"/>
        </w:rPr>
        <w:t>p</w:t>
      </w:r>
      <w:r w:rsidR="00787361">
        <w:rPr>
          <w:rFonts w:asciiTheme="minorHAnsi" w:hAnsiTheme="minorHAnsi" w:cstheme="minorHAnsi"/>
          <w:color w:val="000000" w:themeColor="text1"/>
          <w:sz w:val="22"/>
          <w:szCs w:val="22"/>
          <w:lang w:val="en-GB"/>
        </w:rPr>
        <w:t>ast two decades</w:t>
      </w:r>
      <w:r w:rsidR="00E00877" w:rsidRPr="0054509B">
        <w:rPr>
          <w:rFonts w:asciiTheme="minorHAnsi" w:hAnsiTheme="minorHAnsi" w:cstheme="minorHAnsi"/>
          <w:color w:val="000000" w:themeColor="text1"/>
          <w:sz w:val="22"/>
          <w:szCs w:val="22"/>
          <w:lang w:val="en-GB"/>
        </w:rPr>
        <w:t>.</w:t>
      </w:r>
    </w:p>
    <w:p w14:paraId="20126C78" w14:textId="4259EBF3" w:rsidR="00E00877" w:rsidRDefault="00EB386B" w:rsidP="00E00877">
      <w:pPr>
        <w:pStyle w:val="ListParagraph"/>
        <w:numPr>
          <w:ilvl w:val="0"/>
          <w:numId w:val="21"/>
        </w:num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w:t>
      </w:r>
      <w:r w:rsidR="00E00877" w:rsidRPr="0054509B">
        <w:rPr>
          <w:rFonts w:asciiTheme="minorHAnsi" w:hAnsiTheme="minorHAnsi" w:cstheme="minorHAnsi"/>
          <w:color w:val="000000" w:themeColor="text1"/>
          <w:sz w:val="22"/>
          <w:szCs w:val="22"/>
          <w:lang w:val="en-GB"/>
        </w:rPr>
        <w:t>ntimicrobial</w:t>
      </w:r>
      <w:r>
        <w:rPr>
          <w:rFonts w:asciiTheme="minorHAnsi" w:hAnsiTheme="minorHAnsi" w:cstheme="minorHAnsi"/>
          <w:color w:val="000000" w:themeColor="text1"/>
          <w:sz w:val="22"/>
          <w:szCs w:val="22"/>
          <w:lang w:val="en-GB"/>
        </w:rPr>
        <w:t xml:space="preserve"> use</w:t>
      </w:r>
      <w:r w:rsidR="00E00877" w:rsidRPr="0054509B">
        <w:rPr>
          <w:rFonts w:asciiTheme="minorHAnsi" w:hAnsiTheme="minorHAnsi" w:cstheme="minorHAnsi"/>
          <w:color w:val="000000" w:themeColor="text1"/>
          <w:sz w:val="22"/>
          <w:szCs w:val="22"/>
          <w:lang w:val="en-GB"/>
        </w:rPr>
        <w:t xml:space="preserve"> in medicine and agriculture</w:t>
      </w:r>
      <w:r w:rsidR="00787361">
        <w:rPr>
          <w:rFonts w:asciiTheme="minorHAnsi" w:hAnsiTheme="minorHAnsi" w:cstheme="minorHAnsi"/>
          <w:color w:val="000000" w:themeColor="text1"/>
          <w:sz w:val="22"/>
          <w:szCs w:val="22"/>
          <w:lang w:val="en-GB"/>
        </w:rPr>
        <w:t>, the selective force for resistance,</w:t>
      </w:r>
      <w:r w:rsidR="00E00877" w:rsidRPr="0054509B">
        <w:rPr>
          <w:rFonts w:asciiTheme="minorHAnsi" w:hAnsiTheme="minorHAnsi" w:cstheme="minorHAnsi"/>
          <w:color w:val="000000" w:themeColor="text1"/>
          <w:sz w:val="22"/>
          <w:szCs w:val="22"/>
          <w:lang w:val="en-GB"/>
        </w:rPr>
        <w:t xml:space="preserve"> is insufficiently documented</w:t>
      </w:r>
      <w:r w:rsidR="003117AD">
        <w:rPr>
          <w:rFonts w:asciiTheme="minorHAnsi" w:hAnsiTheme="minorHAnsi" w:cstheme="minorHAnsi"/>
          <w:color w:val="000000" w:themeColor="text1"/>
          <w:sz w:val="22"/>
          <w:szCs w:val="22"/>
          <w:lang w:val="en-GB"/>
        </w:rPr>
        <w:t>,</w:t>
      </w:r>
      <w:r w:rsidR="00787361">
        <w:rPr>
          <w:rFonts w:asciiTheme="minorHAnsi" w:hAnsiTheme="minorHAnsi" w:cstheme="minorHAnsi"/>
          <w:color w:val="000000" w:themeColor="text1"/>
          <w:sz w:val="22"/>
          <w:szCs w:val="22"/>
          <w:lang w:val="en-GB"/>
        </w:rPr>
        <w:t xml:space="preserve"> as are resistance rates, trends</w:t>
      </w:r>
      <w:r w:rsidR="0094280A">
        <w:rPr>
          <w:rFonts w:asciiTheme="minorHAnsi" w:hAnsiTheme="minorHAnsi" w:cstheme="minorHAnsi"/>
          <w:color w:val="000000" w:themeColor="text1"/>
          <w:sz w:val="22"/>
          <w:szCs w:val="22"/>
          <w:lang w:val="en-GB"/>
        </w:rPr>
        <w:t>,</w:t>
      </w:r>
      <w:r w:rsidR="00787361">
        <w:rPr>
          <w:rFonts w:asciiTheme="minorHAnsi" w:hAnsiTheme="minorHAnsi" w:cstheme="minorHAnsi"/>
          <w:color w:val="000000" w:themeColor="text1"/>
          <w:sz w:val="22"/>
          <w:szCs w:val="22"/>
          <w:lang w:val="en-GB"/>
        </w:rPr>
        <w:t xml:space="preserve"> and burden</w:t>
      </w:r>
      <w:r w:rsidR="00E00877" w:rsidRPr="0066136A">
        <w:rPr>
          <w:rFonts w:asciiTheme="minorHAnsi" w:hAnsiTheme="minorHAnsi" w:cstheme="minorHAnsi"/>
          <w:color w:val="000000" w:themeColor="text1"/>
          <w:sz w:val="22"/>
          <w:szCs w:val="22"/>
          <w:lang w:val="en-GB"/>
        </w:rPr>
        <w:t>.</w:t>
      </w:r>
      <w:r w:rsidR="0066136A">
        <w:rPr>
          <w:rFonts w:asciiTheme="minorHAnsi" w:hAnsiTheme="minorHAnsi" w:cstheme="minorHAnsi"/>
          <w:color w:val="000000" w:themeColor="text1"/>
          <w:sz w:val="22"/>
          <w:szCs w:val="22"/>
          <w:lang w:val="en-GB"/>
        </w:rPr>
        <w:t xml:space="preserve"> </w:t>
      </w:r>
    </w:p>
    <w:p w14:paraId="56D13E2F" w14:textId="12B56866" w:rsidR="00E00877" w:rsidRPr="00505C2B" w:rsidRDefault="00943FCC" w:rsidP="00E00877">
      <w:pPr>
        <w:pStyle w:val="ListParagraph"/>
        <w:numPr>
          <w:ilvl w:val="0"/>
          <w:numId w:val="21"/>
        </w:num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w:t>
      </w:r>
      <w:r w:rsidR="00E00877" w:rsidRPr="00505C2B">
        <w:rPr>
          <w:rFonts w:asciiTheme="minorHAnsi" w:hAnsiTheme="minorHAnsi" w:cstheme="minorHAnsi"/>
          <w:color w:val="000000" w:themeColor="text1"/>
          <w:sz w:val="22"/>
          <w:szCs w:val="22"/>
          <w:lang w:val="en-GB"/>
        </w:rPr>
        <w:t xml:space="preserve">iagnostics that </w:t>
      </w:r>
      <w:r w:rsidR="00787361">
        <w:rPr>
          <w:rFonts w:asciiTheme="minorHAnsi" w:hAnsiTheme="minorHAnsi" w:cstheme="minorHAnsi"/>
          <w:color w:val="000000" w:themeColor="text1"/>
          <w:sz w:val="22"/>
          <w:szCs w:val="22"/>
          <w:lang w:val="en-GB"/>
        </w:rPr>
        <w:t xml:space="preserve">determine when </w:t>
      </w:r>
      <w:r w:rsidR="003117AD">
        <w:rPr>
          <w:rFonts w:asciiTheme="minorHAnsi" w:hAnsiTheme="minorHAnsi" w:cstheme="minorHAnsi"/>
          <w:color w:val="000000" w:themeColor="text1"/>
          <w:sz w:val="22"/>
          <w:szCs w:val="22"/>
          <w:lang w:val="en-GB"/>
        </w:rPr>
        <w:t>antibiotics</w:t>
      </w:r>
      <w:r w:rsidR="00787361">
        <w:rPr>
          <w:rFonts w:asciiTheme="minorHAnsi" w:hAnsiTheme="minorHAnsi" w:cstheme="minorHAnsi"/>
          <w:color w:val="000000" w:themeColor="text1"/>
          <w:sz w:val="22"/>
          <w:szCs w:val="22"/>
          <w:lang w:val="en-GB"/>
        </w:rPr>
        <w:t xml:space="preserve"> are needed</w:t>
      </w:r>
      <w:r w:rsidR="003117AD">
        <w:rPr>
          <w:rFonts w:asciiTheme="minorHAnsi" w:hAnsiTheme="minorHAnsi" w:cstheme="minorHAnsi"/>
          <w:color w:val="000000" w:themeColor="text1"/>
          <w:sz w:val="22"/>
          <w:szCs w:val="22"/>
          <w:lang w:val="en-GB"/>
        </w:rPr>
        <w:t>,</w:t>
      </w:r>
      <w:r w:rsidR="00787361">
        <w:rPr>
          <w:rFonts w:asciiTheme="minorHAnsi" w:hAnsiTheme="minorHAnsi" w:cstheme="minorHAnsi"/>
          <w:color w:val="000000" w:themeColor="text1"/>
          <w:sz w:val="22"/>
          <w:szCs w:val="22"/>
          <w:lang w:val="en-GB"/>
        </w:rPr>
        <w:t xml:space="preserve"> and </w:t>
      </w:r>
      <w:r w:rsidR="00EA6EE5">
        <w:rPr>
          <w:rFonts w:asciiTheme="minorHAnsi" w:hAnsiTheme="minorHAnsi" w:cstheme="minorHAnsi"/>
          <w:color w:val="000000" w:themeColor="text1"/>
          <w:sz w:val="22"/>
          <w:szCs w:val="22"/>
          <w:lang w:val="en-GB"/>
        </w:rPr>
        <w:t>provide</w:t>
      </w:r>
      <w:r w:rsidR="00E00877" w:rsidRPr="00505C2B">
        <w:rPr>
          <w:rFonts w:asciiTheme="minorHAnsi" w:hAnsiTheme="minorHAnsi" w:cstheme="minorHAnsi"/>
          <w:color w:val="000000" w:themeColor="text1"/>
          <w:sz w:val="22"/>
          <w:szCs w:val="22"/>
          <w:lang w:val="en-GB"/>
        </w:rPr>
        <w:t xml:space="preserve"> </w:t>
      </w:r>
      <w:r w:rsidR="0094280A">
        <w:rPr>
          <w:rFonts w:asciiTheme="minorHAnsi" w:hAnsiTheme="minorHAnsi" w:cstheme="minorHAnsi"/>
          <w:color w:val="000000" w:themeColor="text1"/>
          <w:sz w:val="22"/>
          <w:szCs w:val="22"/>
          <w:lang w:val="en-GB"/>
        </w:rPr>
        <w:t>AMR</w:t>
      </w:r>
      <w:r w:rsidR="00E00877" w:rsidRPr="00505C2B">
        <w:rPr>
          <w:rFonts w:asciiTheme="minorHAnsi" w:hAnsiTheme="minorHAnsi" w:cstheme="minorHAnsi"/>
          <w:color w:val="000000" w:themeColor="text1"/>
          <w:sz w:val="22"/>
          <w:szCs w:val="22"/>
          <w:lang w:val="en-GB"/>
        </w:rPr>
        <w:t xml:space="preserve"> information</w:t>
      </w:r>
      <w:r w:rsidR="003117AD">
        <w:rPr>
          <w:rFonts w:asciiTheme="minorHAnsi" w:hAnsiTheme="minorHAnsi" w:cstheme="minorHAnsi"/>
          <w:color w:val="000000" w:themeColor="text1"/>
          <w:sz w:val="22"/>
          <w:szCs w:val="22"/>
          <w:lang w:val="en-GB"/>
        </w:rPr>
        <w:t>,</w:t>
      </w:r>
      <w:r w:rsidR="00E00877" w:rsidRPr="00505C2B">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are</w:t>
      </w:r>
      <w:r w:rsidRPr="00505C2B">
        <w:rPr>
          <w:rFonts w:asciiTheme="minorHAnsi" w:hAnsiTheme="minorHAnsi" w:cstheme="minorHAnsi"/>
          <w:color w:val="000000" w:themeColor="text1"/>
          <w:sz w:val="22"/>
          <w:szCs w:val="22"/>
          <w:lang w:val="en-GB"/>
        </w:rPr>
        <w:t xml:space="preserve"> </w:t>
      </w:r>
      <w:r w:rsidR="00E00877" w:rsidRPr="00505C2B">
        <w:rPr>
          <w:rFonts w:asciiTheme="minorHAnsi" w:hAnsiTheme="minorHAnsi" w:cstheme="minorHAnsi"/>
          <w:color w:val="000000" w:themeColor="text1"/>
          <w:sz w:val="22"/>
          <w:szCs w:val="22"/>
          <w:lang w:val="en-GB"/>
        </w:rPr>
        <w:t>essential for enhancing patient care and informing the public health response.</w:t>
      </w:r>
    </w:p>
    <w:p w14:paraId="306A75F2" w14:textId="5472BF82" w:rsidR="00787361" w:rsidRPr="0066136A" w:rsidRDefault="00943FCC" w:rsidP="0066136A">
      <w:pPr>
        <w:pStyle w:val="ListParagraph"/>
        <w:numPr>
          <w:ilvl w:val="0"/>
          <w:numId w:val="21"/>
        </w:num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R</w:t>
      </w:r>
      <w:r w:rsidR="00E00877">
        <w:rPr>
          <w:rFonts w:asciiTheme="minorHAnsi" w:hAnsiTheme="minorHAnsi" w:cstheme="minorHAnsi"/>
          <w:color w:val="000000" w:themeColor="text1"/>
          <w:sz w:val="22"/>
          <w:szCs w:val="22"/>
          <w:lang w:val="en-GB"/>
        </w:rPr>
        <w:t xml:space="preserve">esistant organisms </w:t>
      </w:r>
      <w:r w:rsidR="00DB5408">
        <w:rPr>
          <w:rFonts w:asciiTheme="minorHAnsi" w:hAnsiTheme="minorHAnsi" w:cstheme="minorHAnsi"/>
          <w:color w:val="000000" w:themeColor="text1"/>
          <w:sz w:val="22"/>
          <w:szCs w:val="22"/>
          <w:lang w:val="en-GB"/>
        </w:rPr>
        <w:t xml:space="preserve">often </w:t>
      </w:r>
      <w:r w:rsidR="00E00877">
        <w:rPr>
          <w:rFonts w:asciiTheme="minorHAnsi" w:hAnsiTheme="minorHAnsi" w:cstheme="minorHAnsi"/>
          <w:color w:val="000000" w:themeColor="text1"/>
          <w:sz w:val="22"/>
          <w:szCs w:val="22"/>
          <w:lang w:val="en-GB"/>
        </w:rPr>
        <w:t xml:space="preserve">disseminate through </w:t>
      </w:r>
      <w:r w:rsidR="00DB5408">
        <w:rPr>
          <w:rFonts w:asciiTheme="minorHAnsi" w:hAnsiTheme="minorHAnsi" w:cstheme="minorHAnsi"/>
          <w:color w:val="000000" w:themeColor="text1"/>
          <w:sz w:val="22"/>
          <w:szCs w:val="22"/>
          <w:lang w:val="en-GB"/>
        </w:rPr>
        <w:t xml:space="preserve">anthropomorphic </w:t>
      </w:r>
      <w:r w:rsidR="00E00877">
        <w:rPr>
          <w:rFonts w:asciiTheme="minorHAnsi" w:hAnsiTheme="minorHAnsi" w:cstheme="minorHAnsi"/>
          <w:color w:val="000000" w:themeColor="text1"/>
          <w:sz w:val="22"/>
          <w:szCs w:val="22"/>
          <w:lang w:val="en-GB"/>
        </w:rPr>
        <w:t xml:space="preserve">pathways </w:t>
      </w:r>
      <w:r w:rsidR="00787361">
        <w:rPr>
          <w:rFonts w:asciiTheme="minorHAnsi" w:hAnsiTheme="minorHAnsi" w:cstheme="minorHAnsi"/>
          <w:color w:val="000000" w:themeColor="text1"/>
          <w:sz w:val="22"/>
          <w:szCs w:val="22"/>
          <w:lang w:val="en-GB"/>
        </w:rPr>
        <w:t xml:space="preserve">and can include non-human and inanimate </w:t>
      </w:r>
      <w:r w:rsidR="00EB386B">
        <w:rPr>
          <w:rFonts w:asciiTheme="minorHAnsi" w:hAnsiTheme="minorHAnsi" w:cstheme="minorHAnsi"/>
          <w:color w:val="000000" w:themeColor="text1"/>
          <w:sz w:val="22"/>
          <w:szCs w:val="22"/>
          <w:lang w:val="en-GB"/>
        </w:rPr>
        <w:t>intermediaries</w:t>
      </w:r>
      <w:r w:rsidR="00C71760">
        <w:rPr>
          <w:rFonts w:asciiTheme="minorHAnsi" w:hAnsiTheme="minorHAnsi" w:cstheme="minorHAnsi"/>
          <w:color w:val="000000" w:themeColor="text1"/>
          <w:sz w:val="22"/>
          <w:szCs w:val="22"/>
          <w:lang w:val="en-GB"/>
        </w:rPr>
        <w:t xml:space="preserve">. </w:t>
      </w:r>
      <w:r w:rsidR="00787361">
        <w:rPr>
          <w:rFonts w:asciiTheme="minorHAnsi" w:hAnsiTheme="minorHAnsi" w:cstheme="minorHAnsi"/>
          <w:color w:val="000000" w:themeColor="text1"/>
          <w:sz w:val="22"/>
          <w:szCs w:val="22"/>
          <w:lang w:val="en-GB"/>
        </w:rPr>
        <w:t>Disseminated resistant microbial lineages endanger</w:t>
      </w:r>
      <w:r w:rsidR="00E00877">
        <w:rPr>
          <w:rFonts w:asciiTheme="minorHAnsi" w:hAnsiTheme="minorHAnsi" w:cstheme="minorHAnsi"/>
          <w:color w:val="000000" w:themeColor="text1"/>
          <w:sz w:val="22"/>
          <w:szCs w:val="22"/>
          <w:lang w:val="en-GB"/>
        </w:rPr>
        <w:t xml:space="preserve"> many more people</w:t>
      </w:r>
      <w:r w:rsidR="00EA6EE5">
        <w:rPr>
          <w:rFonts w:asciiTheme="minorHAnsi" w:hAnsiTheme="minorHAnsi" w:cstheme="minorHAnsi"/>
          <w:color w:val="000000" w:themeColor="text1"/>
          <w:sz w:val="22"/>
          <w:szCs w:val="22"/>
          <w:lang w:val="en-GB"/>
        </w:rPr>
        <w:t xml:space="preserve"> and</w:t>
      </w:r>
      <w:r w:rsidR="00C71760">
        <w:rPr>
          <w:rFonts w:asciiTheme="minorHAnsi" w:hAnsiTheme="minorHAnsi" w:cstheme="minorHAnsi"/>
          <w:color w:val="000000" w:themeColor="text1"/>
          <w:sz w:val="22"/>
          <w:szCs w:val="22"/>
          <w:lang w:val="en-GB"/>
        </w:rPr>
        <w:t xml:space="preserve"> </w:t>
      </w:r>
      <w:r w:rsidR="00787361">
        <w:rPr>
          <w:rFonts w:asciiTheme="minorHAnsi" w:hAnsiTheme="minorHAnsi" w:cstheme="minorHAnsi"/>
          <w:color w:val="000000" w:themeColor="text1"/>
          <w:sz w:val="22"/>
          <w:szCs w:val="22"/>
          <w:lang w:val="en-GB"/>
        </w:rPr>
        <w:t xml:space="preserve">can </w:t>
      </w:r>
      <w:r w:rsidR="00C71760">
        <w:rPr>
          <w:rFonts w:asciiTheme="minorHAnsi" w:hAnsiTheme="minorHAnsi" w:cstheme="minorHAnsi"/>
          <w:color w:val="000000" w:themeColor="text1"/>
          <w:sz w:val="22"/>
          <w:szCs w:val="22"/>
          <w:lang w:val="en-GB"/>
        </w:rPr>
        <w:t xml:space="preserve">become entrenched </w:t>
      </w:r>
      <w:r w:rsidR="00787361">
        <w:rPr>
          <w:rFonts w:asciiTheme="minorHAnsi" w:hAnsiTheme="minorHAnsi" w:cstheme="minorHAnsi"/>
          <w:color w:val="000000" w:themeColor="text1"/>
          <w:sz w:val="22"/>
          <w:szCs w:val="22"/>
          <w:lang w:val="en-GB"/>
        </w:rPr>
        <w:t>in healthcare facilities</w:t>
      </w:r>
      <w:r w:rsidR="00EB386B">
        <w:rPr>
          <w:rFonts w:asciiTheme="minorHAnsi" w:hAnsiTheme="minorHAnsi" w:cstheme="minorHAnsi"/>
          <w:color w:val="000000" w:themeColor="text1"/>
          <w:sz w:val="22"/>
          <w:szCs w:val="22"/>
          <w:lang w:val="en-GB"/>
        </w:rPr>
        <w:t xml:space="preserve">, in </w:t>
      </w:r>
      <w:r w:rsidR="00787361">
        <w:rPr>
          <w:rFonts w:asciiTheme="minorHAnsi" w:hAnsiTheme="minorHAnsi" w:cstheme="minorHAnsi"/>
          <w:color w:val="000000" w:themeColor="text1"/>
          <w:sz w:val="22"/>
          <w:szCs w:val="22"/>
          <w:lang w:val="en-GB"/>
        </w:rPr>
        <w:t>the community</w:t>
      </w:r>
      <w:r w:rsidR="00DB5408">
        <w:rPr>
          <w:rFonts w:asciiTheme="minorHAnsi" w:hAnsiTheme="minorHAnsi" w:cstheme="minorHAnsi"/>
          <w:color w:val="000000" w:themeColor="text1"/>
          <w:sz w:val="22"/>
          <w:szCs w:val="22"/>
          <w:lang w:val="en-GB"/>
        </w:rPr>
        <w:t>,</w:t>
      </w:r>
      <w:r w:rsidR="00EB386B">
        <w:rPr>
          <w:rFonts w:asciiTheme="minorHAnsi" w:hAnsiTheme="minorHAnsi" w:cstheme="minorHAnsi"/>
          <w:color w:val="000000" w:themeColor="text1"/>
          <w:sz w:val="22"/>
          <w:szCs w:val="22"/>
          <w:lang w:val="en-GB"/>
        </w:rPr>
        <w:t xml:space="preserve"> and across food chains</w:t>
      </w:r>
      <w:r w:rsidR="00787361">
        <w:rPr>
          <w:rFonts w:asciiTheme="minorHAnsi" w:hAnsiTheme="minorHAnsi" w:cstheme="minorHAnsi"/>
          <w:color w:val="000000" w:themeColor="text1"/>
          <w:sz w:val="22"/>
          <w:szCs w:val="22"/>
          <w:lang w:val="en-GB"/>
        </w:rPr>
        <w:t>.</w:t>
      </w:r>
      <w:r w:rsidR="00DB5408">
        <w:rPr>
          <w:rFonts w:asciiTheme="minorHAnsi" w:hAnsiTheme="minorHAnsi" w:cstheme="minorHAnsi"/>
          <w:color w:val="000000" w:themeColor="text1"/>
          <w:sz w:val="22"/>
          <w:szCs w:val="22"/>
          <w:lang w:val="en-GB"/>
        </w:rPr>
        <w:t xml:space="preserve"> These</w:t>
      </w:r>
      <w:r w:rsidR="00EB386B">
        <w:rPr>
          <w:rFonts w:asciiTheme="minorHAnsi" w:hAnsiTheme="minorHAnsi" w:cstheme="minorHAnsi"/>
          <w:color w:val="000000" w:themeColor="text1"/>
          <w:sz w:val="22"/>
          <w:szCs w:val="22"/>
          <w:lang w:val="en-GB"/>
        </w:rPr>
        <w:t xml:space="preserve"> lineages</w:t>
      </w:r>
      <w:r w:rsidR="00787361">
        <w:rPr>
          <w:rFonts w:asciiTheme="minorHAnsi" w:hAnsiTheme="minorHAnsi" w:cstheme="minorHAnsi"/>
          <w:color w:val="000000" w:themeColor="text1"/>
          <w:sz w:val="22"/>
          <w:szCs w:val="22"/>
          <w:lang w:val="en-GB"/>
        </w:rPr>
        <w:t xml:space="preserve"> </w:t>
      </w:r>
      <w:r w:rsidR="00C71760">
        <w:rPr>
          <w:rFonts w:asciiTheme="minorHAnsi" w:hAnsiTheme="minorHAnsi" w:cstheme="minorHAnsi"/>
          <w:color w:val="000000" w:themeColor="text1"/>
          <w:sz w:val="22"/>
          <w:szCs w:val="22"/>
          <w:lang w:val="en-GB"/>
        </w:rPr>
        <w:t xml:space="preserve">spread </w:t>
      </w:r>
      <w:r w:rsidR="00787361">
        <w:rPr>
          <w:rFonts w:asciiTheme="minorHAnsi" w:hAnsiTheme="minorHAnsi" w:cstheme="minorHAnsi"/>
          <w:color w:val="000000" w:themeColor="text1"/>
          <w:sz w:val="22"/>
          <w:szCs w:val="22"/>
          <w:lang w:val="en-GB"/>
        </w:rPr>
        <w:t xml:space="preserve">in facilities across the world </w:t>
      </w:r>
      <w:r w:rsidR="00E00877">
        <w:rPr>
          <w:rFonts w:asciiTheme="minorHAnsi" w:hAnsiTheme="minorHAnsi" w:cstheme="minorHAnsi"/>
          <w:color w:val="000000" w:themeColor="text1"/>
          <w:sz w:val="22"/>
          <w:szCs w:val="22"/>
          <w:lang w:val="en-GB"/>
        </w:rPr>
        <w:t>unless detected</w:t>
      </w:r>
      <w:r w:rsidR="00C71760">
        <w:rPr>
          <w:rFonts w:asciiTheme="minorHAnsi" w:hAnsiTheme="minorHAnsi" w:cstheme="minorHAnsi"/>
          <w:color w:val="000000" w:themeColor="text1"/>
          <w:sz w:val="22"/>
          <w:szCs w:val="22"/>
          <w:lang w:val="en-GB"/>
        </w:rPr>
        <w:t xml:space="preserve"> quickly</w:t>
      </w:r>
      <w:r w:rsidR="00E00877">
        <w:rPr>
          <w:rFonts w:asciiTheme="minorHAnsi" w:hAnsiTheme="minorHAnsi" w:cstheme="minorHAnsi"/>
          <w:color w:val="000000" w:themeColor="text1"/>
          <w:sz w:val="22"/>
          <w:szCs w:val="22"/>
          <w:lang w:val="en-GB"/>
        </w:rPr>
        <w:t xml:space="preserve"> and stopped through infection prevention and control. </w:t>
      </w:r>
    </w:p>
    <w:p w14:paraId="6BB19CD0" w14:textId="5129CFBE" w:rsidR="00E00877" w:rsidRPr="0066136A" w:rsidRDefault="00E00877" w:rsidP="0066136A">
      <w:pPr>
        <w:pStyle w:val="ListParagraph"/>
        <w:numPr>
          <w:ilvl w:val="0"/>
          <w:numId w:val="21"/>
        </w:numPr>
        <w:rPr>
          <w:rFonts w:asciiTheme="minorHAnsi" w:hAnsiTheme="minorHAnsi" w:cstheme="minorHAnsi"/>
          <w:color w:val="000000" w:themeColor="text1"/>
          <w:sz w:val="22"/>
          <w:szCs w:val="22"/>
          <w:lang w:val="en-GB"/>
        </w:rPr>
      </w:pPr>
      <w:r w:rsidRPr="0066136A">
        <w:rPr>
          <w:rFonts w:asciiTheme="minorHAnsi" w:hAnsiTheme="minorHAnsi" w:cstheme="minorHAnsi"/>
          <w:color w:val="000000" w:themeColor="text1"/>
          <w:sz w:val="22"/>
          <w:szCs w:val="22"/>
          <w:lang w:val="en-GB"/>
        </w:rPr>
        <w:t xml:space="preserve">Every country </w:t>
      </w:r>
      <w:r w:rsidR="00DB5408">
        <w:rPr>
          <w:rFonts w:asciiTheme="minorHAnsi" w:hAnsiTheme="minorHAnsi" w:cstheme="minorHAnsi"/>
          <w:color w:val="000000" w:themeColor="text1"/>
          <w:sz w:val="22"/>
          <w:szCs w:val="22"/>
          <w:lang w:val="en-GB"/>
        </w:rPr>
        <w:t>needs</w:t>
      </w:r>
      <w:r w:rsidRPr="0066136A">
        <w:rPr>
          <w:rFonts w:asciiTheme="minorHAnsi" w:hAnsiTheme="minorHAnsi" w:cstheme="minorHAnsi"/>
          <w:color w:val="000000" w:themeColor="text1"/>
          <w:sz w:val="22"/>
          <w:szCs w:val="22"/>
          <w:lang w:val="en-GB"/>
        </w:rPr>
        <w:t xml:space="preserve"> a surveillance system </w:t>
      </w:r>
      <w:r w:rsidR="00DB5408">
        <w:rPr>
          <w:rFonts w:asciiTheme="minorHAnsi" w:hAnsiTheme="minorHAnsi" w:cstheme="minorHAnsi"/>
          <w:color w:val="000000" w:themeColor="text1"/>
          <w:sz w:val="22"/>
          <w:szCs w:val="22"/>
          <w:lang w:val="en-GB"/>
        </w:rPr>
        <w:t>to track</w:t>
      </w:r>
      <w:r w:rsidRPr="0066136A">
        <w:rPr>
          <w:rFonts w:asciiTheme="minorHAnsi" w:hAnsiTheme="minorHAnsi" w:cstheme="minorHAnsi"/>
          <w:color w:val="000000" w:themeColor="text1"/>
          <w:sz w:val="22"/>
          <w:szCs w:val="22"/>
          <w:lang w:val="en-GB"/>
        </w:rPr>
        <w:t xml:space="preserve"> antimicrobial resistance and use</w:t>
      </w:r>
      <w:r w:rsidR="00C71760">
        <w:rPr>
          <w:rFonts w:asciiTheme="minorHAnsi" w:hAnsiTheme="minorHAnsi" w:cstheme="minorHAnsi"/>
          <w:color w:val="000000" w:themeColor="text1"/>
          <w:sz w:val="22"/>
          <w:szCs w:val="22"/>
          <w:lang w:val="en-GB"/>
        </w:rPr>
        <w:t xml:space="preserve"> and </w:t>
      </w:r>
      <w:r w:rsidR="00DB5408">
        <w:rPr>
          <w:rFonts w:asciiTheme="minorHAnsi" w:hAnsiTheme="minorHAnsi" w:cstheme="minorHAnsi"/>
          <w:color w:val="000000" w:themeColor="text1"/>
          <w:sz w:val="22"/>
          <w:szCs w:val="22"/>
          <w:lang w:val="en-GB"/>
        </w:rPr>
        <w:t xml:space="preserve">must </w:t>
      </w:r>
      <w:r w:rsidR="00C71760">
        <w:rPr>
          <w:rFonts w:asciiTheme="minorHAnsi" w:hAnsiTheme="minorHAnsi" w:cstheme="minorHAnsi"/>
          <w:color w:val="000000" w:themeColor="text1"/>
          <w:sz w:val="22"/>
          <w:szCs w:val="22"/>
          <w:lang w:val="en-GB"/>
        </w:rPr>
        <w:t>evaluate interventions to contain them.</w:t>
      </w:r>
    </w:p>
    <w:p w14:paraId="414A3D3D" w14:textId="3EA31A6F" w:rsidR="00897CAA" w:rsidRDefault="00897CAA">
      <w:pPr>
        <w:rPr>
          <w:rFonts w:asciiTheme="minorHAnsi" w:hAnsiTheme="minorHAnsi" w:cstheme="minorHAnsi"/>
          <w:b/>
          <w:bCs/>
          <w:color w:val="000000" w:themeColor="text1"/>
          <w:sz w:val="22"/>
          <w:szCs w:val="22"/>
          <w:lang w:val="en-GB"/>
        </w:rPr>
      </w:pPr>
      <w:r>
        <w:rPr>
          <w:rFonts w:asciiTheme="minorHAnsi" w:hAnsiTheme="minorHAnsi" w:cstheme="minorHAnsi"/>
          <w:b/>
          <w:bCs/>
          <w:color w:val="000000" w:themeColor="text1"/>
          <w:sz w:val="22"/>
          <w:szCs w:val="22"/>
          <w:lang w:val="en-GB"/>
        </w:rPr>
        <w:br w:type="page"/>
      </w:r>
    </w:p>
    <w:p w14:paraId="4FC699FA" w14:textId="3DDC2522" w:rsidR="001C6620" w:rsidRPr="00C37A4D" w:rsidRDefault="00C45E50" w:rsidP="004D20C7">
      <w:pPr>
        <w:rPr>
          <w:rFonts w:asciiTheme="minorHAnsi" w:hAnsiTheme="minorHAnsi" w:cstheme="minorHAnsi"/>
          <w:color w:val="000000" w:themeColor="text1"/>
          <w:sz w:val="22"/>
          <w:szCs w:val="22"/>
          <w:lang w:val="en-GB"/>
        </w:rPr>
      </w:pPr>
      <w:r w:rsidRPr="00C37A4D">
        <w:rPr>
          <w:rFonts w:asciiTheme="minorHAnsi" w:hAnsiTheme="minorHAnsi" w:cstheme="minorHAnsi"/>
          <w:b/>
          <w:bCs/>
          <w:color w:val="000000" w:themeColor="text1"/>
          <w:sz w:val="22"/>
          <w:szCs w:val="22"/>
          <w:lang w:val="en-GB"/>
        </w:rPr>
        <w:lastRenderedPageBreak/>
        <w:t>INTRODUCTION</w:t>
      </w:r>
    </w:p>
    <w:p w14:paraId="0B2BC659" w14:textId="4635A58E" w:rsidR="001C0420" w:rsidRDefault="00AE6DF2" w:rsidP="00594527">
      <w:pPr>
        <w:rPr>
          <w:rFonts w:asciiTheme="minorHAnsi" w:hAnsiTheme="minorHAnsi" w:cstheme="minorHAnsi"/>
          <w:bCs/>
          <w:color w:val="000000" w:themeColor="text1"/>
          <w:sz w:val="22"/>
          <w:szCs w:val="22"/>
          <w:lang w:val="en-GB"/>
        </w:rPr>
      </w:pPr>
      <w:r>
        <w:rPr>
          <w:rFonts w:asciiTheme="minorHAnsi" w:hAnsiTheme="minorHAnsi" w:cstheme="minorHAnsi"/>
          <w:color w:val="000000" w:themeColor="text1"/>
          <w:sz w:val="22"/>
          <w:szCs w:val="22"/>
          <w:lang w:val="en-GB"/>
        </w:rPr>
        <w:t>The burden from antimicrobial resistance</w:t>
      </w:r>
      <w:r w:rsidR="001E75AA">
        <w:rPr>
          <w:rFonts w:asciiTheme="minorHAnsi" w:hAnsiTheme="minorHAnsi" w:cstheme="minorHAnsi"/>
          <w:color w:val="000000" w:themeColor="text1"/>
          <w:sz w:val="22"/>
          <w:szCs w:val="22"/>
          <w:lang w:val="en-GB"/>
        </w:rPr>
        <w:t xml:space="preserve"> (AMR)</w:t>
      </w:r>
      <w:r>
        <w:rPr>
          <w:rFonts w:asciiTheme="minorHAnsi" w:hAnsiTheme="minorHAnsi" w:cstheme="minorHAnsi"/>
          <w:color w:val="000000" w:themeColor="text1"/>
          <w:sz w:val="22"/>
          <w:szCs w:val="22"/>
          <w:lang w:val="en-GB"/>
        </w:rPr>
        <w:t xml:space="preserve"> is untenably high</w:t>
      </w:r>
      <w:r w:rsidR="0006145C">
        <w:rPr>
          <w:rFonts w:asciiTheme="minorHAnsi" w:hAnsiTheme="minorHAnsi" w:cstheme="minorHAnsi"/>
          <w:color w:val="000000" w:themeColor="text1"/>
          <w:sz w:val="22"/>
          <w:szCs w:val="22"/>
          <w:lang w:val="en-GB"/>
        </w:rPr>
        <w:t>, impacting more people</w:t>
      </w:r>
      <w:r>
        <w:rPr>
          <w:rFonts w:asciiTheme="minorHAnsi" w:hAnsiTheme="minorHAnsi" w:cstheme="minorHAnsi"/>
          <w:color w:val="000000" w:themeColor="text1"/>
          <w:sz w:val="22"/>
          <w:szCs w:val="22"/>
          <w:lang w:val="en-GB"/>
        </w:rPr>
        <w:t xml:space="preserve"> and growing.  </w:t>
      </w:r>
      <w:r w:rsidR="001E75AA">
        <w:rPr>
          <w:rFonts w:asciiTheme="minorHAnsi" w:hAnsiTheme="minorHAnsi" w:cstheme="minorHAnsi"/>
          <w:color w:val="000000" w:themeColor="text1"/>
          <w:sz w:val="22"/>
          <w:szCs w:val="22"/>
          <w:lang w:val="en-GB"/>
        </w:rPr>
        <w:t>AMR</w:t>
      </w:r>
      <w:r w:rsidR="008F3ED8">
        <w:rPr>
          <w:rFonts w:asciiTheme="minorHAnsi" w:hAnsiTheme="minorHAnsi" w:cstheme="minorHAnsi"/>
          <w:color w:val="000000" w:themeColor="text1"/>
          <w:sz w:val="22"/>
          <w:szCs w:val="22"/>
          <w:lang w:val="en-GB"/>
        </w:rPr>
        <w:t xml:space="preserve"> is typically presented, as a </w:t>
      </w:r>
      <w:r w:rsidR="005D25E0">
        <w:rPr>
          <w:rFonts w:asciiTheme="minorHAnsi" w:hAnsiTheme="minorHAnsi" w:cstheme="minorHAnsi"/>
          <w:color w:val="000000" w:themeColor="text1"/>
          <w:sz w:val="22"/>
          <w:szCs w:val="22"/>
          <w:lang w:val="en-GB"/>
        </w:rPr>
        <w:t>discreet</w:t>
      </w:r>
      <w:r w:rsidR="008F3ED8">
        <w:rPr>
          <w:rFonts w:asciiTheme="minorHAnsi" w:hAnsiTheme="minorHAnsi" w:cstheme="minorHAnsi"/>
          <w:color w:val="000000" w:themeColor="text1"/>
          <w:sz w:val="22"/>
          <w:szCs w:val="22"/>
          <w:lang w:val="en-GB"/>
        </w:rPr>
        <w:t xml:space="preserve"> problem</w:t>
      </w:r>
      <w:r w:rsidR="005D25E0">
        <w:rPr>
          <w:rFonts w:asciiTheme="minorHAnsi" w:hAnsiTheme="minorHAnsi" w:cstheme="minorHAnsi"/>
          <w:color w:val="000000" w:themeColor="text1"/>
          <w:sz w:val="22"/>
          <w:szCs w:val="22"/>
          <w:lang w:val="en-GB"/>
        </w:rPr>
        <w:t xml:space="preserve"> and thus is invisible to many stakeholders</w:t>
      </w:r>
      <w:r w:rsidR="008F3ED8">
        <w:rPr>
          <w:rFonts w:asciiTheme="minorHAnsi" w:hAnsiTheme="minorHAnsi" w:cstheme="minorHAnsi"/>
          <w:color w:val="000000" w:themeColor="text1"/>
          <w:sz w:val="22"/>
          <w:szCs w:val="22"/>
          <w:lang w:val="en-GB"/>
        </w:rPr>
        <w:t>.  However, resistance</w:t>
      </w:r>
      <w:r w:rsidR="005D25E0">
        <w:rPr>
          <w:rFonts w:asciiTheme="minorHAnsi" w:hAnsiTheme="minorHAnsi" w:cstheme="minorHAnsi"/>
          <w:color w:val="000000" w:themeColor="text1"/>
          <w:sz w:val="22"/>
          <w:szCs w:val="22"/>
          <w:lang w:val="en-GB"/>
        </w:rPr>
        <w:t xml:space="preserve"> currently</w:t>
      </w:r>
      <w:r w:rsidR="008F3ED8">
        <w:rPr>
          <w:rFonts w:asciiTheme="minorHAnsi" w:hAnsiTheme="minorHAnsi" w:cstheme="minorHAnsi"/>
          <w:color w:val="000000" w:themeColor="text1"/>
          <w:sz w:val="22"/>
          <w:szCs w:val="22"/>
          <w:lang w:val="en-GB"/>
        </w:rPr>
        <w:t xml:space="preserve"> </w:t>
      </w:r>
      <w:r w:rsidR="005D25E0">
        <w:rPr>
          <w:rFonts w:asciiTheme="minorHAnsi" w:hAnsiTheme="minorHAnsi" w:cstheme="minorHAnsi"/>
          <w:color w:val="000000" w:themeColor="text1"/>
          <w:sz w:val="22"/>
          <w:szCs w:val="22"/>
          <w:lang w:val="en-GB"/>
        </w:rPr>
        <w:t>impacts</w:t>
      </w:r>
      <w:r w:rsidR="008F3ED8">
        <w:rPr>
          <w:rFonts w:asciiTheme="minorHAnsi" w:hAnsiTheme="minorHAnsi" w:cstheme="minorHAnsi"/>
          <w:color w:val="000000" w:themeColor="text1"/>
          <w:sz w:val="22"/>
          <w:szCs w:val="22"/>
          <w:lang w:val="en-GB"/>
        </w:rPr>
        <w:t xml:space="preserve"> the health, well-being</w:t>
      </w:r>
      <w:r w:rsidR="00D443DB">
        <w:rPr>
          <w:rFonts w:asciiTheme="minorHAnsi" w:hAnsiTheme="minorHAnsi" w:cstheme="minorHAnsi"/>
          <w:color w:val="000000" w:themeColor="text1"/>
          <w:sz w:val="22"/>
          <w:szCs w:val="22"/>
          <w:lang w:val="en-GB"/>
        </w:rPr>
        <w:t>,</w:t>
      </w:r>
      <w:r w:rsidR="008F3ED8">
        <w:rPr>
          <w:rFonts w:asciiTheme="minorHAnsi" w:hAnsiTheme="minorHAnsi" w:cstheme="minorHAnsi"/>
          <w:color w:val="000000" w:themeColor="text1"/>
          <w:sz w:val="22"/>
          <w:szCs w:val="22"/>
          <w:lang w:val="en-GB"/>
        </w:rPr>
        <w:t xml:space="preserve"> and </w:t>
      </w:r>
      <w:r w:rsidR="005D25E0">
        <w:rPr>
          <w:rFonts w:asciiTheme="minorHAnsi" w:hAnsiTheme="minorHAnsi" w:cstheme="minorHAnsi"/>
          <w:color w:val="000000" w:themeColor="text1"/>
          <w:sz w:val="22"/>
          <w:szCs w:val="22"/>
          <w:lang w:val="en-GB"/>
        </w:rPr>
        <w:t>potential</w:t>
      </w:r>
      <w:r w:rsidR="008F3ED8">
        <w:rPr>
          <w:rFonts w:asciiTheme="minorHAnsi" w:hAnsiTheme="minorHAnsi" w:cstheme="minorHAnsi"/>
          <w:color w:val="000000" w:themeColor="text1"/>
          <w:sz w:val="22"/>
          <w:szCs w:val="22"/>
          <w:lang w:val="en-GB"/>
        </w:rPr>
        <w:t xml:space="preserve"> of</w:t>
      </w:r>
      <w:r w:rsidR="005D25E0">
        <w:rPr>
          <w:rFonts w:asciiTheme="minorHAnsi" w:hAnsiTheme="minorHAnsi" w:cstheme="minorHAnsi"/>
          <w:color w:val="000000" w:themeColor="text1"/>
          <w:sz w:val="22"/>
          <w:szCs w:val="22"/>
          <w:lang w:val="en-GB"/>
        </w:rPr>
        <w:t xml:space="preserve"> most</w:t>
      </w:r>
      <w:r w:rsidR="008F3ED8">
        <w:rPr>
          <w:rFonts w:asciiTheme="minorHAnsi" w:hAnsiTheme="minorHAnsi" w:cstheme="minorHAnsi"/>
          <w:color w:val="000000" w:themeColor="text1"/>
          <w:sz w:val="22"/>
          <w:szCs w:val="22"/>
          <w:lang w:val="en-GB"/>
        </w:rPr>
        <w:t xml:space="preserve"> humans and </w:t>
      </w:r>
      <w:r w:rsidR="005D25E0">
        <w:rPr>
          <w:rFonts w:asciiTheme="minorHAnsi" w:hAnsiTheme="minorHAnsi" w:cstheme="minorHAnsi"/>
          <w:color w:val="000000" w:themeColor="text1"/>
          <w:sz w:val="22"/>
          <w:szCs w:val="22"/>
          <w:lang w:val="en-GB"/>
        </w:rPr>
        <w:t xml:space="preserve">of </w:t>
      </w:r>
      <w:r w:rsidR="008F3ED8">
        <w:rPr>
          <w:rFonts w:asciiTheme="minorHAnsi" w:hAnsiTheme="minorHAnsi" w:cstheme="minorHAnsi"/>
          <w:color w:val="000000" w:themeColor="text1"/>
          <w:sz w:val="22"/>
          <w:szCs w:val="22"/>
          <w:lang w:val="en-GB"/>
        </w:rPr>
        <w:t xml:space="preserve">other species that inhabit our world. </w:t>
      </w:r>
      <w:r w:rsidR="003C4648" w:rsidRPr="00C37A4D">
        <w:rPr>
          <w:rFonts w:asciiTheme="minorHAnsi" w:hAnsiTheme="minorHAnsi" w:cstheme="minorHAnsi"/>
          <w:color w:val="000000" w:themeColor="text1"/>
          <w:sz w:val="22"/>
          <w:szCs w:val="22"/>
          <w:lang w:val="en-GB"/>
        </w:rPr>
        <w:t>To</w:t>
      </w:r>
      <w:r w:rsidR="00B33748" w:rsidRPr="00C37A4D">
        <w:rPr>
          <w:rFonts w:asciiTheme="minorHAnsi" w:hAnsiTheme="minorHAnsi" w:cstheme="minorHAnsi"/>
          <w:color w:val="000000" w:themeColor="text1"/>
          <w:sz w:val="22"/>
          <w:szCs w:val="22"/>
          <w:lang w:val="en-GB"/>
        </w:rPr>
        <w:t>day</w:t>
      </w:r>
      <w:r w:rsidR="003C4648" w:rsidRPr="00C37A4D">
        <w:rPr>
          <w:rFonts w:asciiTheme="minorHAnsi" w:hAnsiTheme="minorHAnsi" w:cstheme="minorHAnsi"/>
          <w:color w:val="000000" w:themeColor="text1"/>
          <w:sz w:val="22"/>
          <w:szCs w:val="22"/>
          <w:lang w:val="en-GB"/>
        </w:rPr>
        <w:t>,</w:t>
      </w:r>
      <w:r w:rsidR="00B33748" w:rsidRPr="00C37A4D">
        <w:rPr>
          <w:rFonts w:asciiTheme="minorHAnsi" w:hAnsiTheme="minorHAnsi" w:cstheme="minorHAnsi"/>
          <w:color w:val="000000" w:themeColor="text1"/>
          <w:sz w:val="22"/>
          <w:szCs w:val="22"/>
          <w:lang w:val="en-GB"/>
        </w:rPr>
        <w:t xml:space="preserve"> human</w:t>
      </w:r>
      <w:r w:rsidR="00592BC6" w:rsidRPr="00C37A4D">
        <w:rPr>
          <w:rFonts w:asciiTheme="minorHAnsi" w:hAnsiTheme="minorHAnsi" w:cstheme="minorHAnsi"/>
          <w:color w:val="000000" w:themeColor="text1"/>
          <w:sz w:val="22"/>
          <w:szCs w:val="22"/>
          <w:lang w:val="en-GB"/>
        </w:rPr>
        <w:t>s</w:t>
      </w:r>
      <w:r w:rsidR="009E6920" w:rsidRPr="00C37A4D">
        <w:rPr>
          <w:rFonts w:asciiTheme="minorHAnsi" w:hAnsiTheme="minorHAnsi" w:cstheme="minorHAnsi"/>
          <w:color w:val="000000" w:themeColor="text1"/>
          <w:sz w:val="22"/>
          <w:szCs w:val="22"/>
          <w:lang w:val="en-GB"/>
        </w:rPr>
        <w:t xml:space="preserve"> begin and end </w:t>
      </w:r>
      <w:r w:rsidR="00592BC6" w:rsidRPr="00C37A4D">
        <w:rPr>
          <w:rFonts w:asciiTheme="minorHAnsi" w:hAnsiTheme="minorHAnsi" w:cstheme="minorHAnsi"/>
          <w:color w:val="000000" w:themeColor="text1"/>
          <w:sz w:val="22"/>
          <w:szCs w:val="22"/>
          <w:lang w:val="en-GB"/>
        </w:rPr>
        <w:t xml:space="preserve">life </w:t>
      </w:r>
      <w:r w:rsidR="009E6920" w:rsidRPr="00C37A4D">
        <w:rPr>
          <w:rFonts w:asciiTheme="minorHAnsi" w:hAnsiTheme="minorHAnsi" w:cstheme="minorHAnsi"/>
          <w:color w:val="000000" w:themeColor="text1"/>
          <w:sz w:val="22"/>
          <w:szCs w:val="22"/>
          <w:lang w:val="en-GB"/>
        </w:rPr>
        <w:t xml:space="preserve">with a </w:t>
      </w:r>
      <w:r w:rsidR="00B33748" w:rsidRPr="00C37A4D">
        <w:rPr>
          <w:rFonts w:asciiTheme="minorHAnsi" w:hAnsiTheme="minorHAnsi" w:cstheme="minorHAnsi"/>
          <w:color w:val="000000" w:themeColor="text1"/>
          <w:sz w:val="22"/>
          <w:szCs w:val="22"/>
          <w:lang w:val="en-GB"/>
        </w:rPr>
        <w:t>significant</w:t>
      </w:r>
      <w:r w:rsidR="009E6920" w:rsidRPr="00C37A4D">
        <w:rPr>
          <w:rFonts w:asciiTheme="minorHAnsi" w:hAnsiTheme="minorHAnsi" w:cstheme="minorHAnsi"/>
          <w:color w:val="000000" w:themeColor="text1"/>
          <w:sz w:val="22"/>
          <w:szCs w:val="22"/>
          <w:lang w:val="en-GB"/>
        </w:rPr>
        <w:t xml:space="preserve"> probability of </w:t>
      </w:r>
      <w:r w:rsidR="00F03D2E" w:rsidRPr="00C37A4D">
        <w:rPr>
          <w:rFonts w:asciiTheme="minorHAnsi" w:hAnsiTheme="minorHAnsi" w:cstheme="minorHAnsi"/>
          <w:color w:val="000000" w:themeColor="text1"/>
          <w:sz w:val="22"/>
          <w:szCs w:val="22"/>
          <w:lang w:val="en-GB"/>
        </w:rPr>
        <w:t xml:space="preserve">contracting </w:t>
      </w:r>
      <w:r w:rsidR="009E6920" w:rsidRPr="00C37A4D">
        <w:rPr>
          <w:rFonts w:asciiTheme="minorHAnsi" w:hAnsiTheme="minorHAnsi" w:cstheme="minorHAnsi"/>
          <w:color w:val="000000" w:themeColor="text1"/>
          <w:sz w:val="22"/>
          <w:szCs w:val="22"/>
          <w:lang w:val="en-GB"/>
        </w:rPr>
        <w:t>an antimicrobial</w:t>
      </w:r>
      <w:r w:rsidR="00B33748" w:rsidRPr="00C37A4D">
        <w:rPr>
          <w:rFonts w:asciiTheme="minorHAnsi" w:hAnsiTheme="minorHAnsi" w:cstheme="minorHAnsi"/>
          <w:color w:val="000000" w:themeColor="text1"/>
          <w:sz w:val="22"/>
          <w:szCs w:val="22"/>
          <w:lang w:val="en-GB"/>
        </w:rPr>
        <w:t>-</w:t>
      </w:r>
      <w:r w:rsidR="009E6920" w:rsidRPr="00C37A4D">
        <w:rPr>
          <w:rFonts w:asciiTheme="minorHAnsi" w:hAnsiTheme="minorHAnsi" w:cstheme="minorHAnsi"/>
          <w:color w:val="000000" w:themeColor="text1"/>
          <w:sz w:val="22"/>
          <w:szCs w:val="22"/>
          <w:lang w:val="en-GB"/>
        </w:rPr>
        <w:t>resistant infection</w:t>
      </w:r>
      <w:r w:rsidR="00FF5AEE">
        <w:rPr>
          <w:rFonts w:asciiTheme="minorHAnsi" w:hAnsiTheme="minorHAnsi" w:cstheme="minorHAnsi"/>
          <w:color w:val="000000" w:themeColor="text1"/>
          <w:sz w:val="22"/>
          <w:szCs w:val="22"/>
          <w:lang w:val="en-GB"/>
        </w:rPr>
        <w:t xml:space="preserve"> and a decreasing likelihood of being able to access effective treatments</w:t>
      </w:r>
      <w:r w:rsidR="009E6920" w:rsidRPr="00C37A4D">
        <w:rPr>
          <w:rFonts w:asciiTheme="minorHAnsi" w:hAnsiTheme="minorHAnsi" w:cstheme="minorHAnsi"/>
          <w:color w:val="000000" w:themeColor="text1"/>
          <w:sz w:val="22"/>
          <w:szCs w:val="22"/>
          <w:lang w:val="en-GB"/>
        </w:rPr>
        <w:t>.</w:t>
      </w:r>
      <w:r w:rsidR="0079396D">
        <w:rPr>
          <w:rFonts w:asciiTheme="minorHAnsi" w:hAnsiTheme="minorHAnsi" w:cstheme="minorHAnsi"/>
          <w:color w:val="000000" w:themeColor="text1"/>
          <w:sz w:val="22"/>
          <w:szCs w:val="22"/>
          <w:lang w:val="en-GB"/>
        </w:rPr>
        <w:t xml:space="preserve"> </w:t>
      </w:r>
      <w:r w:rsidR="00642EEB" w:rsidRPr="00C37A4D">
        <w:rPr>
          <w:rFonts w:asciiTheme="minorHAnsi" w:hAnsiTheme="minorHAnsi" w:cstheme="minorHAnsi"/>
          <w:bCs/>
          <w:color w:val="000000" w:themeColor="text1"/>
          <w:sz w:val="22"/>
          <w:szCs w:val="22"/>
          <w:lang w:val="en-GB"/>
        </w:rPr>
        <w:t xml:space="preserve">Infections from resistant bacteria are a health concern comparable to HIV and malaria, if not potentially </w:t>
      </w:r>
      <w:r w:rsidR="00DB5408">
        <w:rPr>
          <w:rFonts w:asciiTheme="minorHAnsi" w:hAnsiTheme="minorHAnsi" w:cstheme="minorHAnsi"/>
          <w:bCs/>
          <w:color w:val="000000" w:themeColor="text1"/>
          <w:sz w:val="22"/>
          <w:szCs w:val="22"/>
          <w:lang w:val="en-GB"/>
        </w:rPr>
        <w:t>more significant</w:t>
      </w:r>
      <w:r w:rsidR="00642EEB" w:rsidRPr="00C37A4D">
        <w:rPr>
          <w:rFonts w:asciiTheme="minorHAnsi" w:hAnsiTheme="minorHAnsi" w:cstheme="minorHAnsi"/>
          <w:bCs/>
          <w:color w:val="000000" w:themeColor="text1"/>
          <w:sz w:val="22"/>
          <w:szCs w:val="22"/>
          <w:lang w:val="en-GB"/>
        </w:rPr>
        <w:t>, and affect all regions</w:t>
      </w:r>
      <w:r w:rsidR="008F3ED8">
        <w:rPr>
          <w:rFonts w:asciiTheme="minorHAnsi" w:hAnsiTheme="minorHAnsi" w:cstheme="minorHAnsi"/>
          <w:bCs/>
          <w:color w:val="000000" w:themeColor="text1"/>
          <w:sz w:val="22"/>
          <w:szCs w:val="22"/>
          <w:lang w:val="en-GB"/>
        </w:rPr>
        <w:t xml:space="preserve"> (</w:t>
      </w:r>
      <w:r w:rsidR="008F3ED8" w:rsidRPr="00A531C7">
        <w:rPr>
          <w:rFonts w:asciiTheme="minorHAnsi" w:hAnsiTheme="minorHAnsi" w:cstheme="minorHAnsi"/>
          <w:b/>
          <w:color w:val="000000" w:themeColor="text1"/>
          <w:sz w:val="22"/>
          <w:szCs w:val="22"/>
          <w:lang w:val="en-GB"/>
        </w:rPr>
        <w:t>Panel 1</w:t>
      </w:r>
      <w:r w:rsidR="008F3ED8">
        <w:rPr>
          <w:rFonts w:asciiTheme="minorHAnsi" w:hAnsiTheme="minorHAnsi" w:cstheme="minorHAnsi"/>
          <w:bCs/>
          <w:color w:val="000000" w:themeColor="text1"/>
          <w:sz w:val="22"/>
          <w:szCs w:val="22"/>
          <w:lang w:val="en-GB"/>
        </w:rPr>
        <w:t>)</w:t>
      </w:r>
      <w:r w:rsidR="00A531C7">
        <w:rPr>
          <w:rFonts w:asciiTheme="minorHAnsi" w:hAnsiTheme="minorHAnsi" w:cstheme="minorHAnsi"/>
          <w:bCs/>
          <w:color w:val="000000" w:themeColor="text1"/>
          <w:sz w:val="22"/>
          <w:szCs w:val="22"/>
          <w:lang w:val="en-GB"/>
        </w:rPr>
        <w:t>.</w:t>
      </w:r>
      <w:r w:rsidR="00256C68" w:rsidRPr="00256C68">
        <w:rPr>
          <w:rFonts w:hAnsiTheme="minorHAnsi"/>
          <w:color w:val="000000"/>
          <w:sz w:val="22"/>
          <w:vertAlign w:val="superscript"/>
        </w:rPr>
        <w:t>1</w:t>
      </w:r>
      <w:r w:rsidR="00EE7CBA">
        <w:rPr>
          <w:rFonts w:asciiTheme="minorHAnsi" w:hAnsiTheme="minorHAnsi" w:cstheme="minorHAnsi"/>
          <w:bCs/>
          <w:color w:val="000000" w:themeColor="text1"/>
          <w:sz w:val="22"/>
          <w:szCs w:val="22"/>
          <w:lang w:val="en-GB"/>
        </w:rPr>
        <w:t xml:space="preserve"> </w:t>
      </w:r>
      <w:r w:rsidR="0008152C">
        <w:rPr>
          <w:rFonts w:asciiTheme="minorHAnsi" w:hAnsiTheme="minorHAnsi" w:cstheme="minorHAnsi"/>
          <w:bCs/>
          <w:color w:val="000000" w:themeColor="text1"/>
          <w:sz w:val="22"/>
          <w:szCs w:val="22"/>
          <w:lang w:val="en-GB"/>
        </w:rPr>
        <w:t>Antimicrobial r</w:t>
      </w:r>
      <w:r w:rsidR="00EE7CBA">
        <w:rPr>
          <w:rFonts w:asciiTheme="minorHAnsi" w:hAnsiTheme="minorHAnsi" w:cstheme="minorHAnsi"/>
          <w:bCs/>
          <w:color w:val="000000" w:themeColor="text1"/>
          <w:sz w:val="22"/>
          <w:szCs w:val="22"/>
          <w:lang w:val="en-GB"/>
        </w:rPr>
        <w:t xml:space="preserve">esistance </w:t>
      </w:r>
      <w:r w:rsidR="0008152C">
        <w:rPr>
          <w:rFonts w:asciiTheme="minorHAnsi" w:hAnsiTheme="minorHAnsi" w:cstheme="minorHAnsi"/>
          <w:bCs/>
          <w:color w:val="000000" w:themeColor="text1"/>
          <w:sz w:val="22"/>
          <w:szCs w:val="22"/>
          <w:lang w:val="en-GB"/>
        </w:rPr>
        <w:t xml:space="preserve">(AMR) </w:t>
      </w:r>
      <w:r w:rsidR="00EE7CBA">
        <w:rPr>
          <w:rFonts w:asciiTheme="minorHAnsi" w:hAnsiTheme="minorHAnsi" w:cstheme="minorHAnsi"/>
          <w:bCs/>
          <w:color w:val="000000" w:themeColor="text1"/>
          <w:sz w:val="22"/>
          <w:szCs w:val="22"/>
          <w:lang w:val="en-GB"/>
        </w:rPr>
        <w:t>threat</w:t>
      </w:r>
      <w:r w:rsidR="00DB5408">
        <w:rPr>
          <w:rFonts w:asciiTheme="minorHAnsi" w:hAnsiTheme="minorHAnsi" w:cstheme="minorHAnsi"/>
          <w:bCs/>
          <w:color w:val="000000" w:themeColor="text1"/>
          <w:sz w:val="22"/>
          <w:szCs w:val="22"/>
          <w:lang w:val="en-GB"/>
        </w:rPr>
        <w:t>ens</w:t>
      </w:r>
      <w:r w:rsidR="00EE7CBA">
        <w:rPr>
          <w:rFonts w:asciiTheme="minorHAnsi" w:hAnsiTheme="minorHAnsi" w:cstheme="minorHAnsi"/>
          <w:bCs/>
          <w:color w:val="000000" w:themeColor="text1"/>
          <w:sz w:val="22"/>
          <w:szCs w:val="22"/>
          <w:lang w:val="en-GB"/>
        </w:rPr>
        <w:t xml:space="preserve"> infectious disease management</w:t>
      </w:r>
      <w:r w:rsidR="003117AD">
        <w:rPr>
          <w:rFonts w:asciiTheme="minorHAnsi" w:hAnsiTheme="minorHAnsi" w:cstheme="minorHAnsi"/>
          <w:bCs/>
          <w:color w:val="000000" w:themeColor="text1"/>
          <w:sz w:val="22"/>
          <w:szCs w:val="22"/>
          <w:lang w:val="en-GB"/>
        </w:rPr>
        <w:t xml:space="preserve"> </w:t>
      </w:r>
      <w:r>
        <w:rPr>
          <w:rFonts w:asciiTheme="minorHAnsi" w:hAnsiTheme="minorHAnsi" w:cstheme="minorHAnsi"/>
          <w:bCs/>
          <w:color w:val="000000" w:themeColor="text1"/>
          <w:sz w:val="22"/>
          <w:szCs w:val="22"/>
          <w:lang w:val="en-GB"/>
        </w:rPr>
        <w:t xml:space="preserve">at all ages </w:t>
      </w:r>
      <w:r w:rsidR="003117AD">
        <w:rPr>
          <w:rFonts w:asciiTheme="minorHAnsi" w:hAnsiTheme="minorHAnsi" w:cstheme="minorHAnsi"/>
          <w:bCs/>
          <w:color w:val="000000" w:themeColor="text1"/>
          <w:sz w:val="22"/>
          <w:szCs w:val="22"/>
          <w:lang w:val="en-GB"/>
        </w:rPr>
        <w:t xml:space="preserve">and limits </w:t>
      </w:r>
      <w:r w:rsidR="00EE7CBA">
        <w:rPr>
          <w:rFonts w:asciiTheme="minorHAnsi" w:hAnsiTheme="minorHAnsi" w:cstheme="minorHAnsi"/>
          <w:bCs/>
          <w:color w:val="000000" w:themeColor="text1"/>
          <w:sz w:val="22"/>
          <w:szCs w:val="22"/>
          <w:lang w:val="en-GB"/>
        </w:rPr>
        <w:t>medical progress.</w:t>
      </w:r>
    </w:p>
    <w:p w14:paraId="15E9FA3E" w14:textId="77777777" w:rsidR="0079396D" w:rsidRDefault="0079396D" w:rsidP="00594527">
      <w:pPr>
        <w:rPr>
          <w:rFonts w:asciiTheme="minorHAnsi" w:hAnsiTheme="minorHAnsi" w:cstheme="minorHAnsi"/>
          <w:color w:val="000000" w:themeColor="text1"/>
          <w:sz w:val="22"/>
          <w:szCs w:val="22"/>
          <w:lang w:val="en-GB"/>
        </w:rPr>
      </w:pPr>
    </w:p>
    <w:p w14:paraId="4E16635F" w14:textId="1C6A3560" w:rsidR="00607A1C" w:rsidRPr="00C37A4D" w:rsidRDefault="001532F9" w:rsidP="00594527">
      <w:pPr>
        <w:rPr>
          <w:rFonts w:asciiTheme="minorHAnsi" w:hAnsiTheme="minorHAnsi" w:cstheme="minorHAnsi"/>
          <w:color w:val="000000" w:themeColor="text1"/>
          <w:sz w:val="22"/>
          <w:szCs w:val="22"/>
          <w:highlight w:val="white"/>
          <w:lang w:val="en-GB"/>
        </w:rPr>
      </w:pPr>
      <w:r w:rsidRPr="00C37A4D">
        <w:rPr>
          <w:rFonts w:asciiTheme="minorHAnsi" w:hAnsiTheme="minorHAnsi" w:cstheme="minorHAnsi"/>
          <w:color w:val="000000" w:themeColor="text1"/>
          <w:sz w:val="22"/>
          <w:szCs w:val="22"/>
          <w:lang w:val="en-GB"/>
        </w:rPr>
        <w:t xml:space="preserve">In children </w:t>
      </w:r>
      <w:r w:rsidR="00DB5408">
        <w:rPr>
          <w:rFonts w:asciiTheme="minorHAnsi" w:hAnsiTheme="minorHAnsi" w:cstheme="minorHAnsi"/>
          <w:color w:val="000000" w:themeColor="text1"/>
          <w:sz w:val="22"/>
          <w:szCs w:val="22"/>
          <w:lang w:val="en-GB"/>
        </w:rPr>
        <w:t xml:space="preserve">younger </w:t>
      </w:r>
      <w:r w:rsidR="003117AD">
        <w:rPr>
          <w:rFonts w:asciiTheme="minorHAnsi" w:hAnsiTheme="minorHAnsi" w:cstheme="minorHAnsi"/>
          <w:color w:val="000000" w:themeColor="text1"/>
          <w:sz w:val="22"/>
          <w:szCs w:val="22"/>
          <w:lang w:val="en-GB"/>
        </w:rPr>
        <w:t>than</w:t>
      </w:r>
      <w:r w:rsidRPr="00C37A4D">
        <w:rPr>
          <w:rFonts w:asciiTheme="minorHAnsi" w:hAnsiTheme="minorHAnsi" w:cstheme="minorHAnsi"/>
          <w:color w:val="000000" w:themeColor="text1"/>
          <w:sz w:val="22"/>
          <w:szCs w:val="22"/>
          <w:lang w:val="en-GB"/>
        </w:rPr>
        <w:t xml:space="preserve"> five, </w:t>
      </w:r>
      <w:r w:rsidR="003117AD">
        <w:rPr>
          <w:rFonts w:asciiTheme="minorHAnsi" w:hAnsiTheme="minorHAnsi" w:cstheme="minorHAnsi"/>
          <w:color w:val="000000" w:themeColor="text1"/>
          <w:sz w:val="22"/>
          <w:szCs w:val="22"/>
          <w:lang w:val="en-GB"/>
        </w:rPr>
        <w:t>a dramatic</w:t>
      </w:r>
      <w:r w:rsidR="004B2DF4" w:rsidRPr="00C37A4D">
        <w:rPr>
          <w:rFonts w:asciiTheme="minorHAnsi" w:hAnsiTheme="minorHAnsi" w:cstheme="minorHAnsi"/>
          <w:color w:val="000000" w:themeColor="text1"/>
          <w:sz w:val="22"/>
          <w:szCs w:val="22"/>
          <w:lang w:val="en-GB"/>
        </w:rPr>
        <w:t xml:space="preserve"> decline in</w:t>
      </w:r>
      <w:r w:rsidR="009E6920" w:rsidRPr="00C37A4D">
        <w:rPr>
          <w:rFonts w:asciiTheme="minorHAnsi" w:hAnsiTheme="minorHAnsi" w:cstheme="minorHAnsi"/>
          <w:color w:val="000000" w:themeColor="text1"/>
          <w:sz w:val="22"/>
          <w:szCs w:val="22"/>
          <w:lang w:val="en-GB"/>
        </w:rPr>
        <w:t xml:space="preserve"> deaths</w:t>
      </w:r>
      <w:r w:rsidR="00BF744C" w:rsidRPr="00C37A4D">
        <w:rPr>
          <w:rFonts w:asciiTheme="minorHAnsi" w:hAnsiTheme="minorHAnsi" w:cstheme="minorHAnsi"/>
          <w:color w:val="000000" w:themeColor="text1"/>
          <w:sz w:val="22"/>
          <w:szCs w:val="22"/>
          <w:lang w:val="en-GB"/>
        </w:rPr>
        <w:t>—</w:t>
      </w:r>
      <w:r w:rsidR="00B33748" w:rsidRPr="00C37A4D">
        <w:rPr>
          <w:rFonts w:asciiTheme="minorHAnsi" w:hAnsiTheme="minorHAnsi" w:cstheme="minorHAnsi"/>
          <w:color w:val="000000" w:themeColor="text1"/>
          <w:sz w:val="22"/>
          <w:szCs w:val="22"/>
          <w:lang w:val="en-GB"/>
        </w:rPr>
        <w:t xml:space="preserve">as much as </w:t>
      </w:r>
      <w:r w:rsidR="009E6920" w:rsidRPr="00C37A4D">
        <w:rPr>
          <w:rFonts w:asciiTheme="minorHAnsi" w:hAnsiTheme="minorHAnsi" w:cstheme="minorHAnsi"/>
          <w:color w:val="000000" w:themeColor="text1"/>
          <w:sz w:val="22"/>
          <w:szCs w:val="22"/>
          <w:lang w:val="en-GB"/>
        </w:rPr>
        <w:t xml:space="preserve">50% between </w:t>
      </w:r>
      <w:r w:rsidR="00B33748" w:rsidRPr="00C37A4D">
        <w:rPr>
          <w:rFonts w:asciiTheme="minorHAnsi" w:hAnsiTheme="minorHAnsi" w:cstheme="minorHAnsi"/>
          <w:color w:val="000000" w:themeColor="text1"/>
          <w:sz w:val="22"/>
          <w:szCs w:val="22"/>
          <w:lang w:val="en-GB"/>
        </w:rPr>
        <w:t xml:space="preserve">2000 </w:t>
      </w:r>
      <w:r w:rsidR="009E6920" w:rsidRPr="00C37A4D">
        <w:rPr>
          <w:rFonts w:asciiTheme="minorHAnsi" w:hAnsiTheme="minorHAnsi" w:cstheme="minorHAnsi"/>
          <w:color w:val="000000" w:themeColor="text1"/>
          <w:sz w:val="22"/>
          <w:szCs w:val="22"/>
          <w:lang w:val="en-GB"/>
        </w:rPr>
        <w:t>and 2013</w:t>
      </w:r>
      <w:r w:rsidR="00BF744C" w:rsidRPr="00C37A4D">
        <w:rPr>
          <w:rFonts w:asciiTheme="minorHAnsi" w:hAnsiTheme="minorHAnsi" w:cstheme="minorHAnsi"/>
          <w:color w:val="000000" w:themeColor="text1"/>
          <w:sz w:val="22"/>
          <w:szCs w:val="22"/>
          <w:lang w:val="en-GB"/>
        </w:rPr>
        <w:t>—</w:t>
      </w:r>
      <w:r w:rsidR="00252937" w:rsidRPr="00C37A4D">
        <w:rPr>
          <w:rFonts w:asciiTheme="minorHAnsi" w:hAnsiTheme="minorHAnsi" w:cstheme="minorHAnsi"/>
          <w:color w:val="000000" w:themeColor="text1"/>
          <w:sz w:val="22"/>
          <w:szCs w:val="22"/>
          <w:lang w:val="en-GB"/>
        </w:rPr>
        <w:t xml:space="preserve">was </w:t>
      </w:r>
      <w:r w:rsidR="004B2DF4" w:rsidRPr="00C37A4D">
        <w:rPr>
          <w:rFonts w:asciiTheme="minorHAnsi" w:hAnsiTheme="minorHAnsi" w:cstheme="minorHAnsi"/>
          <w:color w:val="000000" w:themeColor="text1"/>
          <w:sz w:val="22"/>
          <w:szCs w:val="22"/>
          <w:lang w:val="en-GB"/>
        </w:rPr>
        <w:t>enabled by improvements in water and sanitation, vaccination</w:t>
      </w:r>
      <w:r w:rsidR="00246B4A">
        <w:rPr>
          <w:rFonts w:asciiTheme="minorHAnsi" w:hAnsiTheme="minorHAnsi" w:cstheme="minorHAnsi"/>
          <w:color w:val="000000" w:themeColor="text1"/>
          <w:sz w:val="22"/>
          <w:szCs w:val="22"/>
          <w:lang w:val="en-GB"/>
        </w:rPr>
        <w:t>,</w:t>
      </w:r>
      <w:r w:rsidR="004B2DF4" w:rsidRPr="00C37A4D">
        <w:rPr>
          <w:rFonts w:asciiTheme="minorHAnsi" w:hAnsiTheme="minorHAnsi" w:cstheme="minorHAnsi"/>
          <w:color w:val="000000" w:themeColor="text1"/>
          <w:sz w:val="22"/>
          <w:szCs w:val="22"/>
          <w:lang w:val="en-GB"/>
        </w:rPr>
        <w:t xml:space="preserve"> and </w:t>
      </w:r>
      <w:r w:rsidR="00BD38B9" w:rsidRPr="00C37A4D">
        <w:rPr>
          <w:rFonts w:asciiTheme="minorHAnsi" w:hAnsiTheme="minorHAnsi" w:cstheme="minorHAnsi"/>
          <w:color w:val="000000" w:themeColor="text1"/>
          <w:sz w:val="22"/>
          <w:szCs w:val="22"/>
          <w:lang w:val="en-GB"/>
        </w:rPr>
        <w:t xml:space="preserve">other </w:t>
      </w:r>
      <w:r w:rsidR="004B2DF4" w:rsidRPr="00C37A4D">
        <w:rPr>
          <w:rFonts w:asciiTheme="minorHAnsi" w:hAnsiTheme="minorHAnsi" w:cstheme="minorHAnsi"/>
          <w:color w:val="000000" w:themeColor="text1"/>
          <w:sz w:val="22"/>
          <w:szCs w:val="22"/>
          <w:lang w:val="en-GB"/>
        </w:rPr>
        <w:t>public health</w:t>
      </w:r>
      <w:r w:rsidR="00BD38B9" w:rsidRPr="00C37A4D">
        <w:rPr>
          <w:rFonts w:asciiTheme="minorHAnsi" w:hAnsiTheme="minorHAnsi" w:cstheme="minorHAnsi"/>
          <w:color w:val="000000" w:themeColor="text1"/>
          <w:sz w:val="22"/>
          <w:szCs w:val="22"/>
          <w:lang w:val="en-GB"/>
        </w:rPr>
        <w:t xml:space="preserve"> interventions</w:t>
      </w:r>
      <w:r w:rsidR="009E6920" w:rsidRPr="00C37A4D">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32</w:t>
      </w:r>
      <w:r w:rsidR="0047001E" w:rsidRPr="00C37A4D">
        <w:rPr>
          <w:rFonts w:asciiTheme="minorHAnsi" w:hAnsiTheme="minorHAnsi" w:cstheme="minorHAnsi"/>
          <w:color w:val="000000" w:themeColor="text1"/>
          <w:sz w:val="22"/>
          <w:szCs w:val="22"/>
          <w:lang w:val="en-GB"/>
        </w:rPr>
        <w:t xml:space="preserve"> </w:t>
      </w:r>
      <w:r w:rsidR="00594527" w:rsidRPr="00C37A4D">
        <w:rPr>
          <w:rFonts w:asciiTheme="minorHAnsi" w:hAnsiTheme="minorHAnsi" w:cstheme="minorHAnsi"/>
          <w:color w:val="000000" w:themeColor="text1"/>
          <w:sz w:val="22"/>
          <w:szCs w:val="22"/>
          <w:lang w:val="en-GB"/>
        </w:rPr>
        <w:t>However,</w:t>
      </w:r>
      <w:r w:rsidR="00C810BF" w:rsidRPr="00C37A4D">
        <w:rPr>
          <w:rFonts w:asciiTheme="minorHAnsi" w:hAnsiTheme="minorHAnsi" w:cstheme="minorHAnsi"/>
          <w:color w:val="000000" w:themeColor="text1"/>
          <w:sz w:val="22"/>
          <w:szCs w:val="22"/>
          <w:highlight w:val="white"/>
          <w:lang w:val="en-GB"/>
        </w:rPr>
        <w:t xml:space="preserve"> Sustainable Development Goal</w:t>
      </w:r>
      <w:r w:rsidR="00337CB3" w:rsidRPr="00C37A4D">
        <w:rPr>
          <w:rFonts w:asciiTheme="minorHAnsi" w:hAnsiTheme="minorHAnsi" w:cstheme="minorHAnsi"/>
          <w:color w:val="000000" w:themeColor="text1"/>
          <w:sz w:val="22"/>
          <w:szCs w:val="22"/>
          <w:highlight w:val="white"/>
          <w:lang w:val="en-GB"/>
        </w:rPr>
        <w:t xml:space="preserve"> (SDG)</w:t>
      </w:r>
      <w:r w:rsidR="001861A5" w:rsidRPr="00C37A4D">
        <w:rPr>
          <w:rFonts w:asciiTheme="minorHAnsi" w:hAnsiTheme="minorHAnsi" w:cstheme="minorHAnsi"/>
          <w:color w:val="000000" w:themeColor="text1"/>
          <w:sz w:val="22"/>
          <w:szCs w:val="22"/>
          <w:highlight w:val="white"/>
          <w:lang w:val="en-GB"/>
        </w:rPr>
        <w:t xml:space="preserve"> </w:t>
      </w:r>
      <w:r w:rsidR="00C810BF" w:rsidRPr="00C37A4D">
        <w:rPr>
          <w:rFonts w:asciiTheme="minorHAnsi" w:hAnsiTheme="minorHAnsi" w:cstheme="minorHAnsi"/>
          <w:color w:val="000000" w:themeColor="text1"/>
          <w:sz w:val="22"/>
          <w:szCs w:val="22"/>
          <w:highlight w:val="white"/>
          <w:lang w:val="en-GB"/>
        </w:rPr>
        <w:t>3, to</w:t>
      </w:r>
      <w:r w:rsidR="00594527" w:rsidRPr="00C37A4D">
        <w:rPr>
          <w:rFonts w:asciiTheme="minorHAnsi" w:hAnsiTheme="minorHAnsi" w:cstheme="minorHAnsi"/>
          <w:color w:val="000000" w:themeColor="text1"/>
          <w:sz w:val="22"/>
          <w:szCs w:val="22"/>
          <w:highlight w:val="white"/>
          <w:lang w:val="en-GB"/>
        </w:rPr>
        <w:t xml:space="preserve"> ensur</w:t>
      </w:r>
      <w:r w:rsidR="00C810BF" w:rsidRPr="00C37A4D">
        <w:rPr>
          <w:rFonts w:asciiTheme="minorHAnsi" w:hAnsiTheme="minorHAnsi" w:cstheme="minorHAnsi"/>
          <w:color w:val="000000" w:themeColor="text1"/>
          <w:sz w:val="22"/>
          <w:szCs w:val="22"/>
          <w:highlight w:val="white"/>
          <w:lang w:val="en-GB"/>
        </w:rPr>
        <w:t>e</w:t>
      </w:r>
      <w:r w:rsidR="00594527" w:rsidRPr="00C37A4D">
        <w:rPr>
          <w:rFonts w:asciiTheme="minorHAnsi" w:hAnsiTheme="minorHAnsi" w:cstheme="minorHAnsi"/>
          <w:color w:val="000000" w:themeColor="text1"/>
          <w:sz w:val="22"/>
          <w:szCs w:val="22"/>
          <w:highlight w:val="white"/>
          <w:lang w:val="en-GB"/>
        </w:rPr>
        <w:t xml:space="preserve"> healthy lives and promot</w:t>
      </w:r>
      <w:r w:rsidR="00C810BF" w:rsidRPr="00C37A4D">
        <w:rPr>
          <w:rFonts w:asciiTheme="minorHAnsi" w:hAnsiTheme="minorHAnsi" w:cstheme="minorHAnsi"/>
          <w:color w:val="000000" w:themeColor="text1"/>
          <w:sz w:val="22"/>
          <w:szCs w:val="22"/>
          <w:highlight w:val="white"/>
          <w:lang w:val="en-GB"/>
        </w:rPr>
        <w:t>e</w:t>
      </w:r>
      <w:r w:rsidR="00594527" w:rsidRPr="00C37A4D">
        <w:rPr>
          <w:rFonts w:asciiTheme="minorHAnsi" w:hAnsiTheme="minorHAnsi" w:cstheme="minorHAnsi"/>
          <w:color w:val="000000" w:themeColor="text1"/>
          <w:sz w:val="22"/>
          <w:szCs w:val="22"/>
          <w:highlight w:val="white"/>
          <w:lang w:val="en-GB"/>
        </w:rPr>
        <w:t xml:space="preserve"> well-being at all ages and </w:t>
      </w:r>
      <w:r w:rsidR="00C810BF" w:rsidRPr="00C37A4D">
        <w:rPr>
          <w:rFonts w:asciiTheme="minorHAnsi" w:hAnsiTheme="minorHAnsi" w:cstheme="minorHAnsi"/>
          <w:color w:val="000000" w:themeColor="text1"/>
          <w:sz w:val="22"/>
          <w:szCs w:val="22"/>
          <w:lang w:val="en-GB"/>
        </w:rPr>
        <w:t>to</w:t>
      </w:r>
      <w:r w:rsidR="009E6920" w:rsidRPr="00C37A4D">
        <w:rPr>
          <w:rFonts w:asciiTheme="minorHAnsi" w:hAnsiTheme="minorHAnsi" w:cstheme="minorHAnsi"/>
          <w:color w:val="000000" w:themeColor="text1"/>
          <w:sz w:val="22"/>
          <w:szCs w:val="22"/>
          <w:lang w:val="en-GB"/>
        </w:rPr>
        <w:t xml:space="preserve"> </w:t>
      </w:r>
      <w:r w:rsidR="00A666B5">
        <w:rPr>
          <w:rFonts w:asciiTheme="minorHAnsi" w:hAnsiTheme="minorHAnsi" w:cstheme="minorHAnsi"/>
          <w:color w:val="000000" w:themeColor="text1"/>
          <w:sz w:val="22"/>
          <w:szCs w:val="22"/>
          <w:lang w:val="en-GB"/>
        </w:rPr>
        <w:t>cut</w:t>
      </w:r>
      <w:r w:rsidR="00A666B5" w:rsidRPr="00C37A4D">
        <w:rPr>
          <w:rFonts w:asciiTheme="minorHAnsi" w:hAnsiTheme="minorHAnsi" w:cstheme="minorHAnsi"/>
          <w:color w:val="000000" w:themeColor="text1"/>
          <w:sz w:val="22"/>
          <w:szCs w:val="22"/>
          <w:lang w:val="en-GB"/>
        </w:rPr>
        <w:t xml:space="preserve"> </w:t>
      </w:r>
      <w:r w:rsidR="00252937" w:rsidRPr="00C37A4D">
        <w:rPr>
          <w:rFonts w:asciiTheme="minorHAnsi" w:hAnsiTheme="minorHAnsi" w:cstheme="minorHAnsi"/>
          <w:color w:val="000000" w:themeColor="text1"/>
          <w:sz w:val="22"/>
          <w:szCs w:val="22"/>
          <w:lang w:val="en-GB"/>
        </w:rPr>
        <w:t xml:space="preserve">newborn mortality to </w:t>
      </w:r>
      <w:r w:rsidR="00A666B5">
        <w:rPr>
          <w:rFonts w:asciiTheme="minorHAnsi" w:hAnsiTheme="minorHAnsi" w:cstheme="minorHAnsi"/>
          <w:color w:val="000000" w:themeColor="text1"/>
          <w:sz w:val="22"/>
          <w:szCs w:val="22"/>
          <w:lang w:val="en-GB"/>
        </w:rPr>
        <w:t>less than</w:t>
      </w:r>
      <w:r w:rsidR="00A666B5" w:rsidRPr="00C37A4D">
        <w:rPr>
          <w:rFonts w:asciiTheme="minorHAnsi" w:hAnsiTheme="minorHAnsi" w:cstheme="minorHAnsi"/>
          <w:color w:val="000000" w:themeColor="text1"/>
          <w:sz w:val="22"/>
          <w:szCs w:val="22"/>
          <w:lang w:val="en-GB"/>
        </w:rPr>
        <w:t xml:space="preserve"> </w:t>
      </w:r>
      <w:r w:rsidR="00252937" w:rsidRPr="00C37A4D">
        <w:rPr>
          <w:rFonts w:asciiTheme="minorHAnsi" w:hAnsiTheme="minorHAnsi" w:cstheme="minorHAnsi"/>
          <w:color w:val="000000" w:themeColor="text1"/>
          <w:sz w:val="22"/>
          <w:szCs w:val="22"/>
          <w:lang w:val="en-GB"/>
        </w:rPr>
        <w:t xml:space="preserve">12 per 1,000 live births </w:t>
      </w:r>
      <w:r w:rsidR="00052759" w:rsidRPr="00C37A4D">
        <w:rPr>
          <w:rFonts w:asciiTheme="minorHAnsi" w:hAnsiTheme="minorHAnsi" w:cstheme="minorHAnsi"/>
          <w:color w:val="000000" w:themeColor="text1"/>
          <w:sz w:val="22"/>
          <w:szCs w:val="22"/>
          <w:lang w:val="en-GB"/>
        </w:rPr>
        <w:t>by 2030</w:t>
      </w:r>
      <w:r w:rsidR="00044614" w:rsidRPr="00C37A4D">
        <w:rPr>
          <w:rFonts w:asciiTheme="minorHAnsi" w:hAnsiTheme="minorHAnsi" w:cstheme="minorHAnsi"/>
          <w:color w:val="000000" w:themeColor="text1"/>
          <w:sz w:val="22"/>
          <w:szCs w:val="22"/>
          <w:lang w:val="en-GB"/>
        </w:rPr>
        <w:t>,</w:t>
      </w:r>
      <w:r w:rsidR="00594527" w:rsidRPr="00C37A4D">
        <w:rPr>
          <w:rFonts w:asciiTheme="minorHAnsi" w:hAnsiTheme="minorHAnsi" w:cstheme="minorHAnsi"/>
          <w:color w:val="000000" w:themeColor="text1"/>
          <w:sz w:val="22"/>
          <w:szCs w:val="22"/>
          <w:lang w:val="en-GB"/>
        </w:rPr>
        <w:t xml:space="preserve"> is jeopardi</w:t>
      </w:r>
      <w:r w:rsidR="0094482F" w:rsidRPr="00C37A4D">
        <w:rPr>
          <w:rFonts w:asciiTheme="minorHAnsi" w:hAnsiTheme="minorHAnsi" w:cstheme="minorHAnsi"/>
          <w:color w:val="000000" w:themeColor="text1"/>
          <w:sz w:val="22"/>
          <w:szCs w:val="22"/>
          <w:lang w:val="en-GB"/>
        </w:rPr>
        <w:t>s</w:t>
      </w:r>
      <w:r w:rsidR="00594527" w:rsidRPr="00C37A4D">
        <w:rPr>
          <w:rFonts w:asciiTheme="minorHAnsi" w:hAnsiTheme="minorHAnsi" w:cstheme="minorHAnsi"/>
          <w:color w:val="000000" w:themeColor="text1"/>
          <w:sz w:val="22"/>
          <w:szCs w:val="22"/>
          <w:lang w:val="en-GB"/>
        </w:rPr>
        <w:t xml:space="preserve">ed </w:t>
      </w:r>
      <w:r w:rsidR="00C810BF" w:rsidRPr="00C37A4D">
        <w:rPr>
          <w:rFonts w:asciiTheme="minorHAnsi" w:hAnsiTheme="minorHAnsi" w:cstheme="minorHAnsi"/>
          <w:color w:val="000000" w:themeColor="text1"/>
          <w:sz w:val="22"/>
          <w:szCs w:val="22"/>
          <w:lang w:val="en-GB"/>
        </w:rPr>
        <w:t>when</w:t>
      </w:r>
      <w:r w:rsidR="00594527" w:rsidRPr="00C37A4D">
        <w:rPr>
          <w:rFonts w:asciiTheme="minorHAnsi" w:hAnsiTheme="minorHAnsi" w:cstheme="minorHAnsi"/>
          <w:color w:val="000000" w:themeColor="text1"/>
          <w:sz w:val="22"/>
          <w:szCs w:val="22"/>
          <w:lang w:val="en-GB"/>
        </w:rPr>
        <w:t xml:space="preserve"> antibiotics </w:t>
      </w:r>
      <w:r w:rsidR="00C810BF" w:rsidRPr="00C37A4D">
        <w:rPr>
          <w:rFonts w:asciiTheme="minorHAnsi" w:hAnsiTheme="minorHAnsi" w:cstheme="minorHAnsi"/>
          <w:color w:val="000000" w:themeColor="text1"/>
          <w:sz w:val="22"/>
          <w:szCs w:val="22"/>
          <w:lang w:val="en-GB"/>
        </w:rPr>
        <w:t xml:space="preserve">fail </w:t>
      </w:r>
      <w:r w:rsidR="00594527" w:rsidRPr="00C37A4D">
        <w:rPr>
          <w:rFonts w:asciiTheme="minorHAnsi" w:hAnsiTheme="minorHAnsi" w:cstheme="minorHAnsi"/>
          <w:color w:val="000000" w:themeColor="text1"/>
          <w:sz w:val="22"/>
          <w:szCs w:val="22"/>
          <w:lang w:val="en-GB"/>
        </w:rPr>
        <w:t>to work</w:t>
      </w:r>
      <w:r w:rsidR="00CA4BE2" w:rsidRPr="00C37A4D">
        <w:rPr>
          <w:rFonts w:asciiTheme="minorHAnsi" w:hAnsiTheme="minorHAnsi" w:cstheme="minorHAnsi"/>
          <w:color w:val="000000" w:themeColor="text1"/>
          <w:sz w:val="22"/>
          <w:szCs w:val="22"/>
          <w:lang w:val="en-GB"/>
        </w:rPr>
        <w:t xml:space="preserve"> (</w:t>
      </w:r>
      <w:r w:rsidR="00286ADE" w:rsidRPr="00C37A4D">
        <w:rPr>
          <w:rFonts w:asciiTheme="minorHAnsi" w:hAnsiTheme="minorHAnsi" w:cstheme="minorHAnsi"/>
          <w:b/>
          <w:bCs/>
          <w:color w:val="000000" w:themeColor="text1"/>
          <w:sz w:val="22"/>
          <w:szCs w:val="22"/>
          <w:lang w:val="en-GB"/>
        </w:rPr>
        <w:t>F</w:t>
      </w:r>
      <w:r w:rsidR="00CA4BE2" w:rsidRPr="00C37A4D">
        <w:rPr>
          <w:rFonts w:asciiTheme="minorHAnsi" w:hAnsiTheme="minorHAnsi" w:cstheme="minorHAnsi"/>
          <w:b/>
          <w:bCs/>
          <w:color w:val="000000" w:themeColor="text1"/>
          <w:sz w:val="22"/>
          <w:szCs w:val="22"/>
          <w:lang w:val="en-GB"/>
        </w:rPr>
        <w:t xml:space="preserve">igure </w:t>
      </w:r>
      <w:r w:rsidR="00A670AC">
        <w:rPr>
          <w:rFonts w:asciiTheme="minorHAnsi" w:hAnsiTheme="minorHAnsi" w:cstheme="minorHAnsi"/>
          <w:b/>
          <w:bCs/>
          <w:color w:val="000000" w:themeColor="text1"/>
          <w:sz w:val="22"/>
          <w:szCs w:val="22"/>
          <w:lang w:val="en-GB"/>
        </w:rPr>
        <w:t>2</w:t>
      </w:r>
      <w:r w:rsidR="00CA4BE2" w:rsidRPr="00C37A4D">
        <w:rPr>
          <w:rFonts w:asciiTheme="minorHAnsi" w:hAnsiTheme="minorHAnsi" w:cstheme="minorHAnsi"/>
          <w:color w:val="000000" w:themeColor="text1"/>
          <w:sz w:val="22"/>
          <w:szCs w:val="22"/>
          <w:lang w:val="en-GB"/>
        </w:rPr>
        <w:t>)</w:t>
      </w:r>
      <w:r w:rsidR="009E6920" w:rsidRPr="00C37A4D">
        <w:rPr>
          <w:rFonts w:asciiTheme="minorHAnsi" w:hAnsiTheme="minorHAnsi" w:cstheme="minorHAnsi"/>
          <w:color w:val="000000" w:themeColor="text1"/>
          <w:sz w:val="22"/>
          <w:szCs w:val="22"/>
          <w:lang w:val="en-GB"/>
        </w:rPr>
        <w:t>.</w:t>
      </w:r>
      <w:r w:rsidR="0047001E" w:rsidRPr="00C37A4D">
        <w:rPr>
          <w:rFonts w:asciiTheme="minorHAnsi" w:hAnsiTheme="minorHAnsi" w:cstheme="minorHAnsi"/>
          <w:color w:val="000000" w:themeColor="text1"/>
          <w:sz w:val="22"/>
          <w:szCs w:val="22"/>
          <w:lang w:val="en-GB"/>
        </w:rPr>
        <w:t xml:space="preserve"> </w:t>
      </w:r>
      <w:r w:rsidR="00BA7596" w:rsidRPr="00C37A4D">
        <w:rPr>
          <w:rFonts w:asciiTheme="minorHAnsi" w:hAnsiTheme="minorHAnsi" w:cstheme="minorHAnsi"/>
          <w:color w:val="000000" w:themeColor="text1"/>
          <w:sz w:val="22"/>
          <w:szCs w:val="22"/>
          <w:lang w:val="en-GB"/>
        </w:rPr>
        <w:t>A</w:t>
      </w:r>
      <w:r w:rsidR="004B2DF4" w:rsidRPr="00C37A4D">
        <w:rPr>
          <w:rFonts w:asciiTheme="minorHAnsi" w:hAnsiTheme="minorHAnsi" w:cstheme="minorHAnsi"/>
          <w:color w:val="000000" w:themeColor="text1"/>
          <w:sz w:val="22"/>
          <w:szCs w:val="22"/>
          <w:lang w:val="en-GB"/>
        </w:rPr>
        <w:t xml:space="preserve"> third of</w:t>
      </w:r>
      <w:r w:rsidR="00BA7596" w:rsidRPr="00C37A4D">
        <w:rPr>
          <w:rFonts w:asciiTheme="minorHAnsi" w:hAnsiTheme="minorHAnsi" w:cstheme="minorHAnsi"/>
          <w:color w:val="000000" w:themeColor="text1"/>
          <w:sz w:val="22"/>
          <w:szCs w:val="22"/>
          <w:lang w:val="en-GB"/>
        </w:rPr>
        <w:t xml:space="preserve"> newborn deaths</w:t>
      </w:r>
      <w:r w:rsidR="004B2DF4" w:rsidRPr="00C37A4D">
        <w:rPr>
          <w:rFonts w:asciiTheme="minorHAnsi" w:hAnsiTheme="minorHAnsi" w:cstheme="minorHAnsi"/>
          <w:color w:val="000000" w:themeColor="text1"/>
          <w:sz w:val="22"/>
          <w:szCs w:val="22"/>
          <w:lang w:val="en-GB"/>
        </w:rPr>
        <w:t xml:space="preserve"> are attributable to infection and half of those to sepsis</w:t>
      </w:r>
      <w:r w:rsidR="00C810BF" w:rsidRPr="00C37A4D">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33</w:t>
      </w:r>
      <w:r w:rsidR="00AF1446" w:rsidRPr="00C37A4D">
        <w:rPr>
          <w:rFonts w:asciiTheme="minorHAnsi" w:hAnsiTheme="minorHAnsi" w:cstheme="minorHAnsi"/>
          <w:color w:val="000000" w:themeColor="text1"/>
          <w:sz w:val="22"/>
          <w:szCs w:val="22"/>
          <w:highlight w:val="white"/>
          <w:lang w:val="en-GB"/>
        </w:rPr>
        <w:t xml:space="preserve"> </w:t>
      </w:r>
      <w:r w:rsidR="003566BE">
        <w:rPr>
          <w:rFonts w:asciiTheme="minorHAnsi" w:hAnsiTheme="minorHAnsi" w:cstheme="minorHAnsi"/>
          <w:color w:val="000000" w:themeColor="text1"/>
          <w:sz w:val="22"/>
          <w:szCs w:val="22"/>
          <w:highlight w:val="white"/>
          <w:lang w:val="en-GB"/>
        </w:rPr>
        <w:t>and increasingly, the</w:t>
      </w:r>
      <w:r w:rsidRPr="00C37A4D">
        <w:rPr>
          <w:rFonts w:asciiTheme="minorHAnsi" w:hAnsiTheme="minorHAnsi" w:cstheme="minorHAnsi"/>
          <w:color w:val="000000" w:themeColor="text1"/>
          <w:sz w:val="22"/>
          <w:szCs w:val="22"/>
          <w:highlight w:val="white"/>
          <w:lang w:val="en-GB"/>
        </w:rPr>
        <w:t xml:space="preserve"> pathogens no longer respond to most </w:t>
      </w:r>
      <w:r w:rsidR="008642DA" w:rsidRPr="00C37A4D">
        <w:rPr>
          <w:rFonts w:asciiTheme="minorHAnsi" w:hAnsiTheme="minorHAnsi" w:cstheme="minorHAnsi"/>
          <w:color w:val="000000" w:themeColor="text1"/>
          <w:sz w:val="22"/>
          <w:szCs w:val="22"/>
          <w:highlight w:val="white"/>
          <w:lang w:val="en-GB"/>
        </w:rPr>
        <w:t>readily</w:t>
      </w:r>
      <w:r w:rsidRPr="00C37A4D">
        <w:rPr>
          <w:rFonts w:asciiTheme="minorHAnsi" w:hAnsiTheme="minorHAnsi" w:cstheme="minorHAnsi"/>
          <w:color w:val="000000" w:themeColor="text1"/>
          <w:sz w:val="22"/>
          <w:szCs w:val="22"/>
          <w:highlight w:val="white"/>
          <w:lang w:val="en-GB"/>
        </w:rPr>
        <w:t xml:space="preserve"> available antibiotics.</w:t>
      </w:r>
      <w:r w:rsidR="0047001E" w:rsidRPr="00C37A4D">
        <w:rPr>
          <w:rFonts w:asciiTheme="minorHAnsi" w:hAnsiTheme="minorHAnsi" w:cstheme="minorHAnsi"/>
          <w:color w:val="000000" w:themeColor="text1"/>
          <w:sz w:val="22"/>
          <w:szCs w:val="22"/>
          <w:highlight w:val="white"/>
          <w:lang w:val="en-GB"/>
        </w:rPr>
        <w:t xml:space="preserve"> </w:t>
      </w:r>
    </w:p>
    <w:p w14:paraId="7DF1551B" w14:textId="2E790AE8" w:rsidR="00E62ED2" w:rsidRPr="00C37A4D" w:rsidRDefault="00E62ED2">
      <w:pPr>
        <w:rPr>
          <w:rFonts w:asciiTheme="minorHAnsi" w:hAnsiTheme="minorHAnsi" w:cstheme="minorHAnsi"/>
          <w:color w:val="000000" w:themeColor="text1"/>
          <w:sz w:val="22"/>
          <w:szCs w:val="22"/>
          <w:lang w:val="en-GB"/>
        </w:rPr>
      </w:pPr>
    </w:p>
    <w:p w14:paraId="2DAE3422" w14:textId="1CCB011B" w:rsidR="00607A1C" w:rsidRDefault="00044614" w:rsidP="001532F9">
      <w:pPr>
        <w:rPr>
          <w:rFonts w:asciiTheme="minorHAnsi" w:eastAsia="Arial" w:hAnsiTheme="minorHAnsi" w:cstheme="minorHAnsi"/>
          <w:color w:val="000000" w:themeColor="text1"/>
          <w:sz w:val="22"/>
          <w:szCs w:val="22"/>
          <w:highlight w:val="white"/>
          <w:lang w:val="en-GB"/>
        </w:rPr>
      </w:pPr>
      <w:r w:rsidRPr="00C37A4D">
        <w:rPr>
          <w:rFonts w:asciiTheme="minorHAnsi" w:eastAsia="Arial" w:hAnsiTheme="minorHAnsi" w:cstheme="minorHAnsi"/>
          <w:color w:val="000000" w:themeColor="text1"/>
          <w:sz w:val="22"/>
          <w:szCs w:val="22"/>
          <w:highlight w:val="white"/>
          <w:lang w:val="en-GB"/>
        </w:rPr>
        <w:t>At the other end of life</w:t>
      </w:r>
      <w:r w:rsidR="00A666B5">
        <w:rPr>
          <w:rFonts w:asciiTheme="minorHAnsi" w:eastAsia="Arial" w:hAnsiTheme="minorHAnsi" w:cstheme="minorHAnsi"/>
          <w:color w:val="000000" w:themeColor="text1"/>
          <w:sz w:val="22"/>
          <w:szCs w:val="22"/>
          <w:highlight w:val="white"/>
          <w:lang w:val="en-GB"/>
        </w:rPr>
        <w:t>,</w:t>
      </w:r>
      <w:r w:rsidR="008D36AA">
        <w:rPr>
          <w:rFonts w:asciiTheme="minorHAnsi" w:eastAsia="Arial" w:hAnsiTheme="minorHAnsi" w:cstheme="minorHAnsi"/>
          <w:color w:val="000000" w:themeColor="text1"/>
          <w:sz w:val="22"/>
          <w:szCs w:val="22"/>
          <w:highlight w:val="white"/>
          <w:lang w:val="en-GB"/>
        </w:rPr>
        <w:t xml:space="preserve"> </w:t>
      </w:r>
      <w:r w:rsidR="00A666B5" w:rsidRPr="00C37A4D">
        <w:rPr>
          <w:rFonts w:asciiTheme="minorHAnsi" w:eastAsia="Arial" w:hAnsiTheme="minorHAnsi" w:cstheme="minorHAnsi"/>
          <w:color w:val="000000" w:themeColor="text1"/>
          <w:sz w:val="22"/>
          <w:szCs w:val="22"/>
          <w:highlight w:val="white"/>
          <w:lang w:val="en-GB"/>
        </w:rPr>
        <w:t xml:space="preserve">the comorbidities and </w:t>
      </w:r>
      <w:r w:rsidR="00A666B5" w:rsidRPr="00C37A4D">
        <w:rPr>
          <w:rFonts w:asciiTheme="minorHAnsi" w:eastAsia="Arial" w:hAnsiTheme="minorHAnsi" w:cstheme="minorHAnsi"/>
          <w:color w:val="000000" w:themeColor="text1"/>
          <w:sz w:val="22"/>
          <w:szCs w:val="22"/>
          <w:lang w:val="en-GB"/>
        </w:rPr>
        <w:t>immuno-senescence that can accompany aging</w:t>
      </w:r>
      <w:r w:rsidR="00A666B5">
        <w:rPr>
          <w:rFonts w:asciiTheme="minorHAnsi" w:eastAsia="Arial" w:hAnsiTheme="minorHAnsi" w:cstheme="minorHAnsi"/>
          <w:color w:val="000000" w:themeColor="text1"/>
          <w:sz w:val="22"/>
          <w:szCs w:val="22"/>
          <w:highlight w:val="white"/>
          <w:lang w:val="en-GB"/>
        </w:rPr>
        <w:t xml:space="preserve"> </w:t>
      </w:r>
      <w:r w:rsidR="003A35D1">
        <w:rPr>
          <w:rFonts w:asciiTheme="minorHAnsi" w:eastAsia="Arial" w:hAnsiTheme="minorHAnsi" w:cstheme="minorHAnsi"/>
          <w:color w:val="000000" w:themeColor="text1"/>
          <w:sz w:val="22"/>
          <w:szCs w:val="22"/>
          <w:highlight w:val="white"/>
          <w:lang w:val="en-GB"/>
        </w:rPr>
        <w:t>raise the</w:t>
      </w:r>
      <w:r w:rsidR="008D36AA">
        <w:rPr>
          <w:rFonts w:asciiTheme="minorHAnsi" w:eastAsia="Arial" w:hAnsiTheme="minorHAnsi" w:cstheme="minorHAnsi"/>
          <w:color w:val="000000" w:themeColor="text1"/>
          <w:sz w:val="22"/>
          <w:szCs w:val="22"/>
          <w:highlight w:val="white"/>
          <w:lang w:val="en-GB"/>
        </w:rPr>
        <w:t xml:space="preserve"> propensity </w:t>
      </w:r>
      <w:r w:rsidR="00A666B5">
        <w:rPr>
          <w:rFonts w:asciiTheme="minorHAnsi" w:eastAsia="Arial" w:hAnsiTheme="minorHAnsi" w:cstheme="minorHAnsi"/>
          <w:color w:val="000000" w:themeColor="text1"/>
          <w:sz w:val="22"/>
          <w:szCs w:val="22"/>
          <w:highlight w:val="white"/>
          <w:lang w:val="en-GB"/>
        </w:rPr>
        <w:t xml:space="preserve">for </w:t>
      </w:r>
      <w:r w:rsidR="008D36AA">
        <w:rPr>
          <w:rFonts w:asciiTheme="minorHAnsi" w:eastAsia="Arial" w:hAnsiTheme="minorHAnsi" w:cstheme="minorHAnsi"/>
          <w:color w:val="000000" w:themeColor="text1"/>
          <w:sz w:val="22"/>
          <w:szCs w:val="22"/>
          <w:highlight w:val="white"/>
          <w:lang w:val="en-GB"/>
        </w:rPr>
        <w:t>infection</w:t>
      </w:r>
      <w:r w:rsidR="00A666B5">
        <w:rPr>
          <w:rFonts w:asciiTheme="minorHAnsi" w:eastAsia="Arial" w:hAnsiTheme="minorHAnsi" w:cstheme="minorHAnsi"/>
          <w:color w:val="000000" w:themeColor="text1"/>
          <w:sz w:val="22"/>
          <w:szCs w:val="22"/>
          <w:highlight w:val="white"/>
          <w:lang w:val="en-GB"/>
        </w:rPr>
        <w:t>—</w:t>
      </w:r>
      <w:r w:rsidR="008D36AA">
        <w:rPr>
          <w:rFonts w:asciiTheme="minorHAnsi" w:eastAsia="Arial" w:hAnsiTheme="minorHAnsi" w:cstheme="minorHAnsi"/>
          <w:color w:val="000000" w:themeColor="text1"/>
          <w:sz w:val="22"/>
          <w:szCs w:val="22"/>
          <w:highlight w:val="white"/>
          <w:lang w:val="en-GB"/>
        </w:rPr>
        <w:t>increasingly</w:t>
      </w:r>
      <w:r w:rsidR="00A666B5">
        <w:rPr>
          <w:rFonts w:asciiTheme="minorHAnsi" w:eastAsia="Arial" w:hAnsiTheme="minorHAnsi" w:cstheme="minorHAnsi"/>
          <w:color w:val="000000" w:themeColor="text1"/>
          <w:sz w:val="22"/>
          <w:szCs w:val="22"/>
          <w:highlight w:val="white"/>
          <w:lang w:val="en-GB"/>
        </w:rPr>
        <w:t>,</w:t>
      </w:r>
      <w:r w:rsidR="008D36AA">
        <w:rPr>
          <w:rFonts w:asciiTheme="minorHAnsi" w:eastAsia="Arial" w:hAnsiTheme="minorHAnsi" w:cstheme="minorHAnsi"/>
          <w:color w:val="000000" w:themeColor="text1"/>
          <w:sz w:val="22"/>
          <w:szCs w:val="22"/>
          <w:highlight w:val="white"/>
          <w:lang w:val="en-GB"/>
        </w:rPr>
        <w:t xml:space="preserve"> antimicrobial</w:t>
      </w:r>
      <w:r w:rsidR="00A666B5">
        <w:rPr>
          <w:rFonts w:asciiTheme="minorHAnsi" w:eastAsia="Arial" w:hAnsiTheme="minorHAnsi" w:cstheme="minorHAnsi"/>
          <w:color w:val="000000" w:themeColor="text1"/>
          <w:sz w:val="22"/>
          <w:szCs w:val="22"/>
          <w:highlight w:val="white"/>
          <w:lang w:val="en-GB"/>
        </w:rPr>
        <w:t>-</w:t>
      </w:r>
      <w:r w:rsidR="008D36AA">
        <w:rPr>
          <w:rFonts w:asciiTheme="minorHAnsi" w:eastAsia="Arial" w:hAnsiTheme="minorHAnsi" w:cstheme="minorHAnsi"/>
          <w:color w:val="000000" w:themeColor="text1"/>
          <w:sz w:val="22"/>
          <w:szCs w:val="22"/>
          <w:highlight w:val="white"/>
          <w:lang w:val="en-GB"/>
        </w:rPr>
        <w:t>resistant infection</w:t>
      </w:r>
      <w:r w:rsidRPr="00C37A4D">
        <w:rPr>
          <w:rFonts w:asciiTheme="minorHAnsi" w:eastAsia="Arial" w:hAnsiTheme="minorHAnsi" w:cstheme="minorHAnsi"/>
          <w:color w:val="000000" w:themeColor="text1"/>
          <w:sz w:val="22"/>
          <w:szCs w:val="22"/>
          <w:highlight w:val="white"/>
          <w:lang w:val="en-GB"/>
        </w:rPr>
        <w:t xml:space="preserve"> </w:t>
      </w:r>
      <w:r w:rsidR="00E02A19">
        <w:rPr>
          <w:rFonts w:asciiTheme="minorHAnsi" w:eastAsia="Arial" w:hAnsiTheme="minorHAnsi" w:cstheme="minorHAnsi"/>
          <w:color w:val="000000" w:themeColor="text1"/>
          <w:sz w:val="22"/>
          <w:szCs w:val="22"/>
          <w:highlight w:val="white"/>
          <w:lang w:val="en-GB"/>
        </w:rPr>
        <w:t>(</w:t>
      </w:r>
      <w:r w:rsidR="00E02A19">
        <w:rPr>
          <w:rFonts w:asciiTheme="minorHAnsi" w:eastAsia="Arial" w:hAnsiTheme="minorHAnsi" w:cstheme="minorHAnsi"/>
          <w:b/>
          <w:bCs/>
          <w:color w:val="000000" w:themeColor="text1"/>
          <w:sz w:val="22"/>
          <w:szCs w:val="22"/>
          <w:highlight w:val="white"/>
          <w:lang w:val="en-GB"/>
        </w:rPr>
        <w:t xml:space="preserve">Figure </w:t>
      </w:r>
      <w:r w:rsidR="00A670AC">
        <w:rPr>
          <w:rFonts w:asciiTheme="minorHAnsi" w:eastAsia="Arial" w:hAnsiTheme="minorHAnsi" w:cstheme="minorHAnsi"/>
          <w:b/>
          <w:bCs/>
          <w:color w:val="000000" w:themeColor="text1"/>
          <w:sz w:val="22"/>
          <w:szCs w:val="22"/>
          <w:highlight w:val="white"/>
          <w:lang w:val="en-GB"/>
        </w:rPr>
        <w:t>3</w:t>
      </w:r>
      <w:r w:rsidR="00D52B0E">
        <w:rPr>
          <w:rFonts w:asciiTheme="minorHAnsi" w:eastAsia="Arial" w:hAnsiTheme="minorHAnsi" w:cstheme="minorHAnsi"/>
          <w:color w:val="000000" w:themeColor="text1"/>
          <w:sz w:val="22"/>
          <w:szCs w:val="22"/>
          <w:highlight w:val="white"/>
          <w:lang w:val="en-GB"/>
        </w:rPr>
        <w:t>)</w:t>
      </w:r>
      <w:r w:rsidRPr="00C37A4D">
        <w:rPr>
          <w:rFonts w:asciiTheme="minorHAnsi" w:eastAsia="Arial" w:hAnsiTheme="minorHAnsi" w:cstheme="minorHAnsi"/>
          <w:color w:val="000000" w:themeColor="text1"/>
          <w:sz w:val="22"/>
          <w:szCs w:val="22"/>
          <w:highlight w:val="white"/>
          <w:lang w:val="en-GB"/>
        </w:rPr>
        <w:t xml:space="preserve">. </w:t>
      </w:r>
      <w:r w:rsidR="00E70822">
        <w:rPr>
          <w:rFonts w:asciiTheme="minorHAnsi" w:eastAsia="Arial" w:hAnsiTheme="minorHAnsi" w:cstheme="minorHAnsi"/>
          <w:color w:val="000000" w:themeColor="text1"/>
          <w:sz w:val="22"/>
          <w:szCs w:val="22"/>
          <w:highlight w:val="white"/>
          <w:lang w:val="en-GB"/>
        </w:rPr>
        <w:t>R</w:t>
      </w:r>
      <w:r w:rsidR="001532F9" w:rsidRPr="00C37A4D">
        <w:rPr>
          <w:rFonts w:asciiTheme="minorHAnsi" w:eastAsia="Arial" w:hAnsiTheme="minorHAnsi" w:cstheme="minorHAnsi"/>
          <w:color w:val="000000" w:themeColor="text1"/>
          <w:sz w:val="22"/>
          <w:szCs w:val="22"/>
          <w:highlight w:val="white"/>
          <w:lang w:val="en-GB"/>
        </w:rPr>
        <w:t xml:space="preserve">oughly a </w:t>
      </w:r>
      <w:r w:rsidR="003A35D1">
        <w:rPr>
          <w:rFonts w:asciiTheme="minorHAnsi" w:eastAsia="Arial" w:hAnsiTheme="minorHAnsi" w:cstheme="minorHAnsi"/>
          <w:color w:val="000000" w:themeColor="text1"/>
          <w:sz w:val="22"/>
          <w:szCs w:val="22"/>
          <w:highlight w:val="white"/>
          <w:lang w:val="en-GB"/>
        </w:rPr>
        <w:t>10th</w:t>
      </w:r>
      <w:r w:rsidR="003A35D1" w:rsidRPr="00C37A4D">
        <w:rPr>
          <w:rFonts w:asciiTheme="minorHAnsi" w:eastAsia="Arial" w:hAnsiTheme="minorHAnsi" w:cstheme="minorHAnsi"/>
          <w:color w:val="000000" w:themeColor="text1"/>
          <w:sz w:val="22"/>
          <w:szCs w:val="22"/>
          <w:highlight w:val="white"/>
          <w:lang w:val="en-GB"/>
        </w:rPr>
        <w:t xml:space="preserve"> </w:t>
      </w:r>
      <w:r w:rsidR="001532F9" w:rsidRPr="00C37A4D">
        <w:rPr>
          <w:rFonts w:asciiTheme="minorHAnsi" w:eastAsia="Arial" w:hAnsiTheme="minorHAnsi" w:cstheme="minorHAnsi"/>
          <w:color w:val="000000" w:themeColor="text1"/>
          <w:sz w:val="22"/>
          <w:szCs w:val="22"/>
          <w:highlight w:val="white"/>
          <w:lang w:val="en-GB"/>
        </w:rPr>
        <w:t>of the world’s population is</w:t>
      </w:r>
      <w:r w:rsidR="00A666B5">
        <w:rPr>
          <w:rFonts w:asciiTheme="minorHAnsi" w:eastAsia="Arial" w:hAnsiTheme="minorHAnsi" w:cstheme="minorHAnsi"/>
          <w:color w:val="000000" w:themeColor="text1"/>
          <w:sz w:val="22"/>
          <w:szCs w:val="22"/>
          <w:highlight w:val="white"/>
          <w:lang w:val="en-GB"/>
        </w:rPr>
        <w:t xml:space="preserve"> older than</w:t>
      </w:r>
      <w:r w:rsidR="001532F9" w:rsidRPr="00C37A4D">
        <w:rPr>
          <w:rFonts w:asciiTheme="minorHAnsi" w:eastAsia="Arial" w:hAnsiTheme="minorHAnsi" w:cstheme="minorHAnsi"/>
          <w:color w:val="000000" w:themeColor="text1"/>
          <w:sz w:val="22"/>
          <w:szCs w:val="22"/>
          <w:highlight w:val="white"/>
          <w:lang w:val="en-GB"/>
        </w:rPr>
        <w:t xml:space="preserve"> 65</w:t>
      </w:r>
      <w:r w:rsidR="00C810BF" w:rsidRPr="00C37A4D">
        <w:rPr>
          <w:rFonts w:asciiTheme="minorHAnsi" w:eastAsia="Arial" w:hAnsiTheme="minorHAnsi" w:cstheme="minorHAnsi"/>
          <w:color w:val="000000" w:themeColor="text1"/>
          <w:sz w:val="22"/>
          <w:szCs w:val="22"/>
          <w:highlight w:val="white"/>
          <w:lang w:val="en-GB"/>
        </w:rPr>
        <w:t>,</w:t>
      </w:r>
      <w:r w:rsidR="001532F9" w:rsidRPr="00C37A4D">
        <w:rPr>
          <w:rFonts w:asciiTheme="minorHAnsi" w:eastAsia="Arial" w:hAnsiTheme="minorHAnsi" w:cstheme="minorHAnsi"/>
          <w:color w:val="000000" w:themeColor="text1"/>
          <w:sz w:val="22"/>
          <w:szCs w:val="22"/>
          <w:highlight w:val="white"/>
          <w:lang w:val="en-GB"/>
        </w:rPr>
        <w:t xml:space="preserve"> </w:t>
      </w:r>
      <w:r w:rsidR="002B61DA" w:rsidRPr="00C37A4D">
        <w:rPr>
          <w:rFonts w:asciiTheme="minorHAnsi" w:eastAsia="Arial" w:hAnsiTheme="minorHAnsi" w:cstheme="minorHAnsi"/>
          <w:color w:val="000000" w:themeColor="text1"/>
          <w:sz w:val="22"/>
          <w:szCs w:val="22"/>
          <w:highlight w:val="white"/>
          <w:lang w:val="en-GB"/>
        </w:rPr>
        <w:t xml:space="preserve">a </w:t>
      </w:r>
      <w:r w:rsidR="001532F9" w:rsidRPr="00C37A4D">
        <w:rPr>
          <w:rFonts w:asciiTheme="minorHAnsi" w:eastAsia="Arial" w:hAnsiTheme="minorHAnsi" w:cstheme="minorHAnsi"/>
          <w:color w:val="000000" w:themeColor="text1"/>
          <w:sz w:val="22"/>
          <w:szCs w:val="22"/>
          <w:highlight w:val="white"/>
          <w:lang w:val="en-GB"/>
        </w:rPr>
        <w:t>proportion likely to double by 2050</w:t>
      </w:r>
      <w:r w:rsidR="000B024F">
        <w:rPr>
          <w:rFonts w:asciiTheme="minorHAnsi" w:eastAsia="Arial" w:hAnsiTheme="minorHAnsi" w:cstheme="minorHAnsi"/>
          <w:color w:val="000000" w:themeColor="text1"/>
          <w:sz w:val="22"/>
          <w:szCs w:val="22"/>
          <w:highlight w:val="white"/>
          <w:lang w:val="en-GB"/>
        </w:rPr>
        <w:t>.</w:t>
      </w:r>
      <w:r w:rsidR="00E00CFD" w:rsidRPr="00E00CFD">
        <w:rPr>
          <w:rFonts w:hAnsiTheme="minorHAnsi"/>
          <w:color w:val="000000"/>
          <w:sz w:val="22"/>
          <w:vertAlign w:val="superscript"/>
        </w:rPr>
        <w:t>38</w:t>
      </w:r>
      <w:r w:rsidR="00EC0483">
        <w:rPr>
          <w:rFonts w:asciiTheme="minorHAnsi" w:eastAsia="Arial" w:hAnsiTheme="minorHAnsi" w:cstheme="minorHAnsi"/>
          <w:color w:val="000000" w:themeColor="text1"/>
          <w:sz w:val="22"/>
          <w:szCs w:val="22"/>
          <w:highlight w:val="white"/>
          <w:lang w:val="en-GB"/>
        </w:rPr>
        <w:t xml:space="preserve"> </w:t>
      </w:r>
      <w:r w:rsidR="002B61DA" w:rsidRPr="00C37A4D">
        <w:rPr>
          <w:rFonts w:asciiTheme="minorHAnsi" w:eastAsia="Arial" w:hAnsiTheme="minorHAnsi" w:cstheme="minorHAnsi"/>
          <w:color w:val="000000" w:themeColor="text1"/>
          <w:sz w:val="22"/>
          <w:szCs w:val="22"/>
          <w:highlight w:val="white"/>
          <w:lang w:val="en-GB"/>
        </w:rPr>
        <w:t>A</w:t>
      </w:r>
      <w:r w:rsidR="00112416">
        <w:rPr>
          <w:rFonts w:asciiTheme="minorHAnsi" w:eastAsia="Arial" w:hAnsiTheme="minorHAnsi" w:cstheme="minorHAnsi"/>
          <w:color w:val="000000" w:themeColor="text1"/>
          <w:sz w:val="22"/>
          <w:szCs w:val="22"/>
          <w:highlight w:val="white"/>
          <w:lang w:val="en-GB"/>
        </w:rPr>
        <w:t>dditionally,</w:t>
      </w:r>
      <w:r w:rsidR="002B61DA" w:rsidRPr="00C37A4D">
        <w:rPr>
          <w:rFonts w:asciiTheme="minorHAnsi" w:eastAsia="Arial" w:hAnsiTheme="minorHAnsi" w:cstheme="minorHAnsi"/>
          <w:color w:val="000000" w:themeColor="text1"/>
          <w:sz w:val="22"/>
          <w:szCs w:val="22"/>
          <w:highlight w:val="white"/>
          <w:lang w:val="en-GB"/>
        </w:rPr>
        <w:t xml:space="preserve"> </w:t>
      </w:r>
      <w:r w:rsidR="008642DA" w:rsidRPr="00C37A4D">
        <w:rPr>
          <w:rFonts w:asciiTheme="minorHAnsi" w:eastAsia="Arial" w:hAnsiTheme="minorHAnsi" w:cstheme="minorHAnsi"/>
          <w:color w:val="000000" w:themeColor="text1"/>
          <w:sz w:val="22"/>
          <w:szCs w:val="22"/>
          <w:highlight w:val="white"/>
          <w:lang w:val="en-GB"/>
        </w:rPr>
        <w:t>p</w:t>
      </w:r>
      <w:r w:rsidR="002B5E9B" w:rsidRPr="00C37A4D">
        <w:rPr>
          <w:rFonts w:asciiTheme="minorHAnsi" w:eastAsia="Arial" w:hAnsiTheme="minorHAnsi" w:cstheme="minorHAnsi"/>
          <w:color w:val="000000" w:themeColor="text1"/>
          <w:sz w:val="22"/>
          <w:szCs w:val="22"/>
          <w:highlight w:val="white"/>
          <w:lang w:val="en-GB"/>
        </w:rPr>
        <w:t>rogress in</w:t>
      </w:r>
      <w:r w:rsidR="00C810BF" w:rsidRPr="00C37A4D">
        <w:rPr>
          <w:rFonts w:asciiTheme="minorHAnsi" w:eastAsia="Arial" w:hAnsiTheme="minorHAnsi" w:cstheme="minorHAnsi"/>
          <w:color w:val="000000" w:themeColor="text1"/>
          <w:sz w:val="22"/>
          <w:szCs w:val="22"/>
          <w:highlight w:val="white"/>
          <w:lang w:val="en-GB"/>
        </w:rPr>
        <w:t xml:space="preserve"> treating</w:t>
      </w:r>
      <w:r w:rsidR="002B5E9B" w:rsidRPr="00C37A4D">
        <w:rPr>
          <w:rFonts w:asciiTheme="minorHAnsi" w:eastAsia="Arial" w:hAnsiTheme="minorHAnsi" w:cstheme="minorHAnsi"/>
          <w:color w:val="000000" w:themeColor="text1"/>
          <w:sz w:val="22"/>
          <w:szCs w:val="22"/>
          <w:highlight w:val="white"/>
          <w:lang w:val="en-GB"/>
        </w:rPr>
        <w:t xml:space="preserve"> noncommunicable diseases</w:t>
      </w:r>
      <w:r w:rsidR="0054509B">
        <w:rPr>
          <w:rFonts w:asciiTheme="minorHAnsi" w:eastAsia="Arial" w:hAnsiTheme="minorHAnsi" w:cstheme="minorHAnsi"/>
          <w:color w:val="000000" w:themeColor="text1"/>
          <w:sz w:val="22"/>
          <w:szCs w:val="22"/>
          <w:highlight w:val="white"/>
          <w:lang w:val="en-GB"/>
        </w:rPr>
        <w:t xml:space="preserve"> (NCDs)</w:t>
      </w:r>
      <w:r w:rsidR="008642DA" w:rsidRPr="00C37A4D">
        <w:rPr>
          <w:rFonts w:asciiTheme="minorHAnsi" w:eastAsia="Arial" w:hAnsiTheme="minorHAnsi" w:cstheme="minorHAnsi"/>
          <w:color w:val="000000" w:themeColor="text1"/>
          <w:sz w:val="22"/>
          <w:szCs w:val="22"/>
          <w:highlight w:val="white"/>
          <w:lang w:val="en-GB"/>
        </w:rPr>
        <w:t>,</w:t>
      </w:r>
      <w:r w:rsidR="002B5E9B" w:rsidRPr="00C37A4D">
        <w:rPr>
          <w:rFonts w:asciiTheme="minorHAnsi" w:eastAsia="Arial" w:hAnsiTheme="minorHAnsi" w:cstheme="minorHAnsi"/>
          <w:color w:val="000000" w:themeColor="text1"/>
          <w:sz w:val="22"/>
          <w:szCs w:val="22"/>
          <w:highlight w:val="white"/>
          <w:lang w:val="en-GB"/>
        </w:rPr>
        <w:t xml:space="preserve"> including diabetes and cancer</w:t>
      </w:r>
      <w:r w:rsidR="008642DA" w:rsidRPr="00C37A4D">
        <w:rPr>
          <w:rFonts w:asciiTheme="minorHAnsi" w:eastAsia="Arial" w:hAnsiTheme="minorHAnsi" w:cstheme="minorHAnsi"/>
          <w:color w:val="000000" w:themeColor="text1"/>
          <w:sz w:val="22"/>
          <w:szCs w:val="22"/>
          <w:highlight w:val="white"/>
          <w:lang w:val="en-GB"/>
        </w:rPr>
        <w:t>,</w:t>
      </w:r>
      <w:r w:rsidR="002B5E9B" w:rsidRPr="00C37A4D">
        <w:rPr>
          <w:rFonts w:asciiTheme="minorHAnsi" w:eastAsia="Arial" w:hAnsiTheme="minorHAnsi" w:cstheme="minorHAnsi"/>
          <w:color w:val="000000" w:themeColor="text1"/>
          <w:sz w:val="22"/>
          <w:szCs w:val="22"/>
          <w:highlight w:val="white"/>
          <w:lang w:val="en-GB"/>
        </w:rPr>
        <w:t xml:space="preserve"> </w:t>
      </w:r>
      <w:r w:rsidR="002B61DA" w:rsidRPr="00C37A4D">
        <w:rPr>
          <w:rFonts w:asciiTheme="minorHAnsi" w:eastAsia="Arial" w:hAnsiTheme="minorHAnsi" w:cstheme="minorHAnsi"/>
          <w:color w:val="000000" w:themeColor="text1"/>
          <w:sz w:val="22"/>
          <w:szCs w:val="22"/>
          <w:highlight w:val="white"/>
          <w:lang w:val="en-GB"/>
        </w:rPr>
        <w:t xml:space="preserve">in people of all ages </w:t>
      </w:r>
      <w:r w:rsidR="001A2214" w:rsidRPr="00C37A4D">
        <w:rPr>
          <w:rFonts w:asciiTheme="minorHAnsi" w:eastAsia="Arial" w:hAnsiTheme="minorHAnsi" w:cstheme="minorHAnsi"/>
          <w:color w:val="000000" w:themeColor="text1"/>
          <w:sz w:val="22"/>
          <w:szCs w:val="22"/>
          <w:highlight w:val="white"/>
          <w:lang w:val="en-GB"/>
        </w:rPr>
        <w:t>is</w:t>
      </w:r>
      <w:r w:rsidR="002B5E9B" w:rsidRPr="00C37A4D">
        <w:rPr>
          <w:rFonts w:asciiTheme="minorHAnsi" w:eastAsia="Arial" w:hAnsiTheme="minorHAnsi" w:cstheme="minorHAnsi"/>
          <w:color w:val="000000" w:themeColor="text1"/>
          <w:sz w:val="22"/>
          <w:szCs w:val="22"/>
          <w:highlight w:val="white"/>
          <w:lang w:val="en-GB"/>
        </w:rPr>
        <w:t xml:space="preserve"> </w:t>
      </w:r>
      <w:r w:rsidR="00442CD1">
        <w:rPr>
          <w:rFonts w:asciiTheme="minorHAnsi" w:eastAsia="Arial" w:hAnsiTheme="minorHAnsi" w:cstheme="minorHAnsi"/>
          <w:color w:val="000000" w:themeColor="text1"/>
          <w:sz w:val="22"/>
          <w:szCs w:val="22"/>
          <w:highlight w:val="white"/>
          <w:lang w:val="en-GB"/>
        </w:rPr>
        <w:t>constrained</w:t>
      </w:r>
      <w:r w:rsidR="002B5E9B" w:rsidRPr="00C37A4D">
        <w:rPr>
          <w:rFonts w:asciiTheme="minorHAnsi" w:eastAsia="Arial" w:hAnsiTheme="minorHAnsi" w:cstheme="minorHAnsi"/>
          <w:color w:val="000000" w:themeColor="text1"/>
          <w:sz w:val="22"/>
          <w:szCs w:val="22"/>
          <w:highlight w:val="white"/>
          <w:lang w:val="en-GB"/>
        </w:rPr>
        <w:t xml:space="preserve"> by </w:t>
      </w:r>
      <w:r w:rsidR="00705989">
        <w:rPr>
          <w:rFonts w:asciiTheme="minorHAnsi" w:eastAsia="Arial" w:hAnsiTheme="minorHAnsi" w:cstheme="minorHAnsi"/>
          <w:color w:val="000000" w:themeColor="text1"/>
          <w:sz w:val="22"/>
          <w:szCs w:val="22"/>
          <w:highlight w:val="white"/>
          <w:lang w:val="en-GB"/>
        </w:rPr>
        <w:t>AMR</w:t>
      </w:r>
      <w:r w:rsidR="0054509B">
        <w:rPr>
          <w:rFonts w:asciiTheme="minorHAnsi" w:eastAsia="Arial" w:hAnsiTheme="minorHAnsi" w:cstheme="minorHAnsi"/>
          <w:color w:val="000000" w:themeColor="text1"/>
          <w:sz w:val="22"/>
          <w:szCs w:val="22"/>
          <w:highlight w:val="white"/>
          <w:lang w:val="en-GB"/>
        </w:rPr>
        <w:t>.</w:t>
      </w:r>
      <w:r w:rsidR="008642DA" w:rsidRPr="00C37A4D">
        <w:rPr>
          <w:rFonts w:asciiTheme="minorHAnsi" w:eastAsia="Arial" w:hAnsiTheme="minorHAnsi" w:cstheme="minorHAnsi"/>
          <w:color w:val="000000" w:themeColor="text1"/>
          <w:sz w:val="22"/>
          <w:szCs w:val="22"/>
          <w:highlight w:val="white"/>
          <w:lang w:val="en-GB"/>
        </w:rPr>
        <w:t xml:space="preserve"> </w:t>
      </w:r>
      <w:r w:rsidR="008D36AA">
        <w:rPr>
          <w:rFonts w:asciiTheme="minorHAnsi" w:eastAsia="Arial" w:hAnsiTheme="minorHAnsi" w:cstheme="minorHAnsi"/>
          <w:color w:val="000000" w:themeColor="text1"/>
          <w:sz w:val="22"/>
          <w:szCs w:val="22"/>
          <w:highlight w:val="white"/>
          <w:lang w:val="en-GB"/>
        </w:rPr>
        <w:t>Drug-resistant h</w:t>
      </w:r>
      <w:r w:rsidR="008642DA" w:rsidRPr="00C37A4D">
        <w:rPr>
          <w:rFonts w:asciiTheme="minorHAnsi" w:eastAsia="Arial" w:hAnsiTheme="minorHAnsi" w:cstheme="minorHAnsi"/>
          <w:color w:val="000000" w:themeColor="text1"/>
          <w:sz w:val="22"/>
          <w:szCs w:val="22"/>
          <w:highlight w:val="white"/>
          <w:lang w:val="en-GB"/>
        </w:rPr>
        <w:t>ealthcare</w:t>
      </w:r>
      <w:r w:rsidR="00C810BF" w:rsidRPr="00C37A4D">
        <w:rPr>
          <w:rFonts w:asciiTheme="minorHAnsi" w:eastAsia="Arial" w:hAnsiTheme="minorHAnsi" w:cstheme="minorHAnsi"/>
          <w:color w:val="000000" w:themeColor="text1"/>
          <w:sz w:val="22"/>
          <w:szCs w:val="22"/>
          <w:highlight w:val="white"/>
          <w:lang w:val="en-GB"/>
        </w:rPr>
        <w:t>-</w:t>
      </w:r>
      <w:r w:rsidR="008642DA" w:rsidRPr="00C37A4D">
        <w:rPr>
          <w:rFonts w:asciiTheme="minorHAnsi" w:eastAsia="Arial" w:hAnsiTheme="minorHAnsi" w:cstheme="minorHAnsi"/>
          <w:color w:val="000000" w:themeColor="text1"/>
          <w:sz w:val="22"/>
          <w:szCs w:val="22"/>
          <w:highlight w:val="white"/>
          <w:lang w:val="en-GB"/>
        </w:rPr>
        <w:t xml:space="preserve">acquired infections </w:t>
      </w:r>
      <w:r w:rsidR="00B6506F">
        <w:rPr>
          <w:rFonts w:asciiTheme="minorHAnsi" w:eastAsia="Arial" w:hAnsiTheme="minorHAnsi" w:cstheme="minorHAnsi"/>
          <w:color w:val="000000" w:themeColor="text1"/>
          <w:sz w:val="22"/>
          <w:szCs w:val="22"/>
          <w:highlight w:val="white"/>
          <w:lang w:val="en-GB"/>
        </w:rPr>
        <w:t xml:space="preserve">(HCAIs) </w:t>
      </w:r>
      <w:r w:rsidR="008D36AA">
        <w:rPr>
          <w:rFonts w:asciiTheme="minorHAnsi" w:eastAsia="Arial" w:hAnsiTheme="minorHAnsi" w:cstheme="minorHAnsi"/>
          <w:color w:val="000000" w:themeColor="text1"/>
          <w:sz w:val="22"/>
          <w:szCs w:val="22"/>
          <w:highlight w:val="white"/>
          <w:lang w:val="en-GB"/>
        </w:rPr>
        <w:t>in such patients</w:t>
      </w:r>
      <w:r w:rsidR="00B6506F">
        <w:rPr>
          <w:rFonts w:asciiTheme="minorHAnsi" w:eastAsia="Arial" w:hAnsiTheme="minorHAnsi" w:cstheme="minorHAnsi"/>
          <w:color w:val="000000" w:themeColor="text1"/>
          <w:sz w:val="22"/>
          <w:szCs w:val="22"/>
          <w:highlight w:val="white"/>
          <w:lang w:val="en-GB"/>
        </w:rPr>
        <w:t xml:space="preserve"> </w:t>
      </w:r>
      <w:r w:rsidR="008642DA" w:rsidRPr="00C37A4D">
        <w:rPr>
          <w:rFonts w:asciiTheme="minorHAnsi" w:eastAsia="Arial" w:hAnsiTheme="minorHAnsi" w:cstheme="minorHAnsi"/>
          <w:color w:val="000000" w:themeColor="text1"/>
          <w:sz w:val="22"/>
          <w:szCs w:val="22"/>
          <w:highlight w:val="white"/>
          <w:lang w:val="en-GB"/>
        </w:rPr>
        <w:t xml:space="preserve">complicate </w:t>
      </w:r>
      <w:r w:rsidR="00726F6C">
        <w:rPr>
          <w:rFonts w:asciiTheme="minorHAnsi" w:eastAsia="Arial" w:hAnsiTheme="minorHAnsi" w:cstheme="minorHAnsi"/>
          <w:color w:val="000000" w:themeColor="text1"/>
          <w:sz w:val="22"/>
          <w:szCs w:val="22"/>
          <w:highlight w:val="white"/>
          <w:lang w:val="en-GB"/>
        </w:rPr>
        <w:t>treatment</w:t>
      </w:r>
      <w:r w:rsidR="002B5E9B" w:rsidRPr="00C37A4D">
        <w:rPr>
          <w:rFonts w:asciiTheme="minorHAnsi" w:eastAsia="Arial" w:hAnsiTheme="minorHAnsi" w:cstheme="minorHAnsi"/>
          <w:color w:val="000000" w:themeColor="text1"/>
          <w:sz w:val="22"/>
          <w:szCs w:val="22"/>
          <w:highlight w:val="white"/>
          <w:lang w:val="en-GB"/>
        </w:rPr>
        <w:t>, lengthe</w:t>
      </w:r>
      <w:r w:rsidR="008642DA" w:rsidRPr="00C37A4D">
        <w:rPr>
          <w:rFonts w:asciiTheme="minorHAnsi" w:eastAsia="Arial" w:hAnsiTheme="minorHAnsi" w:cstheme="minorHAnsi"/>
          <w:color w:val="000000" w:themeColor="text1"/>
          <w:sz w:val="22"/>
          <w:szCs w:val="22"/>
          <w:highlight w:val="white"/>
          <w:lang w:val="en-GB"/>
        </w:rPr>
        <w:t>n</w:t>
      </w:r>
      <w:r w:rsidR="002B5E9B" w:rsidRPr="00C37A4D">
        <w:rPr>
          <w:rFonts w:asciiTheme="minorHAnsi" w:eastAsia="Arial" w:hAnsiTheme="minorHAnsi" w:cstheme="minorHAnsi"/>
          <w:color w:val="000000" w:themeColor="text1"/>
          <w:sz w:val="22"/>
          <w:szCs w:val="22"/>
          <w:highlight w:val="white"/>
          <w:lang w:val="en-GB"/>
        </w:rPr>
        <w:t xml:space="preserve"> hospital stays</w:t>
      </w:r>
      <w:r w:rsidR="00B6506F">
        <w:rPr>
          <w:rFonts w:asciiTheme="minorHAnsi" w:eastAsia="Arial" w:hAnsiTheme="minorHAnsi" w:cstheme="minorHAnsi"/>
          <w:color w:val="000000" w:themeColor="text1"/>
          <w:sz w:val="22"/>
          <w:szCs w:val="22"/>
          <w:highlight w:val="white"/>
          <w:lang w:val="en-GB"/>
        </w:rPr>
        <w:t>,</w:t>
      </w:r>
      <w:r w:rsidR="002B5E9B" w:rsidRPr="00C37A4D">
        <w:rPr>
          <w:rFonts w:asciiTheme="minorHAnsi" w:eastAsia="Arial" w:hAnsiTheme="minorHAnsi" w:cstheme="minorHAnsi"/>
          <w:color w:val="000000" w:themeColor="text1"/>
          <w:sz w:val="22"/>
          <w:szCs w:val="22"/>
          <w:highlight w:val="white"/>
          <w:lang w:val="en-GB"/>
        </w:rPr>
        <w:t xml:space="preserve"> and </w:t>
      </w:r>
      <w:r w:rsidR="008642DA" w:rsidRPr="00C37A4D">
        <w:rPr>
          <w:rFonts w:asciiTheme="minorHAnsi" w:eastAsia="Arial" w:hAnsiTheme="minorHAnsi" w:cstheme="minorHAnsi"/>
          <w:color w:val="000000" w:themeColor="text1"/>
          <w:sz w:val="22"/>
          <w:szCs w:val="22"/>
          <w:highlight w:val="white"/>
          <w:lang w:val="en-GB"/>
        </w:rPr>
        <w:t xml:space="preserve">increase </w:t>
      </w:r>
      <w:r w:rsidR="002B5E9B" w:rsidRPr="00C37A4D">
        <w:rPr>
          <w:rFonts w:asciiTheme="minorHAnsi" w:eastAsia="Arial" w:hAnsiTheme="minorHAnsi" w:cstheme="minorHAnsi"/>
          <w:color w:val="000000" w:themeColor="text1"/>
          <w:sz w:val="22"/>
          <w:szCs w:val="22"/>
          <w:highlight w:val="white"/>
          <w:lang w:val="en-GB"/>
        </w:rPr>
        <w:t xml:space="preserve">cost of care. </w:t>
      </w:r>
    </w:p>
    <w:p w14:paraId="676AEA17" w14:textId="77777777" w:rsidR="002B5E9B" w:rsidRPr="00C37A4D" w:rsidRDefault="002B5E9B" w:rsidP="001532F9">
      <w:pPr>
        <w:rPr>
          <w:rFonts w:asciiTheme="minorHAnsi" w:eastAsia="Arial" w:hAnsiTheme="minorHAnsi" w:cstheme="minorHAnsi"/>
          <w:color w:val="000000" w:themeColor="text1"/>
          <w:sz w:val="22"/>
          <w:szCs w:val="22"/>
          <w:highlight w:val="white"/>
          <w:lang w:val="en-GB"/>
        </w:rPr>
      </w:pPr>
    </w:p>
    <w:p w14:paraId="0AB07114" w14:textId="089B9017" w:rsidR="00C03228" w:rsidRDefault="00556D45" w:rsidP="00B979E0">
      <w:pPr>
        <w:rPr>
          <w:rFonts w:asciiTheme="minorHAnsi" w:eastAsia="Arial" w:hAnsiTheme="minorHAnsi" w:cstheme="minorHAnsi"/>
          <w:color w:val="000000" w:themeColor="text1"/>
          <w:sz w:val="22"/>
          <w:szCs w:val="22"/>
          <w:lang w:val="en-GB"/>
        </w:rPr>
      </w:pPr>
      <w:r>
        <w:rPr>
          <w:rFonts w:asciiTheme="minorHAnsi" w:eastAsia="Arial" w:hAnsiTheme="minorHAnsi" w:cstheme="minorHAnsi"/>
          <w:color w:val="000000" w:themeColor="text1"/>
          <w:sz w:val="22"/>
          <w:szCs w:val="22"/>
          <w:highlight w:val="white"/>
          <w:lang w:val="en-GB"/>
        </w:rPr>
        <w:t>AMR</w:t>
      </w:r>
      <w:r w:rsidR="008642DA" w:rsidRPr="00C37A4D">
        <w:rPr>
          <w:rFonts w:asciiTheme="minorHAnsi" w:eastAsia="Arial" w:hAnsiTheme="minorHAnsi" w:cstheme="minorHAnsi"/>
          <w:color w:val="000000" w:themeColor="text1"/>
          <w:sz w:val="22"/>
          <w:szCs w:val="22"/>
          <w:highlight w:val="white"/>
          <w:lang w:val="en-GB"/>
        </w:rPr>
        <w:t xml:space="preserve"> also threatens global health through food insecurity. </w:t>
      </w:r>
      <w:r w:rsidR="003A35D1">
        <w:rPr>
          <w:rFonts w:asciiTheme="minorHAnsi" w:eastAsia="Arial" w:hAnsiTheme="minorHAnsi" w:cstheme="minorHAnsi"/>
          <w:color w:val="000000" w:themeColor="text1"/>
          <w:sz w:val="22"/>
          <w:szCs w:val="22"/>
          <w:highlight w:val="white"/>
          <w:lang w:val="en-GB"/>
        </w:rPr>
        <w:t xml:space="preserve">Resistance </w:t>
      </w:r>
      <w:r w:rsidR="002B5E9B" w:rsidRPr="00C37A4D">
        <w:rPr>
          <w:rFonts w:asciiTheme="minorHAnsi" w:eastAsia="Arial" w:hAnsiTheme="minorHAnsi" w:cstheme="minorHAnsi"/>
          <w:color w:val="000000" w:themeColor="text1"/>
          <w:sz w:val="22"/>
          <w:szCs w:val="22"/>
          <w:highlight w:val="white"/>
          <w:lang w:val="en-GB"/>
        </w:rPr>
        <w:t xml:space="preserve">restricts our ability to treat sick </w:t>
      </w:r>
      <w:r w:rsidR="003A35D1">
        <w:rPr>
          <w:rFonts w:asciiTheme="minorHAnsi" w:eastAsia="Arial" w:hAnsiTheme="minorHAnsi" w:cstheme="minorHAnsi"/>
          <w:color w:val="000000" w:themeColor="text1"/>
          <w:sz w:val="22"/>
          <w:szCs w:val="22"/>
          <w:highlight w:val="white"/>
          <w:lang w:val="en-GB"/>
        </w:rPr>
        <w:t>livestock</w:t>
      </w:r>
      <w:r w:rsidR="00C810BF" w:rsidRPr="00C37A4D">
        <w:rPr>
          <w:rFonts w:asciiTheme="minorHAnsi" w:eastAsia="Arial" w:hAnsiTheme="minorHAnsi" w:cstheme="minorHAnsi"/>
          <w:color w:val="000000" w:themeColor="text1"/>
          <w:sz w:val="22"/>
          <w:szCs w:val="22"/>
          <w:highlight w:val="white"/>
          <w:lang w:val="en-GB"/>
        </w:rPr>
        <w:t>, potentially increasing</w:t>
      </w:r>
      <w:r w:rsidR="002B5E9B" w:rsidRPr="00C37A4D">
        <w:rPr>
          <w:rFonts w:asciiTheme="minorHAnsi" w:eastAsia="Arial" w:hAnsiTheme="minorHAnsi" w:cstheme="minorHAnsi"/>
          <w:color w:val="000000" w:themeColor="text1"/>
          <w:sz w:val="22"/>
          <w:szCs w:val="22"/>
          <w:highlight w:val="white"/>
          <w:lang w:val="en-GB"/>
        </w:rPr>
        <w:t xml:space="preserve"> the cost </w:t>
      </w:r>
      <w:r w:rsidR="008642DA" w:rsidRPr="00C37A4D">
        <w:rPr>
          <w:rFonts w:asciiTheme="minorHAnsi" w:eastAsia="Arial" w:hAnsiTheme="minorHAnsi" w:cstheme="minorHAnsi"/>
          <w:color w:val="000000" w:themeColor="text1"/>
          <w:sz w:val="22"/>
          <w:szCs w:val="22"/>
          <w:highlight w:val="white"/>
          <w:lang w:val="en-GB"/>
        </w:rPr>
        <w:t xml:space="preserve">and availability </w:t>
      </w:r>
      <w:r w:rsidR="002B5E9B" w:rsidRPr="00C37A4D">
        <w:rPr>
          <w:rFonts w:asciiTheme="minorHAnsi" w:eastAsia="Arial" w:hAnsiTheme="minorHAnsi" w:cstheme="minorHAnsi"/>
          <w:color w:val="000000" w:themeColor="text1"/>
          <w:sz w:val="22"/>
          <w:szCs w:val="22"/>
          <w:highlight w:val="white"/>
          <w:lang w:val="en-GB"/>
        </w:rPr>
        <w:t>of animal protein</w:t>
      </w:r>
      <w:r w:rsidR="008642DA" w:rsidRPr="00C37A4D">
        <w:rPr>
          <w:rFonts w:asciiTheme="minorHAnsi" w:eastAsia="Arial" w:hAnsiTheme="minorHAnsi" w:cstheme="minorHAnsi"/>
          <w:color w:val="000000" w:themeColor="text1"/>
          <w:sz w:val="22"/>
          <w:szCs w:val="22"/>
          <w:highlight w:val="white"/>
          <w:lang w:val="en-GB"/>
        </w:rPr>
        <w:t>.</w:t>
      </w:r>
      <w:r w:rsidR="00C810BF" w:rsidRPr="00C37A4D" w:rsidDel="00C810BF">
        <w:rPr>
          <w:rFonts w:asciiTheme="minorHAnsi" w:eastAsia="Arial" w:hAnsiTheme="minorHAnsi" w:cstheme="minorHAnsi"/>
          <w:color w:val="000000" w:themeColor="text1"/>
          <w:sz w:val="22"/>
          <w:szCs w:val="22"/>
          <w:highlight w:val="white"/>
          <w:lang w:val="en-GB"/>
        </w:rPr>
        <w:t xml:space="preserve"> </w:t>
      </w:r>
      <w:r w:rsidR="00C810BF" w:rsidRPr="00C37A4D">
        <w:rPr>
          <w:rFonts w:asciiTheme="minorHAnsi" w:eastAsia="Arial" w:hAnsiTheme="minorHAnsi" w:cstheme="minorHAnsi"/>
          <w:color w:val="000000" w:themeColor="text1"/>
          <w:sz w:val="22"/>
          <w:szCs w:val="22"/>
          <w:highlight w:val="white"/>
          <w:lang w:val="en-GB"/>
        </w:rPr>
        <w:t>O</w:t>
      </w:r>
      <w:r w:rsidR="008642DA" w:rsidRPr="00C37A4D">
        <w:rPr>
          <w:rFonts w:asciiTheme="minorHAnsi" w:eastAsia="Arial" w:hAnsiTheme="minorHAnsi" w:cstheme="minorHAnsi"/>
          <w:color w:val="000000" w:themeColor="text1"/>
          <w:sz w:val="22"/>
          <w:szCs w:val="22"/>
          <w:highlight w:val="white"/>
          <w:lang w:val="en-GB"/>
        </w:rPr>
        <w:t xml:space="preserve">veruse of antibiotics </w:t>
      </w:r>
      <w:r w:rsidR="00122E4A">
        <w:rPr>
          <w:rFonts w:asciiTheme="minorHAnsi" w:eastAsia="Arial" w:hAnsiTheme="minorHAnsi" w:cstheme="minorHAnsi"/>
          <w:color w:val="000000" w:themeColor="text1"/>
          <w:sz w:val="22"/>
          <w:szCs w:val="22"/>
          <w:highlight w:val="white"/>
          <w:lang w:val="en-GB"/>
        </w:rPr>
        <w:t>on farms</w:t>
      </w:r>
      <w:r w:rsidR="001A2214" w:rsidRPr="00C37A4D">
        <w:rPr>
          <w:rFonts w:asciiTheme="minorHAnsi" w:eastAsia="Arial" w:hAnsiTheme="minorHAnsi" w:cstheme="minorHAnsi"/>
          <w:color w:val="000000" w:themeColor="text1"/>
          <w:sz w:val="22"/>
          <w:szCs w:val="22"/>
          <w:highlight w:val="white"/>
          <w:lang w:val="en-GB"/>
        </w:rPr>
        <w:t xml:space="preserve"> and discharge of active antimicrobials into the environment</w:t>
      </w:r>
      <w:r w:rsidR="008642DA" w:rsidRPr="00C37A4D">
        <w:rPr>
          <w:rFonts w:asciiTheme="minorHAnsi" w:eastAsia="Arial" w:hAnsiTheme="minorHAnsi" w:cstheme="minorHAnsi"/>
          <w:color w:val="000000" w:themeColor="text1"/>
          <w:sz w:val="22"/>
          <w:szCs w:val="22"/>
          <w:highlight w:val="white"/>
          <w:lang w:val="en-GB"/>
        </w:rPr>
        <w:t xml:space="preserve"> </w:t>
      </w:r>
      <w:r w:rsidR="007C598A">
        <w:rPr>
          <w:rFonts w:asciiTheme="minorHAnsi" w:eastAsia="Arial" w:hAnsiTheme="minorHAnsi" w:cstheme="minorHAnsi"/>
          <w:color w:val="000000" w:themeColor="text1"/>
          <w:sz w:val="22"/>
          <w:szCs w:val="22"/>
          <w:highlight w:val="white"/>
          <w:lang w:val="en-GB"/>
        </w:rPr>
        <w:t xml:space="preserve">selects resistant bacterial lineages in those settings and places humans and animals </w:t>
      </w:r>
      <w:r w:rsidR="002B5E9B" w:rsidRPr="00C37A4D">
        <w:rPr>
          <w:rFonts w:asciiTheme="minorHAnsi" w:eastAsia="Arial" w:hAnsiTheme="minorHAnsi" w:cstheme="minorHAnsi"/>
          <w:color w:val="000000" w:themeColor="text1"/>
          <w:sz w:val="22"/>
          <w:szCs w:val="22"/>
          <w:highlight w:val="white"/>
          <w:lang w:val="en-GB"/>
        </w:rPr>
        <w:t xml:space="preserve">at risk </w:t>
      </w:r>
      <w:r w:rsidR="008642DA" w:rsidRPr="00C37A4D">
        <w:rPr>
          <w:rFonts w:asciiTheme="minorHAnsi" w:eastAsia="Arial" w:hAnsiTheme="minorHAnsi" w:cstheme="minorHAnsi"/>
          <w:color w:val="000000" w:themeColor="text1"/>
          <w:sz w:val="22"/>
          <w:szCs w:val="22"/>
          <w:highlight w:val="white"/>
          <w:lang w:val="en-GB"/>
        </w:rPr>
        <w:t>of</w:t>
      </w:r>
      <w:r w:rsidR="002B5E9B" w:rsidRPr="00C37A4D">
        <w:rPr>
          <w:rFonts w:asciiTheme="minorHAnsi" w:eastAsia="Arial" w:hAnsiTheme="minorHAnsi" w:cstheme="minorHAnsi"/>
          <w:color w:val="000000" w:themeColor="text1"/>
          <w:sz w:val="22"/>
          <w:szCs w:val="22"/>
          <w:highlight w:val="white"/>
          <w:lang w:val="en-GB"/>
        </w:rPr>
        <w:t xml:space="preserve"> </w:t>
      </w:r>
      <w:r w:rsidR="00C03228" w:rsidRPr="00C37A4D">
        <w:rPr>
          <w:rFonts w:asciiTheme="minorHAnsi" w:eastAsia="Arial" w:hAnsiTheme="minorHAnsi" w:cstheme="minorHAnsi"/>
          <w:color w:val="000000" w:themeColor="text1"/>
          <w:sz w:val="22"/>
          <w:szCs w:val="22"/>
          <w:highlight w:val="white"/>
          <w:lang w:val="en-GB"/>
        </w:rPr>
        <w:t>a future pandemic from an untreatable bacterial infection.</w:t>
      </w:r>
      <w:r w:rsidR="00E00CFD" w:rsidRPr="00E00CFD">
        <w:rPr>
          <w:rFonts w:hAnsiTheme="minorHAnsi"/>
          <w:color w:val="000000"/>
          <w:sz w:val="22"/>
          <w:vertAlign w:val="superscript"/>
        </w:rPr>
        <w:t>40,41</w:t>
      </w:r>
      <w:r w:rsidR="00C03228" w:rsidRPr="00C37A4D">
        <w:rPr>
          <w:rFonts w:asciiTheme="minorHAnsi" w:eastAsia="Arial" w:hAnsiTheme="minorHAnsi" w:cstheme="minorHAnsi"/>
          <w:color w:val="000000" w:themeColor="text1"/>
          <w:sz w:val="22"/>
          <w:szCs w:val="22"/>
          <w:highlight w:val="white"/>
          <w:lang w:val="en-GB"/>
        </w:rPr>
        <w:t xml:space="preserve"> </w:t>
      </w:r>
      <w:r w:rsidR="008D36AA">
        <w:rPr>
          <w:rFonts w:asciiTheme="minorHAnsi" w:eastAsia="Arial" w:hAnsiTheme="minorHAnsi" w:cstheme="minorHAnsi"/>
          <w:color w:val="000000" w:themeColor="text1"/>
          <w:sz w:val="22"/>
          <w:szCs w:val="22"/>
          <w:highlight w:val="white"/>
          <w:lang w:val="en-GB"/>
        </w:rPr>
        <w:t>Resistance drivers</w:t>
      </w:r>
      <w:r w:rsidR="0082020E" w:rsidRPr="00C37A4D">
        <w:rPr>
          <w:rFonts w:asciiTheme="minorHAnsi" w:eastAsia="Arial" w:hAnsiTheme="minorHAnsi" w:cstheme="minorHAnsi"/>
          <w:color w:val="000000" w:themeColor="text1"/>
          <w:sz w:val="22"/>
          <w:szCs w:val="22"/>
          <w:highlight w:val="white"/>
          <w:lang w:val="en-GB"/>
        </w:rPr>
        <w:t xml:space="preserve"> include antibiotic </w:t>
      </w:r>
      <w:r w:rsidR="00C6739D">
        <w:rPr>
          <w:rFonts w:asciiTheme="minorHAnsi" w:eastAsia="Arial" w:hAnsiTheme="minorHAnsi" w:cstheme="minorHAnsi"/>
          <w:color w:val="000000" w:themeColor="text1"/>
          <w:sz w:val="22"/>
          <w:szCs w:val="22"/>
          <w:highlight w:val="white"/>
          <w:lang w:val="en-GB"/>
        </w:rPr>
        <w:t>use</w:t>
      </w:r>
      <w:r w:rsidR="0082020E" w:rsidRPr="00C37A4D">
        <w:rPr>
          <w:rFonts w:asciiTheme="minorHAnsi" w:eastAsia="Arial" w:hAnsiTheme="minorHAnsi" w:cstheme="minorHAnsi"/>
          <w:color w:val="000000" w:themeColor="text1"/>
          <w:sz w:val="22"/>
          <w:szCs w:val="22"/>
          <w:highlight w:val="white"/>
          <w:lang w:val="en-GB"/>
        </w:rPr>
        <w:t>, poor access to water and sanitation</w:t>
      </w:r>
      <w:r w:rsidR="00C810BF" w:rsidRPr="00C37A4D">
        <w:rPr>
          <w:rFonts w:asciiTheme="minorHAnsi" w:eastAsia="Arial" w:hAnsiTheme="minorHAnsi" w:cstheme="minorHAnsi"/>
          <w:color w:val="000000" w:themeColor="text1"/>
          <w:sz w:val="22"/>
          <w:szCs w:val="22"/>
          <w:highlight w:val="white"/>
          <w:lang w:val="en-GB"/>
        </w:rPr>
        <w:t>,</w:t>
      </w:r>
      <w:r w:rsidR="0082020E" w:rsidRPr="00C37A4D">
        <w:rPr>
          <w:rFonts w:asciiTheme="minorHAnsi" w:eastAsia="Arial" w:hAnsiTheme="minorHAnsi" w:cstheme="minorHAnsi"/>
          <w:color w:val="000000" w:themeColor="text1"/>
          <w:sz w:val="22"/>
          <w:szCs w:val="22"/>
          <w:highlight w:val="white"/>
          <w:lang w:val="en-GB"/>
        </w:rPr>
        <w:t xml:space="preserve"> lack of public health measures, insufficient vaccination</w:t>
      </w:r>
      <w:r w:rsidR="00842748">
        <w:rPr>
          <w:rFonts w:asciiTheme="minorHAnsi" w:eastAsia="Arial" w:hAnsiTheme="minorHAnsi" w:cstheme="minorHAnsi"/>
          <w:color w:val="000000" w:themeColor="text1"/>
          <w:sz w:val="22"/>
          <w:szCs w:val="22"/>
          <w:highlight w:val="white"/>
          <w:lang w:val="en-GB"/>
        </w:rPr>
        <w:t>,</w:t>
      </w:r>
      <w:r w:rsidR="0082020E" w:rsidRPr="00C37A4D">
        <w:rPr>
          <w:rFonts w:asciiTheme="minorHAnsi" w:eastAsia="Arial" w:hAnsiTheme="minorHAnsi" w:cstheme="minorHAnsi"/>
          <w:color w:val="000000" w:themeColor="text1"/>
          <w:sz w:val="22"/>
          <w:szCs w:val="22"/>
          <w:highlight w:val="white"/>
          <w:lang w:val="en-GB"/>
        </w:rPr>
        <w:t xml:space="preserve"> and failure of infection prevention in healthcare facilities. </w:t>
      </w:r>
      <w:r w:rsidR="00F03D2E" w:rsidRPr="00C37A4D">
        <w:rPr>
          <w:rFonts w:asciiTheme="minorHAnsi" w:eastAsia="Arial" w:hAnsiTheme="minorHAnsi" w:cstheme="minorHAnsi"/>
          <w:color w:val="000000" w:themeColor="text1"/>
          <w:sz w:val="22"/>
          <w:szCs w:val="22"/>
          <w:highlight w:val="white"/>
          <w:lang w:val="en-GB"/>
        </w:rPr>
        <w:t>AMR</w:t>
      </w:r>
      <w:r w:rsidR="00C03228" w:rsidRPr="00C37A4D">
        <w:rPr>
          <w:rFonts w:asciiTheme="minorHAnsi" w:eastAsia="Arial" w:hAnsiTheme="minorHAnsi" w:cstheme="minorHAnsi"/>
          <w:color w:val="000000" w:themeColor="text1"/>
          <w:sz w:val="22"/>
          <w:szCs w:val="22"/>
          <w:highlight w:val="white"/>
          <w:lang w:val="en-GB"/>
        </w:rPr>
        <w:t xml:space="preserve"> is </w:t>
      </w:r>
      <w:r w:rsidR="00C810BF" w:rsidRPr="00C37A4D">
        <w:rPr>
          <w:rFonts w:asciiTheme="minorHAnsi" w:eastAsia="Arial" w:hAnsiTheme="minorHAnsi" w:cstheme="minorHAnsi"/>
          <w:color w:val="000000" w:themeColor="text1"/>
          <w:sz w:val="22"/>
          <w:szCs w:val="22"/>
          <w:highlight w:val="white"/>
          <w:lang w:val="en-GB"/>
        </w:rPr>
        <w:t xml:space="preserve">thus </w:t>
      </w:r>
      <w:r w:rsidR="00C03228" w:rsidRPr="00C37A4D">
        <w:rPr>
          <w:rFonts w:asciiTheme="minorHAnsi" w:eastAsia="Arial" w:hAnsiTheme="minorHAnsi" w:cstheme="minorHAnsi"/>
          <w:color w:val="000000" w:themeColor="text1"/>
          <w:sz w:val="22"/>
          <w:szCs w:val="22"/>
          <w:highlight w:val="white"/>
          <w:lang w:val="en-GB"/>
        </w:rPr>
        <w:t xml:space="preserve">a </w:t>
      </w:r>
      <w:r w:rsidR="00121806" w:rsidRPr="00C37A4D">
        <w:rPr>
          <w:rFonts w:asciiTheme="minorHAnsi" w:eastAsia="Arial" w:hAnsiTheme="minorHAnsi" w:cstheme="minorHAnsi"/>
          <w:color w:val="000000" w:themeColor="text1"/>
          <w:sz w:val="22"/>
          <w:szCs w:val="22"/>
          <w:highlight w:val="white"/>
          <w:lang w:val="en-GB"/>
        </w:rPr>
        <w:t>O</w:t>
      </w:r>
      <w:r w:rsidR="00C03228" w:rsidRPr="00C37A4D">
        <w:rPr>
          <w:rFonts w:asciiTheme="minorHAnsi" w:eastAsia="Arial" w:hAnsiTheme="minorHAnsi" w:cstheme="minorHAnsi"/>
          <w:color w:val="000000" w:themeColor="text1"/>
          <w:sz w:val="22"/>
          <w:szCs w:val="22"/>
          <w:highlight w:val="white"/>
          <w:lang w:val="en-GB"/>
        </w:rPr>
        <w:t xml:space="preserve">ne </w:t>
      </w:r>
      <w:r w:rsidR="00121806" w:rsidRPr="00C37A4D">
        <w:rPr>
          <w:rFonts w:asciiTheme="minorHAnsi" w:eastAsia="Arial" w:hAnsiTheme="minorHAnsi" w:cstheme="minorHAnsi"/>
          <w:color w:val="000000" w:themeColor="text1"/>
          <w:sz w:val="22"/>
          <w:szCs w:val="22"/>
          <w:highlight w:val="white"/>
          <w:lang w:val="en-GB"/>
        </w:rPr>
        <w:t>H</w:t>
      </w:r>
      <w:r w:rsidR="00C03228" w:rsidRPr="00C37A4D">
        <w:rPr>
          <w:rFonts w:asciiTheme="minorHAnsi" w:eastAsia="Arial" w:hAnsiTheme="minorHAnsi" w:cstheme="minorHAnsi"/>
          <w:color w:val="000000" w:themeColor="text1"/>
          <w:sz w:val="22"/>
          <w:szCs w:val="22"/>
          <w:highlight w:val="white"/>
          <w:lang w:val="en-GB"/>
        </w:rPr>
        <w:t xml:space="preserve">ealth </w:t>
      </w:r>
      <w:r w:rsidR="00B979E0" w:rsidRPr="00C37A4D">
        <w:rPr>
          <w:rFonts w:asciiTheme="minorHAnsi" w:eastAsia="Arial" w:hAnsiTheme="minorHAnsi" w:cstheme="minorHAnsi"/>
          <w:color w:val="000000" w:themeColor="text1"/>
          <w:sz w:val="22"/>
          <w:szCs w:val="22"/>
          <w:highlight w:val="white"/>
          <w:lang w:val="en-GB"/>
        </w:rPr>
        <w:t xml:space="preserve">challenge </w:t>
      </w:r>
      <w:r w:rsidR="00C810BF" w:rsidRPr="00C37A4D">
        <w:rPr>
          <w:rFonts w:asciiTheme="minorHAnsi" w:eastAsia="Arial" w:hAnsiTheme="minorHAnsi" w:cstheme="minorHAnsi"/>
          <w:color w:val="000000" w:themeColor="text1"/>
          <w:sz w:val="22"/>
          <w:szCs w:val="22"/>
          <w:highlight w:val="white"/>
          <w:lang w:val="en-GB"/>
        </w:rPr>
        <w:t xml:space="preserve">that </w:t>
      </w:r>
      <w:r w:rsidR="00B979E0" w:rsidRPr="00C37A4D">
        <w:rPr>
          <w:rFonts w:asciiTheme="minorHAnsi" w:eastAsia="Arial" w:hAnsiTheme="minorHAnsi" w:cstheme="minorHAnsi"/>
          <w:color w:val="000000" w:themeColor="text1"/>
          <w:sz w:val="22"/>
          <w:szCs w:val="22"/>
          <w:highlight w:val="white"/>
          <w:lang w:val="en-GB"/>
        </w:rPr>
        <w:t xml:space="preserve">requires </w:t>
      </w:r>
      <w:r w:rsidR="004709DC" w:rsidRPr="00C37A4D">
        <w:rPr>
          <w:rFonts w:asciiTheme="minorHAnsi" w:eastAsia="Arial" w:hAnsiTheme="minorHAnsi" w:cstheme="minorHAnsi"/>
          <w:color w:val="000000" w:themeColor="text1"/>
          <w:sz w:val="22"/>
          <w:szCs w:val="22"/>
          <w:highlight w:val="white"/>
          <w:lang w:val="en-GB"/>
        </w:rPr>
        <w:t xml:space="preserve">surveillance and </w:t>
      </w:r>
      <w:r w:rsidR="00B979E0" w:rsidRPr="00C37A4D">
        <w:rPr>
          <w:rFonts w:asciiTheme="minorHAnsi" w:eastAsia="Arial" w:hAnsiTheme="minorHAnsi" w:cstheme="minorHAnsi"/>
          <w:color w:val="000000" w:themeColor="text1"/>
          <w:sz w:val="22"/>
          <w:szCs w:val="22"/>
          <w:highlight w:val="white"/>
          <w:lang w:val="en-GB"/>
        </w:rPr>
        <w:t>interventions</w:t>
      </w:r>
      <w:r w:rsidR="00CF451B" w:rsidRPr="00C37A4D">
        <w:rPr>
          <w:rFonts w:asciiTheme="minorHAnsi" w:eastAsia="Arial" w:hAnsiTheme="minorHAnsi" w:cstheme="minorHAnsi"/>
          <w:color w:val="000000" w:themeColor="text1"/>
          <w:sz w:val="22"/>
          <w:szCs w:val="22"/>
          <w:lang w:val="en-GB"/>
        </w:rPr>
        <w:t xml:space="preserve"> </w:t>
      </w:r>
      <w:r w:rsidR="00B979E0" w:rsidRPr="00C37A4D">
        <w:rPr>
          <w:rFonts w:asciiTheme="minorHAnsi" w:eastAsia="Arial" w:hAnsiTheme="minorHAnsi" w:cstheme="minorHAnsi"/>
          <w:color w:val="000000" w:themeColor="text1"/>
          <w:sz w:val="22"/>
          <w:szCs w:val="22"/>
          <w:lang w:val="en-GB"/>
        </w:rPr>
        <w:t xml:space="preserve">across </w:t>
      </w:r>
      <w:r w:rsidR="005D5441" w:rsidRPr="00C37A4D">
        <w:rPr>
          <w:rFonts w:asciiTheme="minorHAnsi" w:eastAsia="Arial" w:hAnsiTheme="minorHAnsi" w:cstheme="minorHAnsi"/>
          <w:color w:val="000000" w:themeColor="text1"/>
          <w:sz w:val="22"/>
          <w:szCs w:val="22"/>
          <w:lang w:val="en-GB"/>
        </w:rPr>
        <w:t>human, animal</w:t>
      </w:r>
      <w:r w:rsidR="00842748">
        <w:rPr>
          <w:rFonts w:asciiTheme="minorHAnsi" w:eastAsia="Arial" w:hAnsiTheme="minorHAnsi" w:cstheme="minorHAnsi"/>
          <w:color w:val="000000" w:themeColor="text1"/>
          <w:sz w:val="22"/>
          <w:szCs w:val="22"/>
          <w:lang w:val="en-GB"/>
        </w:rPr>
        <w:t>,</w:t>
      </w:r>
      <w:r w:rsidR="005D5441" w:rsidRPr="00C37A4D">
        <w:rPr>
          <w:rFonts w:asciiTheme="minorHAnsi" w:eastAsia="Arial" w:hAnsiTheme="minorHAnsi" w:cstheme="minorHAnsi"/>
          <w:color w:val="000000" w:themeColor="text1"/>
          <w:sz w:val="22"/>
          <w:szCs w:val="22"/>
          <w:lang w:val="en-GB"/>
        </w:rPr>
        <w:t xml:space="preserve"> and environmental </w:t>
      </w:r>
      <w:r w:rsidR="00B979E0" w:rsidRPr="00C37A4D">
        <w:rPr>
          <w:rFonts w:asciiTheme="minorHAnsi" w:eastAsia="Arial" w:hAnsiTheme="minorHAnsi" w:cstheme="minorHAnsi"/>
          <w:color w:val="000000" w:themeColor="text1"/>
          <w:sz w:val="22"/>
          <w:szCs w:val="22"/>
          <w:lang w:val="en-GB"/>
        </w:rPr>
        <w:t>domains</w:t>
      </w:r>
      <w:r w:rsidR="00C03228" w:rsidRPr="00C37A4D">
        <w:rPr>
          <w:rFonts w:asciiTheme="minorHAnsi" w:eastAsia="Arial" w:hAnsiTheme="minorHAnsi" w:cstheme="minorHAnsi"/>
          <w:color w:val="000000" w:themeColor="text1"/>
          <w:sz w:val="22"/>
          <w:szCs w:val="22"/>
          <w:lang w:val="en-GB"/>
        </w:rPr>
        <w:t>.</w:t>
      </w:r>
      <w:r w:rsidR="0047001E" w:rsidRPr="00C37A4D">
        <w:rPr>
          <w:rFonts w:asciiTheme="minorHAnsi" w:eastAsia="Arial" w:hAnsiTheme="minorHAnsi" w:cstheme="minorHAnsi"/>
          <w:color w:val="000000" w:themeColor="text1"/>
          <w:sz w:val="22"/>
          <w:szCs w:val="22"/>
          <w:lang w:val="en-GB"/>
        </w:rPr>
        <w:t xml:space="preserve"> </w:t>
      </w:r>
    </w:p>
    <w:p w14:paraId="081DBB96" w14:textId="77777777" w:rsidR="00AE6DF2" w:rsidRDefault="00AE6DF2" w:rsidP="00B979E0">
      <w:pPr>
        <w:rPr>
          <w:rFonts w:asciiTheme="minorHAnsi" w:eastAsia="Arial" w:hAnsiTheme="minorHAnsi" w:cstheme="minorHAnsi"/>
          <w:color w:val="000000" w:themeColor="text1"/>
          <w:sz w:val="22"/>
          <w:szCs w:val="22"/>
          <w:lang w:val="en-GB"/>
        </w:rPr>
      </w:pPr>
    </w:p>
    <w:p w14:paraId="476727B8" w14:textId="27230EC8" w:rsidR="00AE6DF2" w:rsidRPr="00C37A4D" w:rsidRDefault="00AE6DF2" w:rsidP="00B979E0">
      <w:pPr>
        <w:rPr>
          <w:rFonts w:asciiTheme="minorHAnsi" w:eastAsia="Arial" w:hAnsiTheme="minorHAnsi" w:cstheme="minorHAnsi"/>
          <w:color w:val="000000" w:themeColor="text1"/>
          <w:sz w:val="22"/>
          <w:szCs w:val="22"/>
          <w:lang w:val="en-GB"/>
        </w:rPr>
      </w:pPr>
      <w:r>
        <w:rPr>
          <w:rFonts w:asciiTheme="minorHAnsi" w:eastAsia="Arial" w:hAnsiTheme="minorHAnsi" w:cstheme="minorHAnsi"/>
          <w:color w:val="000000" w:themeColor="text1"/>
          <w:sz w:val="22"/>
          <w:szCs w:val="22"/>
          <w:lang w:val="en-GB"/>
        </w:rPr>
        <w:t xml:space="preserve">In the past decade, many countries have composed National Action Plans on how they plan to address antimicrobial resistance.  Most of these plans are modelled on the </w:t>
      </w:r>
      <w:r w:rsidRPr="00D6624B">
        <w:rPr>
          <w:rFonts w:asciiTheme="minorHAnsi" w:eastAsia="Arial" w:hAnsiTheme="minorHAnsi" w:cstheme="minorHAnsi"/>
          <w:color w:val="000000" w:themeColor="text1"/>
          <w:sz w:val="22"/>
          <w:szCs w:val="22"/>
          <w:lang w:val="en-GB"/>
        </w:rPr>
        <w:t>WHO Global Action plan</w:t>
      </w:r>
      <w:r w:rsidR="00E00CFD" w:rsidRPr="00E00CFD">
        <w:rPr>
          <w:rFonts w:hAnsiTheme="minorHAnsi"/>
          <w:color w:val="000000"/>
          <w:sz w:val="22"/>
          <w:vertAlign w:val="superscript"/>
        </w:rPr>
        <w:t>42</w:t>
      </w:r>
      <w:r>
        <w:rPr>
          <w:rFonts w:asciiTheme="minorHAnsi" w:eastAsia="Arial" w:hAnsiTheme="minorHAnsi" w:cstheme="minorHAnsi"/>
          <w:color w:val="000000" w:themeColor="text1"/>
          <w:sz w:val="22"/>
          <w:szCs w:val="22"/>
          <w:lang w:val="en-GB"/>
        </w:rPr>
        <w:t xml:space="preserve"> and emphasize the importance of expanding awareness of AMR, conducting surveillance to quantify the problem, preventing infections and the dissemination of antimicrobials, research to develop new antimicrobials and other strategies for overcoming or avoiding resistance as well as making the economic case for more support of resistance. </w:t>
      </w:r>
    </w:p>
    <w:p w14:paraId="63A9A497" w14:textId="2DEEC24A" w:rsidR="001532F9" w:rsidRPr="00C37A4D" w:rsidRDefault="001532F9" w:rsidP="001532F9">
      <w:pPr>
        <w:rPr>
          <w:rFonts w:asciiTheme="minorHAnsi" w:eastAsia="Arial" w:hAnsiTheme="minorHAnsi" w:cstheme="minorHAnsi"/>
          <w:color w:val="000000" w:themeColor="text1"/>
          <w:sz w:val="22"/>
          <w:szCs w:val="22"/>
          <w:highlight w:val="white"/>
          <w:lang w:val="en-GB"/>
        </w:rPr>
      </w:pPr>
    </w:p>
    <w:p w14:paraId="26EEDF27" w14:textId="56AD8E3E" w:rsidR="00726F6C" w:rsidRDefault="00E70822" w:rsidP="00C03228">
      <w:pPr>
        <w:rPr>
          <w:rFonts w:asciiTheme="minorHAnsi" w:eastAsia="Arial" w:hAnsiTheme="minorHAnsi" w:cstheme="minorHAnsi"/>
          <w:color w:val="000000" w:themeColor="text1"/>
          <w:sz w:val="22"/>
          <w:szCs w:val="22"/>
          <w:lang w:val="en-GB"/>
        </w:rPr>
      </w:pPr>
      <w:r>
        <w:rPr>
          <w:rFonts w:asciiTheme="minorHAnsi" w:eastAsia="Arial" w:hAnsiTheme="minorHAnsi" w:cstheme="minorHAnsi"/>
          <w:color w:val="000000" w:themeColor="text1"/>
          <w:sz w:val="22"/>
          <w:szCs w:val="22"/>
          <w:highlight w:val="white"/>
          <w:lang w:val="en-GB"/>
        </w:rPr>
        <w:t xml:space="preserve">The 2024 </w:t>
      </w:r>
      <w:r w:rsidRPr="000A41FE">
        <w:rPr>
          <w:rFonts w:asciiTheme="minorHAnsi" w:eastAsia="Arial" w:hAnsiTheme="minorHAnsi" w:cstheme="minorHAnsi"/>
          <w:i/>
          <w:iCs/>
          <w:color w:val="000000" w:themeColor="text1"/>
          <w:sz w:val="22"/>
          <w:szCs w:val="22"/>
          <w:highlight w:val="white"/>
          <w:lang w:val="en-GB"/>
        </w:rPr>
        <w:t>Lancet</w:t>
      </w:r>
      <w:r>
        <w:rPr>
          <w:rFonts w:asciiTheme="minorHAnsi" w:eastAsia="Arial" w:hAnsiTheme="minorHAnsi" w:cstheme="minorHAnsi"/>
          <w:color w:val="000000" w:themeColor="text1"/>
          <w:sz w:val="22"/>
          <w:szCs w:val="22"/>
          <w:highlight w:val="white"/>
          <w:lang w:val="en-GB"/>
        </w:rPr>
        <w:t xml:space="preserve"> </w:t>
      </w:r>
      <w:r w:rsidR="00517203">
        <w:rPr>
          <w:rFonts w:asciiTheme="minorHAnsi" w:eastAsia="Arial" w:hAnsiTheme="minorHAnsi" w:cstheme="minorHAnsi"/>
          <w:color w:val="000000" w:themeColor="text1"/>
          <w:sz w:val="22"/>
          <w:szCs w:val="22"/>
          <w:highlight w:val="white"/>
          <w:lang w:val="en-GB"/>
        </w:rPr>
        <w:t>S</w:t>
      </w:r>
      <w:r>
        <w:rPr>
          <w:rFonts w:asciiTheme="minorHAnsi" w:eastAsia="Arial" w:hAnsiTheme="minorHAnsi" w:cstheme="minorHAnsi"/>
          <w:color w:val="000000" w:themeColor="text1"/>
          <w:sz w:val="22"/>
          <w:szCs w:val="22"/>
          <w:highlight w:val="white"/>
          <w:lang w:val="en-GB"/>
        </w:rPr>
        <w:t xml:space="preserve">eries </w:t>
      </w:r>
      <w:r w:rsidR="00F04C93">
        <w:rPr>
          <w:rFonts w:asciiTheme="minorHAnsi" w:eastAsia="Arial" w:hAnsiTheme="minorHAnsi" w:cstheme="minorHAnsi"/>
          <w:color w:val="000000" w:themeColor="text1"/>
          <w:sz w:val="22"/>
          <w:szCs w:val="22"/>
          <w:highlight w:val="white"/>
          <w:lang w:val="en-GB"/>
        </w:rPr>
        <w:t xml:space="preserve">on sustainable access to effective antimicrobials </w:t>
      </w:r>
      <w:r>
        <w:rPr>
          <w:rFonts w:asciiTheme="minorHAnsi" w:eastAsia="Arial" w:hAnsiTheme="minorHAnsi" w:cstheme="minorHAnsi"/>
          <w:color w:val="000000" w:themeColor="text1"/>
          <w:sz w:val="22"/>
          <w:szCs w:val="22"/>
          <w:highlight w:val="white"/>
          <w:lang w:val="en-GB"/>
        </w:rPr>
        <w:t xml:space="preserve">presents initiatives and targets to </w:t>
      </w:r>
      <w:r w:rsidR="00557870">
        <w:rPr>
          <w:rFonts w:asciiTheme="minorHAnsi" w:eastAsia="Arial" w:hAnsiTheme="minorHAnsi" w:cstheme="minorHAnsi"/>
          <w:color w:val="000000" w:themeColor="text1"/>
          <w:sz w:val="22"/>
          <w:szCs w:val="22"/>
          <w:highlight w:val="white"/>
          <w:lang w:val="en-GB"/>
        </w:rPr>
        <w:t xml:space="preserve">tackle </w:t>
      </w:r>
      <w:r w:rsidR="008D36AA">
        <w:rPr>
          <w:rFonts w:asciiTheme="minorHAnsi" w:eastAsia="Arial" w:hAnsiTheme="minorHAnsi" w:cstheme="minorHAnsi"/>
          <w:color w:val="000000" w:themeColor="text1"/>
          <w:sz w:val="22"/>
          <w:szCs w:val="22"/>
          <w:highlight w:val="white"/>
          <w:lang w:val="en-GB"/>
        </w:rPr>
        <w:t>th</w:t>
      </w:r>
      <w:r w:rsidR="00240E13">
        <w:rPr>
          <w:rFonts w:asciiTheme="minorHAnsi" w:eastAsia="Arial" w:hAnsiTheme="minorHAnsi" w:cstheme="minorHAnsi"/>
          <w:color w:val="000000" w:themeColor="text1"/>
          <w:sz w:val="22"/>
          <w:szCs w:val="22"/>
          <w:highlight w:val="white"/>
          <w:lang w:val="en-GB"/>
        </w:rPr>
        <w:t>e</w:t>
      </w:r>
      <w:r w:rsidR="008D36AA">
        <w:rPr>
          <w:rFonts w:asciiTheme="minorHAnsi" w:eastAsia="Arial" w:hAnsiTheme="minorHAnsi" w:cstheme="minorHAnsi"/>
          <w:color w:val="000000" w:themeColor="text1"/>
          <w:sz w:val="22"/>
          <w:szCs w:val="22"/>
          <w:highlight w:val="white"/>
          <w:lang w:val="en-GB"/>
        </w:rPr>
        <w:t xml:space="preserve"> global health threat</w:t>
      </w:r>
      <w:r w:rsidR="00FF5AEE">
        <w:rPr>
          <w:rFonts w:asciiTheme="minorHAnsi" w:eastAsia="Arial" w:hAnsiTheme="minorHAnsi" w:cstheme="minorHAnsi"/>
          <w:color w:val="000000" w:themeColor="text1"/>
          <w:sz w:val="22"/>
          <w:szCs w:val="22"/>
          <w:highlight w:val="white"/>
          <w:lang w:val="en-GB"/>
        </w:rPr>
        <w:t xml:space="preserve"> of AMR</w:t>
      </w:r>
      <w:r>
        <w:rPr>
          <w:rFonts w:asciiTheme="minorHAnsi" w:eastAsia="Arial" w:hAnsiTheme="minorHAnsi" w:cstheme="minorHAnsi"/>
          <w:color w:val="000000" w:themeColor="text1"/>
          <w:sz w:val="22"/>
          <w:szCs w:val="22"/>
          <w:highlight w:val="white"/>
          <w:lang w:val="en-GB"/>
        </w:rPr>
        <w:t xml:space="preserve">. </w:t>
      </w:r>
      <w:r w:rsidR="00BA1CAA">
        <w:rPr>
          <w:rFonts w:asciiTheme="minorHAnsi" w:eastAsia="Arial" w:hAnsiTheme="minorHAnsi" w:cstheme="minorHAnsi"/>
          <w:color w:val="000000" w:themeColor="text1"/>
          <w:sz w:val="22"/>
          <w:szCs w:val="22"/>
          <w:highlight w:val="white"/>
          <w:lang w:val="en-GB"/>
        </w:rPr>
        <w:t>This paper examines</w:t>
      </w:r>
      <w:r w:rsidR="002B5E9B" w:rsidRPr="00C37A4D">
        <w:rPr>
          <w:rFonts w:asciiTheme="minorHAnsi" w:eastAsia="Arial" w:hAnsiTheme="minorHAnsi" w:cstheme="minorHAnsi"/>
          <w:color w:val="000000" w:themeColor="text1"/>
          <w:sz w:val="22"/>
          <w:szCs w:val="22"/>
          <w:highlight w:val="white"/>
          <w:lang w:val="en-GB"/>
        </w:rPr>
        <w:t xml:space="preserve"> </w:t>
      </w:r>
      <w:r w:rsidR="00302F3E" w:rsidRPr="00C37A4D">
        <w:rPr>
          <w:rFonts w:asciiTheme="minorHAnsi" w:eastAsia="Arial" w:hAnsiTheme="minorHAnsi" w:cstheme="minorHAnsi"/>
          <w:color w:val="000000" w:themeColor="text1"/>
          <w:sz w:val="22"/>
          <w:szCs w:val="22"/>
          <w:highlight w:val="white"/>
          <w:lang w:val="en-GB"/>
        </w:rPr>
        <w:t>how</w:t>
      </w:r>
      <w:r w:rsidR="002B5E9B" w:rsidRPr="00C37A4D">
        <w:rPr>
          <w:rFonts w:asciiTheme="minorHAnsi" w:eastAsia="Arial" w:hAnsiTheme="minorHAnsi" w:cstheme="minorHAnsi"/>
          <w:color w:val="000000" w:themeColor="text1"/>
          <w:sz w:val="22"/>
          <w:szCs w:val="22"/>
          <w:highlight w:val="white"/>
          <w:lang w:val="en-GB"/>
        </w:rPr>
        <w:t xml:space="preserve"> </w:t>
      </w:r>
      <w:r w:rsidR="0048335C">
        <w:rPr>
          <w:rFonts w:asciiTheme="minorHAnsi" w:eastAsia="Arial" w:hAnsiTheme="minorHAnsi" w:cstheme="minorHAnsi"/>
          <w:color w:val="000000" w:themeColor="text1"/>
          <w:sz w:val="22"/>
          <w:szCs w:val="22"/>
          <w:highlight w:val="white"/>
          <w:lang w:val="en-GB"/>
        </w:rPr>
        <w:t>AMR</w:t>
      </w:r>
      <w:r w:rsidR="001A2214" w:rsidRPr="00C37A4D">
        <w:rPr>
          <w:rFonts w:asciiTheme="minorHAnsi" w:eastAsia="Arial" w:hAnsiTheme="minorHAnsi" w:cstheme="minorHAnsi"/>
          <w:color w:val="000000" w:themeColor="text1"/>
          <w:sz w:val="22"/>
          <w:szCs w:val="22"/>
          <w:highlight w:val="white"/>
          <w:lang w:val="en-GB"/>
        </w:rPr>
        <w:t xml:space="preserve"> and</w:t>
      </w:r>
      <w:r w:rsidR="002B5E9B" w:rsidRPr="00C37A4D">
        <w:rPr>
          <w:rFonts w:asciiTheme="minorHAnsi" w:eastAsia="Arial" w:hAnsiTheme="minorHAnsi" w:cstheme="minorHAnsi"/>
          <w:color w:val="000000" w:themeColor="text1"/>
          <w:sz w:val="22"/>
          <w:szCs w:val="22"/>
          <w:highlight w:val="white"/>
          <w:lang w:val="en-GB"/>
        </w:rPr>
        <w:t xml:space="preserve"> </w:t>
      </w:r>
      <w:r w:rsidR="00BD38B9" w:rsidRPr="00C37A4D">
        <w:rPr>
          <w:rFonts w:asciiTheme="minorHAnsi" w:eastAsia="Arial" w:hAnsiTheme="minorHAnsi" w:cstheme="minorHAnsi"/>
          <w:color w:val="000000" w:themeColor="text1"/>
          <w:sz w:val="22"/>
          <w:szCs w:val="22"/>
          <w:highlight w:val="white"/>
          <w:lang w:val="en-GB"/>
        </w:rPr>
        <w:t>anti</w:t>
      </w:r>
      <w:r w:rsidR="0004283B" w:rsidRPr="00C37A4D">
        <w:rPr>
          <w:rFonts w:asciiTheme="minorHAnsi" w:eastAsia="Arial" w:hAnsiTheme="minorHAnsi" w:cstheme="minorHAnsi"/>
          <w:color w:val="000000" w:themeColor="text1"/>
          <w:sz w:val="22"/>
          <w:szCs w:val="22"/>
          <w:highlight w:val="white"/>
          <w:lang w:val="en-GB"/>
        </w:rPr>
        <w:t>biotic</w:t>
      </w:r>
      <w:r w:rsidR="00BD38B9" w:rsidRPr="00C37A4D">
        <w:rPr>
          <w:rFonts w:asciiTheme="minorHAnsi" w:eastAsia="Arial" w:hAnsiTheme="minorHAnsi" w:cstheme="minorHAnsi"/>
          <w:color w:val="000000" w:themeColor="text1"/>
          <w:sz w:val="22"/>
          <w:szCs w:val="22"/>
          <w:highlight w:val="white"/>
          <w:lang w:val="en-GB"/>
        </w:rPr>
        <w:t xml:space="preserve"> </w:t>
      </w:r>
      <w:r w:rsidR="00C6739D">
        <w:rPr>
          <w:rFonts w:asciiTheme="minorHAnsi" w:eastAsia="Arial" w:hAnsiTheme="minorHAnsi" w:cstheme="minorHAnsi"/>
          <w:color w:val="000000" w:themeColor="text1"/>
          <w:sz w:val="22"/>
          <w:szCs w:val="22"/>
          <w:highlight w:val="white"/>
          <w:lang w:val="en-GB"/>
        </w:rPr>
        <w:t>use</w:t>
      </w:r>
      <w:r w:rsidR="00C6739D" w:rsidRPr="00C37A4D">
        <w:rPr>
          <w:rFonts w:asciiTheme="minorHAnsi" w:eastAsia="Arial" w:hAnsiTheme="minorHAnsi" w:cstheme="minorHAnsi"/>
          <w:color w:val="000000" w:themeColor="text1"/>
          <w:sz w:val="22"/>
          <w:szCs w:val="22"/>
          <w:highlight w:val="white"/>
          <w:lang w:val="en-GB"/>
        </w:rPr>
        <w:t xml:space="preserve"> </w:t>
      </w:r>
      <w:r w:rsidR="00302F3E" w:rsidRPr="00C37A4D">
        <w:rPr>
          <w:rFonts w:asciiTheme="minorHAnsi" w:eastAsia="Arial" w:hAnsiTheme="minorHAnsi" w:cstheme="minorHAnsi"/>
          <w:color w:val="000000" w:themeColor="text1"/>
          <w:sz w:val="22"/>
          <w:szCs w:val="22"/>
          <w:highlight w:val="white"/>
          <w:lang w:val="en-GB"/>
        </w:rPr>
        <w:t>have</w:t>
      </w:r>
      <w:r w:rsidR="001A2214" w:rsidRPr="00C37A4D">
        <w:rPr>
          <w:rFonts w:asciiTheme="minorHAnsi" w:eastAsia="Arial" w:hAnsiTheme="minorHAnsi" w:cstheme="minorHAnsi"/>
          <w:color w:val="000000" w:themeColor="text1"/>
          <w:sz w:val="22"/>
          <w:szCs w:val="22"/>
          <w:highlight w:val="white"/>
          <w:lang w:val="en-GB"/>
        </w:rPr>
        <w:t xml:space="preserve"> intersected with</w:t>
      </w:r>
      <w:r w:rsidR="002B5E9B" w:rsidRPr="00C37A4D">
        <w:rPr>
          <w:rFonts w:asciiTheme="minorHAnsi" w:eastAsia="Arial" w:hAnsiTheme="minorHAnsi" w:cstheme="minorHAnsi"/>
          <w:color w:val="000000" w:themeColor="text1"/>
          <w:sz w:val="22"/>
          <w:szCs w:val="22"/>
          <w:highlight w:val="white"/>
          <w:lang w:val="en-GB"/>
        </w:rPr>
        <w:t xml:space="preserve"> disease burden over the </w:t>
      </w:r>
      <w:r w:rsidR="00302F3E" w:rsidRPr="00C37A4D">
        <w:rPr>
          <w:rFonts w:asciiTheme="minorHAnsi" w:eastAsia="Arial" w:hAnsiTheme="minorHAnsi" w:cstheme="minorHAnsi"/>
          <w:color w:val="000000" w:themeColor="text1"/>
          <w:sz w:val="22"/>
          <w:szCs w:val="22"/>
          <w:highlight w:val="white"/>
          <w:lang w:val="en-GB"/>
        </w:rPr>
        <w:t>p</w:t>
      </w:r>
      <w:r w:rsidR="002B5E9B" w:rsidRPr="00C37A4D">
        <w:rPr>
          <w:rFonts w:asciiTheme="minorHAnsi" w:eastAsia="Arial" w:hAnsiTheme="minorHAnsi" w:cstheme="minorHAnsi"/>
          <w:color w:val="000000" w:themeColor="text1"/>
          <w:sz w:val="22"/>
          <w:szCs w:val="22"/>
          <w:highlight w:val="white"/>
          <w:lang w:val="en-GB"/>
        </w:rPr>
        <w:t>ast decade</w:t>
      </w:r>
      <w:r w:rsidR="005D25E0">
        <w:rPr>
          <w:rFonts w:asciiTheme="minorHAnsi" w:eastAsia="Arial" w:hAnsiTheme="minorHAnsi" w:cstheme="minorHAnsi"/>
          <w:color w:val="000000" w:themeColor="text1"/>
          <w:sz w:val="22"/>
          <w:szCs w:val="22"/>
          <w:highlight w:val="white"/>
          <w:lang w:val="en-GB"/>
        </w:rPr>
        <w:t>.  We draw from case studies of healthcare acquired infections, particularly in</w:t>
      </w:r>
      <w:r w:rsidR="00D25A13">
        <w:rPr>
          <w:rFonts w:asciiTheme="minorHAnsi" w:eastAsia="Arial" w:hAnsiTheme="minorHAnsi" w:cstheme="minorHAnsi"/>
          <w:color w:val="000000" w:themeColor="text1"/>
          <w:sz w:val="22"/>
          <w:szCs w:val="22"/>
          <w:highlight w:val="white"/>
          <w:lang w:val="en-GB"/>
        </w:rPr>
        <w:t xml:space="preserve"> neonates and the elderly, as well as on select community-acquired infections</w:t>
      </w:r>
      <w:r w:rsidR="001A2214" w:rsidRPr="00C37A4D">
        <w:rPr>
          <w:rFonts w:asciiTheme="minorHAnsi" w:eastAsia="Arial" w:hAnsiTheme="minorHAnsi" w:cstheme="minorHAnsi"/>
          <w:color w:val="000000" w:themeColor="text1"/>
          <w:sz w:val="22"/>
          <w:szCs w:val="22"/>
          <w:highlight w:val="white"/>
          <w:lang w:val="en-GB"/>
        </w:rPr>
        <w:t>.</w:t>
      </w:r>
      <w:r w:rsidR="0047001E" w:rsidRPr="00C37A4D">
        <w:rPr>
          <w:rFonts w:asciiTheme="minorHAnsi" w:eastAsia="Arial" w:hAnsiTheme="minorHAnsi" w:cstheme="minorHAnsi"/>
          <w:color w:val="000000" w:themeColor="text1"/>
          <w:sz w:val="22"/>
          <w:szCs w:val="22"/>
          <w:highlight w:val="white"/>
          <w:lang w:val="en-GB"/>
        </w:rPr>
        <w:t xml:space="preserve"> </w:t>
      </w:r>
      <w:r w:rsidR="00A37FD8">
        <w:rPr>
          <w:rFonts w:asciiTheme="minorHAnsi" w:eastAsia="Arial" w:hAnsiTheme="minorHAnsi" w:cstheme="minorHAnsi"/>
          <w:color w:val="000000" w:themeColor="text1"/>
          <w:sz w:val="22"/>
          <w:szCs w:val="22"/>
          <w:highlight w:val="white"/>
          <w:lang w:val="en-GB"/>
        </w:rPr>
        <w:t>Paper 2 models</w:t>
      </w:r>
      <w:r w:rsidR="008D36AA">
        <w:rPr>
          <w:rFonts w:asciiTheme="minorHAnsi" w:eastAsia="Arial" w:hAnsiTheme="minorHAnsi" w:cstheme="minorHAnsi"/>
          <w:color w:val="000000" w:themeColor="text1"/>
          <w:sz w:val="22"/>
          <w:szCs w:val="22"/>
          <w:highlight w:val="white"/>
          <w:lang w:val="en-GB"/>
        </w:rPr>
        <w:t xml:space="preserve"> </w:t>
      </w:r>
      <w:r w:rsidR="00726F6C">
        <w:rPr>
          <w:rFonts w:asciiTheme="minorHAnsi" w:eastAsia="Arial" w:hAnsiTheme="minorHAnsi" w:cstheme="minorHAnsi"/>
          <w:color w:val="000000" w:themeColor="text1"/>
          <w:sz w:val="22"/>
          <w:szCs w:val="22"/>
          <w:highlight w:val="white"/>
          <w:lang w:val="en-GB"/>
        </w:rPr>
        <w:t xml:space="preserve">the </w:t>
      </w:r>
      <w:r w:rsidR="008D36AA">
        <w:rPr>
          <w:rFonts w:asciiTheme="minorHAnsi" w:eastAsia="Arial" w:hAnsiTheme="minorHAnsi" w:cstheme="minorHAnsi"/>
          <w:color w:val="000000" w:themeColor="text1"/>
          <w:sz w:val="22"/>
          <w:szCs w:val="22"/>
          <w:highlight w:val="white"/>
          <w:lang w:val="en-GB"/>
        </w:rPr>
        <w:t>effectiveness of</w:t>
      </w:r>
      <w:r w:rsidR="00C932E2">
        <w:rPr>
          <w:rFonts w:asciiTheme="minorHAnsi" w:eastAsia="Arial" w:hAnsiTheme="minorHAnsi" w:cstheme="minorHAnsi"/>
          <w:color w:val="000000" w:themeColor="text1"/>
          <w:sz w:val="22"/>
          <w:szCs w:val="22"/>
          <w:highlight w:val="white"/>
          <w:lang w:val="en-GB"/>
        </w:rPr>
        <w:t xml:space="preserve"> interventions </w:t>
      </w:r>
      <w:r w:rsidR="00726F6C">
        <w:rPr>
          <w:rFonts w:asciiTheme="minorHAnsi" w:eastAsia="Arial" w:hAnsiTheme="minorHAnsi" w:cstheme="minorHAnsi"/>
          <w:color w:val="000000" w:themeColor="text1"/>
          <w:sz w:val="22"/>
          <w:szCs w:val="22"/>
          <w:highlight w:val="white"/>
          <w:lang w:val="en-GB"/>
        </w:rPr>
        <w:t>to</w:t>
      </w:r>
      <w:r w:rsidR="00C932E2">
        <w:rPr>
          <w:rFonts w:asciiTheme="minorHAnsi" w:eastAsia="Arial" w:hAnsiTheme="minorHAnsi" w:cstheme="minorHAnsi"/>
          <w:color w:val="000000" w:themeColor="text1"/>
          <w:sz w:val="22"/>
          <w:szCs w:val="22"/>
          <w:highlight w:val="white"/>
          <w:lang w:val="en-GB"/>
        </w:rPr>
        <w:t xml:space="preserve"> contain resistance in resource-limited settings.</w:t>
      </w:r>
      <w:r w:rsidR="00150C06" w:rsidRPr="00150C06">
        <w:rPr>
          <w:rFonts w:hAnsiTheme="minorHAnsi"/>
          <w:color w:val="000000"/>
          <w:sz w:val="22"/>
          <w:vertAlign w:val="superscript"/>
        </w:rPr>
        <w:t>43</w:t>
      </w:r>
      <w:r w:rsidR="00C932E2">
        <w:rPr>
          <w:rFonts w:asciiTheme="minorHAnsi" w:eastAsia="Arial" w:hAnsiTheme="minorHAnsi" w:cstheme="minorHAnsi"/>
          <w:color w:val="000000" w:themeColor="text1"/>
          <w:sz w:val="22"/>
          <w:szCs w:val="22"/>
          <w:highlight w:val="white"/>
          <w:lang w:val="en-GB"/>
        </w:rPr>
        <w:t xml:space="preserve"> Paper 3 </w:t>
      </w:r>
      <w:r w:rsidR="008D36AA">
        <w:rPr>
          <w:rFonts w:asciiTheme="minorHAnsi" w:eastAsia="Arial" w:hAnsiTheme="minorHAnsi" w:cstheme="minorHAnsi"/>
          <w:color w:val="000000" w:themeColor="text1"/>
          <w:sz w:val="22"/>
          <w:szCs w:val="22"/>
          <w:highlight w:val="white"/>
          <w:lang w:val="en-GB"/>
        </w:rPr>
        <w:t xml:space="preserve">examines </w:t>
      </w:r>
      <w:r w:rsidR="00FB3401">
        <w:rPr>
          <w:rFonts w:asciiTheme="minorHAnsi" w:eastAsia="Arial" w:hAnsiTheme="minorHAnsi" w:cstheme="minorHAnsi"/>
          <w:color w:val="000000" w:themeColor="text1"/>
          <w:sz w:val="22"/>
          <w:szCs w:val="22"/>
          <w:highlight w:val="white"/>
          <w:lang w:val="en-GB"/>
        </w:rPr>
        <w:t xml:space="preserve">how </w:t>
      </w:r>
      <w:r w:rsidR="00C932E2">
        <w:rPr>
          <w:rFonts w:asciiTheme="minorHAnsi" w:eastAsia="Arial" w:hAnsiTheme="minorHAnsi" w:cstheme="minorHAnsi"/>
          <w:color w:val="000000" w:themeColor="text1"/>
          <w:sz w:val="22"/>
          <w:szCs w:val="22"/>
          <w:highlight w:val="white"/>
          <w:lang w:val="en-GB"/>
        </w:rPr>
        <w:t xml:space="preserve">research and development can address </w:t>
      </w:r>
      <w:r w:rsidR="0048335C">
        <w:rPr>
          <w:rFonts w:asciiTheme="minorHAnsi" w:eastAsia="Arial" w:hAnsiTheme="minorHAnsi" w:cstheme="minorHAnsi"/>
          <w:color w:val="000000" w:themeColor="text1"/>
          <w:sz w:val="22"/>
          <w:szCs w:val="22"/>
          <w:highlight w:val="white"/>
          <w:lang w:val="en-GB"/>
        </w:rPr>
        <w:t>AMR</w:t>
      </w:r>
      <w:r w:rsidR="00E84038">
        <w:rPr>
          <w:rFonts w:asciiTheme="minorHAnsi" w:eastAsia="Arial" w:hAnsiTheme="minorHAnsi" w:cstheme="minorHAnsi"/>
          <w:color w:val="000000" w:themeColor="text1"/>
          <w:sz w:val="22"/>
          <w:szCs w:val="22"/>
          <w:highlight w:val="white"/>
          <w:lang w:val="en-GB"/>
        </w:rPr>
        <w:t>.</w:t>
      </w:r>
      <w:r w:rsidR="00E00CFD" w:rsidRPr="00E00CFD">
        <w:rPr>
          <w:rFonts w:hAnsiTheme="minorHAnsi"/>
          <w:color w:val="000000"/>
          <w:sz w:val="22"/>
          <w:vertAlign w:val="superscript"/>
        </w:rPr>
        <w:t>44</w:t>
      </w:r>
      <w:r w:rsidR="00E01B7B">
        <w:rPr>
          <w:rFonts w:asciiTheme="minorHAnsi" w:eastAsia="Arial" w:hAnsiTheme="minorHAnsi" w:cstheme="minorHAnsi"/>
          <w:color w:val="000000" w:themeColor="text1"/>
          <w:sz w:val="22"/>
          <w:szCs w:val="22"/>
          <w:highlight w:val="white"/>
          <w:lang w:val="en-GB"/>
        </w:rPr>
        <w:t xml:space="preserve"> </w:t>
      </w:r>
      <w:r w:rsidR="00726F6C">
        <w:rPr>
          <w:rFonts w:asciiTheme="minorHAnsi" w:eastAsia="Arial" w:hAnsiTheme="minorHAnsi" w:cstheme="minorHAnsi"/>
          <w:color w:val="000000" w:themeColor="text1"/>
          <w:sz w:val="22"/>
          <w:szCs w:val="22"/>
          <w:highlight w:val="white"/>
          <w:lang w:val="en-GB"/>
        </w:rPr>
        <w:t xml:space="preserve">Finally, </w:t>
      </w:r>
      <w:r w:rsidR="00E01B7B">
        <w:rPr>
          <w:rFonts w:asciiTheme="minorHAnsi" w:eastAsia="Arial" w:hAnsiTheme="minorHAnsi" w:cstheme="minorHAnsi"/>
          <w:color w:val="000000" w:themeColor="text1"/>
          <w:sz w:val="22"/>
          <w:szCs w:val="22"/>
          <w:highlight w:val="white"/>
          <w:lang w:val="en-GB"/>
        </w:rPr>
        <w:t>Paper 4</w:t>
      </w:r>
      <w:r w:rsidR="00C932E2">
        <w:rPr>
          <w:rFonts w:asciiTheme="minorHAnsi" w:eastAsia="Arial" w:hAnsiTheme="minorHAnsi" w:cstheme="minorHAnsi"/>
          <w:color w:val="000000" w:themeColor="text1"/>
          <w:sz w:val="22"/>
          <w:szCs w:val="22"/>
          <w:highlight w:val="white"/>
          <w:lang w:val="en-GB"/>
        </w:rPr>
        <w:t xml:space="preserve"> </w:t>
      </w:r>
      <w:r w:rsidR="008D36AA">
        <w:rPr>
          <w:rFonts w:asciiTheme="minorHAnsi" w:eastAsia="Arial" w:hAnsiTheme="minorHAnsi" w:cstheme="minorHAnsi"/>
          <w:color w:val="000000" w:themeColor="text1"/>
          <w:sz w:val="22"/>
          <w:szCs w:val="22"/>
          <w:highlight w:val="white"/>
          <w:lang w:val="en-GB"/>
        </w:rPr>
        <w:t>proposes</w:t>
      </w:r>
      <w:r w:rsidR="00C932E2">
        <w:rPr>
          <w:rFonts w:asciiTheme="minorHAnsi" w:eastAsia="Arial" w:hAnsiTheme="minorHAnsi" w:cstheme="minorHAnsi"/>
          <w:color w:val="000000" w:themeColor="text1"/>
          <w:sz w:val="22"/>
          <w:szCs w:val="22"/>
          <w:highlight w:val="white"/>
          <w:lang w:val="en-GB"/>
        </w:rPr>
        <w:t xml:space="preserve"> </w:t>
      </w:r>
      <w:r w:rsidR="00C932E2" w:rsidRPr="00794CEC">
        <w:rPr>
          <w:rFonts w:asciiTheme="minorHAnsi" w:eastAsia="Arial" w:hAnsiTheme="minorHAnsi" w:cstheme="minorHAnsi"/>
          <w:color w:val="000000" w:themeColor="text1"/>
          <w:sz w:val="22"/>
          <w:szCs w:val="22"/>
          <w:lang w:val="en-GB"/>
        </w:rPr>
        <w:t xml:space="preserve">achievable targets </w:t>
      </w:r>
      <w:r w:rsidR="00C932E2">
        <w:rPr>
          <w:rFonts w:asciiTheme="minorHAnsi" w:eastAsia="Arial" w:hAnsiTheme="minorHAnsi" w:cstheme="minorHAnsi"/>
          <w:color w:val="000000" w:themeColor="text1"/>
          <w:sz w:val="22"/>
          <w:szCs w:val="22"/>
          <w:lang w:val="en-GB"/>
        </w:rPr>
        <w:t xml:space="preserve">for </w:t>
      </w:r>
      <w:r w:rsidR="00726F6C">
        <w:rPr>
          <w:rFonts w:asciiTheme="minorHAnsi" w:eastAsia="Arial" w:hAnsiTheme="minorHAnsi" w:cstheme="minorHAnsi"/>
          <w:color w:val="000000" w:themeColor="text1"/>
          <w:sz w:val="22"/>
          <w:szCs w:val="22"/>
          <w:lang w:val="en-GB"/>
        </w:rPr>
        <w:t xml:space="preserve">a </w:t>
      </w:r>
      <w:r w:rsidR="00C932E2">
        <w:rPr>
          <w:rFonts w:asciiTheme="minorHAnsi" w:eastAsia="Arial" w:hAnsiTheme="minorHAnsi" w:cstheme="minorHAnsi"/>
          <w:color w:val="000000" w:themeColor="text1"/>
          <w:sz w:val="22"/>
          <w:szCs w:val="22"/>
          <w:lang w:val="en-GB"/>
        </w:rPr>
        <w:t xml:space="preserve">10% </w:t>
      </w:r>
      <w:r w:rsidR="00C932E2" w:rsidRPr="00794CEC">
        <w:rPr>
          <w:rFonts w:asciiTheme="minorHAnsi" w:eastAsia="Arial" w:hAnsiTheme="minorHAnsi" w:cstheme="minorHAnsi"/>
          <w:color w:val="000000" w:themeColor="text1"/>
          <w:sz w:val="22"/>
          <w:szCs w:val="22"/>
          <w:lang w:val="en-GB"/>
        </w:rPr>
        <w:t xml:space="preserve">reduction in disease burden from </w:t>
      </w:r>
      <w:r w:rsidR="00C932E2">
        <w:rPr>
          <w:rFonts w:asciiTheme="minorHAnsi" w:eastAsia="Arial" w:hAnsiTheme="minorHAnsi" w:cstheme="minorHAnsi"/>
          <w:color w:val="000000" w:themeColor="text1"/>
          <w:sz w:val="22"/>
          <w:szCs w:val="22"/>
          <w:lang w:val="en-GB"/>
        </w:rPr>
        <w:t>AMR by 2030</w:t>
      </w:r>
      <w:r w:rsidR="005721D2">
        <w:rPr>
          <w:rFonts w:asciiTheme="minorHAnsi" w:eastAsia="Arial" w:hAnsiTheme="minorHAnsi" w:cstheme="minorHAnsi"/>
          <w:color w:val="000000" w:themeColor="text1"/>
          <w:sz w:val="22"/>
          <w:szCs w:val="22"/>
          <w:lang w:val="en-GB"/>
        </w:rPr>
        <w:t>.</w:t>
      </w:r>
      <w:r w:rsidR="00E00CFD" w:rsidRPr="00E00CFD">
        <w:rPr>
          <w:rFonts w:hAnsiTheme="minorHAnsi"/>
          <w:color w:val="000000"/>
          <w:sz w:val="22"/>
          <w:vertAlign w:val="superscript"/>
        </w:rPr>
        <w:t>45</w:t>
      </w:r>
    </w:p>
    <w:p w14:paraId="6B9C3437" w14:textId="77777777" w:rsidR="00726F6C" w:rsidRDefault="00726F6C" w:rsidP="00C03228">
      <w:pPr>
        <w:rPr>
          <w:rFonts w:asciiTheme="minorHAnsi" w:eastAsia="Arial" w:hAnsiTheme="minorHAnsi" w:cstheme="minorHAnsi"/>
          <w:color w:val="000000" w:themeColor="text1"/>
          <w:sz w:val="22"/>
          <w:szCs w:val="22"/>
          <w:lang w:val="en-GB"/>
        </w:rPr>
      </w:pPr>
    </w:p>
    <w:p w14:paraId="262694FE" w14:textId="0814D09D" w:rsidR="001532F9" w:rsidRPr="00C37A4D" w:rsidRDefault="00570AE5" w:rsidP="00C03228">
      <w:pPr>
        <w:rPr>
          <w:rFonts w:asciiTheme="minorHAnsi" w:eastAsia="Arial" w:hAnsiTheme="minorHAnsi" w:cstheme="minorHAnsi"/>
          <w:color w:val="000000" w:themeColor="text1"/>
          <w:sz w:val="22"/>
          <w:szCs w:val="22"/>
          <w:highlight w:val="white"/>
          <w:lang w:val="en-GB"/>
        </w:rPr>
      </w:pPr>
      <w:r>
        <w:rPr>
          <w:rFonts w:asciiTheme="minorHAnsi" w:eastAsia="Arial" w:hAnsiTheme="minorHAnsi" w:cstheme="minorHAnsi"/>
          <w:color w:val="000000" w:themeColor="text1"/>
          <w:sz w:val="22"/>
          <w:szCs w:val="22"/>
          <w:lang w:val="en-GB"/>
        </w:rPr>
        <w:t>Here we</w:t>
      </w:r>
      <w:r w:rsidR="008D36AA">
        <w:rPr>
          <w:rFonts w:asciiTheme="minorHAnsi" w:eastAsia="Arial" w:hAnsiTheme="minorHAnsi" w:cstheme="minorHAnsi"/>
          <w:color w:val="000000" w:themeColor="text1"/>
          <w:sz w:val="22"/>
          <w:szCs w:val="22"/>
          <w:lang w:val="en-GB"/>
        </w:rPr>
        <w:t xml:space="preserve"> present</w:t>
      </w:r>
      <w:r w:rsidR="002B5E9B" w:rsidRPr="00C37A4D">
        <w:rPr>
          <w:rFonts w:asciiTheme="minorHAnsi" w:eastAsia="Arial" w:hAnsiTheme="minorHAnsi" w:cstheme="minorHAnsi"/>
          <w:color w:val="000000" w:themeColor="text1"/>
          <w:sz w:val="22"/>
          <w:szCs w:val="22"/>
          <w:highlight w:val="white"/>
          <w:lang w:val="en-GB"/>
        </w:rPr>
        <w:t xml:space="preserve"> evidence on the growing </w:t>
      </w:r>
      <w:r w:rsidR="00302F3E" w:rsidRPr="00C37A4D">
        <w:rPr>
          <w:rFonts w:asciiTheme="minorHAnsi" w:eastAsia="Arial" w:hAnsiTheme="minorHAnsi" w:cstheme="minorHAnsi"/>
          <w:color w:val="000000" w:themeColor="text1"/>
          <w:sz w:val="22"/>
          <w:szCs w:val="22"/>
          <w:highlight w:val="white"/>
          <w:lang w:val="en-GB"/>
        </w:rPr>
        <w:t>effe</w:t>
      </w:r>
      <w:r w:rsidR="002B5E9B" w:rsidRPr="00C37A4D">
        <w:rPr>
          <w:rFonts w:asciiTheme="minorHAnsi" w:eastAsia="Arial" w:hAnsiTheme="minorHAnsi" w:cstheme="minorHAnsi"/>
          <w:color w:val="000000" w:themeColor="text1"/>
          <w:sz w:val="22"/>
          <w:szCs w:val="22"/>
          <w:highlight w:val="white"/>
          <w:lang w:val="en-GB"/>
        </w:rPr>
        <w:t xml:space="preserve">ct of AMR on </w:t>
      </w:r>
      <w:r w:rsidR="008642DA" w:rsidRPr="00C37A4D">
        <w:rPr>
          <w:rFonts w:asciiTheme="minorHAnsi" w:eastAsia="Arial" w:hAnsiTheme="minorHAnsi" w:cstheme="minorHAnsi"/>
          <w:color w:val="000000" w:themeColor="text1"/>
          <w:sz w:val="22"/>
          <w:szCs w:val="22"/>
          <w:highlight w:val="white"/>
          <w:lang w:val="en-GB"/>
        </w:rPr>
        <w:t>global health</w:t>
      </w:r>
      <w:r w:rsidR="001A2214" w:rsidRPr="00C37A4D">
        <w:rPr>
          <w:rFonts w:asciiTheme="minorHAnsi" w:eastAsia="Arial" w:hAnsiTheme="minorHAnsi" w:cstheme="minorHAnsi"/>
          <w:color w:val="000000" w:themeColor="text1"/>
          <w:sz w:val="22"/>
          <w:szCs w:val="22"/>
          <w:highlight w:val="white"/>
          <w:lang w:val="en-GB"/>
        </w:rPr>
        <w:t xml:space="preserve"> and</w:t>
      </w:r>
      <w:r w:rsidR="00C03228" w:rsidRPr="00C37A4D">
        <w:rPr>
          <w:rFonts w:asciiTheme="minorHAnsi" w:eastAsia="Arial" w:hAnsiTheme="minorHAnsi" w:cstheme="minorHAnsi"/>
          <w:color w:val="000000" w:themeColor="text1"/>
          <w:sz w:val="22"/>
          <w:szCs w:val="22"/>
          <w:highlight w:val="white"/>
          <w:lang w:val="en-GB"/>
        </w:rPr>
        <w:t xml:space="preserve"> examine options for pragmatic</w:t>
      </w:r>
      <w:r w:rsidR="00302F3E" w:rsidRPr="00C37A4D">
        <w:rPr>
          <w:rFonts w:asciiTheme="minorHAnsi" w:eastAsia="Arial" w:hAnsiTheme="minorHAnsi" w:cstheme="minorHAnsi"/>
          <w:color w:val="000000" w:themeColor="text1"/>
          <w:sz w:val="22"/>
          <w:szCs w:val="22"/>
          <w:highlight w:val="white"/>
          <w:lang w:val="en-GB"/>
        </w:rPr>
        <w:t>,</w:t>
      </w:r>
      <w:r w:rsidR="00C03228" w:rsidRPr="00C37A4D">
        <w:rPr>
          <w:rFonts w:asciiTheme="minorHAnsi" w:eastAsia="Arial" w:hAnsiTheme="minorHAnsi" w:cstheme="minorHAnsi"/>
          <w:color w:val="000000" w:themeColor="text1"/>
          <w:sz w:val="22"/>
          <w:szCs w:val="22"/>
          <w:highlight w:val="white"/>
          <w:lang w:val="en-GB"/>
        </w:rPr>
        <w:t xml:space="preserve"> rapid improvements in</w:t>
      </w:r>
      <w:r w:rsidR="008D36AA">
        <w:rPr>
          <w:rFonts w:asciiTheme="minorHAnsi" w:eastAsia="Arial" w:hAnsiTheme="minorHAnsi" w:cstheme="minorHAnsi"/>
          <w:color w:val="000000" w:themeColor="text1"/>
          <w:sz w:val="22"/>
          <w:szCs w:val="22"/>
          <w:highlight w:val="white"/>
          <w:lang w:val="en-GB"/>
        </w:rPr>
        <w:t xml:space="preserve"> global AMR and antibiotic use</w:t>
      </w:r>
      <w:r w:rsidR="00C03228" w:rsidRPr="00C37A4D">
        <w:rPr>
          <w:rFonts w:asciiTheme="minorHAnsi" w:eastAsia="Arial" w:hAnsiTheme="minorHAnsi" w:cstheme="minorHAnsi"/>
          <w:color w:val="000000" w:themeColor="text1"/>
          <w:sz w:val="22"/>
          <w:szCs w:val="22"/>
          <w:highlight w:val="white"/>
          <w:lang w:val="en-GB"/>
        </w:rPr>
        <w:t xml:space="preserve"> </w:t>
      </w:r>
      <w:r w:rsidR="008642DA" w:rsidRPr="00C37A4D">
        <w:rPr>
          <w:rFonts w:asciiTheme="minorHAnsi" w:eastAsia="Arial" w:hAnsiTheme="minorHAnsi" w:cstheme="minorHAnsi"/>
          <w:color w:val="000000" w:themeColor="text1"/>
          <w:sz w:val="22"/>
          <w:szCs w:val="22"/>
          <w:highlight w:val="white"/>
          <w:lang w:val="en-GB"/>
        </w:rPr>
        <w:t>surveillance</w:t>
      </w:r>
      <w:r w:rsidR="00C03228" w:rsidRPr="00C37A4D">
        <w:rPr>
          <w:rFonts w:asciiTheme="minorHAnsi" w:eastAsia="Arial" w:hAnsiTheme="minorHAnsi" w:cstheme="minorHAnsi"/>
          <w:color w:val="000000" w:themeColor="text1"/>
          <w:sz w:val="22"/>
          <w:szCs w:val="22"/>
          <w:highlight w:val="white"/>
          <w:lang w:val="en-GB"/>
        </w:rPr>
        <w:t>.</w:t>
      </w:r>
      <w:r w:rsidR="0047001E" w:rsidRPr="00C37A4D">
        <w:rPr>
          <w:rFonts w:asciiTheme="minorHAnsi" w:eastAsia="Arial" w:hAnsiTheme="minorHAnsi" w:cstheme="minorHAnsi"/>
          <w:color w:val="000000" w:themeColor="text1"/>
          <w:sz w:val="22"/>
          <w:szCs w:val="22"/>
          <w:highlight w:val="white"/>
          <w:lang w:val="en-GB"/>
        </w:rPr>
        <w:t xml:space="preserve"> </w:t>
      </w:r>
      <w:r w:rsidR="008F3ED8">
        <w:rPr>
          <w:rFonts w:asciiTheme="minorHAnsi" w:eastAsia="Arial" w:hAnsiTheme="minorHAnsi" w:cstheme="minorHAnsi"/>
          <w:color w:val="000000" w:themeColor="text1"/>
          <w:sz w:val="22"/>
          <w:szCs w:val="22"/>
          <w:highlight w:val="white"/>
          <w:lang w:val="en-GB"/>
        </w:rPr>
        <w:t>Ou</w:t>
      </w:r>
      <w:r w:rsidR="005D25E0">
        <w:rPr>
          <w:rFonts w:asciiTheme="minorHAnsi" w:eastAsia="Arial" w:hAnsiTheme="minorHAnsi" w:cstheme="minorHAnsi"/>
          <w:color w:val="000000" w:themeColor="text1"/>
          <w:sz w:val="22"/>
          <w:szCs w:val="22"/>
          <w:highlight w:val="white"/>
          <w:lang w:val="en-GB"/>
        </w:rPr>
        <w:t>r</w:t>
      </w:r>
      <w:r w:rsidR="008F3ED8">
        <w:rPr>
          <w:rFonts w:asciiTheme="minorHAnsi" w:eastAsia="Arial" w:hAnsiTheme="minorHAnsi" w:cstheme="minorHAnsi"/>
          <w:color w:val="000000" w:themeColor="text1"/>
          <w:sz w:val="22"/>
          <w:szCs w:val="22"/>
          <w:highlight w:val="white"/>
          <w:lang w:val="en-GB"/>
        </w:rPr>
        <w:t xml:space="preserve"> aim in this paper</w:t>
      </w:r>
      <w:r w:rsidR="005D25E0">
        <w:rPr>
          <w:rFonts w:asciiTheme="minorHAnsi" w:eastAsia="Arial" w:hAnsiTheme="minorHAnsi" w:cstheme="minorHAnsi"/>
          <w:color w:val="000000" w:themeColor="text1"/>
          <w:sz w:val="22"/>
          <w:szCs w:val="22"/>
          <w:highlight w:val="white"/>
          <w:lang w:val="en-GB"/>
        </w:rPr>
        <w:t>,</w:t>
      </w:r>
      <w:r w:rsidR="008F3ED8">
        <w:rPr>
          <w:rFonts w:asciiTheme="minorHAnsi" w:eastAsia="Arial" w:hAnsiTheme="minorHAnsi" w:cstheme="minorHAnsi"/>
          <w:color w:val="000000" w:themeColor="text1"/>
          <w:sz w:val="22"/>
          <w:szCs w:val="22"/>
          <w:highlight w:val="white"/>
          <w:lang w:val="en-GB"/>
        </w:rPr>
        <w:t xml:space="preserve"> and throughout the series</w:t>
      </w:r>
      <w:r w:rsidR="005D25E0">
        <w:rPr>
          <w:rFonts w:asciiTheme="minorHAnsi" w:eastAsia="Arial" w:hAnsiTheme="minorHAnsi" w:cstheme="minorHAnsi"/>
          <w:color w:val="000000" w:themeColor="text1"/>
          <w:sz w:val="22"/>
          <w:szCs w:val="22"/>
          <w:highlight w:val="white"/>
          <w:lang w:val="en-GB"/>
        </w:rPr>
        <w:t>,</w:t>
      </w:r>
      <w:r w:rsidR="008F3ED8">
        <w:rPr>
          <w:rFonts w:asciiTheme="minorHAnsi" w:eastAsia="Arial" w:hAnsiTheme="minorHAnsi" w:cstheme="minorHAnsi"/>
          <w:color w:val="000000" w:themeColor="text1"/>
          <w:sz w:val="22"/>
          <w:szCs w:val="22"/>
          <w:highlight w:val="white"/>
          <w:lang w:val="en-GB"/>
        </w:rPr>
        <w:t xml:space="preserve"> is to present the problem of AMR as a horizontal one</w:t>
      </w:r>
      <w:r w:rsidR="002125D1">
        <w:rPr>
          <w:rFonts w:asciiTheme="minorHAnsi" w:eastAsia="Arial" w:hAnsiTheme="minorHAnsi" w:cstheme="minorHAnsi"/>
          <w:color w:val="000000" w:themeColor="text1"/>
          <w:sz w:val="22"/>
          <w:szCs w:val="22"/>
          <w:highlight w:val="white"/>
          <w:lang w:val="en-GB"/>
        </w:rPr>
        <w:t xml:space="preserve"> that is exacerbated by inequitable access to antimicrobials</w:t>
      </w:r>
      <w:r w:rsidR="008F3ED8">
        <w:rPr>
          <w:rFonts w:asciiTheme="minorHAnsi" w:eastAsia="Arial" w:hAnsiTheme="minorHAnsi" w:cstheme="minorHAnsi"/>
          <w:color w:val="000000" w:themeColor="text1"/>
          <w:sz w:val="22"/>
          <w:szCs w:val="22"/>
          <w:highlight w:val="white"/>
          <w:lang w:val="en-GB"/>
        </w:rPr>
        <w:t xml:space="preserve">.  </w:t>
      </w:r>
      <w:r w:rsidR="00B979E0" w:rsidRPr="00C37A4D">
        <w:rPr>
          <w:rFonts w:asciiTheme="minorHAnsi" w:eastAsia="Arial" w:hAnsiTheme="minorHAnsi" w:cstheme="minorHAnsi"/>
          <w:color w:val="000000" w:themeColor="text1"/>
          <w:sz w:val="22"/>
          <w:szCs w:val="22"/>
          <w:highlight w:val="white"/>
          <w:lang w:val="en-GB"/>
        </w:rPr>
        <w:t>Our scope is restricted to non-</w:t>
      </w:r>
      <w:r w:rsidR="003412BD" w:rsidRPr="00C37A4D">
        <w:rPr>
          <w:rFonts w:asciiTheme="minorHAnsi" w:eastAsia="Arial" w:hAnsiTheme="minorHAnsi" w:cstheme="minorHAnsi"/>
          <w:color w:val="000000" w:themeColor="text1"/>
          <w:sz w:val="22"/>
          <w:szCs w:val="22"/>
          <w:highlight w:val="white"/>
          <w:lang w:val="en-GB"/>
        </w:rPr>
        <w:t xml:space="preserve">tuberculosis </w:t>
      </w:r>
      <w:r w:rsidR="00B979E0" w:rsidRPr="00C37A4D">
        <w:rPr>
          <w:rFonts w:asciiTheme="minorHAnsi" w:eastAsia="Arial" w:hAnsiTheme="minorHAnsi" w:cstheme="minorHAnsi"/>
          <w:color w:val="000000" w:themeColor="text1"/>
          <w:sz w:val="22"/>
          <w:szCs w:val="22"/>
          <w:highlight w:val="white"/>
          <w:lang w:val="en-GB"/>
        </w:rPr>
        <w:t xml:space="preserve">bacterial and fungal pathogens, </w:t>
      </w:r>
      <w:r w:rsidR="00E01B7B">
        <w:rPr>
          <w:rFonts w:asciiTheme="minorHAnsi" w:eastAsia="Arial" w:hAnsiTheme="minorHAnsi" w:cstheme="minorHAnsi"/>
          <w:color w:val="000000" w:themeColor="text1"/>
          <w:sz w:val="22"/>
          <w:szCs w:val="22"/>
          <w:highlight w:val="white"/>
          <w:lang w:val="en-GB"/>
        </w:rPr>
        <w:t>though</w:t>
      </w:r>
      <w:r w:rsidR="00B979E0" w:rsidRPr="00C37A4D">
        <w:rPr>
          <w:rFonts w:asciiTheme="minorHAnsi" w:eastAsia="Arial" w:hAnsiTheme="minorHAnsi" w:cstheme="minorHAnsi"/>
          <w:color w:val="000000" w:themeColor="text1"/>
          <w:sz w:val="22"/>
          <w:szCs w:val="22"/>
          <w:highlight w:val="white"/>
          <w:lang w:val="en-GB"/>
        </w:rPr>
        <w:t xml:space="preserve"> drug resistance is a growing impediment to the treatment of </w:t>
      </w:r>
      <w:r w:rsidR="003412BD" w:rsidRPr="00C37A4D">
        <w:rPr>
          <w:rFonts w:asciiTheme="minorHAnsi" w:eastAsia="Arial" w:hAnsiTheme="minorHAnsi" w:cstheme="minorHAnsi"/>
          <w:color w:val="000000" w:themeColor="text1"/>
          <w:sz w:val="22"/>
          <w:szCs w:val="22"/>
          <w:highlight w:val="white"/>
          <w:lang w:val="en-GB"/>
        </w:rPr>
        <w:t>tuberculosis</w:t>
      </w:r>
      <w:r w:rsidR="008642DA" w:rsidRPr="00C37A4D">
        <w:rPr>
          <w:rFonts w:asciiTheme="minorHAnsi" w:eastAsia="Arial" w:hAnsiTheme="minorHAnsi" w:cstheme="minorHAnsi"/>
          <w:color w:val="000000" w:themeColor="text1"/>
          <w:sz w:val="22"/>
          <w:szCs w:val="22"/>
          <w:highlight w:val="white"/>
          <w:lang w:val="en-GB"/>
        </w:rPr>
        <w:t xml:space="preserve">, </w:t>
      </w:r>
      <w:r w:rsidR="00B979E0" w:rsidRPr="00C37A4D">
        <w:rPr>
          <w:rFonts w:asciiTheme="minorHAnsi" w:eastAsia="Arial" w:hAnsiTheme="minorHAnsi" w:cstheme="minorHAnsi"/>
          <w:color w:val="000000" w:themeColor="text1"/>
          <w:sz w:val="22"/>
          <w:szCs w:val="22"/>
          <w:highlight w:val="white"/>
          <w:lang w:val="en-GB"/>
        </w:rPr>
        <w:t>malaria, HIV</w:t>
      </w:r>
      <w:r w:rsidR="007E560A">
        <w:rPr>
          <w:rFonts w:asciiTheme="minorHAnsi" w:eastAsia="Arial" w:hAnsiTheme="minorHAnsi" w:cstheme="minorHAnsi"/>
          <w:color w:val="000000" w:themeColor="text1"/>
          <w:sz w:val="22"/>
          <w:szCs w:val="22"/>
          <w:highlight w:val="white"/>
          <w:lang w:val="en-GB"/>
        </w:rPr>
        <w:t xml:space="preserve"> infection</w:t>
      </w:r>
      <w:r>
        <w:rPr>
          <w:rFonts w:asciiTheme="minorHAnsi" w:eastAsia="Arial" w:hAnsiTheme="minorHAnsi" w:cstheme="minorHAnsi"/>
          <w:color w:val="000000" w:themeColor="text1"/>
          <w:sz w:val="22"/>
          <w:szCs w:val="22"/>
          <w:highlight w:val="white"/>
          <w:lang w:val="en-GB"/>
        </w:rPr>
        <w:t>, and other diseases</w:t>
      </w:r>
      <w:r w:rsidR="008F3ED8">
        <w:rPr>
          <w:rFonts w:asciiTheme="minorHAnsi" w:eastAsia="Arial" w:hAnsiTheme="minorHAnsi" w:cstheme="minorHAnsi"/>
          <w:color w:val="000000" w:themeColor="text1"/>
          <w:sz w:val="22"/>
          <w:szCs w:val="22"/>
          <w:highlight w:val="white"/>
          <w:lang w:val="en-GB"/>
        </w:rPr>
        <w:t xml:space="preserve"> as well</w:t>
      </w:r>
      <w:r w:rsidR="00B979E0" w:rsidRPr="00C37A4D">
        <w:rPr>
          <w:rFonts w:asciiTheme="minorHAnsi" w:eastAsia="Arial" w:hAnsiTheme="minorHAnsi" w:cstheme="minorHAnsi"/>
          <w:color w:val="000000" w:themeColor="text1"/>
          <w:sz w:val="22"/>
          <w:szCs w:val="22"/>
          <w:highlight w:val="white"/>
          <w:lang w:val="en-GB"/>
        </w:rPr>
        <w:t xml:space="preserve">. </w:t>
      </w:r>
      <w:r w:rsidR="00E70822">
        <w:rPr>
          <w:rFonts w:asciiTheme="minorHAnsi" w:eastAsia="Arial" w:hAnsiTheme="minorHAnsi" w:cstheme="minorHAnsi"/>
          <w:color w:val="000000" w:themeColor="text1"/>
          <w:sz w:val="22"/>
          <w:szCs w:val="22"/>
          <w:highlight w:val="white"/>
          <w:lang w:val="en-GB"/>
        </w:rPr>
        <w:t xml:space="preserve">We begin by </w:t>
      </w:r>
      <w:r w:rsidR="00284A35" w:rsidRPr="00C37A4D">
        <w:rPr>
          <w:rFonts w:asciiTheme="minorHAnsi" w:eastAsia="Arial" w:hAnsiTheme="minorHAnsi" w:cstheme="minorHAnsi"/>
          <w:color w:val="000000" w:themeColor="text1"/>
          <w:sz w:val="22"/>
          <w:szCs w:val="22"/>
          <w:highlight w:val="white"/>
          <w:lang w:val="en-GB"/>
        </w:rPr>
        <w:t>outlining</w:t>
      </w:r>
      <w:r w:rsidR="005162B3" w:rsidRPr="00C37A4D">
        <w:rPr>
          <w:rFonts w:asciiTheme="minorHAnsi" w:eastAsia="Arial" w:hAnsiTheme="minorHAnsi" w:cstheme="minorHAnsi"/>
          <w:color w:val="000000" w:themeColor="text1"/>
          <w:sz w:val="22"/>
          <w:szCs w:val="22"/>
          <w:highlight w:val="white"/>
          <w:lang w:val="en-GB"/>
        </w:rPr>
        <w:t xml:space="preserve"> the challenge posed by AMR to global goals </w:t>
      </w:r>
      <w:r w:rsidR="00302F3E" w:rsidRPr="00C37A4D">
        <w:rPr>
          <w:rFonts w:asciiTheme="minorHAnsi" w:eastAsia="Arial" w:hAnsiTheme="minorHAnsi" w:cstheme="minorHAnsi"/>
          <w:color w:val="000000" w:themeColor="text1"/>
          <w:sz w:val="22"/>
          <w:szCs w:val="22"/>
          <w:highlight w:val="white"/>
          <w:lang w:val="en-GB"/>
        </w:rPr>
        <w:t xml:space="preserve">for </w:t>
      </w:r>
      <w:r w:rsidR="005162B3" w:rsidRPr="00C37A4D">
        <w:rPr>
          <w:rFonts w:asciiTheme="minorHAnsi" w:eastAsia="Arial" w:hAnsiTheme="minorHAnsi" w:cstheme="minorHAnsi"/>
          <w:color w:val="000000" w:themeColor="text1"/>
          <w:sz w:val="22"/>
          <w:szCs w:val="22"/>
          <w:highlight w:val="white"/>
          <w:lang w:val="en-GB"/>
        </w:rPr>
        <w:t>child survival, healthy aging</w:t>
      </w:r>
      <w:r w:rsidR="00586E43">
        <w:rPr>
          <w:rFonts w:asciiTheme="minorHAnsi" w:eastAsia="Arial" w:hAnsiTheme="minorHAnsi" w:cstheme="minorHAnsi"/>
          <w:color w:val="000000" w:themeColor="text1"/>
          <w:sz w:val="22"/>
          <w:szCs w:val="22"/>
          <w:highlight w:val="white"/>
          <w:lang w:val="en-GB"/>
        </w:rPr>
        <w:t>,</w:t>
      </w:r>
      <w:r w:rsidR="00E96A31" w:rsidRPr="00C37A4D">
        <w:rPr>
          <w:rFonts w:asciiTheme="minorHAnsi" w:eastAsia="Arial" w:hAnsiTheme="minorHAnsi" w:cstheme="minorHAnsi"/>
          <w:color w:val="000000" w:themeColor="text1"/>
          <w:sz w:val="22"/>
          <w:szCs w:val="22"/>
          <w:highlight w:val="white"/>
          <w:lang w:val="en-GB"/>
        </w:rPr>
        <w:t xml:space="preserve"> and</w:t>
      </w:r>
      <w:r w:rsidR="005162B3" w:rsidRPr="00C37A4D">
        <w:rPr>
          <w:rFonts w:asciiTheme="minorHAnsi" w:eastAsia="Arial" w:hAnsiTheme="minorHAnsi" w:cstheme="minorHAnsi"/>
          <w:color w:val="000000" w:themeColor="text1"/>
          <w:sz w:val="22"/>
          <w:szCs w:val="22"/>
          <w:highlight w:val="white"/>
          <w:lang w:val="en-GB"/>
        </w:rPr>
        <w:t xml:space="preserve"> food security</w:t>
      </w:r>
      <w:r w:rsidR="00E96A31" w:rsidRPr="00C37A4D">
        <w:rPr>
          <w:rFonts w:asciiTheme="minorHAnsi" w:eastAsia="Arial" w:hAnsiTheme="minorHAnsi" w:cstheme="minorHAnsi"/>
          <w:color w:val="000000" w:themeColor="text1"/>
          <w:sz w:val="22"/>
          <w:szCs w:val="22"/>
          <w:highlight w:val="white"/>
          <w:lang w:val="en-GB"/>
        </w:rPr>
        <w:t>.</w:t>
      </w:r>
      <w:r w:rsidR="00FB2B8B">
        <w:rPr>
          <w:rFonts w:asciiTheme="minorHAnsi" w:eastAsia="Arial" w:hAnsiTheme="minorHAnsi" w:cstheme="minorHAnsi"/>
          <w:color w:val="000000" w:themeColor="text1"/>
          <w:sz w:val="22"/>
          <w:szCs w:val="22"/>
          <w:highlight w:val="white"/>
          <w:lang w:val="en-GB"/>
        </w:rPr>
        <w:t xml:space="preserve"> </w:t>
      </w:r>
      <w:r w:rsidR="00E70822">
        <w:rPr>
          <w:rFonts w:asciiTheme="minorHAnsi" w:eastAsia="Arial" w:hAnsiTheme="minorHAnsi" w:cstheme="minorHAnsi"/>
          <w:color w:val="000000" w:themeColor="text1"/>
          <w:sz w:val="22"/>
          <w:szCs w:val="22"/>
          <w:highlight w:val="white"/>
          <w:lang w:val="en-GB"/>
        </w:rPr>
        <w:t xml:space="preserve">We </w:t>
      </w:r>
      <w:r w:rsidR="00557870">
        <w:rPr>
          <w:rFonts w:asciiTheme="minorHAnsi" w:eastAsia="Arial" w:hAnsiTheme="minorHAnsi" w:cstheme="minorHAnsi"/>
          <w:color w:val="000000" w:themeColor="text1"/>
          <w:sz w:val="22"/>
          <w:szCs w:val="22"/>
          <w:highlight w:val="white"/>
          <w:lang w:val="en-GB"/>
        </w:rPr>
        <w:t>review</w:t>
      </w:r>
      <w:r w:rsidR="00E70822">
        <w:rPr>
          <w:rFonts w:asciiTheme="minorHAnsi" w:eastAsia="Arial" w:hAnsiTheme="minorHAnsi" w:cstheme="minorHAnsi"/>
          <w:color w:val="000000" w:themeColor="text1"/>
          <w:sz w:val="22"/>
          <w:szCs w:val="22"/>
          <w:highlight w:val="white"/>
          <w:lang w:val="en-GB"/>
        </w:rPr>
        <w:t xml:space="preserve"> the state of resistance in infections </w:t>
      </w:r>
      <w:r w:rsidR="008F3F56">
        <w:rPr>
          <w:rFonts w:asciiTheme="minorHAnsi" w:eastAsia="Arial" w:hAnsiTheme="minorHAnsi" w:cstheme="minorHAnsi"/>
          <w:color w:val="000000" w:themeColor="text1"/>
          <w:sz w:val="22"/>
          <w:szCs w:val="22"/>
          <w:highlight w:val="white"/>
          <w:lang w:val="en-GB"/>
        </w:rPr>
        <w:t>caused by</w:t>
      </w:r>
      <w:r w:rsidR="00E70822">
        <w:rPr>
          <w:rFonts w:asciiTheme="minorHAnsi" w:eastAsia="Arial" w:hAnsiTheme="minorHAnsi" w:cstheme="minorHAnsi"/>
          <w:color w:val="000000" w:themeColor="text1"/>
          <w:sz w:val="22"/>
          <w:szCs w:val="22"/>
          <w:highlight w:val="white"/>
          <w:lang w:val="en-GB"/>
        </w:rPr>
        <w:t xml:space="preserve"> community</w:t>
      </w:r>
      <w:r w:rsidR="00287544">
        <w:rPr>
          <w:rFonts w:asciiTheme="minorHAnsi" w:eastAsia="Arial" w:hAnsiTheme="minorHAnsi" w:cstheme="minorHAnsi"/>
          <w:color w:val="000000" w:themeColor="text1"/>
          <w:sz w:val="22"/>
          <w:szCs w:val="22"/>
          <w:highlight w:val="white"/>
          <w:lang w:val="en-GB"/>
        </w:rPr>
        <w:t>-</w:t>
      </w:r>
      <w:r w:rsidR="00E70822">
        <w:rPr>
          <w:rFonts w:asciiTheme="minorHAnsi" w:eastAsia="Arial" w:hAnsiTheme="minorHAnsi" w:cstheme="minorHAnsi"/>
          <w:color w:val="000000" w:themeColor="text1"/>
          <w:sz w:val="22"/>
          <w:szCs w:val="22"/>
          <w:highlight w:val="white"/>
          <w:lang w:val="en-GB"/>
        </w:rPr>
        <w:t>a</w:t>
      </w:r>
      <w:r w:rsidR="00557870">
        <w:rPr>
          <w:rFonts w:asciiTheme="minorHAnsi" w:eastAsia="Arial" w:hAnsiTheme="minorHAnsi" w:cstheme="minorHAnsi"/>
          <w:color w:val="000000" w:themeColor="text1"/>
          <w:sz w:val="22"/>
          <w:szCs w:val="22"/>
          <w:highlight w:val="white"/>
          <w:lang w:val="en-GB"/>
        </w:rPr>
        <w:t>c</w:t>
      </w:r>
      <w:r w:rsidR="00E70822">
        <w:rPr>
          <w:rFonts w:asciiTheme="minorHAnsi" w:eastAsia="Arial" w:hAnsiTheme="minorHAnsi" w:cstheme="minorHAnsi"/>
          <w:color w:val="000000" w:themeColor="text1"/>
          <w:sz w:val="22"/>
          <w:szCs w:val="22"/>
          <w:highlight w:val="white"/>
          <w:lang w:val="en-GB"/>
        </w:rPr>
        <w:t xml:space="preserve">quired </w:t>
      </w:r>
      <w:r w:rsidR="008F3F56">
        <w:rPr>
          <w:rFonts w:asciiTheme="minorHAnsi" w:eastAsia="Arial" w:hAnsiTheme="minorHAnsi" w:cstheme="minorHAnsi"/>
          <w:color w:val="000000" w:themeColor="text1"/>
          <w:sz w:val="22"/>
          <w:szCs w:val="22"/>
          <w:highlight w:val="white"/>
          <w:lang w:val="en-GB"/>
        </w:rPr>
        <w:t>pathogens</w:t>
      </w:r>
      <w:r w:rsidR="00E70822">
        <w:rPr>
          <w:rFonts w:asciiTheme="minorHAnsi" w:eastAsia="Arial" w:hAnsiTheme="minorHAnsi" w:cstheme="minorHAnsi"/>
          <w:color w:val="000000" w:themeColor="text1"/>
          <w:sz w:val="22"/>
          <w:szCs w:val="22"/>
          <w:highlight w:val="white"/>
          <w:lang w:val="en-GB"/>
        </w:rPr>
        <w:t xml:space="preserve"> that infect people across the courses of their lives, depending on exposure and risk.</w:t>
      </w:r>
      <w:r w:rsidR="0066136A">
        <w:rPr>
          <w:rFonts w:asciiTheme="minorHAnsi" w:eastAsia="Arial" w:hAnsiTheme="minorHAnsi" w:cstheme="minorHAnsi"/>
          <w:color w:val="000000" w:themeColor="text1"/>
          <w:sz w:val="22"/>
          <w:szCs w:val="22"/>
          <w:highlight w:val="white"/>
          <w:lang w:val="en-GB"/>
        </w:rPr>
        <w:t xml:space="preserve"> </w:t>
      </w:r>
      <w:r w:rsidR="00FB2B8B">
        <w:rPr>
          <w:rFonts w:asciiTheme="minorHAnsi" w:eastAsia="Arial" w:hAnsiTheme="minorHAnsi" w:cstheme="minorHAnsi"/>
          <w:color w:val="000000" w:themeColor="text1"/>
          <w:sz w:val="22"/>
          <w:szCs w:val="22"/>
          <w:highlight w:val="white"/>
          <w:lang w:val="en-GB"/>
        </w:rPr>
        <w:t xml:space="preserve">We then summarize recent progress and gaps in measuring and reporting </w:t>
      </w:r>
      <w:r w:rsidR="00E01B7B">
        <w:rPr>
          <w:rFonts w:asciiTheme="minorHAnsi" w:eastAsia="Arial" w:hAnsiTheme="minorHAnsi" w:cstheme="minorHAnsi"/>
          <w:color w:val="000000" w:themeColor="text1"/>
          <w:sz w:val="22"/>
          <w:szCs w:val="22"/>
          <w:highlight w:val="white"/>
          <w:lang w:val="en-GB"/>
        </w:rPr>
        <w:t xml:space="preserve">of </w:t>
      </w:r>
      <w:r w:rsidR="008F7940">
        <w:rPr>
          <w:rFonts w:asciiTheme="minorHAnsi" w:eastAsia="Arial" w:hAnsiTheme="minorHAnsi" w:cstheme="minorHAnsi"/>
          <w:color w:val="000000" w:themeColor="text1"/>
          <w:sz w:val="22"/>
          <w:szCs w:val="22"/>
          <w:highlight w:val="white"/>
          <w:lang w:val="en-GB"/>
        </w:rPr>
        <w:t>AMR</w:t>
      </w:r>
      <w:r w:rsidR="00FB2B8B">
        <w:rPr>
          <w:rFonts w:asciiTheme="minorHAnsi" w:eastAsia="Arial" w:hAnsiTheme="minorHAnsi" w:cstheme="minorHAnsi"/>
          <w:color w:val="000000" w:themeColor="text1"/>
          <w:sz w:val="22"/>
          <w:szCs w:val="22"/>
          <w:highlight w:val="white"/>
          <w:lang w:val="en-GB"/>
        </w:rPr>
        <w:t xml:space="preserve"> and antimicrobial use</w:t>
      </w:r>
      <w:r w:rsidR="00E01B7B">
        <w:rPr>
          <w:rFonts w:asciiTheme="minorHAnsi" w:eastAsia="Arial" w:hAnsiTheme="minorHAnsi" w:cstheme="minorHAnsi"/>
          <w:color w:val="000000" w:themeColor="text1"/>
          <w:sz w:val="22"/>
          <w:szCs w:val="22"/>
          <w:highlight w:val="white"/>
          <w:lang w:val="en-GB"/>
        </w:rPr>
        <w:t>,</w:t>
      </w:r>
      <w:r w:rsidR="00794C20">
        <w:rPr>
          <w:rFonts w:asciiTheme="minorHAnsi" w:eastAsia="Arial" w:hAnsiTheme="minorHAnsi" w:cstheme="minorHAnsi"/>
          <w:color w:val="000000" w:themeColor="text1"/>
          <w:sz w:val="22"/>
          <w:szCs w:val="22"/>
          <w:highlight w:val="white"/>
          <w:lang w:val="en-GB"/>
        </w:rPr>
        <w:t xml:space="preserve"> and </w:t>
      </w:r>
      <w:r w:rsidR="00E01B7B">
        <w:rPr>
          <w:rFonts w:asciiTheme="minorHAnsi" w:eastAsia="Arial" w:hAnsiTheme="minorHAnsi" w:cstheme="minorHAnsi"/>
          <w:color w:val="000000" w:themeColor="text1"/>
          <w:sz w:val="22"/>
          <w:szCs w:val="22"/>
          <w:highlight w:val="white"/>
          <w:lang w:val="en-GB"/>
        </w:rPr>
        <w:t xml:space="preserve">we </w:t>
      </w:r>
      <w:r w:rsidR="008F3F56">
        <w:rPr>
          <w:rFonts w:asciiTheme="minorHAnsi" w:eastAsia="Arial" w:hAnsiTheme="minorHAnsi" w:cstheme="minorHAnsi"/>
          <w:color w:val="000000" w:themeColor="text1"/>
          <w:sz w:val="22"/>
          <w:szCs w:val="22"/>
          <w:highlight w:val="white"/>
          <w:lang w:val="en-GB"/>
        </w:rPr>
        <w:t>propose</w:t>
      </w:r>
      <w:r w:rsidR="00794C20">
        <w:rPr>
          <w:rFonts w:asciiTheme="minorHAnsi" w:eastAsia="Arial" w:hAnsiTheme="minorHAnsi" w:cstheme="minorHAnsi"/>
          <w:color w:val="000000" w:themeColor="text1"/>
          <w:sz w:val="22"/>
          <w:szCs w:val="22"/>
          <w:highlight w:val="white"/>
          <w:lang w:val="en-GB"/>
        </w:rPr>
        <w:t xml:space="preserve"> suggestions for improving surveillance</w:t>
      </w:r>
      <w:r w:rsidR="008F3F56">
        <w:rPr>
          <w:rFonts w:asciiTheme="minorHAnsi" w:eastAsia="Arial" w:hAnsiTheme="minorHAnsi" w:cstheme="minorHAnsi"/>
          <w:color w:val="000000" w:themeColor="text1"/>
          <w:sz w:val="22"/>
          <w:szCs w:val="22"/>
          <w:highlight w:val="white"/>
          <w:lang w:val="en-GB"/>
        </w:rPr>
        <w:t>.</w:t>
      </w:r>
    </w:p>
    <w:p w14:paraId="0C797201" w14:textId="77777777" w:rsidR="002B5E9B" w:rsidRDefault="002B5E9B" w:rsidP="001532F9">
      <w:pPr>
        <w:rPr>
          <w:rFonts w:asciiTheme="minorHAnsi" w:eastAsia="Arial" w:hAnsiTheme="minorHAnsi" w:cstheme="minorHAnsi"/>
          <w:color w:val="000000" w:themeColor="text1"/>
          <w:sz w:val="22"/>
          <w:szCs w:val="22"/>
          <w:lang w:val="en-GB"/>
        </w:rPr>
      </w:pPr>
    </w:p>
    <w:p w14:paraId="14AEA86C" w14:textId="036E3D49" w:rsidR="00BE2463" w:rsidRDefault="00BE2463" w:rsidP="001532F9">
      <w:pPr>
        <w:rPr>
          <w:rFonts w:asciiTheme="minorHAnsi" w:eastAsia="Arial" w:hAnsiTheme="minorHAnsi" w:cstheme="minorHAnsi"/>
          <w:b/>
          <w:color w:val="000000" w:themeColor="text1"/>
          <w:sz w:val="22"/>
          <w:szCs w:val="22"/>
          <w:lang w:val="en-GB"/>
        </w:rPr>
      </w:pPr>
      <w:r>
        <w:rPr>
          <w:rFonts w:asciiTheme="minorHAnsi" w:eastAsia="Arial" w:hAnsiTheme="minorHAnsi" w:cstheme="minorHAnsi"/>
          <w:b/>
          <w:color w:val="000000" w:themeColor="text1"/>
          <w:sz w:val="22"/>
          <w:szCs w:val="22"/>
          <w:lang w:val="en-GB"/>
        </w:rPr>
        <w:t>METHODS</w:t>
      </w:r>
    </w:p>
    <w:p w14:paraId="2606286E" w14:textId="24DA1FA5" w:rsidR="000820EB" w:rsidRPr="00DD5628" w:rsidRDefault="00570AE5" w:rsidP="001532F9">
      <w:pPr>
        <w:rPr>
          <w:rFonts w:asciiTheme="minorHAnsi" w:eastAsia="Arial" w:hAnsiTheme="minorHAnsi" w:cstheme="minorHAnsi"/>
          <w:bCs/>
          <w:color w:val="000000" w:themeColor="text1"/>
          <w:sz w:val="22"/>
          <w:szCs w:val="22"/>
          <w:lang w:val="en-GB"/>
        </w:rPr>
      </w:pPr>
      <w:r>
        <w:rPr>
          <w:rFonts w:asciiTheme="minorHAnsi" w:eastAsia="Arial" w:hAnsiTheme="minorHAnsi" w:cstheme="minorHAnsi"/>
          <w:bCs/>
          <w:color w:val="000000" w:themeColor="text1"/>
          <w:sz w:val="22"/>
          <w:szCs w:val="22"/>
          <w:lang w:val="en-GB"/>
        </w:rPr>
        <w:t>Thirty-eight</w:t>
      </w:r>
      <w:r w:rsidR="008F3F56" w:rsidRPr="0054509B">
        <w:rPr>
          <w:rFonts w:asciiTheme="minorHAnsi" w:eastAsia="Arial" w:hAnsiTheme="minorHAnsi" w:cstheme="minorHAnsi"/>
          <w:bCs/>
          <w:color w:val="000000" w:themeColor="text1"/>
          <w:sz w:val="22"/>
          <w:szCs w:val="22"/>
          <w:lang w:val="en-GB"/>
        </w:rPr>
        <w:t xml:space="preserve"> </w:t>
      </w:r>
      <w:r w:rsidR="00FB3401">
        <w:rPr>
          <w:rFonts w:asciiTheme="minorHAnsi" w:eastAsia="Arial" w:hAnsiTheme="minorHAnsi" w:cstheme="minorHAnsi"/>
          <w:bCs/>
          <w:color w:val="000000" w:themeColor="text1"/>
          <w:sz w:val="22"/>
          <w:szCs w:val="22"/>
          <w:lang w:val="en-GB"/>
        </w:rPr>
        <w:t>experts</w:t>
      </w:r>
      <w:r w:rsidR="00E8146E" w:rsidRPr="0054509B">
        <w:rPr>
          <w:rFonts w:asciiTheme="minorHAnsi" w:eastAsia="Arial" w:hAnsiTheme="minorHAnsi" w:cstheme="minorHAnsi"/>
          <w:bCs/>
          <w:color w:val="000000" w:themeColor="text1"/>
          <w:sz w:val="22"/>
          <w:szCs w:val="22"/>
          <w:lang w:val="en-GB"/>
        </w:rPr>
        <w:t xml:space="preserve"> in AMR and global health</w:t>
      </w:r>
      <w:r w:rsidR="008F3F56" w:rsidRPr="0054509B">
        <w:rPr>
          <w:rFonts w:asciiTheme="minorHAnsi" w:eastAsia="Arial" w:hAnsiTheme="minorHAnsi" w:cstheme="minorHAnsi"/>
          <w:bCs/>
          <w:color w:val="000000" w:themeColor="text1"/>
          <w:sz w:val="22"/>
          <w:szCs w:val="22"/>
          <w:lang w:val="en-GB"/>
        </w:rPr>
        <w:t xml:space="preserve"> reviewed SDG targets, the current state data availability</w:t>
      </w:r>
      <w:r w:rsidR="004F27A7">
        <w:rPr>
          <w:rFonts w:asciiTheme="minorHAnsi" w:eastAsia="Arial" w:hAnsiTheme="minorHAnsi" w:cstheme="minorHAnsi"/>
          <w:bCs/>
          <w:color w:val="000000" w:themeColor="text1"/>
          <w:sz w:val="22"/>
          <w:szCs w:val="22"/>
          <w:lang w:val="en-GB"/>
        </w:rPr>
        <w:t>,</w:t>
      </w:r>
      <w:r w:rsidR="008F3F56" w:rsidRPr="0054509B">
        <w:rPr>
          <w:rFonts w:asciiTheme="minorHAnsi" w:eastAsia="Arial" w:hAnsiTheme="minorHAnsi" w:cstheme="minorHAnsi"/>
          <w:bCs/>
          <w:color w:val="000000" w:themeColor="text1"/>
          <w:sz w:val="22"/>
          <w:szCs w:val="22"/>
          <w:lang w:val="en-GB"/>
        </w:rPr>
        <w:t xml:space="preserve"> and </w:t>
      </w:r>
      <w:r w:rsidR="00E8146E" w:rsidRPr="0054509B">
        <w:rPr>
          <w:rFonts w:asciiTheme="minorHAnsi" w:eastAsia="Arial" w:hAnsiTheme="minorHAnsi" w:cstheme="minorHAnsi"/>
          <w:bCs/>
          <w:color w:val="000000" w:themeColor="text1"/>
          <w:sz w:val="22"/>
          <w:szCs w:val="22"/>
          <w:lang w:val="en-GB"/>
        </w:rPr>
        <w:t xml:space="preserve">then </w:t>
      </w:r>
      <w:r w:rsidR="008F3F56" w:rsidRPr="0054509B">
        <w:rPr>
          <w:rFonts w:asciiTheme="minorHAnsi" w:eastAsia="Arial" w:hAnsiTheme="minorHAnsi" w:cstheme="minorHAnsi"/>
          <w:bCs/>
          <w:color w:val="000000" w:themeColor="text1"/>
          <w:sz w:val="22"/>
          <w:szCs w:val="22"/>
          <w:lang w:val="en-GB"/>
        </w:rPr>
        <w:t xml:space="preserve">elected </w:t>
      </w:r>
      <w:r>
        <w:rPr>
          <w:rFonts w:asciiTheme="minorHAnsi" w:eastAsia="Arial" w:hAnsiTheme="minorHAnsi" w:cstheme="minorHAnsi"/>
          <w:bCs/>
          <w:color w:val="000000" w:themeColor="text1"/>
          <w:sz w:val="22"/>
          <w:szCs w:val="22"/>
          <w:lang w:val="en-GB"/>
        </w:rPr>
        <w:t xml:space="preserve">the following </w:t>
      </w:r>
      <w:r w:rsidR="008F3F56" w:rsidRPr="0054509B">
        <w:rPr>
          <w:rFonts w:asciiTheme="minorHAnsi" w:eastAsia="Arial" w:hAnsiTheme="minorHAnsi" w:cstheme="minorHAnsi"/>
          <w:bCs/>
          <w:color w:val="000000" w:themeColor="text1"/>
          <w:sz w:val="22"/>
          <w:szCs w:val="22"/>
          <w:lang w:val="en-GB"/>
        </w:rPr>
        <w:t xml:space="preserve">focal areas </w:t>
      </w:r>
      <w:r w:rsidR="008F3F56" w:rsidRPr="00DD5628">
        <w:rPr>
          <w:rFonts w:asciiTheme="minorHAnsi" w:eastAsia="Arial" w:hAnsiTheme="minorHAnsi" w:cstheme="minorHAnsi"/>
          <w:bCs/>
          <w:color w:val="000000" w:themeColor="text1"/>
          <w:sz w:val="22"/>
          <w:szCs w:val="22"/>
          <w:lang w:val="en-GB"/>
        </w:rPr>
        <w:t>for in-depth review</w:t>
      </w:r>
      <w:r w:rsidR="009313BD" w:rsidRPr="00DD5628">
        <w:rPr>
          <w:rFonts w:asciiTheme="minorHAnsi" w:eastAsia="Arial" w:hAnsiTheme="minorHAnsi" w:cstheme="minorHAnsi"/>
          <w:bCs/>
          <w:color w:val="000000" w:themeColor="text1"/>
          <w:sz w:val="22"/>
          <w:szCs w:val="22"/>
          <w:lang w:val="en-GB"/>
        </w:rPr>
        <w:t>:</w:t>
      </w:r>
      <w:r w:rsidR="0066136A" w:rsidRPr="00DD5628">
        <w:rPr>
          <w:rFonts w:asciiTheme="minorHAnsi" w:eastAsia="Arial" w:hAnsiTheme="minorHAnsi" w:cstheme="minorHAnsi"/>
          <w:bCs/>
          <w:color w:val="000000" w:themeColor="text1"/>
          <w:sz w:val="22"/>
          <w:szCs w:val="22"/>
          <w:lang w:val="en-GB"/>
        </w:rPr>
        <w:t xml:space="preserve"> </w:t>
      </w:r>
      <w:r w:rsidR="009313BD" w:rsidRPr="00DD5628">
        <w:rPr>
          <w:rFonts w:asciiTheme="minorHAnsi" w:eastAsia="Arial" w:hAnsiTheme="minorHAnsi" w:cstheme="minorHAnsi"/>
          <w:bCs/>
          <w:color w:val="000000" w:themeColor="text1"/>
          <w:sz w:val="22"/>
          <w:szCs w:val="22"/>
          <w:lang w:val="en-GB"/>
        </w:rPr>
        <w:t xml:space="preserve">neonatal sepsis, </w:t>
      </w:r>
      <w:r w:rsidR="00237AB3">
        <w:rPr>
          <w:rFonts w:asciiTheme="minorHAnsi" w:eastAsia="Arial" w:hAnsiTheme="minorHAnsi" w:cstheme="minorHAnsi"/>
          <w:bCs/>
          <w:color w:val="000000" w:themeColor="text1"/>
          <w:sz w:val="22"/>
          <w:szCs w:val="22"/>
          <w:lang w:val="en-GB"/>
        </w:rPr>
        <w:t>healthcare-associated</w:t>
      </w:r>
      <w:r w:rsidR="009313BD" w:rsidRPr="00DD5628">
        <w:rPr>
          <w:rFonts w:asciiTheme="minorHAnsi" w:eastAsia="Arial" w:hAnsiTheme="minorHAnsi" w:cstheme="minorHAnsi"/>
          <w:bCs/>
          <w:color w:val="000000" w:themeColor="text1"/>
          <w:sz w:val="22"/>
          <w:szCs w:val="22"/>
          <w:lang w:val="en-GB"/>
        </w:rPr>
        <w:t xml:space="preserve"> infection, typhoid, </w:t>
      </w:r>
      <w:r w:rsidR="00FB3401" w:rsidRPr="00DD5628">
        <w:rPr>
          <w:rFonts w:asciiTheme="minorHAnsi" w:eastAsia="Arial" w:hAnsiTheme="minorHAnsi" w:cstheme="minorHAnsi"/>
          <w:bCs/>
          <w:color w:val="000000" w:themeColor="text1"/>
          <w:sz w:val="22"/>
          <w:szCs w:val="22"/>
          <w:lang w:val="en-GB"/>
        </w:rPr>
        <w:t>gonorrhoea</w:t>
      </w:r>
      <w:r w:rsidR="00B16F45" w:rsidRPr="00DD5628">
        <w:rPr>
          <w:rFonts w:asciiTheme="minorHAnsi" w:eastAsia="Arial" w:hAnsiTheme="minorHAnsi" w:cstheme="minorHAnsi"/>
          <w:bCs/>
          <w:color w:val="000000" w:themeColor="text1"/>
          <w:sz w:val="22"/>
          <w:szCs w:val="22"/>
          <w:lang w:val="en-GB"/>
        </w:rPr>
        <w:t>,</w:t>
      </w:r>
      <w:r w:rsidR="00E8146E" w:rsidRPr="00DD5628">
        <w:rPr>
          <w:rFonts w:asciiTheme="minorHAnsi" w:eastAsia="Arial" w:hAnsiTheme="minorHAnsi" w:cstheme="minorHAnsi"/>
          <w:bCs/>
          <w:color w:val="000000" w:themeColor="text1"/>
          <w:sz w:val="22"/>
          <w:szCs w:val="22"/>
          <w:lang w:val="en-GB"/>
        </w:rPr>
        <w:t xml:space="preserve"> and</w:t>
      </w:r>
      <w:r w:rsidR="009313BD" w:rsidRPr="00DD5628">
        <w:rPr>
          <w:rFonts w:asciiTheme="minorHAnsi" w:eastAsia="Arial" w:hAnsiTheme="minorHAnsi" w:cstheme="minorHAnsi"/>
          <w:bCs/>
          <w:color w:val="000000" w:themeColor="text1"/>
          <w:sz w:val="22"/>
          <w:szCs w:val="22"/>
          <w:lang w:val="en-GB"/>
        </w:rPr>
        <w:t xml:space="preserve"> pneumococcal infectio</w:t>
      </w:r>
      <w:r w:rsidR="00E8146E" w:rsidRPr="00DD5628">
        <w:rPr>
          <w:rFonts w:asciiTheme="minorHAnsi" w:eastAsia="Arial" w:hAnsiTheme="minorHAnsi" w:cstheme="minorHAnsi"/>
          <w:bCs/>
          <w:color w:val="000000" w:themeColor="text1"/>
          <w:sz w:val="22"/>
          <w:szCs w:val="22"/>
          <w:lang w:val="en-GB"/>
        </w:rPr>
        <w:t>n</w:t>
      </w:r>
      <w:r w:rsidR="00FB3401">
        <w:rPr>
          <w:rFonts w:asciiTheme="minorHAnsi" w:eastAsia="Arial" w:hAnsiTheme="minorHAnsi" w:cstheme="minorHAnsi"/>
          <w:bCs/>
          <w:color w:val="000000" w:themeColor="text1"/>
          <w:sz w:val="22"/>
          <w:szCs w:val="22"/>
          <w:lang w:val="en-GB"/>
        </w:rPr>
        <w:t xml:space="preserve"> (tuberculosis was excluded)</w:t>
      </w:r>
      <w:r w:rsidR="009313BD" w:rsidRPr="00DD5628">
        <w:rPr>
          <w:rFonts w:asciiTheme="minorHAnsi" w:eastAsia="Arial" w:hAnsiTheme="minorHAnsi" w:cstheme="minorHAnsi"/>
          <w:bCs/>
          <w:color w:val="000000" w:themeColor="text1"/>
          <w:sz w:val="22"/>
          <w:szCs w:val="22"/>
          <w:lang w:val="en-GB"/>
        </w:rPr>
        <w:t>.</w:t>
      </w:r>
      <w:r w:rsidR="0066136A" w:rsidRPr="00DD5628">
        <w:rPr>
          <w:rFonts w:asciiTheme="minorHAnsi" w:eastAsia="Arial" w:hAnsiTheme="minorHAnsi" w:cstheme="minorHAnsi"/>
          <w:bCs/>
          <w:color w:val="000000" w:themeColor="text1"/>
          <w:sz w:val="22"/>
          <w:szCs w:val="22"/>
          <w:lang w:val="en-GB"/>
        </w:rPr>
        <w:t xml:space="preserve"> </w:t>
      </w:r>
      <w:r w:rsidR="002125D1">
        <w:rPr>
          <w:rFonts w:asciiTheme="minorHAnsi" w:eastAsia="Arial" w:hAnsiTheme="minorHAnsi" w:cstheme="minorHAnsi"/>
          <w:bCs/>
          <w:color w:val="000000" w:themeColor="text1"/>
          <w:sz w:val="22"/>
          <w:szCs w:val="22"/>
          <w:lang w:val="en-GB"/>
        </w:rPr>
        <w:t xml:space="preserve">Medline </w:t>
      </w:r>
      <w:r w:rsidR="009313BD" w:rsidRPr="0021089D">
        <w:rPr>
          <w:rFonts w:asciiTheme="minorHAnsi" w:hAnsiTheme="minorHAnsi" w:cstheme="minorHAnsi"/>
          <w:bCs/>
          <w:color w:val="000000" w:themeColor="text1"/>
          <w:sz w:val="22"/>
          <w:szCs w:val="22"/>
          <w:shd w:val="clear" w:color="auto" w:fill="FCFBFB"/>
        </w:rPr>
        <w:t xml:space="preserve">was searched </w:t>
      </w:r>
      <w:r w:rsidR="002125D1">
        <w:rPr>
          <w:rFonts w:asciiTheme="minorHAnsi" w:hAnsiTheme="minorHAnsi" w:cstheme="minorHAnsi"/>
          <w:bCs/>
          <w:color w:val="000000" w:themeColor="text1"/>
          <w:sz w:val="22"/>
          <w:szCs w:val="22"/>
          <w:shd w:val="clear" w:color="auto" w:fill="FCFBFB"/>
        </w:rPr>
        <w:t xml:space="preserve">via </w:t>
      </w:r>
      <w:proofErr w:type="spellStart"/>
      <w:r w:rsidR="002125D1">
        <w:rPr>
          <w:rFonts w:asciiTheme="minorHAnsi" w:hAnsiTheme="minorHAnsi" w:cstheme="minorHAnsi"/>
          <w:bCs/>
          <w:color w:val="000000" w:themeColor="text1"/>
          <w:sz w:val="22"/>
          <w:szCs w:val="22"/>
          <w:shd w:val="clear" w:color="auto" w:fill="FCFBFB"/>
        </w:rPr>
        <w:t>Pubmed</w:t>
      </w:r>
      <w:proofErr w:type="spellEnd"/>
      <w:r w:rsidR="002125D1">
        <w:rPr>
          <w:rFonts w:asciiTheme="minorHAnsi" w:hAnsiTheme="minorHAnsi" w:cstheme="minorHAnsi"/>
          <w:bCs/>
          <w:color w:val="000000" w:themeColor="text1"/>
          <w:sz w:val="22"/>
          <w:szCs w:val="22"/>
          <w:shd w:val="clear" w:color="auto" w:fill="FCFBFB"/>
        </w:rPr>
        <w:t xml:space="preserve"> </w:t>
      </w:r>
      <w:r w:rsidR="009313BD" w:rsidRPr="0021089D">
        <w:rPr>
          <w:rFonts w:asciiTheme="minorHAnsi" w:hAnsiTheme="minorHAnsi" w:cstheme="minorHAnsi"/>
          <w:bCs/>
          <w:color w:val="000000" w:themeColor="text1"/>
          <w:sz w:val="22"/>
          <w:szCs w:val="22"/>
          <w:shd w:val="clear" w:color="auto" w:fill="FCFBFB"/>
        </w:rPr>
        <w:t xml:space="preserve">for </w:t>
      </w:r>
      <w:r w:rsidR="00B16F45" w:rsidRPr="0021089D">
        <w:rPr>
          <w:rFonts w:asciiTheme="minorHAnsi" w:hAnsiTheme="minorHAnsi" w:cstheme="minorHAnsi"/>
          <w:bCs/>
          <w:color w:val="000000" w:themeColor="text1"/>
          <w:sz w:val="22"/>
          <w:szCs w:val="22"/>
          <w:shd w:val="clear" w:color="auto" w:fill="FCFBFB"/>
        </w:rPr>
        <w:t xml:space="preserve">relevant </w:t>
      </w:r>
      <w:r w:rsidR="009313BD" w:rsidRPr="0021089D">
        <w:rPr>
          <w:rFonts w:asciiTheme="minorHAnsi" w:hAnsiTheme="minorHAnsi" w:cstheme="minorHAnsi"/>
          <w:bCs/>
          <w:color w:val="000000" w:themeColor="text1"/>
          <w:sz w:val="22"/>
          <w:szCs w:val="22"/>
          <w:shd w:val="clear" w:color="auto" w:fill="FCFBFB"/>
        </w:rPr>
        <w:t xml:space="preserve">review articles </w:t>
      </w:r>
      <w:r w:rsidR="00FB3401">
        <w:rPr>
          <w:rFonts w:asciiTheme="minorHAnsi" w:hAnsiTheme="minorHAnsi" w:cstheme="minorHAnsi"/>
          <w:bCs/>
          <w:color w:val="000000" w:themeColor="text1"/>
          <w:sz w:val="22"/>
          <w:szCs w:val="22"/>
          <w:shd w:val="clear" w:color="auto" w:fill="FCFBFB"/>
        </w:rPr>
        <w:t>from</w:t>
      </w:r>
      <w:r w:rsidR="009313BD" w:rsidRPr="0021089D">
        <w:rPr>
          <w:rFonts w:asciiTheme="minorHAnsi" w:hAnsiTheme="minorHAnsi" w:cstheme="minorHAnsi"/>
          <w:bCs/>
          <w:color w:val="000000" w:themeColor="text1"/>
          <w:sz w:val="22"/>
          <w:szCs w:val="22"/>
          <w:shd w:val="clear" w:color="auto" w:fill="FCFBFB"/>
        </w:rPr>
        <w:t xml:space="preserve"> 2003</w:t>
      </w:r>
      <w:r w:rsidR="00FB3401">
        <w:rPr>
          <w:rFonts w:asciiTheme="minorHAnsi" w:hAnsiTheme="minorHAnsi" w:cstheme="minorHAnsi"/>
          <w:bCs/>
          <w:color w:val="000000" w:themeColor="text1"/>
          <w:sz w:val="22"/>
          <w:szCs w:val="22"/>
          <w:shd w:val="clear" w:color="auto" w:fill="FCFBFB"/>
        </w:rPr>
        <w:t>–</w:t>
      </w:r>
      <w:r w:rsidR="009313BD" w:rsidRPr="0021089D">
        <w:rPr>
          <w:rFonts w:asciiTheme="minorHAnsi" w:hAnsiTheme="minorHAnsi" w:cstheme="minorHAnsi"/>
          <w:bCs/>
          <w:color w:val="000000" w:themeColor="text1"/>
          <w:sz w:val="22"/>
          <w:szCs w:val="22"/>
          <w:shd w:val="clear" w:color="auto" w:fill="FCFBFB"/>
        </w:rPr>
        <w:t xml:space="preserve">2023 </w:t>
      </w:r>
      <w:r w:rsidR="00FB3401">
        <w:rPr>
          <w:rFonts w:asciiTheme="minorHAnsi" w:hAnsiTheme="minorHAnsi" w:cstheme="minorHAnsi"/>
          <w:bCs/>
          <w:color w:val="000000" w:themeColor="text1"/>
          <w:sz w:val="22"/>
          <w:szCs w:val="22"/>
          <w:shd w:val="clear" w:color="auto" w:fill="FCFBFB"/>
        </w:rPr>
        <w:t>about</w:t>
      </w:r>
      <w:r w:rsidR="009313BD" w:rsidRPr="0021089D">
        <w:rPr>
          <w:rFonts w:asciiTheme="minorHAnsi" w:hAnsiTheme="minorHAnsi" w:cstheme="minorHAnsi"/>
          <w:bCs/>
          <w:color w:val="000000" w:themeColor="text1"/>
          <w:sz w:val="22"/>
          <w:szCs w:val="22"/>
          <w:shd w:val="clear" w:color="auto" w:fill="FCFBFB"/>
        </w:rPr>
        <w:t xml:space="preserve"> antimicrobial or antibiotic resistance</w:t>
      </w:r>
      <w:r w:rsidR="00FB3401">
        <w:rPr>
          <w:rFonts w:asciiTheme="minorHAnsi" w:hAnsiTheme="minorHAnsi" w:cstheme="minorHAnsi"/>
          <w:bCs/>
          <w:color w:val="000000" w:themeColor="text1"/>
          <w:sz w:val="22"/>
          <w:szCs w:val="22"/>
          <w:shd w:val="clear" w:color="auto" w:fill="FCFBFB"/>
        </w:rPr>
        <w:t xml:space="preserve"> </w:t>
      </w:r>
      <w:r w:rsidR="00B16F45" w:rsidRPr="0021089D">
        <w:rPr>
          <w:rFonts w:asciiTheme="minorHAnsi" w:hAnsiTheme="minorHAnsi" w:cstheme="minorHAnsi"/>
          <w:bCs/>
          <w:color w:val="000000" w:themeColor="text1"/>
          <w:sz w:val="22"/>
          <w:szCs w:val="22"/>
          <w:shd w:val="clear" w:color="auto" w:fill="FCFBFB"/>
        </w:rPr>
        <w:t xml:space="preserve">or </w:t>
      </w:r>
      <w:r w:rsidR="009313BD" w:rsidRPr="0021089D">
        <w:rPr>
          <w:rFonts w:asciiTheme="minorHAnsi" w:hAnsiTheme="minorHAnsi" w:cstheme="minorHAnsi"/>
          <w:bCs/>
          <w:color w:val="000000" w:themeColor="text1"/>
          <w:sz w:val="22"/>
          <w:szCs w:val="22"/>
          <w:shd w:val="clear" w:color="auto" w:fill="FCFBFB"/>
        </w:rPr>
        <w:t>antimicrobial or antibiotic consumption</w:t>
      </w:r>
      <w:r w:rsidR="00E8146E" w:rsidRPr="0021089D">
        <w:rPr>
          <w:rFonts w:asciiTheme="minorHAnsi" w:hAnsiTheme="minorHAnsi" w:cstheme="minorHAnsi"/>
          <w:bCs/>
          <w:color w:val="000000" w:themeColor="text1"/>
          <w:sz w:val="22"/>
          <w:szCs w:val="22"/>
          <w:shd w:val="clear" w:color="auto" w:fill="FCFBFB"/>
        </w:rPr>
        <w:t>.</w:t>
      </w:r>
      <w:r w:rsidR="0066136A" w:rsidRPr="0021089D">
        <w:rPr>
          <w:rFonts w:asciiTheme="minorHAnsi" w:hAnsiTheme="minorHAnsi" w:cstheme="minorHAnsi"/>
          <w:bCs/>
          <w:color w:val="000000" w:themeColor="text1"/>
          <w:sz w:val="22"/>
          <w:szCs w:val="22"/>
          <w:shd w:val="clear" w:color="auto" w:fill="FCFBFB"/>
        </w:rPr>
        <w:t xml:space="preserve"> </w:t>
      </w:r>
      <w:r w:rsidR="00E8146E" w:rsidRPr="0021089D">
        <w:rPr>
          <w:rFonts w:asciiTheme="minorHAnsi" w:hAnsiTheme="minorHAnsi" w:cstheme="minorHAnsi"/>
          <w:bCs/>
          <w:color w:val="000000" w:themeColor="text1"/>
          <w:sz w:val="22"/>
          <w:szCs w:val="22"/>
          <w:shd w:val="clear" w:color="auto" w:fill="FCFBFB"/>
        </w:rPr>
        <w:t>Articles cited in the reviews were selected from the reference lists</w:t>
      </w:r>
      <w:r w:rsidR="00B16F45" w:rsidRPr="0021089D">
        <w:rPr>
          <w:rFonts w:asciiTheme="minorHAnsi" w:hAnsiTheme="minorHAnsi" w:cstheme="minorHAnsi"/>
          <w:bCs/>
          <w:color w:val="000000" w:themeColor="text1"/>
          <w:sz w:val="22"/>
          <w:szCs w:val="22"/>
          <w:shd w:val="clear" w:color="auto" w:fill="FCFBFB"/>
        </w:rPr>
        <w:t>.</w:t>
      </w:r>
      <w:r w:rsidR="0066136A" w:rsidRPr="0021089D">
        <w:rPr>
          <w:rFonts w:asciiTheme="minorHAnsi" w:hAnsiTheme="minorHAnsi" w:cstheme="minorHAnsi"/>
          <w:bCs/>
          <w:color w:val="000000" w:themeColor="text1"/>
          <w:sz w:val="22"/>
          <w:szCs w:val="22"/>
          <w:shd w:val="clear" w:color="auto" w:fill="FCFBFB"/>
        </w:rPr>
        <w:t xml:space="preserve"> </w:t>
      </w:r>
      <w:r w:rsidR="00E8146E" w:rsidRPr="0021089D">
        <w:rPr>
          <w:rFonts w:asciiTheme="minorHAnsi" w:hAnsiTheme="minorHAnsi" w:cstheme="minorHAnsi"/>
          <w:bCs/>
          <w:color w:val="000000" w:themeColor="text1"/>
          <w:sz w:val="22"/>
          <w:szCs w:val="22"/>
          <w:shd w:val="clear" w:color="auto" w:fill="FCFBFB"/>
        </w:rPr>
        <w:t xml:space="preserve">Supporting data for the focal areas </w:t>
      </w:r>
      <w:r w:rsidR="00B16F45" w:rsidRPr="0021089D">
        <w:rPr>
          <w:rFonts w:asciiTheme="minorHAnsi" w:hAnsiTheme="minorHAnsi" w:cstheme="minorHAnsi"/>
          <w:bCs/>
          <w:color w:val="000000" w:themeColor="text1"/>
          <w:sz w:val="22"/>
          <w:szCs w:val="22"/>
          <w:shd w:val="clear" w:color="auto" w:fill="FCFBFB"/>
        </w:rPr>
        <w:t xml:space="preserve">were </w:t>
      </w:r>
      <w:r w:rsidR="00E8146E" w:rsidRPr="0021089D">
        <w:rPr>
          <w:rFonts w:asciiTheme="minorHAnsi" w:hAnsiTheme="minorHAnsi" w:cstheme="minorHAnsi"/>
          <w:bCs/>
          <w:color w:val="000000" w:themeColor="text1"/>
          <w:sz w:val="22"/>
          <w:szCs w:val="22"/>
          <w:shd w:val="clear" w:color="auto" w:fill="FCFBFB"/>
        </w:rPr>
        <w:t xml:space="preserve">retrieved from the following </w:t>
      </w:r>
      <w:r w:rsidR="008F3F56" w:rsidRPr="00DD5628">
        <w:rPr>
          <w:rFonts w:asciiTheme="minorHAnsi" w:eastAsia="Arial" w:hAnsiTheme="minorHAnsi" w:cstheme="minorHAnsi"/>
          <w:bCs/>
          <w:color w:val="000000" w:themeColor="text1"/>
          <w:sz w:val="22"/>
          <w:szCs w:val="22"/>
          <w:lang w:val="en-GB"/>
        </w:rPr>
        <w:t>publicly available curated resistance data</w:t>
      </w:r>
      <w:r w:rsidR="00E8146E" w:rsidRPr="00DD5628">
        <w:rPr>
          <w:rFonts w:asciiTheme="minorHAnsi" w:eastAsia="Arial" w:hAnsiTheme="minorHAnsi" w:cstheme="minorHAnsi"/>
          <w:bCs/>
          <w:color w:val="000000" w:themeColor="text1"/>
          <w:sz w:val="22"/>
          <w:szCs w:val="22"/>
          <w:lang w:val="en-GB"/>
        </w:rPr>
        <w:t>bases</w:t>
      </w:r>
      <w:r w:rsidR="008F3F56" w:rsidRPr="00DD5628">
        <w:rPr>
          <w:rFonts w:asciiTheme="minorHAnsi" w:eastAsia="Arial" w:hAnsiTheme="minorHAnsi" w:cstheme="minorHAnsi"/>
          <w:bCs/>
          <w:color w:val="000000" w:themeColor="text1"/>
          <w:sz w:val="22"/>
          <w:szCs w:val="22"/>
          <w:lang w:val="en-GB"/>
        </w:rPr>
        <w:t>:</w:t>
      </w:r>
      <w:r w:rsidR="0066136A" w:rsidRPr="00DD5628">
        <w:rPr>
          <w:rFonts w:asciiTheme="minorHAnsi" w:eastAsia="Arial" w:hAnsiTheme="minorHAnsi" w:cstheme="minorHAnsi"/>
          <w:bCs/>
          <w:color w:val="000000" w:themeColor="text1"/>
          <w:sz w:val="22"/>
          <w:szCs w:val="22"/>
          <w:lang w:val="en-GB"/>
        </w:rPr>
        <w:t xml:space="preserve"> </w:t>
      </w:r>
      <w:r w:rsidR="00FB3401">
        <w:rPr>
          <w:rFonts w:asciiTheme="minorHAnsi" w:eastAsia="Arial" w:hAnsiTheme="minorHAnsi" w:cstheme="minorHAnsi"/>
          <w:bCs/>
          <w:color w:val="000000" w:themeColor="text1"/>
          <w:sz w:val="22"/>
          <w:szCs w:val="22"/>
          <w:lang w:val="en-GB"/>
        </w:rPr>
        <w:t>t</w:t>
      </w:r>
      <w:r w:rsidR="000820EB" w:rsidRPr="00DD5628">
        <w:rPr>
          <w:rFonts w:asciiTheme="minorHAnsi" w:eastAsia="Arial" w:hAnsiTheme="minorHAnsi" w:cstheme="minorHAnsi"/>
          <w:bCs/>
          <w:color w:val="000000" w:themeColor="text1"/>
          <w:sz w:val="22"/>
          <w:szCs w:val="22"/>
          <w:lang w:val="en-GB"/>
        </w:rPr>
        <w:t>he 2019 GBD study and 2019 GRAM project,</w:t>
      </w:r>
      <w:r w:rsidR="00E00CFD" w:rsidRPr="00E00CFD">
        <w:rPr>
          <w:rFonts w:hAnsiTheme="minorHAnsi"/>
          <w:color w:val="000000"/>
          <w:sz w:val="22"/>
          <w:vertAlign w:val="superscript"/>
        </w:rPr>
        <w:t>46</w:t>
      </w:r>
      <w:r w:rsidR="000820EB" w:rsidRPr="00DD5628">
        <w:rPr>
          <w:rFonts w:asciiTheme="minorHAnsi" w:eastAsia="Arial" w:hAnsiTheme="minorHAnsi" w:cstheme="minorHAnsi"/>
          <w:bCs/>
          <w:color w:val="000000" w:themeColor="text1"/>
          <w:sz w:val="22"/>
          <w:szCs w:val="22"/>
          <w:lang w:val="en-GB"/>
        </w:rPr>
        <w:t xml:space="preserve"> </w:t>
      </w:r>
      <w:r w:rsidR="000820EB" w:rsidRPr="0021089D">
        <w:rPr>
          <w:rStyle w:val="m-1118084571331499104spelle"/>
          <w:rFonts w:asciiTheme="minorHAnsi" w:hAnsiTheme="minorHAnsi" w:cstheme="minorHAnsi"/>
          <w:color w:val="000000" w:themeColor="text1"/>
          <w:sz w:val="22"/>
          <w:szCs w:val="22"/>
        </w:rPr>
        <w:t>NeoOBS</w:t>
      </w:r>
      <w:r w:rsidR="000820EB" w:rsidRPr="0021089D">
        <w:rPr>
          <w:rFonts w:asciiTheme="minorHAnsi" w:hAnsiTheme="minorHAnsi" w:cstheme="minorHAnsi"/>
          <w:color w:val="000000" w:themeColor="text1"/>
          <w:sz w:val="22"/>
          <w:szCs w:val="22"/>
          <w:shd w:val="clear" w:color="auto" w:fill="FFFFFF"/>
        </w:rPr>
        <w:t>,</w:t>
      </w:r>
      <w:r w:rsidR="00E00CFD" w:rsidRPr="00E00CFD">
        <w:rPr>
          <w:rFonts w:hAnsiTheme="minorHAnsi"/>
          <w:color w:val="000000"/>
          <w:sz w:val="22"/>
          <w:vertAlign w:val="superscript"/>
        </w:rPr>
        <w:t>47</w:t>
      </w:r>
      <w:r w:rsidR="000820EB" w:rsidRPr="0021089D">
        <w:rPr>
          <w:rFonts w:asciiTheme="minorHAnsi" w:hAnsiTheme="minorHAnsi" w:cstheme="minorHAnsi"/>
          <w:color w:val="000000" w:themeColor="text1"/>
          <w:sz w:val="22"/>
          <w:szCs w:val="22"/>
          <w:shd w:val="clear" w:color="auto" w:fill="FFFFFF"/>
        </w:rPr>
        <w:t xml:space="preserve"> CHAMPS</w:t>
      </w:r>
      <w:r w:rsidR="00EE14E2">
        <w:rPr>
          <w:rFonts w:asciiTheme="minorHAnsi" w:hAnsiTheme="minorHAnsi" w:cstheme="minorHAnsi"/>
          <w:color w:val="000000" w:themeColor="text1"/>
          <w:sz w:val="22"/>
          <w:szCs w:val="22"/>
          <w:shd w:val="clear" w:color="auto" w:fill="FFFFFF"/>
        </w:rPr>
        <w:t>,</w:t>
      </w:r>
      <w:r w:rsidR="00E00CFD" w:rsidRPr="00E00CFD">
        <w:rPr>
          <w:rFonts w:hAnsiTheme="minorHAnsi"/>
          <w:color w:val="000000"/>
          <w:sz w:val="22"/>
          <w:vertAlign w:val="superscript"/>
        </w:rPr>
        <w:t>33</w:t>
      </w:r>
      <w:r w:rsidR="000820EB" w:rsidRPr="0021089D">
        <w:rPr>
          <w:rFonts w:asciiTheme="minorHAnsi" w:hAnsiTheme="minorHAnsi" w:cstheme="minorHAnsi"/>
          <w:color w:val="000000" w:themeColor="text1"/>
          <w:sz w:val="22"/>
          <w:szCs w:val="22"/>
          <w:shd w:val="clear" w:color="auto" w:fill="FFFFFF"/>
        </w:rPr>
        <w:t xml:space="preserve"> BARNARDS,</w:t>
      </w:r>
      <w:r w:rsidR="00E00CFD" w:rsidRPr="00E00CFD">
        <w:rPr>
          <w:rFonts w:hAnsiTheme="minorHAnsi"/>
          <w:color w:val="000000"/>
          <w:sz w:val="22"/>
          <w:vertAlign w:val="superscript"/>
        </w:rPr>
        <w:t>48</w:t>
      </w:r>
      <w:r w:rsidR="000820EB" w:rsidRPr="0021089D">
        <w:rPr>
          <w:rStyle w:val="apple-converted-space"/>
          <w:rFonts w:asciiTheme="minorHAnsi" w:hAnsiTheme="minorHAnsi" w:cstheme="minorHAnsi"/>
          <w:color w:val="000000" w:themeColor="text1"/>
          <w:sz w:val="22"/>
          <w:szCs w:val="22"/>
          <w:shd w:val="clear" w:color="auto" w:fill="FFFFFF"/>
        </w:rPr>
        <w:t> </w:t>
      </w:r>
      <w:r w:rsidR="000820EB" w:rsidRPr="0021089D">
        <w:rPr>
          <w:rStyle w:val="m-1118084571331499104spelle"/>
          <w:rFonts w:asciiTheme="minorHAnsi" w:hAnsiTheme="minorHAnsi" w:cstheme="minorHAnsi"/>
          <w:color w:val="000000" w:themeColor="text1"/>
          <w:sz w:val="22"/>
          <w:szCs w:val="22"/>
        </w:rPr>
        <w:t>DeNIS,</w:t>
      </w:r>
      <w:r w:rsidR="00E00CFD" w:rsidRPr="00E00CFD">
        <w:rPr>
          <w:rFonts w:hAnsiTheme="minorHAnsi"/>
          <w:color w:val="000000"/>
          <w:sz w:val="22"/>
          <w:vertAlign w:val="superscript"/>
        </w:rPr>
        <w:t>34</w:t>
      </w:r>
      <w:r w:rsidR="000820EB" w:rsidRPr="00DD5628">
        <w:rPr>
          <w:rFonts w:asciiTheme="minorHAnsi" w:eastAsia="Arial" w:hAnsiTheme="minorHAnsi" w:cstheme="minorHAnsi"/>
          <w:bCs/>
          <w:color w:val="000000" w:themeColor="text1"/>
          <w:sz w:val="22"/>
          <w:szCs w:val="22"/>
          <w:lang w:val="en-GB"/>
        </w:rPr>
        <w:t xml:space="preserve"> </w:t>
      </w:r>
      <w:proofErr w:type="spellStart"/>
      <w:r w:rsidR="000820EB" w:rsidRPr="00DD5628">
        <w:rPr>
          <w:rFonts w:asciiTheme="minorHAnsi" w:eastAsia="Arial" w:hAnsiTheme="minorHAnsi" w:cstheme="minorHAnsi"/>
          <w:bCs/>
          <w:color w:val="000000" w:themeColor="text1"/>
          <w:sz w:val="22"/>
          <w:szCs w:val="22"/>
          <w:lang w:val="en-GB"/>
        </w:rPr>
        <w:t>ResistanceMap</w:t>
      </w:r>
      <w:proofErr w:type="spellEnd"/>
      <w:r w:rsidR="000820EB" w:rsidRPr="00DD5628">
        <w:rPr>
          <w:rFonts w:asciiTheme="minorHAnsi" w:eastAsia="Arial" w:hAnsiTheme="minorHAnsi" w:cstheme="minorHAnsi"/>
          <w:bCs/>
          <w:color w:val="000000" w:themeColor="text1"/>
          <w:sz w:val="22"/>
          <w:szCs w:val="22"/>
          <w:lang w:val="en-GB"/>
        </w:rPr>
        <w:t>,</w:t>
      </w:r>
      <w:r w:rsidR="00E00CFD" w:rsidRPr="00E00CFD">
        <w:rPr>
          <w:rFonts w:hAnsiTheme="minorHAnsi"/>
          <w:color w:val="000000"/>
          <w:sz w:val="22"/>
          <w:vertAlign w:val="superscript"/>
        </w:rPr>
        <w:t>49</w:t>
      </w:r>
      <w:r w:rsidR="000820EB" w:rsidRPr="00DD5628">
        <w:rPr>
          <w:rFonts w:asciiTheme="minorHAnsi" w:eastAsia="Arial" w:hAnsiTheme="minorHAnsi" w:cstheme="minorHAnsi"/>
          <w:bCs/>
          <w:color w:val="000000" w:themeColor="text1"/>
          <w:sz w:val="22"/>
          <w:szCs w:val="22"/>
          <w:lang w:val="en-GB"/>
        </w:rPr>
        <w:t xml:space="preserve"> </w:t>
      </w:r>
      <w:proofErr w:type="spellStart"/>
      <w:r w:rsidR="00580C2F" w:rsidRPr="00DD5628">
        <w:rPr>
          <w:rFonts w:asciiTheme="minorHAnsi" w:eastAsia="Arial" w:hAnsiTheme="minorHAnsi" w:cstheme="minorHAnsi"/>
          <w:bCs/>
          <w:color w:val="000000" w:themeColor="text1"/>
          <w:sz w:val="22"/>
          <w:szCs w:val="22"/>
          <w:lang w:val="en-GB"/>
        </w:rPr>
        <w:t>Resistancebank</w:t>
      </w:r>
      <w:proofErr w:type="spellEnd"/>
      <w:r w:rsidR="009D2FD8">
        <w:rPr>
          <w:rFonts w:asciiTheme="minorHAnsi" w:eastAsia="Arial" w:hAnsiTheme="minorHAnsi" w:cstheme="minorHAnsi"/>
          <w:bCs/>
          <w:color w:val="000000" w:themeColor="text1"/>
          <w:sz w:val="22"/>
          <w:szCs w:val="22"/>
          <w:lang w:val="en-GB"/>
        </w:rPr>
        <w:t>,</w:t>
      </w:r>
      <w:r w:rsidR="00E00CFD" w:rsidRPr="00E00CFD">
        <w:rPr>
          <w:rFonts w:hAnsiTheme="minorHAnsi"/>
          <w:color w:val="000000"/>
          <w:sz w:val="22"/>
          <w:vertAlign w:val="superscript"/>
        </w:rPr>
        <w:t>28</w:t>
      </w:r>
      <w:r w:rsidR="00580C2F">
        <w:rPr>
          <w:rFonts w:asciiTheme="minorHAnsi" w:eastAsia="Arial" w:hAnsiTheme="minorHAnsi" w:cstheme="minorHAnsi"/>
          <w:bCs/>
          <w:color w:val="000000" w:themeColor="text1"/>
          <w:sz w:val="22"/>
          <w:szCs w:val="22"/>
          <w:lang w:val="en-GB"/>
        </w:rPr>
        <w:t xml:space="preserve">  </w:t>
      </w:r>
      <w:proofErr w:type="spellStart"/>
      <w:r w:rsidR="000820EB" w:rsidRPr="00DD5628">
        <w:rPr>
          <w:rFonts w:asciiTheme="minorHAnsi" w:eastAsia="Arial" w:hAnsiTheme="minorHAnsi" w:cstheme="minorHAnsi"/>
          <w:bCs/>
          <w:color w:val="000000" w:themeColor="text1"/>
          <w:sz w:val="22"/>
          <w:szCs w:val="22"/>
          <w:lang w:val="en-GB"/>
        </w:rPr>
        <w:t>PathogenWatch</w:t>
      </w:r>
      <w:proofErr w:type="spellEnd"/>
      <w:r w:rsidR="00702F01" w:rsidRPr="00DD5628">
        <w:rPr>
          <w:rFonts w:asciiTheme="minorHAnsi" w:eastAsia="Arial" w:hAnsiTheme="minorHAnsi" w:cstheme="minorHAnsi"/>
          <w:bCs/>
          <w:color w:val="000000" w:themeColor="text1"/>
          <w:sz w:val="22"/>
          <w:szCs w:val="22"/>
          <w:lang w:val="en-GB"/>
        </w:rPr>
        <w:t>,</w:t>
      </w:r>
      <w:r w:rsidR="00E00CFD" w:rsidRPr="00E00CFD">
        <w:rPr>
          <w:rFonts w:hAnsiTheme="minorHAnsi"/>
          <w:color w:val="000000"/>
          <w:sz w:val="22"/>
          <w:vertAlign w:val="superscript"/>
        </w:rPr>
        <w:t>50</w:t>
      </w:r>
      <w:r w:rsidR="00702F01" w:rsidRPr="00DD5628">
        <w:rPr>
          <w:rFonts w:asciiTheme="minorHAnsi" w:eastAsia="Arial" w:hAnsiTheme="minorHAnsi" w:cstheme="minorHAnsi"/>
          <w:bCs/>
          <w:color w:val="000000" w:themeColor="text1"/>
          <w:sz w:val="22"/>
          <w:szCs w:val="22"/>
          <w:lang w:val="en-GB"/>
        </w:rPr>
        <w:t xml:space="preserve"> </w:t>
      </w:r>
      <w:proofErr w:type="spellStart"/>
      <w:r w:rsidR="000820EB" w:rsidRPr="00DD5628">
        <w:rPr>
          <w:rFonts w:asciiTheme="minorHAnsi" w:eastAsia="Arial" w:hAnsiTheme="minorHAnsi" w:cstheme="minorHAnsi"/>
          <w:bCs/>
          <w:color w:val="000000" w:themeColor="text1"/>
          <w:sz w:val="22"/>
          <w:szCs w:val="22"/>
          <w:lang w:val="en-GB"/>
        </w:rPr>
        <w:t>Typhinet</w:t>
      </w:r>
      <w:proofErr w:type="spellEnd"/>
      <w:r w:rsidR="00E821AF">
        <w:rPr>
          <w:rFonts w:asciiTheme="minorHAnsi" w:eastAsia="Arial" w:hAnsiTheme="minorHAnsi" w:cstheme="minorHAnsi"/>
          <w:bCs/>
          <w:color w:val="000000" w:themeColor="text1"/>
          <w:sz w:val="22"/>
          <w:szCs w:val="22"/>
          <w:lang w:val="en-GB"/>
        </w:rPr>
        <w:t>,</w:t>
      </w:r>
      <w:r w:rsidR="00E00CFD" w:rsidRPr="00E00CFD">
        <w:rPr>
          <w:rFonts w:hAnsiTheme="minorHAnsi"/>
          <w:color w:val="000000"/>
          <w:sz w:val="22"/>
          <w:vertAlign w:val="superscript"/>
        </w:rPr>
        <w:t>51</w:t>
      </w:r>
      <w:r w:rsidR="00702F01" w:rsidRPr="00DD5628">
        <w:rPr>
          <w:rFonts w:asciiTheme="minorHAnsi" w:eastAsia="Arial" w:hAnsiTheme="minorHAnsi" w:cstheme="minorHAnsi"/>
          <w:bCs/>
          <w:color w:val="000000" w:themeColor="text1"/>
          <w:sz w:val="22"/>
          <w:szCs w:val="22"/>
          <w:lang w:val="en-GB"/>
        </w:rPr>
        <w:t xml:space="preserve"> and the </w:t>
      </w:r>
      <w:r w:rsidR="00702F01" w:rsidRPr="00DD5628">
        <w:rPr>
          <w:rFonts w:asciiTheme="minorHAnsi" w:hAnsiTheme="minorHAnsi" w:cstheme="minorHAnsi"/>
          <w:color w:val="000000" w:themeColor="text1"/>
          <w:sz w:val="22"/>
          <w:szCs w:val="22"/>
          <w:lang w:val="en-GB"/>
        </w:rPr>
        <w:t>Medicine Quality Scientific Literature Surveyor</w:t>
      </w:r>
      <w:r w:rsidR="000820EB" w:rsidRPr="00DD5628">
        <w:rPr>
          <w:rFonts w:asciiTheme="minorHAnsi" w:eastAsia="Arial" w:hAnsiTheme="minorHAnsi" w:cstheme="minorHAnsi"/>
          <w:bCs/>
          <w:color w:val="000000" w:themeColor="text1"/>
          <w:sz w:val="22"/>
          <w:szCs w:val="22"/>
          <w:lang w:val="en-GB"/>
        </w:rPr>
        <w:t>.</w:t>
      </w:r>
      <w:r w:rsidR="00E00CFD" w:rsidRPr="00E00CFD">
        <w:rPr>
          <w:rFonts w:hAnsiTheme="minorHAnsi"/>
          <w:color w:val="000000"/>
          <w:sz w:val="22"/>
          <w:vertAlign w:val="superscript"/>
        </w:rPr>
        <w:t>52</w:t>
      </w:r>
      <w:r w:rsidR="000820EB" w:rsidRPr="00DD5628">
        <w:rPr>
          <w:rFonts w:asciiTheme="minorHAnsi" w:eastAsia="Arial" w:hAnsiTheme="minorHAnsi" w:cstheme="minorHAnsi"/>
          <w:bCs/>
          <w:color w:val="000000" w:themeColor="text1"/>
          <w:sz w:val="22"/>
          <w:szCs w:val="22"/>
          <w:lang w:val="en-GB"/>
        </w:rPr>
        <w:t xml:space="preserve"> </w:t>
      </w:r>
      <w:r w:rsidRPr="00DD5628">
        <w:rPr>
          <w:rFonts w:asciiTheme="minorHAnsi" w:eastAsia="Arial" w:hAnsiTheme="minorHAnsi" w:cstheme="minorHAnsi"/>
          <w:bCs/>
          <w:color w:val="000000" w:themeColor="text1"/>
          <w:sz w:val="22"/>
          <w:szCs w:val="22"/>
          <w:lang w:val="en-GB"/>
        </w:rPr>
        <w:t xml:space="preserve">The expert group additionally </w:t>
      </w:r>
      <w:r w:rsidR="00FB3401">
        <w:rPr>
          <w:rFonts w:asciiTheme="minorHAnsi" w:eastAsia="Arial" w:hAnsiTheme="minorHAnsi" w:cstheme="minorHAnsi"/>
          <w:bCs/>
          <w:color w:val="000000" w:themeColor="text1"/>
          <w:sz w:val="22"/>
          <w:szCs w:val="22"/>
          <w:lang w:val="en-GB"/>
        </w:rPr>
        <w:t>listed</w:t>
      </w:r>
      <w:r w:rsidRPr="00DD5628">
        <w:rPr>
          <w:rFonts w:asciiTheme="minorHAnsi" w:eastAsia="Arial" w:hAnsiTheme="minorHAnsi" w:cstheme="minorHAnsi"/>
          <w:bCs/>
          <w:color w:val="000000" w:themeColor="text1"/>
          <w:sz w:val="22"/>
          <w:szCs w:val="22"/>
          <w:lang w:val="en-GB"/>
        </w:rPr>
        <w:t xml:space="preserve"> relevant policy documents </w:t>
      </w:r>
      <w:r w:rsidR="00FB3401">
        <w:rPr>
          <w:rFonts w:asciiTheme="minorHAnsi" w:eastAsia="Arial" w:hAnsiTheme="minorHAnsi" w:cstheme="minorHAnsi"/>
          <w:bCs/>
          <w:color w:val="000000" w:themeColor="text1"/>
          <w:sz w:val="22"/>
          <w:szCs w:val="22"/>
          <w:lang w:val="en-GB"/>
        </w:rPr>
        <w:t>associated with</w:t>
      </w:r>
      <w:r w:rsidRPr="00DD5628">
        <w:rPr>
          <w:rFonts w:asciiTheme="minorHAnsi" w:eastAsia="Arial" w:hAnsiTheme="minorHAnsi" w:cstheme="minorHAnsi"/>
          <w:bCs/>
          <w:color w:val="000000" w:themeColor="text1"/>
          <w:sz w:val="22"/>
          <w:szCs w:val="22"/>
          <w:lang w:val="en-GB"/>
        </w:rPr>
        <w:t xml:space="preserve"> the WHO Global</w:t>
      </w:r>
      <w:r w:rsidR="000820EB" w:rsidRPr="00DD5628">
        <w:rPr>
          <w:rFonts w:asciiTheme="minorHAnsi" w:eastAsia="Arial" w:hAnsiTheme="minorHAnsi" w:cstheme="minorHAnsi"/>
          <w:bCs/>
          <w:color w:val="000000" w:themeColor="text1"/>
          <w:sz w:val="22"/>
          <w:szCs w:val="22"/>
          <w:lang w:val="en-GB"/>
        </w:rPr>
        <w:t xml:space="preserve"> Action Plan for Antimicrobial Resistance</w:t>
      </w:r>
      <w:r w:rsidR="009D0CEC">
        <w:rPr>
          <w:rFonts w:asciiTheme="minorHAnsi" w:eastAsia="Arial" w:hAnsiTheme="minorHAnsi" w:cstheme="minorHAnsi"/>
          <w:bCs/>
          <w:color w:val="000000" w:themeColor="text1"/>
          <w:sz w:val="22"/>
          <w:szCs w:val="22"/>
          <w:lang w:val="en-GB"/>
        </w:rPr>
        <w:t>.</w:t>
      </w:r>
      <w:r w:rsidR="00E00CFD" w:rsidRPr="00E00CFD">
        <w:rPr>
          <w:rFonts w:hAnsiTheme="minorHAnsi"/>
          <w:color w:val="000000"/>
          <w:sz w:val="22"/>
          <w:vertAlign w:val="superscript"/>
        </w:rPr>
        <w:t>42</w:t>
      </w:r>
    </w:p>
    <w:p w14:paraId="47618283" w14:textId="77777777" w:rsidR="00BE2463" w:rsidRPr="00C37A4D" w:rsidRDefault="00BE2463" w:rsidP="001532F9">
      <w:pPr>
        <w:rPr>
          <w:rFonts w:asciiTheme="minorHAnsi" w:eastAsia="Arial" w:hAnsiTheme="minorHAnsi" w:cstheme="minorHAnsi"/>
          <w:color w:val="000000" w:themeColor="text1"/>
          <w:sz w:val="22"/>
          <w:szCs w:val="22"/>
          <w:lang w:val="en-GB"/>
        </w:rPr>
      </w:pPr>
    </w:p>
    <w:p w14:paraId="1ECA7FF4" w14:textId="40586B2E" w:rsidR="001532F9" w:rsidRPr="00C37A4D" w:rsidRDefault="00C45E50">
      <w:pPr>
        <w:rPr>
          <w:rFonts w:asciiTheme="minorHAnsi" w:eastAsia="Arial" w:hAnsiTheme="minorHAnsi" w:cstheme="minorHAnsi"/>
          <w:b/>
          <w:bCs/>
          <w:color w:val="000000" w:themeColor="text1"/>
          <w:sz w:val="22"/>
          <w:szCs w:val="22"/>
          <w:lang w:val="en-GB"/>
        </w:rPr>
      </w:pPr>
      <w:r w:rsidRPr="00C37A4D">
        <w:rPr>
          <w:rFonts w:asciiTheme="minorHAnsi" w:eastAsia="Arial" w:hAnsiTheme="minorHAnsi" w:cstheme="minorHAnsi"/>
          <w:b/>
          <w:bCs/>
          <w:color w:val="000000" w:themeColor="text1"/>
          <w:sz w:val="22"/>
          <w:szCs w:val="22"/>
          <w:lang w:val="en-GB"/>
        </w:rPr>
        <w:t>THREATS TO NEWBORN SURVIVAL</w:t>
      </w:r>
    </w:p>
    <w:p w14:paraId="00000047" w14:textId="12280A56" w:rsidR="001821F7" w:rsidRPr="00C37A4D" w:rsidRDefault="00483638">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Antimicrobial resistance stands in the way of meeting multiple health-related targets and n</w:t>
      </w:r>
      <w:r w:rsidR="000E57FB" w:rsidRPr="00C37A4D">
        <w:rPr>
          <w:rFonts w:asciiTheme="minorHAnsi" w:hAnsiTheme="minorHAnsi" w:cstheme="minorHAnsi"/>
          <w:color w:val="000000" w:themeColor="text1"/>
          <w:sz w:val="22"/>
          <w:szCs w:val="22"/>
          <w:lang w:val="en-GB"/>
        </w:rPr>
        <w:t xml:space="preserve">eonatal sepsis </w:t>
      </w:r>
      <w:r w:rsidR="00FA3AAC">
        <w:rPr>
          <w:rFonts w:asciiTheme="minorHAnsi" w:hAnsiTheme="minorHAnsi" w:cstheme="minorHAnsi"/>
          <w:color w:val="000000" w:themeColor="text1"/>
          <w:sz w:val="22"/>
          <w:szCs w:val="22"/>
          <w:lang w:val="en-GB"/>
        </w:rPr>
        <w:t>remains a global concern</w:t>
      </w:r>
      <w:r w:rsidR="002C5248" w:rsidRPr="00C37A4D">
        <w:rPr>
          <w:rFonts w:asciiTheme="minorHAnsi" w:hAnsiTheme="minorHAnsi" w:cstheme="minorHAnsi"/>
          <w:color w:val="000000" w:themeColor="text1"/>
          <w:sz w:val="22"/>
          <w:szCs w:val="22"/>
          <w:lang w:val="en-GB"/>
        </w:rPr>
        <w:t xml:space="preserve">, </w:t>
      </w:r>
      <w:r w:rsidR="00FA3AAC">
        <w:rPr>
          <w:rFonts w:asciiTheme="minorHAnsi" w:hAnsiTheme="minorHAnsi" w:cstheme="minorHAnsi"/>
          <w:color w:val="000000" w:themeColor="text1"/>
          <w:sz w:val="22"/>
          <w:szCs w:val="22"/>
          <w:lang w:val="en-GB"/>
        </w:rPr>
        <w:t>as it is the 8</w:t>
      </w:r>
      <w:r w:rsidR="00FA3AAC" w:rsidRPr="008B6459">
        <w:rPr>
          <w:rFonts w:asciiTheme="minorHAnsi" w:hAnsiTheme="minorHAnsi" w:cstheme="minorHAnsi"/>
          <w:color w:val="000000" w:themeColor="text1"/>
          <w:sz w:val="22"/>
          <w:szCs w:val="22"/>
          <w:vertAlign w:val="superscript"/>
          <w:lang w:val="en-GB"/>
        </w:rPr>
        <w:t>th</w:t>
      </w:r>
      <w:r w:rsidR="00FA3AAC">
        <w:rPr>
          <w:rFonts w:asciiTheme="minorHAnsi" w:hAnsiTheme="minorHAnsi" w:cstheme="minorHAnsi"/>
          <w:color w:val="000000" w:themeColor="text1"/>
          <w:sz w:val="22"/>
          <w:szCs w:val="22"/>
          <w:lang w:val="en-GB"/>
        </w:rPr>
        <w:t xml:space="preserve"> most common cause of death in neonates and children under age five, </w:t>
      </w:r>
      <w:r w:rsidR="002C5248" w:rsidRPr="00C37A4D">
        <w:rPr>
          <w:rFonts w:asciiTheme="minorHAnsi" w:hAnsiTheme="minorHAnsi" w:cstheme="minorHAnsi"/>
          <w:color w:val="000000" w:themeColor="text1"/>
          <w:sz w:val="22"/>
          <w:szCs w:val="22"/>
          <w:lang w:val="en-GB"/>
        </w:rPr>
        <w:t>with</w:t>
      </w:r>
      <w:r w:rsidR="00284A35" w:rsidRPr="00C37A4D">
        <w:rPr>
          <w:rFonts w:asciiTheme="minorHAnsi" w:hAnsiTheme="minorHAnsi" w:cstheme="minorHAnsi"/>
          <w:color w:val="000000" w:themeColor="text1"/>
          <w:sz w:val="22"/>
          <w:szCs w:val="22"/>
          <w:lang w:val="en-GB"/>
        </w:rPr>
        <w:t xml:space="preserve"> high rates in resource-limited settings</w:t>
      </w:r>
      <w:r w:rsidR="007B564A">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53,54</w:t>
      </w:r>
      <w:r w:rsidR="007B564A">
        <w:rPr>
          <w:rFonts w:asciiTheme="minorHAnsi" w:hAnsiTheme="minorHAnsi" w:cstheme="minorHAnsi"/>
          <w:color w:val="000000" w:themeColor="text1"/>
          <w:sz w:val="22"/>
          <w:szCs w:val="22"/>
          <w:lang w:val="en-GB"/>
        </w:rPr>
        <w:t xml:space="preserve"> </w:t>
      </w:r>
      <w:r w:rsidR="000E57FB" w:rsidRPr="00C37A4D">
        <w:rPr>
          <w:rFonts w:asciiTheme="minorHAnsi" w:hAnsiTheme="minorHAnsi" w:cstheme="minorHAnsi"/>
          <w:color w:val="000000" w:themeColor="text1"/>
          <w:sz w:val="22"/>
          <w:szCs w:val="22"/>
          <w:lang w:val="en-GB"/>
        </w:rPr>
        <w:t>Babies with early</w:t>
      </w:r>
      <w:r w:rsidR="00302F3E" w:rsidRPr="00C37A4D">
        <w:rPr>
          <w:rFonts w:asciiTheme="minorHAnsi" w:hAnsiTheme="minorHAnsi" w:cstheme="minorHAnsi"/>
          <w:color w:val="000000" w:themeColor="text1"/>
          <w:sz w:val="22"/>
          <w:szCs w:val="22"/>
          <w:lang w:val="en-GB"/>
        </w:rPr>
        <w:t>-</w:t>
      </w:r>
      <w:r w:rsidR="000E57FB" w:rsidRPr="00C37A4D">
        <w:rPr>
          <w:rFonts w:asciiTheme="minorHAnsi" w:hAnsiTheme="minorHAnsi" w:cstheme="minorHAnsi"/>
          <w:color w:val="000000" w:themeColor="text1"/>
          <w:sz w:val="22"/>
          <w:szCs w:val="22"/>
          <w:lang w:val="en-GB"/>
        </w:rPr>
        <w:t>onset sepsis</w:t>
      </w:r>
      <w:r w:rsidR="00E70822">
        <w:rPr>
          <w:rFonts w:asciiTheme="minorHAnsi" w:hAnsiTheme="minorHAnsi" w:cstheme="minorHAnsi"/>
          <w:color w:val="000000" w:themeColor="text1"/>
          <w:sz w:val="22"/>
          <w:szCs w:val="22"/>
          <w:lang w:val="en-GB"/>
        </w:rPr>
        <w:t xml:space="preserve"> </w:t>
      </w:r>
      <w:r w:rsidR="00B72109">
        <w:rPr>
          <w:rFonts w:asciiTheme="minorHAnsi" w:hAnsiTheme="minorHAnsi" w:cstheme="minorHAnsi"/>
          <w:color w:val="000000" w:themeColor="text1"/>
          <w:sz w:val="22"/>
          <w:szCs w:val="22"/>
          <w:lang w:val="en-GB"/>
        </w:rPr>
        <w:t>may be</w:t>
      </w:r>
      <w:r w:rsidR="00B72109" w:rsidRPr="00C37A4D">
        <w:rPr>
          <w:rFonts w:asciiTheme="minorHAnsi" w:hAnsiTheme="minorHAnsi" w:cstheme="minorHAnsi"/>
          <w:color w:val="000000" w:themeColor="text1"/>
          <w:sz w:val="22"/>
          <w:szCs w:val="22"/>
          <w:lang w:val="en-GB"/>
        </w:rPr>
        <w:t xml:space="preserve"> </w:t>
      </w:r>
      <w:r w:rsidR="000E57FB" w:rsidRPr="00C37A4D">
        <w:rPr>
          <w:rFonts w:asciiTheme="minorHAnsi" w:hAnsiTheme="minorHAnsi" w:cstheme="minorHAnsi"/>
          <w:color w:val="000000" w:themeColor="text1"/>
          <w:sz w:val="22"/>
          <w:szCs w:val="22"/>
          <w:lang w:val="en-GB"/>
        </w:rPr>
        <w:t>infected before or during birth</w:t>
      </w:r>
      <w:r w:rsidR="00A971BA" w:rsidRPr="00C37A4D">
        <w:rPr>
          <w:rFonts w:asciiTheme="minorHAnsi" w:hAnsiTheme="minorHAnsi" w:cstheme="minorHAnsi"/>
          <w:color w:val="000000" w:themeColor="text1"/>
          <w:sz w:val="22"/>
          <w:szCs w:val="22"/>
          <w:lang w:val="en-GB"/>
        </w:rPr>
        <w:t xml:space="preserve"> </w:t>
      </w:r>
      <w:r w:rsidR="00B72109">
        <w:rPr>
          <w:rFonts w:asciiTheme="minorHAnsi" w:hAnsiTheme="minorHAnsi" w:cstheme="minorHAnsi"/>
          <w:color w:val="000000" w:themeColor="text1"/>
          <w:sz w:val="22"/>
          <w:szCs w:val="22"/>
          <w:lang w:val="en-GB"/>
        </w:rPr>
        <w:t>because of</w:t>
      </w:r>
      <w:r w:rsidR="00A971BA" w:rsidRPr="00C37A4D">
        <w:rPr>
          <w:rFonts w:asciiTheme="minorHAnsi" w:hAnsiTheme="minorHAnsi" w:cstheme="minorHAnsi"/>
          <w:color w:val="000000" w:themeColor="text1"/>
          <w:sz w:val="22"/>
          <w:szCs w:val="22"/>
          <w:lang w:val="en-GB"/>
        </w:rPr>
        <w:t xml:space="preserve"> premature rupture of maternal membranes</w:t>
      </w:r>
      <w:r w:rsidR="00B72109">
        <w:rPr>
          <w:rFonts w:asciiTheme="minorHAnsi" w:hAnsiTheme="minorHAnsi" w:cstheme="minorHAnsi"/>
          <w:color w:val="000000" w:themeColor="text1"/>
          <w:sz w:val="22"/>
          <w:szCs w:val="22"/>
          <w:lang w:val="en-GB"/>
        </w:rPr>
        <w:t>;</w:t>
      </w:r>
      <w:r w:rsidR="00E70822">
        <w:rPr>
          <w:rFonts w:asciiTheme="minorHAnsi" w:hAnsiTheme="minorHAnsi" w:cstheme="minorHAnsi"/>
          <w:color w:val="000000" w:themeColor="text1"/>
          <w:sz w:val="22"/>
          <w:szCs w:val="22"/>
          <w:lang w:val="en-GB"/>
        </w:rPr>
        <w:t xml:space="preserve"> l</w:t>
      </w:r>
      <w:r w:rsidR="00544B68" w:rsidRPr="00C37A4D">
        <w:rPr>
          <w:rFonts w:asciiTheme="minorHAnsi" w:hAnsiTheme="minorHAnsi" w:cstheme="minorHAnsi"/>
          <w:color w:val="000000" w:themeColor="text1"/>
          <w:sz w:val="22"/>
          <w:szCs w:val="22"/>
          <w:lang w:val="en-GB"/>
        </w:rPr>
        <w:t>ate</w:t>
      </w:r>
      <w:r w:rsidR="000E57FB" w:rsidRPr="00C37A4D">
        <w:rPr>
          <w:rFonts w:asciiTheme="minorHAnsi" w:hAnsiTheme="minorHAnsi" w:cstheme="minorHAnsi"/>
          <w:color w:val="000000" w:themeColor="text1"/>
          <w:sz w:val="22"/>
          <w:szCs w:val="22"/>
          <w:lang w:val="en-GB"/>
        </w:rPr>
        <w:t xml:space="preserve">-onset </w:t>
      </w:r>
      <w:r w:rsidR="00B72109">
        <w:rPr>
          <w:rFonts w:asciiTheme="minorHAnsi" w:hAnsiTheme="minorHAnsi" w:cstheme="minorHAnsi"/>
          <w:color w:val="000000" w:themeColor="text1"/>
          <w:sz w:val="22"/>
          <w:szCs w:val="22"/>
          <w:lang w:val="en-GB"/>
        </w:rPr>
        <w:t xml:space="preserve">(age 3–28 days) </w:t>
      </w:r>
      <w:r w:rsidR="000E57FB" w:rsidRPr="00C37A4D">
        <w:rPr>
          <w:rFonts w:asciiTheme="minorHAnsi" w:hAnsiTheme="minorHAnsi" w:cstheme="minorHAnsi"/>
          <w:color w:val="000000" w:themeColor="text1"/>
          <w:sz w:val="22"/>
          <w:szCs w:val="22"/>
          <w:lang w:val="en-GB"/>
        </w:rPr>
        <w:t>sepsis commonly represent</w:t>
      </w:r>
      <w:r w:rsidR="00302F3E" w:rsidRPr="00C37A4D">
        <w:rPr>
          <w:rFonts w:asciiTheme="minorHAnsi" w:hAnsiTheme="minorHAnsi" w:cstheme="minorHAnsi"/>
          <w:color w:val="000000" w:themeColor="text1"/>
          <w:sz w:val="22"/>
          <w:szCs w:val="22"/>
          <w:lang w:val="en-GB"/>
        </w:rPr>
        <w:t>s</w:t>
      </w:r>
      <w:r w:rsidR="000E57FB" w:rsidRPr="00C37A4D">
        <w:rPr>
          <w:rFonts w:asciiTheme="minorHAnsi" w:hAnsiTheme="minorHAnsi" w:cstheme="minorHAnsi"/>
          <w:color w:val="000000" w:themeColor="text1"/>
          <w:sz w:val="22"/>
          <w:szCs w:val="22"/>
          <w:lang w:val="en-GB"/>
        </w:rPr>
        <w:t xml:space="preserve"> </w:t>
      </w:r>
      <w:r w:rsidR="002125D1">
        <w:rPr>
          <w:rFonts w:asciiTheme="minorHAnsi" w:hAnsiTheme="minorHAnsi" w:cstheme="minorHAnsi"/>
          <w:color w:val="000000" w:themeColor="text1"/>
          <w:sz w:val="22"/>
          <w:szCs w:val="22"/>
          <w:lang w:val="en-GB"/>
        </w:rPr>
        <w:t>a health care associated infection (</w:t>
      </w:r>
      <w:r w:rsidR="004B1387">
        <w:rPr>
          <w:rFonts w:asciiTheme="minorHAnsi" w:hAnsiTheme="minorHAnsi" w:cstheme="minorHAnsi"/>
          <w:color w:val="000000" w:themeColor="text1"/>
          <w:sz w:val="22"/>
          <w:szCs w:val="22"/>
          <w:lang w:val="en-GB"/>
        </w:rPr>
        <w:t>HCAI</w:t>
      </w:r>
      <w:r w:rsidR="002125D1">
        <w:rPr>
          <w:rFonts w:asciiTheme="minorHAnsi" w:hAnsiTheme="minorHAnsi" w:cstheme="minorHAnsi"/>
          <w:color w:val="000000" w:themeColor="text1"/>
          <w:sz w:val="22"/>
          <w:szCs w:val="22"/>
          <w:lang w:val="en-GB"/>
        </w:rPr>
        <w:t>)</w:t>
      </w:r>
      <w:r w:rsidR="00544B68" w:rsidRPr="00C37A4D">
        <w:rPr>
          <w:rFonts w:asciiTheme="minorHAnsi" w:hAnsiTheme="minorHAnsi" w:cstheme="minorHAnsi"/>
          <w:color w:val="000000" w:themeColor="text1"/>
          <w:sz w:val="22"/>
          <w:szCs w:val="22"/>
          <w:lang w:val="en-GB"/>
        </w:rPr>
        <w:t>.</w:t>
      </w:r>
      <w:r w:rsidR="0047001E" w:rsidRPr="00C37A4D">
        <w:rPr>
          <w:rFonts w:asciiTheme="minorHAnsi" w:hAnsiTheme="minorHAnsi" w:cstheme="minorHAnsi"/>
          <w:color w:val="000000" w:themeColor="text1"/>
          <w:sz w:val="22"/>
          <w:szCs w:val="22"/>
          <w:lang w:val="en-GB"/>
        </w:rPr>
        <w:t xml:space="preserve"> </w:t>
      </w:r>
      <w:r w:rsidR="002C5248" w:rsidRPr="00C37A4D">
        <w:rPr>
          <w:rFonts w:asciiTheme="minorHAnsi" w:hAnsiTheme="minorHAnsi" w:cstheme="minorHAnsi"/>
          <w:color w:val="000000" w:themeColor="text1"/>
          <w:sz w:val="22"/>
          <w:szCs w:val="22"/>
          <w:lang w:val="en-GB"/>
        </w:rPr>
        <w:t>O</w:t>
      </w:r>
      <w:r w:rsidR="000E57FB" w:rsidRPr="00C37A4D">
        <w:rPr>
          <w:rFonts w:asciiTheme="minorHAnsi" w:hAnsiTheme="minorHAnsi" w:cstheme="minorHAnsi"/>
          <w:color w:val="000000" w:themeColor="text1"/>
          <w:sz w:val="22"/>
          <w:szCs w:val="22"/>
          <w:lang w:val="en-GB"/>
        </w:rPr>
        <w:t xml:space="preserve">utbreaks </w:t>
      </w:r>
      <w:r w:rsidR="00544B68" w:rsidRPr="00C37A4D">
        <w:rPr>
          <w:rFonts w:asciiTheme="minorHAnsi" w:hAnsiTheme="minorHAnsi" w:cstheme="minorHAnsi"/>
          <w:color w:val="000000" w:themeColor="text1"/>
          <w:sz w:val="22"/>
          <w:szCs w:val="22"/>
          <w:lang w:val="en-GB"/>
        </w:rPr>
        <w:t xml:space="preserve">of resistant bacteria attributable to </w:t>
      </w:r>
      <w:r w:rsidR="00E715C2">
        <w:rPr>
          <w:rFonts w:asciiTheme="minorHAnsi" w:hAnsiTheme="minorHAnsi" w:cstheme="minorHAnsi"/>
          <w:color w:val="000000" w:themeColor="text1"/>
          <w:sz w:val="22"/>
          <w:szCs w:val="22"/>
          <w:lang w:val="en-GB"/>
        </w:rPr>
        <w:t xml:space="preserve">poor </w:t>
      </w:r>
      <w:r w:rsidR="00544B68" w:rsidRPr="00C37A4D">
        <w:rPr>
          <w:rFonts w:asciiTheme="minorHAnsi" w:hAnsiTheme="minorHAnsi" w:cstheme="minorHAnsi"/>
          <w:color w:val="000000" w:themeColor="text1"/>
          <w:sz w:val="22"/>
          <w:szCs w:val="22"/>
          <w:lang w:val="en-GB"/>
        </w:rPr>
        <w:t xml:space="preserve">infection prevention and control are </w:t>
      </w:r>
      <w:r w:rsidR="000E57FB" w:rsidRPr="00C37A4D">
        <w:rPr>
          <w:rFonts w:asciiTheme="minorHAnsi" w:hAnsiTheme="minorHAnsi" w:cstheme="minorHAnsi"/>
          <w:color w:val="000000" w:themeColor="text1"/>
          <w:sz w:val="22"/>
          <w:szCs w:val="22"/>
          <w:lang w:val="en-GB"/>
        </w:rPr>
        <w:t xml:space="preserve">increasingly detected, </w:t>
      </w:r>
      <w:r w:rsidR="00544B68" w:rsidRPr="00C37A4D">
        <w:rPr>
          <w:rFonts w:asciiTheme="minorHAnsi" w:hAnsiTheme="minorHAnsi" w:cstheme="minorHAnsi"/>
          <w:color w:val="000000" w:themeColor="text1"/>
          <w:sz w:val="22"/>
          <w:szCs w:val="22"/>
          <w:lang w:val="en-GB"/>
        </w:rPr>
        <w:t>often only retrospectively</w:t>
      </w:r>
      <w:r w:rsidR="001F6862">
        <w:rPr>
          <w:rFonts w:asciiTheme="minorHAnsi" w:hAnsiTheme="minorHAnsi" w:cstheme="minorHAnsi"/>
          <w:color w:val="000000" w:themeColor="text1"/>
          <w:sz w:val="22"/>
          <w:szCs w:val="22"/>
          <w:lang w:val="en-GB"/>
        </w:rPr>
        <w:t>.</w:t>
      </w:r>
      <w:r w:rsidR="000E57FB" w:rsidRPr="00C37A4D">
        <w:rPr>
          <w:rFonts w:asciiTheme="minorHAnsi" w:hAnsiTheme="minorHAnsi" w:cstheme="minorHAnsi"/>
          <w:color w:val="000000" w:themeColor="text1"/>
          <w:sz w:val="22"/>
          <w:szCs w:val="22"/>
          <w:lang w:val="en-GB"/>
        </w:rPr>
        <w:t xml:space="preserve"> </w:t>
      </w:r>
      <w:r w:rsidR="00B72109">
        <w:rPr>
          <w:rFonts w:asciiTheme="minorHAnsi" w:hAnsiTheme="minorHAnsi" w:cstheme="minorHAnsi"/>
          <w:color w:val="000000" w:themeColor="text1"/>
          <w:sz w:val="22"/>
          <w:szCs w:val="22"/>
          <w:lang w:val="en-GB"/>
        </w:rPr>
        <w:t>Babies born</w:t>
      </w:r>
      <w:r w:rsidR="0011471A">
        <w:rPr>
          <w:rFonts w:asciiTheme="minorHAnsi" w:hAnsiTheme="minorHAnsi" w:cstheme="minorHAnsi"/>
          <w:color w:val="000000" w:themeColor="text1"/>
          <w:sz w:val="22"/>
          <w:szCs w:val="22"/>
          <w:lang w:val="en-GB"/>
        </w:rPr>
        <w:t xml:space="preserve"> at a health facility can </w:t>
      </w:r>
      <w:r w:rsidR="00B72109">
        <w:rPr>
          <w:rFonts w:asciiTheme="minorHAnsi" w:hAnsiTheme="minorHAnsi" w:cstheme="minorHAnsi"/>
          <w:color w:val="000000" w:themeColor="text1"/>
          <w:sz w:val="22"/>
          <w:szCs w:val="22"/>
          <w:lang w:val="en-GB"/>
        </w:rPr>
        <w:t xml:space="preserve">benefit from </w:t>
      </w:r>
      <w:r w:rsidR="0011471A">
        <w:rPr>
          <w:rFonts w:asciiTheme="minorHAnsi" w:hAnsiTheme="minorHAnsi" w:cstheme="minorHAnsi"/>
          <w:color w:val="000000" w:themeColor="text1"/>
          <w:sz w:val="22"/>
          <w:szCs w:val="22"/>
          <w:lang w:val="en-GB"/>
        </w:rPr>
        <w:t>emergency obstetric or newborn care</w:t>
      </w:r>
      <w:r w:rsidR="005A1075">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37</w:t>
      </w:r>
      <w:r w:rsidR="0066136A">
        <w:rPr>
          <w:rFonts w:asciiTheme="minorHAnsi" w:hAnsiTheme="minorHAnsi" w:cstheme="minorHAnsi"/>
          <w:color w:val="000000" w:themeColor="text1"/>
          <w:sz w:val="22"/>
          <w:szCs w:val="22"/>
          <w:lang w:val="en-GB"/>
        </w:rPr>
        <w:t xml:space="preserve"> </w:t>
      </w:r>
      <w:r w:rsidR="00B72109">
        <w:rPr>
          <w:rFonts w:asciiTheme="minorHAnsi" w:hAnsiTheme="minorHAnsi" w:cstheme="minorHAnsi"/>
          <w:color w:val="000000" w:themeColor="text1"/>
          <w:sz w:val="22"/>
          <w:szCs w:val="22"/>
          <w:lang w:val="en-GB"/>
        </w:rPr>
        <w:t>but</w:t>
      </w:r>
      <w:r w:rsidR="002C5248" w:rsidRPr="00C37A4D">
        <w:rPr>
          <w:rFonts w:asciiTheme="minorHAnsi" w:hAnsiTheme="minorHAnsi" w:cstheme="minorHAnsi"/>
          <w:color w:val="000000" w:themeColor="text1"/>
          <w:sz w:val="22"/>
          <w:szCs w:val="22"/>
          <w:lang w:val="en-GB"/>
        </w:rPr>
        <w:t xml:space="preserve"> </w:t>
      </w:r>
      <w:r w:rsidR="000E1BDB">
        <w:rPr>
          <w:rFonts w:asciiTheme="minorHAnsi" w:hAnsiTheme="minorHAnsi" w:cstheme="minorHAnsi"/>
          <w:color w:val="000000" w:themeColor="text1"/>
          <w:sz w:val="22"/>
          <w:szCs w:val="22"/>
          <w:lang w:val="en-GB"/>
        </w:rPr>
        <w:t>HCAIs</w:t>
      </w:r>
      <w:r w:rsidR="00BC0FBC">
        <w:rPr>
          <w:rFonts w:asciiTheme="minorHAnsi" w:hAnsiTheme="minorHAnsi" w:cstheme="minorHAnsi"/>
          <w:color w:val="000000" w:themeColor="text1"/>
          <w:sz w:val="22"/>
          <w:szCs w:val="22"/>
          <w:lang w:val="en-GB"/>
        </w:rPr>
        <w:t xml:space="preserve"> </w:t>
      </w:r>
      <w:r w:rsidR="0011471A">
        <w:rPr>
          <w:rFonts w:asciiTheme="minorHAnsi" w:hAnsiTheme="minorHAnsi" w:cstheme="minorHAnsi"/>
          <w:color w:val="000000" w:themeColor="text1"/>
          <w:sz w:val="22"/>
          <w:szCs w:val="22"/>
          <w:lang w:val="en-GB"/>
        </w:rPr>
        <w:t>could stall or reverse</w:t>
      </w:r>
      <w:r w:rsidR="000E57FB" w:rsidRPr="00C37A4D">
        <w:rPr>
          <w:rFonts w:asciiTheme="minorHAnsi" w:hAnsiTheme="minorHAnsi" w:cstheme="minorHAnsi"/>
          <w:color w:val="000000" w:themeColor="text1"/>
          <w:sz w:val="22"/>
          <w:szCs w:val="22"/>
          <w:lang w:val="en-GB"/>
        </w:rPr>
        <w:t xml:space="preserve"> </w:t>
      </w:r>
      <w:r w:rsidR="00B72109">
        <w:rPr>
          <w:rFonts w:asciiTheme="minorHAnsi" w:hAnsiTheme="minorHAnsi" w:cstheme="minorHAnsi"/>
          <w:color w:val="000000" w:themeColor="text1"/>
          <w:sz w:val="22"/>
          <w:szCs w:val="22"/>
          <w:lang w:val="en-GB"/>
        </w:rPr>
        <w:t xml:space="preserve">such </w:t>
      </w:r>
      <w:r w:rsidR="00A56A08">
        <w:rPr>
          <w:rFonts w:asciiTheme="minorHAnsi" w:hAnsiTheme="minorHAnsi" w:cstheme="minorHAnsi"/>
          <w:color w:val="000000" w:themeColor="text1"/>
          <w:sz w:val="22"/>
          <w:szCs w:val="22"/>
          <w:lang w:val="en-GB"/>
        </w:rPr>
        <w:t xml:space="preserve">child survival </w:t>
      </w:r>
      <w:r w:rsidR="000E57FB" w:rsidRPr="00C37A4D">
        <w:rPr>
          <w:rFonts w:asciiTheme="minorHAnsi" w:hAnsiTheme="minorHAnsi" w:cstheme="minorHAnsi"/>
          <w:color w:val="000000" w:themeColor="text1"/>
          <w:sz w:val="22"/>
          <w:szCs w:val="22"/>
          <w:lang w:val="en-GB"/>
        </w:rPr>
        <w:t>gains</w:t>
      </w:r>
      <w:r w:rsidR="00101A2E" w:rsidRPr="00C37A4D">
        <w:rPr>
          <w:rFonts w:asciiTheme="minorHAnsi" w:hAnsiTheme="minorHAnsi" w:cstheme="minorHAnsi"/>
          <w:color w:val="000000" w:themeColor="text1"/>
          <w:sz w:val="22"/>
          <w:szCs w:val="22"/>
          <w:lang w:val="en-GB"/>
        </w:rPr>
        <w:t>.</w:t>
      </w:r>
    </w:p>
    <w:p w14:paraId="02ACEBC4" w14:textId="77777777" w:rsidR="008E3505" w:rsidRPr="00C37A4D" w:rsidRDefault="008E3505" w:rsidP="008E3505">
      <w:pPr>
        <w:rPr>
          <w:rFonts w:asciiTheme="minorHAnsi" w:hAnsiTheme="minorHAnsi" w:cstheme="minorHAnsi"/>
          <w:color w:val="000000" w:themeColor="text1"/>
          <w:sz w:val="22"/>
          <w:szCs w:val="22"/>
          <w:lang w:val="en-GB"/>
        </w:rPr>
      </w:pPr>
    </w:p>
    <w:p w14:paraId="0000004B" w14:textId="57B6B79D" w:rsidR="001821F7" w:rsidRPr="00C37A4D" w:rsidRDefault="00F03D2E">
      <w:pPr>
        <w:rPr>
          <w:rFonts w:asciiTheme="minorHAnsi" w:hAnsiTheme="minorHAnsi" w:cstheme="minorHAnsi"/>
          <w:color w:val="000000" w:themeColor="text1"/>
          <w:sz w:val="22"/>
          <w:szCs w:val="22"/>
          <w:lang w:val="en-GB"/>
        </w:rPr>
      </w:pPr>
      <w:r w:rsidRPr="00C37A4D">
        <w:rPr>
          <w:rFonts w:asciiTheme="minorHAnsi" w:hAnsiTheme="minorHAnsi" w:cstheme="minorHAnsi"/>
          <w:color w:val="000000" w:themeColor="text1"/>
          <w:sz w:val="22"/>
          <w:szCs w:val="22"/>
          <w:lang w:val="en-GB"/>
        </w:rPr>
        <w:t xml:space="preserve">AMR </w:t>
      </w:r>
      <w:r w:rsidR="00733350" w:rsidRPr="00C37A4D">
        <w:rPr>
          <w:rFonts w:asciiTheme="minorHAnsi" w:hAnsiTheme="minorHAnsi" w:cstheme="minorHAnsi"/>
          <w:color w:val="000000" w:themeColor="text1"/>
          <w:sz w:val="22"/>
          <w:szCs w:val="22"/>
          <w:lang w:val="en-GB"/>
        </w:rPr>
        <w:t>constrains</w:t>
      </w:r>
      <w:r w:rsidR="000E57FB" w:rsidRPr="00C37A4D">
        <w:rPr>
          <w:rFonts w:asciiTheme="minorHAnsi" w:hAnsiTheme="minorHAnsi" w:cstheme="minorHAnsi"/>
          <w:color w:val="000000" w:themeColor="text1"/>
          <w:sz w:val="22"/>
          <w:szCs w:val="22"/>
          <w:lang w:val="en-GB"/>
        </w:rPr>
        <w:t xml:space="preserve"> neonatal sepsis</w:t>
      </w:r>
      <w:r w:rsidR="00A56A08">
        <w:rPr>
          <w:rFonts w:asciiTheme="minorHAnsi" w:hAnsiTheme="minorHAnsi" w:cstheme="minorHAnsi"/>
          <w:color w:val="000000" w:themeColor="text1"/>
          <w:sz w:val="22"/>
          <w:szCs w:val="22"/>
          <w:lang w:val="en-GB"/>
        </w:rPr>
        <w:t xml:space="preserve"> management</w:t>
      </w:r>
      <w:r w:rsidR="00D76F24">
        <w:rPr>
          <w:rFonts w:asciiTheme="minorHAnsi" w:hAnsiTheme="minorHAnsi" w:cstheme="minorHAnsi"/>
          <w:color w:val="000000" w:themeColor="text1"/>
          <w:sz w:val="22"/>
          <w:szCs w:val="22"/>
          <w:lang w:val="en-GB"/>
        </w:rPr>
        <w:t xml:space="preserve">: </w:t>
      </w:r>
      <w:r w:rsidR="001F7F3D" w:rsidRPr="00C37A4D">
        <w:rPr>
          <w:rFonts w:asciiTheme="minorHAnsi" w:hAnsiTheme="minorHAnsi" w:cstheme="minorHAnsi"/>
          <w:color w:val="000000" w:themeColor="text1"/>
          <w:sz w:val="22"/>
          <w:szCs w:val="22"/>
          <w:lang w:val="en-GB"/>
        </w:rPr>
        <w:t>in an 11-country study</w:t>
      </w:r>
      <w:r w:rsidR="001F7F3D">
        <w:rPr>
          <w:rFonts w:asciiTheme="minorHAnsi" w:hAnsiTheme="minorHAnsi" w:cstheme="minorHAnsi"/>
          <w:color w:val="000000" w:themeColor="text1"/>
          <w:sz w:val="22"/>
          <w:szCs w:val="22"/>
          <w:lang w:val="en-GB"/>
        </w:rPr>
        <w:t>,</w:t>
      </w:r>
      <w:r w:rsidR="001F7F3D" w:rsidRPr="00C37A4D">
        <w:rPr>
          <w:rFonts w:asciiTheme="minorHAnsi" w:hAnsiTheme="minorHAnsi" w:cstheme="minorHAnsi"/>
          <w:color w:val="000000" w:themeColor="text1"/>
          <w:sz w:val="22"/>
          <w:szCs w:val="22"/>
          <w:lang w:val="en-GB"/>
        </w:rPr>
        <w:t xml:space="preserve"> </w:t>
      </w:r>
      <w:r w:rsidR="000E57FB" w:rsidRPr="00C37A4D">
        <w:rPr>
          <w:rFonts w:asciiTheme="minorHAnsi" w:hAnsiTheme="minorHAnsi" w:cstheme="minorHAnsi"/>
          <w:color w:val="000000" w:themeColor="text1"/>
          <w:sz w:val="22"/>
          <w:szCs w:val="22"/>
          <w:lang w:val="en-GB"/>
        </w:rPr>
        <w:t>18% of babies from whom a</w:t>
      </w:r>
      <w:r w:rsidR="008642DA" w:rsidRPr="00C37A4D">
        <w:rPr>
          <w:rFonts w:asciiTheme="minorHAnsi" w:hAnsiTheme="minorHAnsi" w:cstheme="minorHAnsi"/>
          <w:color w:val="000000" w:themeColor="text1"/>
          <w:sz w:val="22"/>
          <w:szCs w:val="22"/>
          <w:lang w:val="en-GB"/>
        </w:rPr>
        <w:t xml:space="preserve"> </w:t>
      </w:r>
      <w:r w:rsidR="000E57FB" w:rsidRPr="00C37A4D">
        <w:rPr>
          <w:rFonts w:asciiTheme="minorHAnsi" w:hAnsiTheme="minorHAnsi" w:cstheme="minorHAnsi"/>
          <w:color w:val="000000" w:themeColor="text1"/>
          <w:sz w:val="22"/>
          <w:szCs w:val="22"/>
          <w:lang w:val="en-GB"/>
        </w:rPr>
        <w:t>bacterial pathogen was cultured did not survive</w:t>
      </w:r>
      <w:r w:rsidR="00BC0FBC">
        <w:rPr>
          <w:rFonts w:asciiTheme="minorHAnsi" w:hAnsiTheme="minorHAnsi" w:cstheme="minorHAnsi"/>
          <w:color w:val="000000" w:themeColor="text1"/>
          <w:sz w:val="22"/>
          <w:szCs w:val="22"/>
          <w:lang w:val="en-GB"/>
        </w:rPr>
        <w:t xml:space="preserve"> </w:t>
      </w:r>
      <w:r w:rsidR="00592BB9">
        <w:rPr>
          <w:rFonts w:asciiTheme="minorHAnsi" w:hAnsiTheme="minorHAnsi" w:cstheme="minorHAnsi"/>
          <w:color w:val="000000" w:themeColor="text1"/>
          <w:sz w:val="22"/>
          <w:szCs w:val="22"/>
          <w:lang w:val="en-GB"/>
        </w:rPr>
        <w:t>despite</w:t>
      </w:r>
      <w:r w:rsidR="00BC0FBC">
        <w:rPr>
          <w:rFonts w:asciiTheme="minorHAnsi" w:hAnsiTheme="minorHAnsi" w:cstheme="minorHAnsi"/>
          <w:color w:val="000000" w:themeColor="text1"/>
          <w:sz w:val="22"/>
          <w:szCs w:val="22"/>
          <w:lang w:val="en-GB"/>
        </w:rPr>
        <w:t xml:space="preserve"> empirical </w:t>
      </w:r>
      <w:r w:rsidR="00FE4ECF">
        <w:rPr>
          <w:rFonts w:asciiTheme="minorHAnsi" w:hAnsiTheme="minorHAnsi" w:cstheme="minorHAnsi"/>
          <w:color w:val="000000" w:themeColor="text1"/>
          <w:sz w:val="22"/>
          <w:szCs w:val="22"/>
          <w:lang w:val="en-GB"/>
        </w:rPr>
        <w:t xml:space="preserve">antimicrobial </w:t>
      </w:r>
      <w:r w:rsidR="00BC0FBC">
        <w:rPr>
          <w:rFonts w:asciiTheme="minorHAnsi" w:hAnsiTheme="minorHAnsi" w:cstheme="minorHAnsi"/>
          <w:color w:val="000000" w:themeColor="text1"/>
          <w:sz w:val="22"/>
          <w:szCs w:val="22"/>
          <w:lang w:val="en-GB"/>
        </w:rPr>
        <w:t>therapy</w:t>
      </w:r>
      <w:r w:rsidR="00B911CC">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55</w:t>
      </w:r>
      <w:r w:rsidR="0047001E" w:rsidRPr="00C37A4D">
        <w:rPr>
          <w:rFonts w:asciiTheme="minorHAnsi" w:hAnsiTheme="minorHAnsi" w:cstheme="minorHAnsi"/>
          <w:color w:val="000000" w:themeColor="text1"/>
          <w:sz w:val="22"/>
          <w:szCs w:val="22"/>
          <w:lang w:val="en-GB"/>
        </w:rPr>
        <w:t xml:space="preserve"> </w:t>
      </w:r>
      <w:r w:rsidR="000E57FB" w:rsidRPr="00C37A4D">
        <w:rPr>
          <w:rFonts w:asciiTheme="minorHAnsi" w:hAnsiTheme="minorHAnsi" w:cstheme="minorHAnsi"/>
          <w:color w:val="000000" w:themeColor="text1"/>
          <w:sz w:val="22"/>
          <w:szCs w:val="22"/>
          <w:lang w:val="en-GB"/>
        </w:rPr>
        <w:t xml:space="preserve">Comparable </w:t>
      </w:r>
      <w:r w:rsidR="00DB7C6E">
        <w:rPr>
          <w:rFonts w:asciiTheme="minorHAnsi" w:hAnsiTheme="minorHAnsi" w:cstheme="minorHAnsi"/>
          <w:color w:val="000000" w:themeColor="text1"/>
          <w:sz w:val="22"/>
          <w:szCs w:val="22"/>
          <w:lang w:val="en-GB"/>
        </w:rPr>
        <w:t xml:space="preserve">neonatal sepsis </w:t>
      </w:r>
      <w:r w:rsidR="000E57FB" w:rsidRPr="00C37A4D">
        <w:rPr>
          <w:rFonts w:asciiTheme="minorHAnsi" w:hAnsiTheme="minorHAnsi" w:cstheme="minorHAnsi"/>
          <w:color w:val="000000" w:themeColor="text1"/>
          <w:sz w:val="22"/>
          <w:szCs w:val="22"/>
          <w:lang w:val="en-GB"/>
        </w:rPr>
        <w:t>outcomes</w:t>
      </w:r>
      <w:r w:rsidR="00FE4ECF">
        <w:rPr>
          <w:rFonts w:asciiTheme="minorHAnsi" w:hAnsiTheme="minorHAnsi" w:cstheme="minorHAnsi"/>
          <w:color w:val="000000" w:themeColor="text1"/>
          <w:sz w:val="22"/>
          <w:szCs w:val="22"/>
          <w:lang w:val="en-GB"/>
        </w:rPr>
        <w:t xml:space="preserve"> </w:t>
      </w:r>
      <w:r w:rsidR="00DB7C6E">
        <w:rPr>
          <w:rFonts w:asciiTheme="minorHAnsi" w:hAnsiTheme="minorHAnsi" w:cstheme="minorHAnsi"/>
          <w:color w:val="000000" w:themeColor="text1"/>
          <w:sz w:val="22"/>
          <w:szCs w:val="22"/>
          <w:lang w:val="en-GB"/>
        </w:rPr>
        <w:t>due to resistance to first-line empiric</w:t>
      </w:r>
      <w:r w:rsidR="00DA11B0">
        <w:rPr>
          <w:rFonts w:asciiTheme="minorHAnsi" w:hAnsiTheme="minorHAnsi" w:cstheme="minorHAnsi"/>
          <w:color w:val="000000" w:themeColor="text1"/>
          <w:sz w:val="22"/>
          <w:szCs w:val="22"/>
          <w:lang w:val="en-GB"/>
        </w:rPr>
        <w:t>al</w:t>
      </w:r>
      <w:r w:rsidR="00DB7C6E">
        <w:rPr>
          <w:rFonts w:asciiTheme="minorHAnsi" w:hAnsiTheme="minorHAnsi" w:cstheme="minorHAnsi"/>
          <w:color w:val="000000" w:themeColor="text1"/>
          <w:sz w:val="22"/>
          <w:szCs w:val="22"/>
          <w:lang w:val="en-GB"/>
        </w:rPr>
        <w:t xml:space="preserve"> </w:t>
      </w:r>
      <w:r w:rsidR="00FE4ECF" w:rsidRPr="00BA7707">
        <w:rPr>
          <w:rFonts w:asciiTheme="minorHAnsi" w:hAnsiTheme="minorHAnsi" w:cstheme="minorHAnsi"/>
          <w:color w:val="000000" w:themeColor="text1"/>
          <w:sz w:val="22"/>
          <w:szCs w:val="22"/>
          <w:lang w:val="en-GB"/>
        </w:rPr>
        <w:t>treatment regimens recommended by the World Health Organization (WHO)</w:t>
      </w:r>
      <w:r w:rsidR="001F7F3D" w:rsidRPr="00C37A4D">
        <w:rPr>
          <w:rFonts w:asciiTheme="minorHAnsi" w:hAnsiTheme="minorHAnsi" w:cstheme="minorHAnsi"/>
          <w:color w:val="000000" w:themeColor="text1"/>
          <w:sz w:val="22"/>
          <w:szCs w:val="22"/>
          <w:lang w:val="en-GB"/>
        </w:rPr>
        <w:t xml:space="preserve"> have been reported </w:t>
      </w:r>
      <w:r w:rsidR="001F7F3D">
        <w:rPr>
          <w:rFonts w:asciiTheme="minorHAnsi" w:hAnsiTheme="minorHAnsi" w:cstheme="minorHAnsi"/>
          <w:color w:val="000000" w:themeColor="text1"/>
          <w:sz w:val="22"/>
          <w:szCs w:val="22"/>
          <w:lang w:val="en-GB"/>
        </w:rPr>
        <w:t xml:space="preserve">elsewhere </w:t>
      </w:r>
      <w:r w:rsidR="001F7F3D" w:rsidRPr="00C37A4D">
        <w:rPr>
          <w:rFonts w:asciiTheme="minorHAnsi" w:hAnsiTheme="minorHAnsi" w:cstheme="minorHAnsi"/>
          <w:color w:val="000000" w:themeColor="text1"/>
          <w:sz w:val="22"/>
          <w:szCs w:val="22"/>
          <w:lang w:val="en-GB"/>
        </w:rPr>
        <w:t>in the past two decades</w:t>
      </w:r>
      <w:r w:rsidR="00592BB9">
        <w:rPr>
          <w:rFonts w:asciiTheme="minorHAnsi" w:hAnsiTheme="minorHAnsi" w:cstheme="minorHAnsi"/>
          <w:color w:val="000000" w:themeColor="text1"/>
          <w:sz w:val="22"/>
          <w:szCs w:val="22"/>
          <w:lang w:val="en-GB"/>
        </w:rPr>
        <w:t xml:space="preserve"> (</w:t>
      </w:r>
      <w:r w:rsidR="003424A7">
        <w:rPr>
          <w:rFonts w:asciiTheme="minorHAnsi" w:hAnsiTheme="minorHAnsi" w:cstheme="minorHAnsi"/>
          <w:b/>
          <w:bCs/>
          <w:color w:val="000000" w:themeColor="text1"/>
          <w:sz w:val="22"/>
          <w:szCs w:val="22"/>
          <w:lang w:val="en-GB"/>
        </w:rPr>
        <w:t>Supplementary Information pg</w:t>
      </w:r>
      <w:r w:rsidR="00A3540E">
        <w:rPr>
          <w:rFonts w:asciiTheme="minorHAnsi" w:hAnsiTheme="minorHAnsi" w:cstheme="minorHAnsi"/>
          <w:b/>
          <w:bCs/>
          <w:color w:val="000000" w:themeColor="text1"/>
          <w:sz w:val="22"/>
          <w:szCs w:val="22"/>
          <w:lang w:val="en-GB"/>
        </w:rPr>
        <w:t xml:space="preserve"> 4</w:t>
      </w:r>
      <w:r w:rsidR="00592BB9">
        <w:rPr>
          <w:rFonts w:asciiTheme="minorHAnsi" w:hAnsiTheme="minorHAnsi" w:cstheme="minorHAnsi"/>
          <w:color w:val="000000" w:themeColor="text1"/>
          <w:sz w:val="22"/>
          <w:szCs w:val="22"/>
          <w:lang w:val="en-GB"/>
        </w:rPr>
        <w:t>)</w:t>
      </w:r>
      <w:r w:rsidR="00FE4ECF" w:rsidRPr="00BA7707">
        <w:rPr>
          <w:rFonts w:asciiTheme="minorHAnsi" w:hAnsiTheme="minorHAnsi" w:cstheme="minorHAnsi"/>
          <w:color w:val="000000" w:themeColor="text1"/>
          <w:sz w:val="22"/>
          <w:szCs w:val="22"/>
          <w:lang w:val="en-GB"/>
        </w:rPr>
        <w:t xml:space="preserve">. </w:t>
      </w:r>
      <w:r w:rsidR="00FE4ECF">
        <w:rPr>
          <w:rFonts w:asciiTheme="minorHAnsi" w:hAnsiTheme="minorHAnsi" w:cstheme="minorHAnsi"/>
          <w:color w:val="000000" w:themeColor="text1"/>
          <w:sz w:val="22"/>
          <w:szCs w:val="22"/>
          <w:lang w:val="en-GB"/>
        </w:rPr>
        <w:t>Overall</w:t>
      </w:r>
      <w:r w:rsidR="00FE4ECF" w:rsidRPr="00BA7707">
        <w:rPr>
          <w:rFonts w:asciiTheme="minorHAnsi" w:hAnsiTheme="minorHAnsi" w:cstheme="minorHAnsi"/>
          <w:color w:val="000000" w:themeColor="text1"/>
          <w:sz w:val="22"/>
          <w:szCs w:val="22"/>
          <w:lang w:val="en-GB"/>
        </w:rPr>
        <w:t xml:space="preserve">, an estimated 214,000 neonatal deaths </w:t>
      </w:r>
      <w:r w:rsidR="00D76F24">
        <w:rPr>
          <w:rFonts w:asciiTheme="minorHAnsi" w:hAnsiTheme="minorHAnsi" w:cstheme="minorHAnsi"/>
          <w:color w:val="000000" w:themeColor="text1"/>
          <w:sz w:val="22"/>
          <w:szCs w:val="22"/>
          <w:lang w:val="en-GB"/>
        </w:rPr>
        <w:t>were</w:t>
      </w:r>
      <w:r w:rsidR="00FE4ECF" w:rsidRPr="00BA7707">
        <w:rPr>
          <w:rFonts w:asciiTheme="minorHAnsi" w:hAnsiTheme="minorHAnsi" w:cstheme="minorHAnsi"/>
          <w:color w:val="000000" w:themeColor="text1"/>
          <w:sz w:val="22"/>
          <w:szCs w:val="22"/>
          <w:lang w:val="en-GB"/>
        </w:rPr>
        <w:t xml:space="preserve"> attributed to antimicrobial-resistant neonatal </w:t>
      </w:r>
      <w:sdt>
        <w:sdtPr>
          <w:rPr>
            <w:rFonts w:asciiTheme="minorHAnsi" w:hAnsiTheme="minorHAnsi" w:cstheme="minorHAnsi"/>
            <w:color w:val="000000" w:themeColor="text1"/>
            <w:sz w:val="22"/>
            <w:szCs w:val="22"/>
            <w:lang w:val="en-GB"/>
          </w:rPr>
          <w:tag w:val="goog_rdk_1"/>
          <w:id w:val="1422920329"/>
        </w:sdtPr>
        <w:sdtContent/>
      </w:sdt>
      <w:r w:rsidR="00FE4ECF" w:rsidRPr="00BA7707">
        <w:rPr>
          <w:rFonts w:asciiTheme="minorHAnsi" w:hAnsiTheme="minorHAnsi" w:cstheme="minorHAnsi"/>
          <w:color w:val="000000" w:themeColor="text1"/>
          <w:sz w:val="22"/>
          <w:szCs w:val="22"/>
          <w:lang w:val="en-GB"/>
        </w:rPr>
        <w:t>sepsis</w:t>
      </w:r>
      <w:r w:rsidR="00151F45">
        <w:rPr>
          <w:rFonts w:asciiTheme="minorHAnsi" w:hAnsiTheme="minorHAnsi" w:cstheme="minorHAnsi"/>
          <w:color w:val="000000" w:themeColor="text1"/>
          <w:sz w:val="22"/>
          <w:szCs w:val="22"/>
          <w:lang w:val="en-GB"/>
        </w:rPr>
        <w:t xml:space="preserve"> </w:t>
      </w:r>
      <w:r w:rsidR="00B14713">
        <w:rPr>
          <w:rFonts w:asciiTheme="minorHAnsi" w:hAnsiTheme="minorHAnsi" w:cstheme="minorHAnsi"/>
          <w:color w:val="000000" w:themeColor="text1"/>
          <w:sz w:val="22"/>
          <w:szCs w:val="22"/>
          <w:lang w:val="en-GB"/>
        </w:rPr>
        <w:t xml:space="preserve">each year </w:t>
      </w:r>
      <w:r w:rsidR="00151F45">
        <w:rPr>
          <w:rFonts w:asciiTheme="minorHAnsi" w:hAnsiTheme="minorHAnsi" w:cstheme="minorHAnsi"/>
          <w:color w:val="000000" w:themeColor="text1"/>
          <w:sz w:val="22"/>
          <w:szCs w:val="22"/>
          <w:lang w:val="en-GB"/>
        </w:rPr>
        <w:t>a decade ago</w:t>
      </w:r>
      <w:r w:rsidR="003C7079">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1,19,56,57</w:t>
      </w:r>
      <w:r w:rsidR="00FC5B87" w:rsidRPr="00C37A4D">
        <w:rPr>
          <w:rFonts w:asciiTheme="minorHAnsi" w:hAnsiTheme="minorHAnsi" w:cstheme="minorHAnsi"/>
          <w:color w:val="000000" w:themeColor="text1"/>
          <w:sz w:val="22"/>
          <w:szCs w:val="22"/>
          <w:lang w:val="en-GB"/>
        </w:rPr>
        <w:t xml:space="preserve"> </w:t>
      </w:r>
      <w:r w:rsidR="007C6E41" w:rsidRPr="00C37A4D">
        <w:rPr>
          <w:rFonts w:asciiTheme="minorHAnsi" w:hAnsiTheme="minorHAnsi" w:cstheme="minorHAnsi"/>
          <w:i/>
          <w:color w:val="000000" w:themeColor="text1"/>
          <w:sz w:val="22"/>
          <w:szCs w:val="22"/>
          <w:lang w:val="en-GB"/>
        </w:rPr>
        <w:t xml:space="preserve">Klebsiella </w:t>
      </w:r>
      <w:r w:rsidR="007C6E41" w:rsidRPr="00C37A4D">
        <w:rPr>
          <w:rFonts w:asciiTheme="minorHAnsi" w:hAnsiTheme="minorHAnsi" w:cstheme="minorHAnsi"/>
          <w:color w:val="000000" w:themeColor="text1"/>
          <w:sz w:val="22"/>
          <w:szCs w:val="22"/>
          <w:lang w:val="en-GB"/>
        </w:rPr>
        <w:t xml:space="preserve">(particularly </w:t>
      </w:r>
      <w:r w:rsidR="007C6E41" w:rsidRPr="00C37A4D">
        <w:rPr>
          <w:rFonts w:asciiTheme="minorHAnsi" w:hAnsiTheme="minorHAnsi" w:cstheme="minorHAnsi"/>
          <w:i/>
          <w:color w:val="000000" w:themeColor="text1"/>
          <w:sz w:val="22"/>
          <w:szCs w:val="22"/>
          <w:lang w:val="en-GB"/>
        </w:rPr>
        <w:t>pneumoniae</w:t>
      </w:r>
      <w:r w:rsidR="007C6E41" w:rsidRPr="00C37A4D">
        <w:rPr>
          <w:rFonts w:asciiTheme="minorHAnsi" w:hAnsiTheme="minorHAnsi" w:cstheme="minorHAnsi"/>
          <w:color w:val="000000" w:themeColor="text1"/>
          <w:sz w:val="22"/>
          <w:szCs w:val="22"/>
          <w:lang w:val="en-GB"/>
        </w:rPr>
        <w:t xml:space="preserve">) </w:t>
      </w:r>
      <w:r w:rsidR="007C6E41" w:rsidRPr="00C37A4D">
        <w:rPr>
          <w:rFonts w:asciiTheme="minorHAnsi" w:hAnsiTheme="minorHAnsi" w:cstheme="minorHAnsi"/>
          <w:i/>
          <w:color w:val="000000" w:themeColor="text1"/>
          <w:sz w:val="22"/>
          <w:szCs w:val="22"/>
          <w:lang w:val="en-GB"/>
        </w:rPr>
        <w:t>Staphylococcus, Acinetobacter</w:t>
      </w:r>
      <w:r w:rsidR="0045403A">
        <w:rPr>
          <w:rFonts w:asciiTheme="minorHAnsi" w:hAnsiTheme="minorHAnsi" w:cstheme="minorHAnsi"/>
          <w:i/>
          <w:color w:val="000000" w:themeColor="text1"/>
          <w:sz w:val="22"/>
          <w:szCs w:val="22"/>
          <w:lang w:val="en-GB"/>
        </w:rPr>
        <w:t>,</w:t>
      </w:r>
      <w:r w:rsidR="007C6E41" w:rsidRPr="00C37A4D">
        <w:rPr>
          <w:rFonts w:asciiTheme="minorHAnsi" w:hAnsiTheme="minorHAnsi" w:cstheme="minorHAnsi"/>
          <w:i/>
          <w:color w:val="000000" w:themeColor="text1"/>
          <w:sz w:val="22"/>
          <w:szCs w:val="22"/>
          <w:lang w:val="en-GB"/>
        </w:rPr>
        <w:t xml:space="preserve"> </w:t>
      </w:r>
      <w:r w:rsidR="007C6E41" w:rsidRPr="00C37A4D">
        <w:rPr>
          <w:rFonts w:asciiTheme="minorHAnsi" w:hAnsiTheme="minorHAnsi" w:cstheme="minorHAnsi"/>
          <w:color w:val="000000" w:themeColor="text1"/>
          <w:sz w:val="22"/>
          <w:szCs w:val="22"/>
          <w:lang w:val="en-GB"/>
        </w:rPr>
        <w:t>and</w:t>
      </w:r>
      <w:r w:rsidR="007C6E41" w:rsidRPr="00C37A4D">
        <w:rPr>
          <w:rFonts w:asciiTheme="minorHAnsi" w:hAnsiTheme="minorHAnsi" w:cstheme="minorHAnsi"/>
          <w:i/>
          <w:color w:val="000000" w:themeColor="text1"/>
          <w:sz w:val="22"/>
          <w:szCs w:val="22"/>
          <w:lang w:val="en-GB"/>
        </w:rPr>
        <w:t xml:space="preserve"> Escherichia </w:t>
      </w:r>
      <w:r w:rsidR="007C6E41" w:rsidRPr="00C37A4D">
        <w:rPr>
          <w:rFonts w:asciiTheme="minorHAnsi" w:hAnsiTheme="minorHAnsi" w:cstheme="minorHAnsi"/>
          <w:iCs/>
          <w:color w:val="000000" w:themeColor="text1"/>
          <w:sz w:val="22"/>
          <w:szCs w:val="22"/>
          <w:lang w:val="en-GB"/>
        </w:rPr>
        <w:t>spp</w:t>
      </w:r>
      <w:r w:rsidR="00AF501F" w:rsidRPr="00C37A4D">
        <w:rPr>
          <w:rFonts w:asciiTheme="minorHAnsi" w:hAnsiTheme="minorHAnsi" w:cstheme="minorHAnsi"/>
          <w:iCs/>
          <w:color w:val="000000" w:themeColor="text1"/>
          <w:sz w:val="22"/>
          <w:szCs w:val="22"/>
          <w:lang w:val="en-GB"/>
        </w:rPr>
        <w:t>.</w:t>
      </w:r>
      <w:r w:rsidR="00685FD4">
        <w:rPr>
          <w:rFonts w:asciiTheme="minorHAnsi" w:hAnsiTheme="minorHAnsi" w:cstheme="minorHAnsi"/>
          <w:iCs/>
          <w:color w:val="000000" w:themeColor="text1"/>
          <w:sz w:val="22"/>
          <w:szCs w:val="22"/>
          <w:lang w:val="en-GB"/>
        </w:rPr>
        <w:t xml:space="preserve"> are the commonest causes of neonatal sepsis</w:t>
      </w:r>
      <w:r w:rsidR="007C6E41" w:rsidRPr="00C37A4D">
        <w:rPr>
          <w:rFonts w:asciiTheme="minorHAnsi" w:hAnsiTheme="minorHAnsi" w:cstheme="minorHAnsi"/>
          <w:i/>
          <w:color w:val="000000" w:themeColor="text1"/>
          <w:sz w:val="22"/>
          <w:szCs w:val="22"/>
          <w:lang w:val="en-GB"/>
        </w:rPr>
        <w:t xml:space="preserve"> </w:t>
      </w:r>
      <w:r w:rsidR="007C6E41" w:rsidRPr="00C37A4D">
        <w:rPr>
          <w:rFonts w:asciiTheme="minorHAnsi" w:hAnsiTheme="minorHAnsi" w:cstheme="minorHAnsi"/>
          <w:color w:val="000000" w:themeColor="text1"/>
          <w:sz w:val="22"/>
          <w:szCs w:val="22"/>
          <w:lang w:val="en-GB"/>
        </w:rPr>
        <w:t>(not necessarily in that order)</w:t>
      </w:r>
      <w:r w:rsidR="00685FD4">
        <w:rPr>
          <w:rFonts w:asciiTheme="minorHAnsi" w:hAnsiTheme="minorHAnsi" w:cstheme="minorHAnsi"/>
          <w:color w:val="000000" w:themeColor="text1"/>
          <w:sz w:val="22"/>
          <w:szCs w:val="22"/>
          <w:lang w:val="en-GB"/>
        </w:rPr>
        <w:t>, particularly in low-resource settings</w:t>
      </w:r>
      <w:r w:rsidR="007A1802">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1,56–59</w:t>
      </w:r>
      <w:r w:rsidR="0047001E" w:rsidRPr="00C37A4D">
        <w:rPr>
          <w:rFonts w:asciiTheme="minorHAnsi" w:hAnsiTheme="minorHAnsi" w:cstheme="minorHAnsi"/>
          <w:color w:val="000000" w:themeColor="text1"/>
          <w:sz w:val="22"/>
          <w:szCs w:val="22"/>
          <w:lang w:val="en-GB"/>
        </w:rPr>
        <w:t xml:space="preserve"> </w:t>
      </w:r>
      <w:r w:rsidR="00685FD4">
        <w:rPr>
          <w:rFonts w:asciiTheme="minorHAnsi" w:hAnsiTheme="minorHAnsi" w:cstheme="minorHAnsi"/>
          <w:color w:val="000000" w:themeColor="text1"/>
          <w:sz w:val="22"/>
          <w:szCs w:val="22"/>
          <w:lang w:val="en-GB"/>
        </w:rPr>
        <w:t>In addition to these</w:t>
      </w:r>
      <w:r w:rsidR="007C6E41" w:rsidRPr="00BA7707">
        <w:rPr>
          <w:rFonts w:asciiTheme="minorHAnsi" w:hAnsiTheme="minorHAnsi" w:cstheme="minorHAnsi"/>
          <w:color w:val="000000" w:themeColor="text1"/>
          <w:sz w:val="22"/>
          <w:szCs w:val="22"/>
          <w:lang w:val="en-GB"/>
        </w:rPr>
        <w:t xml:space="preserve"> maternally</w:t>
      </w:r>
      <w:r w:rsidR="00685FD4">
        <w:rPr>
          <w:rFonts w:asciiTheme="minorHAnsi" w:hAnsiTheme="minorHAnsi" w:cstheme="minorHAnsi"/>
          <w:color w:val="000000" w:themeColor="text1"/>
          <w:sz w:val="22"/>
          <w:szCs w:val="22"/>
          <w:lang w:val="en-GB"/>
        </w:rPr>
        <w:t>-</w:t>
      </w:r>
      <w:r w:rsidR="007C6E41" w:rsidRPr="00BA7707">
        <w:rPr>
          <w:rFonts w:asciiTheme="minorHAnsi" w:hAnsiTheme="minorHAnsi" w:cstheme="minorHAnsi"/>
          <w:color w:val="000000" w:themeColor="text1"/>
          <w:sz w:val="22"/>
          <w:szCs w:val="22"/>
          <w:lang w:val="en-GB"/>
        </w:rPr>
        <w:t xml:space="preserve">acquired </w:t>
      </w:r>
      <w:r w:rsidR="007C6E41" w:rsidRPr="00BA7707">
        <w:rPr>
          <w:rFonts w:asciiTheme="minorHAnsi" w:hAnsiTheme="minorHAnsi" w:cstheme="minorHAnsi"/>
          <w:i/>
          <w:color w:val="000000" w:themeColor="text1"/>
          <w:sz w:val="22"/>
          <w:szCs w:val="22"/>
          <w:lang w:val="en-GB"/>
        </w:rPr>
        <w:t>Streptococcus agalactiae</w:t>
      </w:r>
      <w:r w:rsidR="007C6E41" w:rsidRPr="00BA7707">
        <w:rPr>
          <w:rFonts w:asciiTheme="minorHAnsi" w:hAnsiTheme="minorHAnsi" w:cstheme="minorHAnsi"/>
          <w:color w:val="000000" w:themeColor="text1"/>
          <w:sz w:val="22"/>
          <w:szCs w:val="22"/>
          <w:lang w:val="en-GB"/>
        </w:rPr>
        <w:t xml:space="preserve"> </w:t>
      </w:r>
      <w:r w:rsidR="00685FD4">
        <w:rPr>
          <w:rFonts w:asciiTheme="minorHAnsi" w:hAnsiTheme="minorHAnsi" w:cstheme="minorHAnsi"/>
          <w:color w:val="000000" w:themeColor="text1"/>
          <w:sz w:val="22"/>
          <w:szCs w:val="22"/>
          <w:lang w:val="en-GB"/>
        </w:rPr>
        <w:t>is a common cause of early-onset neonatal sepsis</w:t>
      </w:r>
      <w:r w:rsidR="00685FD4" w:rsidRPr="00BA7707">
        <w:rPr>
          <w:rFonts w:asciiTheme="minorHAnsi" w:hAnsiTheme="minorHAnsi" w:cstheme="minorHAnsi"/>
          <w:color w:val="000000" w:themeColor="text1"/>
          <w:sz w:val="22"/>
          <w:szCs w:val="22"/>
          <w:lang w:val="en-GB"/>
        </w:rPr>
        <w:t xml:space="preserve"> </w:t>
      </w:r>
      <w:r w:rsidR="007C6E41" w:rsidRPr="00BA7707">
        <w:rPr>
          <w:rFonts w:asciiTheme="minorHAnsi" w:hAnsiTheme="minorHAnsi" w:cstheme="minorHAnsi"/>
          <w:color w:val="000000" w:themeColor="text1"/>
          <w:sz w:val="22"/>
          <w:szCs w:val="22"/>
          <w:lang w:val="en-GB"/>
        </w:rPr>
        <w:t>in</w:t>
      </w:r>
      <w:r w:rsidR="00557870">
        <w:rPr>
          <w:rFonts w:asciiTheme="minorHAnsi" w:hAnsiTheme="minorHAnsi" w:cstheme="minorHAnsi"/>
          <w:color w:val="000000" w:themeColor="text1"/>
          <w:sz w:val="22"/>
          <w:szCs w:val="22"/>
          <w:lang w:val="en-GB"/>
        </w:rPr>
        <w:t xml:space="preserve"> high</w:t>
      </w:r>
      <w:r w:rsidR="00685FD4">
        <w:rPr>
          <w:rFonts w:asciiTheme="minorHAnsi" w:hAnsiTheme="minorHAnsi" w:cstheme="minorHAnsi"/>
          <w:color w:val="000000" w:themeColor="text1"/>
          <w:sz w:val="22"/>
          <w:szCs w:val="22"/>
          <w:lang w:val="en-GB"/>
        </w:rPr>
        <w:t>er</w:t>
      </w:r>
      <w:r w:rsidR="00254C19">
        <w:rPr>
          <w:rFonts w:asciiTheme="minorHAnsi" w:hAnsiTheme="minorHAnsi" w:cstheme="minorHAnsi"/>
          <w:color w:val="000000" w:themeColor="text1"/>
          <w:sz w:val="22"/>
          <w:szCs w:val="22"/>
          <w:lang w:val="en-GB"/>
        </w:rPr>
        <w:t>-</w:t>
      </w:r>
      <w:r w:rsidR="00557870">
        <w:rPr>
          <w:rFonts w:asciiTheme="minorHAnsi" w:hAnsiTheme="minorHAnsi" w:cstheme="minorHAnsi"/>
          <w:color w:val="000000" w:themeColor="text1"/>
          <w:sz w:val="22"/>
          <w:szCs w:val="22"/>
          <w:lang w:val="en-GB"/>
        </w:rPr>
        <w:t xml:space="preserve">income </w:t>
      </w:r>
      <w:r w:rsidR="007C6E41" w:rsidRPr="00BA7707">
        <w:rPr>
          <w:rFonts w:asciiTheme="minorHAnsi" w:hAnsiTheme="minorHAnsi" w:cstheme="minorHAnsi"/>
          <w:color w:val="000000" w:themeColor="text1"/>
          <w:sz w:val="22"/>
          <w:szCs w:val="22"/>
          <w:lang w:val="en-GB"/>
        </w:rPr>
        <w:t>settings</w:t>
      </w:r>
      <w:r w:rsidR="00C97CEB" w:rsidRPr="00BA7707">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35,55,58</w:t>
      </w:r>
      <w:r w:rsidR="00397680" w:rsidRPr="00BA7707">
        <w:rPr>
          <w:rFonts w:asciiTheme="minorHAnsi" w:hAnsiTheme="minorHAnsi" w:cstheme="minorHAnsi"/>
          <w:color w:val="000000" w:themeColor="text1"/>
          <w:sz w:val="22"/>
          <w:szCs w:val="22"/>
          <w:vertAlign w:val="superscript"/>
          <w:lang w:val="en-GB"/>
        </w:rPr>
        <w:t xml:space="preserve"> </w:t>
      </w:r>
      <w:r w:rsidR="005C1B6D">
        <w:rPr>
          <w:rFonts w:asciiTheme="minorHAnsi" w:hAnsiTheme="minorHAnsi" w:cstheme="minorHAnsi"/>
          <w:color w:val="000000" w:themeColor="text1"/>
          <w:sz w:val="22"/>
          <w:szCs w:val="22"/>
          <w:lang w:val="en-GB"/>
        </w:rPr>
        <w:t xml:space="preserve">Real and perceived risk of mortality due to </w:t>
      </w:r>
      <w:r w:rsidR="00DB7C6E">
        <w:rPr>
          <w:rFonts w:asciiTheme="minorHAnsi" w:hAnsiTheme="minorHAnsi" w:cstheme="minorHAnsi"/>
          <w:color w:val="000000" w:themeColor="text1"/>
          <w:sz w:val="22"/>
          <w:szCs w:val="22"/>
          <w:lang w:val="en-GB"/>
        </w:rPr>
        <w:t>resistant</w:t>
      </w:r>
      <w:r w:rsidR="005C1B6D">
        <w:rPr>
          <w:rFonts w:asciiTheme="minorHAnsi" w:hAnsiTheme="minorHAnsi" w:cstheme="minorHAnsi"/>
          <w:color w:val="000000" w:themeColor="text1"/>
          <w:sz w:val="22"/>
          <w:szCs w:val="22"/>
          <w:lang w:val="en-GB"/>
        </w:rPr>
        <w:t xml:space="preserve"> bacteria causing sepsis </w:t>
      </w:r>
      <w:r w:rsidR="008642DA" w:rsidRPr="00BA7707">
        <w:rPr>
          <w:rFonts w:asciiTheme="minorHAnsi" w:hAnsiTheme="minorHAnsi" w:cstheme="minorHAnsi"/>
          <w:color w:val="000000" w:themeColor="text1"/>
          <w:sz w:val="22"/>
          <w:szCs w:val="22"/>
          <w:lang w:val="en-GB"/>
        </w:rPr>
        <w:t xml:space="preserve">has </w:t>
      </w:r>
      <w:r w:rsidR="00F86646" w:rsidRPr="00BA7707">
        <w:rPr>
          <w:rFonts w:asciiTheme="minorHAnsi" w:hAnsiTheme="minorHAnsi" w:cstheme="minorHAnsi"/>
          <w:color w:val="000000" w:themeColor="text1"/>
          <w:sz w:val="22"/>
          <w:szCs w:val="22"/>
          <w:lang w:val="en-GB"/>
        </w:rPr>
        <w:t>prom</w:t>
      </w:r>
      <w:r w:rsidR="00034EF3" w:rsidRPr="00BA7707">
        <w:rPr>
          <w:rFonts w:asciiTheme="minorHAnsi" w:hAnsiTheme="minorHAnsi" w:cstheme="minorHAnsi"/>
          <w:color w:val="000000" w:themeColor="text1"/>
          <w:sz w:val="22"/>
          <w:szCs w:val="22"/>
          <w:lang w:val="en-GB"/>
        </w:rPr>
        <w:t>p</w:t>
      </w:r>
      <w:r w:rsidR="00F86646" w:rsidRPr="00BA7707">
        <w:rPr>
          <w:rFonts w:asciiTheme="minorHAnsi" w:hAnsiTheme="minorHAnsi" w:cstheme="minorHAnsi"/>
          <w:color w:val="000000" w:themeColor="text1"/>
          <w:sz w:val="22"/>
          <w:szCs w:val="22"/>
          <w:lang w:val="en-GB"/>
        </w:rPr>
        <w:t>ted</w:t>
      </w:r>
      <w:r w:rsidR="008642DA" w:rsidRPr="00BA7707">
        <w:rPr>
          <w:rFonts w:asciiTheme="minorHAnsi" w:hAnsiTheme="minorHAnsi" w:cstheme="minorHAnsi"/>
          <w:color w:val="000000" w:themeColor="text1"/>
          <w:sz w:val="22"/>
          <w:szCs w:val="22"/>
          <w:lang w:val="en-GB"/>
        </w:rPr>
        <w:t xml:space="preserve"> overuse of c</w:t>
      </w:r>
      <w:r w:rsidR="000E57FB" w:rsidRPr="00BA7707">
        <w:rPr>
          <w:rFonts w:asciiTheme="minorHAnsi" w:hAnsiTheme="minorHAnsi" w:cstheme="minorHAnsi"/>
          <w:color w:val="000000" w:themeColor="text1"/>
          <w:sz w:val="22"/>
          <w:szCs w:val="22"/>
          <w:lang w:val="en-GB"/>
        </w:rPr>
        <w:t>arbapenems</w:t>
      </w:r>
      <w:r w:rsidR="00557870">
        <w:rPr>
          <w:rFonts w:asciiTheme="minorHAnsi" w:hAnsiTheme="minorHAnsi" w:cstheme="minorHAnsi"/>
          <w:color w:val="000000" w:themeColor="text1"/>
          <w:sz w:val="22"/>
          <w:szCs w:val="22"/>
          <w:lang w:val="en-GB"/>
        </w:rPr>
        <w:t xml:space="preserve"> </w:t>
      </w:r>
      <w:r w:rsidR="00D76F24">
        <w:rPr>
          <w:rFonts w:asciiTheme="minorHAnsi" w:hAnsiTheme="minorHAnsi" w:cstheme="minorHAnsi"/>
          <w:color w:val="000000" w:themeColor="text1"/>
          <w:sz w:val="22"/>
          <w:szCs w:val="22"/>
          <w:lang w:val="en-GB"/>
        </w:rPr>
        <w:t xml:space="preserve">and consequent </w:t>
      </w:r>
      <w:r w:rsidR="00AC2352">
        <w:rPr>
          <w:rFonts w:asciiTheme="minorHAnsi" w:hAnsiTheme="minorHAnsi" w:cstheme="minorHAnsi"/>
          <w:color w:val="000000" w:themeColor="text1"/>
          <w:sz w:val="22"/>
          <w:szCs w:val="22"/>
          <w:lang w:val="en-GB"/>
        </w:rPr>
        <w:t xml:space="preserve">rising carbapenem </w:t>
      </w:r>
      <w:r w:rsidR="008642DA" w:rsidRPr="00C37A4D">
        <w:rPr>
          <w:rFonts w:asciiTheme="minorHAnsi" w:hAnsiTheme="minorHAnsi" w:cstheme="minorHAnsi"/>
          <w:color w:val="000000" w:themeColor="text1"/>
          <w:sz w:val="22"/>
          <w:szCs w:val="22"/>
          <w:lang w:val="en-GB"/>
        </w:rPr>
        <w:t>resistance rates.</w:t>
      </w:r>
      <w:r w:rsidR="00507D48">
        <w:rPr>
          <w:rFonts w:asciiTheme="minorHAnsi" w:hAnsiTheme="minorHAnsi" w:cstheme="minorHAnsi"/>
          <w:color w:val="000000" w:themeColor="text1"/>
          <w:sz w:val="22"/>
          <w:szCs w:val="22"/>
          <w:lang w:val="en-GB"/>
        </w:rPr>
        <w:t xml:space="preserve"> C</w:t>
      </w:r>
      <w:r w:rsidR="00AC2352">
        <w:rPr>
          <w:rFonts w:asciiTheme="minorHAnsi" w:hAnsiTheme="minorHAnsi" w:cstheme="minorHAnsi"/>
          <w:color w:val="000000" w:themeColor="text1"/>
          <w:sz w:val="22"/>
          <w:szCs w:val="22"/>
          <w:lang w:val="en-GB"/>
        </w:rPr>
        <w:t xml:space="preserve">linicians </w:t>
      </w:r>
      <w:r w:rsidR="000E57FB" w:rsidRPr="00C37A4D">
        <w:rPr>
          <w:rFonts w:asciiTheme="minorHAnsi" w:hAnsiTheme="minorHAnsi" w:cstheme="minorHAnsi"/>
          <w:color w:val="000000" w:themeColor="text1"/>
          <w:sz w:val="22"/>
          <w:szCs w:val="22"/>
          <w:lang w:val="en-GB"/>
        </w:rPr>
        <w:t>are increasingly compelled to use last-resort drugs like colistin</w:t>
      </w:r>
      <w:r w:rsidR="00B82C1E">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55</w:t>
      </w:r>
      <w:r w:rsidR="000E57FB" w:rsidRPr="00C37A4D">
        <w:rPr>
          <w:rFonts w:asciiTheme="minorHAnsi" w:hAnsiTheme="minorHAnsi" w:cstheme="minorHAnsi"/>
          <w:color w:val="000000" w:themeColor="text1"/>
          <w:sz w:val="22"/>
          <w:szCs w:val="22"/>
          <w:lang w:val="en-GB"/>
        </w:rPr>
        <w:t xml:space="preserve"> which has a </w:t>
      </w:r>
      <w:r w:rsidR="00DA11B0">
        <w:rPr>
          <w:rFonts w:asciiTheme="minorHAnsi" w:hAnsiTheme="minorHAnsi" w:cstheme="minorHAnsi"/>
          <w:color w:val="000000" w:themeColor="text1"/>
          <w:sz w:val="22"/>
          <w:szCs w:val="22"/>
          <w:lang w:val="en-GB"/>
        </w:rPr>
        <w:t>more</w:t>
      </w:r>
      <w:r w:rsidR="008642DA" w:rsidRPr="00C37A4D">
        <w:rPr>
          <w:rFonts w:asciiTheme="minorHAnsi" w:hAnsiTheme="minorHAnsi" w:cstheme="minorHAnsi"/>
          <w:color w:val="000000" w:themeColor="text1"/>
          <w:sz w:val="22"/>
          <w:szCs w:val="22"/>
          <w:lang w:val="en-GB"/>
        </w:rPr>
        <w:t xml:space="preserve"> </w:t>
      </w:r>
      <w:r w:rsidR="0021108F" w:rsidRPr="00C37A4D">
        <w:rPr>
          <w:rFonts w:asciiTheme="minorHAnsi" w:hAnsiTheme="minorHAnsi" w:cstheme="minorHAnsi"/>
          <w:color w:val="000000" w:themeColor="text1"/>
          <w:sz w:val="22"/>
          <w:szCs w:val="22"/>
          <w:lang w:val="en-GB"/>
        </w:rPr>
        <w:t>(</w:t>
      </w:r>
      <w:r w:rsidR="008642DA" w:rsidRPr="00C37A4D">
        <w:rPr>
          <w:rFonts w:asciiTheme="minorHAnsi" w:hAnsiTheme="minorHAnsi" w:cstheme="minorHAnsi"/>
          <w:color w:val="000000" w:themeColor="text1"/>
          <w:sz w:val="22"/>
          <w:szCs w:val="22"/>
          <w:lang w:val="en-GB"/>
        </w:rPr>
        <w:t>and more serious</w:t>
      </w:r>
      <w:r w:rsidR="0021108F" w:rsidRPr="00C37A4D">
        <w:rPr>
          <w:rFonts w:asciiTheme="minorHAnsi" w:hAnsiTheme="minorHAnsi" w:cstheme="minorHAnsi"/>
          <w:color w:val="000000" w:themeColor="text1"/>
          <w:sz w:val="22"/>
          <w:szCs w:val="22"/>
          <w:lang w:val="en-GB"/>
        </w:rPr>
        <w:t>)</w:t>
      </w:r>
      <w:r w:rsidR="000E57FB" w:rsidRPr="00C37A4D">
        <w:rPr>
          <w:rFonts w:asciiTheme="minorHAnsi" w:hAnsiTheme="minorHAnsi" w:cstheme="minorHAnsi"/>
          <w:color w:val="000000" w:themeColor="text1"/>
          <w:sz w:val="22"/>
          <w:szCs w:val="22"/>
          <w:lang w:val="en-GB"/>
        </w:rPr>
        <w:t xml:space="preserve"> adverse effects than first-</w:t>
      </w:r>
      <w:r w:rsidR="006A4BDA" w:rsidRPr="00C37A4D">
        <w:rPr>
          <w:rFonts w:asciiTheme="minorHAnsi" w:hAnsiTheme="minorHAnsi" w:cstheme="minorHAnsi"/>
          <w:color w:val="000000" w:themeColor="text1"/>
          <w:sz w:val="22"/>
          <w:szCs w:val="22"/>
          <w:lang w:val="en-GB"/>
        </w:rPr>
        <w:t>,</w:t>
      </w:r>
      <w:r w:rsidR="000E57FB" w:rsidRPr="00C37A4D">
        <w:rPr>
          <w:rFonts w:asciiTheme="minorHAnsi" w:hAnsiTheme="minorHAnsi" w:cstheme="minorHAnsi"/>
          <w:color w:val="000000" w:themeColor="text1"/>
          <w:sz w:val="22"/>
          <w:szCs w:val="22"/>
          <w:lang w:val="en-GB"/>
        </w:rPr>
        <w:t xml:space="preserve"> second-</w:t>
      </w:r>
      <w:r w:rsidR="00637319" w:rsidRPr="00C37A4D">
        <w:rPr>
          <w:rFonts w:asciiTheme="minorHAnsi" w:hAnsiTheme="minorHAnsi" w:cstheme="minorHAnsi"/>
          <w:color w:val="000000" w:themeColor="text1"/>
          <w:sz w:val="22"/>
          <w:szCs w:val="22"/>
          <w:lang w:val="en-GB"/>
        </w:rPr>
        <w:t>,</w:t>
      </w:r>
      <w:r w:rsidR="000E57FB" w:rsidRPr="00C37A4D">
        <w:rPr>
          <w:rFonts w:asciiTheme="minorHAnsi" w:hAnsiTheme="minorHAnsi" w:cstheme="minorHAnsi"/>
          <w:color w:val="000000" w:themeColor="text1"/>
          <w:sz w:val="22"/>
          <w:szCs w:val="22"/>
          <w:lang w:val="en-GB"/>
        </w:rPr>
        <w:t xml:space="preserve"> and third-line empiric drugs</w:t>
      </w:r>
      <w:r w:rsidR="008642DA" w:rsidRPr="00C37A4D">
        <w:rPr>
          <w:rFonts w:asciiTheme="minorHAnsi" w:hAnsiTheme="minorHAnsi" w:cstheme="minorHAnsi"/>
          <w:color w:val="000000" w:themeColor="text1"/>
          <w:sz w:val="22"/>
          <w:szCs w:val="22"/>
          <w:lang w:val="en-GB"/>
        </w:rPr>
        <w:t xml:space="preserve">, </w:t>
      </w:r>
      <w:r w:rsidR="00254C19">
        <w:rPr>
          <w:rFonts w:asciiTheme="minorHAnsi" w:hAnsiTheme="minorHAnsi" w:cstheme="minorHAnsi"/>
          <w:color w:val="000000" w:themeColor="text1"/>
          <w:sz w:val="22"/>
          <w:szCs w:val="22"/>
          <w:lang w:val="en-GB"/>
        </w:rPr>
        <w:t xml:space="preserve">and </w:t>
      </w:r>
      <w:r w:rsidR="006A4BDA" w:rsidRPr="00C37A4D">
        <w:rPr>
          <w:rFonts w:asciiTheme="minorHAnsi" w:hAnsiTheme="minorHAnsi" w:cstheme="minorHAnsi"/>
          <w:color w:val="000000" w:themeColor="text1"/>
          <w:sz w:val="22"/>
          <w:szCs w:val="22"/>
          <w:lang w:val="en-GB"/>
        </w:rPr>
        <w:t>whose</w:t>
      </w:r>
      <w:r w:rsidR="0047001E" w:rsidRPr="00C37A4D">
        <w:rPr>
          <w:rFonts w:asciiTheme="minorHAnsi" w:hAnsiTheme="minorHAnsi" w:cstheme="minorHAnsi"/>
          <w:color w:val="000000" w:themeColor="text1"/>
          <w:sz w:val="22"/>
          <w:szCs w:val="22"/>
          <w:lang w:val="en-GB"/>
        </w:rPr>
        <w:t xml:space="preserve"> </w:t>
      </w:r>
      <w:r w:rsidR="006E08E0" w:rsidRPr="00C37A4D">
        <w:rPr>
          <w:rFonts w:asciiTheme="minorHAnsi" w:hAnsiTheme="minorHAnsi" w:cstheme="minorHAnsi"/>
          <w:color w:val="000000" w:themeColor="text1"/>
          <w:sz w:val="22"/>
          <w:szCs w:val="22"/>
          <w:lang w:val="en-GB"/>
        </w:rPr>
        <w:t>long-term</w:t>
      </w:r>
      <w:r w:rsidR="008642DA" w:rsidRPr="00C37A4D">
        <w:rPr>
          <w:rFonts w:asciiTheme="minorHAnsi" w:hAnsiTheme="minorHAnsi" w:cstheme="minorHAnsi"/>
          <w:color w:val="000000" w:themeColor="text1"/>
          <w:sz w:val="22"/>
          <w:szCs w:val="22"/>
          <w:lang w:val="en-GB"/>
        </w:rPr>
        <w:t xml:space="preserve"> </w:t>
      </w:r>
      <w:r w:rsidR="000E57FB" w:rsidRPr="00C37A4D">
        <w:rPr>
          <w:rFonts w:asciiTheme="minorHAnsi" w:hAnsiTheme="minorHAnsi" w:cstheme="minorHAnsi"/>
          <w:color w:val="000000" w:themeColor="text1"/>
          <w:sz w:val="22"/>
          <w:szCs w:val="22"/>
          <w:lang w:val="en-GB"/>
        </w:rPr>
        <w:t xml:space="preserve">effects </w:t>
      </w:r>
      <w:r w:rsidR="008642DA" w:rsidRPr="00C37A4D">
        <w:rPr>
          <w:rFonts w:asciiTheme="minorHAnsi" w:hAnsiTheme="minorHAnsi" w:cstheme="minorHAnsi"/>
          <w:color w:val="000000" w:themeColor="text1"/>
          <w:sz w:val="22"/>
          <w:szCs w:val="22"/>
          <w:lang w:val="en-GB"/>
        </w:rPr>
        <w:t xml:space="preserve">for neonates </w:t>
      </w:r>
      <w:r w:rsidR="000E57FB" w:rsidRPr="00C37A4D">
        <w:rPr>
          <w:rFonts w:asciiTheme="minorHAnsi" w:hAnsiTheme="minorHAnsi" w:cstheme="minorHAnsi"/>
          <w:color w:val="000000" w:themeColor="text1"/>
          <w:sz w:val="22"/>
          <w:szCs w:val="22"/>
          <w:lang w:val="en-GB"/>
        </w:rPr>
        <w:t xml:space="preserve">are largely </w:t>
      </w:r>
      <w:r w:rsidR="00DA11B0" w:rsidRPr="00C37A4D">
        <w:rPr>
          <w:rFonts w:asciiTheme="minorHAnsi" w:hAnsiTheme="minorHAnsi" w:cstheme="minorHAnsi"/>
          <w:color w:val="000000" w:themeColor="text1"/>
          <w:sz w:val="22"/>
          <w:szCs w:val="22"/>
          <w:lang w:val="en-GB"/>
        </w:rPr>
        <w:t>un</w:t>
      </w:r>
      <w:r w:rsidR="00DA11B0">
        <w:rPr>
          <w:rFonts w:asciiTheme="minorHAnsi" w:hAnsiTheme="minorHAnsi" w:cstheme="minorHAnsi"/>
          <w:color w:val="000000" w:themeColor="text1"/>
          <w:sz w:val="22"/>
          <w:szCs w:val="22"/>
          <w:lang w:val="en-GB"/>
        </w:rPr>
        <w:t>certain</w:t>
      </w:r>
      <w:r w:rsidR="000E57FB" w:rsidRPr="00C37A4D">
        <w:rPr>
          <w:rFonts w:asciiTheme="minorHAnsi" w:hAnsiTheme="minorHAnsi" w:cstheme="minorHAnsi"/>
          <w:color w:val="000000" w:themeColor="text1"/>
          <w:sz w:val="22"/>
          <w:szCs w:val="22"/>
          <w:lang w:val="en-GB"/>
        </w:rPr>
        <w:t>.</w:t>
      </w:r>
    </w:p>
    <w:p w14:paraId="3B93F226" w14:textId="0736216E" w:rsidR="004709DC" w:rsidRPr="00C37A4D" w:rsidRDefault="004709DC" w:rsidP="004709DC">
      <w:pPr>
        <w:rPr>
          <w:rFonts w:asciiTheme="minorHAnsi" w:hAnsiTheme="minorHAnsi" w:cstheme="minorHAnsi"/>
          <w:color w:val="000000" w:themeColor="text1"/>
          <w:sz w:val="22"/>
          <w:szCs w:val="22"/>
          <w:lang w:val="en-GB"/>
        </w:rPr>
      </w:pPr>
    </w:p>
    <w:p w14:paraId="14994C02" w14:textId="03FFF66B" w:rsidR="00881850" w:rsidRDefault="00FC48F6" w:rsidP="00881850">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Sepsis is a potentially lethal system-wide response to infection.  </w:t>
      </w:r>
      <w:r w:rsidR="004709DC" w:rsidRPr="00C37A4D">
        <w:rPr>
          <w:rFonts w:asciiTheme="minorHAnsi" w:hAnsiTheme="minorHAnsi" w:cstheme="minorHAnsi"/>
          <w:color w:val="000000" w:themeColor="text1"/>
          <w:sz w:val="22"/>
          <w:szCs w:val="22"/>
          <w:lang w:val="en-GB"/>
        </w:rPr>
        <w:t xml:space="preserve">Neonatal sepsis is most commonly secondary to a </w:t>
      </w:r>
      <w:r w:rsidR="00A079AF">
        <w:rPr>
          <w:rFonts w:asciiTheme="minorHAnsi" w:hAnsiTheme="minorHAnsi" w:cstheme="minorHAnsi"/>
          <w:color w:val="000000" w:themeColor="text1"/>
          <w:sz w:val="22"/>
          <w:szCs w:val="22"/>
          <w:lang w:val="en-GB"/>
        </w:rPr>
        <w:t>systemic</w:t>
      </w:r>
      <w:r w:rsidR="00A079AF" w:rsidRPr="00C37A4D">
        <w:rPr>
          <w:rFonts w:asciiTheme="minorHAnsi" w:hAnsiTheme="minorHAnsi" w:cstheme="minorHAnsi"/>
          <w:color w:val="000000" w:themeColor="text1"/>
          <w:sz w:val="22"/>
          <w:szCs w:val="22"/>
          <w:lang w:val="en-GB"/>
        </w:rPr>
        <w:t xml:space="preserve"> </w:t>
      </w:r>
      <w:r w:rsidR="004709DC" w:rsidRPr="00C37A4D">
        <w:rPr>
          <w:rFonts w:asciiTheme="minorHAnsi" w:hAnsiTheme="minorHAnsi" w:cstheme="minorHAnsi"/>
          <w:color w:val="000000" w:themeColor="text1"/>
          <w:sz w:val="22"/>
          <w:szCs w:val="22"/>
          <w:lang w:val="en-GB"/>
        </w:rPr>
        <w:t>bacterial infection</w:t>
      </w:r>
      <w:r w:rsidR="0023043D">
        <w:rPr>
          <w:rFonts w:asciiTheme="minorHAnsi" w:hAnsiTheme="minorHAnsi" w:cstheme="minorHAnsi"/>
          <w:color w:val="000000" w:themeColor="text1"/>
          <w:sz w:val="22"/>
          <w:szCs w:val="22"/>
          <w:lang w:val="en-GB"/>
        </w:rPr>
        <w:t>,</w:t>
      </w:r>
      <w:r w:rsidR="004709DC" w:rsidRPr="00C37A4D">
        <w:rPr>
          <w:rFonts w:asciiTheme="minorHAnsi" w:hAnsiTheme="minorHAnsi" w:cstheme="minorHAnsi"/>
          <w:color w:val="000000" w:themeColor="text1"/>
          <w:sz w:val="22"/>
          <w:szCs w:val="22"/>
          <w:lang w:val="en-GB"/>
        </w:rPr>
        <w:t xml:space="preserve"> but </w:t>
      </w:r>
      <w:r w:rsidR="00FE4ECF">
        <w:rPr>
          <w:rFonts w:asciiTheme="minorHAnsi" w:hAnsiTheme="minorHAnsi" w:cstheme="minorHAnsi"/>
          <w:color w:val="000000" w:themeColor="text1"/>
          <w:sz w:val="22"/>
          <w:szCs w:val="22"/>
          <w:lang w:val="en-GB"/>
        </w:rPr>
        <w:t>f</w:t>
      </w:r>
      <w:r w:rsidR="004709DC" w:rsidRPr="00C37A4D">
        <w:rPr>
          <w:rFonts w:asciiTheme="minorHAnsi" w:hAnsiTheme="minorHAnsi" w:cstheme="minorHAnsi"/>
          <w:color w:val="000000" w:themeColor="text1"/>
          <w:sz w:val="22"/>
          <w:szCs w:val="22"/>
          <w:lang w:val="en-GB"/>
        </w:rPr>
        <w:t xml:space="preserve">ungal infections </w:t>
      </w:r>
      <w:r w:rsidR="00A079AF">
        <w:rPr>
          <w:rFonts w:asciiTheme="minorHAnsi" w:hAnsiTheme="minorHAnsi" w:cstheme="minorHAnsi"/>
          <w:color w:val="000000" w:themeColor="text1"/>
          <w:sz w:val="22"/>
          <w:szCs w:val="22"/>
          <w:lang w:val="en-GB"/>
        </w:rPr>
        <w:t xml:space="preserve">can also initiate </w:t>
      </w:r>
      <w:proofErr w:type="spellStart"/>
      <w:r w:rsidR="00A079AF">
        <w:rPr>
          <w:rFonts w:asciiTheme="minorHAnsi" w:hAnsiTheme="minorHAnsi" w:cstheme="minorHAnsi"/>
          <w:color w:val="000000" w:themeColor="text1"/>
          <w:sz w:val="22"/>
          <w:szCs w:val="22"/>
          <w:lang w:val="en-GB"/>
        </w:rPr>
        <w:t>sepses</w:t>
      </w:r>
      <w:proofErr w:type="spellEnd"/>
      <w:r w:rsidR="00A079AF">
        <w:rPr>
          <w:rFonts w:asciiTheme="minorHAnsi" w:hAnsiTheme="minorHAnsi" w:cstheme="minorHAnsi"/>
          <w:color w:val="000000" w:themeColor="text1"/>
          <w:sz w:val="22"/>
          <w:szCs w:val="22"/>
          <w:lang w:val="en-GB"/>
        </w:rPr>
        <w:t xml:space="preserve">, particularly </w:t>
      </w:r>
      <w:r w:rsidR="004709DC" w:rsidRPr="00C37A4D">
        <w:rPr>
          <w:rFonts w:asciiTheme="minorHAnsi" w:hAnsiTheme="minorHAnsi" w:cstheme="minorHAnsi"/>
          <w:color w:val="000000" w:themeColor="text1"/>
          <w:sz w:val="22"/>
          <w:szCs w:val="22"/>
          <w:lang w:val="en-GB"/>
        </w:rPr>
        <w:t>in low-birth</w:t>
      </w:r>
      <w:r w:rsidR="006A4BDA" w:rsidRPr="00C37A4D">
        <w:rPr>
          <w:rFonts w:asciiTheme="minorHAnsi" w:hAnsiTheme="minorHAnsi" w:cstheme="minorHAnsi"/>
          <w:color w:val="000000" w:themeColor="text1"/>
          <w:sz w:val="22"/>
          <w:szCs w:val="22"/>
          <w:lang w:val="en-GB"/>
        </w:rPr>
        <w:t>-</w:t>
      </w:r>
      <w:r w:rsidR="004709DC" w:rsidRPr="00C37A4D">
        <w:rPr>
          <w:rFonts w:asciiTheme="minorHAnsi" w:hAnsiTheme="minorHAnsi" w:cstheme="minorHAnsi"/>
          <w:color w:val="000000" w:themeColor="text1"/>
          <w:sz w:val="22"/>
          <w:szCs w:val="22"/>
          <w:lang w:val="en-GB"/>
        </w:rPr>
        <w:t>weight infants</w:t>
      </w:r>
      <w:r w:rsidR="00FE4ECF">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Sepsis following fungal infection</w:t>
      </w:r>
      <w:r w:rsidRPr="00C37A4D">
        <w:rPr>
          <w:rFonts w:asciiTheme="minorHAnsi" w:hAnsiTheme="minorHAnsi" w:cstheme="minorHAnsi"/>
          <w:color w:val="000000" w:themeColor="text1"/>
          <w:sz w:val="22"/>
          <w:szCs w:val="22"/>
          <w:lang w:val="en-GB"/>
        </w:rPr>
        <w:t xml:space="preserve"> </w:t>
      </w:r>
      <w:r w:rsidR="006A4BDA" w:rsidRPr="00C37A4D">
        <w:rPr>
          <w:rFonts w:asciiTheme="minorHAnsi" w:hAnsiTheme="minorHAnsi" w:cstheme="minorHAnsi"/>
          <w:color w:val="000000" w:themeColor="text1"/>
          <w:sz w:val="22"/>
          <w:szCs w:val="22"/>
          <w:lang w:val="en-GB"/>
        </w:rPr>
        <w:t>occur</w:t>
      </w:r>
      <w:r>
        <w:rPr>
          <w:rFonts w:asciiTheme="minorHAnsi" w:hAnsiTheme="minorHAnsi" w:cstheme="minorHAnsi"/>
          <w:color w:val="000000" w:themeColor="text1"/>
          <w:sz w:val="22"/>
          <w:szCs w:val="22"/>
          <w:lang w:val="en-GB"/>
        </w:rPr>
        <w:t>s</w:t>
      </w:r>
      <w:r w:rsidR="006A4BDA" w:rsidRPr="00C37A4D">
        <w:rPr>
          <w:rFonts w:asciiTheme="minorHAnsi" w:hAnsiTheme="minorHAnsi" w:cstheme="minorHAnsi"/>
          <w:color w:val="000000" w:themeColor="text1"/>
          <w:sz w:val="22"/>
          <w:szCs w:val="22"/>
          <w:lang w:val="en-GB"/>
        </w:rPr>
        <w:t xml:space="preserve"> worldwide but </w:t>
      </w:r>
      <w:r>
        <w:rPr>
          <w:rFonts w:asciiTheme="minorHAnsi" w:hAnsiTheme="minorHAnsi" w:cstheme="minorHAnsi"/>
          <w:color w:val="000000" w:themeColor="text1"/>
          <w:sz w:val="22"/>
          <w:szCs w:val="22"/>
          <w:lang w:val="en-GB"/>
        </w:rPr>
        <w:t>is</w:t>
      </w:r>
      <w:r w:rsidRPr="00C37A4D">
        <w:rPr>
          <w:rFonts w:asciiTheme="minorHAnsi" w:hAnsiTheme="minorHAnsi" w:cstheme="minorHAnsi"/>
          <w:color w:val="000000" w:themeColor="text1"/>
          <w:sz w:val="22"/>
          <w:szCs w:val="22"/>
          <w:lang w:val="en-GB"/>
        </w:rPr>
        <w:t xml:space="preserve"> </w:t>
      </w:r>
      <w:r w:rsidR="004709DC" w:rsidRPr="00C37A4D">
        <w:rPr>
          <w:rFonts w:asciiTheme="minorHAnsi" w:hAnsiTheme="minorHAnsi" w:cstheme="minorHAnsi"/>
          <w:color w:val="000000" w:themeColor="text1"/>
          <w:sz w:val="22"/>
          <w:szCs w:val="22"/>
          <w:lang w:val="en-GB"/>
        </w:rPr>
        <w:t>best documented in</w:t>
      </w:r>
      <w:r w:rsidR="0047001E" w:rsidRPr="00C37A4D">
        <w:rPr>
          <w:rFonts w:asciiTheme="minorHAnsi" w:hAnsiTheme="minorHAnsi" w:cstheme="minorHAnsi"/>
          <w:color w:val="000000" w:themeColor="text1"/>
          <w:sz w:val="22"/>
          <w:szCs w:val="22"/>
          <w:lang w:val="en-GB"/>
        </w:rPr>
        <w:t xml:space="preserve"> </w:t>
      </w:r>
      <w:r w:rsidR="004709DC" w:rsidRPr="00C37A4D">
        <w:rPr>
          <w:rFonts w:asciiTheme="minorHAnsi" w:hAnsiTheme="minorHAnsi" w:cstheme="minorHAnsi"/>
          <w:color w:val="000000" w:themeColor="text1"/>
          <w:sz w:val="22"/>
          <w:szCs w:val="22"/>
          <w:lang w:val="en-GB"/>
        </w:rPr>
        <w:t>high</w:t>
      </w:r>
      <w:r w:rsidR="006A4BDA" w:rsidRPr="00C37A4D">
        <w:rPr>
          <w:rFonts w:asciiTheme="minorHAnsi" w:hAnsiTheme="minorHAnsi" w:cstheme="minorHAnsi"/>
          <w:color w:val="000000" w:themeColor="text1"/>
          <w:sz w:val="22"/>
          <w:szCs w:val="22"/>
          <w:lang w:val="en-GB"/>
        </w:rPr>
        <w:t>-</w:t>
      </w:r>
      <w:r w:rsidR="004709DC" w:rsidRPr="00C37A4D">
        <w:rPr>
          <w:rFonts w:asciiTheme="minorHAnsi" w:hAnsiTheme="minorHAnsi" w:cstheme="minorHAnsi"/>
          <w:color w:val="000000" w:themeColor="text1"/>
          <w:sz w:val="22"/>
          <w:szCs w:val="22"/>
          <w:lang w:val="en-GB"/>
        </w:rPr>
        <w:t>income settings</w:t>
      </w:r>
      <w:r w:rsidR="00B75710">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56,60</w:t>
      </w:r>
      <w:r w:rsidR="004709DC" w:rsidRPr="00C37A4D">
        <w:rPr>
          <w:rFonts w:asciiTheme="minorHAnsi" w:hAnsiTheme="minorHAnsi" w:cstheme="minorHAnsi"/>
          <w:color w:val="000000" w:themeColor="text1"/>
          <w:sz w:val="22"/>
          <w:szCs w:val="22"/>
          <w:lang w:val="en-GB"/>
        </w:rPr>
        <w:t xml:space="preserve"> </w:t>
      </w:r>
      <w:r w:rsidR="004709DC" w:rsidRPr="00C37A4D">
        <w:rPr>
          <w:rFonts w:asciiTheme="minorHAnsi" w:hAnsiTheme="minorHAnsi" w:cstheme="minorHAnsi"/>
          <w:i/>
          <w:iCs/>
          <w:color w:val="000000" w:themeColor="text1"/>
          <w:sz w:val="22"/>
          <w:szCs w:val="22"/>
          <w:lang w:val="en-GB"/>
        </w:rPr>
        <w:t>Candida albicans</w:t>
      </w:r>
      <w:r w:rsidR="0047001E" w:rsidRPr="00C37A4D">
        <w:rPr>
          <w:rFonts w:asciiTheme="minorHAnsi" w:hAnsiTheme="minorHAnsi" w:cstheme="minorHAnsi"/>
          <w:color w:val="000000" w:themeColor="text1"/>
          <w:sz w:val="22"/>
          <w:szCs w:val="22"/>
          <w:lang w:val="en-GB"/>
        </w:rPr>
        <w:t xml:space="preserve"> </w:t>
      </w:r>
      <w:r w:rsidR="004709DC" w:rsidRPr="00C37A4D">
        <w:rPr>
          <w:rFonts w:asciiTheme="minorHAnsi" w:hAnsiTheme="minorHAnsi" w:cstheme="minorHAnsi"/>
          <w:color w:val="000000" w:themeColor="text1"/>
          <w:sz w:val="22"/>
          <w:szCs w:val="22"/>
          <w:lang w:val="en-GB"/>
        </w:rPr>
        <w:t xml:space="preserve">and </w:t>
      </w:r>
      <w:r w:rsidR="004709DC" w:rsidRPr="00C37A4D">
        <w:rPr>
          <w:rFonts w:asciiTheme="minorHAnsi" w:hAnsiTheme="minorHAnsi" w:cstheme="minorHAnsi"/>
          <w:i/>
          <w:iCs/>
          <w:color w:val="000000" w:themeColor="text1"/>
          <w:sz w:val="22"/>
          <w:szCs w:val="22"/>
          <w:lang w:val="en-GB"/>
        </w:rPr>
        <w:t xml:space="preserve">C. </w:t>
      </w:r>
      <w:proofErr w:type="spellStart"/>
      <w:r w:rsidR="004709DC" w:rsidRPr="00C37A4D">
        <w:rPr>
          <w:rFonts w:asciiTheme="minorHAnsi" w:hAnsiTheme="minorHAnsi" w:cstheme="minorHAnsi"/>
          <w:i/>
          <w:iCs/>
          <w:color w:val="000000" w:themeColor="text1"/>
          <w:sz w:val="22"/>
          <w:szCs w:val="22"/>
          <w:lang w:val="en-GB"/>
        </w:rPr>
        <w:t>parapsilosis</w:t>
      </w:r>
      <w:proofErr w:type="spellEnd"/>
      <w:r w:rsidR="004709DC" w:rsidRPr="00C37A4D">
        <w:rPr>
          <w:rFonts w:asciiTheme="minorHAnsi" w:hAnsiTheme="minorHAnsi" w:cstheme="minorHAnsi"/>
          <w:color w:val="000000" w:themeColor="text1"/>
          <w:sz w:val="22"/>
          <w:szCs w:val="22"/>
          <w:lang w:val="en-GB"/>
        </w:rPr>
        <w:t xml:space="preserve"> frequently feature</w:t>
      </w:r>
      <w:r w:rsidR="006A4BDA" w:rsidRPr="00C37A4D">
        <w:rPr>
          <w:rFonts w:asciiTheme="minorHAnsi" w:hAnsiTheme="minorHAnsi" w:cstheme="minorHAnsi"/>
          <w:color w:val="000000" w:themeColor="text1"/>
          <w:sz w:val="22"/>
          <w:szCs w:val="22"/>
          <w:lang w:val="en-GB"/>
        </w:rPr>
        <w:t>,</w:t>
      </w:r>
      <w:r w:rsidR="004709DC" w:rsidRPr="00C37A4D">
        <w:rPr>
          <w:rFonts w:asciiTheme="minorHAnsi" w:hAnsiTheme="minorHAnsi" w:cstheme="minorHAnsi"/>
          <w:color w:val="000000" w:themeColor="text1"/>
          <w:sz w:val="22"/>
          <w:szCs w:val="22"/>
          <w:lang w:val="en-GB"/>
        </w:rPr>
        <w:t xml:space="preserve"> but since 2009, </w:t>
      </w:r>
      <w:r w:rsidR="004709DC" w:rsidRPr="00C37A4D">
        <w:rPr>
          <w:rFonts w:asciiTheme="minorHAnsi" w:hAnsiTheme="minorHAnsi" w:cstheme="minorHAnsi"/>
          <w:i/>
          <w:iCs/>
          <w:color w:val="000000" w:themeColor="text1"/>
          <w:sz w:val="22"/>
          <w:szCs w:val="22"/>
          <w:lang w:val="en-GB"/>
        </w:rPr>
        <w:t>C. auris</w:t>
      </w:r>
      <w:r w:rsidR="006A4BDA" w:rsidRPr="00C37A4D">
        <w:rPr>
          <w:rFonts w:asciiTheme="minorHAnsi" w:hAnsiTheme="minorHAnsi" w:cstheme="minorHAnsi"/>
          <w:color w:val="000000" w:themeColor="text1"/>
          <w:sz w:val="22"/>
          <w:szCs w:val="22"/>
          <w:lang w:val="en-GB"/>
        </w:rPr>
        <w:t xml:space="preserve"> is of</w:t>
      </w:r>
      <w:r w:rsidR="006037BB" w:rsidRPr="00C37A4D">
        <w:rPr>
          <w:rFonts w:asciiTheme="minorHAnsi" w:hAnsiTheme="minorHAnsi" w:cstheme="minorHAnsi"/>
          <w:color w:val="000000" w:themeColor="text1"/>
          <w:sz w:val="22"/>
          <w:szCs w:val="22"/>
          <w:lang w:val="en-GB"/>
        </w:rPr>
        <w:t xml:space="preserve"> even</w:t>
      </w:r>
      <w:r w:rsidR="006A4BDA" w:rsidRPr="00C37A4D">
        <w:rPr>
          <w:rFonts w:asciiTheme="minorHAnsi" w:hAnsiTheme="minorHAnsi" w:cstheme="minorHAnsi"/>
          <w:color w:val="000000" w:themeColor="text1"/>
          <w:sz w:val="22"/>
          <w:szCs w:val="22"/>
          <w:lang w:val="en-GB"/>
        </w:rPr>
        <w:t xml:space="preserve"> greater concern</w:t>
      </w:r>
      <w:r w:rsidR="0078268B">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61</w:t>
      </w:r>
      <w:r w:rsidR="0078268B">
        <w:rPr>
          <w:rFonts w:asciiTheme="minorHAnsi" w:hAnsiTheme="minorHAnsi" w:cstheme="minorHAnsi"/>
          <w:color w:val="000000" w:themeColor="text1"/>
          <w:sz w:val="22"/>
          <w:szCs w:val="22"/>
          <w:lang w:val="en-GB"/>
        </w:rPr>
        <w:t xml:space="preserve"> </w:t>
      </w:r>
      <w:r w:rsidR="004709DC" w:rsidRPr="00C37A4D">
        <w:rPr>
          <w:rFonts w:asciiTheme="minorHAnsi" w:hAnsiTheme="minorHAnsi" w:cstheme="minorHAnsi"/>
          <w:i/>
          <w:iCs/>
          <w:color w:val="000000" w:themeColor="text1"/>
          <w:sz w:val="22"/>
          <w:szCs w:val="22"/>
          <w:lang w:val="en-GB"/>
        </w:rPr>
        <w:t>C. auris</w:t>
      </w:r>
      <w:r w:rsidR="004709DC" w:rsidRPr="00C37A4D">
        <w:rPr>
          <w:rFonts w:asciiTheme="minorHAnsi" w:hAnsiTheme="minorHAnsi" w:cstheme="minorHAnsi"/>
          <w:color w:val="000000" w:themeColor="text1"/>
          <w:sz w:val="22"/>
          <w:szCs w:val="22"/>
          <w:lang w:val="en-GB"/>
        </w:rPr>
        <w:t xml:space="preserve"> isolates are typically resistant to most or all known antifungals, infections have high mortality rates</w:t>
      </w:r>
      <w:r w:rsidR="006A4BDA" w:rsidRPr="00C37A4D">
        <w:rPr>
          <w:rFonts w:asciiTheme="minorHAnsi" w:hAnsiTheme="minorHAnsi" w:cstheme="minorHAnsi"/>
          <w:color w:val="000000" w:themeColor="text1"/>
          <w:sz w:val="22"/>
          <w:szCs w:val="22"/>
          <w:lang w:val="en-GB"/>
        </w:rPr>
        <w:t>,</w:t>
      </w:r>
      <w:r w:rsidR="004709DC" w:rsidRPr="00C37A4D">
        <w:rPr>
          <w:rFonts w:asciiTheme="minorHAnsi" w:hAnsiTheme="minorHAnsi" w:cstheme="minorHAnsi"/>
          <w:color w:val="000000" w:themeColor="text1"/>
          <w:sz w:val="22"/>
          <w:szCs w:val="22"/>
          <w:lang w:val="en-GB"/>
        </w:rPr>
        <w:t xml:space="preserve"> and the organism was </w:t>
      </w:r>
      <w:r w:rsidR="00E60804" w:rsidRPr="00C37A4D">
        <w:rPr>
          <w:rFonts w:asciiTheme="minorHAnsi" w:hAnsiTheme="minorHAnsi" w:cstheme="minorHAnsi"/>
          <w:color w:val="000000" w:themeColor="text1"/>
          <w:sz w:val="22"/>
          <w:szCs w:val="22"/>
          <w:lang w:val="en-GB"/>
        </w:rPr>
        <w:t>labelled</w:t>
      </w:r>
      <w:r w:rsidR="004709DC" w:rsidRPr="00C37A4D">
        <w:rPr>
          <w:rFonts w:asciiTheme="minorHAnsi" w:hAnsiTheme="minorHAnsi" w:cstheme="minorHAnsi"/>
          <w:color w:val="000000" w:themeColor="text1"/>
          <w:sz w:val="22"/>
          <w:szCs w:val="22"/>
          <w:lang w:val="en-GB"/>
        </w:rPr>
        <w:t xml:space="preserve"> critical </w:t>
      </w:r>
      <w:r w:rsidR="00B94D19">
        <w:rPr>
          <w:rFonts w:asciiTheme="minorHAnsi" w:hAnsiTheme="minorHAnsi" w:cstheme="minorHAnsi"/>
          <w:color w:val="000000" w:themeColor="text1"/>
          <w:sz w:val="22"/>
          <w:szCs w:val="22"/>
          <w:lang w:val="en-GB"/>
        </w:rPr>
        <w:t>on the</w:t>
      </w:r>
      <w:r w:rsidR="004709DC" w:rsidRPr="00C37A4D">
        <w:rPr>
          <w:rFonts w:asciiTheme="minorHAnsi" w:hAnsiTheme="minorHAnsi" w:cstheme="minorHAnsi"/>
          <w:color w:val="000000" w:themeColor="text1"/>
          <w:sz w:val="22"/>
          <w:szCs w:val="22"/>
          <w:lang w:val="en-GB"/>
        </w:rPr>
        <w:t xml:space="preserve"> </w:t>
      </w:r>
      <w:r w:rsidR="00B94D19">
        <w:rPr>
          <w:rFonts w:asciiTheme="minorHAnsi" w:hAnsiTheme="minorHAnsi" w:cstheme="minorHAnsi"/>
          <w:color w:val="000000" w:themeColor="text1"/>
          <w:sz w:val="22"/>
          <w:szCs w:val="22"/>
          <w:lang w:val="en-GB"/>
        </w:rPr>
        <w:t xml:space="preserve">2022 </w:t>
      </w:r>
      <w:r w:rsidR="004709DC" w:rsidRPr="00C37A4D">
        <w:rPr>
          <w:rFonts w:asciiTheme="minorHAnsi" w:hAnsiTheme="minorHAnsi" w:cstheme="minorHAnsi"/>
          <w:color w:val="000000" w:themeColor="text1"/>
          <w:sz w:val="22"/>
          <w:szCs w:val="22"/>
          <w:lang w:val="en-GB"/>
        </w:rPr>
        <w:t>WHO</w:t>
      </w:r>
      <w:r w:rsidR="00B94D19">
        <w:rPr>
          <w:rFonts w:asciiTheme="minorHAnsi" w:hAnsiTheme="minorHAnsi" w:cstheme="minorHAnsi"/>
          <w:color w:val="000000" w:themeColor="text1"/>
          <w:sz w:val="22"/>
          <w:szCs w:val="22"/>
          <w:lang w:val="en-GB"/>
        </w:rPr>
        <w:t xml:space="preserve"> </w:t>
      </w:r>
      <w:r w:rsidR="00B94D19" w:rsidRPr="00B94D19">
        <w:rPr>
          <w:rFonts w:asciiTheme="minorHAnsi" w:hAnsiTheme="minorHAnsi" w:cstheme="minorHAnsi"/>
          <w:color w:val="000000" w:themeColor="text1"/>
          <w:sz w:val="22"/>
          <w:szCs w:val="22"/>
          <w:lang w:val="en-GB"/>
        </w:rPr>
        <w:t>fungal priority pathogens list</w:t>
      </w:r>
      <w:r w:rsidR="008440EE" w:rsidRPr="00C37A4D">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62</w:t>
      </w:r>
      <w:r w:rsidR="004709DC" w:rsidRPr="00C37A4D">
        <w:rPr>
          <w:rFonts w:asciiTheme="minorHAnsi" w:hAnsiTheme="minorHAnsi" w:cstheme="minorHAnsi"/>
          <w:color w:val="000000" w:themeColor="text1"/>
          <w:sz w:val="22"/>
          <w:szCs w:val="22"/>
          <w:lang w:val="en-GB"/>
        </w:rPr>
        <w:t xml:space="preserve"> A possibly ongoing fluconazole-resistant </w:t>
      </w:r>
      <w:r w:rsidR="004709DC" w:rsidRPr="00C37A4D">
        <w:rPr>
          <w:rFonts w:asciiTheme="minorHAnsi" w:hAnsiTheme="minorHAnsi" w:cstheme="minorHAnsi"/>
          <w:i/>
          <w:iCs/>
          <w:color w:val="000000" w:themeColor="text1"/>
          <w:sz w:val="22"/>
          <w:szCs w:val="22"/>
          <w:lang w:val="en-GB"/>
        </w:rPr>
        <w:t xml:space="preserve">C. auris </w:t>
      </w:r>
      <w:r w:rsidR="004709DC" w:rsidRPr="00C37A4D">
        <w:rPr>
          <w:rFonts w:asciiTheme="minorHAnsi" w:hAnsiTheme="minorHAnsi" w:cstheme="minorHAnsi"/>
          <w:color w:val="000000" w:themeColor="text1"/>
          <w:sz w:val="22"/>
          <w:szCs w:val="22"/>
          <w:lang w:val="en-GB"/>
        </w:rPr>
        <w:t>outbreak in a South African neonatal unit</w:t>
      </w:r>
      <w:r w:rsidR="00794C20">
        <w:rPr>
          <w:rFonts w:asciiTheme="minorHAnsi" w:hAnsiTheme="minorHAnsi" w:cstheme="minorHAnsi"/>
          <w:color w:val="000000" w:themeColor="text1"/>
          <w:sz w:val="22"/>
          <w:szCs w:val="22"/>
          <w:lang w:val="en-GB"/>
        </w:rPr>
        <w:t xml:space="preserve"> has</w:t>
      </w:r>
      <w:r w:rsidR="004709DC" w:rsidRPr="00C37A4D">
        <w:rPr>
          <w:rFonts w:asciiTheme="minorHAnsi" w:hAnsiTheme="minorHAnsi" w:cstheme="minorHAnsi"/>
          <w:color w:val="000000" w:themeColor="text1"/>
          <w:sz w:val="22"/>
          <w:szCs w:val="22"/>
          <w:lang w:val="en-GB"/>
        </w:rPr>
        <w:t xml:space="preserve"> involved 90 cases over four years</w:t>
      </w:r>
      <w:r w:rsidR="008440EE" w:rsidRPr="00C37A4D">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63</w:t>
      </w:r>
    </w:p>
    <w:p w14:paraId="12DDC34A" w14:textId="77777777" w:rsidR="00A3626C" w:rsidRDefault="00A3626C" w:rsidP="004709DC">
      <w:pPr>
        <w:rPr>
          <w:rFonts w:asciiTheme="minorHAnsi" w:hAnsiTheme="minorHAnsi" w:cstheme="minorHAnsi"/>
          <w:color w:val="000000" w:themeColor="text1"/>
          <w:sz w:val="22"/>
          <w:szCs w:val="22"/>
          <w:lang w:val="en-GB"/>
        </w:rPr>
      </w:pPr>
    </w:p>
    <w:p w14:paraId="5D202627" w14:textId="194ED9B0" w:rsidR="00A3626C" w:rsidRPr="00C37A4D" w:rsidRDefault="003A050A" w:rsidP="00A3626C">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I</w:t>
      </w:r>
      <w:r w:rsidR="00156767">
        <w:rPr>
          <w:rFonts w:asciiTheme="minorHAnsi" w:hAnsiTheme="minorHAnsi" w:cstheme="minorHAnsi"/>
          <w:color w:val="000000" w:themeColor="text1"/>
          <w:sz w:val="22"/>
          <w:szCs w:val="22"/>
          <w:lang w:val="en-GB"/>
        </w:rPr>
        <w:t xml:space="preserve">dentification and susceptibility information </w:t>
      </w:r>
      <w:r w:rsidR="00FC48F6">
        <w:rPr>
          <w:rFonts w:asciiTheme="minorHAnsi" w:hAnsiTheme="minorHAnsi" w:cstheme="minorHAnsi"/>
          <w:color w:val="000000" w:themeColor="text1"/>
          <w:sz w:val="22"/>
          <w:szCs w:val="22"/>
          <w:lang w:val="en-GB"/>
        </w:rPr>
        <w:t>are critical to managing sepsis</w:t>
      </w:r>
      <w:r w:rsidR="00156767">
        <w:rPr>
          <w:rFonts w:asciiTheme="minorHAnsi" w:hAnsiTheme="minorHAnsi" w:cstheme="minorHAnsi"/>
          <w:color w:val="000000" w:themeColor="text1"/>
          <w:sz w:val="22"/>
          <w:szCs w:val="22"/>
          <w:lang w:val="en-GB"/>
        </w:rPr>
        <w:t xml:space="preserve"> and to identify outbreaks. These data</w:t>
      </w:r>
      <w:r>
        <w:rPr>
          <w:rFonts w:asciiTheme="minorHAnsi" w:hAnsiTheme="minorHAnsi" w:cstheme="minorHAnsi"/>
          <w:color w:val="000000" w:themeColor="text1"/>
          <w:sz w:val="22"/>
          <w:szCs w:val="22"/>
          <w:lang w:val="en-GB"/>
        </w:rPr>
        <w:t>,</w:t>
      </w:r>
      <w:r w:rsidR="00156767">
        <w:rPr>
          <w:rFonts w:asciiTheme="minorHAnsi" w:hAnsiTheme="minorHAnsi" w:cstheme="minorHAnsi"/>
          <w:color w:val="000000" w:themeColor="text1"/>
          <w:sz w:val="22"/>
          <w:szCs w:val="22"/>
          <w:lang w:val="en-GB"/>
        </w:rPr>
        <w:t xml:space="preserve"> generated in healthcare facilities</w:t>
      </w:r>
      <w:r>
        <w:rPr>
          <w:rFonts w:asciiTheme="minorHAnsi" w:hAnsiTheme="minorHAnsi" w:cstheme="minorHAnsi"/>
          <w:color w:val="000000" w:themeColor="text1"/>
          <w:sz w:val="22"/>
          <w:szCs w:val="22"/>
          <w:lang w:val="en-GB"/>
        </w:rPr>
        <w:t>,</w:t>
      </w:r>
      <w:r w:rsidR="00156767">
        <w:rPr>
          <w:rFonts w:asciiTheme="minorHAnsi" w:hAnsiTheme="minorHAnsi" w:cstheme="minorHAnsi"/>
          <w:color w:val="000000" w:themeColor="text1"/>
          <w:sz w:val="22"/>
          <w:szCs w:val="22"/>
          <w:lang w:val="en-GB"/>
        </w:rPr>
        <w:t xml:space="preserve"> can feed into local, national</w:t>
      </w:r>
      <w:r w:rsidR="005B7256">
        <w:rPr>
          <w:rFonts w:asciiTheme="minorHAnsi" w:hAnsiTheme="minorHAnsi" w:cstheme="minorHAnsi"/>
          <w:color w:val="000000" w:themeColor="text1"/>
          <w:sz w:val="22"/>
          <w:szCs w:val="22"/>
          <w:lang w:val="en-GB"/>
        </w:rPr>
        <w:t>,</w:t>
      </w:r>
      <w:r w:rsidR="00156767">
        <w:rPr>
          <w:rFonts w:asciiTheme="minorHAnsi" w:hAnsiTheme="minorHAnsi" w:cstheme="minorHAnsi"/>
          <w:color w:val="000000" w:themeColor="text1"/>
          <w:sz w:val="22"/>
          <w:szCs w:val="22"/>
          <w:lang w:val="en-GB"/>
        </w:rPr>
        <w:t xml:space="preserve"> and regional surveillance at little extra cost. </w:t>
      </w:r>
      <w:r w:rsidR="0006145C">
        <w:rPr>
          <w:rFonts w:asciiTheme="minorHAnsi" w:hAnsiTheme="minorHAnsi" w:cstheme="minorHAnsi"/>
          <w:color w:val="000000" w:themeColor="text1"/>
          <w:sz w:val="22"/>
          <w:szCs w:val="22"/>
          <w:lang w:val="en-GB"/>
        </w:rPr>
        <w:t>For neonatal sepsis and other infections caused by blood-borne bacteria, p</w:t>
      </w:r>
      <w:r>
        <w:rPr>
          <w:rFonts w:asciiTheme="minorHAnsi" w:hAnsiTheme="minorHAnsi" w:cstheme="minorHAnsi"/>
          <w:color w:val="000000" w:themeColor="text1"/>
          <w:sz w:val="22"/>
          <w:szCs w:val="22"/>
          <w:lang w:val="en-GB"/>
        </w:rPr>
        <w:t>athogen information derives</w:t>
      </w:r>
      <w:r w:rsidR="00A3626C" w:rsidRPr="00C37A4D">
        <w:rPr>
          <w:rFonts w:asciiTheme="minorHAnsi" w:hAnsiTheme="minorHAnsi" w:cstheme="minorHAnsi"/>
          <w:color w:val="000000" w:themeColor="text1"/>
          <w:sz w:val="22"/>
          <w:szCs w:val="22"/>
          <w:lang w:val="en-GB"/>
        </w:rPr>
        <w:t xml:space="preserve"> from blood culture</w:t>
      </w:r>
      <w:r w:rsidR="00800BB5">
        <w:rPr>
          <w:rFonts w:asciiTheme="minorHAnsi" w:hAnsiTheme="minorHAnsi" w:cstheme="minorHAnsi"/>
          <w:color w:val="000000" w:themeColor="text1"/>
          <w:sz w:val="22"/>
          <w:szCs w:val="22"/>
          <w:lang w:val="en-GB"/>
        </w:rPr>
        <w:t>, which</w:t>
      </w:r>
      <w:r w:rsidR="00F81201">
        <w:rPr>
          <w:rFonts w:asciiTheme="minorHAnsi" w:hAnsiTheme="minorHAnsi" w:cstheme="minorHAnsi"/>
          <w:color w:val="000000" w:themeColor="text1"/>
          <w:sz w:val="22"/>
          <w:szCs w:val="22"/>
          <w:lang w:val="en-GB"/>
        </w:rPr>
        <w:t xml:space="preserve"> </w:t>
      </w:r>
      <w:r w:rsidR="00A3626C" w:rsidRPr="00C37A4D">
        <w:rPr>
          <w:rFonts w:asciiTheme="minorHAnsi" w:hAnsiTheme="minorHAnsi" w:cstheme="minorHAnsi"/>
          <w:color w:val="000000" w:themeColor="text1"/>
          <w:sz w:val="22"/>
          <w:szCs w:val="22"/>
          <w:lang w:val="en-GB"/>
        </w:rPr>
        <w:t xml:space="preserve">has a low yield (typically </w:t>
      </w:r>
      <w:r w:rsidR="00F81201">
        <w:rPr>
          <w:rFonts w:asciiTheme="minorHAnsi" w:hAnsiTheme="minorHAnsi" w:cstheme="minorHAnsi"/>
          <w:color w:val="000000" w:themeColor="text1"/>
          <w:sz w:val="22"/>
          <w:szCs w:val="22"/>
          <w:lang w:val="en-GB"/>
        </w:rPr>
        <w:t>&lt;</w:t>
      </w:r>
      <w:r w:rsidR="00A3626C" w:rsidRPr="00C37A4D">
        <w:rPr>
          <w:rFonts w:asciiTheme="minorHAnsi" w:hAnsiTheme="minorHAnsi" w:cstheme="minorHAnsi"/>
          <w:color w:val="000000" w:themeColor="text1"/>
          <w:sz w:val="22"/>
          <w:szCs w:val="22"/>
          <w:lang w:val="en-GB"/>
        </w:rPr>
        <w:t xml:space="preserve">20%) and a high contamination rate </w:t>
      </w:r>
      <w:r w:rsidR="00386355" w:rsidRPr="00C37A4D">
        <w:rPr>
          <w:rFonts w:asciiTheme="minorHAnsi" w:hAnsiTheme="minorHAnsi" w:cstheme="minorHAnsi"/>
          <w:color w:val="000000" w:themeColor="text1"/>
          <w:sz w:val="22"/>
          <w:szCs w:val="22"/>
          <w:lang w:val="en-GB"/>
        </w:rPr>
        <w:t>(</w:t>
      </w:r>
      <w:r w:rsidR="00507D48">
        <w:rPr>
          <w:rFonts w:asciiTheme="minorHAnsi" w:hAnsiTheme="minorHAnsi" w:cstheme="minorHAnsi"/>
          <w:color w:val="000000" w:themeColor="text1"/>
          <w:sz w:val="22"/>
          <w:szCs w:val="22"/>
          <w:lang w:val="en-GB"/>
        </w:rPr>
        <w:t>perhaps</w:t>
      </w:r>
      <w:r w:rsidR="00386355">
        <w:rPr>
          <w:rFonts w:asciiTheme="minorHAnsi" w:hAnsiTheme="minorHAnsi" w:cstheme="minorHAnsi"/>
          <w:color w:val="000000" w:themeColor="text1"/>
          <w:sz w:val="22"/>
          <w:szCs w:val="22"/>
          <w:lang w:val="en-GB"/>
        </w:rPr>
        <w:t xml:space="preserve"> </w:t>
      </w:r>
      <w:r w:rsidR="00F81201">
        <w:rPr>
          <w:rFonts w:asciiTheme="minorHAnsi" w:hAnsiTheme="minorHAnsi" w:cstheme="minorHAnsi"/>
          <w:color w:val="000000" w:themeColor="text1"/>
          <w:sz w:val="22"/>
          <w:szCs w:val="22"/>
          <w:lang w:val="en-GB"/>
        </w:rPr>
        <w:t>&gt;</w:t>
      </w:r>
      <w:r w:rsidR="00386355">
        <w:rPr>
          <w:rFonts w:asciiTheme="minorHAnsi" w:hAnsiTheme="minorHAnsi" w:cstheme="minorHAnsi"/>
          <w:color w:val="000000" w:themeColor="text1"/>
          <w:sz w:val="22"/>
          <w:szCs w:val="22"/>
          <w:lang w:val="en-GB"/>
        </w:rPr>
        <w:t>10% in low</w:t>
      </w:r>
      <w:r w:rsidR="00507D48">
        <w:rPr>
          <w:rFonts w:asciiTheme="minorHAnsi" w:hAnsiTheme="minorHAnsi" w:cstheme="minorHAnsi"/>
          <w:color w:val="000000" w:themeColor="text1"/>
          <w:sz w:val="22"/>
          <w:szCs w:val="22"/>
          <w:lang w:val="en-GB"/>
        </w:rPr>
        <w:t>-</w:t>
      </w:r>
      <w:r w:rsidR="00386355">
        <w:rPr>
          <w:rFonts w:asciiTheme="minorHAnsi" w:hAnsiTheme="minorHAnsi" w:cstheme="minorHAnsi"/>
          <w:color w:val="000000" w:themeColor="text1"/>
          <w:sz w:val="22"/>
          <w:szCs w:val="22"/>
          <w:lang w:val="en-GB"/>
        </w:rPr>
        <w:t>resource setting</w:t>
      </w:r>
      <w:r w:rsidR="00830DDF">
        <w:rPr>
          <w:rFonts w:asciiTheme="minorHAnsi" w:hAnsiTheme="minorHAnsi" w:cstheme="minorHAnsi"/>
          <w:color w:val="000000" w:themeColor="text1"/>
          <w:sz w:val="22"/>
          <w:szCs w:val="22"/>
          <w:lang w:val="en-GB"/>
        </w:rPr>
        <w:t>s)</w:t>
      </w:r>
      <w:r w:rsidR="00A3626C" w:rsidRPr="00C37A4D">
        <w:rPr>
          <w:rFonts w:asciiTheme="minorHAnsi" w:hAnsiTheme="minorHAnsi" w:cstheme="minorHAnsi"/>
          <w:color w:val="000000" w:themeColor="text1"/>
          <w:sz w:val="22"/>
          <w:szCs w:val="22"/>
          <w:lang w:val="en-GB"/>
        </w:rPr>
        <w:t>.</w:t>
      </w:r>
      <w:r w:rsidR="00150C06" w:rsidRPr="00150C06">
        <w:rPr>
          <w:rFonts w:hAnsiTheme="minorHAnsi"/>
          <w:color w:val="000000"/>
          <w:sz w:val="22"/>
          <w:vertAlign w:val="superscript"/>
        </w:rPr>
        <w:t>64</w:t>
      </w:r>
      <w:r w:rsidR="00830DDF">
        <w:rPr>
          <w:rFonts w:asciiTheme="minorHAnsi" w:hAnsiTheme="minorHAnsi" w:cstheme="minorHAnsi"/>
          <w:color w:val="000000" w:themeColor="text1"/>
          <w:sz w:val="22"/>
          <w:szCs w:val="22"/>
          <w:lang w:val="en-GB"/>
        </w:rPr>
        <w:t xml:space="preserve"> </w:t>
      </w:r>
      <w:r w:rsidR="00E36B4D">
        <w:rPr>
          <w:rFonts w:asciiTheme="minorHAnsi" w:hAnsiTheme="minorHAnsi" w:cstheme="minorHAnsi"/>
          <w:color w:val="000000" w:themeColor="text1"/>
          <w:sz w:val="22"/>
          <w:szCs w:val="22"/>
          <w:lang w:val="en-GB"/>
        </w:rPr>
        <w:t xml:space="preserve">Blood culture sampling is </w:t>
      </w:r>
      <w:r w:rsidR="0006145C">
        <w:rPr>
          <w:rFonts w:asciiTheme="minorHAnsi" w:hAnsiTheme="minorHAnsi" w:cstheme="minorHAnsi"/>
          <w:color w:val="000000" w:themeColor="text1"/>
          <w:sz w:val="22"/>
          <w:szCs w:val="22"/>
          <w:lang w:val="en-GB"/>
        </w:rPr>
        <w:t>most</w:t>
      </w:r>
      <w:r w:rsidR="00E36B4D">
        <w:rPr>
          <w:rFonts w:asciiTheme="minorHAnsi" w:hAnsiTheme="minorHAnsi" w:cstheme="minorHAnsi"/>
          <w:color w:val="000000" w:themeColor="text1"/>
          <w:sz w:val="22"/>
          <w:szCs w:val="22"/>
          <w:lang w:val="en-GB"/>
        </w:rPr>
        <w:t xml:space="preserve"> challenging </w:t>
      </w:r>
      <w:proofErr w:type="gramStart"/>
      <w:r w:rsidR="00E36B4D">
        <w:rPr>
          <w:rFonts w:asciiTheme="minorHAnsi" w:hAnsiTheme="minorHAnsi" w:cstheme="minorHAnsi"/>
          <w:color w:val="000000" w:themeColor="text1"/>
          <w:sz w:val="22"/>
          <w:szCs w:val="22"/>
          <w:lang w:val="en-GB"/>
        </w:rPr>
        <w:t>from  neonates</w:t>
      </w:r>
      <w:proofErr w:type="gramEnd"/>
      <w:r w:rsidR="00E36B4D">
        <w:rPr>
          <w:rFonts w:asciiTheme="minorHAnsi" w:hAnsiTheme="minorHAnsi" w:cstheme="minorHAnsi"/>
          <w:color w:val="000000" w:themeColor="text1"/>
          <w:sz w:val="22"/>
          <w:szCs w:val="22"/>
          <w:lang w:val="en-GB"/>
        </w:rPr>
        <w:t xml:space="preserve"> and therefore contamination rates can he higher.  </w:t>
      </w:r>
      <w:r w:rsidR="00A3626C" w:rsidRPr="00C37A4D">
        <w:rPr>
          <w:rFonts w:asciiTheme="minorHAnsi" w:hAnsiTheme="minorHAnsi" w:cstheme="minorHAnsi"/>
          <w:color w:val="000000" w:themeColor="text1"/>
          <w:sz w:val="22"/>
          <w:szCs w:val="22"/>
          <w:lang w:val="en-GB"/>
        </w:rPr>
        <w:t>Deep molecular diagnostics, like metagenomics, can yield an etiologic agent in a</w:t>
      </w:r>
      <w:r w:rsidR="00D76F24">
        <w:rPr>
          <w:rFonts w:asciiTheme="minorHAnsi" w:hAnsiTheme="minorHAnsi" w:cstheme="minorHAnsi"/>
          <w:color w:val="000000" w:themeColor="text1"/>
          <w:sz w:val="22"/>
          <w:szCs w:val="22"/>
          <w:lang w:val="en-GB"/>
        </w:rPr>
        <w:t>lmost</w:t>
      </w:r>
      <w:r w:rsidR="00A3626C" w:rsidRPr="00C37A4D">
        <w:rPr>
          <w:rFonts w:asciiTheme="minorHAnsi" w:hAnsiTheme="minorHAnsi" w:cstheme="minorHAnsi"/>
          <w:color w:val="000000" w:themeColor="text1"/>
          <w:sz w:val="22"/>
          <w:szCs w:val="22"/>
          <w:lang w:val="en-GB"/>
        </w:rPr>
        <w:t xml:space="preserve"> four times as many cases</w:t>
      </w:r>
      <w:r w:rsidR="00AA412E">
        <w:rPr>
          <w:rFonts w:asciiTheme="minorHAnsi" w:hAnsiTheme="minorHAnsi" w:cstheme="minorHAnsi"/>
          <w:color w:val="000000" w:themeColor="text1"/>
          <w:sz w:val="22"/>
          <w:szCs w:val="22"/>
          <w:lang w:val="en-GB"/>
        </w:rPr>
        <w:t>,</w:t>
      </w:r>
      <w:r w:rsidR="00A3626C" w:rsidRPr="00C37A4D">
        <w:rPr>
          <w:rFonts w:asciiTheme="minorHAnsi" w:hAnsiTheme="minorHAnsi" w:cstheme="minorHAnsi"/>
          <w:color w:val="000000" w:themeColor="text1"/>
          <w:sz w:val="22"/>
          <w:szCs w:val="22"/>
          <w:lang w:val="en-GB"/>
        </w:rPr>
        <w:t xml:space="preserve"> but </w:t>
      </w:r>
      <w:r w:rsidR="00D76F24">
        <w:rPr>
          <w:rFonts w:asciiTheme="minorHAnsi" w:hAnsiTheme="minorHAnsi" w:cstheme="minorHAnsi"/>
          <w:color w:val="000000" w:themeColor="text1"/>
          <w:sz w:val="22"/>
          <w:szCs w:val="22"/>
          <w:lang w:val="en-GB"/>
        </w:rPr>
        <w:t>cost</w:t>
      </w:r>
      <w:r w:rsidR="002125D1">
        <w:rPr>
          <w:rFonts w:asciiTheme="minorHAnsi" w:hAnsiTheme="minorHAnsi" w:cstheme="minorHAnsi"/>
          <w:color w:val="000000" w:themeColor="text1"/>
          <w:sz w:val="22"/>
          <w:szCs w:val="22"/>
          <w:lang w:val="en-GB"/>
        </w:rPr>
        <w:t xml:space="preserve"> presently</w:t>
      </w:r>
      <w:r w:rsidR="00A3626C" w:rsidRPr="00C37A4D">
        <w:rPr>
          <w:rFonts w:asciiTheme="minorHAnsi" w:hAnsiTheme="minorHAnsi" w:cstheme="minorHAnsi"/>
          <w:color w:val="000000" w:themeColor="text1"/>
          <w:sz w:val="22"/>
          <w:szCs w:val="22"/>
          <w:lang w:val="en-GB"/>
        </w:rPr>
        <w:t xml:space="preserve"> </w:t>
      </w:r>
      <w:r w:rsidR="00D76F24">
        <w:rPr>
          <w:rFonts w:asciiTheme="minorHAnsi" w:hAnsiTheme="minorHAnsi" w:cstheme="minorHAnsi"/>
          <w:color w:val="000000" w:themeColor="text1"/>
          <w:sz w:val="22"/>
          <w:szCs w:val="22"/>
          <w:lang w:val="en-GB"/>
        </w:rPr>
        <w:t>precludes their</w:t>
      </w:r>
      <w:r w:rsidR="00A3626C" w:rsidRPr="00C37A4D">
        <w:rPr>
          <w:rFonts w:asciiTheme="minorHAnsi" w:hAnsiTheme="minorHAnsi" w:cstheme="minorHAnsi"/>
          <w:color w:val="000000" w:themeColor="text1"/>
          <w:sz w:val="22"/>
          <w:szCs w:val="22"/>
          <w:lang w:val="en-GB"/>
        </w:rPr>
        <w:t xml:space="preserve"> routine use.</w:t>
      </w:r>
      <w:r w:rsidR="00E00CFD" w:rsidRPr="00E00CFD">
        <w:rPr>
          <w:rFonts w:hAnsiTheme="minorHAnsi"/>
          <w:color w:val="000000"/>
          <w:sz w:val="22"/>
          <w:vertAlign w:val="superscript"/>
        </w:rPr>
        <w:t>56,58</w:t>
      </w:r>
      <w:r w:rsidR="00A3626C" w:rsidRPr="00C37A4D">
        <w:rPr>
          <w:rFonts w:asciiTheme="minorHAnsi" w:hAnsiTheme="minorHAnsi" w:cstheme="minorHAnsi"/>
          <w:color w:val="000000" w:themeColor="text1"/>
          <w:sz w:val="22"/>
          <w:szCs w:val="22"/>
          <w:lang w:val="en-GB"/>
        </w:rPr>
        <w:t xml:space="preserve"> Genomic enrichment methods and point-of-care </w:t>
      </w:r>
      <w:r w:rsidR="00800BB5">
        <w:rPr>
          <w:rFonts w:asciiTheme="minorHAnsi" w:hAnsiTheme="minorHAnsi" w:cstheme="minorHAnsi"/>
          <w:color w:val="000000" w:themeColor="text1"/>
          <w:sz w:val="22"/>
          <w:szCs w:val="22"/>
          <w:lang w:val="en-GB"/>
        </w:rPr>
        <w:t>a</w:t>
      </w:r>
      <w:r w:rsidR="00A3626C" w:rsidRPr="00C37A4D">
        <w:rPr>
          <w:rFonts w:asciiTheme="minorHAnsi" w:hAnsiTheme="minorHAnsi" w:cstheme="minorHAnsi"/>
          <w:color w:val="000000" w:themeColor="text1"/>
          <w:sz w:val="22"/>
          <w:szCs w:val="22"/>
          <w:lang w:val="en-GB"/>
        </w:rPr>
        <w:t xml:space="preserve">etiologic tests offer promise but are still under development. </w:t>
      </w:r>
      <w:r w:rsidR="00685FD4">
        <w:rPr>
          <w:rFonts w:asciiTheme="minorHAnsi" w:hAnsiTheme="minorHAnsi" w:cstheme="minorHAnsi"/>
          <w:color w:val="000000" w:themeColor="text1"/>
          <w:sz w:val="22"/>
          <w:szCs w:val="22"/>
          <w:lang w:val="en-GB"/>
        </w:rPr>
        <w:t>In high-income settings,</w:t>
      </w:r>
      <w:r w:rsidR="00A3626C" w:rsidRPr="00C37A4D">
        <w:rPr>
          <w:rFonts w:asciiTheme="minorHAnsi" w:hAnsiTheme="minorHAnsi" w:cstheme="minorHAnsi"/>
          <w:color w:val="000000" w:themeColor="text1"/>
          <w:sz w:val="22"/>
          <w:szCs w:val="22"/>
          <w:lang w:val="en-GB"/>
        </w:rPr>
        <w:t xml:space="preserve"> a neonate with suspected sepsis typically undergo</w:t>
      </w:r>
      <w:r w:rsidR="004E359A">
        <w:rPr>
          <w:rFonts w:asciiTheme="minorHAnsi" w:hAnsiTheme="minorHAnsi" w:cstheme="minorHAnsi"/>
          <w:color w:val="000000" w:themeColor="text1"/>
          <w:sz w:val="22"/>
          <w:szCs w:val="22"/>
          <w:lang w:val="en-GB"/>
        </w:rPr>
        <w:t>es</w:t>
      </w:r>
      <w:r w:rsidR="00A3626C" w:rsidRPr="00C37A4D">
        <w:rPr>
          <w:rFonts w:asciiTheme="minorHAnsi" w:hAnsiTheme="minorHAnsi" w:cstheme="minorHAnsi"/>
          <w:color w:val="000000" w:themeColor="text1"/>
          <w:sz w:val="22"/>
          <w:szCs w:val="22"/>
          <w:lang w:val="en-GB"/>
        </w:rPr>
        <w:t xml:space="preserve"> more than one blood culture as well as supporting tests to confirm the diagnosis and guide care. The current goal for low-resource settings is that blood culture be available at referral centres,</w:t>
      </w:r>
      <w:r w:rsidR="00E00CFD" w:rsidRPr="00E00CFD">
        <w:rPr>
          <w:rFonts w:hAnsiTheme="minorHAnsi"/>
          <w:color w:val="000000"/>
          <w:sz w:val="22"/>
          <w:vertAlign w:val="superscript"/>
        </w:rPr>
        <w:t>65</w:t>
      </w:r>
      <w:r w:rsidR="00A3626C" w:rsidRPr="00C37A4D">
        <w:rPr>
          <w:rFonts w:asciiTheme="minorHAnsi" w:hAnsiTheme="minorHAnsi" w:cstheme="minorHAnsi"/>
          <w:color w:val="000000" w:themeColor="text1"/>
          <w:sz w:val="22"/>
          <w:szCs w:val="22"/>
          <w:lang w:val="en-GB"/>
        </w:rPr>
        <w:t xml:space="preserve"> but even there, the required infrastructure, consumables, skilled personnel, and quality management systems are often lacking, and thus </w:t>
      </w:r>
      <w:r w:rsidR="00A5553F">
        <w:rPr>
          <w:rFonts w:asciiTheme="minorHAnsi" w:hAnsiTheme="minorHAnsi" w:cstheme="minorHAnsi"/>
          <w:color w:val="000000" w:themeColor="text1"/>
          <w:sz w:val="22"/>
          <w:szCs w:val="22"/>
          <w:lang w:val="en-GB"/>
        </w:rPr>
        <w:t>very few</w:t>
      </w:r>
      <w:r w:rsidR="00A3626C" w:rsidRPr="00C37A4D">
        <w:rPr>
          <w:rFonts w:asciiTheme="minorHAnsi" w:hAnsiTheme="minorHAnsi" w:cstheme="minorHAnsi"/>
          <w:color w:val="000000" w:themeColor="text1"/>
          <w:sz w:val="22"/>
          <w:szCs w:val="22"/>
          <w:lang w:val="en-GB"/>
        </w:rPr>
        <w:t xml:space="preserve"> infections are cultured (</w:t>
      </w:r>
      <w:proofErr w:type="spellStart"/>
      <w:r w:rsidR="00A3626C" w:rsidRPr="00C37A4D">
        <w:rPr>
          <w:rFonts w:asciiTheme="minorHAnsi" w:hAnsiTheme="minorHAnsi" w:cstheme="minorHAnsi"/>
          <w:color w:val="000000" w:themeColor="text1"/>
          <w:sz w:val="22"/>
          <w:szCs w:val="22"/>
          <w:lang w:val="en-GB"/>
        </w:rPr>
        <w:t>Ondoa</w:t>
      </w:r>
      <w:proofErr w:type="spellEnd"/>
      <w:r w:rsidR="00A3626C" w:rsidRPr="00C37A4D">
        <w:rPr>
          <w:rFonts w:asciiTheme="minorHAnsi" w:hAnsiTheme="minorHAnsi" w:cstheme="minorHAnsi"/>
          <w:color w:val="000000" w:themeColor="text1"/>
          <w:sz w:val="22"/>
          <w:szCs w:val="22"/>
          <w:lang w:val="en-GB"/>
        </w:rPr>
        <w:t xml:space="preserve"> et al.</w:t>
      </w:r>
      <w:r w:rsidR="002E4E43">
        <w:rPr>
          <w:rFonts w:asciiTheme="minorHAnsi" w:hAnsiTheme="minorHAnsi" w:cstheme="minorHAnsi"/>
          <w:color w:val="000000" w:themeColor="text1"/>
          <w:sz w:val="22"/>
          <w:szCs w:val="22"/>
          <w:lang w:val="en-GB"/>
        </w:rPr>
        <w:t>;</w:t>
      </w:r>
      <w:r w:rsidR="00A3626C" w:rsidRPr="00C37A4D">
        <w:rPr>
          <w:rFonts w:asciiTheme="minorHAnsi" w:hAnsiTheme="minorHAnsi" w:cstheme="minorHAnsi"/>
          <w:color w:val="000000" w:themeColor="text1"/>
          <w:sz w:val="22"/>
          <w:szCs w:val="22"/>
          <w:lang w:val="en-GB"/>
        </w:rPr>
        <w:t xml:space="preserve"> MAAP study).</w:t>
      </w:r>
      <w:r w:rsidR="00E00CFD" w:rsidRPr="00E00CFD">
        <w:rPr>
          <w:rFonts w:hAnsiTheme="minorHAnsi"/>
          <w:color w:val="000000"/>
          <w:sz w:val="22"/>
          <w:vertAlign w:val="superscript"/>
        </w:rPr>
        <w:t>66</w:t>
      </w:r>
      <w:r w:rsidR="00A3626C" w:rsidRPr="00C37A4D">
        <w:rPr>
          <w:rFonts w:asciiTheme="minorHAnsi" w:hAnsiTheme="minorHAnsi" w:cstheme="minorHAnsi"/>
          <w:color w:val="000000" w:themeColor="text1"/>
          <w:sz w:val="22"/>
          <w:szCs w:val="22"/>
          <w:lang w:val="en-GB"/>
        </w:rPr>
        <w:t xml:space="preserve"> National and regional surveillance networks built around existing blood culture machines largely consist of tertiary sentinels, where resistance patterns of opportunistic pathogens differ markedly from primary- and secondary-</w:t>
      </w:r>
      <w:r>
        <w:rPr>
          <w:rFonts w:asciiTheme="minorHAnsi" w:hAnsiTheme="minorHAnsi" w:cstheme="minorHAnsi"/>
          <w:color w:val="000000" w:themeColor="text1"/>
          <w:sz w:val="22"/>
          <w:szCs w:val="22"/>
          <w:lang w:val="en-GB"/>
        </w:rPr>
        <w:t>care</w:t>
      </w:r>
      <w:r w:rsidR="00A3626C" w:rsidRPr="00C37A4D">
        <w:rPr>
          <w:rFonts w:asciiTheme="minorHAnsi" w:hAnsiTheme="minorHAnsi" w:cstheme="minorHAnsi"/>
          <w:color w:val="000000" w:themeColor="text1"/>
          <w:sz w:val="22"/>
          <w:szCs w:val="22"/>
          <w:lang w:val="en-GB"/>
        </w:rPr>
        <w:t xml:space="preserve"> isolates</w:t>
      </w:r>
      <w:r w:rsidR="00F53226">
        <w:rPr>
          <w:rFonts w:asciiTheme="minorHAnsi" w:hAnsiTheme="minorHAnsi" w:cstheme="minorHAnsi"/>
          <w:color w:val="000000" w:themeColor="text1"/>
          <w:sz w:val="22"/>
          <w:szCs w:val="22"/>
          <w:lang w:val="en-GB"/>
        </w:rPr>
        <w:t>,</w:t>
      </w:r>
      <w:r w:rsidR="00A3626C" w:rsidRPr="00C37A4D">
        <w:rPr>
          <w:rFonts w:asciiTheme="minorHAnsi" w:hAnsiTheme="minorHAnsi" w:cstheme="minorHAnsi"/>
          <w:color w:val="000000" w:themeColor="text1"/>
          <w:sz w:val="22"/>
          <w:szCs w:val="22"/>
          <w:lang w:val="en-GB"/>
        </w:rPr>
        <w:t xml:space="preserve"> limiting the actionability of </w:t>
      </w:r>
      <w:r w:rsidR="002E4E43">
        <w:rPr>
          <w:rFonts w:asciiTheme="minorHAnsi" w:hAnsiTheme="minorHAnsi" w:cstheme="minorHAnsi"/>
          <w:color w:val="000000" w:themeColor="text1"/>
          <w:sz w:val="22"/>
          <w:szCs w:val="22"/>
          <w:lang w:val="en-GB"/>
        </w:rPr>
        <w:t xml:space="preserve">the </w:t>
      </w:r>
      <w:r w:rsidR="00A3626C" w:rsidRPr="00C37A4D">
        <w:rPr>
          <w:rFonts w:asciiTheme="minorHAnsi" w:hAnsiTheme="minorHAnsi" w:cstheme="minorHAnsi"/>
          <w:color w:val="000000" w:themeColor="text1"/>
          <w:sz w:val="22"/>
          <w:szCs w:val="22"/>
          <w:lang w:val="en-GB"/>
        </w:rPr>
        <w:t>data.</w:t>
      </w:r>
      <w:r w:rsidR="00E00CFD" w:rsidRPr="00E00CFD">
        <w:rPr>
          <w:rFonts w:hAnsiTheme="minorHAnsi"/>
          <w:color w:val="000000"/>
          <w:sz w:val="22"/>
          <w:vertAlign w:val="superscript"/>
        </w:rPr>
        <w:t>56</w:t>
      </w:r>
    </w:p>
    <w:p w14:paraId="1E039D47" w14:textId="74A53410" w:rsidR="00FE4ECF" w:rsidRPr="00C37A4D" w:rsidRDefault="00FE4ECF" w:rsidP="004709DC">
      <w:pPr>
        <w:rPr>
          <w:rFonts w:asciiTheme="minorHAnsi" w:hAnsiTheme="minorHAnsi" w:cstheme="minorHAnsi"/>
          <w:color w:val="000000" w:themeColor="text1"/>
          <w:sz w:val="22"/>
          <w:szCs w:val="22"/>
          <w:lang w:val="en-GB"/>
        </w:rPr>
      </w:pPr>
    </w:p>
    <w:p w14:paraId="1B9C1D5B" w14:textId="35C35932" w:rsidR="004709DC" w:rsidRPr="00C37A4D" w:rsidRDefault="00FE4ECF" w:rsidP="00FB7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w:t>
      </w:r>
      <w:r w:rsidRPr="00C37A4D">
        <w:rPr>
          <w:rFonts w:asciiTheme="minorHAnsi" w:hAnsiTheme="minorHAnsi" w:cstheme="minorHAnsi"/>
          <w:color w:val="000000" w:themeColor="text1"/>
          <w:sz w:val="22"/>
          <w:szCs w:val="22"/>
          <w:lang w:val="en-GB"/>
        </w:rPr>
        <w:t xml:space="preserve">urveillance </w:t>
      </w:r>
      <w:r>
        <w:rPr>
          <w:rFonts w:asciiTheme="minorHAnsi" w:hAnsiTheme="minorHAnsi" w:cstheme="minorHAnsi"/>
          <w:color w:val="000000" w:themeColor="text1"/>
          <w:sz w:val="22"/>
          <w:szCs w:val="22"/>
          <w:lang w:val="en-GB"/>
        </w:rPr>
        <w:t xml:space="preserve">is increasingly </w:t>
      </w:r>
      <w:r w:rsidRPr="00C37A4D">
        <w:rPr>
          <w:rFonts w:asciiTheme="minorHAnsi" w:hAnsiTheme="minorHAnsi" w:cstheme="minorHAnsi"/>
          <w:color w:val="000000" w:themeColor="text1"/>
          <w:sz w:val="22"/>
          <w:szCs w:val="22"/>
          <w:lang w:val="en-GB"/>
        </w:rPr>
        <w:t xml:space="preserve">uncovering </w:t>
      </w:r>
      <w:r w:rsidR="002E4E43">
        <w:rPr>
          <w:rFonts w:asciiTheme="minorHAnsi" w:hAnsiTheme="minorHAnsi" w:cstheme="minorHAnsi"/>
          <w:color w:val="000000" w:themeColor="text1"/>
          <w:sz w:val="22"/>
          <w:szCs w:val="22"/>
          <w:lang w:val="en-GB"/>
        </w:rPr>
        <w:t xml:space="preserve">outbreaks in </w:t>
      </w:r>
      <w:r w:rsidRPr="00C37A4D">
        <w:rPr>
          <w:rFonts w:asciiTheme="minorHAnsi" w:hAnsiTheme="minorHAnsi" w:cstheme="minorHAnsi"/>
          <w:color w:val="000000" w:themeColor="text1"/>
          <w:sz w:val="22"/>
          <w:szCs w:val="22"/>
          <w:lang w:val="en-GB"/>
        </w:rPr>
        <w:t>neonatal intensive-care unit</w:t>
      </w:r>
      <w:r w:rsidR="003A050A">
        <w:rPr>
          <w:rFonts w:asciiTheme="minorHAnsi" w:hAnsiTheme="minorHAnsi" w:cstheme="minorHAnsi"/>
          <w:color w:val="000000" w:themeColor="text1"/>
          <w:sz w:val="22"/>
          <w:szCs w:val="22"/>
          <w:lang w:val="en-GB"/>
        </w:rPr>
        <w:t>s</w:t>
      </w:r>
      <w:r w:rsidR="00C21061">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67,68</w:t>
      </w:r>
      <w:r w:rsidR="001953AE">
        <w:rPr>
          <w:rFonts w:hAnsiTheme="minorHAnsi"/>
          <w:color w:val="000000"/>
          <w:sz w:val="22"/>
          <w:vertAlign w:val="superscript"/>
        </w:rPr>
        <w:t xml:space="preserve"> </w:t>
      </w:r>
      <w:r>
        <w:rPr>
          <w:rFonts w:asciiTheme="minorHAnsi" w:hAnsiTheme="minorHAnsi" w:cstheme="minorHAnsi"/>
          <w:color w:val="000000" w:themeColor="text1"/>
          <w:sz w:val="22"/>
          <w:szCs w:val="22"/>
          <w:lang w:val="en-GB"/>
        </w:rPr>
        <w:t>Applying whole genome sequencing</w:t>
      </w:r>
      <w:r w:rsidR="004709DC" w:rsidRPr="00C37A4D">
        <w:rPr>
          <w:rFonts w:asciiTheme="minorHAnsi" w:hAnsiTheme="minorHAnsi" w:cstheme="minorHAnsi"/>
          <w:color w:val="000000" w:themeColor="text1"/>
          <w:sz w:val="22"/>
          <w:szCs w:val="22"/>
          <w:lang w:val="en-GB"/>
        </w:rPr>
        <w:t xml:space="preserve">, which will ultimately support </w:t>
      </w:r>
      <w:r w:rsidR="00800BB5">
        <w:rPr>
          <w:rFonts w:asciiTheme="minorHAnsi" w:hAnsiTheme="minorHAnsi" w:cstheme="minorHAnsi"/>
          <w:color w:val="000000" w:themeColor="text1"/>
          <w:sz w:val="22"/>
          <w:szCs w:val="22"/>
          <w:lang w:val="en-GB"/>
        </w:rPr>
        <w:t>tools</w:t>
      </w:r>
      <w:r w:rsidR="00800BB5" w:rsidRPr="00C37A4D">
        <w:rPr>
          <w:rFonts w:asciiTheme="minorHAnsi" w:hAnsiTheme="minorHAnsi" w:cstheme="minorHAnsi"/>
          <w:color w:val="000000" w:themeColor="text1"/>
          <w:sz w:val="22"/>
          <w:szCs w:val="22"/>
          <w:lang w:val="en-GB"/>
        </w:rPr>
        <w:t xml:space="preserve"> </w:t>
      </w:r>
      <w:r w:rsidR="004709DC" w:rsidRPr="00C37A4D">
        <w:rPr>
          <w:rFonts w:asciiTheme="minorHAnsi" w:hAnsiTheme="minorHAnsi" w:cstheme="minorHAnsi"/>
          <w:color w:val="000000" w:themeColor="text1"/>
          <w:sz w:val="22"/>
          <w:szCs w:val="22"/>
          <w:lang w:val="en-GB"/>
        </w:rPr>
        <w:t>to prevent mortality</w:t>
      </w:r>
      <w:r w:rsidR="00800BB5">
        <w:rPr>
          <w:rFonts w:asciiTheme="minorHAnsi" w:hAnsiTheme="minorHAnsi" w:cstheme="minorHAnsi"/>
          <w:color w:val="000000" w:themeColor="text1"/>
          <w:sz w:val="22"/>
          <w:szCs w:val="22"/>
          <w:lang w:val="en-GB"/>
        </w:rPr>
        <w:t xml:space="preserve"> (</w:t>
      </w:r>
      <w:r w:rsidR="00652420">
        <w:rPr>
          <w:rFonts w:asciiTheme="minorHAnsi" w:hAnsiTheme="minorHAnsi" w:cstheme="minorHAnsi"/>
          <w:color w:val="000000" w:themeColor="text1"/>
          <w:sz w:val="22"/>
          <w:szCs w:val="22"/>
          <w:lang w:val="en-GB"/>
        </w:rPr>
        <w:t xml:space="preserve">see </w:t>
      </w:r>
      <w:r w:rsidR="00800BB5">
        <w:rPr>
          <w:rFonts w:asciiTheme="minorHAnsi" w:hAnsiTheme="minorHAnsi" w:cstheme="minorHAnsi"/>
          <w:color w:val="000000" w:themeColor="text1"/>
          <w:sz w:val="22"/>
          <w:szCs w:val="22"/>
          <w:lang w:val="en-GB"/>
        </w:rPr>
        <w:t>Paper 3</w:t>
      </w:r>
      <w:r w:rsidR="00E00CFD" w:rsidRPr="00E00CFD">
        <w:rPr>
          <w:rFonts w:hAnsiTheme="minorHAnsi"/>
          <w:color w:val="000000"/>
          <w:sz w:val="22"/>
          <w:vertAlign w:val="superscript"/>
        </w:rPr>
        <w:t>44</w:t>
      </w:r>
      <w:r w:rsidR="00800BB5">
        <w:rPr>
          <w:rFonts w:asciiTheme="minorHAnsi" w:hAnsiTheme="minorHAnsi" w:cstheme="minorHAnsi"/>
          <w:color w:val="000000" w:themeColor="text1"/>
          <w:sz w:val="22"/>
          <w:szCs w:val="22"/>
          <w:lang w:val="en-GB"/>
        </w:rPr>
        <w:t>)</w:t>
      </w:r>
      <w:r w:rsidR="004709DC" w:rsidRPr="00C37A4D">
        <w:rPr>
          <w:rFonts w:asciiTheme="minorHAnsi" w:hAnsiTheme="minorHAnsi" w:cstheme="minorHAnsi"/>
          <w:color w:val="000000" w:themeColor="text1"/>
          <w:sz w:val="22"/>
          <w:szCs w:val="22"/>
          <w:lang w:val="en-GB"/>
        </w:rPr>
        <w:t>, permit</w:t>
      </w:r>
      <w:r>
        <w:rPr>
          <w:rFonts w:asciiTheme="minorHAnsi" w:hAnsiTheme="minorHAnsi" w:cstheme="minorHAnsi"/>
          <w:color w:val="000000" w:themeColor="text1"/>
          <w:sz w:val="22"/>
          <w:szCs w:val="22"/>
          <w:lang w:val="en-GB"/>
        </w:rPr>
        <w:t>s</w:t>
      </w:r>
      <w:r w:rsidR="004709DC" w:rsidRPr="00C37A4D">
        <w:rPr>
          <w:rFonts w:asciiTheme="minorHAnsi" w:hAnsiTheme="minorHAnsi" w:cstheme="minorHAnsi"/>
          <w:color w:val="000000" w:themeColor="text1"/>
          <w:sz w:val="22"/>
          <w:szCs w:val="22"/>
          <w:lang w:val="en-GB"/>
        </w:rPr>
        <w:t xml:space="preserve"> fine-level tracking of the opportunistic causes of neonatal sepsis, revealing routes through which bacteria are transmitted</w:t>
      </w:r>
      <w:r w:rsidR="00445F7E">
        <w:rPr>
          <w:rFonts w:asciiTheme="minorHAnsi" w:hAnsiTheme="minorHAnsi" w:cstheme="minorHAnsi"/>
          <w:color w:val="000000" w:themeColor="text1"/>
          <w:sz w:val="22"/>
          <w:szCs w:val="22"/>
          <w:lang w:val="en-GB"/>
        </w:rPr>
        <w:t>, whether</w:t>
      </w:r>
      <w:r w:rsidR="004709DC" w:rsidRPr="00C37A4D">
        <w:rPr>
          <w:rFonts w:asciiTheme="minorHAnsi" w:hAnsiTheme="minorHAnsi" w:cstheme="minorHAnsi"/>
          <w:color w:val="000000" w:themeColor="text1"/>
          <w:sz w:val="22"/>
          <w:szCs w:val="22"/>
          <w:lang w:val="en-GB"/>
        </w:rPr>
        <w:t xml:space="preserve"> directly among patients or </w:t>
      </w:r>
      <w:r w:rsidR="00445F7E">
        <w:rPr>
          <w:rFonts w:asciiTheme="minorHAnsi" w:hAnsiTheme="minorHAnsi" w:cstheme="minorHAnsi"/>
          <w:color w:val="000000" w:themeColor="text1"/>
          <w:sz w:val="22"/>
          <w:szCs w:val="22"/>
          <w:lang w:val="en-GB"/>
        </w:rPr>
        <w:t>via</w:t>
      </w:r>
      <w:r w:rsidR="00445F7E" w:rsidRPr="00C37A4D">
        <w:rPr>
          <w:rFonts w:asciiTheme="minorHAnsi" w:hAnsiTheme="minorHAnsi" w:cstheme="minorHAnsi"/>
          <w:color w:val="000000" w:themeColor="text1"/>
          <w:sz w:val="22"/>
          <w:szCs w:val="22"/>
          <w:lang w:val="en-GB"/>
        </w:rPr>
        <w:t xml:space="preserve"> </w:t>
      </w:r>
      <w:r w:rsidR="004709DC" w:rsidRPr="00C37A4D">
        <w:rPr>
          <w:rFonts w:asciiTheme="minorHAnsi" w:hAnsiTheme="minorHAnsi" w:cstheme="minorHAnsi"/>
          <w:color w:val="000000" w:themeColor="text1"/>
          <w:sz w:val="22"/>
          <w:szCs w:val="22"/>
          <w:lang w:val="en-GB"/>
        </w:rPr>
        <w:t>intermediaries</w:t>
      </w:r>
      <w:r w:rsidR="0016679D">
        <w:rPr>
          <w:rFonts w:asciiTheme="minorHAnsi" w:hAnsiTheme="minorHAnsi" w:cstheme="minorHAnsi"/>
          <w:color w:val="000000" w:themeColor="text1"/>
          <w:sz w:val="22"/>
          <w:szCs w:val="22"/>
          <w:lang w:val="en-GB"/>
        </w:rPr>
        <w:t>,</w:t>
      </w:r>
      <w:r w:rsidR="004709DC" w:rsidRPr="00C37A4D">
        <w:rPr>
          <w:rFonts w:asciiTheme="minorHAnsi" w:hAnsiTheme="minorHAnsi" w:cstheme="minorHAnsi"/>
          <w:color w:val="000000" w:themeColor="text1"/>
          <w:sz w:val="22"/>
          <w:szCs w:val="22"/>
          <w:lang w:val="en-GB"/>
        </w:rPr>
        <w:t xml:space="preserve"> including </w:t>
      </w:r>
      <w:r w:rsidR="0016679D">
        <w:rPr>
          <w:rFonts w:asciiTheme="minorHAnsi" w:hAnsiTheme="minorHAnsi" w:cstheme="minorHAnsi"/>
          <w:color w:val="000000" w:themeColor="text1"/>
          <w:sz w:val="22"/>
          <w:szCs w:val="22"/>
          <w:lang w:val="en-GB"/>
        </w:rPr>
        <w:t>medical</w:t>
      </w:r>
      <w:r w:rsidR="004709DC" w:rsidRPr="00C37A4D">
        <w:rPr>
          <w:rFonts w:asciiTheme="minorHAnsi" w:hAnsiTheme="minorHAnsi" w:cstheme="minorHAnsi"/>
          <w:color w:val="000000" w:themeColor="text1"/>
          <w:sz w:val="22"/>
          <w:szCs w:val="22"/>
          <w:lang w:val="en-GB"/>
        </w:rPr>
        <w:t xml:space="preserve"> devices and parenteral medications</w:t>
      </w:r>
      <w:r w:rsidR="002F426E">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63,69,70</w:t>
      </w:r>
      <w:r w:rsidR="0047001E" w:rsidRPr="00C37A4D">
        <w:rPr>
          <w:rFonts w:asciiTheme="minorHAnsi" w:hAnsiTheme="minorHAnsi" w:cstheme="minorHAnsi"/>
          <w:color w:val="000000" w:themeColor="text1"/>
          <w:sz w:val="22"/>
          <w:szCs w:val="22"/>
          <w:lang w:val="en-GB"/>
        </w:rPr>
        <w:t xml:space="preserve"> </w:t>
      </w:r>
      <w:r w:rsidR="004709DC" w:rsidRPr="00C37A4D">
        <w:rPr>
          <w:rFonts w:asciiTheme="minorHAnsi" w:hAnsiTheme="minorHAnsi" w:cstheme="minorHAnsi"/>
          <w:color w:val="000000" w:themeColor="text1"/>
          <w:sz w:val="22"/>
          <w:szCs w:val="22"/>
          <w:lang w:val="en-GB"/>
        </w:rPr>
        <w:t xml:space="preserve">Whole genome sequencing has </w:t>
      </w:r>
      <w:r w:rsidR="00034B63" w:rsidRPr="00C37A4D">
        <w:rPr>
          <w:rFonts w:asciiTheme="minorHAnsi" w:hAnsiTheme="minorHAnsi" w:cstheme="minorHAnsi"/>
          <w:color w:val="000000" w:themeColor="text1"/>
          <w:sz w:val="22"/>
          <w:szCs w:val="22"/>
          <w:lang w:val="en-GB"/>
        </w:rPr>
        <w:t xml:space="preserve">revealed </w:t>
      </w:r>
      <w:r w:rsidR="004709DC" w:rsidRPr="00C37A4D">
        <w:rPr>
          <w:rFonts w:asciiTheme="minorHAnsi" w:hAnsiTheme="minorHAnsi" w:cstheme="minorHAnsi"/>
          <w:color w:val="000000" w:themeColor="text1"/>
          <w:sz w:val="22"/>
          <w:szCs w:val="22"/>
          <w:lang w:val="en-GB"/>
        </w:rPr>
        <w:t xml:space="preserve">that specific lineages of </w:t>
      </w:r>
      <w:r w:rsidR="00281709" w:rsidRPr="00C37A4D">
        <w:rPr>
          <w:rFonts w:asciiTheme="minorHAnsi" w:hAnsiTheme="minorHAnsi" w:cstheme="minorHAnsi"/>
          <w:i/>
          <w:iCs/>
          <w:color w:val="000000" w:themeColor="text1"/>
          <w:sz w:val="22"/>
          <w:szCs w:val="22"/>
          <w:lang w:val="en-GB"/>
        </w:rPr>
        <w:t>E</w:t>
      </w:r>
      <w:r w:rsidR="00281709">
        <w:rPr>
          <w:rFonts w:asciiTheme="minorHAnsi" w:hAnsiTheme="minorHAnsi" w:cstheme="minorHAnsi"/>
          <w:i/>
          <w:iCs/>
          <w:color w:val="000000" w:themeColor="text1"/>
          <w:sz w:val="22"/>
          <w:szCs w:val="22"/>
          <w:lang w:val="en-GB"/>
        </w:rPr>
        <w:t>.</w:t>
      </w:r>
      <w:r w:rsidR="00281709" w:rsidRPr="00C37A4D">
        <w:rPr>
          <w:rFonts w:asciiTheme="minorHAnsi" w:hAnsiTheme="minorHAnsi" w:cstheme="minorHAnsi"/>
          <w:i/>
          <w:iCs/>
          <w:color w:val="000000" w:themeColor="text1"/>
          <w:sz w:val="22"/>
          <w:szCs w:val="22"/>
          <w:lang w:val="en-GB"/>
        </w:rPr>
        <w:t xml:space="preserve"> </w:t>
      </w:r>
      <w:r w:rsidR="004709DC" w:rsidRPr="00C37A4D">
        <w:rPr>
          <w:rFonts w:asciiTheme="minorHAnsi" w:hAnsiTheme="minorHAnsi" w:cstheme="minorHAnsi"/>
          <w:i/>
          <w:iCs/>
          <w:color w:val="000000" w:themeColor="text1"/>
          <w:sz w:val="22"/>
          <w:szCs w:val="22"/>
          <w:lang w:val="en-GB"/>
        </w:rPr>
        <w:t xml:space="preserve">coli </w:t>
      </w:r>
      <w:r w:rsidR="004709DC" w:rsidRPr="00C37A4D">
        <w:rPr>
          <w:rFonts w:asciiTheme="minorHAnsi" w:hAnsiTheme="minorHAnsi" w:cstheme="minorHAnsi"/>
          <w:color w:val="000000" w:themeColor="text1"/>
          <w:sz w:val="22"/>
          <w:szCs w:val="22"/>
          <w:lang w:val="en-GB"/>
        </w:rPr>
        <w:t>(</w:t>
      </w:r>
      <w:r w:rsidR="00034B63" w:rsidRPr="00C37A4D">
        <w:rPr>
          <w:rFonts w:asciiTheme="minorHAnsi" w:hAnsiTheme="minorHAnsi" w:cstheme="minorHAnsi"/>
          <w:color w:val="000000" w:themeColor="text1"/>
          <w:sz w:val="22"/>
          <w:szCs w:val="22"/>
          <w:lang w:val="en-GB"/>
        </w:rPr>
        <w:t>e.g.,</w:t>
      </w:r>
      <w:r w:rsidR="004709DC" w:rsidRPr="00C37A4D">
        <w:rPr>
          <w:rFonts w:asciiTheme="minorHAnsi" w:hAnsiTheme="minorHAnsi" w:cstheme="minorHAnsi"/>
          <w:color w:val="000000" w:themeColor="text1"/>
          <w:sz w:val="22"/>
          <w:szCs w:val="22"/>
          <w:lang w:val="en-GB"/>
        </w:rPr>
        <w:t xml:space="preserve"> STs 69, 73, 95</w:t>
      </w:r>
      <w:r w:rsidR="00637319" w:rsidRPr="00C37A4D">
        <w:rPr>
          <w:rFonts w:asciiTheme="minorHAnsi" w:hAnsiTheme="minorHAnsi" w:cstheme="minorHAnsi"/>
          <w:color w:val="000000" w:themeColor="text1"/>
          <w:sz w:val="22"/>
          <w:szCs w:val="22"/>
          <w:lang w:val="en-GB"/>
        </w:rPr>
        <w:t>,</w:t>
      </w:r>
      <w:r w:rsidR="004709DC" w:rsidRPr="00C37A4D">
        <w:rPr>
          <w:rFonts w:asciiTheme="minorHAnsi" w:hAnsiTheme="minorHAnsi" w:cstheme="minorHAnsi"/>
          <w:color w:val="000000" w:themeColor="text1"/>
          <w:sz w:val="22"/>
          <w:szCs w:val="22"/>
          <w:lang w:val="en-GB"/>
        </w:rPr>
        <w:t xml:space="preserve"> and 131) and </w:t>
      </w:r>
      <w:r w:rsidR="00281709" w:rsidRPr="00C37A4D">
        <w:rPr>
          <w:rFonts w:asciiTheme="minorHAnsi" w:hAnsiTheme="minorHAnsi" w:cstheme="minorHAnsi"/>
          <w:i/>
          <w:iCs/>
          <w:color w:val="000000" w:themeColor="text1"/>
          <w:sz w:val="22"/>
          <w:szCs w:val="22"/>
          <w:lang w:val="en-GB"/>
        </w:rPr>
        <w:t>K</w:t>
      </w:r>
      <w:r w:rsidR="00281709">
        <w:rPr>
          <w:rFonts w:asciiTheme="minorHAnsi" w:hAnsiTheme="minorHAnsi" w:cstheme="minorHAnsi"/>
          <w:i/>
          <w:iCs/>
          <w:color w:val="000000" w:themeColor="text1"/>
          <w:sz w:val="22"/>
          <w:szCs w:val="22"/>
          <w:lang w:val="en-GB"/>
        </w:rPr>
        <w:t xml:space="preserve">. </w:t>
      </w:r>
      <w:r w:rsidR="004709DC" w:rsidRPr="00C37A4D">
        <w:rPr>
          <w:rFonts w:asciiTheme="minorHAnsi" w:hAnsiTheme="minorHAnsi" w:cstheme="minorHAnsi"/>
          <w:i/>
          <w:iCs/>
          <w:color w:val="000000" w:themeColor="text1"/>
          <w:sz w:val="22"/>
          <w:szCs w:val="22"/>
          <w:lang w:val="en-GB"/>
        </w:rPr>
        <w:t>pneumoniae</w:t>
      </w:r>
      <w:r w:rsidR="004709DC" w:rsidRPr="00C37A4D">
        <w:rPr>
          <w:rFonts w:asciiTheme="minorHAnsi" w:hAnsiTheme="minorHAnsi" w:cstheme="minorHAnsi"/>
          <w:color w:val="000000" w:themeColor="text1"/>
          <w:sz w:val="22"/>
          <w:szCs w:val="22"/>
          <w:lang w:val="en-GB"/>
        </w:rPr>
        <w:t xml:space="preserve"> (STs 11, 15</w:t>
      </w:r>
      <w:r w:rsidR="00637319" w:rsidRPr="00C37A4D">
        <w:rPr>
          <w:rFonts w:asciiTheme="minorHAnsi" w:hAnsiTheme="minorHAnsi" w:cstheme="minorHAnsi"/>
          <w:color w:val="000000" w:themeColor="text1"/>
          <w:sz w:val="22"/>
          <w:szCs w:val="22"/>
          <w:lang w:val="en-GB"/>
        </w:rPr>
        <w:t>,</w:t>
      </w:r>
      <w:r w:rsidR="004709DC" w:rsidRPr="00C37A4D">
        <w:rPr>
          <w:rFonts w:asciiTheme="minorHAnsi" w:hAnsiTheme="minorHAnsi" w:cstheme="minorHAnsi"/>
          <w:color w:val="000000" w:themeColor="text1"/>
          <w:sz w:val="22"/>
          <w:szCs w:val="22"/>
          <w:lang w:val="en-GB"/>
        </w:rPr>
        <w:t xml:space="preserve"> and 17)</w:t>
      </w:r>
      <w:r w:rsidR="00E00CFD" w:rsidRPr="00E00CFD">
        <w:rPr>
          <w:rFonts w:hAnsiTheme="minorHAnsi"/>
          <w:color w:val="000000"/>
          <w:sz w:val="22"/>
          <w:vertAlign w:val="superscript"/>
        </w:rPr>
        <w:t>71,72</w:t>
      </w:r>
      <w:r w:rsidR="00904E44">
        <w:rPr>
          <w:rFonts w:hAnsiTheme="minorHAnsi"/>
          <w:color w:val="000000"/>
          <w:sz w:val="22"/>
          <w:vertAlign w:val="superscript"/>
        </w:rPr>
        <w:t xml:space="preserve"> </w:t>
      </w:r>
      <w:r w:rsidR="004709DC" w:rsidRPr="00C37A4D">
        <w:rPr>
          <w:rFonts w:asciiTheme="minorHAnsi" w:hAnsiTheme="minorHAnsi" w:cstheme="minorHAnsi"/>
          <w:color w:val="000000" w:themeColor="text1"/>
          <w:sz w:val="22"/>
          <w:szCs w:val="22"/>
          <w:lang w:val="en-GB"/>
        </w:rPr>
        <w:t xml:space="preserve">are overrepresented in neonatal sepsis and </w:t>
      </w:r>
      <w:r w:rsidR="00F53226">
        <w:rPr>
          <w:rFonts w:asciiTheme="minorHAnsi" w:hAnsiTheme="minorHAnsi" w:cstheme="minorHAnsi"/>
          <w:color w:val="000000" w:themeColor="text1"/>
          <w:sz w:val="22"/>
          <w:szCs w:val="22"/>
          <w:lang w:val="en-GB"/>
        </w:rPr>
        <w:t>HCAIs.</w:t>
      </w:r>
      <w:r w:rsidR="00E00CFD" w:rsidRPr="00E00CFD">
        <w:rPr>
          <w:rFonts w:hAnsiTheme="minorHAnsi"/>
          <w:color w:val="000000"/>
          <w:sz w:val="22"/>
          <w:vertAlign w:val="superscript"/>
        </w:rPr>
        <w:t>35,73</w:t>
      </w:r>
      <w:r w:rsidR="007E0439">
        <w:rPr>
          <w:rFonts w:hAnsiTheme="minorHAnsi"/>
          <w:color w:val="000000"/>
          <w:sz w:val="22"/>
          <w:vertAlign w:val="superscript"/>
        </w:rPr>
        <w:t xml:space="preserve"> </w:t>
      </w:r>
      <w:r w:rsidR="00C12136" w:rsidRPr="00C37A4D">
        <w:rPr>
          <w:rFonts w:asciiTheme="minorHAnsi" w:hAnsiTheme="minorHAnsi" w:cstheme="minorHAnsi"/>
          <w:color w:val="000000" w:themeColor="text1"/>
          <w:sz w:val="22"/>
          <w:szCs w:val="22"/>
          <w:lang w:val="en-GB"/>
        </w:rPr>
        <w:t xml:space="preserve">A </w:t>
      </w:r>
      <w:r w:rsidR="004709DC" w:rsidRPr="00C37A4D">
        <w:rPr>
          <w:rFonts w:asciiTheme="minorHAnsi" w:hAnsiTheme="minorHAnsi" w:cstheme="minorHAnsi"/>
          <w:color w:val="000000" w:themeColor="text1"/>
          <w:sz w:val="22"/>
          <w:szCs w:val="22"/>
          <w:lang w:val="en-GB"/>
        </w:rPr>
        <w:t xml:space="preserve">maternal vaccination strategy targeting </w:t>
      </w:r>
      <w:r w:rsidR="00800BB5">
        <w:rPr>
          <w:rFonts w:asciiTheme="minorHAnsi" w:hAnsiTheme="minorHAnsi" w:cstheme="minorHAnsi"/>
          <w:color w:val="000000" w:themeColor="text1"/>
          <w:sz w:val="22"/>
          <w:szCs w:val="22"/>
          <w:lang w:val="en-GB"/>
        </w:rPr>
        <w:t>these</w:t>
      </w:r>
      <w:r w:rsidR="00800BB5" w:rsidRPr="00C37A4D">
        <w:rPr>
          <w:rFonts w:asciiTheme="minorHAnsi" w:hAnsiTheme="minorHAnsi" w:cstheme="minorHAnsi"/>
          <w:color w:val="000000" w:themeColor="text1"/>
          <w:sz w:val="22"/>
          <w:szCs w:val="22"/>
          <w:lang w:val="en-GB"/>
        </w:rPr>
        <w:t xml:space="preserve"> </w:t>
      </w:r>
      <w:r w:rsidR="004709DC" w:rsidRPr="00C37A4D">
        <w:rPr>
          <w:rFonts w:asciiTheme="minorHAnsi" w:hAnsiTheme="minorHAnsi" w:cstheme="minorHAnsi"/>
          <w:color w:val="000000" w:themeColor="text1"/>
          <w:sz w:val="22"/>
          <w:szCs w:val="22"/>
          <w:lang w:val="en-GB"/>
        </w:rPr>
        <w:t xml:space="preserve">lineages could </w:t>
      </w:r>
      <w:r w:rsidR="00794C20">
        <w:rPr>
          <w:rFonts w:asciiTheme="minorHAnsi" w:hAnsiTheme="minorHAnsi" w:cstheme="minorHAnsi"/>
          <w:color w:val="000000" w:themeColor="text1"/>
          <w:sz w:val="22"/>
          <w:szCs w:val="22"/>
          <w:lang w:val="en-GB"/>
        </w:rPr>
        <w:t>significantly lower</w:t>
      </w:r>
      <w:r w:rsidR="00AC2352">
        <w:rPr>
          <w:rFonts w:asciiTheme="minorHAnsi" w:hAnsiTheme="minorHAnsi" w:cstheme="minorHAnsi"/>
          <w:color w:val="000000" w:themeColor="text1"/>
          <w:sz w:val="22"/>
          <w:szCs w:val="22"/>
          <w:lang w:val="en-GB"/>
        </w:rPr>
        <w:t xml:space="preserve"> </w:t>
      </w:r>
      <w:r w:rsidR="004709DC" w:rsidRPr="00C37A4D">
        <w:rPr>
          <w:rFonts w:asciiTheme="minorHAnsi" w:hAnsiTheme="minorHAnsi" w:cstheme="minorHAnsi"/>
          <w:color w:val="000000" w:themeColor="text1"/>
          <w:sz w:val="22"/>
          <w:szCs w:val="22"/>
          <w:lang w:val="en-GB"/>
        </w:rPr>
        <w:t>neonatal sepsis rates</w:t>
      </w:r>
      <w:r w:rsidR="00157D88" w:rsidRPr="00C37A4D">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74</w:t>
      </w:r>
      <w:r w:rsidR="00D35247">
        <w:rPr>
          <w:rFonts w:asciiTheme="minorHAnsi" w:hAnsiTheme="minorHAnsi" w:cstheme="minorHAnsi"/>
          <w:color w:val="000000" w:themeColor="text1"/>
          <w:sz w:val="22"/>
          <w:szCs w:val="22"/>
          <w:lang w:val="en-GB"/>
        </w:rPr>
        <w:t xml:space="preserve"> </w:t>
      </w:r>
      <w:r w:rsidR="003A050A">
        <w:rPr>
          <w:rFonts w:asciiTheme="minorHAnsi" w:hAnsiTheme="minorHAnsi" w:cstheme="minorHAnsi"/>
          <w:color w:val="000000" w:themeColor="text1"/>
          <w:sz w:val="22"/>
          <w:szCs w:val="22"/>
          <w:lang w:val="en-GB"/>
        </w:rPr>
        <w:t>S</w:t>
      </w:r>
      <w:r w:rsidR="00FB79C6" w:rsidRPr="00FB79C6">
        <w:rPr>
          <w:rFonts w:asciiTheme="minorHAnsi" w:hAnsiTheme="minorHAnsi" w:cstheme="minorHAnsi"/>
          <w:color w:val="000000" w:themeColor="text1"/>
          <w:sz w:val="22"/>
          <w:szCs w:val="22"/>
          <w:lang w:val="en-GB"/>
        </w:rPr>
        <w:t xml:space="preserve">urveillance </w:t>
      </w:r>
      <w:r w:rsidR="00445F7E">
        <w:rPr>
          <w:rFonts w:asciiTheme="minorHAnsi" w:hAnsiTheme="minorHAnsi" w:cstheme="minorHAnsi"/>
          <w:color w:val="000000" w:themeColor="text1"/>
          <w:sz w:val="22"/>
          <w:szCs w:val="22"/>
          <w:lang w:val="en-GB"/>
        </w:rPr>
        <w:t>using</w:t>
      </w:r>
      <w:r w:rsidR="00445F7E" w:rsidRPr="00FB79C6">
        <w:rPr>
          <w:rFonts w:asciiTheme="minorHAnsi" w:hAnsiTheme="minorHAnsi" w:cstheme="minorHAnsi"/>
          <w:color w:val="000000" w:themeColor="text1"/>
          <w:sz w:val="22"/>
          <w:szCs w:val="22"/>
          <w:lang w:val="en-GB"/>
        </w:rPr>
        <w:t xml:space="preserve"> </w:t>
      </w:r>
      <w:r w:rsidR="00FB79C6" w:rsidRPr="00FB79C6">
        <w:rPr>
          <w:rFonts w:asciiTheme="minorHAnsi" w:hAnsiTheme="minorHAnsi" w:cstheme="minorHAnsi"/>
          <w:color w:val="000000" w:themeColor="text1"/>
          <w:sz w:val="22"/>
          <w:szCs w:val="22"/>
          <w:lang w:val="en-GB"/>
        </w:rPr>
        <w:t xml:space="preserve">whole genome </w:t>
      </w:r>
      <w:r w:rsidR="00800BB5">
        <w:rPr>
          <w:rFonts w:asciiTheme="minorHAnsi" w:hAnsiTheme="minorHAnsi" w:cstheme="minorHAnsi"/>
          <w:color w:val="000000" w:themeColor="text1"/>
          <w:sz w:val="22"/>
          <w:szCs w:val="22"/>
          <w:lang w:val="en-GB"/>
        </w:rPr>
        <w:t>sequenc</w:t>
      </w:r>
      <w:r w:rsidR="00445F7E">
        <w:rPr>
          <w:rFonts w:asciiTheme="minorHAnsi" w:hAnsiTheme="minorHAnsi" w:cstheme="minorHAnsi"/>
          <w:color w:val="000000" w:themeColor="text1"/>
          <w:sz w:val="22"/>
          <w:szCs w:val="22"/>
          <w:lang w:val="en-GB"/>
        </w:rPr>
        <w:t>ing</w:t>
      </w:r>
      <w:r w:rsidR="00800BB5">
        <w:rPr>
          <w:rFonts w:asciiTheme="minorHAnsi" w:hAnsiTheme="minorHAnsi" w:cstheme="minorHAnsi"/>
          <w:color w:val="000000" w:themeColor="text1"/>
          <w:sz w:val="22"/>
          <w:szCs w:val="22"/>
          <w:lang w:val="en-GB"/>
        </w:rPr>
        <w:t xml:space="preserve"> provides this information at no extra cost and </w:t>
      </w:r>
      <w:r w:rsidR="00FB79C6" w:rsidRPr="00FB79C6">
        <w:rPr>
          <w:rFonts w:asciiTheme="minorHAnsi" w:hAnsiTheme="minorHAnsi" w:cstheme="minorHAnsi"/>
          <w:color w:val="000000" w:themeColor="text1"/>
          <w:sz w:val="22"/>
          <w:szCs w:val="22"/>
          <w:lang w:val="en-GB"/>
        </w:rPr>
        <w:t xml:space="preserve">offers </w:t>
      </w:r>
      <w:r w:rsidR="00800BB5">
        <w:rPr>
          <w:rFonts w:asciiTheme="minorHAnsi" w:hAnsiTheme="minorHAnsi" w:cstheme="minorHAnsi"/>
          <w:color w:val="000000" w:themeColor="text1"/>
          <w:sz w:val="22"/>
          <w:szCs w:val="22"/>
          <w:lang w:val="en-GB"/>
        </w:rPr>
        <w:t>more granularity</w:t>
      </w:r>
      <w:r w:rsidR="00FB79C6" w:rsidRPr="00FB79C6">
        <w:rPr>
          <w:rFonts w:asciiTheme="minorHAnsi" w:hAnsiTheme="minorHAnsi" w:cstheme="minorHAnsi"/>
          <w:color w:val="000000" w:themeColor="text1"/>
          <w:sz w:val="22"/>
          <w:szCs w:val="22"/>
          <w:lang w:val="en-GB"/>
        </w:rPr>
        <w:t xml:space="preserve"> </w:t>
      </w:r>
      <w:r w:rsidR="00445F7E">
        <w:rPr>
          <w:rFonts w:asciiTheme="minorHAnsi" w:hAnsiTheme="minorHAnsi" w:cstheme="minorHAnsi"/>
          <w:color w:val="000000" w:themeColor="text1"/>
          <w:sz w:val="22"/>
          <w:szCs w:val="22"/>
          <w:lang w:val="en-GB"/>
        </w:rPr>
        <w:t>than</w:t>
      </w:r>
      <w:r w:rsidR="00445F7E" w:rsidRPr="00FB79C6">
        <w:rPr>
          <w:rFonts w:asciiTheme="minorHAnsi" w:hAnsiTheme="minorHAnsi" w:cstheme="minorHAnsi"/>
          <w:color w:val="000000" w:themeColor="text1"/>
          <w:sz w:val="22"/>
          <w:szCs w:val="22"/>
          <w:lang w:val="en-GB"/>
        </w:rPr>
        <w:t xml:space="preserve"> </w:t>
      </w:r>
      <w:r w:rsidR="00FB79C6" w:rsidRPr="00FB79C6">
        <w:rPr>
          <w:rFonts w:asciiTheme="minorHAnsi" w:hAnsiTheme="minorHAnsi" w:cstheme="minorHAnsi"/>
          <w:color w:val="000000" w:themeColor="text1"/>
          <w:sz w:val="22"/>
          <w:szCs w:val="22"/>
          <w:lang w:val="en-GB"/>
        </w:rPr>
        <w:t xml:space="preserve">earlier genotypic methods. However, it falls short of achieving predictiveness to consistently guide empiric prescriptions or prevent </w:t>
      </w:r>
      <w:r w:rsidR="00652420">
        <w:rPr>
          <w:rFonts w:asciiTheme="minorHAnsi" w:hAnsiTheme="minorHAnsi" w:cstheme="minorHAnsi"/>
          <w:color w:val="000000" w:themeColor="text1"/>
          <w:sz w:val="22"/>
          <w:szCs w:val="22"/>
          <w:lang w:val="en-GB"/>
        </w:rPr>
        <w:t>HCAIs</w:t>
      </w:r>
      <w:r w:rsidR="00FB79C6" w:rsidRPr="00FB79C6">
        <w:rPr>
          <w:rFonts w:asciiTheme="minorHAnsi" w:hAnsiTheme="minorHAnsi" w:cstheme="minorHAnsi"/>
          <w:color w:val="000000" w:themeColor="text1"/>
          <w:sz w:val="22"/>
          <w:szCs w:val="22"/>
          <w:lang w:val="en-GB"/>
        </w:rPr>
        <w:t>.</w:t>
      </w:r>
      <w:r w:rsidR="00FB79C6">
        <w:rPr>
          <w:rFonts w:asciiTheme="minorHAnsi" w:hAnsiTheme="minorHAnsi" w:cstheme="minorHAnsi"/>
          <w:color w:val="000000" w:themeColor="text1"/>
          <w:sz w:val="22"/>
          <w:szCs w:val="22"/>
          <w:lang w:val="en-GB"/>
        </w:rPr>
        <w:t xml:space="preserve"> </w:t>
      </w:r>
      <w:r w:rsidR="00074F88">
        <w:rPr>
          <w:rFonts w:asciiTheme="minorHAnsi" w:hAnsiTheme="minorHAnsi" w:cstheme="minorHAnsi"/>
          <w:color w:val="000000" w:themeColor="text1"/>
          <w:sz w:val="22"/>
          <w:szCs w:val="22"/>
          <w:lang w:val="en-GB"/>
        </w:rPr>
        <w:t>B</w:t>
      </w:r>
      <w:r w:rsidR="00BA7614">
        <w:rPr>
          <w:rFonts w:asciiTheme="minorHAnsi" w:hAnsiTheme="minorHAnsi" w:cstheme="minorHAnsi"/>
          <w:color w:val="000000" w:themeColor="text1"/>
          <w:sz w:val="22"/>
          <w:szCs w:val="22"/>
          <w:lang w:val="en-GB"/>
        </w:rPr>
        <w:t xml:space="preserve">ecause turnaround times are typically long, </w:t>
      </w:r>
      <w:r w:rsidR="004709DC" w:rsidRPr="00C37A4D">
        <w:rPr>
          <w:rFonts w:asciiTheme="minorHAnsi" w:hAnsiTheme="minorHAnsi" w:cstheme="minorHAnsi"/>
          <w:color w:val="000000" w:themeColor="text1"/>
          <w:sz w:val="22"/>
          <w:szCs w:val="22"/>
          <w:lang w:val="en-GB"/>
        </w:rPr>
        <w:t xml:space="preserve">few </w:t>
      </w:r>
      <w:r w:rsidR="000A75EA" w:rsidRPr="00C37A4D">
        <w:rPr>
          <w:rFonts w:asciiTheme="minorHAnsi" w:hAnsiTheme="minorHAnsi" w:cstheme="minorHAnsi"/>
          <w:color w:val="000000" w:themeColor="text1"/>
          <w:sz w:val="22"/>
          <w:szCs w:val="22"/>
          <w:lang w:val="en-GB"/>
        </w:rPr>
        <w:t xml:space="preserve">outbreaks </w:t>
      </w:r>
      <w:r w:rsidR="004709DC" w:rsidRPr="00C37A4D">
        <w:rPr>
          <w:rFonts w:asciiTheme="minorHAnsi" w:hAnsiTheme="minorHAnsi" w:cstheme="minorHAnsi"/>
          <w:color w:val="000000" w:themeColor="text1"/>
          <w:sz w:val="22"/>
          <w:szCs w:val="22"/>
          <w:lang w:val="en-GB"/>
        </w:rPr>
        <w:t>have been shortened, stopped</w:t>
      </w:r>
      <w:r w:rsidR="00281709">
        <w:rPr>
          <w:rFonts w:asciiTheme="minorHAnsi" w:hAnsiTheme="minorHAnsi" w:cstheme="minorHAnsi"/>
          <w:color w:val="000000" w:themeColor="text1"/>
          <w:sz w:val="22"/>
          <w:szCs w:val="22"/>
          <w:lang w:val="en-GB"/>
        </w:rPr>
        <w:t>,</w:t>
      </w:r>
      <w:r w:rsidR="004709DC" w:rsidRPr="00C37A4D">
        <w:rPr>
          <w:rFonts w:asciiTheme="minorHAnsi" w:hAnsiTheme="minorHAnsi" w:cstheme="minorHAnsi"/>
          <w:color w:val="000000" w:themeColor="text1"/>
          <w:sz w:val="22"/>
          <w:szCs w:val="22"/>
          <w:lang w:val="en-GB"/>
        </w:rPr>
        <w:t xml:space="preserve"> or shrunk</w:t>
      </w:r>
      <w:r w:rsidR="00074F88">
        <w:rPr>
          <w:rFonts w:asciiTheme="minorHAnsi" w:hAnsiTheme="minorHAnsi" w:cstheme="minorHAnsi"/>
          <w:color w:val="000000" w:themeColor="text1"/>
          <w:sz w:val="22"/>
          <w:szCs w:val="22"/>
          <w:lang w:val="en-GB"/>
        </w:rPr>
        <w:t xml:space="preserve"> by sequencing</w:t>
      </w:r>
      <w:r w:rsidR="00BA7614">
        <w:rPr>
          <w:rFonts w:asciiTheme="minorHAnsi" w:hAnsiTheme="minorHAnsi" w:cstheme="minorHAnsi"/>
          <w:color w:val="000000" w:themeColor="text1"/>
          <w:sz w:val="22"/>
          <w:szCs w:val="22"/>
          <w:lang w:val="en-GB"/>
        </w:rPr>
        <w:t xml:space="preserve">. </w:t>
      </w:r>
      <w:r w:rsidR="006037BB" w:rsidRPr="00C37A4D">
        <w:rPr>
          <w:rFonts w:asciiTheme="minorHAnsi" w:hAnsiTheme="minorHAnsi" w:cstheme="minorHAnsi"/>
          <w:color w:val="000000" w:themeColor="text1"/>
          <w:sz w:val="22"/>
          <w:szCs w:val="22"/>
          <w:lang w:val="en-GB"/>
        </w:rPr>
        <w:t>A short turnaround has in fact</w:t>
      </w:r>
      <w:r w:rsidR="004709DC" w:rsidRPr="00C37A4D">
        <w:rPr>
          <w:rFonts w:asciiTheme="minorHAnsi" w:hAnsiTheme="minorHAnsi" w:cstheme="minorHAnsi"/>
          <w:color w:val="000000" w:themeColor="text1"/>
          <w:sz w:val="22"/>
          <w:szCs w:val="22"/>
          <w:lang w:val="en-GB"/>
        </w:rPr>
        <w:t xml:space="preserve"> </w:t>
      </w:r>
      <w:r w:rsidR="006037BB" w:rsidRPr="00C37A4D">
        <w:rPr>
          <w:rFonts w:asciiTheme="minorHAnsi" w:hAnsiTheme="minorHAnsi" w:cstheme="minorHAnsi"/>
          <w:color w:val="000000" w:themeColor="text1"/>
          <w:sz w:val="22"/>
          <w:szCs w:val="22"/>
          <w:lang w:val="en-GB"/>
        </w:rPr>
        <w:t xml:space="preserve">been </w:t>
      </w:r>
      <w:r w:rsidR="004709DC" w:rsidRPr="00C37A4D">
        <w:rPr>
          <w:rFonts w:asciiTheme="minorHAnsi" w:hAnsiTheme="minorHAnsi" w:cstheme="minorHAnsi"/>
          <w:color w:val="000000" w:themeColor="text1"/>
          <w:sz w:val="22"/>
          <w:szCs w:val="22"/>
          <w:lang w:val="en-GB"/>
        </w:rPr>
        <w:t>achieved</w:t>
      </w:r>
      <w:r w:rsidR="000A75EA" w:rsidRPr="00C37A4D">
        <w:rPr>
          <w:rFonts w:asciiTheme="minorHAnsi" w:hAnsiTheme="minorHAnsi" w:cstheme="minorHAnsi"/>
          <w:color w:val="000000" w:themeColor="text1"/>
          <w:sz w:val="22"/>
          <w:szCs w:val="22"/>
          <w:lang w:val="en-GB"/>
        </w:rPr>
        <w:t xml:space="preserve"> in some instances</w:t>
      </w:r>
      <w:r w:rsidR="00E00CFD" w:rsidRPr="00E00CFD">
        <w:rPr>
          <w:rFonts w:hAnsiTheme="minorHAnsi"/>
          <w:color w:val="000000"/>
          <w:sz w:val="22"/>
          <w:vertAlign w:val="superscript"/>
        </w:rPr>
        <w:t>69</w:t>
      </w:r>
      <w:r w:rsidR="00F73B99">
        <w:rPr>
          <w:rFonts w:asciiTheme="minorHAnsi" w:hAnsiTheme="minorHAnsi" w:cstheme="minorHAnsi"/>
          <w:color w:val="000000" w:themeColor="text1"/>
          <w:sz w:val="22"/>
          <w:szCs w:val="22"/>
          <w:lang w:val="en-GB"/>
        </w:rPr>
        <w:t>;</w:t>
      </w:r>
      <w:r w:rsidR="004709DC" w:rsidRPr="00C37A4D">
        <w:rPr>
          <w:rFonts w:asciiTheme="minorHAnsi" w:hAnsiTheme="minorHAnsi" w:cstheme="minorHAnsi"/>
          <w:color w:val="000000" w:themeColor="text1"/>
          <w:sz w:val="22"/>
          <w:szCs w:val="22"/>
          <w:lang w:val="en-GB"/>
        </w:rPr>
        <w:t xml:space="preserve"> </w:t>
      </w:r>
      <w:r w:rsidR="00D35247">
        <w:rPr>
          <w:rFonts w:asciiTheme="minorHAnsi" w:hAnsiTheme="minorHAnsi" w:cstheme="minorHAnsi"/>
          <w:color w:val="000000" w:themeColor="text1"/>
          <w:sz w:val="22"/>
          <w:szCs w:val="22"/>
          <w:lang w:val="en-GB"/>
        </w:rPr>
        <w:t xml:space="preserve">the barriers to </w:t>
      </w:r>
      <w:r w:rsidR="00800BB5">
        <w:rPr>
          <w:rFonts w:asciiTheme="minorHAnsi" w:hAnsiTheme="minorHAnsi" w:cstheme="minorHAnsi"/>
          <w:color w:val="000000" w:themeColor="text1"/>
          <w:sz w:val="22"/>
          <w:szCs w:val="22"/>
          <w:lang w:val="en-GB"/>
        </w:rPr>
        <w:t>genomic</w:t>
      </w:r>
      <w:r w:rsidR="00D35247">
        <w:rPr>
          <w:rFonts w:asciiTheme="minorHAnsi" w:hAnsiTheme="minorHAnsi" w:cstheme="minorHAnsi"/>
          <w:color w:val="000000" w:themeColor="text1"/>
          <w:sz w:val="22"/>
          <w:szCs w:val="22"/>
          <w:lang w:val="en-GB"/>
        </w:rPr>
        <w:t xml:space="preserve"> surveillance</w:t>
      </w:r>
      <w:r w:rsidR="0016679D">
        <w:rPr>
          <w:rFonts w:asciiTheme="minorHAnsi" w:hAnsiTheme="minorHAnsi" w:cstheme="minorHAnsi"/>
          <w:color w:val="000000" w:themeColor="text1"/>
          <w:sz w:val="22"/>
          <w:szCs w:val="22"/>
          <w:lang w:val="en-GB"/>
        </w:rPr>
        <w:t>’s full potential</w:t>
      </w:r>
      <w:r w:rsidR="004709DC" w:rsidRPr="00C37A4D">
        <w:rPr>
          <w:rFonts w:asciiTheme="minorHAnsi" w:hAnsiTheme="minorHAnsi" w:cstheme="minorHAnsi"/>
          <w:color w:val="000000" w:themeColor="text1"/>
          <w:sz w:val="22"/>
          <w:szCs w:val="22"/>
          <w:lang w:val="en-GB"/>
        </w:rPr>
        <w:t xml:space="preserve"> </w:t>
      </w:r>
      <w:r w:rsidR="00800BB5">
        <w:rPr>
          <w:rFonts w:asciiTheme="minorHAnsi" w:hAnsiTheme="minorHAnsi" w:cstheme="minorHAnsi"/>
          <w:color w:val="000000" w:themeColor="text1"/>
          <w:sz w:val="22"/>
          <w:szCs w:val="22"/>
          <w:lang w:val="en-GB"/>
        </w:rPr>
        <w:t>arise from its use</w:t>
      </w:r>
      <w:r w:rsidR="00794C20" w:rsidRPr="00C37A4D">
        <w:rPr>
          <w:rFonts w:asciiTheme="minorHAnsi" w:hAnsiTheme="minorHAnsi" w:cstheme="minorHAnsi"/>
          <w:color w:val="000000" w:themeColor="text1"/>
          <w:sz w:val="22"/>
          <w:szCs w:val="22"/>
          <w:lang w:val="en-GB"/>
        </w:rPr>
        <w:t xml:space="preserve"> </w:t>
      </w:r>
      <w:r w:rsidR="000A75EA" w:rsidRPr="00C37A4D">
        <w:rPr>
          <w:rFonts w:asciiTheme="minorHAnsi" w:hAnsiTheme="minorHAnsi" w:cstheme="minorHAnsi"/>
          <w:color w:val="000000" w:themeColor="text1"/>
          <w:sz w:val="22"/>
          <w:szCs w:val="22"/>
          <w:lang w:val="en-GB"/>
        </w:rPr>
        <w:t xml:space="preserve">in </w:t>
      </w:r>
      <w:r w:rsidR="004709DC" w:rsidRPr="00C37A4D">
        <w:rPr>
          <w:rFonts w:asciiTheme="minorHAnsi" w:hAnsiTheme="minorHAnsi" w:cstheme="minorHAnsi"/>
          <w:color w:val="000000" w:themeColor="text1"/>
          <w:sz w:val="22"/>
          <w:szCs w:val="22"/>
          <w:lang w:val="en-GB"/>
        </w:rPr>
        <w:t xml:space="preserve">large flagship initiatives too far removed from at-risk patients. Facility-based surveillance in neonatal </w:t>
      </w:r>
      <w:r w:rsidR="00E7017A" w:rsidRPr="00C37A4D">
        <w:rPr>
          <w:rFonts w:asciiTheme="minorHAnsi" w:hAnsiTheme="minorHAnsi" w:cstheme="minorHAnsi"/>
          <w:color w:val="000000" w:themeColor="text1"/>
          <w:sz w:val="22"/>
          <w:szCs w:val="22"/>
          <w:lang w:val="en-GB"/>
        </w:rPr>
        <w:t>intensive</w:t>
      </w:r>
      <w:r w:rsidR="000A75EA" w:rsidRPr="00C37A4D">
        <w:rPr>
          <w:rFonts w:asciiTheme="minorHAnsi" w:hAnsiTheme="minorHAnsi" w:cstheme="minorHAnsi"/>
          <w:color w:val="000000" w:themeColor="text1"/>
          <w:sz w:val="22"/>
          <w:szCs w:val="22"/>
          <w:lang w:val="en-GB"/>
        </w:rPr>
        <w:t>-</w:t>
      </w:r>
      <w:r w:rsidR="00E7017A" w:rsidRPr="00C37A4D">
        <w:rPr>
          <w:rFonts w:asciiTheme="minorHAnsi" w:hAnsiTheme="minorHAnsi" w:cstheme="minorHAnsi"/>
          <w:color w:val="000000" w:themeColor="text1"/>
          <w:sz w:val="22"/>
          <w:szCs w:val="22"/>
          <w:lang w:val="en-GB"/>
        </w:rPr>
        <w:t>care</w:t>
      </w:r>
      <w:r w:rsidR="004709DC" w:rsidRPr="00C37A4D">
        <w:rPr>
          <w:rFonts w:asciiTheme="minorHAnsi" w:hAnsiTheme="minorHAnsi" w:cstheme="minorHAnsi"/>
          <w:color w:val="000000" w:themeColor="text1"/>
          <w:sz w:val="22"/>
          <w:szCs w:val="22"/>
          <w:lang w:val="en-GB"/>
        </w:rPr>
        <w:t xml:space="preserve"> wards can help prevent infections by identifying</w:t>
      </w:r>
      <w:r w:rsidR="006A699C" w:rsidRPr="00C37A4D">
        <w:rPr>
          <w:rFonts w:asciiTheme="minorHAnsi" w:hAnsiTheme="minorHAnsi" w:cstheme="minorHAnsi"/>
          <w:color w:val="000000" w:themeColor="text1"/>
          <w:sz w:val="22"/>
          <w:szCs w:val="22"/>
          <w:lang w:val="en-GB"/>
        </w:rPr>
        <w:t xml:space="preserve"> and</w:t>
      </w:r>
      <w:r w:rsidR="004709DC" w:rsidRPr="00C37A4D">
        <w:rPr>
          <w:rFonts w:asciiTheme="minorHAnsi" w:hAnsiTheme="minorHAnsi" w:cstheme="minorHAnsi"/>
          <w:color w:val="000000" w:themeColor="text1"/>
          <w:sz w:val="22"/>
          <w:szCs w:val="22"/>
          <w:lang w:val="en-GB"/>
        </w:rPr>
        <w:t xml:space="preserve"> segregating infants coloni</w:t>
      </w:r>
      <w:r w:rsidR="0094482F" w:rsidRPr="00C37A4D">
        <w:rPr>
          <w:rFonts w:asciiTheme="minorHAnsi" w:hAnsiTheme="minorHAnsi" w:cstheme="minorHAnsi"/>
          <w:color w:val="000000" w:themeColor="text1"/>
          <w:sz w:val="22"/>
          <w:szCs w:val="22"/>
          <w:lang w:val="en-GB"/>
        </w:rPr>
        <w:t>s</w:t>
      </w:r>
      <w:r w:rsidR="004709DC" w:rsidRPr="00C37A4D">
        <w:rPr>
          <w:rFonts w:asciiTheme="minorHAnsi" w:hAnsiTheme="minorHAnsi" w:cstheme="minorHAnsi"/>
          <w:color w:val="000000" w:themeColor="text1"/>
          <w:sz w:val="22"/>
          <w:szCs w:val="22"/>
          <w:lang w:val="en-GB"/>
        </w:rPr>
        <w:t>ed with potential</w:t>
      </w:r>
      <w:r w:rsidR="000A75EA" w:rsidRPr="00C37A4D">
        <w:rPr>
          <w:rFonts w:asciiTheme="minorHAnsi" w:hAnsiTheme="minorHAnsi" w:cstheme="minorHAnsi"/>
          <w:color w:val="000000" w:themeColor="text1"/>
          <w:sz w:val="22"/>
          <w:szCs w:val="22"/>
          <w:lang w:val="en-GB"/>
        </w:rPr>
        <w:t>ly</w:t>
      </w:r>
      <w:r w:rsidR="004709DC" w:rsidRPr="00C37A4D">
        <w:rPr>
          <w:rFonts w:asciiTheme="minorHAnsi" w:hAnsiTheme="minorHAnsi" w:cstheme="minorHAnsi"/>
          <w:color w:val="000000" w:themeColor="text1"/>
          <w:sz w:val="22"/>
          <w:szCs w:val="22"/>
          <w:lang w:val="en-GB"/>
        </w:rPr>
        <w:t xml:space="preserve"> resistant pathogens</w:t>
      </w:r>
      <w:r w:rsidR="007432E0" w:rsidRPr="00C37A4D">
        <w:rPr>
          <w:rFonts w:asciiTheme="minorHAnsi" w:hAnsiTheme="minorHAnsi" w:cstheme="minorHAnsi"/>
          <w:color w:val="000000" w:themeColor="text1"/>
          <w:sz w:val="22"/>
          <w:szCs w:val="22"/>
          <w:lang w:val="en-GB"/>
        </w:rPr>
        <w:t>,</w:t>
      </w:r>
      <w:r w:rsidR="004709DC" w:rsidRPr="00C37A4D">
        <w:rPr>
          <w:rFonts w:asciiTheme="minorHAnsi" w:hAnsiTheme="minorHAnsi" w:cstheme="minorHAnsi"/>
          <w:color w:val="000000" w:themeColor="text1"/>
          <w:sz w:val="22"/>
          <w:szCs w:val="22"/>
          <w:lang w:val="en-GB"/>
        </w:rPr>
        <w:t xml:space="preserve"> </w:t>
      </w:r>
      <w:r w:rsidR="007432E0" w:rsidRPr="00C37A4D">
        <w:rPr>
          <w:rFonts w:asciiTheme="minorHAnsi" w:hAnsiTheme="minorHAnsi" w:cstheme="minorHAnsi"/>
          <w:color w:val="000000" w:themeColor="text1"/>
          <w:sz w:val="22"/>
          <w:szCs w:val="22"/>
          <w:lang w:val="en-GB"/>
        </w:rPr>
        <w:t>monitoring them for</w:t>
      </w:r>
      <w:r w:rsidR="004709DC" w:rsidRPr="00C37A4D">
        <w:rPr>
          <w:rFonts w:asciiTheme="minorHAnsi" w:hAnsiTheme="minorHAnsi" w:cstheme="minorHAnsi"/>
          <w:color w:val="000000" w:themeColor="text1"/>
          <w:sz w:val="22"/>
          <w:szCs w:val="22"/>
          <w:lang w:val="en-GB"/>
        </w:rPr>
        <w:t xml:space="preserve"> sepsis</w:t>
      </w:r>
      <w:r w:rsidR="007432E0" w:rsidRPr="00C37A4D">
        <w:rPr>
          <w:rFonts w:asciiTheme="minorHAnsi" w:hAnsiTheme="minorHAnsi" w:cstheme="minorHAnsi"/>
          <w:color w:val="000000" w:themeColor="text1"/>
          <w:sz w:val="22"/>
          <w:szCs w:val="22"/>
          <w:lang w:val="en-GB"/>
        </w:rPr>
        <w:t>,</w:t>
      </w:r>
      <w:r w:rsidR="004709DC" w:rsidRPr="00C37A4D">
        <w:rPr>
          <w:rFonts w:asciiTheme="minorHAnsi" w:hAnsiTheme="minorHAnsi" w:cstheme="minorHAnsi"/>
          <w:color w:val="000000" w:themeColor="text1"/>
          <w:sz w:val="22"/>
          <w:szCs w:val="22"/>
          <w:lang w:val="en-GB"/>
        </w:rPr>
        <w:t xml:space="preserve"> and </w:t>
      </w:r>
      <w:r w:rsidR="007432E0" w:rsidRPr="00C37A4D">
        <w:rPr>
          <w:rFonts w:asciiTheme="minorHAnsi" w:hAnsiTheme="minorHAnsi" w:cstheme="minorHAnsi"/>
          <w:color w:val="000000" w:themeColor="text1"/>
          <w:sz w:val="22"/>
          <w:szCs w:val="22"/>
          <w:lang w:val="en-GB"/>
        </w:rPr>
        <w:t xml:space="preserve">administering </w:t>
      </w:r>
      <w:r w:rsidR="004709DC" w:rsidRPr="00C37A4D">
        <w:rPr>
          <w:rFonts w:asciiTheme="minorHAnsi" w:hAnsiTheme="minorHAnsi" w:cstheme="minorHAnsi"/>
          <w:color w:val="000000" w:themeColor="text1"/>
          <w:sz w:val="22"/>
          <w:szCs w:val="22"/>
          <w:lang w:val="en-GB"/>
        </w:rPr>
        <w:t>treatment based on actual susceptibility profiles.</w:t>
      </w:r>
    </w:p>
    <w:p w14:paraId="20EC0D26" w14:textId="77777777" w:rsidR="004709DC" w:rsidRPr="00C37A4D" w:rsidRDefault="004709DC" w:rsidP="004709DC">
      <w:pPr>
        <w:rPr>
          <w:rFonts w:asciiTheme="minorHAnsi" w:hAnsiTheme="minorHAnsi" w:cstheme="minorHAnsi"/>
          <w:color w:val="000000" w:themeColor="text1"/>
          <w:sz w:val="22"/>
          <w:szCs w:val="22"/>
          <w:lang w:val="en-GB"/>
        </w:rPr>
      </w:pPr>
    </w:p>
    <w:p w14:paraId="3603F204" w14:textId="3519FA1F" w:rsidR="004709DC" w:rsidRPr="00C37A4D" w:rsidRDefault="00C45E50" w:rsidP="004709DC">
      <w:pPr>
        <w:rPr>
          <w:rFonts w:asciiTheme="minorHAnsi" w:hAnsiTheme="minorHAnsi" w:cstheme="minorHAnsi"/>
          <w:b/>
          <w:bCs/>
          <w:color w:val="000000" w:themeColor="text1"/>
          <w:sz w:val="22"/>
          <w:szCs w:val="22"/>
          <w:lang w:val="en-GB"/>
        </w:rPr>
      </w:pPr>
      <w:r w:rsidRPr="00C37A4D">
        <w:rPr>
          <w:rFonts w:asciiTheme="minorHAnsi" w:hAnsiTheme="minorHAnsi" w:cstheme="minorHAnsi"/>
          <w:b/>
          <w:bCs/>
          <w:color w:val="000000" w:themeColor="text1"/>
          <w:sz w:val="22"/>
          <w:szCs w:val="22"/>
          <w:lang w:val="en-GB"/>
        </w:rPr>
        <w:t xml:space="preserve">THREATS TO </w:t>
      </w:r>
      <w:r w:rsidR="00445F7E">
        <w:rPr>
          <w:rFonts w:asciiTheme="minorHAnsi" w:hAnsiTheme="minorHAnsi" w:cstheme="minorHAnsi"/>
          <w:b/>
          <w:bCs/>
          <w:color w:val="000000" w:themeColor="text1"/>
          <w:sz w:val="22"/>
          <w:szCs w:val="22"/>
          <w:lang w:val="en-GB"/>
        </w:rPr>
        <w:t xml:space="preserve">THE </w:t>
      </w:r>
      <w:r w:rsidRPr="00C37A4D">
        <w:rPr>
          <w:rFonts w:asciiTheme="minorHAnsi" w:hAnsiTheme="minorHAnsi" w:cstheme="minorHAnsi"/>
          <w:b/>
          <w:bCs/>
          <w:color w:val="000000" w:themeColor="text1"/>
          <w:sz w:val="22"/>
          <w:szCs w:val="22"/>
          <w:lang w:val="en-GB"/>
        </w:rPr>
        <w:t>ELDERLY AND CHRONIC</w:t>
      </w:r>
      <w:r w:rsidR="00445F7E">
        <w:rPr>
          <w:rFonts w:asciiTheme="minorHAnsi" w:hAnsiTheme="minorHAnsi" w:cstheme="minorHAnsi"/>
          <w:b/>
          <w:bCs/>
          <w:color w:val="000000" w:themeColor="text1"/>
          <w:sz w:val="22"/>
          <w:szCs w:val="22"/>
          <w:lang w:val="en-GB"/>
        </w:rPr>
        <w:t>ALLY ILL</w:t>
      </w:r>
    </w:p>
    <w:p w14:paraId="50684670" w14:textId="6BDAEA1C" w:rsidR="004709DC" w:rsidRPr="00C37A4D" w:rsidRDefault="002125D1" w:rsidP="004709DC">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People of any age</w:t>
      </w:r>
      <w:r w:rsidR="004709DC" w:rsidRPr="00C37A4D">
        <w:rPr>
          <w:rFonts w:asciiTheme="minorHAnsi" w:hAnsiTheme="minorHAnsi" w:cstheme="minorHAnsi"/>
          <w:color w:val="000000" w:themeColor="text1"/>
          <w:sz w:val="22"/>
          <w:szCs w:val="22"/>
          <w:lang w:val="en-GB"/>
        </w:rPr>
        <w:t xml:space="preserve"> can fall victim to </w:t>
      </w:r>
      <w:proofErr w:type="gramStart"/>
      <w:r w:rsidR="00DC7035">
        <w:rPr>
          <w:rFonts w:asciiTheme="minorHAnsi" w:hAnsiTheme="minorHAnsi" w:cstheme="minorHAnsi"/>
          <w:color w:val="000000" w:themeColor="text1"/>
          <w:sz w:val="22"/>
          <w:szCs w:val="22"/>
          <w:lang w:val="en-GB"/>
        </w:rPr>
        <w:t>HCAIs</w:t>
      </w:r>
      <w:proofErr w:type="gramEnd"/>
      <w:r>
        <w:rPr>
          <w:rFonts w:asciiTheme="minorHAnsi" w:hAnsiTheme="minorHAnsi" w:cstheme="minorHAnsi"/>
          <w:color w:val="000000" w:themeColor="text1"/>
          <w:sz w:val="22"/>
          <w:szCs w:val="22"/>
          <w:lang w:val="en-GB"/>
        </w:rPr>
        <w:t xml:space="preserve"> and the elderly face significant risk</w:t>
      </w:r>
      <w:r w:rsidR="00996DF5" w:rsidRPr="00996DF5">
        <w:rPr>
          <w:rFonts w:asciiTheme="minorHAnsi" w:hAnsiTheme="minorHAnsi" w:cstheme="minorHAnsi"/>
          <w:color w:val="000000" w:themeColor="text1"/>
          <w:sz w:val="22"/>
          <w:szCs w:val="22"/>
          <w:lang w:val="en-GB"/>
        </w:rPr>
        <w:t xml:space="preserve"> </w:t>
      </w:r>
      <w:r w:rsidR="00996DF5" w:rsidRPr="00C37A4D">
        <w:rPr>
          <w:rFonts w:asciiTheme="minorHAnsi" w:hAnsiTheme="minorHAnsi" w:cstheme="minorHAnsi"/>
          <w:color w:val="000000" w:themeColor="text1"/>
          <w:sz w:val="22"/>
          <w:szCs w:val="22"/>
          <w:lang w:val="en-GB"/>
        </w:rPr>
        <w:t>as aging populations benefit from advancements in medical care</w:t>
      </w:r>
      <w:r w:rsidR="00996DF5">
        <w:rPr>
          <w:rFonts w:asciiTheme="minorHAnsi" w:hAnsiTheme="minorHAnsi" w:cstheme="minorHAnsi"/>
          <w:color w:val="000000" w:themeColor="text1"/>
          <w:sz w:val="22"/>
          <w:szCs w:val="22"/>
          <w:lang w:val="en-GB"/>
        </w:rPr>
        <w:t xml:space="preserve"> and enter hospitals and long-term care facilities</w:t>
      </w:r>
      <w:r w:rsidR="004709DC" w:rsidRPr="00C37A4D">
        <w:rPr>
          <w:rFonts w:asciiTheme="minorHAnsi" w:hAnsiTheme="minorHAnsi" w:cstheme="minorHAnsi"/>
          <w:color w:val="000000" w:themeColor="text1"/>
          <w:sz w:val="22"/>
          <w:szCs w:val="22"/>
          <w:lang w:val="en-GB"/>
        </w:rPr>
        <w:t xml:space="preserve">. The UK national health service alone loses approximately </w:t>
      </w:r>
      <w:r w:rsidR="00DC7035">
        <w:rPr>
          <w:color w:val="000000" w:themeColor="text1"/>
          <w:sz w:val="22"/>
          <w:szCs w:val="22"/>
          <w:lang w:val="en-GB"/>
        </w:rPr>
        <w:t>£</w:t>
      </w:r>
      <w:r w:rsidR="00DC7035">
        <w:rPr>
          <w:rFonts w:asciiTheme="minorHAnsi" w:hAnsiTheme="minorHAnsi" w:cstheme="minorHAnsi"/>
          <w:color w:val="000000" w:themeColor="text1"/>
          <w:sz w:val="22"/>
          <w:szCs w:val="22"/>
          <w:lang w:val="en-GB"/>
        </w:rPr>
        <w:t>2</w:t>
      </w:r>
      <w:r w:rsidR="004709DC" w:rsidRPr="00C37A4D">
        <w:rPr>
          <w:rFonts w:asciiTheme="minorHAnsi" w:hAnsiTheme="minorHAnsi" w:cstheme="minorHAnsi"/>
          <w:color w:val="000000" w:themeColor="text1"/>
          <w:sz w:val="22"/>
          <w:szCs w:val="22"/>
          <w:lang w:val="en-GB"/>
        </w:rPr>
        <w:t xml:space="preserve"> </w:t>
      </w:r>
      <w:r w:rsidR="00C259CC" w:rsidRPr="00C37A4D">
        <w:rPr>
          <w:rFonts w:asciiTheme="minorHAnsi" w:hAnsiTheme="minorHAnsi" w:cstheme="minorHAnsi"/>
          <w:color w:val="000000" w:themeColor="text1"/>
          <w:sz w:val="22"/>
          <w:szCs w:val="22"/>
          <w:lang w:val="en-GB"/>
        </w:rPr>
        <w:t>b</w:t>
      </w:r>
      <w:r w:rsidR="004709DC" w:rsidRPr="00C37A4D">
        <w:rPr>
          <w:rFonts w:asciiTheme="minorHAnsi" w:hAnsiTheme="minorHAnsi" w:cstheme="minorHAnsi"/>
          <w:color w:val="000000" w:themeColor="text1"/>
          <w:sz w:val="22"/>
          <w:szCs w:val="22"/>
          <w:lang w:val="en-GB"/>
        </w:rPr>
        <w:t xml:space="preserve">illion annually to </w:t>
      </w:r>
      <w:r w:rsidR="0081035C">
        <w:rPr>
          <w:rFonts w:asciiTheme="minorHAnsi" w:hAnsiTheme="minorHAnsi" w:cstheme="minorHAnsi"/>
          <w:color w:val="000000" w:themeColor="text1"/>
          <w:sz w:val="22"/>
          <w:szCs w:val="22"/>
          <w:lang w:val="en-GB"/>
        </w:rPr>
        <w:t>HCAIs</w:t>
      </w:r>
      <w:r w:rsidR="001B36BC">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75</w:t>
      </w:r>
      <w:r w:rsidR="004709DC" w:rsidRPr="00C37A4D">
        <w:rPr>
          <w:rFonts w:asciiTheme="minorHAnsi" w:hAnsiTheme="minorHAnsi" w:cstheme="minorHAnsi"/>
          <w:color w:val="000000" w:themeColor="text1"/>
          <w:sz w:val="22"/>
          <w:szCs w:val="22"/>
          <w:lang w:val="en-GB"/>
        </w:rPr>
        <w:t xml:space="preserve"> </w:t>
      </w:r>
      <w:r w:rsidR="001B36BC">
        <w:rPr>
          <w:rFonts w:asciiTheme="minorHAnsi" w:hAnsiTheme="minorHAnsi" w:cstheme="minorHAnsi"/>
          <w:color w:val="000000" w:themeColor="text1"/>
          <w:sz w:val="22"/>
          <w:szCs w:val="22"/>
          <w:lang w:val="en-GB"/>
        </w:rPr>
        <w:t>mostly</w:t>
      </w:r>
      <w:r w:rsidR="00BA7614">
        <w:rPr>
          <w:rFonts w:asciiTheme="minorHAnsi" w:hAnsiTheme="minorHAnsi" w:cstheme="minorHAnsi"/>
          <w:color w:val="000000" w:themeColor="text1"/>
          <w:sz w:val="22"/>
          <w:szCs w:val="22"/>
          <w:lang w:val="en-GB"/>
        </w:rPr>
        <w:t xml:space="preserve"> bacteria</w:t>
      </w:r>
      <w:r w:rsidR="001B36BC">
        <w:rPr>
          <w:rFonts w:asciiTheme="minorHAnsi" w:hAnsiTheme="minorHAnsi" w:cstheme="minorHAnsi"/>
          <w:color w:val="000000" w:themeColor="text1"/>
          <w:sz w:val="22"/>
          <w:szCs w:val="22"/>
          <w:lang w:val="en-GB"/>
        </w:rPr>
        <w:t>l</w:t>
      </w:r>
      <w:r w:rsidR="00BA7614">
        <w:rPr>
          <w:rFonts w:asciiTheme="minorHAnsi" w:hAnsiTheme="minorHAnsi" w:cstheme="minorHAnsi"/>
          <w:color w:val="000000" w:themeColor="text1"/>
          <w:sz w:val="22"/>
          <w:szCs w:val="22"/>
          <w:lang w:val="en-GB"/>
        </w:rPr>
        <w:t xml:space="preserve"> but</w:t>
      </w:r>
      <w:r w:rsidR="001B36BC">
        <w:rPr>
          <w:rFonts w:asciiTheme="minorHAnsi" w:hAnsiTheme="minorHAnsi" w:cstheme="minorHAnsi"/>
          <w:color w:val="000000" w:themeColor="text1"/>
          <w:sz w:val="22"/>
          <w:szCs w:val="22"/>
          <w:lang w:val="en-GB"/>
        </w:rPr>
        <w:t xml:space="preserve">, </w:t>
      </w:r>
      <w:r w:rsidR="001B36BC">
        <w:rPr>
          <w:rFonts w:asciiTheme="minorHAnsi" w:hAnsiTheme="minorHAnsi" w:cstheme="minorHAnsi"/>
          <w:color w:val="000000" w:themeColor="text1"/>
          <w:sz w:val="22"/>
          <w:szCs w:val="22"/>
          <w:lang w:val="en-GB"/>
        </w:rPr>
        <w:lastRenderedPageBreak/>
        <w:t>increasingly, fungal</w:t>
      </w:r>
      <w:r w:rsidR="00BA7614">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62</w:t>
      </w:r>
      <w:r w:rsidR="0066136A">
        <w:rPr>
          <w:rFonts w:asciiTheme="minorHAnsi" w:hAnsiTheme="minorHAnsi" w:cstheme="minorHAnsi"/>
          <w:color w:val="000000" w:themeColor="text1"/>
          <w:sz w:val="22"/>
          <w:szCs w:val="22"/>
          <w:lang w:val="en-GB"/>
        </w:rPr>
        <w:t xml:space="preserve"> </w:t>
      </w:r>
      <w:r w:rsidR="004709DC" w:rsidRPr="00C37A4D">
        <w:rPr>
          <w:rFonts w:asciiTheme="minorHAnsi" w:hAnsiTheme="minorHAnsi" w:cstheme="minorHAnsi"/>
          <w:color w:val="000000" w:themeColor="text1"/>
          <w:sz w:val="22"/>
          <w:szCs w:val="22"/>
          <w:lang w:val="en-GB"/>
        </w:rPr>
        <w:t>Despite some improvements in infection prevention and control</w:t>
      </w:r>
      <w:r w:rsidR="00E7017A" w:rsidRPr="00C37A4D">
        <w:rPr>
          <w:rFonts w:asciiTheme="minorHAnsi" w:hAnsiTheme="minorHAnsi" w:cstheme="minorHAnsi"/>
          <w:color w:val="000000" w:themeColor="text1"/>
          <w:sz w:val="22"/>
          <w:szCs w:val="22"/>
          <w:lang w:val="en-GB"/>
        </w:rPr>
        <w:t xml:space="preserve">, </w:t>
      </w:r>
      <w:r w:rsidR="001B36BC">
        <w:rPr>
          <w:rFonts w:asciiTheme="minorHAnsi" w:hAnsiTheme="minorHAnsi" w:cstheme="minorHAnsi"/>
          <w:color w:val="000000" w:themeColor="text1"/>
          <w:sz w:val="22"/>
          <w:szCs w:val="22"/>
          <w:lang w:val="en-GB"/>
        </w:rPr>
        <w:t>treatment</w:t>
      </w:r>
      <w:r w:rsidR="001B36BC" w:rsidRPr="00C37A4D">
        <w:rPr>
          <w:rFonts w:asciiTheme="minorHAnsi" w:hAnsiTheme="minorHAnsi" w:cstheme="minorHAnsi"/>
          <w:color w:val="000000" w:themeColor="text1"/>
          <w:sz w:val="22"/>
          <w:szCs w:val="22"/>
          <w:lang w:val="en-GB"/>
        </w:rPr>
        <w:t xml:space="preserve"> </w:t>
      </w:r>
      <w:r w:rsidR="004709DC" w:rsidRPr="00C37A4D">
        <w:rPr>
          <w:rFonts w:asciiTheme="minorHAnsi" w:hAnsiTheme="minorHAnsi" w:cstheme="minorHAnsi"/>
          <w:color w:val="000000" w:themeColor="text1"/>
          <w:sz w:val="22"/>
          <w:szCs w:val="22"/>
          <w:lang w:val="en-GB"/>
        </w:rPr>
        <w:t>costs continue to rise</w:t>
      </w:r>
      <w:r w:rsidR="00EC433D">
        <w:rPr>
          <w:rFonts w:asciiTheme="minorHAnsi" w:hAnsiTheme="minorHAnsi" w:cstheme="minorHAnsi"/>
          <w:color w:val="000000" w:themeColor="text1"/>
          <w:sz w:val="22"/>
          <w:szCs w:val="22"/>
          <w:lang w:val="en-GB"/>
        </w:rPr>
        <w:t>.</w:t>
      </w:r>
      <w:r w:rsidR="004709DC" w:rsidRPr="00C37A4D">
        <w:rPr>
          <w:rFonts w:asciiTheme="minorHAnsi" w:hAnsiTheme="minorHAnsi" w:cstheme="minorHAnsi"/>
          <w:color w:val="000000" w:themeColor="text1"/>
          <w:sz w:val="22"/>
          <w:szCs w:val="22"/>
          <w:lang w:val="en-GB"/>
        </w:rPr>
        <w:t xml:space="preserve"> </w:t>
      </w:r>
      <w:r w:rsidR="00EC433D">
        <w:rPr>
          <w:rFonts w:asciiTheme="minorHAnsi" w:hAnsiTheme="minorHAnsi" w:cstheme="minorHAnsi"/>
          <w:color w:val="000000" w:themeColor="text1"/>
          <w:sz w:val="22"/>
          <w:szCs w:val="22"/>
          <w:lang w:val="en-GB"/>
        </w:rPr>
        <w:t>D</w:t>
      </w:r>
      <w:r w:rsidR="004709DC" w:rsidRPr="00C37A4D">
        <w:rPr>
          <w:rFonts w:asciiTheme="minorHAnsi" w:hAnsiTheme="minorHAnsi" w:cstheme="minorHAnsi"/>
          <w:color w:val="000000" w:themeColor="text1"/>
          <w:sz w:val="22"/>
          <w:szCs w:val="22"/>
          <w:lang w:val="en-GB"/>
        </w:rPr>
        <w:t>rug resistance</w:t>
      </w:r>
      <w:r w:rsidR="00BC0FBC">
        <w:rPr>
          <w:rFonts w:asciiTheme="minorHAnsi" w:hAnsiTheme="minorHAnsi" w:cstheme="minorHAnsi"/>
          <w:color w:val="000000" w:themeColor="text1"/>
          <w:sz w:val="22"/>
          <w:szCs w:val="22"/>
          <w:lang w:val="en-GB"/>
        </w:rPr>
        <w:t xml:space="preserve"> prolong</w:t>
      </w:r>
      <w:r w:rsidR="00074F88">
        <w:rPr>
          <w:rFonts w:asciiTheme="minorHAnsi" w:hAnsiTheme="minorHAnsi" w:cstheme="minorHAnsi"/>
          <w:color w:val="000000" w:themeColor="text1"/>
          <w:sz w:val="22"/>
          <w:szCs w:val="22"/>
          <w:lang w:val="en-GB"/>
        </w:rPr>
        <w:t>s</w:t>
      </w:r>
      <w:r w:rsidR="00BC0FBC">
        <w:rPr>
          <w:rFonts w:asciiTheme="minorHAnsi" w:hAnsiTheme="minorHAnsi" w:cstheme="minorHAnsi"/>
          <w:color w:val="000000" w:themeColor="text1"/>
          <w:sz w:val="22"/>
          <w:szCs w:val="22"/>
          <w:lang w:val="en-GB"/>
        </w:rPr>
        <w:t xml:space="preserve"> the need for infection management and </w:t>
      </w:r>
      <w:r w:rsidR="00074F88">
        <w:rPr>
          <w:rFonts w:asciiTheme="minorHAnsi" w:hAnsiTheme="minorHAnsi" w:cstheme="minorHAnsi"/>
          <w:color w:val="000000" w:themeColor="text1"/>
          <w:sz w:val="22"/>
          <w:szCs w:val="22"/>
          <w:lang w:val="en-GB"/>
        </w:rPr>
        <w:t>requires</w:t>
      </w:r>
      <w:r w:rsidR="00BC0FBC">
        <w:rPr>
          <w:rFonts w:asciiTheme="minorHAnsi" w:hAnsiTheme="minorHAnsi" w:cstheme="minorHAnsi"/>
          <w:color w:val="000000" w:themeColor="text1"/>
          <w:sz w:val="22"/>
          <w:szCs w:val="22"/>
          <w:lang w:val="en-GB"/>
        </w:rPr>
        <w:t xml:space="preserve"> more expensive medicines</w:t>
      </w:r>
      <w:r w:rsidR="004709DC" w:rsidRPr="00C37A4D">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76</w:t>
      </w:r>
      <w:r w:rsidR="004709DC" w:rsidRPr="00C37A4D">
        <w:rPr>
          <w:rFonts w:asciiTheme="minorHAnsi" w:hAnsiTheme="minorHAnsi" w:cstheme="minorHAnsi"/>
          <w:color w:val="000000" w:themeColor="text1"/>
          <w:sz w:val="22"/>
          <w:szCs w:val="22"/>
          <w:lang w:val="en-GB"/>
        </w:rPr>
        <w:t xml:space="preserve"> </w:t>
      </w:r>
      <w:r w:rsidR="00E7017A" w:rsidRPr="00C37A4D">
        <w:rPr>
          <w:rFonts w:asciiTheme="minorHAnsi" w:hAnsiTheme="minorHAnsi" w:cstheme="minorHAnsi"/>
          <w:color w:val="000000" w:themeColor="text1"/>
          <w:sz w:val="22"/>
          <w:szCs w:val="22"/>
          <w:lang w:val="en-GB"/>
        </w:rPr>
        <w:t xml:space="preserve">Resistance </w:t>
      </w:r>
      <w:r w:rsidR="005F2157" w:rsidRPr="00C37A4D">
        <w:rPr>
          <w:rFonts w:asciiTheme="minorHAnsi" w:hAnsiTheme="minorHAnsi" w:cstheme="minorHAnsi"/>
          <w:color w:val="000000" w:themeColor="text1"/>
          <w:sz w:val="22"/>
          <w:szCs w:val="22"/>
          <w:lang w:val="en-GB"/>
        </w:rPr>
        <w:t xml:space="preserve">is </w:t>
      </w:r>
      <w:r w:rsidR="00E7017A" w:rsidRPr="00C37A4D">
        <w:rPr>
          <w:rFonts w:asciiTheme="minorHAnsi" w:hAnsiTheme="minorHAnsi" w:cstheme="minorHAnsi"/>
          <w:color w:val="000000" w:themeColor="text1"/>
          <w:sz w:val="22"/>
          <w:szCs w:val="22"/>
          <w:lang w:val="en-GB"/>
        </w:rPr>
        <w:t>also a barrier to</w:t>
      </w:r>
      <w:r w:rsidR="00800BB5">
        <w:rPr>
          <w:rFonts w:asciiTheme="minorHAnsi" w:hAnsiTheme="minorHAnsi" w:cstheme="minorHAnsi"/>
          <w:color w:val="000000" w:themeColor="text1"/>
          <w:sz w:val="22"/>
          <w:szCs w:val="22"/>
          <w:lang w:val="en-GB"/>
        </w:rPr>
        <w:t xml:space="preserve"> surgical</w:t>
      </w:r>
      <w:r w:rsidR="00E7017A" w:rsidRPr="00C37A4D">
        <w:rPr>
          <w:rFonts w:asciiTheme="minorHAnsi" w:hAnsiTheme="minorHAnsi" w:cstheme="minorHAnsi"/>
          <w:color w:val="000000" w:themeColor="text1"/>
          <w:sz w:val="22"/>
          <w:szCs w:val="22"/>
          <w:lang w:val="en-GB"/>
        </w:rPr>
        <w:t xml:space="preserve"> care</w:t>
      </w:r>
      <w:r w:rsidR="00800BB5">
        <w:rPr>
          <w:rFonts w:asciiTheme="minorHAnsi" w:hAnsiTheme="minorHAnsi" w:cstheme="minorHAnsi"/>
          <w:color w:val="000000" w:themeColor="text1"/>
          <w:sz w:val="22"/>
          <w:szCs w:val="22"/>
          <w:lang w:val="en-GB"/>
        </w:rPr>
        <w:t xml:space="preserve">, </w:t>
      </w:r>
      <w:r w:rsidR="00EC433D">
        <w:rPr>
          <w:rFonts w:asciiTheme="minorHAnsi" w:hAnsiTheme="minorHAnsi" w:cstheme="minorHAnsi"/>
          <w:color w:val="000000" w:themeColor="text1"/>
          <w:sz w:val="22"/>
          <w:szCs w:val="22"/>
          <w:lang w:val="en-GB"/>
        </w:rPr>
        <w:t>directly affecting</w:t>
      </w:r>
      <w:r w:rsidR="00800BB5">
        <w:rPr>
          <w:rFonts w:asciiTheme="minorHAnsi" w:hAnsiTheme="minorHAnsi" w:cstheme="minorHAnsi"/>
          <w:color w:val="000000" w:themeColor="text1"/>
          <w:sz w:val="22"/>
          <w:szCs w:val="22"/>
          <w:lang w:val="en-GB"/>
        </w:rPr>
        <w:t xml:space="preserve"> </w:t>
      </w:r>
      <w:r w:rsidR="00B763CC" w:rsidRPr="00C37A4D">
        <w:rPr>
          <w:rFonts w:asciiTheme="minorHAnsi" w:hAnsiTheme="minorHAnsi" w:cstheme="minorHAnsi"/>
          <w:color w:val="000000" w:themeColor="text1"/>
          <w:sz w:val="22"/>
          <w:szCs w:val="22"/>
          <w:lang w:val="en-GB"/>
        </w:rPr>
        <w:t>surgical outcomes</w:t>
      </w:r>
      <w:r w:rsidR="007E47A0">
        <w:rPr>
          <w:rFonts w:asciiTheme="minorHAnsi" w:hAnsiTheme="minorHAnsi" w:cstheme="minorHAnsi"/>
          <w:color w:val="000000" w:themeColor="text1"/>
          <w:sz w:val="22"/>
          <w:szCs w:val="22"/>
          <w:lang w:val="en-GB"/>
        </w:rPr>
        <w:t xml:space="preserve">. </w:t>
      </w:r>
      <w:r w:rsidR="00B704F3">
        <w:rPr>
          <w:rFonts w:asciiTheme="minorHAnsi" w:hAnsiTheme="minorHAnsi" w:cstheme="minorHAnsi"/>
          <w:color w:val="000000" w:themeColor="text1"/>
          <w:sz w:val="22"/>
          <w:szCs w:val="22"/>
          <w:lang w:val="en-GB"/>
        </w:rPr>
        <w:t>E</w:t>
      </w:r>
      <w:r w:rsidR="00B763CC" w:rsidRPr="00C37A4D">
        <w:rPr>
          <w:rFonts w:asciiTheme="minorHAnsi" w:hAnsiTheme="minorHAnsi" w:cstheme="minorHAnsi"/>
          <w:color w:val="000000" w:themeColor="text1"/>
          <w:sz w:val="22"/>
          <w:szCs w:val="22"/>
          <w:lang w:val="en-GB"/>
        </w:rPr>
        <w:t xml:space="preserve">vidence </w:t>
      </w:r>
      <w:r w:rsidR="007E47A0">
        <w:rPr>
          <w:rFonts w:asciiTheme="minorHAnsi" w:hAnsiTheme="minorHAnsi" w:cstheme="minorHAnsi"/>
          <w:color w:val="000000" w:themeColor="text1"/>
          <w:sz w:val="22"/>
          <w:szCs w:val="22"/>
          <w:lang w:val="en-GB"/>
        </w:rPr>
        <w:t xml:space="preserve">also </w:t>
      </w:r>
      <w:r w:rsidR="005F2157" w:rsidRPr="00C37A4D">
        <w:rPr>
          <w:rFonts w:asciiTheme="minorHAnsi" w:hAnsiTheme="minorHAnsi" w:cstheme="minorHAnsi"/>
          <w:color w:val="000000" w:themeColor="text1"/>
          <w:sz w:val="22"/>
          <w:szCs w:val="22"/>
          <w:lang w:val="en-GB"/>
        </w:rPr>
        <w:t>suggests</w:t>
      </w:r>
      <w:r w:rsidR="007E47A0">
        <w:rPr>
          <w:rFonts w:asciiTheme="minorHAnsi" w:hAnsiTheme="minorHAnsi" w:cstheme="minorHAnsi"/>
          <w:color w:val="000000" w:themeColor="text1"/>
          <w:sz w:val="22"/>
          <w:szCs w:val="22"/>
          <w:lang w:val="en-GB"/>
        </w:rPr>
        <w:t xml:space="preserve"> that</w:t>
      </w:r>
      <w:r w:rsidR="005F2157" w:rsidRPr="00C37A4D">
        <w:rPr>
          <w:rFonts w:asciiTheme="minorHAnsi" w:hAnsiTheme="minorHAnsi" w:cstheme="minorHAnsi"/>
          <w:color w:val="000000" w:themeColor="text1"/>
          <w:sz w:val="22"/>
          <w:szCs w:val="22"/>
          <w:lang w:val="en-GB"/>
        </w:rPr>
        <w:t xml:space="preserve"> </w:t>
      </w:r>
      <w:r w:rsidR="00135AA1" w:rsidRPr="00C37A4D">
        <w:rPr>
          <w:rFonts w:asciiTheme="minorHAnsi" w:hAnsiTheme="minorHAnsi" w:cstheme="minorHAnsi"/>
          <w:color w:val="000000" w:themeColor="text1"/>
          <w:sz w:val="22"/>
          <w:szCs w:val="22"/>
          <w:lang w:val="en-GB"/>
        </w:rPr>
        <w:t xml:space="preserve">some </w:t>
      </w:r>
      <w:r w:rsidR="00B763CC" w:rsidRPr="00C37A4D">
        <w:rPr>
          <w:rFonts w:asciiTheme="minorHAnsi" w:hAnsiTheme="minorHAnsi" w:cstheme="minorHAnsi"/>
          <w:color w:val="000000" w:themeColor="text1"/>
          <w:sz w:val="22"/>
          <w:szCs w:val="22"/>
          <w:lang w:val="en-GB"/>
        </w:rPr>
        <w:t>surgeries</w:t>
      </w:r>
      <w:r w:rsidR="006404EC" w:rsidRPr="00C37A4D">
        <w:rPr>
          <w:rFonts w:asciiTheme="minorHAnsi" w:hAnsiTheme="minorHAnsi" w:cstheme="minorHAnsi"/>
          <w:color w:val="000000" w:themeColor="text1"/>
          <w:sz w:val="22"/>
          <w:szCs w:val="22"/>
          <w:lang w:val="en-GB"/>
        </w:rPr>
        <w:t>,</w:t>
      </w:r>
      <w:r w:rsidR="00B763CC" w:rsidRPr="00C37A4D">
        <w:rPr>
          <w:rFonts w:asciiTheme="minorHAnsi" w:hAnsiTheme="minorHAnsi" w:cstheme="minorHAnsi"/>
          <w:color w:val="000000" w:themeColor="text1"/>
          <w:sz w:val="22"/>
          <w:szCs w:val="22"/>
          <w:lang w:val="en-GB"/>
        </w:rPr>
        <w:t xml:space="preserve"> particularly</w:t>
      </w:r>
      <w:r w:rsidR="006404EC" w:rsidRPr="00C37A4D">
        <w:rPr>
          <w:rFonts w:asciiTheme="minorHAnsi" w:hAnsiTheme="minorHAnsi" w:cstheme="minorHAnsi"/>
          <w:color w:val="000000" w:themeColor="text1"/>
          <w:sz w:val="22"/>
          <w:szCs w:val="22"/>
          <w:lang w:val="en-GB"/>
        </w:rPr>
        <w:t xml:space="preserve"> </w:t>
      </w:r>
      <w:r w:rsidR="00800BB5">
        <w:rPr>
          <w:rFonts w:asciiTheme="minorHAnsi" w:hAnsiTheme="minorHAnsi" w:cstheme="minorHAnsi"/>
          <w:color w:val="000000" w:themeColor="text1"/>
          <w:sz w:val="22"/>
          <w:szCs w:val="22"/>
          <w:lang w:val="en-GB"/>
        </w:rPr>
        <w:t>at</w:t>
      </w:r>
      <w:r w:rsidR="00800BB5" w:rsidRPr="00C37A4D">
        <w:rPr>
          <w:rFonts w:asciiTheme="minorHAnsi" w:hAnsiTheme="minorHAnsi" w:cstheme="minorHAnsi"/>
          <w:color w:val="000000" w:themeColor="text1"/>
          <w:sz w:val="22"/>
          <w:szCs w:val="22"/>
          <w:lang w:val="en-GB"/>
        </w:rPr>
        <w:t xml:space="preserve"> </w:t>
      </w:r>
      <w:r w:rsidR="00B763CC" w:rsidRPr="00C37A4D">
        <w:rPr>
          <w:rFonts w:asciiTheme="minorHAnsi" w:hAnsiTheme="minorHAnsi" w:cstheme="minorHAnsi"/>
          <w:color w:val="000000" w:themeColor="text1"/>
          <w:sz w:val="22"/>
          <w:szCs w:val="22"/>
          <w:lang w:val="en-GB"/>
        </w:rPr>
        <w:t>older age</w:t>
      </w:r>
      <w:r w:rsidR="006404EC" w:rsidRPr="00C37A4D">
        <w:rPr>
          <w:rFonts w:asciiTheme="minorHAnsi" w:hAnsiTheme="minorHAnsi" w:cstheme="minorHAnsi"/>
          <w:color w:val="000000" w:themeColor="text1"/>
          <w:sz w:val="22"/>
          <w:szCs w:val="22"/>
          <w:lang w:val="en-GB"/>
        </w:rPr>
        <w:t>,</w:t>
      </w:r>
      <w:r w:rsidR="006404EC" w:rsidRPr="00C37A4D" w:rsidDel="006404EC">
        <w:rPr>
          <w:rFonts w:asciiTheme="minorHAnsi" w:hAnsiTheme="minorHAnsi" w:cstheme="minorHAnsi"/>
          <w:color w:val="000000" w:themeColor="text1"/>
          <w:sz w:val="22"/>
          <w:szCs w:val="22"/>
          <w:lang w:val="en-GB"/>
        </w:rPr>
        <w:t xml:space="preserve"> </w:t>
      </w:r>
      <w:r w:rsidR="007E47A0">
        <w:rPr>
          <w:rFonts w:asciiTheme="minorHAnsi" w:hAnsiTheme="minorHAnsi" w:cstheme="minorHAnsi"/>
          <w:color w:val="000000" w:themeColor="text1"/>
          <w:sz w:val="22"/>
          <w:szCs w:val="22"/>
          <w:lang w:val="en-GB"/>
        </w:rPr>
        <w:t xml:space="preserve">are deemed </w:t>
      </w:r>
      <w:r w:rsidR="00B763CC" w:rsidRPr="00C37A4D">
        <w:rPr>
          <w:rFonts w:asciiTheme="minorHAnsi" w:hAnsiTheme="minorHAnsi" w:cstheme="minorHAnsi"/>
          <w:color w:val="000000" w:themeColor="text1"/>
          <w:sz w:val="22"/>
          <w:szCs w:val="22"/>
          <w:lang w:val="en-GB"/>
        </w:rPr>
        <w:t xml:space="preserve">too risky given the likelihood of </w:t>
      </w:r>
      <w:r w:rsidR="00EF6C64">
        <w:rPr>
          <w:rFonts w:asciiTheme="minorHAnsi" w:hAnsiTheme="minorHAnsi" w:cstheme="minorHAnsi"/>
          <w:color w:val="000000" w:themeColor="text1"/>
          <w:sz w:val="22"/>
          <w:szCs w:val="22"/>
          <w:lang w:val="en-GB"/>
        </w:rPr>
        <w:t xml:space="preserve">contracting </w:t>
      </w:r>
      <w:r w:rsidR="00B763CC" w:rsidRPr="00C37A4D">
        <w:rPr>
          <w:rFonts w:asciiTheme="minorHAnsi" w:hAnsiTheme="minorHAnsi" w:cstheme="minorHAnsi"/>
          <w:color w:val="000000" w:themeColor="text1"/>
          <w:sz w:val="22"/>
          <w:szCs w:val="22"/>
          <w:lang w:val="en-GB"/>
        </w:rPr>
        <w:t>an untreatable infection.</w:t>
      </w:r>
    </w:p>
    <w:p w14:paraId="3836812A" w14:textId="77777777" w:rsidR="00B763CC" w:rsidRPr="00C37A4D" w:rsidRDefault="00B763CC" w:rsidP="004709DC">
      <w:pPr>
        <w:rPr>
          <w:rFonts w:asciiTheme="minorHAnsi" w:hAnsiTheme="minorHAnsi" w:cstheme="minorHAnsi"/>
          <w:color w:val="000000" w:themeColor="text1"/>
          <w:sz w:val="22"/>
          <w:szCs w:val="22"/>
          <w:lang w:val="en-GB"/>
        </w:rPr>
      </w:pPr>
    </w:p>
    <w:p w14:paraId="3A3B5F66" w14:textId="58A3478B" w:rsidR="00433EE7" w:rsidRPr="00C37A4D" w:rsidRDefault="008750CD" w:rsidP="00433EE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AMR</w:t>
      </w:r>
      <w:r w:rsidR="00800BB5">
        <w:rPr>
          <w:rFonts w:asciiTheme="minorHAnsi" w:hAnsiTheme="minorHAnsi" w:cstheme="minorHAnsi"/>
          <w:color w:val="000000" w:themeColor="text1"/>
          <w:sz w:val="22"/>
          <w:szCs w:val="22"/>
          <w:lang w:val="en-GB"/>
        </w:rPr>
        <w:t xml:space="preserve"> </w:t>
      </w:r>
      <w:r w:rsidR="00433EE7" w:rsidRPr="00C37A4D">
        <w:rPr>
          <w:rFonts w:asciiTheme="minorHAnsi" w:hAnsiTheme="minorHAnsi" w:cstheme="minorHAnsi"/>
          <w:color w:val="000000" w:themeColor="text1"/>
          <w:sz w:val="22"/>
          <w:szCs w:val="22"/>
          <w:lang w:val="en-GB"/>
        </w:rPr>
        <w:t>undermine</w:t>
      </w:r>
      <w:r w:rsidR="008703BB" w:rsidRPr="00C37A4D">
        <w:rPr>
          <w:rFonts w:asciiTheme="minorHAnsi" w:hAnsiTheme="minorHAnsi" w:cstheme="minorHAnsi"/>
          <w:color w:val="000000" w:themeColor="text1"/>
          <w:sz w:val="22"/>
          <w:szCs w:val="22"/>
          <w:lang w:val="en-GB"/>
        </w:rPr>
        <w:t>s</w:t>
      </w:r>
      <w:r w:rsidR="00433EE7" w:rsidRPr="00C37A4D">
        <w:rPr>
          <w:rFonts w:asciiTheme="minorHAnsi" w:hAnsiTheme="minorHAnsi" w:cstheme="minorHAnsi"/>
          <w:color w:val="000000" w:themeColor="text1"/>
          <w:sz w:val="22"/>
          <w:szCs w:val="22"/>
          <w:lang w:val="en-GB"/>
        </w:rPr>
        <w:t xml:space="preserve"> the effectiveness and value of organ transplants,</w:t>
      </w:r>
      <w:r w:rsidR="008703BB" w:rsidRPr="00C37A4D">
        <w:rPr>
          <w:rFonts w:asciiTheme="minorHAnsi" w:hAnsiTheme="minorHAnsi" w:cstheme="minorHAnsi"/>
          <w:color w:val="000000" w:themeColor="text1"/>
          <w:sz w:val="22"/>
          <w:szCs w:val="22"/>
          <w:lang w:val="en-GB"/>
        </w:rPr>
        <w:t xml:space="preserve"> joint</w:t>
      </w:r>
      <w:r w:rsidR="00433EE7" w:rsidRPr="00C37A4D">
        <w:rPr>
          <w:rFonts w:asciiTheme="minorHAnsi" w:hAnsiTheme="minorHAnsi" w:cstheme="minorHAnsi"/>
          <w:color w:val="000000" w:themeColor="text1"/>
          <w:sz w:val="22"/>
          <w:szCs w:val="22"/>
          <w:lang w:val="en-GB"/>
        </w:rPr>
        <w:t xml:space="preserve"> replacements, cancer chemotherapy</w:t>
      </w:r>
      <w:r w:rsidR="00F55E6B" w:rsidRPr="00C37A4D">
        <w:rPr>
          <w:rFonts w:asciiTheme="minorHAnsi" w:hAnsiTheme="minorHAnsi" w:cstheme="minorHAnsi"/>
          <w:color w:val="000000" w:themeColor="text1"/>
          <w:sz w:val="22"/>
          <w:szCs w:val="22"/>
          <w:lang w:val="en-GB"/>
        </w:rPr>
        <w:t>,</w:t>
      </w:r>
      <w:r w:rsidR="00433EE7" w:rsidRPr="00C37A4D">
        <w:rPr>
          <w:rFonts w:asciiTheme="minorHAnsi" w:hAnsiTheme="minorHAnsi" w:cstheme="minorHAnsi"/>
          <w:color w:val="000000" w:themeColor="text1"/>
          <w:sz w:val="22"/>
          <w:szCs w:val="22"/>
          <w:lang w:val="en-GB"/>
        </w:rPr>
        <w:t xml:space="preserve"> and treatment of NCD</w:t>
      </w:r>
      <w:r w:rsidR="00B763CC" w:rsidRPr="00C37A4D">
        <w:rPr>
          <w:rFonts w:asciiTheme="minorHAnsi" w:hAnsiTheme="minorHAnsi" w:cstheme="minorHAnsi"/>
          <w:color w:val="000000" w:themeColor="text1"/>
          <w:sz w:val="22"/>
          <w:szCs w:val="22"/>
          <w:lang w:val="en-GB"/>
        </w:rPr>
        <w:t>s, which</w:t>
      </w:r>
      <w:r w:rsidR="0047001E" w:rsidRPr="00C37A4D">
        <w:rPr>
          <w:rFonts w:asciiTheme="minorHAnsi" w:hAnsiTheme="minorHAnsi" w:cstheme="minorHAnsi"/>
          <w:color w:val="000000" w:themeColor="text1"/>
          <w:sz w:val="22"/>
          <w:szCs w:val="22"/>
          <w:lang w:val="en-GB"/>
        </w:rPr>
        <w:t xml:space="preserve"> </w:t>
      </w:r>
      <w:r w:rsidR="00433EE7" w:rsidRPr="00C37A4D">
        <w:rPr>
          <w:rFonts w:asciiTheme="minorHAnsi" w:hAnsiTheme="minorHAnsi" w:cstheme="minorHAnsi"/>
          <w:color w:val="000000" w:themeColor="text1"/>
          <w:sz w:val="22"/>
          <w:szCs w:val="22"/>
          <w:lang w:val="en-GB"/>
        </w:rPr>
        <w:t xml:space="preserve">account for </w:t>
      </w:r>
      <w:r w:rsidR="002867C2" w:rsidRPr="00C37A4D">
        <w:rPr>
          <w:rFonts w:asciiTheme="minorHAnsi" w:hAnsiTheme="minorHAnsi" w:cstheme="minorHAnsi"/>
          <w:color w:val="000000" w:themeColor="text1"/>
          <w:sz w:val="22"/>
          <w:szCs w:val="22"/>
          <w:lang w:val="en-GB"/>
        </w:rPr>
        <w:t>80</w:t>
      </w:r>
      <w:r w:rsidR="00433EE7" w:rsidRPr="00C37A4D">
        <w:rPr>
          <w:rFonts w:asciiTheme="minorHAnsi" w:hAnsiTheme="minorHAnsi" w:cstheme="minorHAnsi"/>
          <w:color w:val="000000" w:themeColor="text1"/>
          <w:sz w:val="22"/>
          <w:szCs w:val="22"/>
          <w:lang w:val="en-GB"/>
        </w:rPr>
        <w:t xml:space="preserve">% of deaths and </w:t>
      </w:r>
      <w:r w:rsidR="004B194D" w:rsidRPr="00C37A4D">
        <w:rPr>
          <w:rFonts w:asciiTheme="minorHAnsi" w:hAnsiTheme="minorHAnsi" w:cstheme="minorHAnsi"/>
          <w:color w:val="000000" w:themeColor="text1"/>
          <w:sz w:val="22"/>
          <w:szCs w:val="22"/>
          <w:lang w:val="en-GB"/>
        </w:rPr>
        <w:t>70</w:t>
      </w:r>
      <w:r w:rsidR="00D921BA" w:rsidRPr="00C37A4D">
        <w:rPr>
          <w:rFonts w:asciiTheme="minorHAnsi" w:hAnsiTheme="minorHAnsi" w:cstheme="minorHAnsi"/>
          <w:color w:val="000000" w:themeColor="text1"/>
          <w:sz w:val="22"/>
          <w:szCs w:val="22"/>
          <w:lang w:val="en-GB"/>
        </w:rPr>
        <w:t xml:space="preserve">% of </w:t>
      </w:r>
      <w:r w:rsidR="00F10AB4" w:rsidRPr="00C37A4D">
        <w:rPr>
          <w:rFonts w:asciiTheme="minorHAnsi" w:hAnsiTheme="minorHAnsi" w:cstheme="minorHAnsi"/>
          <w:color w:val="000000" w:themeColor="text1"/>
          <w:sz w:val="22"/>
          <w:szCs w:val="22"/>
          <w:lang w:val="en-GB"/>
        </w:rPr>
        <w:t>disability-adjusted life</w:t>
      </w:r>
      <w:r w:rsidR="00EC433D">
        <w:rPr>
          <w:rFonts w:asciiTheme="minorHAnsi" w:hAnsiTheme="minorHAnsi" w:cstheme="minorHAnsi"/>
          <w:color w:val="000000" w:themeColor="text1"/>
          <w:sz w:val="22"/>
          <w:szCs w:val="22"/>
          <w:lang w:val="en-GB"/>
        </w:rPr>
        <w:t>-</w:t>
      </w:r>
      <w:r w:rsidR="00F10AB4" w:rsidRPr="00C37A4D">
        <w:rPr>
          <w:rFonts w:asciiTheme="minorHAnsi" w:hAnsiTheme="minorHAnsi" w:cstheme="minorHAnsi"/>
          <w:color w:val="000000" w:themeColor="text1"/>
          <w:sz w:val="22"/>
          <w:szCs w:val="22"/>
          <w:lang w:val="en-GB"/>
        </w:rPr>
        <w:t>years</w:t>
      </w:r>
      <w:r w:rsidR="00AE7239">
        <w:rPr>
          <w:rFonts w:asciiTheme="minorHAnsi" w:hAnsiTheme="minorHAnsi" w:cstheme="minorHAnsi"/>
          <w:color w:val="000000" w:themeColor="text1"/>
          <w:sz w:val="22"/>
          <w:szCs w:val="22"/>
          <w:lang w:val="en-GB"/>
        </w:rPr>
        <w:t xml:space="preserve"> (DALYs)</w:t>
      </w:r>
      <w:r w:rsidR="00F10AB4" w:rsidRPr="00C37A4D">
        <w:rPr>
          <w:rFonts w:asciiTheme="minorHAnsi" w:hAnsiTheme="minorHAnsi" w:cstheme="minorHAnsi"/>
          <w:color w:val="000000" w:themeColor="text1"/>
          <w:sz w:val="22"/>
          <w:szCs w:val="22"/>
          <w:lang w:val="en-GB"/>
        </w:rPr>
        <w:t xml:space="preserve"> </w:t>
      </w:r>
      <w:r w:rsidR="00433EE7" w:rsidRPr="00C37A4D">
        <w:rPr>
          <w:rFonts w:asciiTheme="minorHAnsi" w:hAnsiTheme="minorHAnsi" w:cstheme="minorHAnsi"/>
          <w:color w:val="000000" w:themeColor="text1"/>
          <w:sz w:val="22"/>
          <w:szCs w:val="22"/>
          <w:lang w:val="en-GB"/>
        </w:rPr>
        <w:t>globally</w:t>
      </w:r>
      <w:r w:rsidR="008440EE" w:rsidRPr="00C37A4D">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77</w:t>
      </w:r>
      <w:r w:rsidR="00433EE7" w:rsidRPr="00C37A4D">
        <w:rPr>
          <w:rFonts w:asciiTheme="minorHAnsi" w:hAnsiTheme="minorHAnsi" w:cstheme="minorHAnsi"/>
          <w:color w:val="000000" w:themeColor="text1"/>
          <w:sz w:val="22"/>
          <w:szCs w:val="22"/>
          <w:lang w:val="en-GB"/>
        </w:rPr>
        <w:t xml:space="preserve"> </w:t>
      </w:r>
      <w:r w:rsidR="0081035C">
        <w:rPr>
          <w:rFonts w:asciiTheme="minorHAnsi" w:hAnsiTheme="minorHAnsi" w:cstheme="minorHAnsi"/>
          <w:color w:val="000000" w:themeColor="text1"/>
          <w:sz w:val="22"/>
          <w:szCs w:val="22"/>
          <w:lang w:val="en-GB"/>
        </w:rPr>
        <w:t>Sub</w:t>
      </w:r>
      <w:r w:rsidR="00D5522F">
        <w:rPr>
          <w:rFonts w:asciiTheme="minorHAnsi" w:hAnsiTheme="minorHAnsi" w:cstheme="minorHAnsi"/>
          <w:color w:val="000000" w:themeColor="text1"/>
          <w:sz w:val="22"/>
          <w:szCs w:val="22"/>
          <w:lang w:val="en-GB"/>
        </w:rPr>
        <w:t>-</w:t>
      </w:r>
      <w:r w:rsidR="0081035C">
        <w:rPr>
          <w:rFonts w:asciiTheme="minorHAnsi" w:hAnsiTheme="minorHAnsi" w:cstheme="minorHAnsi"/>
          <w:color w:val="000000" w:themeColor="text1"/>
          <w:sz w:val="22"/>
          <w:szCs w:val="22"/>
          <w:lang w:val="en-GB"/>
        </w:rPr>
        <w:t>optimally</w:t>
      </w:r>
      <w:r w:rsidR="00A666B5">
        <w:rPr>
          <w:rFonts w:asciiTheme="minorHAnsi" w:hAnsiTheme="minorHAnsi" w:cstheme="minorHAnsi"/>
          <w:color w:val="000000" w:themeColor="text1"/>
          <w:sz w:val="22"/>
          <w:szCs w:val="22"/>
          <w:lang w:val="en-GB"/>
        </w:rPr>
        <w:t xml:space="preserve"> </w:t>
      </w:r>
      <w:r w:rsidR="0081035C">
        <w:rPr>
          <w:rFonts w:asciiTheme="minorHAnsi" w:hAnsiTheme="minorHAnsi" w:cstheme="minorHAnsi"/>
          <w:color w:val="000000" w:themeColor="text1"/>
          <w:sz w:val="22"/>
          <w:szCs w:val="22"/>
          <w:lang w:val="en-GB"/>
        </w:rPr>
        <w:t xml:space="preserve">managed </w:t>
      </w:r>
      <w:r w:rsidR="00B763CC" w:rsidRPr="00C37A4D">
        <w:rPr>
          <w:rFonts w:asciiTheme="minorHAnsi" w:hAnsiTheme="minorHAnsi" w:cstheme="minorHAnsi"/>
          <w:color w:val="000000" w:themeColor="text1"/>
          <w:sz w:val="22"/>
          <w:szCs w:val="22"/>
          <w:lang w:val="en-GB"/>
        </w:rPr>
        <w:t>NCDs</w:t>
      </w:r>
      <w:r w:rsidR="00433EE7" w:rsidRPr="00C37A4D">
        <w:rPr>
          <w:rFonts w:asciiTheme="minorHAnsi" w:hAnsiTheme="minorHAnsi" w:cstheme="minorHAnsi"/>
          <w:color w:val="000000" w:themeColor="text1"/>
          <w:sz w:val="22"/>
          <w:szCs w:val="22"/>
          <w:lang w:val="en-GB"/>
        </w:rPr>
        <w:t xml:space="preserve"> </w:t>
      </w:r>
      <w:r w:rsidR="00F10AB4" w:rsidRPr="00C37A4D">
        <w:rPr>
          <w:rFonts w:asciiTheme="minorHAnsi" w:hAnsiTheme="minorHAnsi" w:cstheme="minorHAnsi"/>
          <w:color w:val="000000" w:themeColor="text1"/>
          <w:sz w:val="22"/>
          <w:szCs w:val="22"/>
          <w:lang w:val="en-GB"/>
        </w:rPr>
        <w:t xml:space="preserve">are </w:t>
      </w:r>
      <w:r w:rsidR="00433EE7" w:rsidRPr="00C37A4D">
        <w:rPr>
          <w:rFonts w:asciiTheme="minorHAnsi" w:hAnsiTheme="minorHAnsi" w:cstheme="minorHAnsi"/>
          <w:color w:val="000000" w:themeColor="text1"/>
          <w:sz w:val="22"/>
          <w:szCs w:val="22"/>
          <w:lang w:val="en-GB"/>
        </w:rPr>
        <w:t xml:space="preserve">poorly quantified but potentially </w:t>
      </w:r>
      <w:r w:rsidR="00EC433D">
        <w:rPr>
          <w:rFonts w:asciiTheme="minorHAnsi" w:hAnsiTheme="minorHAnsi" w:cstheme="minorHAnsi"/>
          <w:color w:val="000000" w:themeColor="text1"/>
          <w:sz w:val="22"/>
          <w:szCs w:val="22"/>
          <w:lang w:val="en-GB"/>
        </w:rPr>
        <w:t xml:space="preserve">a </w:t>
      </w:r>
      <w:r w:rsidR="00433EE7" w:rsidRPr="00C37A4D">
        <w:rPr>
          <w:rFonts w:asciiTheme="minorHAnsi" w:hAnsiTheme="minorHAnsi" w:cstheme="minorHAnsi"/>
          <w:color w:val="000000" w:themeColor="text1"/>
          <w:sz w:val="22"/>
          <w:szCs w:val="22"/>
          <w:lang w:val="en-GB"/>
        </w:rPr>
        <w:t>significant burden of AMR</w:t>
      </w:r>
      <w:r w:rsidR="003E50AF">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78</w:t>
      </w:r>
      <w:r w:rsidR="00433EE7" w:rsidRPr="00C37A4D">
        <w:rPr>
          <w:rFonts w:asciiTheme="minorHAnsi" w:hAnsiTheme="minorHAnsi" w:cstheme="minorHAnsi"/>
          <w:color w:val="000000" w:themeColor="text1"/>
          <w:sz w:val="22"/>
          <w:szCs w:val="22"/>
          <w:lang w:val="en-GB"/>
        </w:rPr>
        <w:t xml:space="preserve"> AMR complicates treatment</w:t>
      </w:r>
      <w:r w:rsidR="00F10AB4" w:rsidRPr="00C37A4D">
        <w:rPr>
          <w:rFonts w:asciiTheme="minorHAnsi" w:hAnsiTheme="minorHAnsi" w:cstheme="minorHAnsi"/>
          <w:color w:val="000000" w:themeColor="text1"/>
          <w:sz w:val="22"/>
          <w:szCs w:val="22"/>
          <w:lang w:val="en-GB"/>
        </w:rPr>
        <w:t xml:space="preserve"> for</w:t>
      </w:r>
      <w:r w:rsidR="00433EE7" w:rsidRPr="00C37A4D">
        <w:rPr>
          <w:rFonts w:asciiTheme="minorHAnsi" w:hAnsiTheme="minorHAnsi" w:cstheme="minorHAnsi"/>
          <w:color w:val="000000" w:themeColor="text1"/>
          <w:sz w:val="22"/>
          <w:szCs w:val="22"/>
          <w:lang w:val="en-GB"/>
        </w:rPr>
        <w:t xml:space="preserve"> chronic </w:t>
      </w:r>
      <w:r w:rsidR="00CC536A" w:rsidRPr="00C37A4D">
        <w:rPr>
          <w:rFonts w:asciiTheme="minorHAnsi" w:hAnsiTheme="minorHAnsi" w:cstheme="minorHAnsi"/>
          <w:color w:val="000000" w:themeColor="text1"/>
          <w:sz w:val="22"/>
          <w:szCs w:val="22"/>
          <w:lang w:val="en-GB"/>
        </w:rPr>
        <w:t>kidney di</w:t>
      </w:r>
      <w:r w:rsidR="00433EE7" w:rsidRPr="00C37A4D">
        <w:rPr>
          <w:rFonts w:asciiTheme="minorHAnsi" w:hAnsiTheme="minorHAnsi" w:cstheme="minorHAnsi"/>
          <w:color w:val="000000" w:themeColor="text1"/>
          <w:sz w:val="22"/>
          <w:szCs w:val="22"/>
          <w:lang w:val="en-GB"/>
        </w:rPr>
        <w:t>sease,</w:t>
      </w:r>
      <w:r w:rsidR="00E00CFD" w:rsidRPr="00E00CFD">
        <w:rPr>
          <w:rFonts w:hAnsiTheme="minorHAnsi"/>
          <w:color w:val="000000"/>
          <w:sz w:val="22"/>
          <w:vertAlign w:val="superscript"/>
        </w:rPr>
        <w:t>79</w:t>
      </w:r>
      <w:r w:rsidR="00433EE7" w:rsidRPr="00C37A4D">
        <w:rPr>
          <w:rFonts w:asciiTheme="minorHAnsi" w:hAnsiTheme="minorHAnsi" w:cstheme="minorHAnsi"/>
          <w:color w:val="000000" w:themeColor="text1"/>
          <w:sz w:val="22"/>
          <w:szCs w:val="22"/>
          <w:lang w:val="en-GB"/>
        </w:rPr>
        <w:t xml:space="preserve"> diabetes and associated </w:t>
      </w:r>
      <w:r w:rsidR="00152CFA" w:rsidRPr="00C37A4D">
        <w:rPr>
          <w:rFonts w:asciiTheme="minorHAnsi" w:hAnsiTheme="minorHAnsi" w:cstheme="minorHAnsi"/>
          <w:color w:val="000000" w:themeColor="text1"/>
          <w:sz w:val="22"/>
          <w:szCs w:val="22"/>
          <w:lang w:val="en-GB"/>
        </w:rPr>
        <w:t xml:space="preserve">urinary tract </w:t>
      </w:r>
      <w:r w:rsidR="00433EE7" w:rsidRPr="00C37A4D">
        <w:rPr>
          <w:rFonts w:asciiTheme="minorHAnsi" w:hAnsiTheme="minorHAnsi" w:cstheme="minorHAnsi"/>
          <w:color w:val="000000" w:themeColor="text1"/>
          <w:sz w:val="22"/>
          <w:szCs w:val="22"/>
          <w:lang w:val="en-GB"/>
        </w:rPr>
        <w:t>and foot infections,</w:t>
      </w:r>
      <w:r w:rsidR="00E00CFD" w:rsidRPr="00E00CFD">
        <w:rPr>
          <w:rFonts w:hAnsiTheme="minorHAnsi"/>
          <w:color w:val="000000"/>
          <w:sz w:val="22"/>
          <w:vertAlign w:val="superscript"/>
        </w:rPr>
        <w:t>80</w:t>
      </w:r>
      <w:r w:rsidR="00433EE7" w:rsidRPr="00C37A4D">
        <w:rPr>
          <w:rFonts w:asciiTheme="minorHAnsi" w:hAnsiTheme="minorHAnsi" w:cstheme="minorHAnsi"/>
          <w:color w:val="000000" w:themeColor="text1"/>
          <w:sz w:val="22"/>
          <w:szCs w:val="22"/>
          <w:lang w:val="en-GB"/>
        </w:rPr>
        <w:t xml:space="preserve"> chronic obstructive pulmonary disease</w:t>
      </w:r>
      <w:r w:rsidR="00157D88" w:rsidRPr="00C37A4D">
        <w:rPr>
          <w:rFonts w:asciiTheme="minorHAnsi" w:hAnsiTheme="minorHAnsi" w:cstheme="minorHAnsi"/>
          <w:color w:val="000000" w:themeColor="text1"/>
          <w:sz w:val="22"/>
          <w:szCs w:val="22"/>
          <w:lang w:val="en-GB"/>
        </w:rPr>
        <w:t>,</w:t>
      </w:r>
      <w:r w:rsidR="00150C06" w:rsidRPr="00150C06">
        <w:rPr>
          <w:rFonts w:hAnsiTheme="minorHAnsi"/>
          <w:color w:val="000000"/>
          <w:sz w:val="22"/>
          <w:vertAlign w:val="superscript"/>
        </w:rPr>
        <w:t>81</w:t>
      </w:r>
      <w:r w:rsidR="00433EE7" w:rsidRPr="00C37A4D">
        <w:rPr>
          <w:rFonts w:asciiTheme="minorHAnsi" w:hAnsiTheme="minorHAnsi" w:cstheme="minorHAnsi"/>
          <w:color w:val="000000" w:themeColor="text1"/>
          <w:sz w:val="22"/>
          <w:szCs w:val="22"/>
          <w:lang w:val="en-GB"/>
        </w:rPr>
        <w:t xml:space="preserve"> and liver cirrhosis.</w:t>
      </w:r>
      <w:r w:rsidR="00E00CFD" w:rsidRPr="00E00CFD">
        <w:rPr>
          <w:rFonts w:hAnsiTheme="minorHAnsi"/>
          <w:color w:val="000000"/>
          <w:sz w:val="22"/>
          <w:vertAlign w:val="superscript"/>
        </w:rPr>
        <w:t>82</w:t>
      </w:r>
      <w:r w:rsidR="00BC0FBC">
        <w:rPr>
          <w:rFonts w:asciiTheme="minorHAnsi" w:hAnsiTheme="minorHAnsi" w:cstheme="minorHAnsi"/>
          <w:color w:val="000000" w:themeColor="text1"/>
          <w:sz w:val="22"/>
          <w:szCs w:val="22"/>
          <w:lang w:val="en-GB"/>
        </w:rPr>
        <w:t xml:space="preserve"> </w:t>
      </w:r>
      <w:r w:rsidR="00EC433D">
        <w:rPr>
          <w:rFonts w:asciiTheme="minorHAnsi" w:hAnsiTheme="minorHAnsi" w:cstheme="minorHAnsi"/>
          <w:color w:val="000000" w:themeColor="text1"/>
          <w:sz w:val="22"/>
          <w:szCs w:val="22"/>
          <w:lang w:val="en-GB"/>
        </w:rPr>
        <w:t>S</w:t>
      </w:r>
      <w:r w:rsidR="00BC0FBC">
        <w:rPr>
          <w:rFonts w:asciiTheme="minorHAnsi" w:hAnsiTheme="minorHAnsi" w:cstheme="minorHAnsi"/>
          <w:color w:val="000000" w:themeColor="text1"/>
          <w:sz w:val="22"/>
          <w:szCs w:val="22"/>
          <w:lang w:val="en-GB"/>
        </w:rPr>
        <w:t>epsis following H</w:t>
      </w:r>
      <w:r w:rsidR="00283987">
        <w:rPr>
          <w:rFonts w:asciiTheme="minorHAnsi" w:hAnsiTheme="minorHAnsi" w:cstheme="minorHAnsi"/>
          <w:color w:val="000000" w:themeColor="text1"/>
          <w:sz w:val="22"/>
          <w:szCs w:val="22"/>
          <w:lang w:val="en-GB"/>
        </w:rPr>
        <w:t>C</w:t>
      </w:r>
      <w:r w:rsidR="00BC0FBC">
        <w:rPr>
          <w:rFonts w:asciiTheme="minorHAnsi" w:hAnsiTheme="minorHAnsi" w:cstheme="minorHAnsi"/>
          <w:color w:val="000000" w:themeColor="text1"/>
          <w:sz w:val="22"/>
          <w:szCs w:val="22"/>
          <w:lang w:val="en-GB"/>
        </w:rPr>
        <w:t>AI in patients with NCDs</w:t>
      </w:r>
      <w:r w:rsidR="00AC2352">
        <w:rPr>
          <w:rFonts w:asciiTheme="minorHAnsi" w:hAnsiTheme="minorHAnsi" w:cstheme="minorHAnsi"/>
          <w:color w:val="000000" w:themeColor="text1"/>
          <w:sz w:val="22"/>
          <w:szCs w:val="22"/>
          <w:lang w:val="en-GB"/>
        </w:rPr>
        <w:t xml:space="preserve"> urgently require</w:t>
      </w:r>
      <w:r w:rsidR="00EC433D">
        <w:rPr>
          <w:rFonts w:asciiTheme="minorHAnsi" w:hAnsiTheme="minorHAnsi" w:cstheme="minorHAnsi"/>
          <w:color w:val="000000" w:themeColor="text1"/>
          <w:sz w:val="22"/>
          <w:szCs w:val="22"/>
          <w:lang w:val="en-GB"/>
        </w:rPr>
        <w:t>s</w:t>
      </w:r>
      <w:r w:rsidR="00AC2352">
        <w:rPr>
          <w:rFonts w:asciiTheme="minorHAnsi" w:hAnsiTheme="minorHAnsi" w:cstheme="minorHAnsi"/>
          <w:color w:val="000000" w:themeColor="text1"/>
          <w:sz w:val="22"/>
          <w:szCs w:val="22"/>
          <w:lang w:val="en-GB"/>
        </w:rPr>
        <w:t xml:space="preserve"> improve</w:t>
      </w:r>
      <w:r w:rsidR="00DB7C6E">
        <w:rPr>
          <w:rFonts w:asciiTheme="minorHAnsi" w:hAnsiTheme="minorHAnsi" w:cstheme="minorHAnsi"/>
          <w:color w:val="000000" w:themeColor="text1"/>
          <w:sz w:val="22"/>
          <w:szCs w:val="22"/>
          <w:lang w:val="en-GB"/>
        </w:rPr>
        <w:t>d</w:t>
      </w:r>
      <w:r w:rsidR="00AC2352">
        <w:rPr>
          <w:rFonts w:asciiTheme="minorHAnsi" w:hAnsiTheme="minorHAnsi" w:cstheme="minorHAnsi"/>
          <w:color w:val="000000" w:themeColor="text1"/>
          <w:sz w:val="22"/>
          <w:szCs w:val="22"/>
          <w:lang w:val="en-GB"/>
        </w:rPr>
        <w:t xml:space="preserve"> surveillance. </w:t>
      </w:r>
    </w:p>
    <w:p w14:paraId="12C79843" w14:textId="1CBB430F" w:rsidR="00433EE7" w:rsidRPr="00C37A4D" w:rsidRDefault="006835A9" w:rsidP="00433EE7">
      <w:pPr>
        <w:shd w:val="clear" w:color="auto" w:fill="FFFFFF"/>
        <w:spacing w:before="240" w:after="240"/>
        <w:rPr>
          <w:rFonts w:asciiTheme="minorHAnsi" w:hAnsiTheme="minorHAnsi" w:cstheme="minorHAnsi"/>
          <w:color w:val="000000" w:themeColor="text1"/>
          <w:sz w:val="22"/>
          <w:szCs w:val="22"/>
          <w:highlight w:val="white"/>
          <w:lang w:val="en-GB" w:eastAsia="ko-KR"/>
        </w:rPr>
      </w:pPr>
      <w:r w:rsidRPr="00C37A4D">
        <w:rPr>
          <w:rFonts w:asciiTheme="minorHAnsi" w:hAnsiTheme="minorHAnsi" w:cstheme="minorHAnsi"/>
          <w:color w:val="000000" w:themeColor="text1"/>
          <w:sz w:val="22"/>
          <w:szCs w:val="22"/>
          <w:highlight w:val="white"/>
          <w:lang w:val="en-GB"/>
        </w:rPr>
        <w:t>C</w:t>
      </w:r>
      <w:r w:rsidR="00433EE7" w:rsidRPr="00C37A4D">
        <w:rPr>
          <w:rFonts w:asciiTheme="minorHAnsi" w:hAnsiTheme="minorHAnsi" w:cstheme="minorHAnsi"/>
          <w:color w:val="000000" w:themeColor="text1"/>
          <w:sz w:val="22"/>
          <w:szCs w:val="22"/>
          <w:highlight w:val="white"/>
          <w:lang w:val="en-GB"/>
        </w:rPr>
        <w:t xml:space="preserve">ancer </w:t>
      </w:r>
      <w:r w:rsidRPr="00C37A4D">
        <w:rPr>
          <w:rFonts w:asciiTheme="minorHAnsi" w:hAnsiTheme="minorHAnsi" w:cstheme="minorHAnsi"/>
          <w:color w:val="000000" w:themeColor="text1"/>
          <w:sz w:val="22"/>
          <w:szCs w:val="22"/>
          <w:highlight w:val="white"/>
          <w:lang w:val="en-GB"/>
        </w:rPr>
        <w:t xml:space="preserve">patients </w:t>
      </w:r>
      <w:r w:rsidR="00433EE7" w:rsidRPr="00C37A4D">
        <w:rPr>
          <w:rFonts w:asciiTheme="minorHAnsi" w:hAnsiTheme="minorHAnsi" w:cstheme="minorHAnsi"/>
          <w:color w:val="000000" w:themeColor="text1"/>
          <w:sz w:val="22"/>
          <w:szCs w:val="22"/>
          <w:highlight w:val="white"/>
          <w:lang w:val="en-GB"/>
        </w:rPr>
        <w:t xml:space="preserve">have a particularly high risk of infection. </w:t>
      </w:r>
      <w:r w:rsidR="007C4DC3">
        <w:rPr>
          <w:rFonts w:asciiTheme="minorHAnsi" w:hAnsiTheme="minorHAnsi" w:cstheme="minorHAnsi"/>
          <w:color w:val="000000" w:themeColor="text1"/>
          <w:sz w:val="22"/>
          <w:szCs w:val="22"/>
          <w:highlight w:val="white"/>
          <w:lang w:val="en-GB"/>
        </w:rPr>
        <w:t>C</w:t>
      </w:r>
      <w:r w:rsidR="00433EE7" w:rsidRPr="00C37A4D">
        <w:rPr>
          <w:rFonts w:asciiTheme="minorHAnsi" w:hAnsiTheme="minorHAnsi" w:cstheme="minorHAnsi"/>
          <w:color w:val="000000" w:themeColor="text1"/>
          <w:sz w:val="22"/>
          <w:szCs w:val="22"/>
          <w:highlight w:val="white"/>
          <w:lang w:val="en-GB"/>
        </w:rPr>
        <w:t xml:space="preserve">ancer itself predisposes </w:t>
      </w:r>
      <w:r w:rsidR="007C4DC3">
        <w:rPr>
          <w:rFonts w:asciiTheme="minorHAnsi" w:hAnsiTheme="minorHAnsi" w:cstheme="minorHAnsi"/>
          <w:color w:val="000000" w:themeColor="text1"/>
          <w:sz w:val="22"/>
          <w:szCs w:val="22"/>
          <w:highlight w:val="white"/>
          <w:lang w:val="en-GB"/>
        </w:rPr>
        <w:t xml:space="preserve">patients </w:t>
      </w:r>
      <w:r w:rsidR="00433EE7" w:rsidRPr="00C37A4D">
        <w:rPr>
          <w:rFonts w:asciiTheme="minorHAnsi" w:hAnsiTheme="minorHAnsi" w:cstheme="minorHAnsi"/>
          <w:color w:val="000000" w:themeColor="text1"/>
          <w:sz w:val="22"/>
          <w:szCs w:val="22"/>
          <w:highlight w:val="white"/>
          <w:lang w:val="en-GB"/>
        </w:rPr>
        <w:t xml:space="preserve">to malnutrition and psychological stress, </w:t>
      </w:r>
      <w:r w:rsidRPr="00C37A4D">
        <w:rPr>
          <w:rFonts w:asciiTheme="minorHAnsi" w:hAnsiTheme="minorHAnsi" w:cstheme="minorHAnsi"/>
          <w:color w:val="000000" w:themeColor="text1"/>
          <w:sz w:val="22"/>
          <w:szCs w:val="22"/>
          <w:highlight w:val="white"/>
          <w:lang w:val="en-GB"/>
        </w:rPr>
        <w:t xml:space="preserve">and </w:t>
      </w:r>
      <w:r w:rsidR="00433EE7" w:rsidRPr="00C37A4D">
        <w:rPr>
          <w:rFonts w:asciiTheme="minorHAnsi" w:hAnsiTheme="minorHAnsi" w:cstheme="minorHAnsi"/>
          <w:color w:val="000000" w:themeColor="text1"/>
          <w:sz w:val="22"/>
          <w:szCs w:val="22"/>
          <w:highlight w:val="white"/>
          <w:lang w:val="en-GB"/>
        </w:rPr>
        <w:t>cancer treatments</w:t>
      </w:r>
      <w:r w:rsidR="00AF501F" w:rsidRPr="00C37A4D">
        <w:rPr>
          <w:rFonts w:asciiTheme="minorHAnsi" w:hAnsiTheme="minorHAnsi" w:cstheme="minorHAnsi"/>
          <w:color w:val="000000" w:themeColor="text1"/>
          <w:sz w:val="22"/>
          <w:szCs w:val="22"/>
          <w:highlight w:val="white"/>
          <w:lang w:val="en-GB"/>
        </w:rPr>
        <w:t>—</w:t>
      </w:r>
      <w:r w:rsidR="00433EE7" w:rsidRPr="00C37A4D">
        <w:rPr>
          <w:rFonts w:asciiTheme="minorHAnsi" w:hAnsiTheme="minorHAnsi" w:cstheme="minorHAnsi"/>
          <w:color w:val="000000" w:themeColor="text1"/>
          <w:sz w:val="22"/>
          <w:szCs w:val="22"/>
          <w:highlight w:val="white"/>
          <w:lang w:val="en-GB"/>
        </w:rPr>
        <w:t xml:space="preserve">invasive medical devices, surgery, chemotherapy, radiation, </w:t>
      </w:r>
      <w:r w:rsidR="003120C7">
        <w:rPr>
          <w:rFonts w:asciiTheme="minorHAnsi" w:hAnsiTheme="minorHAnsi" w:cstheme="minorHAnsi"/>
          <w:color w:val="000000" w:themeColor="text1"/>
          <w:sz w:val="22"/>
          <w:szCs w:val="22"/>
          <w:highlight w:val="white"/>
          <w:lang w:val="en-GB"/>
        </w:rPr>
        <w:t xml:space="preserve">immunotherapy, and </w:t>
      </w:r>
      <w:r w:rsidR="00074F88">
        <w:rPr>
          <w:rFonts w:asciiTheme="minorHAnsi" w:hAnsiTheme="minorHAnsi" w:cstheme="minorHAnsi"/>
          <w:color w:val="000000" w:themeColor="text1"/>
          <w:sz w:val="22"/>
          <w:szCs w:val="22"/>
          <w:highlight w:val="white"/>
          <w:lang w:val="en-GB"/>
        </w:rPr>
        <w:t>antibiotic</w:t>
      </w:r>
      <w:r w:rsidR="00074F88" w:rsidRPr="00C37A4D">
        <w:rPr>
          <w:rFonts w:asciiTheme="minorHAnsi" w:hAnsiTheme="minorHAnsi" w:cstheme="minorHAnsi"/>
          <w:color w:val="000000" w:themeColor="text1"/>
          <w:sz w:val="22"/>
          <w:szCs w:val="22"/>
          <w:highlight w:val="white"/>
          <w:lang w:val="en-GB"/>
        </w:rPr>
        <w:t xml:space="preserve"> </w:t>
      </w:r>
      <w:r w:rsidR="00433EE7" w:rsidRPr="00C37A4D">
        <w:rPr>
          <w:rFonts w:asciiTheme="minorHAnsi" w:hAnsiTheme="minorHAnsi" w:cstheme="minorHAnsi"/>
          <w:color w:val="000000" w:themeColor="text1"/>
          <w:sz w:val="22"/>
          <w:szCs w:val="22"/>
          <w:highlight w:val="white"/>
          <w:lang w:val="en-GB"/>
        </w:rPr>
        <w:t>use</w:t>
      </w:r>
      <w:r w:rsidR="008E7602" w:rsidRPr="00C37A4D">
        <w:rPr>
          <w:rFonts w:asciiTheme="minorHAnsi" w:hAnsiTheme="minorHAnsi" w:cstheme="minorHAnsi"/>
          <w:color w:val="000000" w:themeColor="text1"/>
          <w:sz w:val="22"/>
          <w:szCs w:val="22"/>
          <w:highlight w:val="white"/>
          <w:lang w:val="en-GB"/>
        </w:rPr>
        <w:t xml:space="preserve"> to prevent infection</w:t>
      </w:r>
      <w:r w:rsidR="003120C7">
        <w:rPr>
          <w:rFonts w:asciiTheme="minorHAnsi" w:hAnsiTheme="minorHAnsi" w:cstheme="minorHAnsi"/>
          <w:color w:val="000000" w:themeColor="text1"/>
          <w:sz w:val="22"/>
          <w:szCs w:val="22"/>
          <w:highlight w:val="white"/>
          <w:lang w:val="en-GB"/>
        </w:rPr>
        <w:t>,</w:t>
      </w:r>
      <w:r w:rsidR="008E7602" w:rsidRPr="00C37A4D">
        <w:rPr>
          <w:rFonts w:asciiTheme="minorHAnsi" w:hAnsiTheme="minorHAnsi" w:cstheme="minorHAnsi"/>
          <w:color w:val="000000" w:themeColor="text1"/>
          <w:sz w:val="22"/>
          <w:szCs w:val="22"/>
          <w:highlight w:val="white"/>
          <w:lang w:val="en-GB"/>
        </w:rPr>
        <w:t xml:space="preserve"> which can then select for resistant infections</w:t>
      </w:r>
      <w:r w:rsidRPr="00C37A4D">
        <w:rPr>
          <w:rFonts w:asciiTheme="minorHAnsi" w:hAnsiTheme="minorHAnsi" w:cstheme="minorHAnsi"/>
          <w:color w:val="000000" w:themeColor="text1"/>
          <w:sz w:val="22"/>
          <w:szCs w:val="22"/>
          <w:highlight w:val="white"/>
          <w:lang w:val="en-GB"/>
        </w:rPr>
        <w:t>—also present risk of infection</w:t>
      </w:r>
      <w:r w:rsidR="00433EE7" w:rsidRPr="00C37A4D">
        <w:rPr>
          <w:rFonts w:asciiTheme="minorHAnsi" w:hAnsiTheme="minorHAnsi" w:cstheme="minorHAnsi"/>
          <w:color w:val="000000" w:themeColor="text1"/>
          <w:sz w:val="22"/>
          <w:szCs w:val="22"/>
          <w:highlight w:val="white"/>
          <w:lang w:val="en-GB"/>
        </w:rPr>
        <w:t>.</w:t>
      </w:r>
      <w:r w:rsidR="00E00CFD" w:rsidRPr="00E00CFD">
        <w:rPr>
          <w:rFonts w:hAnsiTheme="minorHAnsi"/>
          <w:color w:val="000000"/>
          <w:sz w:val="22"/>
          <w:vertAlign w:val="superscript"/>
        </w:rPr>
        <w:t>83,84</w:t>
      </w:r>
      <w:r w:rsidR="0047001E" w:rsidRPr="00C37A4D">
        <w:rPr>
          <w:rFonts w:asciiTheme="minorHAnsi" w:hAnsiTheme="minorHAnsi" w:cstheme="minorHAnsi"/>
          <w:color w:val="000000" w:themeColor="text1"/>
          <w:sz w:val="22"/>
          <w:szCs w:val="22"/>
          <w:highlight w:val="white"/>
          <w:lang w:val="en-GB"/>
        </w:rPr>
        <w:t xml:space="preserve"> </w:t>
      </w:r>
      <w:r w:rsidR="00433EE7" w:rsidRPr="00C37A4D">
        <w:rPr>
          <w:rFonts w:asciiTheme="minorHAnsi" w:hAnsiTheme="minorHAnsi" w:cstheme="minorHAnsi"/>
          <w:color w:val="000000" w:themeColor="text1"/>
          <w:sz w:val="22"/>
          <w:szCs w:val="22"/>
          <w:highlight w:val="white"/>
          <w:lang w:val="en-GB"/>
        </w:rPr>
        <w:t xml:space="preserve">In a retrospective study, the mortality rate </w:t>
      </w:r>
      <w:r w:rsidR="004F187C">
        <w:rPr>
          <w:rFonts w:asciiTheme="minorHAnsi" w:hAnsiTheme="minorHAnsi" w:cstheme="minorHAnsi"/>
          <w:color w:val="000000" w:themeColor="text1"/>
          <w:sz w:val="22"/>
          <w:szCs w:val="22"/>
          <w:highlight w:val="white"/>
          <w:lang w:val="en-GB"/>
        </w:rPr>
        <w:t xml:space="preserve">due to fatal infection </w:t>
      </w:r>
      <w:r w:rsidR="007C4DC3">
        <w:rPr>
          <w:rFonts w:asciiTheme="minorHAnsi" w:hAnsiTheme="minorHAnsi" w:cstheme="minorHAnsi"/>
          <w:color w:val="000000" w:themeColor="text1"/>
          <w:sz w:val="22"/>
          <w:szCs w:val="22"/>
          <w:highlight w:val="white"/>
          <w:lang w:val="en-GB"/>
        </w:rPr>
        <w:t xml:space="preserve">in </w:t>
      </w:r>
      <w:r w:rsidR="00565BEB">
        <w:rPr>
          <w:rFonts w:asciiTheme="minorHAnsi" w:hAnsiTheme="minorHAnsi" w:cstheme="minorHAnsi"/>
          <w:color w:val="000000" w:themeColor="text1"/>
          <w:sz w:val="22"/>
          <w:szCs w:val="22"/>
          <w:highlight w:val="white"/>
          <w:lang w:val="en-GB"/>
        </w:rPr>
        <w:t xml:space="preserve">US </w:t>
      </w:r>
      <w:r w:rsidR="007C4DC3">
        <w:rPr>
          <w:rFonts w:asciiTheme="minorHAnsi" w:hAnsiTheme="minorHAnsi" w:cstheme="minorHAnsi"/>
          <w:color w:val="000000" w:themeColor="text1"/>
          <w:sz w:val="22"/>
          <w:szCs w:val="22"/>
          <w:highlight w:val="white"/>
          <w:lang w:val="en-GB"/>
        </w:rPr>
        <w:t xml:space="preserve">cancer patients </w:t>
      </w:r>
      <w:r w:rsidR="00433EE7" w:rsidRPr="00C37A4D">
        <w:rPr>
          <w:rFonts w:asciiTheme="minorHAnsi" w:hAnsiTheme="minorHAnsi" w:cstheme="minorHAnsi"/>
          <w:color w:val="000000" w:themeColor="text1"/>
          <w:sz w:val="22"/>
          <w:szCs w:val="22"/>
          <w:highlight w:val="white"/>
          <w:lang w:val="en-GB"/>
        </w:rPr>
        <w:t>was 260</w:t>
      </w:r>
      <w:r w:rsidR="00157D88" w:rsidRPr="00C37A4D">
        <w:rPr>
          <w:rFonts w:asciiTheme="minorHAnsi" w:hAnsiTheme="minorHAnsi" w:cstheme="minorHAnsi"/>
          <w:color w:val="000000" w:themeColor="text1"/>
          <w:sz w:val="22"/>
          <w:szCs w:val="22"/>
          <w:highlight w:val="white"/>
          <w:lang w:val="en-GB"/>
        </w:rPr>
        <w:t>·</w:t>
      </w:r>
      <w:r w:rsidR="00433EE7" w:rsidRPr="00C37A4D">
        <w:rPr>
          <w:rFonts w:asciiTheme="minorHAnsi" w:hAnsiTheme="minorHAnsi" w:cstheme="minorHAnsi"/>
          <w:color w:val="000000" w:themeColor="text1"/>
          <w:sz w:val="22"/>
          <w:szCs w:val="22"/>
          <w:highlight w:val="white"/>
          <w:lang w:val="en-GB"/>
        </w:rPr>
        <w:t>1/100,000 person-years, nearly three times that of the general population.</w:t>
      </w:r>
      <w:r w:rsidR="00150C06" w:rsidRPr="00150C06">
        <w:rPr>
          <w:rFonts w:hAnsiTheme="minorHAnsi"/>
          <w:color w:val="000000"/>
          <w:sz w:val="22"/>
          <w:vertAlign w:val="superscript"/>
        </w:rPr>
        <w:t>85</w:t>
      </w:r>
      <w:r w:rsidR="008440EE" w:rsidRPr="00C37A4D">
        <w:rPr>
          <w:rFonts w:asciiTheme="minorHAnsi" w:hAnsiTheme="minorHAnsi" w:cstheme="minorHAnsi"/>
          <w:color w:val="000000" w:themeColor="text1"/>
          <w:sz w:val="22"/>
          <w:szCs w:val="22"/>
          <w:highlight w:val="white"/>
          <w:lang w:val="en-GB"/>
        </w:rPr>
        <w:t xml:space="preserve"> </w:t>
      </w:r>
      <w:r w:rsidR="00433EE7" w:rsidRPr="00C37A4D">
        <w:rPr>
          <w:rFonts w:asciiTheme="minorHAnsi" w:hAnsiTheme="minorHAnsi" w:cstheme="minorHAnsi"/>
          <w:color w:val="000000" w:themeColor="text1"/>
          <w:sz w:val="22"/>
          <w:szCs w:val="22"/>
          <w:highlight w:val="white"/>
          <w:lang w:val="en-GB"/>
        </w:rPr>
        <w:t>In that cohort, patients aged 20 to 39 or over 80 years, as well as those receiving chemotherapy, showed a higher risk of fatal infections</w:t>
      </w:r>
      <w:r w:rsidR="00562913">
        <w:rPr>
          <w:rFonts w:asciiTheme="minorHAnsi" w:hAnsiTheme="minorHAnsi" w:cstheme="minorHAnsi"/>
          <w:color w:val="000000" w:themeColor="text1"/>
          <w:sz w:val="22"/>
          <w:szCs w:val="22"/>
          <w:highlight w:val="white"/>
          <w:lang w:val="en-GB"/>
        </w:rPr>
        <w:t>.</w:t>
      </w:r>
      <w:r w:rsidR="00150C06" w:rsidRPr="00150C06">
        <w:rPr>
          <w:rFonts w:hAnsiTheme="minorHAnsi"/>
          <w:color w:val="000000"/>
          <w:sz w:val="22"/>
          <w:vertAlign w:val="superscript"/>
        </w:rPr>
        <w:t>85</w:t>
      </w:r>
    </w:p>
    <w:p w14:paraId="0E28EB67" w14:textId="5207ECF6" w:rsidR="00433EE7" w:rsidRPr="00C37A4D" w:rsidRDefault="00433EE7" w:rsidP="00433EE7">
      <w:pPr>
        <w:rPr>
          <w:color w:val="000000" w:themeColor="text1"/>
          <w:sz w:val="22"/>
          <w:szCs w:val="22"/>
          <w:lang w:val="en-GB"/>
        </w:rPr>
      </w:pPr>
      <w:r w:rsidRPr="00C37A4D">
        <w:rPr>
          <w:rFonts w:asciiTheme="minorHAnsi" w:hAnsiTheme="minorHAnsi" w:cstheme="minorHAnsi"/>
          <w:color w:val="000000" w:themeColor="text1"/>
          <w:sz w:val="22"/>
          <w:szCs w:val="22"/>
          <w:highlight w:val="white"/>
          <w:lang w:val="en-GB" w:eastAsia="ko-KR"/>
        </w:rPr>
        <w:t xml:space="preserve">Disparities in resources, infrastructure, </w:t>
      </w:r>
      <w:r w:rsidR="00816FFD" w:rsidRPr="00C37A4D">
        <w:rPr>
          <w:rFonts w:asciiTheme="minorHAnsi" w:hAnsiTheme="minorHAnsi" w:cstheme="minorHAnsi"/>
          <w:color w:val="000000" w:themeColor="text1"/>
          <w:sz w:val="22"/>
          <w:szCs w:val="22"/>
          <w:highlight w:val="white"/>
          <w:lang w:val="en-GB" w:eastAsia="ko-KR"/>
        </w:rPr>
        <w:t>organi</w:t>
      </w:r>
      <w:r w:rsidR="0094482F" w:rsidRPr="00C37A4D">
        <w:rPr>
          <w:rFonts w:asciiTheme="minorHAnsi" w:hAnsiTheme="minorHAnsi" w:cstheme="minorHAnsi"/>
          <w:color w:val="000000" w:themeColor="text1"/>
          <w:sz w:val="22"/>
          <w:szCs w:val="22"/>
          <w:highlight w:val="white"/>
          <w:lang w:val="en-GB" w:eastAsia="ko-KR"/>
        </w:rPr>
        <w:t>s</w:t>
      </w:r>
      <w:r w:rsidR="00816FFD" w:rsidRPr="00C37A4D">
        <w:rPr>
          <w:rFonts w:asciiTheme="minorHAnsi" w:hAnsiTheme="minorHAnsi" w:cstheme="minorHAnsi"/>
          <w:color w:val="000000" w:themeColor="text1"/>
          <w:sz w:val="22"/>
          <w:szCs w:val="22"/>
          <w:highlight w:val="white"/>
          <w:lang w:val="en-GB" w:eastAsia="ko-KR"/>
        </w:rPr>
        <w:t>ation,</w:t>
      </w:r>
      <w:r w:rsidRPr="00C37A4D">
        <w:rPr>
          <w:rFonts w:asciiTheme="minorHAnsi" w:hAnsiTheme="minorHAnsi" w:cstheme="minorHAnsi"/>
          <w:color w:val="000000" w:themeColor="text1"/>
          <w:sz w:val="22"/>
          <w:szCs w:val="22"/>
          <w:highlight w:val="white"/>
          <w:lang w:val="en-GB" w:eastAsia="ko-KR"/>
        </w:rPr>
        <w:t xml:space="preserve"> and access to medical care will almost certainly </w:t>
      </w:r>
      <w:r w:rsidR="003120C7">
        <w:rPr>
          <w:rFonts w:asciiTheme="minorHAnsi" w:hAnsiTheme="minorHAnsi" w:cstheme="minorHAnsi"/>
          <w:color w:val="000000" w:themeColor="text1"/>
          <w:sz w:val="22"/>
          <w:szCs w:val="22"/>
          <w:highlight w:val="white"/>
          <w:lang w:val="en-GB" w:eastAsia="ko-KR"/>
        </w:rPr>
        <w:t>raise</w:t>
      </w:r>
      <w:r w:rsidRPr="00C37A4D">
        <w:rPr>
          <w:rFonts w:asciiTheme="minorHAnsi" w:hAnsiTheme="minorHAnsi" w:cstheme="minorHAnsi"/>
          <w:color w:val="000000" w:themeColor="text1"/>
          <w:sz w:val="22"/>
          <w:szCs w:val="22"/>
          <w:highlight w:val="white"/>
          <w:lang w:val="en-GB" w:eastAsia="ko-KR"/>
        </w:rPr>
        <w:t xml:space="preserve"> cancer fatality rates in low- and middle-income countries</w:t>
      </w:r>
      <w:r w:rsidR="00D76FFD">
        <w:rPr>
          <w:rFonts w:asciiTheme="minorHAnsi" w:hAnsiTheme="minorHAnsi" w:cstheme="minorHAnsi"/>
          <w:color w:val="000000" w:themeColor="text1"/>
          <w:sz w:val="22"/>
          <w:szCs w:val="22"/>
          <w:highlight w:val="white"/>
          <w:lang w:val="en-GB" w:eastAsia="ko-KR"/>
        </w:rPr>
        <w:t xml:space="preserve"> (LMICs)</w:t>
      </w:r>
      <w:r w:rsidRPr="00C37A4D">
        <w:rPr>
          <w:rFonts w:asciiTheme="minorHAnsi" w:hAnsiTheme="minorHAnsi" w:cstheme="minorHAnsi"/>
          <w:color w:val="000000" w:themeColor="text1"/>
          <w:sz w:val="22"/>
          <w:szCs w:val="22"/>
          <w:highlight w:val="white"/>
          <w:lang w:val="en-GB" w:eastAsia="ko-KR"/>
        </w:rPr>
        <w:t>, where diagnoses are made at later stages and access to care remains a challenge</w:t>
      </w:r>
      <w:r w:rsidR="00AA63D2">
        <w:rPr>
          <w:rFonts w:asciiTheme="minorHAnsi" w:hAnsiTheme="minorHAnsi" w:cstheme="minorHAnsi"/>
          <w:color w:val="000000" w:themeColor="text1"/>
          <w:sz w:val="22"/>
          <w:szCs w:val="22"/>
          <w:highlight w:val="white"/>
          <w:lang w:val="en-GB" w:eastAsia="ko-KR"/>
        </w:rPr>
        <w:t>.</w:t>
      </w:r>
      <w:r w:rsidR="00E00CFD" w:rsidRPr="00E00CFD">
        <w:rPr>
          <w:rFonts w:hAnsiTheme="minorHAnsi"/>
          <w:color w:val="000000"/>
          <w:sz w:val="22"/>
          <w:vertAlign w:val="superscript"/>
        </w:rPr>
        <w:t>86</w:t>
      </w:r>
      <w:r w:rsidRPr="00C37A4D">
        <w:rPr>
          <w:rFonts w:asciiTheme="minorHAnsi" w:hAnsiTheme="minorHAnsi" w:cstheme="minorHAnsi"/>
          <w:color w:val="000000" w:themeColor="text1"/>
          <w:sz w:val="22"/>
          <w:szCs w:val="22"/>
          <w:highlight w:val="white"/>
          <w:lang w:val="en-GB" w:eastAsia="ko-KR"/>
        </w:rPr>
        <w:t xml:space="preserve"> The </w:t>
      </w:r>
      <w:r w:rsidR="0098011F" w:rsidRPr="00C37A4D">
        <w:rPr>
          <w:rFonts w:asciiTheme="minorHAnsi" w:hAnsiTheme="minorHAnsi" w:cstheme="minorHAnsi"/>
          <w:color w:val="000000" w:themeColor="text1"/>
          <w:sz w:val="22"/>
          <w:szCs w:val="22"/>
          <w:highlight w:val="white"/>
          <w:lang w:val="en-GB" w:eastAsia="ko-KR"/>
        </w:rPr>
        <w:t xml:space="preserve">most resistant </w:t>
      </w:r>
      <w:r w:rsidRPr="00C37A4D">
        <w:rPr>
          <w:rFonts w:asciiTheme="minorHAnsi" w:hAnsiTheme="minorHAnsi" w:cstheme="minorHAnsi"/>
          <w:color w:val="000000" w:themeColor="text1"/>
          <w:sz w:val="22"/>
          <w:szCs w:val="22"/>
          <w:highlight w:val="white"/>
          <w:lang w:val="en-GB" w:eastAsia="ko-KR"/>
        </w:rPr>
        <w:t>ESKAPE pathogens (</w:t>
      </w:r>
      <w:r w:rsidRPr="00C37A4D">
        <w:rPr>
          <w:rFonts w:asciiTheme="minorHAnsi" w:hAnsiTheme="minorHAnsi" w:cstheme="minorHAnsi"/>
          <w:i/>
          <w:color w:val="000000" w:themeColor="text1"/>
          <w:sz w:val="22"/>
          <w:szCs w:val="22"/>
          <w:highlight w:val="white"/>
          <w:lang w:val="en-GB" w:eastAsia="ko-KR"/>
        </w:rPr>
        <w:t>Enterococcus faecium</w:t>
      </w:r>
      <w:r w:rsidRPr="00C37A4D">
        <w:rPr>
          <w:rFonts w:asciiTheme="minorHAnsi" w:hAnsiTheme="minorHAnsi" w:cstheme="minorHAnsi"/>
          <w:color w:val="000000" w:themeColor="text1"/>
          <w:sz w:val="22"/>
          <w:szCs w:val="22"/>
          <w:highlight w:val="white"/>
          <w:lang w:val="en-GB" w:eastAsia="ko-KR"/>
        </w:rPr>
        <w:t xml:space="preserve">, </w:t>
      </w:r>
      <w:r w:rsidR="00FE1302" w:rsidRPr="00C37A4D">
        <w:rPr>
          <w:rFonts w:asciiTheme="minorHAnsi" w:hAnsiTheme="minorHAnsi" w:cstheme="minorHAnsi"/>
          <w:i/>
          <w:color w:val="000000" w:themeColor="text1"/>
          <w:sz w:val="22"/>
          <w:szCs w:val="22"/>
          <w:highlight w:val="white"/>
          <w:lang w:val="en-GB" w:eastAsia="ko-KR"/>
        </w:rPr>
        <w:t>S</w:t>
      </w:r>
      <w:r w:rsidR="00987DEC">
        <w:rPr>
          <w:rFonts w:asciiTheme="minorHAnsi" w:hAnsiTheme="minorHAnsi" w:cstheme="minorHAnsi"/>
          <w:i/>
          <w:color w:val="000000" w:themeColor="text1"/>
          <w:sz w:val="22"/>
          <w:szCs w:val="22"/>
          <w:highlight w:val="white"/>
          <w:lang w:val="en-GB" w:eastAsia="ko-KR"/>
        </w:rPr>
        <w:t>taphylococcus</w:t>
      </w:r>
      <w:r w:rsidR="00FE1302" w:rsidRPr="00C37A4D">
        <w:rPr>
          <w:rFonts w:asciiTheme="minorHAnsi" w:hAnsiTheme="minorHAnsi" w:cstheme="minorHAnsi"/>
          <w:i/>
          <w:color w:val="000000" w:themeColor="text1"/>
          <w:sz w:val="22"/>
          <w:szCs w:val="22"/>
          <w:highlight w:val="white"/>
          <w:lang w:val="en-GB" w:eastAsia="ko-KR"/>
        </w:rPr>
        <w:t xml:space="preserve"> </w:t>
      </w:r>
      <w:r w:rsidRPr="00C37A4D">
        <w:rPr>
          <w:rFonts w:asciiTheme="minorHAnsi" w:hAnsiTheme="minorHAnsi" w:cstheme="minorHAnsi"/>
          <w:i/>
          <w:color w:val="000000" w:themeColor="text1"/>
          <w:sz w:val="22"/>
          <w:szCs w:val="22"/>
          <w:highlight w:val="white"/>
          <w:lang w:val="en-GB" w:eastAsia="ko-KR"/>
        </w:rPr>
        <w:t>aureus</w:t>
      </w:r>
      <w:r w:rsidRPr="00C37A4D">
        <w:rPr>
          <w:rFonts w:asciiTheme="minorHAnsi" w:hAnsiTheme="minorHAnsi" w:cstheme="minorHAnsi"/>
          <w:color w:val="000000" w:themeColor="text1"/>
          <w:sz w:val="22"/>
          <w:szCs w:val="22"/>
          <w:highlight w:val="white"/>
          <w:lang w:val="en-GB" w:eastAsia="ko-KR"/>
        </w:rPr>
        <w:t xml:space="preserve">, </w:t>
      </w:r>
      <w:r w:rsidR="00FE1302" w:rsidRPr="00C37A4D">
        <w:rPr>
          <w:rFonts w:asciiTheme="minorHAnsi" w:hAnsiTheme="minorHAnsi" w:cstheme="minorHAnsi"/>
          <w:i/>
          <w:color w:val="000000" w:themeColor="text1"/>
          <w:sz w:val="22"/>
          <w:szCs w:val="22"/>
          <w:highlight w:val="white"/>
          <w:lang w:val="en-GB" w:eastAsia="ko-KR"/>
        </w:rPr>
        <w:t>K</w:t>
      </w:r>
      <w:r w:rsidR="00FE1302">
        <w:rPr>
          <w:rFonts w:asciiTheme="minorHAnsi" w:hAnsiTheme="minorHAnsi" w:cstheme="minorHAnsi"/>
          <w:i/>
          <w:color w:val="000000" w:themeColor="text1"/>
          <w:sz w:val="22"/>
          <w:szCs w:val="22"/>
          <w:highlight w:val="white"/>
          <w:lang w:val="en-GB" w:eastAsia="ko-KR"/>
        </w:rPr>
        <w:t>.</w:t>
      </w:r>
      <w:r w:rsidR="00FE1302" w:rsidRPr="00C37A4D">
        <w:rPr>
          <w:rFonts w:asciiTheme="minorHAnsi" w:hAnsiTheme="minorHAnsi" w:cstheme="minorHAnsi"/>
          <w:i/>
          <w:color w:val="000000" w:themeColor="text1"/>
          <w:sz w:val="22"/>
          <w:szCs w:val="22"/>
          <w:highlight w:val="white"/>
          <w:lang w:val="en-GB" w:eastAsia="ko-KR"/>
        </w:rPr>
        <w:t xml:space="preserve"> </w:t>
      </w:r>
      <w:r w:rsidRPr="00C37A4D">
        <w:rPr>
          <w:rFonts w:asciiTheme="minorHAnsi" w:hAnsiTheme="minorHAnsi" w:cstheme="minorHAnsi"/>
          <w:i/>
          <w:color w:val="000000" w:themeColor="text1"/>
          <w:sz w:val="22"/>
          <w:szCs w:val="22"/>
          <w:highlight w:val="white"/>
          <w:lang w:val="en-GB" w:eastAsia="ko-KR"/>
        </w:rPr>
        <w:t>pneumoniae</w:t>
      </w:r>
      <w:r w:rsidRPr="00C37A4D">
        <w:rPr>
          <w:rFonts w:asciiTheme="minorHAnsi" w:hAnsiTheme="minorHAnsi" w:cstheme="minorHAnsi"/>
          <w:color w:val="000000" w:themeColor="text1"/>
          <w:sz w:val="22"/>
          <w:szCs w:val="22"/>
          <w:highlight w:val="white"/>
          <w:lang w:val="en-GB" w:eastAsia="ko-KR"/>
        </w:rPr>
        <w:t xml:space="preserve">, </w:t>
      </w:r>
      <w:r w:rsidR="00FE1302" w:rsidRPr="00C37A4D">
        <w:rPr>
          <w:rFonts w:asciiTheme="minorHAnsi" w:hAnsiTheme="minorHAnsi" w:cstheme="minorHAnsi"/>
          <w:i/>
          <w:color w:val="000000" w:themeColor="text1"/>
          <w:sz w:val="22"/>
          <w:szCs w:val="22"/>
          <w:highlight w:val="white"/>
          <w:lang w:val="en-GB" w:eastAsia="ko-KR"/>
        </w:rPr>
        <w:t>A</w:t>
      </w:r>
      <w:r w:rsidR="00FE1302">
        <w:rPr>
          <w:rFonts w:asciiTheme="minorHAnsi" w:hAnsiTheme="minorHAnsi" w:cstheme="minorHAnsi"/>
          <w:i/>
          <w:color w:val="000000" w:themeColor="text1"/>
          <w:sz w:val="22"/>
          <w:szCs w:val="22"/>
          <w:highlight w:val="white"/>
          <w:lang w:val="en-GB" w:eastAsia="ko-KR"/>
        </w:rPr>
        <w:t>.</w:t>
      </w:r>
      <w:r w:rsidR="00FE1302" w:rsidRPr="00C37A4D">
        <w:rPr>
          <w:rFonts w:asciiTheme="minorHAnsi" w:hAnsiTheme="minorHAnsi" w:cstheme="minorHAnsi"/>
          <w:i/>
          <w:color w:val="000000" w:themeColor="text1"/>
          <w:sz w:val="22"/>
          <w:szCs w:val="22"/>
          <w:highlight w:val="white"/>
          <w:lang w:val="en-GB" w:eastAsia="ko-KR"/>
        </w:rPr>
        <w:t xml:space="preserve"> </w:t>
      </w:r>
      <w:r w:rsidRPr="00C37A4D">
        <w:rPr>
          <w:rFonts w:asciiTheme="minorHAnsi" w:hAnsiTheme="minorHAnsi" w:cstheme="minorHAnsi"/>
          <w:i/>
          <w:color w:val="000000" w:themeColor="text1"/>
          <w:sz w:val="22"/>
          <w:szCs w:val="22"/>
          <w:highlight w:val="white"/>
          <w:lang w:val="en-GB" w:eastAsia="ko-KR"/>
        </w:rPr>
        <w:t>baumannii</w:t>
      </w:r>
      <w:r w:rsidRPr="00C37A4D">
        <w:rPr>
          <w:rFonts w:asciiTheme="minorHAnsi" w:hAnsiTheme="minorHAnsi" w:cstheme="minorHAnsi"/>
          <w:color w:val="000000" w:themeColor="text1"/>
          <w:sz w:val="22"/>
          <w:szCs w:val="22"/>
          <w:highlight w:val="white"/>
          <w:lang w:val="en-GB" w:eastAsia="ko-KR"/>
        </w:rPr>
        <w:t xml:space="preserve">, </w:t>
      </w:r>
      <w:r w:rsidRPr="00C37A4D">
        <w:rPr>
          <w:rFonts w:asciiTheme="minorHAnsi" w:hAnsiTheme="minorHAnsi" w:cstheme="minorHAnsi"/>
          <w:i/>
          <w:color w:val="000000" w:themeColor="text1"/>
          <w:sz w:val="22"/>
          <w:szCs w:val="22"/>
          <w:highlight w:val="white"/>
          <w:lang w:val="en-GB" w:eastAsia="ko-KR"/>
        </w:rPr>
        <w:t>Pseudomonas aeruginosa</w:t>
      </w:r>
      <w:r w:rsidR="00157D88" w:rsidRPr="00C37A4D">
        <w:rPr>
          <w:rFonts w:asciiTheme="minorHAnsi" w:hAnsiTheme="minorHAnsi" w:cstheme="minorHAnsi"/>
          <w:i/>
          <w:color w:val="000000" w:themeColor="text1"/>
          <w:sz w:val="22"/>
          <w:szCs w:val="22"/>
          <w:highlight w:val="white"/>
          <w:lang w:val="en-GB" w:eastAsia="ko-KR"/>
        </w:rPr>
        <w:t>,</w:t>
      </w:r>
      <w:r w:rsidRPr="00C37A4D">
        <w:rPr>
          <w:rFonts w:asciiTheme="minorHAnsi" w:hAnsiTheme="minorHAnsi" w:cstheme="minorHAnsi"/>
          <w:color w:val="000000" w:themeColor="text1"/>
          <w:sz w:val="22"/>
          <w:szCs w:val="22"/>
          <w:highlight w:val="white"/>
          <w:lang w:val="en-GB" w:eastAsia="ko-KR"/>
        </w:rPr>
        <w:t xml:space="preserve"> and </w:t>
      </w:r>
      <w:r w:rsidRPr="00C37A4D">
        <w:rPr>
          <w:rFonts w:asciiTheme="minorHAnsi" w:hAnsiTheme="minorHAnsi" w:cstheme="minorHAnsi"/>
          <w:i/>
          <w:color w:val="000000" w:themeColor="text1"/>
          <w:sz w:val="22"/>
          <w:szCs w:val="22"/>
          <w:highlight w:val="white"/>
          <w:lang w:val="en-GB" w:eastAsia="ko-KR"/>
        </w:rPr>
        <w:t xml:space="preserve">Enterobacter </w:t>
      </w:r>
      <w:r w:rsidRPr="00C37A4D">
        <w:rPr>
          <w:rFonts w:asciiTheme="minorHAnsi" w:hAnsiTheme="minorHAnsi" w:cstheme="minorHAnsi"/>
          <w:color w:val="000000" w:themeColor="text1"/>
          <w:sz w:val="22"/>
          <w:szCs w:val="22"/>
          <w:highlight w:val="white"/>
          <w:lang w:val="en-GB" w:eastAsia="ko-KR"/>
        </w:rPr>
        <w:t xml:space="preserve">spp.) are frequent </w:t>
      </w:r>
      <w:r w:rsidR="00FA1113">
        <w:rPr>
          <w:rFonts w:asciiTheme="minorHAnsi" w:hAnsiTheme="minorHAnsi" w:cstheme="minorHAnsi"/>
          <w:color w:val="000000" w:themeColor="text1"/>
          <w:sz w:val="22"/>
          <w:szCs w:val="22"/>
          <w:highlight w:val="white"/>
          <w:lang w:val="en-GB" w:eastAsia="ko-KR"/>
        </w:rPr>
        <w:t>HCAIs</w:t>
      </w:r>
      <w:r w:rsidR="00FA1113" w:rsidRPr="00C37A4D">
        <w:rPr>
          <w:rFonts w:asciiTheme="minorHAnsi" w:hAnsiTheme="minorHAnsi" w:cstheme="minorHAnsi"/>
          <w:color w:val="000000" w:themeColor="text1"/>
          <w:sz w:val="22"/>
          <w:szCs w:val="22"/>
          <w:highlight w:val="white"/>
          <w:lang w:val="en-GB" w:eastAsia="ko-KR"/>
        </w:rPr>
        <w:t xml:space="preserve"> </w:t>
      </w:r>
      <w:r w:rsidRPr="00C37A4D">
        <w:rPr>
          <w:rFonts w:asciiTheme="minorHAnsi" w:hAnsiTheme="minorHAnsi" w:cstheme="minorHAnsi"/>
          <w:color w:val="000000" w:themeColor="text1"/>
          <w:sz w:val="22"/>
          <w:szCs w:val="22"/>
          <w:highlight w:val="white"/>
          <w:lang w:val="en-GB" w:eastAsia="ko-KR"/>
        </w:rPr>
        <w:t xml:space="preserve">in </w:t>
      </w:r>
      <w:r w:rsidR="00FA1113">
        <w:rPr>
          <w:rFonts w:asciiTheme="minorHAnsi" w:hAnsiTheme="minorHAnsi" w:cstheme="minorHAnsi"/>
          <w:color w:val="000000" w:themeColor="text1"/>
          <w:sz w:val="22"/>
          <w:szCs w:val="22"/>
          <w:highlight w:val="white"/>
          <w:lang w:val="en-GB" w:eastAsia="ko-KR"/>
        </w:rPr>
        <w:t xml:space="preserve">cancer </w:t>
      </w:r>
      <w:r w:rsidRPr="00C37A4D">
        <w:rPr>
          <w:rFonts w:asciiTheme="minorHAnsi" w:hAnsiTheme="minorHAnsi" w:cstheme="minorHAnsi"/>
          <w:color w:val="000000" w:themeColor="text1"/>
          <w:sz w:val="22"/>
          <w:szCs w:val="22"/>
          <w:highlight w:val="white"/>
          <w:lang w:val="en-GB" w:eastAsia="ko-KR"/>
        </w:rPr>
        <w:t>patients</w:t>
      </w:r>
      <w:r w:rsidR="00E835C9">
        <w:rPr>
          <w:rFonts w:asciiTheme="minorHAnsi" w:hAnsiTheme="minorHAnsi" w:cstheme="minorHAnsi"/>
          <w:color w:val="000000" w:themeColor="text1"/>
          <w:sz w:val="22"/>
          <w:szCs w:val="22"/>
          <w:highlight w:val="white"/>
          <w:lang w:val="en-GB" w:eastAsia="ko-KR"/>
        </w:rPr>
        <w:t>.</w:t>
      </w:r>
      <w:r w:rsidR="00E00CFD" w:rsidRPr="00E00CFD">
        <w:rPr>
          <w:rFonts w:hAnsiTheme="minorHAnsi"/>
          <w:color w:val="000000"/>
          <w:sz w:val="22"/>
          <w:vertAlign w:val="superscript"/>
        </w:rPr>
        <w:t>83,87</w:t>
      </w:r>
      <w:r w:rsidR="0047001E" w:rsidRPr="00C37A4D">
        <w:rPr>
          <w:rFonts w:asciiTheme="minorHAnsi" w:hAnsiTheme="minorHAnsi" w:cstheme="minorHAnsi"/>
          <w:color w:val="000000" w:themeColor="text1"/>
          <w:sz w:val="22"/>
          <w:szCs w:val="22"/>
          <w:highlight w:val="white"/>
          <w:lang w:val="en-GB"/>
        </w:rPr>
        <w:t xml:space="preserve"> </w:t>
      </w:r>
      <w:proofErr w:type="spellStart"/>
      <w:r w:rsidRPr="00C37A4D">
        <w:rPr>
          <w:rFonts w:asciiTheme="minorHAnsi" w:hAnsiTheme="minorHAnsi" w:cstheme="minorHAnsi"/>
          <w:color w:val="000000" w:themeColor="text1"/>
          <w:sz w:val="22"/>
          <w:szCs w:val="22"/>
          <w:highlight w:val="white"/>
          <w:lang w:val="en-GB"/>
        </w:rPr>
        <w:t>Bodro</w:t>
      </w:r>
      <w:proofErr w:type="spellEnd"/>
      <w:r w:rsidRPr="00C37A4D">
        <w:rPr>
          <w:rFonts w:asciiTheme="minorHAnsi" w:hAnsiTheme="minorHAnsi" w:cstheme="minorHAnsi"/>
          <w:color w:val="000000" w:themeColor="text1"/>
          <w:sz w:val="22"/>
          <w:szCs w:val="22"/>
          <w:highlight w:val="white"/>
          <w:lang w:val="en-GB"/>
        </w:rPr>
        <w:t xml:space="preserve"> and collaborators reported increased persistence of </w:t>
      </w:r>
      <w:r w:rsidR="006100CA" w:rsidRPr="00C37A4D">
        <w:rPr>
          <w:rFonts w:asciiTheme="minorHAnsi" w:hAnsiTheme="minorHAnsi" w:cstheme="minorHAnsi"/>
          <w:color w:val="000000" w:themeColor="text1"/>
          <w:sz w:val="22"/>
          <w:szCs w:val="22"/>
          <w:highlight w:val="white"/>
          <w:lang w:val="en-GB"/>
        </w:rPr>
        <w:t>bacteraemia</w:t>
      </w:r>
      <w:r w:rsidRPr="00C37A4D">
        <w:rPr>
          <w:rFonts w:asciiTheme="minorHAnsi" w:hAnsiTheme="minorHAnsi" w:cstheme="minorHAnsi"/>
          <w:color w:val="000000" w:themeColor="text1"/>
          <w:sz w:val="22"/>
          <w:szCs w:val="22"/>
          <w:highlight w:val="white"/>
          <w:lang w:val="en-GB"/>
        </w:rPr>
        <w:t xml:space="preserve"> (25% vs</w:t>
      </w:r>
      <w:r w:rsidR="00AF501F" w:rsidRPr="00C37A4D">
        <w:rPr>
          <w:rFonts w:asciiTheme="minorHAnsi" w:hAnsiTheme="minorHAnsi" w:cstheme="minorHAnsi"/>
          <w:color w:val="000000" w:themeColor="text1"/>
          <w:sz w:val="22"/>
          <w:szCs w:val="22"/>
          <w:highlight w:val="white"/>
          <w:lang w:val="en-GB"/>
        </w:rPr>
        <w:t>.</w:t>
      </w:r>
      <w:r w:rsidRPr="00C37A4D">
        <w:rPr>
          <w:rFonts w:asciiTheme="minorHAnsi" w:hAnsiTheme="minorHAnsi" w:cstheme="minorHAnsi"/>
          <w:color w:val="000000" w:themeColor="text1"/>
          <w:sz w:val="22"/>
          <w:szCs w:val="22"/>
          <w:highlight w:val="white"/>
          <w:lang w:val="en-GB"/>
        </w:rPr>
        <w:t xml:space="preserve"> 9</w:t>
      </w:r>
      <w:r w:rsidR="00637319" w:rsidRPr="00C37A4D">
        <w:rPr>
          <w:rFonts w:asciiTheme="minorHAnsi" w:hAnsiTheme="minorHAnsi" w:cstheme="minorHAnsi"/>
          <w:color w:val="000000" w:themeColor="text1"/>
          <w:sz w:val="22"/>
          <w:szCs w:val="22"/>
          <w:highlight w:val="white"/>
          <w:lang w:val="en-GB"/>
        </w:rPr>
        <w:t>·</w:t>
      </w:r>
      <w:r w:rsidRPr="00C37A4D">
        <w:rPr>
          <w:rFonts w:asciiTheme="minorHAnsi" w:hAnsiTheme="minorHAnsi" w:cstheme="minorHAnsi"/>
          <w:color w:val="000000" w:themeColor="text1"/>
          <w:sz w:val="22"/>
          <w:szCs w:val="22"/>
          <w:highlight w:val="white"/>
          <w:lang w:val="en-GB"/>
        </w:rPr>
        <w:t>7%), metastatic infection (8% vs</w:t>
      </w:r>
      <w:r w:rsidR="00AF501F" w:rsidRPr="00C37A4D">
        <w:rPr>
          <w:rFonts w:asciiTheme="minorHAnsi" w:hAnsiTheme="minorHAnsi" w:cstheme="minorHAnsi"/>
          <w:color w:val="000000" w:themeColor="text1"/>
          <w:sz w:val="22"/>
          <w:szCs w:val="22"/>
          <w:highlight w:val="white"/>
          <w:lang w:val="en-GB"/>
        </w:rPr>
        <w:t>.</w:t>
      </w:r>
      <w:r w:rsidRPr="00C37A4D">
        <w:rPr>
          <w:rFonts w:asciiTheme="minorHAnsi" w:hAnsiTheme="minorHAnsi" w:cstheme="minorHAnsi"/>
          <w:color w:val="000000" w:themeColor="text1"/>
          <w:sz w:val="22"/>
          <w:szCs w:val="22"/>
          <w:highlight w:val="white"/>
          <w:lang w:val="en-GB"/>
        </w:rPr>
        <w:t xml:space="preserve"> 4%)</w:t>
      </w:r>
      <w:r w:rsidR="007B66B0">
        <w:rPr>
          <w:rFonts w:asciiTheme="minorHAnsi" w:hAnsiTheme="minorHAnsi" w:cstheme="minorHAnsi"/>
          <w:color w:val="000000" w:themeColor="text1"/>
          <w:sz w:val="22"/>
          <w:szCs w:val="22"/>
          <w:highlight w:val="white"/>
          <w:lang w:val="en-GB"/>
        </w:rPr>
        <w:t>,</w:t>
      </w:r>
      <w:r w:rsidRPr="00C37A4D">
        <w:rPr>
          <w:rFonts w:asciiTheme="minorHAnsi" w:hAnsiTheme="minorHAnsi" w:cstheme="minorHAnsi"/>
          <w:color w:val="000000" w:themeColor="text1"/>
          <w:sz w:val="22"/>
          <w:szCs w:val="22"/>
          <w:highlight w:val="white"/>
          <w:lang w:val="en-GB"/>
        </w:rPr>
        <w:t xml:space="preserve"> and early case-fatality rates (23% vs</w:t>
      </w:r>
      <w:r w:rsidR="00AF501F" w:rsidRPr="00C37A4D">
        <w:rPr>
          <w:rFonts w:asciiTheme="minorHAnsi" w:hAnsiTheme="minorHAnsi" w:cstheme="minorHAnsi"/>
          <w:color w:val="000000" w:themeColor="text1"/>
          <w:sz w:val="22"/>
          <w:szCs w:val="22"/>
          <w:highlight w:val="white"/>
          <w:lang w:val="en-GB"/>
        </w:rPr>
        <w:t>.</w:t>
      </w:r>
      <w:r w:rsidRPr="00C37A4D">
        <w:rPr>
          <w:rFonts w:asciiTheme="minorHAnsi" w:hAnsiTheme="minorHAnsi" w:cstheme="minorHAnsi"/>
          <w:color w:val="000000" w:themeColor="text1"/>
          <w:sz w:val="22"/>
          <w:szCs w:val="22"/>
          <w:highlight w:val="white"/>
          <w:lang w:val="en-GB"/>
        </w:rPr>
        <w:t xml:space="preserve"> 11%) among </w:t>
      </w:r>
      <w:r w:rsidR="00FA1113">
        <w:rPr>
          <w:rFonts w:asciiTheme="minorHAnsi" w:hAnsiTheme="minorHAnsi" w:cstheme="minorHAnsi"/>
          <w:color w:val="000000" w:themeColor="text1"/>
          <w:sz w:val="22"/>
          <w:szCs w:val="22"/>
          <w:highlight w:val="white"/>
          <w:lang w:val="en-GB"/>
        </w:rPr>
        <w:t xml:space="preserve">cancer </w:t>
      </w:r>
      <w:r w:rsidRPr="00C37A4D">
        <w:rPr>
          <w:rFonts w:asciiTheme="minorHAnsi" w:hAnsiTheme="minorHAnsi" w:cstheme="minorHAnsi"/>
          <w:color w:val="000000" w:themeColor="text1"/>
          <w:sz w:val="22"/>
          <w:szCs w:val="22"/>
          <w:highlight w:val="white"/>
          <w:lang w:val="en-GB"/>
        </w:rPr>
        <w:t>patients</w:t>
      </w:r>
      <w:r w:rsidR="00DB7C6E">
        <w:rPr>
          <w:rFonts w:asciiTheme="minorHAnsi" w:hAnsiTheme="minorHAnsi" w:cstheme="minorHAnsi"/>
          <w:color w:val="000000" w:themeColor="text1"/>
          <w:sz w:val="22"/>
          <w:szCs w:val="22"/>
          <w:highlight w:val="white"/>
          <w:lang w:val="en-GB"/>
        </w:rPr>
        <w:t xml:space="preserve"> </w:t>
      </w:r>
      <w:r w:rsidRPr="00C37A4D">
        <w:rPr>
          <w:rFonts w:asciiTheme="minorHAnsi" w:hAnsiTheme="minorHAnsi" w:cstheme="minorHAnsi"/>
          <w:color w:val="000000" w:themeColor="text1"/>
          <w:sz w:val="22"/>
          <w:szCs w:val="22"/>
          <w:highlight w:val="white"/>
          <w:lang w:val="en-GB"/>
        </w:rPr>
        <w:t xml:space="preserve">in Spain </w:t>
      </w:r>
      <w:r w:rsidR="00AF501F" w:rsidRPr="00C37A4D">
        <w:rPr>
          <w:rFonts w:asciiTheme="minorHAnsi" w:hAnsiTheme="minorHAnsi" w:cstheme="minorHAnsi"/>
          <w:color w:val="000000" w:themeColor="text1"/>
          <w:sz w:val="22"/>
          <w:szCs w:val="22"/>
          <w:highlight w:val="white"/>
          <w:lang w:val="en-GB"/>
        </w:rPr>
        <w:t>whose</w:t>
      </w:r>
      <w:r w:rsidRPr="00C37A4D">
        <w:rPr>
          <w:rFonts w:asciiTheme="minorHAnsi" w:hAnsiTheme="minorHAnsi" w:cstheme="minorHAnsi"/>
          <w:color w:val="000000" w:themeColor="text1"/>
          <w:sz w:val="22"/>
          <w:szCs w:val="22"/>
          <w:highlight w:val="white"/>
          <w:lang w:val="en-GB"/>
        </w:rPr>
        <w:t xml:space="preserve"> infections </w:t>
      </w:r>
      <w:r w:rsidR="00AF501F" w:rsidRPr="00C37A4D">
        <w:rPr>
          <w:rFonts w:asciiTheme="minorHAnsi" w:hAnsiTheme="minorHAnsi" w:cstheme="minorHAnsi"/>
          <w:color w:val="000000" w:themeColor="text1"/>
          <w:sz w:val="22"/>
          <w:szCs w:val="22"/>
          <w:highlight w:val="white"/>
          <w:lang w:val="en-GB"/>
        </w:rPr>
        <w:t xml:space="preserve">were </w:t>
      </w:r>
      <w:r w:rsidRPr="00C37A4D">
        <w:rPr>
          <w:rFonts w:asciiTheme="minorHAnsi" w:hAnsiTheme="minorHAnsi" w:cstheme="minorHAnsi"/>
          <w:color w:val="000000" w:themeColor="text1"/>
          <w:sz w:val="22"/>
          <w:szCs w:val="22"/>
          <w:highlight w:val="white"/>
          <w:lang w:val="en-GB"/>
        </w:rPr>
        <w:t>caused by anti</w:t>
      </w:r>
      <w:r w:rsidR="00992A2C" w:rsidRPr="00C37A4D">
        <w:rPr>
          <w:rFonts w:asciiTheme="minorHAnsi" w:hAnsiTheme="minorHAnsi" w:cstheme="minorHAnsi"/>
          <w:color w:val="000000" w:themeColor="text1"/>
          <w:sz w:val="22"/>
          <w:szCs w:val="22"/>
          <w:highlight w:val="white"/>
          <w:lang w:val="en-GB"/>
        </w:rPr>
        <w:t>microbial</w:t>
      </w:r>
      <w:r w:rsidRPr="00C37A4D">
        <w:rPr>
          <w:rFonts w:asciiTheme="minorHAnsi" w:hAnsiTheme="minorHAnsi" w:cstheme="minorHAnsi"/>
          <w:color w:val="000000" w:themeColor="text1"/>
          <w:sz w:val="22"/>
          <w:szCs w:val="22"/>
          <w:highlight w:val="white"/>
          <w:lang w:val="en-GB"/>
        </w:rPr>
        <w:t>-resistant ESKAPE pathogens</w:t>
      </w:r>
      <w:r w:rsidR="000A399B" w:rsidRPr="00C37A4D">
        <w:rPr>
          <w:rFonts w:asciiTheme="minorHAnsi" w:hAnsiTheme="minorHAnsi" w:cstheme="minorHAnsi"/>
          <w:color w:val="000000" w:themeColor="text1"/>
          <w:sz w:val="22"/>
          <w:szCs w:val="22"/>
          <w:highlight w:val="white"/>
          <w:lang w:val="en-GB"/>
        </w:rPr>
        <w:t>,</w:t>
      </w:r>
      <w:r w:rsidRPr="00C37A4D">
        <w:rPr>
          <w:rFonts w:asciiTheme="minorHAnsi" w:hAnsiTheme="minorHAnsi" w:cstheme="minorHAnsi"/>
          <w:color w:val="000000" w:themeColor="text1"/>
          <w:sz w:val="22"/>
          <w:szCs w:val="22"/>
          <w:highlight w:val="white"/>
          <w:lang w:val="en-GB"/>
        </w:rPr>
        <w:t xml:space="preserve"> compared with other</w:t>
      </w:r>
      <w:r w:rsidR="00FB79C6">
        <w:rPr>
          <w:rFonts w:asciiTheme="minorHAnsi" w:hAnsiTheme="minorHAnsi" w:cstheme="minorHAnsi"/>
          <w:color w:val="000000" w:themeColor="text1"/>
          <w:sz w:val="22"/>
          <w:szCs w:val="22"/>
          <w:highlight w:val="white"/>
          <w:lang w:val="en-GB"/>
        </w:rPr>
        <w:t>, susceptible</w:t>
      </w:r>
      <w:r w:rsidRPr="00C37A4D">
        <w:rPr>
          <w:rFonts w:asciiTheme="minorHAnsi" w:hAnsiTheme="minorHAnsi" w:cstheme="minorHAnsi"/>
          <w:color w:val="000000" w:themeColor="text1"/>
          <w:sz w:val="22"/>
          <w:szCs w:val="22"/>
          <w:highlight w:val="white"/>
          <w:lang w:val="en-GB"/>
        </w:rPr>
        <w:t xml:space="preserve"> pathogens</w:t>
      </w:r>
      <w:r w:rsidR="008440EE" w:rsidRPr="00C37A4D">
        <w:rPr>
          <w:rFonts w:asciiTheme="minorHAnsi" w:hAnsiTheme="minorHAnsi" w:cstheme="minorHAnsi"/>
          <w:color w:val="000000" w:themeColor="text1"/>
          <w:sz w:val="22"/>
          <w:szCs w:val="22"/>
          <w:highlight w:val="white"/>
          <w:lang w:val="en-GB"/>
        </w:rPr>
        <w:t>.</w:t>
      </w:r>
      <w:r w:rsidR="00E00CFD" w:rsidRPr="00E00CFD">
        <w:rPr>
          <w:rFonts w:hAnsiTheme="minorHAnsi"/>
          <w:color w:val="000000"/>
          <w:sz w:val="22"/>
          <w:vertAlign w:val="superscript"/>
        </w:rPr>
        <w:t>88</w:t>
      </w:r>
      <w:r w:rsidRPr="00C37A4D">
        <w:rPr>
          <w:rFonts w:asciiTheme="minorHAnsi" w:hAnsiTheme="minorHAnsi" w:cstheme="minorHAnsi"/>
          <w:color w:val="000000" w:themeColor="text1"/>
          <w:sz w:val="22"/>
          <w:szCs w:val="22"/>
          <w:highlight w:val="white"/>
          <w:lang w:val="en-GB"/>
        </w:rPr>
        <w:t xml:space="preserve"> Patients with infections caused by multidrug</w:t>
      </w:r>
      <w:r w:rsidR="000A399B" w:rsidRPr="00C37A4D">
        <w:rPr>
          <w:rFonts w:asciiTheme="minorHAnsi" w:hAnsiTheme="minorHAnsi" w:cstheme="minorHAnsi"/>
          <w:color w:val="000000" w:themeColor="text1"/>
          <w:sz w:val="22"/>
          <w:szCs w:val="22"/>
          <w:highlight w:val="white"/>
          <w:lang w:val="en-GB"/>
        </w:rPr>
        <w:t>-</w:t>
      </w:r>
      <w:r w:rsidRPr="00C37A4D">
        <w:rPr>
          <w:rFonts w:asciiTheme="minorHAnsi" w:hAnsiTheme="minorHAnsi" w:cstheme="minorHAnsi"/>
          <w:color w:val="000000" w:themeColor="text1"/>
          <w:sz w:val="22"/>
          <w:szCs w:val="22"/>
          <w:highlight w:val="white"/>
          <w:lang w:val="en-GB"/>
        </w:rPr>
        <w:t xml:space="preserve">resistant Gram-negative bacteria, </w:t>
      </w:r>
      <w:r w:rsidR="0098011F" w:rsidRPr="00C37A4D">
        <w:rPr>
          <w:rFonts w:asciiTheme="minorHAnsi" w:hAnsiTheme="minorHAnsi" w:cstheme="minorHAnsi"/>
          <w:color w:val="000000" w:themeColor="text1"/>
          <w:sz w:val="22"/>
          <w:szCs w:val="22"/>
          <w:highlight w:val="white"/>
          <w:lang w:val="en-GB"/>
        </w:rPr>
        <w:t>especially</w:t>
      </w:r>
      <w:r w:rsidRPr="00C37A4D">
        <w:rPr>
          <w:rFonts w:asciiTheme="minorHAnsi" w:hAnsiTheme="minorHAnsi" w:cstheme="minorHAnsi"/>
          <w:color w:val="000000" w:themeColor="text1"/>
          <w:sz w:val="22"/>
          <w:szCs w:val="22"/>
          <w:highlight w:val="white"/>
          <w:lang w:val="en-GB"/>
        </w:rPr>
        <w:t xml:space="preserve"> non-fermentative bacteria like </w:t>
      </w:r>
      <w:r w:rsidRPr="00C37A4D">
        <w:rPr>
          <w:rFonts w:asciiTheme="minorHAnsi" w:hAnsiTheme="minorHAnsi" w:cstheme="minorHAnsi"/>
          <w:i/>
          <w:iCs/>
          <w:color w:val="000000" w:themeColor="text1"/>
          <w:sz w:val="22"/>
          <w:szCs w:val="22"/>
          <w:highlight w:val="white"/>
          <w:lang w:val="en-GB"/>
        </w:rPr>
        <w:t>Acinetobacter</w:t>
      </w:r>
      <w:r w:rsidRPr="00C37A4D">
        <w:rPr>
          <w:rFonts w:asciiTheme="minorHAnsi" w:hAnsiTheme="minorHAnsi" w:cstheme="minorHAnsi"/>
          <w:color w:val="000000" w:themeColor="text1"/>
          <w:sz w:val="22"/>
          <w:szCs w:val="22"/>
          <w:highlight w:val="white"/>
          <w:lang w:val="en-GB"/>
        </w:rPr>
        <w:t xml:space="preserve"> spp</w:t>
      </w:r>
      <w:r w:rsidR="000A399B" w:rsidRPr="00C37A4D">
        <w:rPr>
          <w:rFonts w:asciiTheme="minorHAnsi" w:hAnsiTheme="minorHAnsi" w:cstheme="minorHAnsi"/>
          <w:color w:val="000000" w:themeColor="text1"/>
          <w:sz w:val="22"/>
          <w:szCs w:val="22"/>
          <w:highlight w:val="white"/>
          <w:lang w:val="en-GB"/>
        </w:rPr>
        <w:t>.</w:t>
      </w:r>
      <w:r w:rsidRPr="00C37A4D">
        <w:rPr>
          <w:rFonts w:asciiTheme="minorHAnsi" w:hAnsiTheme="minorHAnsi" w:cstheme="minorHAnsi"/>
          <w:color w:val="000000" w:themeColor="text1"/>
          <w:sz w:val="22"/>
          <w:szCs w:val="22"/>
          <w:highlight w:val="white"/>
          <w:lang w:val="en-GB"/>
        </w:rPr>
        <w:t>, have particularly early mortality rates</w:t>
      </w:r>
      <w:r w:rsidR="0079530F">
        <w:rPr>
          <w:rFonts w:asciiTheme="minorHAnsi" w:hAnsiTheme="minorHAnsi" w:cstheme="minorHAnsi"/>
          <w:color w:val="000000" w:themeColor="text1"/>
          <w:sz w:val="22"/>
          <w:szCs w:val="22"/>
          <w:highlight w:val="white"/>
          <w:lang w:val="en-GB"/>
        </w:rPr>
        <w:t>.</w:t>
      </w:r>
      <w:r w:rsidR="00E00CFD" w:rsidRPr="00E00CFD">
        <w:rPr>
          <w:rFonts w:hAnsiTheme="minorHAnsi"/>
          <w:color w:val="000000"/>
          <w:sz w:val="22"/>
          <w:vertAlign w:val="superscript"/>
        </w:rPr>
        <w:t>89,90</w:t>
      </w:r>
      <w:r w:rsidR="0047001E" w:rsidRPr="00C37A4D">
        <w:rPr>
          <w:rFonts w:asciiTheme="minorHAnsi" w:hAnsiTheme="minorHAnsi" w:cstheme="minorHAnsi"/>
          <w:color w:val="000000" w:themeColor="text1"/>
          <w:sz w:val="22"/>
          <w:szCs w:val="22"/>
          <w:highlight w:val="white"/>
          <w:lang w:val="en-GB"/>
        </w:rPr>
        <w:t xml:space="preserve"> </w:t>
      </w:r>
      <w:r w:rsidR="00A01302">
        <w:rPr>
          <w:rFonts w:asciiTheme="minorHAnsi" w:hAnsiTheme="minorHAnsi" w:cstheme="minorHAnsi"/>
          <w:color w:val="000000" w:themeColor="text1"/>
          <w:sz w:val="22"/>
          <w:szCs w:val="22"/>
          <w:highlight w:val="white"/>
          <w:lang w:val="en-GB"/>
        </w:rPr>
        <w:t>To estimate</w:t>
      </w:r>
      <w:r w:rsidRPr="00C37A4D">
        <w:rPr>
          <w:rFonts w:asciiTheme="minorHAnsi" w:hAnsiTheme="minorHAnsi" w:cstheme="minorHAnsi"/>
          <w:color w:val="000000" w:themeColor="text1"/>
          <w:sz w:val="22"/>
          <w:szCs w:val="22"/>
          <w:highlight w:val="white"/>
          <w:lang w:val="en-GB"/>
        </w:rPr>
        <w:t xml:space="preserve"> the potential </w:t>
      </w:r>
      <w:r w:rsidR="000A399B" w:rsidRPr="00C37A4D">
        <w:rPr>
          <w:rFonts w:asciiTheme="minorHAnsi" w:hAnsiTheme="minorHAnsi" w:cstheme="minorHAnsi"/>
          <w:color w:val="000000" w:themeColor="text1"/>
          <w:sz w:val="22"/>
          <w:szCs w:val="22"/>
          <w:highlight w:val="white"/>
          <w:lang w:val="en-GB"/>
        </w:rPr>
        <w:t>effe</w:t>
      </w:r>
      <w:r w:rsidRPr="00C37A4D">
        <w:rPr>
          <w:rFonts w:asciiTheme="minorHAnsi" w:hAnsiTheme="minorHAnsi" w:cstheme="minorHAnsi"/>
          <w:color w:val="000000" w:themeColor="text1"/>
          <w:sz w:val="22"/>
          <w:szCs w:val="22"/>
          <w:highlight w:val="white"/>
          <w:lang w:val="en-GB"/>
        </w:rPr>
        <w:t xml:space="preserve">ct of </w:t>
      </w:r>
      <w:r w:rsidR="00CB6CCF">
        <w:rPr>
          <w:rFonts w:asciiTheme="minorHAnsi" w:hAnsiTheme="minorHAnsi" w:cstheme="minorHAnsi"/>
          <w:color w:val="000000" w:themeColor="text1"/>
          <w:sz w:val="22"/>
          <w:szCs w:val="22"/>
          <w:highlight w:val="white"/>
          <w:lang w:val="en-GB"/>
        </w:rPr>
        <w:t>AMR</w:t>
      </w:r>
      <w:r w:rsidRPr="00C37A4D">
        <w:rPr>
          <w:rFonts w:asciiTheme="minorHAnsi" w:hAnsiTheme="minorHAnsi" w:cstheme="minorHAnsi"/>
          <w:color w:val="000000" w:themeColor="text1"/>
          <w:sz w:val="22"/>
          <w:szCs w:val="22"/>
          <w:highlight w:val="white"/>
          <w:lang w:val="en-GB"/>
        </w:rPr>
        <w:t xml:space="preserve"> on the efficacy of antibiotic prophylaxis across a range of surgeries and cancer treatments</w:t>
      </w:r>
      <w:r w:rsidR="0079530F">
        <w:rPr>
          <w:rFonts w:asciiTheme="minorHAnsi" w:hAnsiTheme="minorHAnsi" w:cstheme="minorHAnsi"/>
          <w:color w:val="000000" w:themeColor="text1"/>
          <w:sz w:val="22"/>
          <w:szCs w:val="22"/>
          <w:highlight w:val="white"/>
          <w:lang w:val="en-GB"/>
        </w:rPr>
        <w:t>,</w:t>
      </w:r>
      <w:r w:rsidR="00E00CFD" w:rsidRPr="00E00CFD">
        <w:rPr>
          <w:rFonts w:hAnsiTheme="minorHAnsi"/>
          <w:color w:val="000000"/>
          <w:sz w:val="22"/>
          <w:vertAlign w:val="superscript"/>
        </w:rPr>
        <w:t>91</w:t>
      </w:r>
      <w:r w:rsidRPr="00C37A4D">
        <w:rPr>
          <w:rFonts w:asciiTheme="minorHAnsi" w:hAnsiTheme="minorHAnsi" w:cstheme="minorHAnsi"/>
          <w:color w:val="000000" w:themeColor="text1"/>
          <w:sz w:val="22"/>
          <w:szCs w:val="22"/>
          <w:highlight w:val="white"/>
          <w:lang w:val="en-GB"/>
        </w:rPr>
        <w:t xml:space="preserve"> </w:t>
      </w:r>
      <w:r w:rsidR="00A57AA1">
        <w:rPr>
          <w:rFonts w:asciiTheme="minorHAnsi" w:hAnsiTheme="minorHAnsi" w:cstheme="minorHAnsi"/>
          <w:color w:val="000000" w:themeColor="text1"/>
          <w:sz w:val="22"/>
          <w:szCs w:val="22"/>
          <w:highlight w:val="white"/>
          <w:lang w:val="en-GB"/>
        </w:rPr>
        <w:t>researchers modelled</w:t>
      </w:r>
      <w:r w:rsidRPr="00C37A4D">
        <w:rPr>
          <w:rFonts w:asciiTheme="minorHAnsi" w:hAnsiTheme="minorHAnsi" w:cstheme="minorHAnsi"/>
          <w:color w:val="000000" w:themeColor="text1"/>
          <w:sz w:val="22"/>
          <w:szCs w:val="22"/>
          <w:highlight w:val="white"/>
          <w:lang w:val="en-GB"/>
        </w:rPr>
        <w:t xml:space="preserve"> a 30% reduction in the efficacy of antibiotic prophylaxis</w:t>
      </w:r>
      <w:r w:rsidR="00A57AA1">
        <w:rPr>
          <w:rFonts w:asciiTheme="minorHAnsi" w:hAnsiTheme="minorHAnsi" w:cstheme="minorHAnsi"/>
          <w:color w:val="000000" w:themeColor="text1"/>
          <w:sz w:val="22"/>
          <w:szCs w:val="22"/>
          <w:highlight w:val="white"/>
          <w:lang w:val="en-GB"/>
        </w:rPr>
        <w:t xml:space="preserve"> and </w:t>
      </w:r>
      <w:r w:rsidRPr="00C37A4D">
        <w:rPr>
          <w:rFonts w:asciiTheme="minorHAnsi" w:hAnsiTheme="minorHAnsi" w:cstheme="minorHAnsi"/>
          <w:color w:val="000000" w:themeColor="text1"/>
          <w:sz w:val="22"/>
          <w:szCs w:val="22"/>
          <w:highlight w:val="white"/>
          <w:lang w:val="en-GB"/>
        </w:rPr>
        <w:t xml:space="preserve">projected that an additional 6,367 infection-related deaths could occur annually in the </w:t>
      </w:r>
      <w:r w:rsidR="000A399B" w:rsidRPr="00C37A4D">
        <w:rPr>
          <w:rFonts w:asciiTheme="minorHAnsi" w:hAnsiTheme="minorHAnsi" w:cstheme="minorHAnsi"/>
          <w:color w:val="000000" w:themeColor="text1"/>
          <w:sz w:val="22"/>
          <w:szCs w:val="22"/>
          <w:highlight w:val="white"/>
          <w:lang w:val="en-GB"/>
        </w:rPr>
        <w:t>United States</w:t>
      </w:r>
      <w:r w:rsidRPr="00C37A4D">
        <w:rPr>
          <w:rFonts w:asciiTheme="minorHAnsi" w:hAnsiTheme="minorHAnsi" w:cstheme="minorHAnsi"/>
          <w:color w:val="000000" w:themeColor="text1"/>
          <w:sz w:val="22"/>
          <w:szCs w:val="22"/>
          <w:highlight w:val="white"/>
          <w:lang w:val="en-GB"/>
        </w:rPr>
        <w:t>, primarily among patients undergoing colorectal surgery (4,586 additional deaths), blood cancer chemotherapy (683), and total hip replacement (376).</w:t>
      </w:r>
      <w:r w:rsidR="00E00CFD" w:rsidRPr="00E00CFD">
        <w:rPr>
          <w:rFonts w:hAnsiTheme="minorHAnsi"/>
          <w:color w:val="000000"/>
          <w:sz w:val="22"/>
          <w:vertAlign w:val="superscript"/>
        </w:rPr>
        <w:t>91</w:t>
      </w:r>
      <w:r w:rsidR="0047001E" w:rsidRPr="00C37A4D">
        <w:rPr>
          <w:rFonts w:asciiTheme="minorHAnsi" w:hAnsiTheme="minorHAnsi" w:cstheme="minorHAnsi"/>
          <w:color w:val="000000" w:themeColor="text1"/>
          <w:sz w:val="22"/>
          <w:szCs w:val="22"/>
          <w:highlight w:val="white"/>
          <w:lang w:val="en-GB"/>
        </w:rPr>
        <w:t xml:space="preserve"> </w:t>
      </w:r>
      <w:r w:rsidRPr="00C37A4D">
        <w:rPr>
          <w:color w:val="000000" w:themeColor="text1"/>
          <w:sz w:val="22"/>
          <w:szCs w:val="22"/>
          <w:lang w:val="en-GB"/>
        </w:rPr>
        <w:t xml:space="preserve">In the United States, declines in the efficacy of antibiotic prophylaxis agents in preventing </w:t>
      </w:r>
      <w:r w:rsidR="000A399B" w:rsidRPr="00C37A4D">
        <w:rPr>
          <w:color w:val="000000" w:themeColor="text1"/>
          <w:sz w:val="22"/>
          <w:szCs w:val="22"/>
          <w:lang w:val="en-GB"/>
        </w:rPr>
        <w:t xml:space="preserve">surgical site infections </w:t>
      </w:r>
      <w:r w:rsidRPr="00C37A4D">
        <w:rPr>
          <w:color w:val="000000" w:themeColor="text1"/>
          <w:sz w:val="22"/>
          <w:szCs w:val="22"/>
          <w:lang w:val="en-GB"/>
        </w:rPr>
        <w:t>following colorectal surgery have been reported</w:t>
      </w:r>
      <w:r w:rsidR="00A507EA">
        <w:rPr>
          <w:color w:val="000000" w:themeColor="text1"/>
          <w:sz w:val="22"/>
          <w:szCs w:val="22"/>
          <w:lang w:val="en-GB"/>
        </w:rPr>
        <w:t>.</w:t>
      </w:r>
      <w:r w:rsidR="00E00CFD" w:rsidRPr="00E00CFD">
        <w:rPr>
          <w:color w:val="000000"/>
          <w:sz w:val="22"/>
          <w:vertAlign w:val="superscript"/>
        </w:rPr>
        <w:t>92</w:t>
      </w:r>
      <w:r w:rsidR="00AF7ECA">
        <w:rPr>
          <w:color w:val="000000" w:themeColor="text1"/>
          <w:sz w:val="22"/>
          <w:szCs w:val="22"/>
          <w:lang w:val="en-GB"/>
        </w:rPr>
        <w:t xml:space="preserve"> </w:t>
      </w:r>
    </w:p>
    <w:p w14:paraId="1BB87530" w14:textId="77777777" w:rsidR="004C3A55" w:rsidRPr="00C37A4D" w:rsidRDefault="004C3A55" w:rsidP="00433EE7">
      <w:pPr>
        <w:rPr>
          <w:color w:val="000000" w:themeColor="text1"/>
          <w:sz w:val="22"/>
          <w:szCs w:val="22"/>
          <w:lang w:val="en-GB"/>
        </w:rPr>
      </w:pPr>
    </w:p>
    <w:p w14:paraId="1063DC00" w14:textId="7B4530B4" w:rsidR="00433EE7" w:rsidRPr="00C37A4D" w:rsidRDefault="004D20C7" w:rsidP="00200036">
      <w:pPr>
        <w:rPr>
          <w:rFonts w:asciiTheme="minorHAnsi" w:hAnsiTheme="minorHAnsi" w:cstheme="minorHAnsi"/>
          <w:color w:val="000000" w:themeColor="text1"/>
          <w:sz w:val="22"/>
          <w:szCs w:val="22"/>
          <w:lang w:val="en-GB"/>
        </w:rPr>
      </w:pPr>
      <w:r w:rsidRPr="00C37A4D">
        <w:rPr>
          <w:rFonts w:asciiTheme="minorHAnsi" w:hAnsiTheme="minorHAnsi" w:cstheme="minorHAnsi"/>
          <w:b/>
          <w:bCs/>
          <w:color w:val="000000" w:themeColor="text1"/>
          <w:sz w:val="22"/>
          <w:szCs w:val="22"/>
          <w:lang w:val="en-GB"/>
        </w:rPr>
        <w:t>ANTIMICROBIAL RESISTANCE IN COMMUNITY SETTINGS</w:t>
      </w:r>
    </w:p>
    <w:p w14:paraId="6031655E" w14:textId="7590BAF5" w:rsidR="00433EE7" w:rsidRPr="00C37A4D" w:rsidRDefault="00DA0FE4" w:rsidP="00433EE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w:t>
      </w:r>
      <w:r w:rsidR="00433EE7" w:rsidRPr="00C37A4D">
        <w:rPr>
          <w:rFonts w:asciiTheme="minorHAnsi" w:hAnsiTheme="minorHAnsi" w:cstheme="minorHAnsi"/>
          <w:color w:val="000000" w:themeColor="text1"/>
          <w:sz w:val="22"/>
          <w:szCs w:val="22"/>
          <w:lang w:val="en-GB"/>
        </w:rPr>
        <w:t xml:space="preserve">he vast majority of </w:t>
      </w:r>
      <w:r w:rsidR="00B66DD8" w:rsidRPr="00C37A4D">
        <w:rPr>
          <w:rFonts w:asciiTheme="minorHAnsi" w:hAnsiTheme="minorHAnsi" w:cstheme="minorHAnsi"/>
          <w:color w:val="000000" w:themeColor="text1"/>
          <w:sz w:val="22"/>
          <w:szCs w:val="22"/>
          <w:lang w:val="en-GB"/>
        </w:rPr>
        <w:t>AMR</w:t>
      </w:r>
      <w:r w:rsidR="00433EE7" w:rsidRPr="00C37A4D">
        <w:rPr>
          <w:rFonts w:asciiTheme="minorHAnsi" w:hAnsiTheme="minorHAnsi" w:cstheme="minorHAnsi"/>
          <w:color w:val="000000" w:themeColor="text1"/>
          <w:sz w:val="22"/>
          <w:szCs w:val="22"/>
          <w:lang w:val="en-GB"/>
        </w:rPr>
        <w:t xml:space="preserve"> </w:t>
      </w:r>
      <w:r w:rsidR="00881850">
        <w:rPr>
          <w:rFonts w:asciiTheme="minorHAnsi" w:hAnsiTheme="minorHAnsi" w:cstheme="minorHAnsi"/>
          <w:color w:val="000000" w:themeColor="text1"/>
          <w:sz w:val="22"/>
          <w:szCs w:val="22"/>
          <w:lang w:val="en-GB"/>
        </w:rPr>
        <w:t>infections are acquired</w:t>
      </w:r>
      <w:r w:rsidR="00433EE7" w:rsidRPr="00C37A4D">
        <w:rPr>
          <w:rFonts w:asciiTheme="minorHAnsi" w:hAnsiTheme="minorHAnsi" w:cstheme="minorHAnsi"/>
          <w:color w:val="000000" w:themeColor="text1"/>
          <w:sz w:val="22"/>
          <w:szCs w:val="22"/>
          <w:lang w:val="en-GB"/>
        </w:rPr>
        <w:t xml:space="preserve"> </w:t>
      </w:r>
      <w:r w:rsidR="002C77F9" w:rsidRPr="00C37A4D">
        <w:rPr>
          <w:rFonts w:asciiTheme="minorHAnsi" w:hAnsiTheme="minorHAnsi" w:cstheme="minorHAnsi"/>
          <w:color w:val="000000" w:themeColor="text1"/>
          <w:sz w:val="22"/>
          <w:szCs w:val="22"/>
          <w:lang w:val="en-GB"/>
        </w:rPr>
        <w:t>in the community</w:t>
      </w:r>
      <w:r w:rsidR="00BF21A5">
        <w:rPr>
          <w:rFonts w:asciiTheme="minorHAnsi" w:hAnsiTheme="minorHAnsi" w:cstheme="minorHAnsi"/>
          <w:color w:val="000000" w:themeColor="text1"/>
          <w:sz w:val="22"/>
          <w:szCs w:val="22"/>
          <w:lang w:val="en-GB"/>
        </w:rPr>
        <w:t xml:space="preserve"> across most of the life course</w:t>
      </w:r>
      <w:r w:rsidR="00A507EA">
        <w:rPr>
          <w:rFonts w:asciiTheme="minorHAnsi" w:hAnsiTheme="minorHAnsi" w:cstheme="minorHAnsi"/>
          <w:color w:val="000000" w:themeColor="text1"/>
          <w:sz w:val="22"/>
          <w:szCs w:val="22"/>
          <w:lang w:val="en-GB"/>
        </w:rPr>
        <w:t>.</w:t>
      </w:r>
      <w:r w:rsidR="00A507EA" w:rsidRPr="00A507EA">
        <w:rPr>
          <w:rFonts w:hAnsiTheme="minorHAnsi"/>
          <w:color w:val="000000"/>
          <w:sz w:val="22"/>
          <w:vertAlign w:val="superscript"/>
        </w:rPr>
        <w:t>1</w:t>
      </w:r>
      <w:r w:rsidR="00881850">
        <w:rPr>
          <w:rFonts w:asciiTheme="minorHAnsi" w:hAnsiTheme="minorHAnsi" w:cstheme="minorHAnsi"/>
          <w:color w:val="000000" w:themeColor="text1"/>
          <w:sz w:val="22"/>
          <w:szCs w:val="22"/>
          <w:lang w:val="en-GB"/>
        </w:rPr>
        <w:t xml:space="preserve"> </w:t>
      </w:r>
      <w:r w:rsidR="00BD5D4A">
        <w:rPr>
          <w:rFonts w:asciiTheme="minorHAnsi" w:hAnsiTheme="minorHAnsi" w:cstheme="minorHAnsi"/>
          <w:color w:val="000000" w:themeColor="text1"/>
          <w:sz w:val="22"/>
          <w:szCs w:val="22"/>
          <w:lang w:val="en-GB"/>
        </w:rPr>
        <w:t>Community</w:t>
      </w:r>
      <w:r w:rsidR="00433EE7" w:rsidRPr="00C37A4D">
        <w:rPr>
          <w:rFonts w:asciiTheme="minorHAnsi" w:hAnsiTheme="minorHAnsi" w:cstheme="minorHAnsi"/>
          <w:color w:val="000000" w:themeColor="text1"/>
          <w:sz w:val="22"/>
          <w:szCs w:val="22"/>
          <w:lang w:val="en-GB"/>
        </w:rPr>
        <w:t xml:space="preserve">-acquired </w:t>
      </w:r>
      <w:r w:rsidR="00C941EB" w:rsidRPr="00C37A4D">
        <w:rPr>
          <w:rFonts w:asciiTheme="minorHAnsi" w:hAnsiTheme="minorHAnsi" w:cstheme="minorHAnsi"/>
          <w:color w:val="000000" w:themeColor="text1"/>
          <w:sz w:val="22"/>
          <w:szCs w:val="22"/>
          <w:lang w:val="en-GB"/>
        </w:rPr>
        <w:t>urinary tract infections (</w:t>
      </w:r>
      <w:r w:rsidR="00433EE7" w:rsidRPr="00C37A4D">
        <w:rPr>
          <w:rFonts w:asciiTheme="minorHAnsi" w:hAnsiTheme="minorHAnsi" w:cstheme="minorHAnsi"/>
          <w:color w:val="000000" w:themeColor="text1"/>
          <w:sz w:val="22"/>
          <w:szCs w:val="22"/>
          <w:lang w:val="en-GB"/>
        </w:rPr>
        <w:t>UTIs</w:t>
      </w:r>
      <w:r w:rsidR="00C76EDC">
        <w:rPr>
          <w:rFonts w:asciiTheme="minorHAnsi" w:hAnsiTheme="minorHAnsi" w:cstheme="minorHAnsi"/>
          <w:color w:val="000000" w:themeColor="text1"/>
          <w:sz w:val="22"/>
          <w:szCs w:val="22"/>
          <w:lang w:val="en-GB"/>
        </w:rPr>
        <w:t>) affected</w:t>
      </w:r>
      <w:r w:rsidR="00433EE7" w:rsidRPr="00C37A4D">
        <w:rPr>
          <w:rFonts w:asciiTheme="minorHAnsi" w:hAnsiTheme="minorHAnsi" w:cstheme="minorHAnsi"/>
          <w:color w:val="000000" w:themeColor="text1"/>
          <w:sz w:val="22"/>
          <w:szCs w:val="22"/>
          <w:lang w:val="en-GB"/>
        </w:rPr>
        <w:t xml:space="preserve"> </w:t>
      </w:r>
      <w:r w:rsidR="004C3A55" w:rsidRPr="00C37A4D">
        <w:rPr>
          <w:rFonts w:asciiTheme="minorHAnsi" w:hAnsiTheme="minorHAnsi" w:cstheme="minorHAnsi"/>
          <w:color w:val="000000" w:themeColor="text1"/>
          <w:sz w:val="22"/>
          <w:szCs w:val="22"/>
          <w:lang w:val="en-GB"/>
        </w:rPr>
        <w:t xml:space="preserve">more than </w:t>
      </w:r>
      <w:r w:rsidR="00433EE7" w:rsidRPr="00C37A4D">
        <w:rPr>
          <w:rFonts w:asciiTheme="minorHAnsi" w:hAnsiTheme="minorHAnsi" w:cstheme="minorHAnsi"/>
          <w:color w:val="000000" w:themeColor="text1"/>
          <w:sz w:val="22"/>
          <w:szCs w:val="22"/>
          <w:lang w:val="en-GB"/>
        </w:rPr>
        <w:t>404</w:t>
      </w:r>
      <w:r w:rsidR="00F55E6B" w:rsidRPr="00C37A4D">
        <w:rPr>
          <w:rFonts w:asciiTheme="minorHAnsi" w:hAnsiTheme="minorHAnsi" w:cstheme="minorHAnsi"/>
          <w:color w:val="000000" w:themeColor="text1"/>
          <w:sz w:val="22"/>
          <w:szCs w:val="22"/>
          <w:lang w:val="en-GB"/>
        </w:rPr>
        <w:t>·</w:t>
      </w:r>
      <w:r w:rsidR="00433EE7" w:rsidRPr="00C37A4D">
        <w:rPr>
          <w:rFonts w:asciiTheme="minorHAnsi" w:hAnsiTheme="minorHAnsi" w:cstheme="minorHAnsi"/>
          <w:color w:val="000000" w:themeColor="text1"/>
          <w:sz w:val="22"/>
          <w:szCs w:val="22"/>
          <w:lang w:val="en-GB"/>
        </w:rPr>
        <w:t>6 million people globally</w:t>
      </w:r>
      <w:r w:rsidR="00BD11B4">
        <w:rPr>
          <w:rFonts w:asciiTheme="minorHAnsi" w:hAnsiTheme="minorHAnsi" w:cstheme="minorHAnsi"/>
          <w:color w:val="000000" w:themeColor="text1"/>
          <w:sz w:val="22"/>
          <w:szCs w:val="22"/>
          <w:lang w:val="en-GB"/>
        </w:rPr>
        <w:t xml:space="preserve"> and</w:t>
      </w:r>
      <w:r w:rsidR="00433EE7" w:rsidRPr="00C37A4D">
        <w:rPr>
          <w:rFonts w:asciiTheme="minorHAnsi" w:hAnsiTheme="minorHAnsi" w:cstheme="minorHAnsi"/>
          <w:color w:val="000000" w:themeColor="text1"/>
          <w:sz w:val="22"/>
          <w:szCs w:val="22"/>
          <w:lang w:val="en-GB"/>
        </w:rPr>
        <w:t xml:space="preserve"> led to nearly 236,</w:t>
      </w:r>
      <w:r w:rsidR="001B0454" w:rsidRPr="00C37A4D">
        <w:rPr>
          <w:rFonts w:asciiTheme="minorHAnsi" w:hAnsiTheme="minorHAnsi" w:cstheme="minorHAnsi"/>
          <w:color w:val="000000" w:themeColor="text1"/>
          <w:sz w:val="22"/>
          <w:szCs w:val="22"/>
          <w:lang w:val="en-GB"/>
        </w:rPr>
        <w:t xml:space="preserve">800 </w:t>
      </w:r>
      <w:r w:rsidR="00433EE7" w:rsidRPr="00C37A4D">
        <w:rPr>
          <w:rFonts w:asciiTheme="minorHAnsi" w:hAnsiTheme="minorHAnsi" w:cstheme="minorHAnsi"/>
          <w:color w:val="000000" w:themeColor="text1"/>
          <w:sz w:val="22"/>
          <w:szCs w:val="22"/>
          <w:lang w:val="en-GB"/>
        </w:rPr>
        <w:t>deaths</w:t>
      </w:r>
      <w:r w:rsidR="00BD11B4">
        <w:rPr>
          <w:rFonts w:asciiTheme="minorHAnsi" w:hAnsiTheme="minorHAnsi" w:cstheme="minorHAnsi"/>
          <w:color w:val="000000" w:themeColor="text1"/>
          <w:sz w:val="22"/>
          <w:szCs w:val="22"/>
          <w:lang w:val="en-GB"/>
        </w:rPr>
        <w:t xml:space="preserve"> in 2019</w:t>
      </w:r>
      <w:r w:rsidR="008A2CB1" w:rsidRPr="00C37A4D">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93</w:t>
      </w:r>
      <w:r w:rsidR="00433EE7" w:rsidRPr="00C37A4D">
        <w:rPr>
          <w:rFonts w:asciiTheme="minorHAnsi" w:hAnsiTheme="minorHAnsi" w:cstheme="minorHAnsi"/>
          <w:color w:val="000000" w:themeColor="text1"/>
          <w:sz w:val="22"/>
          <w:szCs w:val="22"/>
          <w:lang w:val="en-GB"/>
        </w:rPr>
        <w:t xml:space="preserve"> </w:t>
      </w:r>
      <w:r w:rsidR="00790BDE">
        <w:rPr>
          <w:rFonts w:asciiTheme="minorHAnsi" w:hAnsiTheme="minorHAnsi" w:cstheme="minorHAnsi"/>
          <w:color w:val="000000" w:themeColor="text1"/>
          <w:sz w:val="22"/>
          <w:szCs w:val="22"/>
          <w:lang w:val="en-GB"/>
        </w:rPr>
        <w:t xml:space="preserve">UTIs </w:t>
      </w:r>
      <w:r w:rsidR="00BD11B4">
        <w:rPr>
          <w:rFonts w:asciiTheme="minorHAnsi" w:hAnsiTheme="minorHAnsi" w:cstheme="minorHAnsi"/>
          <w:color w:val="000000" w:themeColor="text1"/>
          <w:sz w:val="22"/>
          <w:szCs w:val="22"/>
          <w:lang w:val="en-GB"/>
        </w:rPr>
        <w:t>are</w:t>
      </w:r>
      <w:r w:rsidR="00790BDE">
        <w:rPr>
          <w:rFonts w:asciiTheme="minorHAnsi" w:hAnsiTheme="minorHAnsi" w:cstheme="minorHAnsi"/>
          <w:color w:val="000000" w:themeColor="text1"/>
          <w:sz w:val="22"/>
          <w:szCs w:val="22"/>
          <w:lang w:val="en-GB"/>
        </w:rPr>
        <w:t xml:space="preserve"> the most common indication for antib</w:t>
      </w:r>
      <w:r w:rsidR="008F1273">
        <w:rPr>
          <w:rFonts w:asciiTheme="minorHAnsi" w:hAnsiTheme="minorHAnsi" w:cstheme="minorHAnsi"/>
          <w:color w:val="000000" w:themeColor="text1"/>
          <w:sz w:val="22"/>
          <w:szCs w:val="22"/>
          <w:lang w:val="en-GB"/>
        </w:rPr>
        <w:t>iotic</w:t>
      </w:r>
      <w:r w:rsidR="00790BDE">
        <w:rPr>
          <w:rFonts w:asciiTheme="minorHAnsi" w:hAnsiTheme="minorHAnsi" w:cstheme="minorHAnsi"/>
          <w:color w:val="000000" w:themeColor="text1"/>
          <w:sz w:val="22"/>
          <w:szCs w:val="22"/>
          <w:lang w:val="en-GB"/>
        </w:rPr>
        <w:t xml:space="preserve"> prescription in pregnancy</w:t>
      </w:r>
      <w:r w:rsidR="005136C2">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94</w:t>
      </w:r>
      <w:r w:rsidR="00030100">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when</w:t>
      </w:r>
      <w:r w:rsidR="00030100">
        <w:rPr>
          <w:rFonts w:asciiTheme="minorHAnsi" w:hAnsiTheme="minorHAnsi" w:cstheme="minorHAnsi"/>
          <w:color w:val="000000" w:themeColor="text1"/>
          <w:sz w:val="22"/>
          <w:szCs w:val="22"/>
          <w:lang w:val="en-GB"/>
        </w:rPr>
        <w:t xml:space="preserve"> the range of anti</w:t>
      </w:r>
      <w:r w:rsidR="008F1273">
        <w:rPr>
          <w:rFonts w:asciiTheme="minorHAnsi" w:hAnsiTheme="minorHAnsi" w:cstheme="minorHAnsi"/>
          <w:color w:val="000000" w:themeColor="text1"/>
          <w:sz w:val="22"/>
          <w:szCs w:val="22"/>
          <w:lang w:val="en-GB"/>
        </w:rPr>
        <w:t>biotics</w:t>
      </w:r>
      <w:r w:rsidR="00030100">
        <w:rPr>
          <w:rFonts w:asciiTheme="minorHAnsi" w:hAnsiTheme="minorHAnsi" w:cstheme="minorHAnsi"/>
          <w:color w:val="000000" w:themeColor="text1"/>
          <w:sz w:val="22"/>
          <w:szCs w:val="22"/>
          <w:lang w:val="en-GB"/>
        </w:rPr>
        <w:t xml:space="preserve"> that can be safely </w:t>
      </w:r>
      <w:r w:rsidR="00C55003">
        <w:rPr>
          <w:rFonts w:asciiTheme="minorHAnsi" w:hAnsiTheme="minorHAnsi" w:cstheme="minorHAnsi"/>
          <w:color w:val="000000" w:themeColor="text1"/>
          <w:sz w:val="22"/>
          <w:szCs w:val="22"/>
          <w:lang w:val="en-GB"/>
        </w:rPr>
        <w:t>administered</w:t>
      </w:r>
      <w:r w:rsidR="00030100">
        <w:rPr>
          <w:rFonts w:asciiTheme="minorHAnsi" w:hAnsiTheme="minorHAnsi" w:cstheme="minorHAnsi"/>
          <w:color w:val="000000" w:themeColor="text1"/>
          <w:sz w:val="22"/>
          <w:szCs w:val="22"/>
          <w:lang w:val="en-GB"/>
        </w:rPr>
        <w:t xml:space="preserve"> narrows</w:t>
      </w:r>
      <w:r w:rsidR="00BD11B4">
        <w:rPr>
          <w:rFonts w:asciiTheme="minorHAnsi" w:hAnsiTheme="minorHAnsi" w:cstheme="minorHAnsi"/>
          <w:color w:val="000000" w:themeColor="text1"/>
          <w:sz w:val="22"/>
          <w:szCs w:val="22"/>
          <w:lang w:val="en-GB"/>
        </w:rPr>
        <w:t>, and</w:t>
      </w:r>
      <w:r w:rsidR="00074F88">
        <w:rPr>
          <w:rFonts w:asciiTheme="minorHAnsi" w:hAnsiTheme="minorHAnsi" w:cstheme="minorHAnsi"/>
          <w:color w:val="000000" w:themeColor="text1"/>
          <w:sz w:val="22"/>
          <w:szCs w:val="22"/>
          <w:lang w:val="en-GB"/>
        </w:rPr>
        <w:t xml:space="preserve"> </w:t>
      </w:r>
      <w:r w:rsidR="00030100">
        <w:rPr>
          <w:rFonts w:asciiTheme="minorHAnsi" w:hAnsiTheme="minorHAnsi" w:cstheme="minorHAnsi"/>
          <w:color w:val="000000" w:themeColor="text1"/>
          <w:sz w:val="22"/>
          <w:szCs w:val="22"/>
          <w:lang w:val="en-GB"/>
        </w:rPr>
        <w:t>are associated with maternal pre-eclampsia</w:t>
      </w:r>
      <w:r w:rsidR="00790BDE">
        <w:rPr>
          <w:rFonts w:asciiTheme="minorHAnsi" w:hAnsiTheme="minorHAnsi" w:cstheme="minorHAnsi"/>
          <w:color w:val="000000" w:themeColor="text1"/>
          <w:sz w:val="22"/>
          <w:szCs w:val="22"/>
          <w:lang w:val="en-GB"/>
        </w:rPr>
        <w:t xml:space="preserve"> and low birth weight and/or pre-term infants</w:t>
      </w:r>
      <w:r w:rsidR="00BD11B4">
        <w:rPr>
          <w:rFonts w:asciiTheme="minorHAnsi" w:hAnsiTheme="minorHAnsi" w:cstheme="minorHAnsi"/>
          <w:color w:val="000000" w:themeColor="text1"/>
          <w:sz w:val="22"/>
          <w:szCs w:val="22"/>
          <w:lang w:val="en-GB"/>
        </w:rPr>
        <w:t xml:space="preserve"> if improperly treated</w:t>
      </w:r>
      <w:r w:rsidR="00790BDE">
        <w:rPr>
          <w:rFonts w:asciiTheme="minorHAnsi" w:hAnsiTheme="minorHAnsi" w:cstheme="minorHAnsi"/>
          <w:color w:val="000000" w:themeColor="text1"/>
          <w:sz w:val="22"/>
          <w:szCs w:val="22"/>
          <w:lang w:val="en-GB"/>
        </w:rPr>
        <w:t>.</w:t>
      </w:r>
      <w:r w:rsidR="00D07897" w:rsidRPr="00D07897">
        <w:rPr>
          <w:rFonts w:hAnsiTheme="minorHAnsi"/>
          <w:color w:val="000000"/>
          <w:sz w:val="22"/>
          <w:vertAlign w:val="superscript"/>
        </w:rPr>
        <w:t>55</w:t>
      </w:r>
      <w:r w:rsidR="0066136A">
        <w:rPr>
          <w:rFonts w:asciiTheme="minorHAnsi" w:hAnsiTheme="minorHAnsi" w:cstheme="minorHAnsi"/>
          <w:color w:val="000000" w:themeColor="text1"/>
          <w:sz w:val="22"/>
          <w:szCs w:val="22"/>
          <w:lang w:val="en-GB"/>
        </w:rPr>
        <w:t xml:space="preserve"> </w:t>
      </w:r>
      <w:r w:rsidR="00433EE7" w:rsidRPr="00C37A4D">
        <w:rPr>
          <w:rFonts w:asciiTheme="minorHAnsi" w:hAnsiTheme="minorHAnsi" w:cstheme="minorHAnsi"/>
          <w:color w:val="000000" w:themeColor="text1"/>
          <w:sz w:val="22"/>
          <w:szCs w:val="22"/>
          <w:lang w:val="en-GB"/>
        </w:rPr>
        <w:t xml:space="preserve">Although </w:t>
      </w:r>
      <w:r w:rsidR="00433EE7" w:rsidRPr="00C37A4D">
        <w:rPr>
          <w:rFonts w:asciiTheme="minorHAnsi" w:hAnsiTheme="minorHAnsi" w:cstheme="minorHAnsi"/>
          <w:i/>
          <w:iCs/>
          <w:color w:val="000000" w:themeColor="text1"/>
          <w:sz w:val="22"/>
          <w:szCs w:val="22"/>
          <w:lang w:val="en-GB"/>
        </w:rPr>
        <w:t>E. coli</w:t>
      </w:r>
      <w:r w:rsidR="00433EE7" w:rsidRPr="00C37A4D">
        <w:rPr>
          <w:rFonts w:asciiTheme="minorHAnsi" w:hAnsiTheme="minorHAnsi" w:cstheme="minorHAnsi"/>
          <w:color w:val="000000" w:themeColor="text1"/>
          <w:sz w:val="22"/>
          <w:szCs w:val="22"/>
          <w:lang w:val="en-GB"/>
        </w:rPr>
        <w:t xml:space="preserve"> is the most frequent </w:t>
      </w:r>
      <w:r w:rsidR="00C55003">
        <w:rPr>
          <w:rFonts w:asciiTheme="minorHAnsi" w:hAnsiTheme="minorHAnsi" w:cstheme="minorHAnsi"/>
          <w:color w:val="000000" w:themeColor="text1"/>
          <w:sz w:val="22"/>
          <w:szCs w:val="22"/>
          <w:lang w:val="en-GB"/>
        </w:rPr>
        <w:t xml:space="preserve">urinary tract </w:t>
      </w:r>
      <w:r w:rsidR="00433EE7" w:rsidRPr="00C37A4D">
        <w:rPr>
          <w:rFonts w:asciiTheme="minorHAnsi" w:hAnsiTheme="minorHAnsi" w:cstheme="minorHAnsi"/>
          <w:color w:val="000000" w:themeColor="text1"/>
          <w:sz w:val="22"/>
          <w:szCs w:val="22"/>
          <w:lang w:val="en-GB"/>
        </w:rPr>
        <w:t>pathogen in both community and hospital settings, ESKAPE pathogens</w:t>
      </w:r>
      <w:r w:rsidR="002125D1">
        <w:rPr>
          <w:rFonts w:asciiTheme="minorHAnsi" w:hAnsiTheme="minorHAnsi" w:cstheme="minorHAnsi"/>
          <w:color w:val="000000" w:themeColor="text1"/>
          <w:sz w:val="22"/>
          <w:szCs w:val="22"/>
          <w:lang w:val="en-GB"/>
        </w:rPr>
        <w:t xml:space="preserve"> are important</w:t>
      </w:r>
      <w:r w:rsidR="00433EE7" w:rsidRPr="00C37A4D">
        <w:rPr>
          <w:rFonts w:asciiTheme="minorHAnsi" w:hAnsiTheme="minorHAnsi" w:cstheme="minorHAnsi"/>
          <w:color w:val="000000" w:themeColor="text1"/>
          <w:sz w:val="22"/>
          <w:szCs w:val="22"/>
          <w:lang w:val="en-GB"/>
        </w:rPr>
        <w:t xml:space="preserve"> UTI etiologic agents</w:t>
      </w:r>
      <w:r w:rsidR="002125D1">
        <w:rPr>
          <w:rFonts w:asciiTheme="minorHAnsi" w:hAnsiTheme="minorHAnsi" w:cstheme="minorHAnsi"/>
          <w:color w:val="000000" w:themeColor="text1"/>
          <w:sz w:val="22"/>
          <w:szCs w:val="22"/>
          <w:lang w:val="en-GB"/>
        </w:rPr>
        <w:t xml:space="preserve"> as well</w:t>
      </w:r>
      <w:r w:rsidR="005136C2">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95,96</w:t>
      </w:r>
      <w:r w:rsidR="00433EE7" w:rsidRPr="00C37A4D">
        <w:rPr>
          <w:rFonts w:asciiTheme="minorHAnsi" w:hAnsiTheme="minorHAnsi" w:cstheme="minorHAnsi"/>
          <w:color w:val="000000" w:themeColor="text1"/>
          <w:sz w:val="22"/>
          <w:szCs w:val="22"/>
          <w:lang w:val="en-GB"/>
        </w:rPr>
        <w:t xml:space="preserve"> </w:t>
      </w:r>
      <w:r w:rsidR="00074F88">
        <w:rPr>
          <w:rFonts w:asciiTheme="minorHAnsi" w:hAnsiTheme="minorHAnsi" w:cstheme="minorHAnsi"/>
          <w:color w:val="000000" w:themeColor="text1"/>
          <w:sz w:val="22"/>
          <w:szCs w:val="22"/>
          <w:lang w:val="en-GB"/>
        </w:rPr>
        <w:t>C</w:t>
      </w:r>
      <w:r w:rsidR="00C941EB" w:rsidRPr="00C37A4D">
        <w:rPr>
          <w:rFonts w:asciiTheme="minorHAnsi" w:hAnsiTheme="minorHAnsi" w:cstheme="minorHAnsi"/>
          <w:color w:val="000000" w:themeColor="text1"/>
          <w:sz w:val="22"/>
          <w:szCs w:val="22"/>
          <w:lang w:val="en-GB"/>
        </w:rPr>
        <w:t>ommunity-acquired</w:t>
      </w:r>
      <w:r w:rsidR="001B0454" w:rsidRPr="00C37A4D">
        <w:rPr>
          <w:rFonts w:asciiTheme="minorHAnsi" w:hAnsiTheme="minorHAnsi" w:cstheme="minorHAnsi"/>
          <w:color w:val="000000" w:themeColor="text1"/>
          <w:sz w:val="22"/>
          <w:szCs w:val="22"/>
          <w:lang w:val="en-GB"/>
        </w:rPr>
        <w:t xml:space="preserve"> </w:t>
      </w:r>
      <w:r w:rsidR="00433EE7" w:rsidRPr="00C37A4D">
        <w:rPr>
          <w:rFonts w:asciiTheme="minorHAnsi" w:hAnsiTheme="minorHAnsi" w:cstheme="minorHAnsi"/>
          <w:color w:val="000000" w:themeColor="text1"/>
          <w:sz w:val="22"/>
          <w:szCs w:val="22"/>
          <w:lang w:val="en-GB"/>
        </w:rPr>
        <w:t xml:space="preserve">UTIs </w:t>
      </w:r>
      <w:r w:rsidR="00074F88">
        <w:rPr>
          <w:rFonts w:asciiTheme="minorHAnsi" w:hAnsiTheme="minorHAnsi" w:cstheme="minorHAnsi"/>
          <w:color w:val="000000" w:themeColor="text1"/>
          <w:sz w:val="22"/>
          <w:szCs w:val="22"/>
          <w:lang w:val="en-GB"/>
        </w:rPr>
        <w:t>are commonly caused by</w:t>
      </w:r>
      <w:r w:rsidR="001D5DEE">
        <w:rPr>
          <w:rFonts w:asciiTheme="minorHAnsi" w:hAnsiTheme="minorHAnsi" w:cstheme="minorHAnsi"/>
          <w:color w:val="000000" w:themeColor="text1"/>
          <w:sz w:val="22"/>
          <w:szCs w:val="22"/>
          <w:lang w:val="en-GB"/>
        </w:rPr>
        <w:t xml:space="preserve"> resistant</w:t>
      </w:r>
      <w:r w:rsidR="00074F88" w:rsidRPr="00C37A4D">
        <w:rPr>
          <w:rFonts w:asciiTheme="minorHAnsi" w:hAnsiTheme="minorHAnsi" w:cstheme="minorHAnsi"/>
          <w:color w:val="000000" w:themeColor="text1"/>
          <w:sz w:val="22"/>
          <w:szCs w:val="22"/>
          <w:lang w:val="en-GB"/>
        </w:rPr>
        <w:t xml:space="preserve"> </w:t>
      </w:r>
      <w:r w:rsidR="00DE067E" w:rsidRPr="00C37A4D">
        <w:rPr>
          <w:rFonts w:asciiTheme="minorHAnsi" w:hAnsiTheme="minorHAnsi" w:cstheme="minorHAnsi"/>
          <w:i/>
          <w:iCs/>
          <w:color w:val="000000" w:themeColor="text1"/>
          <w:sz w:val="22"/>
          <w:szCs w:val="22"/>
          <w:lang w:val="en-GB"/>
        </w:rPr>
        <w:t>E</w:t>
      </w:r>
      <w:r w:rsidR="00DE067E">
        <w:rPr>
          <w:rFonts w:asciiTheme="minorHAnsi" w:hAnsiTheme="minorHAnsi" w:cstheme="minorHAnsi"/>
          <w:i/>
          <w:iCs/>
          <w:color w:val="000000" w:themeColor="text1"/>
          <w:sz w:val="22"/>
          <w:szCs w:val="22"/>
          <w:lang w:val="en-GB"/>
        </w:rPr>
        <w:t>.</w:t>
      </w:r>
      <w:r w:rsidR="00DE067E" w:rsidRPr="00C37A4D">
        <w:rPr>
          <w:rFonts w:asciiTheme="minorHAnsi" w:hAnsiTheme="minorHAnsi" w:cstheme="minorHAnsi"/>
          <w:i/>
          <w:iCs/>
          <w:color w:val="000000" w:themeColor="text1"/>
          <w:sz w:val="22"/>
          <w:szCs w:val="22"/>
          <w:lang w:val="en-GB"/>
        </w:rPr>
        <w:t xml:space="preserve"> </w:t>
      </w:r>
      <w:r w:rsidR="00433EE7" w:rsidRPr="00C37A4D">
        <w:rPr>
          <w:rFonts w:asciiTheme="minorHAnsi" w:hAnsiTheme="minorHAnsi" w:cstheme="minorHAnsi"/>
          <w:i/>
          <w:iCs/>
          <w:color w:val="000000" w:themeColor="text1"/>
          <w:sz w:val="22"/>
          <w:szCs w:val="22"/>
          <w:lang w:val="en-GB"/>
        </w:rPr>
        <w:t xml:space="preserve">coli, </w:t>
      </w:r>
      <w:r w:rsidR="00DE067E" w:rsidRPr="00C37A4D">
        <w:rPr>
          <w:rFonts w:asciiTheme="minorHAnsi" w:hAnsiTheme="minorHAnsi" w:cstheme="minorHAnsi"/>
          <w:i/>
          <w:iCs/>
          <w:color w:val="000000" w:themeColor="text1"/>
          <w:sz w:val="22"/>
          <w:szCs w:val="22"/>
          <w:lang w:val="en-GB"/>
        </w:rPr>
        <w:t>K</w:t>
      </w:r>
      <w:r w:rsidR="00DE067E">
        <w:rPr>
          <w:rFonts w:asciiTheme="minorHAnsi" w:hAnsiTheme="minorHAnsi" w:cstheme="minorHAnsi"/>
          <w:i/>
          <w:iCs/>
          <w:color w:val="000000" w:themeColor="text1"/>
          <w:sz w:val="22"/>
          <w:szCs w:val="22"/>
          <w:lang w:val="en-GB"/>
        </w:rPr>
        <w:t>.</w:t>
      </w:r>
      <w:r w:rsidR="00DE067E" w:rsidRPr="00C37A4D">
        <w:rPr>
          <w:rFonts w:asciiTheme="minorHAnsi" w:hAnsiTheme="minorHAnsi" w:cstheme="minorHAnsi"/>
          <w:i/>
          <w:iCs/>
          <w:color w:val="000000" w:themeColor="text1"/>
          <w:sz w:val="22"/>
          <w:szCs w:val="22"/>
          <w:lang w:val="en-GB"/>
        </w:rPr>
        <w:t xml:space="preserve"> </w:t>
      </w:r>
      <w:r w:rsidR="00433EE7" w:rsidRPr="00C37A4D">
        <w:rPr>
          <w:rFonts w:asciiTheme="minorHAnsi" w:hAnsiTheme="minorHAnsi" w:cstheme="minorHAnsi"/>
          <w:i/>
          <w:iCs/>
          <w:color w:val="000000" w:themeColor="text1"/>
          <w:sz w:val="22"/>
          <w:szCs w:val="22"/>
          <w:lang w:val="en-GB"/>
        </w:rPr>
        <w:t>pneumoniae, Proteus mirabilis</w:t>
      </w:r>
      <w:r w:rsidR="00F55E6B" w:rsidRPr="00C37A4D">
        <w:rPr>
          <w:rFonts w:asciiTheme="minorHAnsi" w:hAnsiTheme="minorHAnsi" w:cstheme="minorHAnsi"/>
          <w:i/>
          <w:iCs/>
          <w:color w:val="000000" w:themeColor="text1"/>
          <w:sz w:val="22"/>
          <w:szCs w:val="22"/>
          <w:lang w:val="en-GB"/>
        </w:rPr>
        <w:t>,</w:t>
      </w:r>
      <w:r w:rsidR="00433EE7" w:rsidRPr="00C37A4D">
        <w:rPr>
          <w:rFonts w:asciiTheme="minorHAnsi" w:hAnsiTheme="minorHAnsi" w:cstheme="minorHAnsi"/>
          <w:color w:val="000000" w:themeColor="text1"/>
          <w:sz w:val="22"/>
          <w:szCs w:val="22"/>
          <w:lang w:val="en-GB"/>
        </w:rPr>
        <w:t xml:space="preserve"> and </w:t>
      </w:r>
      <w:r w:rsidR="00DE067E" w:rsidRPr="00C37A4D">
        <w:rPr>
          <w:rFonts w:asciiTheme="minorHAnsi" w:hAnsiTheme="minorHAnsi" w:cstheme="minorHAnsi"/>
          <w:i/>
          <w:iCs/>
          <w:color w:val="000000" w:themeColor="text1"/>
          <w:sz w:val="22"/>
          <w:szCs w:val="22"/>
          <w:lang w:val="en-GB"/>
        </w:rPr>
        <w:t>S</w:t>
      </w:r>
      <w:r w:rsidR="00DE067E">
        <w:rPr>
          <w:rFonts w:asciiTheme="minorHAnsi" w:hAnsiTheme="minorHAnsi" w:cstheme="minorHAnsi"/>
          <w:i/>
          <w:iCs/>
          <w:color w:val="000000" w:themeColor="text1"/>
          <w:sz w:val="22"/>
          <w:szCs w:val="22"/>
          <w:lang w:val="en-GB"/>
        </w:rPr>
        <w:t>.</w:t>
      </w:r>
      <w:r w:rsidR="00DE067E" w:rsidRPr="00C37A4D">
        <w:rPr>
          <w:rFonts w:asciiTheme="minorHAnsi" w:hAnsiTheme="minorHAnsi" w:cstheme="minorHAnsi"/>
          <w:i/>
          <w:iCs/>
          <w:color w:val="000000" w:themeColor="text1"/>
          <w:sz w:val="22"/>
          <w:szCs w:val="22"/>
          <w:lang w:val="en-GB"/>
        </w:rPr>
        <w:t xml:space="preserve"> </w:t>
      </w:r>
      <w:r w:rsidR="00433EE7" w:rsidRPr="00C37A4D">
        <w:rPr>
          <w:rFonts w:asciiTheme="minorHAnsi" w:hAnsiTheme="minorHAnsi" w:cstheme="minorHAnsi"/>
          <w:i/>
          <w:iCs/>
          <w:color w:val="000000" w:themeColor="text1"/>
          <w:sz w:val="22"/>
          <w:szCs w:val="22"/>
          <w:lang w:val="en-GB"/>
        </w:rPr>
        <w:t>saprophyticus</w:t>
      </w:r>
      <w:r w:rsidR="00F60580">
        <w:rPr>
          <w:rFonts w:asciiTheme="minorHAnsi" w:hAnsiTheme="minorHAnsi" w:cstheme="minorHAnsi"/>
          <w:i/>
          <w:iCs/>
          <w:color w:val="000000" w:themeColor="text1"/>
          <w:sz w:val="22"/>
          <w:szCs w:val="22"/>
          <w:lang w:val="en-GB"/>
        </w:rPr>
        <w:t>.</w:t>
      </w:r>
      <w:r w:rsidR="00E00CFD" w:rsidRPr="00E00CFD">
        <w:rPr>
          <w:rFonts w:hAnsiTheme="minorHAnsi"/>
          <w:color w:val="000000"/>
          <w:sz w:val="22"/>
          <w:vertAlign w:val="superscript"/>
        </w:rPr>
        <w:t>95,96</w:t>
      </w:r>
      <w:r w:rsidR="00433EE7" w:rsidRPr="00C37A4D">
        <w:rPr>
          <w:rFonts w:asciiTheme="minorHAnsi" w:hAnsiTheme="minorHAnsi" w:cstheme="minorHAnsi"/>
          <w:color w:val="000000" w:themeColor="text1"/>
          <w:sz w:val="22"/>
          <w:szCs w:val="22"/>
          <w:lang w:val="en-GB"/>
        </w:rPr>
        <w:t xml:space="preserve"> </w:t>
      </w:r>
      <w:r w:rsidR="00C941EB" w:rsidRPr="00C37A4D">
        <w:rPr>
          <w:rFonts w:asciiTheme="minorHAnsi" w:hAnsiTheme="minorHAnsi" w:cstheme="minorHAnsi"/>
          <w:color w:val="000000" w:themeColor="text1"/>
          <w:sz w:val="22"/>
          <w:szCs w:val="22"/>
          <w:lang w:val="en-GB"/>
        </w:rPr>
        <w:t>Extended-spectrum beta-lactamase</w:t>
      </w:r>
      <w:r w:rsidR="008A2CB1" w:rsidRPr="00C37A4D">
        <w:rPr>
          <w:rFonts w:asciiTheme="minorHAnsi" w:hAnsiTheme="minorHAnsi" w:cstheme="minorHAnsi"/>
          <w:color w:val="000000" w:themeColor="text1"/>
          <w:sz w:val="22"/>
          <w:szCs w:val="22"/>
          <w:lang w:val="en-GB"/>
        </w:rPr>
        <w:t xml:space="preserve"> </w:t>
      </w:r>
      <w:r w:rsidR="00C941EB" w:rsidRPr="00C37A4D">
        <w:rPr>
          <w:rFonts w:asciiTheme="minorHAnsi" w:hAnsiTheme="minorHAnsi" w:cstheme="minorHAnsi"/>
          <w:color w:val="000000" w:themeColor="text1"/>
          <w:sz w:val="22"/>
          <w:szCs w:val="22"/>
          <w:lang w:val="en-GB"/>
        </w:rPr>
        <w:t>producers, such as</w:t>
      </w:r>
      <w:r w:rsidR="00433EE7" w:rsidRPr="00C37A4D">
        <w:rPr>
          <w:rFonts w:asciiTheme="minorHAnsi" w:hAnsiTheme="minorHAnsi" w:cstheme="minorHAnsi"/>
          <w:color w:val="000000" w:themeColor="text1"/>
          <w:sz w:val="22"/>
          <w:szCs w:val="22"/>
          <w:lang w:val="en-GB"/>
        </w:rPr>
        <w:t xml:space="preserve"> CTX-M-15-producing </w:t>
      </w:r>
      <w:r w:rsidR="00433EE7" w:rsidRPr="00C37A4D">
        <w:rPr>
          <w:rFonts w:asciiTheme="minorHAnsi" w:hAnsiTheme="minorHAnsi" w:cstheme="minorHAnsi"/>
          <w:i/>
          <w:iCs/>
          <w:color w:val="000000" w:themeColor="text1"/>
          <w:sz w:val="22"/>
          <w:szCs w:val="22"/>
          <w:lang w:val="en-GB"/>
        </w:rPr>
        <w:t>E. coli</w:t>
      </w:r>
      <w:r w:rsidR="00433EE7" w:rsidRPr="00C37A4D">
        <w:rPr>
          <w:rFonts w:asciiTheme="minorHAnsi" w:hAnsiTheme="minorHAnsi" w:cstheme="minorHAnsi"/>
          <w:color w:val="000000" w:themeColor="text1"/>
          <w:sz w:val="22"/>
          <w:szCs w:val="22"/>
          <w:lang w:val="en-GB"/>
        </w:rPr>
        <w:t xml:space="preserve"> ST131 </w:t>
      </w:r>
      <w:r w:rsidR="00C941EB" w:rsidRPr="00C37A4D">
        <w:rPr>
          <w:rFonts w:asciiTheme="minorHAnsi" w:hAnsiTheme="minorHAnsi" w:cstheme="minorHAnsi"/>
          <w:color w:val="000000" w:themeColor="text1"/>
          <w:sz w:val="22"/>
          <w:szCs w:val="22"/>
          <w:lang w:val="en-GB"/>
        </w:rPr>
        <w:t xml:space="preserve">strains, are </w:t>
      </w:r>
      <w:r w:rsidR="008A2CB1" w:rsidRPr="00C37A4D">
        <w:rPr>
          <w:rFonts w:asciiTheme="minorHAnsi" w:hAnsiTheme="minorHAnsi" w:cstheme="minorHAnsi"/>
          <w:color w:val="000000" w:themeColor="text1"/>
          <w:sz w:val="22"/>
          <w:szCs w:val="22"/>
          <w:lang w:val="en-GB"/>
        </w:rPr>
        <w:lastRenderedPageBreak/>
        <w:t xml:space="preserve">globally disseminated and </w:t>
      </w:r>
      <w:r w:rsidR="00C941EB" w:rsidRPr="00C37A4D">
        <w:rPr>
          <w:rFonts w:asciiTheme="minorHAnsi" w:hAnsiTheme="minorHAnsi" w:cstheme="minorHAnsi"/>
          <w:color w:val="000000" w:themeColor="text1"/>
          <w:sz w:val="22"/>
          <w:szCs w:val="22"/>
          <w:lang w:val="en-GB"/>
        </w:rPr>
        <w:t>resistant to multiple antimicrobials</w:t>
      </w:r>
      <w:r w:rsidR="00856F8A">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97,98</w:t>
      </w:r>
      <w:r w:rsidR="0047001E" w:rsidRPr="00C37A4D">
        <w:rPr>
          <w:rFonts w:asciiTheme="minorHAnsi" w:hAnsiTheme="minorHAnsi" w:cstheme="minorHAnsi"/>
          <w:color w:val="000000" w:themeColor="text1"/>
          <w:sz w:val="22"/>
          <w:szCs w:val="22"/>
          <w:lang w:val="en-GB"/>
        </w:rPr>
        <w:t xml:space="preserve"> </w:t>
      </w:r>
      <w:r w:rsidR="001B0454" w:rsidRPr="00C37A4D">
        <w:rPr>
          <w:rFonts w:asciiTheme="minorHAnsi" w:hAnsiTheme="minorHAnsi" w:cstheme="minorHAnsi"/>
          <w:color w:val="000000" w:themeColor="text1"/>
          <w:sz w:val="22"/>
          <w:szCs w:val="22"/>
          <w:lang w:val="en-GB"/>
        </w:rPr>
        <w:t>In certain regions, c</w:t>
      </w:r>
      <w:r w:rsidR="00433EE7" w:rsidRPr="00C37A4D">
        <w:rPr>
          <w:rFonts w:asciiTheme="minorHAnsi" w:hAnsiTheme="minorHAnsi" w:cstheme="minorHAnsi"/>
          <w:color w:val="000000" w:themeColor="text1"/>
          <w:sz w:val="22"/>
          <w:szCs w:val="22"/>
          <w:lang w:val="en-GB"/>
        </w:rPr>
        <w:t xml:space="preserve">ommunity-acquired UTIs caused by </w:t>
      </w:r>
      <w:proofErr w:type="spellStart"/>
      <w:r w:rsidR="00433EE7" w:rsidRPr="00C37A4D">
        <w:rPr>
          <w:rFonts w:asciiTheme="minorHAnsi" w:hAnsiTheme="minorHAnsi" w:cstheme="minorHAnsi"/>
          <w:color w:val="000000" w:themeColor="text1"/>
          <w:sz w:val="22"/>
          <w:szCs w:val="22"/>
          <w:lang w:val="en-GB"/>
        </w:rPr>
        <w:t>carbapenemase</w:t>
      </w:r>
      <w:proofErr w:type="spellEnd"/>
      <w:r w:rsidR="00433EE7" w:rsidRPr="00C37A4D">
        <w:rPr>
          <w:rFonts w:asciiTheme="minorHAnsi" w:hAnsiTheme="minorHAnsi" w:cstheme="minorHAnsi"/>
          <w:color w:val="000000" w:themeColor="text1"/>
          <w:sz w:val="22"/>
          <w:szCs w:val="22"/>
          <w:lang w:val="en-GB"/>
        </w:rPr>
        <w:t xml:space="preserve">-producing </w:t>
      </w:r>
      <w:r w:rsidR="00433EE7" w:rsidRPr="00C37A4D">
        <w:rPr>
          <w:rFonts w:asciiTheme="minorHAnsi" w:hAnsiTheme="minorHAnsi" w:cstheme="minorHAnsi"/>
          <w:i/>
          <w:iCs/>
          <w:color w:val="000000" w:themeColor="text1"/>
          <w:sz w:val="22"/>
          <w:szCs w:val="22"/>
          <w:lang w:val="en-GB"/>
        </w:rPr>
        <w:t>E. coli</w:t>
      </w:r>
      <w:r w:rsidR="00433EE7" w:rsidRPr="00C37A4D">
        <w:rPr>
          <w:rFonts w:asciiTheme="minorHAnsi" w:hAnsiTheme="minorHAnsi" w:cstheme="minorHAnsi"/>
          <w:color w:val="000000" w:themeColor="text1"/>
          <w:sz w:val="22"/>
          <w:szCs w:val="22"/>
          <w:lang w:val="en-GB"/>
        </w:rPr>
        <w:t xml:space="preserve"> </w:t>
      </w:r>
      <w:r w:rsidR="000D707B" w:rsidRPr="00C37A4D">
        <w:rPr>
          <w:rFonts w:asciiTheme="minorHAnsi" w:hAnsiTheme="minorHAnsi" w:cstheme="minorHAnsi"/>
          <w:color w:val="000000" w:themeColor="text1"/>
          <w:sz w:val="22"/>
          <w:szCs w:val="22"/>
          <w:lang w:val="en-GB"/>
        </w:rPr>
        <w:t>increasingly necess</w:t>
      </w:r>
      <w:r>
        <w:rPr>
          <w:rFonts w:asciiTheme="minorHAnsi" w:hAnsiTheme="minorHAnsi" w:cstheme="minorHAnsi"/>
          <w:color w:val="000000" w:themeColor="text1"/>
          <w:sz w:val="22"/>
          <w:szCs w:val="22"/>
          <w:lang w:val="en-GB"/>
        </w:rPr>
        <w:t>itate</w:t>
      </w:r>
      <w:r w:rsidR="000D707B" w:rsidRPr="00C37A4D">
        <w:rPr>
          <w:rFonts w:asciiTheme="minorHAnsi" w:hAnsiTheme="minorHAnsi" w:cstheme="minorHAnsi"/>
          <w:color w:val="000000" w:themeColor="text1"/>
          <w:sz w:val="22"/>
          <w:szCs w:val="22"/>
          <w:lang w:val="en-GB"/>
        </w:rPr>
        <w:t xml:space="preserve"> </w:t>
      </w:r>
      <w:r w:rsidR="00433EE7" w:rsidRPr="00C37A4D">
        <w:rPr>
          <w:rFonts w:asciiTheme="minorHAnsi" w:hAnsiTheme="minorHAnsi" w:cstheme="minorHAnsi"/>
          <w:color w:val="000000" w:themeColor="text1"/>
          <w:sz w:val="22"/>
          <w:szCs w:val="22"/>
          <w:lang w:val="en-GB"/>
        </w:rPr>
        <w:t>intravenous anti</w:t>
      </w:r>
      <w:r w:rsidR="00067BDD" w:rsidRPr="00C37A4D">
        <w:rPr>
          <w:rFonts w:asciiTheme="minorHAnsi" w:hAnsiTheme="minorHAnsi" w:cstheme="minorHAnsi"/>
          <w:color w:val="000000" w:themeColor="text1"/>
          <w:sz w:val="22"/>
          <w:szCs w:val="22"/>
          <w:lang w:val="en-GB"/>
        </w:rPr>
        <w:t>biotics</w:t>
      </w:r>
      <w:r w:rsidR="00B26D8B">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99,100</w:t>
      </w:r>
    </w:p>
    <w:p w14:paraId="620AB49E" w14:textId="77777777" w:rsidR="00433EE7" w:rsidRDefault="00433EE7" w:rsidP="00433EE7">
      <w:pPr>
        <w:rPr>
          <w:rFonts w:asciiTheme="minorHAnsi" w:hAnsiTheme="minorHAnsi" w:cstheme="minorHAnsi"/>
          <w:color w:val="000000" w:themeColor="text1"/>
          <w:sz w:val="22"/>
          <w:szCs w:val="22"/>
          <w:lang w:val="en-GB"/>
        </w:rPr>
      </w:pPr>
    </w:p>
    <w:p w14:paraId="26E398E6" w14:textId="66B60D21" w:rsidR="00483F40" w:rsidRDefault="00483F40" w:rsidP="00433EE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Sexually</w:t>
      </w:r>
      <w:r w:rsidR="00200F7F">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 xml:space="preserve">transmitted bacteria </w:t>
      </w:r>
      <w:r w:rsidR="00200F7F">
        <w:rPr>
          <w:rFonts w:asciiTheme="minorHAnsi" w:hAnsiTheme="minorHAnsi" w:cstheme="minorHAnsi"/>
          <w:color w:val="000000" w:themeColor="text1"/>
          <w:sz w:val="22"/>
          <w:szCs w:val="22"/>
          <w:lang w:val="en-GB"/>
        </w:rPr>
        <w:t xml:space="preserve">cause </w:t>
      </w:r>
      <w:r>
        <w:rPr>
          <w:rFonts w:asciiTheme="minorHAnsi" w:hAnsiTheme="minorHAnsi" w:cstheme="minorHAnsi"/>
          <w:color w:val="000000" w:themeColor="text1"/>
          <w:sz w:val="22"/>
          <w:szCs w:val="22"/>
          <w:lang w:val="en-GB"/>
        </w:rPr>
        <w:t>considerable morbidity</w:t>
      </w:r>
      <w:r w:rsidR="009B243F">
        <w:rPr>
          <w:rFonts w:asciiTheme="minorHAnsi" w:hAnsiTheme="minorHAnsi" w:cstheme="minorHAnsi"/>
          <w:color w:val="000000" w:themeColor="text1"/>
          <w:sz w:val="22"/>
          <w:szCs w:val="22"/>
          <w:lang w:val="en-GB"/>
        </w:rPr>
        <w:t>. T</w:t>
      </w:r>
      <w:r>
        <w:rPr>
          <w:rFonts w:asciiTheme="minorHAnsi" w:hAnsiTheme="minorHAnsi" w:cstheme="minorHAnsi"/>
          <w:color w:val="000000" w:themeColor="text1"/>
          <w:sz w:val="22"/>
          <w:szCs w:val="22"/>
          <w:lang w:val="en-GB"/>
        </w:rPr>
        <w:t>he stigma associated with the</w:t>
      </w:r>
      <w:r w:rsidR="00486635">
        <w:rPr>
          <w:rFonts w:asciiTheme="minorHAnsi" w:hAnsiTheme="minorHAnsi" w:cstheme="minorHAnsi"/>
          <w:color w:val="000000" w:themeColor="text1"/>
          <w:sz w:val="22"/>
          <w:szCs w:val="22"/>
          <w:lang w:val="en-GB"/>
        </w:rPr>
        <w:t>se</w:t>
      </w:r>
      <w:r>
        <w:rPr>
          <w:rFonts w:asciiTheme="minorHAnsi" w:hAnsiTheme="minorHAnsi" w:cstheme="minorHAnsi"/>
          <w:color w:val="000000" w:themeColor="text1"/>
          <w:sz w:val="22"/>
          <w:szCs w:val="22"/>
          <w:lang w:val="en-GB"/>
        </w:rPr>
        <w:t xml:space="preserve"> infections, </w:t>
      </w:r>
      <w:r w:rsidR="00200F7F">
        <w:rPr>
          <w:rFonts w:asciiTheme="minorHAnsi" w:hAnsiTheme="minorHAnsi" w:cstheme="minorHAnsi"/>
          <w:color w:val="000000" w:themeColor="text1"/>
          <w:sz w:val="22"/>
          <w:szCs w:val="22"/>
          <w:lang w:val="en-GB"/>
        </w:rPr>
        <w:t xml:space="preserve">along </w:t>
      </w:r>
      <w:r w:rsidR="009B243F">
        <w:rPr>
          <w:rFonts w:asciiTheme="minorHAnsi" w:hAnsiTheme="minorHAnsi" w:cstheme="minorHAnsi"/>
          <w:color w:val="000000" w:themeColor="text1"/>
          <w:sz w:val="22"/>
          <w:szCs w:val="22"/>
          <w:lang w:val="en-GB"/>
        </w:rPr>
        <w:t>with</w:t>
      </w:r>
      <w:r>
        <w:rPr>
          <w:rFonts w:asciiTheme="minorHAnsi" w:hAnsiTheme="minorHAnsi" w:cstheme="minorHAnsi"/>
          <w:color w:val="000000" w:themeColor="text1"/>
          <w:sz w:val="22"/>
          <w:szCs w:val="22"/>
          <w:lang w:val="en-GB"/>
        </w:rPr>
        <w:t xml:space="preserve"> limited diagnostic resources</w:t>
      </w:r>
      <w:r w:rsidR="00C55003">
        <w:rPr>
          <w:rFonts w:asciiTheme="minorHAnsi" w:hAnsiTheme="minorHAnsi" w:cstheme="minorHAnsi"/>
          <w:color w:val="000000" w:themeColor="text1"/>
          <w:sz w:val="22"/>
          <w:szCs w:val="22"/>
          <w:lang w:val="en-GB"/>
        </w:rPr>
        <w:t>,</w:t>
      </w:r>
      <w:r>
        <w:rPr>
          <w:rFonts w:asciiTheme="minorHAnsi" w:hAnsiTheme="minorHAnsi" w:cstheme="minorHAnsi"/>
          <w:color w:val="000000" w:themeColor="text1"/>
          <w:sz w:val="22"/>
          <w:szCs w:val="22"/>
          <w:lang w:val="en-GB"/>
        </w:rPr>
        <w:t xml:space="preserve"> </w:t>
      </w:r>
      <w:r w:rsidR="00177AB9">
        <w:rPr>
          <w:rFonts w:asciiTheme="minorHAnsi" w:hAnsiTheme="minorHAnsi" w:cstheme="minorHAnsi"/>
          <w:color w:val="000000" w:themeColor="text1"/>
          <w:sz w:val="22"/>
          <w:szCs w:val="22"/>
          <w:lang w:val="en-GB"/>
        </w:rPr>
        <w:t>limit</w:t>
      </w:r>
      <w:r w:rsidR="00200F7F">
        <w:rPr>
          <w:rFonts w:asciiTheme="minorHAnsi" w:hAnsiTheme="minorHAnsi" w:cstheme="minorHAnsi"/>
          <w:color w:val="000000" w:themeColor="text1"/>
          <w:sz w:val="22"/>
          <w:szCs w:val="22"/>
          <w:lang w:val="en-GB"/>
        </w:rPr>
        <w:t>s</w:t>
      </w:r>
      <w:r w:rsidR="00177AB9">
        <w:rPr>
          <w:rFonts w:asciiTheme="minorHAnsi" w:hAnsiTheme="minorHAnsi" w:cstheme="minorHAnsi"/>
          <w:color w:val="000000" w:themeColor="text1"/>
          <w:sz w:val="22"/>
          <w:szCs w:val="22"/>
          <w:lang w:val="en-GB"/>
        </w:rPr>
        <w:t xml:space="preserve"> access to care</w:t>
      </w:r>
      <w:r w:rsidR="00881850">
        <w:rPr>
          <w:rFonts w:asciiTheme="minorHAnsi" w:hAnsiTheme="minorHAnsi" w:cstheme="minorHAnsi"/>
          <w:color w:val="000000" w:themeColor="text1"/>
          <w:sz w:val="22"/>
          <w:szCs w:val="22"/>
          <w:lang w:val="en-GB"/>
        </w:rPr>
        <w:t xml:space="preserve"> and contribute</w:t>
      </w:r>
      <w:r w:rsidR="00200F7F">
        <w:rPr>
          <w:rFonts w:asciiTheme="minorHAnsi" w:hAnsiTheme="minorHAnsi" w:cstheme="minorHAnsi"/>
          <w:color w:val="000000" w:themeColor="text1"/>
          <w:sz w:val="22"/>
          <w:szCs w:val="22"/>
          <w:lang w:val="en-GB"/>
        </w:rPr>
        <w:t>s</w:t>
      </w:r>
      <w:r w:rsidR="00881850">
        <w:rPr>
          <w:rFonts w:asciiTheme="minorHAnsi" w:hAnsiTheme="minorHAnsi" w:cstheme="minorHAnsi"/>
          <w:color w:val="000000" w:themeColor="text1"/>
          <w:sz w:val="22"/>
          <w:szCs w:val="22"/>
          <w:lang w:val="en-GB"/>
        </w:rPr>
        <w:t xml:space="preserve"> to disease spread</w:t>
      </w:r>
      <w:r>
        <w:rPr>
          <w:rFonts w:asciiTheme="minorHAnsi" w:hAnsiTheme="minorHAnsi" w:cstheme="minorHAnsi"/>
          <w:color w:val="000000" w:themeColor="text1"/>
          <w:sz w:val="22"/>
          <w:szCs w:val="22"/>
          <w:lang w:val="en-GB"/>
        </w:rPr>
        <w:t xml:space="preserve">. </w:t>
      </w:r>
      <w:r w:rsidR="00030100">
        <w:rPr>
          <w:rFonts w:asciiTheme="minorHAnsi" w:hAnsiTheme="minorHAnsi" w:cstheme="minorHAnsi"/>
          <w:color w:val="000000" w:themeColor="text1"/>
          <w:sz w:val="22"/>
          <w:szCs w:val="22"/>
          <w:lang w:val="en-GB"/>
        </w:rPr>
        <w:t>I</w:t>
      </w:r>
      <w:r w:rsidR="0029560F">
        <w:rPr>
          <w:rFonts w:asciiTheme="minorHAnsi" w:hAnsiTheme="minorHAnsi" w:cstheme="minorHAnsi"/>
          <w:color w:val="000000" w:themeColor="text1"/>
          <w:sz w:val="22"/>
          <w:szCs w:val="22"/>
          <w:lang w:val="en-GB"/>
        </w:rPr>
        <w:t>n 2020</w:t>
      </w:r>
      <w:r w:rsidR="00030100">
        <w:rPr>
          <w:rFonts w:asciiTheme="minorHAnsi" w:hAnsiTheme="minorHAnsi" w:cstheme="minorHAnsi"/>
          <w:color w:val="000000" w:themeColor="text1"/>
          <w:sz w:val="22"/>
          <w:szCs w:val="22"/>
          <w:lang w:val="en-GB"/>
        </w:rPr>
        <w:t xml:space="preserve">, 82 million people contracted </w:t>
      </w:r>
      <w:r w:rsidR="004D00F8">
        <w:rPr>
          <w:rFonts w:asciiTheme="minorHAnsi" w:hAnsiTheme="minorHAnsi" w:cstheme="minorHAnsi"/>
          <w:color w:val="000000" w:themeColor="text1"/>
          <w:sz w:val="22"/>
          <w:szCs w:val="22"/>
          <w:lang w:val="en-GB"/>
        </w:rPr>
        <w:t>gonorrhoea</w:t>
      </w:r>
      <w:r w:rsidR="004C16BE">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101</w:t>
      </w:r>
      <w:r w:rsidR="00976091">
        <w:rPr>
          <w:rFonts w:asciiTheme="minorHAnsi" w:hAnsiTheme="minorHAnsi" w:cstheme="minorHAnsi"/>
          <w:color w:val="000000" w:themeColor="text1"/>
          <w:sz w:val="22"/>
          <w:szCs w:val="22"/>
          <w:lang w:val="en-GB"/>
        </w:rPr>
        <w:t xml:space="preserve"> The </w:t>
      </w:r>
      <w:r w:rsidR="00177AB9">
        <w:rPr>
          <w:rFonts w:asciiTheme="minorHAnsi" w:hAnsiTheme="minorHAnsi" w:cstheme="minorHAnsi"/>
          <w:color w:val="000000" w:themeColor="text1"/>
          <w:sz w:val="22"/>
          <w:szCs w:val="22"/>
          <w:lang w:val="en-GB"/>
        </w:rPr>
        <w:t>incidence</w:t>
      </w:r>
      <w:r w:rsidR="00976091">
        <w:rPr>
          <w:rFonts w:asciiTheme="minorHAnsi" w:hAnsiTheme="minorHAnsi" w:cstheme="minorHAnsi"/>
          <w:color w:val="000000" w:themeColor="text1"/>
          <w:sz w:val="22"/>
          <w:szCs w:val="22"/>
          <w:lang w:val="en-GB"/>
        </w:rPr>
        <w:t xml:space="preserve"> in middle-income settings and sub-Saharan Africa </w:t>
      </w:r>
      <w:r w:rsidR="00200F7F">
        <w:rPr>
          <w:rFonts w:asciiTheme="minorHAnsi" w:hAnsiTheme="minorHAnsi" w:cstheme="minorHAnsi"/>
          <w:color w:val="000000" w:themeColor="text1"/>
          <w:sz w:val="22"/>
          <w:szCs w:val="22"/>
          <w:lang w:val="en-GB"/>
        </w:rPr>
        <w:t xml:space="preserve">is </w:t>
      </w:r>
      <w:r w:rsidR="00976091">
        <w:rPr>
          <w:rFonts w:asciiTheme="minorHAnsi" w:hAnsiTheme="minorHAnsi" w:cstheme="minorHAnsi"/>
          <w:color w:val="000000" w:themeColor="text1"/>
          <w:sz w:val="22"/>
          <w:szCs w:val="22"/>
          <w:lang w:val="en-GB"/>
        </w:rPr>
        <w:t>estimated to be two and five</w:t>
      </w:r>
      <w:r w:rsidR="00200F7F">
        <w:rPr>
          <w:rFonts w:asciiTheme="minorHAnsi" w:hAnsiTheme="minorHAnsi" w:cstheme="minorHAnsi"/>
          <w:color w:val="000000" w:themeColor="text1"/>
          <w:sz w:val="22"/>
          <w:szCs w:val="22"/>
          <w:lang w:val="en-GB"/>
        </w:rPr>
        <w:t xml:space="preserve"> </w:t>
      </w:r>
      <w:r w:rsidR="00976091">
        <w:rPr>
          <w:rFonts w:asciiTheme="minorHAnsi" w:hAnsiTheme="minorHAnsi" w:cstheme="minorHAnsi"/>
          <w:color w:val="000000" w:themeColor="text1"/>
          <w:sz w:val="22"/>
          <w:szCs w:val="22"/>
          <w:lang w:val="en-GB"/>
        </w:rPr>
        <w:t>times as high</w:t>
      </w:r>
      <w:r w:rsidR="00200F7F">
        <w:rPr>
          <w:rFonts w:asciiTheme="minorHAnsi" w:hAnsiTheme="minorHAnsi" w:cstheme="minorHAnsi"/>
          <w:color w:val="000000" w:themeColor="text1"/>
          <w:sz w:val="22"/>
          <w:szCs w:val="22"/>
          <w:lang w:val="en-GB"/>
        </w:rPr>
        <w:t>,</w:t>
      </w:r>
      <w:r w:rsidR="00976091">
        <w:rPr>
          <w:rFonts w:asciiTheme="minorHAnsi" w:hAnsiTheme="minorHAnsi" w:cstheme="minorHAnsi"/>
          <w:color w:val="000000" w:themeColor="text1"/>
          <w:sz w:val="22"/>
          <w:szCs w:val="22"/>
          <w:lang w:val="en-GB"/>
        </w:rPr>
        <w:t xml:space="preserve"> respectively</w:t>
      </w:r>
      <w:r w:rsidR="009A5076">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102</w:t>
      </w:r>
      <w:r w:rsidR="00500625">
        <w:rPr>
          <w:rFonts w:asciiTheme="minorHAnsi" w:hAnsiTheme="minorHAnsi" w:cstheme="minorHAnsi"/>
          <w:color w:val="000000" w:themeColor="text1"/>
          <w:sz w:val="22"/>
          <w:szCs w:val="22"/>
          <w:lang w:val="en-GB"/>
        </w:rPr>
        <w:t xml:space="preserve"> </w:t>
      </w:r>
      <w:r w:rsidR="008F1DEF">
        <w:rPr>
          <w:rFonts w:asciiTheme="minorHAnsi" w:hAnsiTheme="minorHAnsi" w:cstheme="minorHAnsi"/>
          <w:color w:val="000000" w:themeColor="text1"/>
          <w:sz w:val="22"/>
          <w:szCs w:val="22"/>
          <w:lang w:val="en-GB"/>
        </w:rPr>
        <w:t>In high</w:t>
      </w:r>
      <w:r w:rsidR="007E4F39">
        <w:rPr>
          <w:rFonts w:asciiTheme="minorHAnsi" w:hAnsiTheme="minorHAnsi" w:cstheme="minorHAnsi"/>
          <w:color w:val="000000" w:themeColor="text1"/>
          <w:sz w:val="22"/>
          <w:szCs w:val="22"/>
          <w:lang w:val="en-GB"/>
        </w:rPr>
        <w:t>-</w:t>
      </w:r>
      <w:r w:rsidR="008F1DEF">
        <w:rPr>
          <w:rFonts w:asciiTheme="minorHAnsi" w:hAnsiTheme="minorHAnsi" w:cstheme="minorHAnsi"/>
          <w:color w:val="000000" w:themeColor="text1"/>
          <w:sz w:val="22"/>
          <w:szCs w:val="22"/>
          <w:lang w:val="en-GB"/>
        </w:rPr>
        <w:t xml:space="preserve">income settings, </w:t>
      </w:r>
      <w:r w:rsidR="004D00F8">
        <w:rPr>
          <w:rFonts w:asciiTheme="minorHAnsi" w:hAnsiTheme="minorHAnsi" w:cstheme="minorHAnsi"/>
          <w:color w:val="000000" w:themeColor="text1"/>
          <w:sz w:val="22"/>
          <w:szCs w:val="22"/>
          <w:lang w:val="en-GB"/>
        </w:rPr>
        <w:t>gonorrhoea</w:t>
      </w:r>
      <w:r w:rsidR="00500625">
        <w:rPr>
          <w:rFonts w:asciiTheme="minorHAnsi" w:hAnsiTheme="minorHAnsi" w:cstheme="minorHAnsi"/>
          <w:color w:val="000000" w:themeColor="text1"/>
          <w:sz w:val="22"/>
          <w:szCs w:val="22"/>
          <w:lang w:val="en-GB"/>
        </w:rPr>
        <w:t xml:space="preserve"> </w:t>
      </w:r>
      <w:r w:rsidR="00177AB9">
        <w:rPr>
          <w:rFonts w:asciiTheme="minorHAnsi" w:hAnsiTheme="minorHAnsi" w:cstheme="minorHAnsi"/>
          <w:color w:val="000000" w:themeColor="text1"/>
          <w:sz w:val="22"/>
          <w:szCs w:val="22"/>
          <w:lang w:val="en-GB"/>
        </w:rPr>
        <w:t xml:space="preserve">infection </w:t>
      </w:r>
      <w:r w:rsidR="00500625">
        <w:rPr>
          <w:rFonts w:asciiTheme="minorHAnsi" w:hAnsiTheme="minorHAnsi" w:cstheme="minorHAnsi"/>
          <w:color w:val="000000" w:themeColor="text1"/>
          <w:sz w:val="22"/>
          <w:szCs w:val="22"/>
          <w:lang w:val="en-GB"/>
        </w:rPr>
        <w:t xml:space="preserve">rates have increased dramatically in the </w:t>
      </w:r>
      <w:r w:rsidR="00200F7F">
        <w:rPr>
          <w:rFonts w:asciiTheme="minorHAnsi" w:hAnsiTheme="minorHAnsi" w:cstheme="minorHAnsi"/>
          <w:color w:val="000000" w:themeColor="text1"/>
          <w:sz w:val="22"/>
          <w:szCs w:val="22"/>
          <w:lang w:val="en-GB"/>
        </w:rPr>
        <w:t>p</w:t>
      </w:r>
      <w:r w:rsidR="00500625">
        <w:rPr>
          <w:rFonts w:asciiTheme="minorHAnsi" w:hAnsiTheme="minorHAnsi" w:cstheme="minorHAnsi"/>
          <w:color w:val="000000" w:themeColor="text1"/>
          <w:sz w:val="22"/>
          <w:szCs w:val="22"/>
          <w:lang w:val="en-GB"/>
        </w:rPr>
        <w:t>ast two decades, largely among men who have sex with men</w:t>
      </w:r>
      <w:r w:rsidR="00200F7F">
        <w:rPr>
          <w:rFonts w:asciiTheme="minorHAnsi" w:hAnsiTheme="minorHAnsi" w:cstheme="minorHAnsi"/>
          <w:color w:val="000000" w:themeColor="text1"/>
          <w:sz w:val="22"/>
          <w:szCs w:val="22"/>
          <w:lang w:val="en-GB"/>
        </w:rPr>
        <w:t>—</w:t>
      </w:r>
      <w:r w:rsidR="00500625">
        <w:rPr>
          <w:rFonts w:asciiTheme="minorHAnsi" w:hAnsiTheme="minorHAnsi" w:cstheme="minorHAnsi"/>
          <w:color w:val="000000" w:themeColor="text1"/>
          <w:sz w:val="22"/>
          <w:szCs w:val="22"/>
          <w:lang w:val="en-GB"/>
        </w:rPr>
        <w:t xml:space="preserve">the demographic where concerns about </w:t>
      </w:r>
      <w:r w:rsidR="00177AB9">
        <w:rPr>
          <w:rFonts w:asciiTheme="minorHAnsi" w:hAnsiTheme="minorHAnsi" w:cstheme="minorHAnsi"/>
          <w:color w:val="000000" w:themeColor="text1"/>
          <w:sz w:val="22"/>
          <w:szCs w:val="22"/>
          <w:lang w:val="en-GB"/>
        </w:rPr>
        <w:t>AMR</w:t>
      </w:r>
      <w:r w:rsidR="00500625">
        <w:rPr>
          <w:rFonts w:asciiTheme="minorHAnsi" w:hAnsiTheme="minorHAnsi" w:cstheme="minorHAnsi"/>
          <w:color w:val="000000" w:themeColor="text1"/>
          <w:sz w:val="22"/>
          <w:szCs w:val="22"/>
          <w:lang w:val="en-GB"/>
        </w:rPr>
        <w:t xml:space="preserve"> are greatest</w:t>
      </w:r>
      <w:r w:rsidR="003052E1">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103–105</w:t>
      </w:r>
      <w:r w:rsidR="00500625">
        <w:rPr>
          <w:rFonts w:asciiTheme="minorHAnsi" w:hAnsiTheme="minorHAnsi" w:cstheme="minorHAnsi"/>
          <w:color w:val="000000" w:themeColor="text1"/>
          <w:sz w:val="22"/>
          <w:szCs w:val="22"/>
          <w:lang w:val="en-GB"/>
        </w:rPr>
        <w:t xml:space="preserve"> </w:t>
      </w:r>
      <w:r w:rsidR="00086E37">
        <w:rPr>
          <w:rFonts w:asciiTheme="minorHAnsi" w:hAnsiTheme="minorHAnsi" w:cstheme="minorHAnsi"/>
          <w:color w:val="000000" w:themeColor="text1"/>
          <w:sz w:val="22"/>
          <w:szCs w:val="22"/>
          <w:lang w:val="en-GB"/>
        </w:rPr>
        <w:t>R</w:t>
      </w:r>
      <w:r w:rsidR="005D2BBA">
        <w:rPr>
          <w:rFonts w:asciiTheme="minorHAnsi" w:hAnsiTheme="minorHAnsi" w:cstheme="minorHAnsi"/>
          <w:color w:val="000000" w:themeColor="text1"/>
          <w:sz w:val="22"/>
          <w:szCs w:val="22"/>
          <w:lang w:val="en-GB"/>
        </w:rPr>
        <w:t>esistant clones rapidly become prominent</w:t>
      </w:r>
      <w:r w:rsidR="0029560F">
        <w:rPr>
          <w:rFonts w:asciiTheme="minorHAnsi" w:hAnsiTheme="minorHAnsi" w:cstheme="minorHAnsi"/>
          <w:color w:val="000000" w:themeColor="text1"/>
          <w:sz w:val="22"/>
          <w:szCs w:val="22"/>
          <w:lang w:val="en-GB"/>
        </w:rPr>
        <w:t xml:space="preserve"> and even pandemic</w:t>
      </w:r>
      <w:r w:rsidR="005D2BBA">
        <w:rPr>
          <w:rFonts w:asciiTheme="minorHAnsi" w:hAnsiTheme="minorHAnsi" w:cstheme="minorHAnsi"/>
          <w:color w:val="000000" w:themeColor="text1"/>
          <w:sz w:val="22"/>
          <w:szCs w:val="22"/>
          <w:lang w:val="en-GB"/>
        </w:rPr>
        <w:t xml:space="preserve"> </w:t>
      </w:r>
      <w:r w:rsidR="00200F7F">
        <w:rPr>
          <w:rFonts w:asciiTheme="minorHAnsi" w:hAnsiTheme="minorHAnsi" w:cstheme="minorHAnsi"/>
          <w:color w:val="000000" w:themeColor="text1"/>
          <w:sz w:val="22"/>
          <w:szCs w:val="22"/>
          <w:lang w:val="en-GB"/>
        </w:rPr>
        <w:t>because of</w:t>
      </w:r>
      <w:r w:rsidR="005D2BBA">
        <w:rPr>
          <w:rFonts w:asciiTheme="minorHAnsi" w:hAnsiTheme="minorHAnsi" w:cstheme="minorHAnsi"/>
          <w:color w:val="000000" w:themeColor="text1"/>
          <w:sz w:val="22"/>
          <w:szCs w:val="22"/>
          <w:lang w:val="en-GB"/>
        </w:rPr>
        <w:t xml:space="preserve"> high transmission rates and strong selection arising from empiric </w:t>
      </w:r>
      <w:r w:rsidR="009B243F">
        <w:rPr>
          <w:rFonts w:asciiTheme="minorHAnsi" w:hAnsiTheme="minorHAnsi" w:cstheme="minorHAnsi"/>
          <w:color w:val="000000" w:themeColor="text1"/>
          <w:sz w:val="22"/>
          <w:szCs w:val="22"/>
          <w:lang w:val="en-GB"/>
        </w:rPr>
        <w:t>antibiotic</w:t>
      </w:r>
      <w:r w:rsidR="005D2BBA">
        <w:rPr>
          <w:rFonts w:asciiTheme="minorHAnsi" w:hAnsiTheme="minorHAnsi" w:cstheme="minorHAnsi"/>
          <w:color w:val="000000" w:themeColor="text1"/>
          <w:sz w:val="22"/>
          <w:szCs w:val="22"/>
          <w:lang w:val="en-GB"/>
        </w:rPr>
        <w:t xml:space="preserve"> use</w:t>
      </w:r>
      <w:r w:rsidR="003052E1">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106–108</w:t>
      </w:r>
      <w:r w:rsidR="005D2BBA">
        <w:rPr>
          <w:rFonts w:asciiTheme="minorHAnsi" w:hAnsiTheme="minorHAnsi" w:cstheme="minorHAnsi"/>
          <w:color w:val="000000" w:themeColor="text1"/>
          <w:sz w:val="22"/>
          <w:szCs w:val="22"/>
          <w:lang w:val="en-GB"/>
        </w:rPr>
        <w:t xml:space="preserve"> </w:t>
      </w:r>
      <w:r w:rsidR="00500625">
        <w:rPr>
          <w:rFonts w:asciiTheme="minorHAnsi" w:hAnsiTheme="minorHAnsi" w:cstheme="minorHAnsi"/>
          <w:color w:val="000000" w:themeColor="text1"/>
          <w:sz w:val="22"/>
          <w:szCs w:val="22"/>
          <w:lang w:val="en-GB"/>
        </w:rPr>
        <w:t xml:space="preserve">Patients with suspected </w:t>
      </w:r>
      <w:r w:rsidR="00177AB9">
        <w:rPr>
          <w:rFonts w:asciiTheme="minorHAnsi" w:hAnsiTheme="minorHAnsi" w:cstheme="minorHAnsi"/>
          <w:color w:val="000000" w:themeColor="text1"/>
          <w:sz w:val="22"/>
          <w:szCs w:val="22"/>
          <w:lang w:val="en-GB"/>
        </w:rPr>
        <w:t>gonorrhoea</w:t>
      </w:r>
      <w:r w:rsidR="00500625">
        <w:rPr>
          <w:rFonts w:asciiTheme="minorHAnsi" w:hAnsiTheme="minorHAnsi" w:cstheme="minorHAnsi"/>
          <w:color w:val="000000" w:themeColor="text1"/>
          <w:sz w:val="22"/>
          <w:szCs w:val="22"/>
          <w:lang w:val="en-GB"/>
        </w:rPr>
        <w:t xml:space="preserve"> typically receive</w:t>
      </w:r>
      <w:r w:rsidR="00C55003">
        <w:rPr>
          <w:rFonts w:asciiTheme="minorHAnsi" w:hAnsiTheme="minorHAnsi" w:cstheme="minorHAnsi"/>
          <w:color w:val="000000" w:themeColor="text1"/>
          <w:sz w:val="22"/>
          <w:szCs w:val="22"/>
          <w:lang w:val="en-GB"/>
        </w:rPr>
        <w:t xml:space="preserve"> </w:t>
      </w:r>
      <w:r w:rsidR="00500625">
        <w:rPr>
          <w:rFonts w:asciiTheme="minorHAnsi" w:hAnsiTheme="minorHAnsi" w:cstheme="minorHAnsi"/>
          <w:color w:val="000000" w:themeColor="text1"/>
          <w:sz w:val="22"/>
          <w:szCs w:val="22"/>
          <w:lang w:val="en-GB"/>
        </w:rPr>
        <w:t>empiric treatment</w:t>
      </w:r>
      <w:r w:rsidR="00722FD7">
        <w:rPr>
          <w:rFonts w:asciiTheme="minorHAnsi" w:hAnsiTheme="minorHAnsi" w:cstheme="minorHAnsi"/>
          <w:color w:val="000000" w:themeColor="text1"/>
          <w:sz w:val="22"/>
          <w:szCs w:val="22"/>
          <w:lang w:val="en-GB"/>
        </w:rPr>
        <w:t>,</w:t>
      </w:r>
      <w:r w:rsidR="009B243F">
        <w:rPr>
          <w:rFonts w:asciiTheme="minorHAnsi" w:hAnsiTheme="minorHAnsi" w:cstheme="minorHAnsi"/>
          <w:color w:val="000000" w:themeColor="text1"/>
          <w:sz w:val="22"/>
          <w:szCs w:val="22"/>
          <w:lang w:val="en-GB"/>
        </w:rPr>
        <w:t xml:space="preserve"> often from unsanctioned providers </w:t>
      </w:r>
      <w:r w:rsidR="00030100">
        <w:rPr>
          <w:rFonts w:asciiTheme="minorHAnsi" w:hAnsiTheme="minorHAnsi" w:cstheme="minorHAnsi"/>
          <w:color w:val="000000" w:themeColor="text1"/>
          <w:sz w:val="22"/>
          <w:szCs w:val="22"/>
          <w:lang w:val="en-GB"/>
        </w:rPr>
        <w:t>in</w:t>
      </w:r>
      <w:r w:rsidR="005D2BBA">
        <w:rPr>
          <w:rFonts w:asciiTheme="minorHAnsi" w:hAnsiTheme="minorHAnsi" w:cstheme="minorHAnsi"/>
          <w:color w:val="000000" w:themeColor="text1"/>
          <w:sz w:val="22"/>
          <w:szCs w:val="22"/>
          <w:lang w:val="en-GB"/>
        </w:rPr>
        <w:t xml:space="preserve"> settings with weak regulation</w:t>
      </w:r>
      <w:r w:rsidR="00BA0DC4">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109</w:t>
      </w:r>
      <w:r w:rsidR="0066136A">
        <w:rPr>
          <w:rFonts w:asciiTheme="minorHAnsi" w:hAnsiTheme="minorHAnsi" w:cstheme="minorHAnsi"/>
          <w:color w:val="000000" w:themeColor="text1"/>
          <w:sz w:val="22"/>
          <w:szCs w:val="22"/>
          <w:lang w:val="en-GB"/>
        </w:rPr>
        <w:t xml:space="preserve"> </w:t>
      </w:r>
    </w:p>
    <w:p w14:paraId="7175E8AC" w14:textId="77777777" w:rsidR="00177AB9" w:rsidRDefault="00177AB9" w:rsidP="00433EE7">
      <w:pPr>
        <w:rPr>
          <w:rFonts w:asciiTheme="minorHAnsi" w:hAnsiTheme="minorHAnsi" w:cstheme="minorHAnsi"/>
          <w:color w:val="000000" w:themeColor="text1"/>
          <w:sz w:val="22"/>
          <w:szCs w:val="22"/>
          <w:lang w:val="en-GB"/>
        </w:rPr>
      </w:pPr>
    </w:p>
    <w:p w14:paraId="1E7CB19F" w14:textId="2362901F" w:rsidR="00483F40" w:rsidRDefault="0000475E" w:rsidP="00433EE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R</w:t>
      </w:r>
      <w:r w:rsidR="009B243F">
        <w:rPr>
          <w:rFonts w:asciiTheme="minorHAnsi" w:hAnsiTheme="minorHAnsi" w:cstheme="minorHAnsi"/>
          <w:color w:val="000000" w:themeColor="text1"/>
          <w:sz w:val="22"/>
          <w:szCs w:val="22"/>
          <w:lang w:val="en-GB"/>
        </w:rPr>
        <w:t xml:space="preserve">ational </w:t>
      </w:r>
      <w:r w:rsidR="004D00F8">
        <w:rPr>
          <w:rFonts w:asciiTheme="minorHAnsi" w:hAnsiTheme="minorHAnsi" w:cstheme="minorHAnsi"/>
          <w:color w:val="000000" w:themeColor="text1"/>
          <w:sz w:val="22"/>
          <w:szCs w:val="22"/>
          <w:lang w:val="en-GB"/>
        </w:rPr>
        <w:t>gonorrhoea</w:t>
      </w:r>
      <w:r w:rsidR="009B243F">
        <w:rPr>
          <w:rFonts w:asciiTheme="minorHAnsi" w:hAnsiTheme="minorHAnsi" w:cstheme="minorHAnsi"/>
          <w:color w:val="000000" w:themeColor="text1"/>
          <w:sz w:val="22"/>
          <w:szCs w:val="22"/>
          <w:lang w:val="en-GB"/>
        </w:rPr>
        <w:t xml:space="preserve"> treatment </w:t>
      </w:r>
      <w:r>
        <w:rPr>
          <w:rFonts w:asciiTheme="minorHAnsi" w:hAnsiTheme="minorHAnsi" w:cstheme="minorHAnsi"/>
          <w:color w:val="000000" w:themeColor="text1"/>
          <w:sz w:val="22"/>
          <w:szCs w:val="22"/>
          <w:lang w:val="en-GB"/>
        </w:rPr>
        <w:t>consists of</w:t>
      </w:r>
      <w:r w:rsidR="009B243F">
        <w:rPr>
          <w:rFonts w:asciiTheme="minorHAnsi" w:hAnsiTheme="minorHAnsi" w:cstheme="minorHAnsi"/>
          <w:color w:val="000000" w:themeColor="text1"/>
          <w:sz w:val="22"/>
          <w:szCs w:val="22"/>
          <w:lang w:val="en-GB"/>
        </w:rPr>
        <w:t xml:space="preserve"> single doses or short courses of antibiotics known to be active against </w:t>
      </w:r>
      <w:r w:rsidR="009B243F" w:rsidRPr="00E573A5">
        <w:rPr>
          <w:rFonts w:asciiTheme="minorHAnsi" w:hAnsiTheme="minorHAnsi" w:cstheme="minorHAnsi"/>
          <w:color w:val="000000" w:themeColor="text1"/>
          <w:sz w:val="22"/>
          <w:szCs w:val="22"/>
          <w:u w:val="single"/>
          <w:lang w:val="en-GB"/>
        </w:rPr>
        <w:t>&gt;</w:t>
      </w:r>
      <w:r w:rsidR="009B243F">
        <w:rPr>
          <w:rFonts w:asciiTheme="minorHAnsi" w:hAnsiTheme="minorHAnsi" w:cstheme="minorHAnsi"/>
          <w:color w:val="000000" w:themeColor="text1"/>
          <w:sz w:val="22"/>
          <w:szCs w:val="22"/>
          <w:lang w:val="en-GB"/>
        </w:rPr>
        <w:t>95% of sentinel surveillance isolates</w:t>
      </w:r>
      <w:r w:rsidR="005D1BED">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110</w:t>
      </w:r>
      <w:r w:rsidR="00B37C6A">
        <w:rPr>
          <w:rFonts w:asciiTheme="minorHAnsi" w:hAnsiTheme="minorHAnsi" w:cstheme="minorHAnsi"/>
          <w:color w:val="000000" w:themeColor="text1"/>
          <w:sz w:val="22"/>
          <w:szCs w:val="22"/>
          <w:lang w:val="en-GB"/>
        </w:rPr>
        <w:t xml:space="preserve"> </w:t>
      </w:r>
      <w:r w:rsidR="00483F40">
        <w:rPr>
          <w:rFonts w:asciiTheme="minorHAnsi" w:hAnsiTheme="minorHAnsi" w:cstheme="minorHAnsi"/>
          <w:color w:val="000000" w:themeColor="text1"/>
          <w:sz w:val="22"/>
          <w:szCs w:val="22"/>
          <w:lang w:val="en-GB"/>
        </w:rPr>
        <w:t>Culture and susceptibility test</w:t>
      </w:r>
      <w:r w:rsidR="00C30C8A">
        <w:rPr>
          <w:rFonts w:asciiTheme="minorHAnsi" w:hAnsiTheme="minorHAnsi" w:cstheme="minorHAnsi"/>
          <w:color w:val="000000" w:themeColor="text1"/>
          <w:sz w:val="22"/>
          <w:szCs w:val="22"/>
          <w:lang w:val="en-GB"/>
        </w:rPr>
        <w:t>s</w:t>
      </w:r>
      <w:r w:rsidR="00483F40">
        <w:rPr>
          <w:rFonts w:asciiTheme="minorHAnsi" w:hAnsiTheme="minorHAnsi" w:cstheme="minorHAnsi"/>
          <w:color w:val="000000" w:themeColor="text1"/>
          <w:sz w:val="22"/>
          <w:szCs w:val="22"/>
          <w:lang w:val="en-GB"/>
        </w:rPr>
        <w:t xml:space="preserve"> take </w:t>
      </w:r>
      <w:r w:rsidR="00177AB9">
        <w:rPr>
          <w:rFonts w:asciiTheme="minorHAnsi" w:hAnsiTheme="minorHAnsi" w:cstheme="minorHAnsi"/>
          <w:color w:val="000000" w:themeColor="text1"/>
          <w:sz w:val="22"/>
          <w:szCs w:val="22"/>
          <w:lang w:val="en-GB"/>
        </w:rPr>
        <w:t xml:space="preserve">several </w:t>
      </w:r>
      <w:r w:rsidR="00483F40">
        <w:rPr>
          <w:rFonts w:asciiTheme="minorHAnsi" w:hAnsiTheme="minorHAnsi" w:cstheme="minorHAnsi"/>
          <w:color w:val="000000" w:themeColor="text1"/>
          <w:sz w:val="22"/>
          <w:szCs w:val="22"/>
          <w:lang w:val="en-GB"/>
        </w:rPr>
        <w:t>days</w:t>
      </w:r>
      <w:r>
        <w:rPr>
          <w:rFonts w:asciiTheme="minorHAnsi" w:hAnsiTheme="minorHAnsi" w:cstheme="minorHAnsi"/>
          <w:color w:val="000000" w:themeColor="text1"/>
          <w:sz w:val="22"/>
          <w:szCs w:val="22"/>
          <w:lang w:val="en-GB"/>
        </w:rPr>
        <w:t>,</w:t>
      </w:r>
      <w:r w:rsidR="00483F40">
        <w:rPr>
          <w:rFonts w:asciiTheme="minorHAnsi" w:hAnsiTheme="minorHAnsi" w:cstheme="minorHAnsi"/>
          <w:color w:val="000000" w:themeColor="text1"/>
          <w:sz w:val="22"/>
          <w:szCs w:val="22"/>
          <w:lang w:val="en-GB"/>
        </w:rPr>
        <w:t xml:space="preserve"> and </w:t>
      </w:r>
      <w:r w:rsidR="009B243F">
        <w:rPr>
          <w:rFonts w:asciiTheme="minorHAnsi" w:hAnsiTheme="minorHAnsi" w:cstheme="minorHAnsi"/>
          <w:color w:val="000000" w:themeColor="text1"/>
          <w:sz w:val="22"/>
          <w:szCs w:val="22"/>
          <w:lang w:val="en-GB"/>
        </w:rPr>
        <w:t xml:space="preserve">access to testing is </w:t>
      </w:r>
      <w:r w:rsidR="00881850">
        <w:rPr>
          <w:rFonts w:asciiTheme="minorHAnsi" w:hAnsiTheme="minorHAnsi" w:cstheme="minorHAnsi"/>
          <w:color w:val="000000" w:themeColor="text1"/>
          <w:sz w:val="22"/>
          <w:szCs w:val="22"/>
          <w:lang w:val="en-GB"/>
        </w:rPr>
        <w:t xml:space="preserve">severely </w:t>
      </w:r>
      <w:r w:rsidR="009B243F">
        <w:rPr>
          <w:rFonts w:asciiTheme="minorHAnsi" w:hAnsiTheme="minorHAnsi" w:cstheme="minorHAnsi"/>
          <w:color w:val="000000" w:themeColor="text1"/>
          <w:sz w:val="22"/>
          <w:szCs w:val="22"/>
          <w:lang w:val="en-GB"/>
        </w:rPr>
        <w:t>limited</w:t>
      </w:r>
      <w:r w:rsidR="00483F40">
        <w:rPr>
          <w:rFonts w:asciiTheme="minorHAnsi" w:hAnsiTheme="minorHAnsi" w:cstheme="minorHAnsi"/>
          <w:color w:val="000000" w:themeColor="text1"/>
          <w:sz w:val="22"/>
          <w:szCs w:val="22"/>
          <w:lang w:val="en-GB"/>
        </w:rPr>
        <w:t xml:space="preserve"> because</w:t>
      </w:r>
      <w:r w:rsidR="009B243F">
        <w:rPr>
          <w:rFonts w:asciiTheme="minorHAnsi" w:hAnsiTheme="minorHAnsi" w:cstheme="minorHAnsi"/>
          <w:color w:val="000000" w:themeColor="text1"/>
          <w:sz w:val="22"/>
          <w:szCs w:val="22"/>
          <w:lang w:val="en-GB"/>
        </w:rPr>
        <w:t xml:space="preserve"> </w:t>
      </w:r>
      <w:r w:rsidR="00483F40" w:rsidRPr="0066136A">
        <w:rPr>
          <w:rFonts w:asciiTheme="minorHAnsi" w:hAnsiTheme="minorHAnsi" w:cstheme="minorHAnsi"/>
          <w:i/>
          <w:iCs/>
          <w:color w:val="000000" w:themeColor="text1"/>
          <w:sz w:val="22"/>
          <w:szCs w:val="22"/>
          <w:lang w:val="en-GB"/>
        </w:rPr>
        <w:t xml:space="preserve">Neisseria </w:t>
      </w:r>
      <w:proofErr w:type="spellStart"/>
      <w:r w:rsidR="00483F40" w:rsidRPr="0066136A">
        <w:rPr>
          <w:rFonts w:asciiTheme="minorHAnsi" w:hAnsiTheme="minorHAnsi" w:cstheme="minorHAnsi"/>
          <w:i/>
          <w:iCs/>
          <w:color w:val="000000" w:themeColor="text1"/>
          <w:sz w:val="22"/>
          <w:szCs w:val="22"/>
          <w:lang w:val="en-GB"/>
        </w:rPr>
        <w:t>gonorrheae</w:t>
      </w:r>
      <w:proofErr w:type="spellEnd"/>
      <w:r w:rsidR="009B243F">
        <w:rPr>
          <w:rFonts w:asciiTheme="minorHAnsi" w:hAnsiTheme="minorHAnsi" w:cstheme="minorHAnsi"/>
          <w:i/>
          <w:iCs/>
          <w:color w:val="000000" w:themeColor="text1"/>
          <w:sz w:val="22"/>
          <w:szCs w:val="22"/>
          <w:lang w:val="en-GB"/>
        </w:rPr>
        <w:t xml:space="preserve"> </w:t>
      </w:r>
      <w:r w:rsidR="009B243F">
        <w:rPr>
          <w:rFonts w:asciiTheme="minorHAnsi" w:hAnsiTheme="minorHAnsi" w:cstheme="minorHAnsi"/>
          <w:color w:val="000000" w:themeColor="text1"/>
          <w:sz w:val="22"/>
          <w:szCs w:val="22"/>
          <w:lang w:val="en-GB"/>
        </w:rPr>
        <w:t>require</w:t>
      </w:r>
      <w:r>
        <w:rPr>
          <w:rFonts w:asciiTheme="minorHAnsi" w:hAnsiTheme="minorHAnsi" w:cstheme="minorHAnsi"/>
          <w:color w:val="000000" w:themeColor="text1"/>
          <w:sz w:val="22"/>
          <w:szCs w:val="22"/>
          <w:lang w:val="en-GB"/>
        </w:rPr>
        <w:t>s</w:t>
      </w:r>
      <w:r w:rsidR="009B243F">
        <w:rPr>
          <w:rFonts w:asciiTheme="minorHAnsi" w:hAnsiTheme="minorHAnsi" w:cstheme="minorHAnsi"/>
          <w:color w:val="000000" w:themeColor="text1"/>
          <w:sz w:val="22"/>
          <w:szCs w:val="22"/>
          <w:lang w:val="en-GB"/>
        </w:rPr>
        <w:t xml:space="preserve"> </w:t>
      </w:r>
      <w:r w:rsidR="00177AB9">
        <w:rPr>
          <w:rFonts w:asciiTheme="minorHAnsi" w:hAnsiTheme="minorHAnsi" w:cstheme="minorHAnsi"/>
          <w:color w:val="000000" w:themeColor="text1"/>
          <w:sz w:val="22"/>
          <w:szCs w:val="22"/>
          <w:lang w:val="en-GB"/>
        </w:rPr>
        <w:t>specialized methods</w:t>
      </w:r>
      <w:r w:rsidR="00483F40">
        <w:rPr>
          <w:rFonts w:asciiTheme="minorHAnsi" w:hAnsiTheme="minorHAnsi" w:cstheme="minorHAnsi"/>
          <w:color w:val="000000" w:themeColor="text1"/>
          <w:sz w:val="22"/>
          <w:szCs w:val="22"/>
          <w:lang w:val="en-GB"/>
        </w:rPr>
        <w:t>.</w:t>
      </w:r>
      <w:r w:rsidR="00E65F14">
        <w:rPr>
          <w:rFonts w:asciiTheme="minorHAnsi" w:hAnsiTheme="minorHAnsi" w:cstheme="minorHAnsi"/>
          <w:color w:val="000000" w:themeColor="text1"/>
          <w:sz w:val="22"/>
          <w:szCs w:val="22"/>
          <w:lang w:val="en-GB"/>
        </w:rPr>
        <w:t xml:space="preserve"> </w:t>
      </w:r>
      <w:r w:rsidR="00BD595E">
        <w:rPr>
          <w:rFonts w:asciiTheme="minorHAnsi" w:hAnsiTheme="minorHAnsi" w:cstheme="minorHAnsi"/>
          <w:color w:val="000000" w:themeColor="text1"/>
          <w:sz w:val="22"/>
          <w:szCs w:val="22"/>
          <w:lang w:val="en-GB"/>
        </w:rPr>
        <w:t>T</w:t>
      </w:r>
      <w:r w:rsidR="00030100">
        <w:rPr>
          <w:rFonts w:asciiTheme="minorHAnsi" w:hAnsiTheme="minorHAnsi" w:cstheme="minorHAnsi"/>
          <w:color w:val="000000" w:themeColor="text1"/>
          <w:sz w:val="22"/>
          <w:szCs w:val="22"/>
          <w:lang w:val="en-GB"/>
        </w:rPr>
        <w:t>he diagnosis</w:t>
      </w:r>
      <w:r w:rsidR="00483F40">
        <w:rPr>
          <w:rFonts w:asciiTheme="minorHAnsi" w:hAnsiTheme="minorHAnsi" w:cstheme="minorHAnsi"/>
          <w:color w:val="000000" w:themeColor="text1"/>
          <w:sz w:val="22"/>
          <w:szCs w:val="22"/>
          <w:lang w:val="en-GB"/>
        </w:rPr>
        <w:t xml:space="preserve"> and </w:t>
      </w:r>
      <w:r w:rsidR="00030100">
        <w:rPr>
          <w:rFonts w:asciiTheme="minorHAnsi" w:hAnsiTheme="minorHAnsi" w:cstheme="minorHAnsi"/>
          <w:color w:val="000000" w:themeColor="text1"/>
          <w:sz w:val="22"/>
          <w:szCs w:val="22"/>
          <w:lang w:val="en-GB"/>
        </w:rPr>
        <w:t>susceptibility profile</w:t>
      </w:r>
      <w:r w:rsidR="00483F40">
        <w:rPr>
          <w:rFonts w:asciiTheme="minorHAnsi" w:hAnsiTheme="minorHAnsi" w:cstheme="minorHAnsi"/>
          <w:color w:val="000000" w:themeColor="text1"/>
          <w:sz w:val="22"/>
          <w:szCs w:val="22"/>
          <w:lang w:val="en-GB"/>
        </w:rPr>
        <w:t xml:space="preserve"> </w:t>
      </w:r>
      <w:r w:rsidR="00177AB9">
        <w:rPr>
          <w:rFonts w:asciiTheme="minorHAnsi" w:hAnsiTheme="minorHAnsi" w:cstheme="minorHAnsi"/>
          <w:color w:val="000000" w:themeColor="text1"/>
          <w:sz w:val="22"/>
          <w:szCs w:val="22"/>
          <w:lang w:val="en-GB"/>
        </w:rPr>
        <w:t xml:space="preserve">would ideally be </w:t>
      </w:r>
      <w:r w:rsidR="00BD595E">
        <w:rPr>
          <w:rFonts w:asciiTheme="minorHAnsi" w:hAnsiTheme="minorHAnsi" w:cstheme="minorHAnsi"/>
          <w:color w:val="000000" w:themeColor="text1"/>
          <w:sz w:val="22"/>
          <w:szCs w:val="22"/>
          <w:lang w:val="en-GB"/>
        </w:rPr>
        <w:t xml:space="preserve">confirmed </w:t>
      </w:r>
      <w:r w:rsidR="00177AB9">
        <w:rPr>
          <w:rFonts w:asciiTheme="minorHAnsi" w:hAnsiTheme="minorHAnsi" w:cstheme="minorHAnsi"/>
          <w:color w:val="000000" w:themeColor="text1"/>
          <w:sz w:val="22"/>
          <w:szCs w:val="22"/>
          <w:lang w:val="en-GB"/>
        </w:rPr>
        <w:t>in a single healthcare visit</w:t>
      </w:r>
      <w:r w:rsidR="00BD595E">
        <w:rPr>
          <w:rFonts w:asciiTheme="minorHAnsi" w:hAnsiTheme="minorHAnsi" w:cstheme="minorHAnsi"/>
          <w:color w:val="000000" w:themeColor="text1"/>
          <w:sz w:val="22"/>
          <w:szCs w:val="22"/>
          <w:lang w:val="en-GB"/>
        </w:rPr>
        <w:t xml:space="preserve"> so that</w:t>
      </w:r>
      <w:r>
        <w:rPr>
          <w:rFonts w:asciiTheme="minorHAnsi" w:hAnsiTheme="minorHAnsi" w:cstheme="minorHAnsi"/>
          <w:color w:val="000000" w:themeColor="text1"/>
          <w:sz w:val="22"/>
          <w:szCs w:val="22"/>
          <w:lang w:val="en-GB"/>
        </w:rPr>
        <w:t xml:space="preserve"> </w:t>
      </w:r>
      <w:r w:rsidR="00322D35">
        <w:rPr>
          <w:rFonts w:asciiTheme="minorHAnsi" w:hAnsiTheme="minorHAnsi" w:cstheme="minorHAnsi"/>
          <w:color w:val="000000" w:themeColor="text1"/>
          <w:sz w:val="22"/>
          <w:szCs w:val="22"/>
          <w:lang w:val="en-GB"/>
        </w:rPr>
        <w:t xml:space="preserve">appropriate </w:t>
      </w:r>
      <w:r w:rsidR="00177AB9">
        <w:rPr>
          <w:rFonts w:asciiTheme="minorHAnsi" w:hAnsiTheme="minorHAnsi" w:cstheme="minorHAnsi"/>
          <w:color w:val="000000" w:themeColor="text1"/>
          <w:sz w:val="22"/>
          <w:szCs w:val="22"/>
          <w:lang w:val="en-GB"/>
        </w:rPr>
        <w:t>treatment</w:t>
      </w:r>
      <w:r w:rsidR="00BD595E">
        <w:rPr>
          <w:rFonts w:asciiTheme="minorHAnsi" w:hAnsiTheme="minorHAnsi" w:cstheme="minorHAnsi"/>
          <w:color w:val="000000" w:themeColor="text1"/>
          <w:sz w:val="22"/>
          <w:szCs w:val="22"/>
          <w:lang w:val="en-GB"/>
        </w:rPr>
        <w:t xml:space="preserve"> could begin</w:t>
      </w:r>
      <w:r w:rsidR="00486635">
        <w:rPr>
          <w:rFonts w:asciiTheme="minorHAnsi" w:hAnsiTheme="minorHAnsi" w:cstheme="minorHAnsi"/>
          <w:color w:val="000000" w:themeColor="text1"/>
          <w:sz w:val="22"/>
          <w:szCs w:val="22"/>
          <w:lang w:val="en-GB"/>
        </w:rPr>
        <w:t xml:space="preserve"> immediately</w:t>
      </w:r>
      <w:r w:rsidR="00483F40">
        <w:rPr>
          <w:rFonts w:asciiTheme="minorHAnsi" w:hAnsiTheme="minorHAnsi" w:cstheme="minorHAnsi"/>
          <w:color w:val="000000" w:themeColor="text1"/>
          <w:sz w:val="22"/>
          <w:szCs w:val="22"/>
          <w:lang w:val="en-GB"/>
        </w:rPr>
        <w:t xml:space="preserve">. </w:t>
      </w:r>
      <w:r w:rsidR="00E65F14">
        <w:rPr>
          <w:rFonts w:asciiTheme="minorHAnsi" w:hAnsiTheme="minorHAnsi" w:cstheme="minorHAnsi"/>
          <w:color w:val="000000" w:themeColor="text1"/>
          <w:sz w:val="22"/>
          <w:szCs w:val="22"/>
          <w:lang w:val="en-GB"/>
        </w:rPr>
        <w:t>Today, n</w:t>
      </w:r>
      <w:r w:rsidR="00483F40">
        <w:rPr>
          <w:rFonts w:asciiTheme="minorHAnsi" w:hAnsiTheme="minorHAnsi" w:cstheme="minorHAnsi"/>
          <w:color w:val="000000" w:themeColor="text1"/>
          <w:sz w:val="22"/>
          <w:szCs w:val="22"/>
          <w:lang w:val="en-GB"/>
        </w:rPr>
        <w:t>ucleic acid</w:t>
      </w:r>
      <w:r w:rsidR="000F4236">
        <w:rPr>
          <w:rFonts w:asciiTheme="minorHAnsi" w:hAnsiTheme="minorHAnsi" w:cstheme="minorHAnsi"/>
          <w:color w:val="000000" w:themeColor="text1"/>
          <w:sz w:val="22"/>
          <w:szCs w:val="22"/>
          <w:lang w:val="en-GB"/>
        </w:rPr>
        <w:t>-based</w:t>
      </w:r>
      <w:r w:rsidR="00483F40">
        <w:rPr>
          <w:rFonts w:asciiTheme="minorHAnsi" w:hAnsiTheme="minorHAnsi" w:cstheme="minorHAnsi"/>
          <w:color w:val="000000" w:themeColor="text1"/>
          <w:sz w:val="22"/>
          <w:szCs w:val="22"/>
          <w:lang w:val="en-GB"/>
        </w:rPr>
        <w:t xml:space="preserve"> test</w:t>
      </w:r>
      <w:r w:rsidR="000F4236">
        <w:rPr>
          <w:rFonts w:asciiTheme="minorHAnsi" w:hAnsiTheme="minorHAnsi" w:cstheme="minorHAnsi"/>
          <w:color w:val="000000" w:themeColor="text1"/>
          <w:sz w:val="22"/>
          <w:szCs w:val="22"/>
          <w:lang w:val="en-GB"/>
        </w:rPr>
        <w:t>s</w:t>
      </w:r>
      <w:r w:rsidR="00483F40">
        <w:rPr>
          <w:rFonts w:asciiTheme="minorHAnsi" w:hAnsiTheme="minorHAnsi" w:cstheme="minorHAnsi"/>
          <w:color w:val="000000" w:themeColor="text1"/>
          <w:sz w:val="22"/>
          <w:szCs w:val="22"/>
          <w:lang w:val="en-GB"/>
        </w:rPr>
        <w:t xml:space="preserve"> </w:t>
      </w:r>
      <w:r w:rsidR="00BD595E">
        <w:rPr>
          <w:rFonts w:asciiTheme="minorHAnsi" w:hAnsiTheme="minorHAnsi" w:cstheme="minorHAnsi"/>
          <w:color w:val="000000" w:themeColor="text1"/>
          <w:sz w:val="22"/>
          <w:szCs w:val="22"/>
          <w:lang w:val="en-GB"/>
        </w:rPr>
        <w:t>can</w:t>
      </w:r>
      <w:r w:rsidR="00E65F14">
        <w:rPr>
          <w:rFonts w:asciiTheme="minorHAnsi" w:hAnsiTheme="minorHAnsi" w:cstheme="minorHAnsi"/>
          <w:color w:val="000000" w:themeColor="text1"/>
          <w:sz w:val="22"/>
          <w:szCs w:val="22"/>
          <w:lang w:val="en-GB"/>
        </w:rPr>
        <w:t xml:space="preserve"> </w:t>
      </w:r>
      <w:r w:rsidR="00322D35">
        <w:rPr>
          <w:rFonts w:asciiTheme="minorHAnsi" w:hAnsiTheme="minorHAnsi" w:cstheme="minorHAnsi"/>
          <w:color w:val="000000" w:themeColor="text1"/>
          <w:sz w:val="22"/>
          <w:szCs w:val="22"/>
          <w:lang w:val="en-GB"/>
        </w:rPr>
        <w:t xml:space="preserve">guide </w:t>
      </w:r>
      <w:r w:rsidR="006A7948">
        <w:rPr>
          <w:rFonts w:asciiTheme="minorHAnsi" w:hAnsiTheme="minorHAnsi" w:cstheme="minorHAnsi"/>
          <w:color w:val="000000" w:themeColor="text1"/>
          <w:sz w:val="22"/>
          <w:szCs w:val="22"/>
          <w:lang w:val="en-GB"/>
        </w:rPr>
        <w:t>therapy</w:t>
      </w:r>
      <w:r w:rsidR="00BD595E">
        <w:rPr>
          <w:rFonts w:asciiTheme="minorHAnsi" w:hAnsiTheme="minorHAnsi" w:cstheme="minorHAnsi"/>
          <w:color w:val="000000" w:themeColor="text1"/>
          <w:sz w:val="22"/>
          <w:szCs w:val="22"/>
          <w:lang w:val="en-GB"/>
        </w:rPr>
        <w:t>,</w:t>
      </w:r>
      <w:r w:rsidR="00E65F14">
        <w:rPr>
          <w:rFonts w:asciiTheme="minorHAnsi" w:hAnsiTheme="minorHAnsi" w:cstheme="minorHAnsi"/>
          <w:color w:val="000000" w:themeColor="text1"/>
          <w:sz w:val="22"/>
          <w:szCs w:val="22"/>
          <w:lang w:val="en-GB"/>
        </w:rPr>
        <w:t xml:space="preserve"> </w:t>
      </w:r>
      <w:r w:rsidR="00030100">
        <w:rPr>
          <w:rFonts w:asciiTheme="minorHAnsi" w:hAnsiTheme="minorHAnsi" w:cstheme="minorHAnsi"/>
          <w:color w:val="000000" w:themeColor="text1"/>
          <w:sz w:val="22"/>
          <w:szCs w:val="22"/>
          <w:lang w:val="en-GB"/>
        </w:rPr>
        <w:t xml:space="preserve">but only where </w:t>
      </w:r>
      <w:r w:rsidR="002763DB">
        <w:rPr>
          <w:rFonts w:asciiTheme="minorHAnsi" w:hAnsiTheme="minorHAnsi" w:cstheme="minorHAnsi"/>
          <w:color w:val="000000" w:themeColor="text1"/>
          <w:sz w:val="22"/>
          <w:szCs w:val="22"/>
          <w:lang w:val="en-GB"/>
        </w:rPr>
        <w:t xml:space="preserve">technical and human capacity </w:t>
      </w:r>
      <w:r w:rsidR="00C30C8A">
        <w:rPr>
          <w:rFonts w:asciiTheme="minorHAnsi" w:hAnsiTheme="minorHAnsi" w:cstheme="minorHAnsi"/>
          <w:color w:val="000000" w:themeColor="text1"/>
          <w:sz w:val="22"/>
          <w:szCs w:val="22"/>
          <w:lang w:val="en-GB"/>
        </w:rPr>
        <w:t xml:space="preserve">is </w:t>
      </w:r>
      <w:r w:rsidR="00030100">
        <w:rPr>
          <w:rFonts w:asciiTheme="minorHAnsi" w:hAnsiTheme="minorHAnsi" w:cstheme="minorHAnsi"/>
          <w:color w:val="000000" w:themeColor="text1"/>
          <w:sz w:val="22"/>
          <w:szCs w:val="22"/>
          <w:lang w:val="en-GB"/>
        </w:rPr>
        <w:t>available</w:t>
      </w:r>
      <w:r w:rsidR="005D1BED">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111</w:t>
      </w:r>
      <w:r w:rsidR="006A7948">
        <w:rPr>
          <w:rFonts w:asciiTheme="minorHAnsi" w:hAnsiTheme="minorHAnsi" w:cstheme="minorHAnsi"/>
          <w:color w:val="000000" w:themeColor="text1"/>
          <w:sz w:val="22"/>
          <w:szCs w:val="22"/>
          <w:lang w:val="en-GB"/>
        </w:rPr>
        <w:t xml:space="preserve"> </w:t>
      </w:r>
      <w:r w:rsidR="009B243F">
        <w:rPr>
          <w:rFonts w:asciiTheme="minorHAnsi" w:hAnsiTheme="minorHAnsi" w:cstheme="minorHAnsi"/>
          <w:color w:val="000000" w:themeColor="text1"/>
          <w:sz w:val="22"/>
          <w:szCs w:val="22"/>
          <w:lang w:val="en-GB"/>
        </w:rPr>
        <w:t xml:space="preserve">Currently, patients with </w:t>
      </w:r>
      <w:r w:rsidR="004D00F8">
        <w:rPr>
          <w:rFonts w:asciiTheme="minorHAnsi" w:hAnsiTheme="minorHAnsi" w:cstheme="minorHAnsi"/>
          <w:color w:val="000000" w:themeColor="text1"/>
          <w:sz w:val="22"/>
          <w:szCs w:val="22"/>
          <w:lang w:val="en-GB"/>
        </w:rPr>
        <w:t>gonorrhoea</w:t>
      </w:r>
      <w:r w:rsidR="009B243F">
        <w:rPr>
          <w:rFonts w:asciiTheme="minorHAnsi" w:hAnsiTheme="minorHAnsi" w:cstheme="minorHAnsi"/>
          <w:color w:val="000000" w:themeColor="text1"/>
          <w:sz w:val="22"/>
          <w:szCs w:val="22"/>
          <w:lang w:val="en-GB"/>
        </w:rPr>
        <w:t xml:space="preserve"> receive</w:t>
      </w:r>
      <w:r w:rsidR="000F4236">
        <w:rPr>
          <w:rFonts w:asciiTheme="minorHAnsi" w:hAnsiTheme="minorHAnsi" w:cstheme="minorHAnsi"/>
          <w:color w:val="000000" w:themeColor="text1"/>
          <w:sz w:val="22"/>
          <w:szCs w:val="22"/>
          <w:lang w:val="en-GB"/>
        </w:rPr>
        <w:t xml:space="preserve"> ceftriaxone</w:t>
      </w:r>
      <w:r w:rsidR="005D2BBA">
        <w:rPr>
          <w:rFonts w:asciiTheme="minorHAnsi" w:hAnsiTheme="minorHAnsi" w:cstheme="minorHAnsi"/>
          <w:color w:val="000000" w:themeColor="text1"/>
          <w:sz w:val="22"/>
          <w:szCs w:val="22"/>
          <w:lang w:val="en-GB"/>
        </w:rPr>
        <w:t xml:space="preserve"> alone or with azithromycin</w:t>
      </w:r>
      <w:r w:rsidR="009B243F">
        <w:rPr>
          <w:rFonts w:asciiTheme="minorHAnsi" w:hAnsiTheme="minorHAnsi" w:cstheme="minorHAnsi"/>
          <w:color w:val="000000" w:themeColor="text1"/>
          <w:sz w:val="22"/>
          <w:szCs w:val="22"/>
          <w:lang w:val="en-GB"/>
        </w:rPr>
        <w:t>, which are</w:t>
      </w:r>
      <w:r w:rsidR="002763DB">
        <w:rPr>
          <w:rFonts w:asciiTheme="minorHAnsi" w:hAnsiTheme="minorHAnsi" w:cstheme="minorHAnsi"/>
          <w:color w:val="000000" w:themeColor="text1"/>
          <w:sz w:val="22"/>
          <w:szCs w:val="22"/>
          <w:lang w:val="en-GB"/>
        </w:rPr>
        <w:t xml:space="preserve"> effective </w:t>
      </w:r>
      <w:r w:rsidR="009B243F">
        <w:rPr>
          <w:rFonts w:asciiTheme="minorHAnsi" w:hAnsiTheme="minorHAnsi" w:cstheme="minorHAnsi"/>
          <w:color w:val="000000" w:themeColor="text1"/>
          <w:sz w:val="22"/>
          <w:szCs w:val="22"/>
          <w:lang w:val="en-GB"/>
        </w:rPr>
        <w:t>for most</w:t>
      </w:r>
      <w:r w:rsidR="002763DB">
        <w:rPr>
          <w:rFonts w:asciiTheme="minorHAnsi" w:hAnsiTheme="minorHAnsi" w:cstheme="minorHAnsi"/>
          <w:color w:val="000000" w:themeColor="text1"/>
          <w:sz w:val="22"/>
          <w:szCs w:val="22"/>
          <w:lang w:val="en-GB"/>
        </w:rPr>
        <w:t xml:space="preserve"> patients</w:t>
      </w:r>
      <w:r w:rsidR="005D1BED">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103,105</w:t>
      </w:r>
      <w:r w:rsidR="002763DB">
        <w:rPr>
          <w:rFonts w:asciiTheme="minorHAnsi" w:hAnsiTheme="minorHAnsi" w:cstheme="minorHAnsi"/>
          <w:color w:val="000000" w:themeColor="text1"/>
          <w:sz w:val="22"/>
          <w:szCs w:val="22"/>
          <w:lang w:val="en-GB"/>
        </w:rPr>
        <w:t xml:space="preserve"> </w:t>
      </w:r>
      <w:r w:rsidR="005D2BBA">
        <w:rPr>
          <w:rFonts w:asciiTheme="minorHAnsi" w:hAnsiTheme="minorHAnsi" w:cstheme="minorHAnsi"/>
          <w:color w:val="000000" w:themeColor="text1"/>
          <w:sz w:val="22"/>
          <w:szCs w:val="22"/>
          <w:lang w:val="en-GB"/>
        </w:rPr>
        <w:t>R</w:t>
      </w:r>
      <w:r w:rsidR="000F4236">
        <w:rPr>
          <w:rFonts w:asciiTheme="minorHAnsi" w:hAnsiTheme="minorHAnsi" w:cstheme="minorHAnsi"/>
          <w:color w:val="000000" w:themeColor="text1"/>
          <w:sz w:val="22"/>
          <w:szCs w:val="22"/>
          <w:lang w:val="en-GB"/>
        </w:rPr>
        <w:t xml:space="preserve">ecently </w:t>
      </w:r>
      <w:r w:rsidR="004D00F8">
        <w:rPr>
          <w:rFonts w:asciiTheme="minorHAnsi" w:hAnsiTheme="minorHAnsi" w:cstheme="minorHAnsi"/>
          <w:color w:val="000000" w:themeColor="text1"/>
          <w:sz w:val="22"/>
          <w:szCs w:val="22"/>
          <w:lang w:val="en-GB"/>
        </w:rPr>
        <w:t>trialled</w:t>
      </w:r>
      <w:r w:rsidR="000F4236">
        <w:rPr>
          <w:rFonts w:asciiTheme="minorHAnsi" w:hAnsiTheme="minorHAnsi" w:cstheme="minorHAnsi"/>
          <w:color w:val="000000" w:themeColor="text1"/>
          <w:sz w:val="22"/>
          <w:szCs w:val="22"/>
          <w:lang w:val="en-GB"/>
        </w:rPr>
        <w:t xml:space="preserve"> </w:t>
      </w:r>
      <w:proofErr w:type="spellStart"/>
      <w:r w:rsidR="000F4236" w:rsidRPr="000F4236">
        <w:rPr>
          <w:rFonts w:asciiTheme="minorHAnsi" w:hAnsiTheme="minorHAnsi" w:cstheme="minorHAnsi"/>
          <w:color w:val="000000" w:themeColor="text1"/>
          <w:sz w:val="22"/>
          <w:szCs w:val="22"/>
          <w:lang w:val="en-GB"/>
        </w:rPr>
        <w:t>zoliflodacin</w:t>
      </w:r>
      <w:proofErr w:type="spellEnd"/>
      <w:r w:rsidR="000B2A0B">
        <w:rPr>
          <w:rFonts w:asciiTheme="minorHAnsi" w:hAnsiTheme="minorHAnsi" w:cstheme="minorHAnsi"/>
          <w:color w:val="000000" w:themeColor="text1"/>
          <w:sz w:val="22"/>
          <w:szCs w:val="22"/>
          <w:lang w:val="en-GB"/>
        </w:rPr>
        <w:t>, if approved</w:t>
      </w:r>
      <w:r w:rsidR="00B37C6A">
        <w:rPr>
          <w:rFonts w:asciiTheme="minorHAnsi" w:hAnsiTheme="minorHAnsi" w:cstheme="minorHAnsi"/>
          <w:color w:val="000000" w:themeColor="text1"/>
          <w:sz w:val="22"/>
          <w:szCs w:val="22"/>
          <w:lang w:val="en-GB"/>
        </w:rPr>
        <w:t>,</w:t>
      </w:r>
      <w:r w:rsidR="000B2A0B">
        <w:rPr>
          <w:rFonts w:asciiTheme="minorHAnsi" w:hAnsiTheme="minorHAnsi" w:cstheme="minorHAnsi"/>
          <w:color w:val="000000" w:themeColor="text1"/>
          <w:sz w:val="22"/>
          <w:szCs w:val="22"/>
          <w:lang w:val="en-GB"/>
        </w:rPr>
        <w:t xml:space="preserve"> could offer</w:t>
      </w:r>
      <w:r w:rsidR="000F4236" w:rsidRPr="000F4236">
        <w:rPr>
          <w:rFonts w:asciiTheme="minorHAnsi" w:hAnsiTheme="minorHAnsi" w:cstheme="minorHAnsi"/>
          <w:color w:val="000000" w:themeColor="text1"/>
          <w:sz w:val="22"/>
          <w:szCs w:val="22"/>
          <w:lang w:val="en-GB"/>
        </w:rPr>
        <w:t xml:space="preserve"> </w:t>
      </w:r>
      <w:r w:rsidR="000B2A0B">
        <w:rPr>
          <w:rFonts w:asciiTheme="minorHAnsi" w:hAnsiTheme="minorHAnsi" w:cstheme="minorHAnsi"/>
          <w:color w:val="000000" w:themeColor="text1"/>
          <w:sz w:val="22"/>
          <w:szCs w:val="22"/>
          <w:lang w:val="en-GB"/>
        </w:rPr>
        <w:t xml:space="preserve">a </w:t>
      </w:r>
      <w:r w:rsidR="005D2BBA">
        <w:rPr>
          <w:rFonts w:asciiTheme="minorHAnsi" w:hAnsiTheme="minorHAnsi" w:cstheme="minorHAnsi"/>
          <w:color w:val="000000" w:themeColor="text1"/>
          <w:sz w:val="22"/>
          <w:szCs w:val="22"/>
          <w:lang w:val="en-GB"/>
        </w:rPr>
        <w:t xml:space="preserve">reserve option </w:t>
      </w:r>
      <w:r w:rsidR="000F4236">
        <w:rPr>
          <w:rFonts w:asciiTheme="minorHAnsi" w:hAnsiTheme="minorHAnsi" w:cstheme="minorHAnsi"/>
          <w:color w:val="000000" w:themeColor="text1"/>
          <w:sz w:val="22"/>
          <w:szCs w:val="22"/>
          <w:lang w:val="en-GB"/>
        </w:rPr>
        <w:t>for resistant infections</w:t>
      </w:r>
      <w:r w:rsidR="00A41B56">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112</w:t>
      </w:r>
      <w:r w:rsidR="0066136A">
        <w:rPr>
          <w:rFonts w:asciiTheme="minorHAnsi" w:hAnsiTheme="minorHAnsi" w:cstheme="minorHAnsi"/>
          <w:color w:val="000000" w:themeColor="text1"/>
          <w:sz w:val="22"/>
          <w:szCs w:val="22"/>
          <w:lang w:val="en-GB"/>
        </w:rPr>
        <w:t xml:space="preserve"> </w:t>
      </w:r>
      <w:r w:rsidR="006A7948">
        <w:rPr>
          <w:rFonts w:asciiTheme="minorHAnsi" w:hAnsiTheme="minorHAnsi" w:cstheme="minorHAnsi"/>
          <w:color w:val="000000" w:themeColor="text1"/>
          <w:sz w:val="22"/>
          <w:szCs w:val="22"/>
          <w:lang w:val="en-GB"/>
        </w:rPr>
        <w:t xml:space="preserve">Mathematical modelling shows that </w:t>
      </w:r>
      <w:r w:rsidR="000F4236">
        <w:rPr>
          <w:rFonts w:asciiTheme="minorHAnsi" w:hAnsiTheme="minorHAnsi" w:cstheme="minorHAnsi"/>
          <w:color w:val="000000" w:themeColor="text1"/>
          <w:sz w:val="22"/>
          <w:szCs w:val="22"/>
          <w:lang w:val="en-GB"/>
        </w:rPr>
        <w:t xml:space="preserve">using </w:t>
      </w:r>
      <w:r w:rsidR="006A7948">
        <w:rPr>
          <w:rFonts w:asciiTheme="minorHAnsi" w:hAnsiTheme="minorHAnsi" w:cstheme="minorHAnsi"/>
          <w:color w:val="000000" w:themeColor="text1"/>
          <w:sz w:val="22"/>
          <w:szCs w:val="22"/>
          <w:lang w:val="en-GB"/>
        </w:rPr>
        <w:t>rapid test</w:t>
      </w:r>
      <w:r w:rsidR="000F4236">
        <w:rPr>
          <w:rFonts w:asciiTheme="minorHAnsi" w:hAnsiTheme="minorHAnsi" w:cstheme="minorHAnsi"/>
          <w:color w:val="000000" w:themeColor="text1"/>
          <w:sz w:val="22"/>
          <w:szCs w:val="22"/>
          <w:lang w:val="en-GB"/>
        </w:rPr>
        <w:t>s to screen for</w:t>
      </w:r>
      <w:r w:rsidR="009B243F">
        <w:rPr>
          <w:rFonts w:asciiTheme="minorHAnsi" w:hAnsiTheme="minorHAnsi" w:cstheme="minorHAnsi"/>
          <w:color w:val="000000" w:themeColor="text1"/>
          <w:sz w:val="22"/>
          <w:szCs w:val="22"/>
          <w:lang w:val="en-GB"/>
        </w:rPr>
        <w:t xml:space="preserve"> susceptibility to largely discontinued</w:t>
      </w:r>
      <w:r w:rsidR="0066136A">
        <w:rPr>
          <w:rFonts w:asciiTheme="minorHAnsi" w:hAnsiTheme="minorHAnsi" w:cstheme="minorHAnsi"/>
          <w:color w:val="000000" w:themeColor="text1"/>
          <w:sz w:val="22"/>
          <w:szCs w:val="22"/>
          <w:lang w:val="en-GB"/>
        </w:rPr>
        <w:t xml:space="preserve"> </w:t>
      </w:r>
      <w:r w:rsidR="006A7948">
        <w:rPr>
          <w:rFonts w:asciiTheme="minorHAnsi" w:hAnsiTheme="minorHAnsi" w:cstheme="minorHAnsi"/>
          <w:color w:val="000000" w:themeColor="text1"/>
          <w:sz w:val="22"/>
          <w:szCs w:val="22"/>
          <w:lang w:val="en-GB"/>
        </w:rPr>
        <w:t>tetracycline and ciprofloxacin</w:t>
      </w:r>
      <w:r w:rsidR="000F4236">
        <w:rPr>
          <w:rFonts w:asciiTheme="minorHAnsi" w:hAnsiTheme="minorHAnsi" w:cstheme="minorHAnsi"/>
          <w:color w:val="000000" w:themeColor="text1"/>
          <w:sz w:val="22"/>
          <w:szCs w:val="22"/>
          <w:lang w:val="en-GB"/>
        </w:rPr>
        <w:t xml:space="preserve"> </w:t>
      </w:r>
      <w:r w:rsidR="00F228CD">
        <w:rPr>
          <w:rFonts w:asciiTheme="minorHAnsi" w:hAnsiTheme="minorHAnsi" w:cstheme="minorHAnsi"/>
          <w:color w:val="000000" w:themeColor="text1"/>
          <w:sz w:val="22"/>
          <w:szCs w:val="22"/>
          <w:lang w:val="en-GB"/>
        </w:rPr>
        <w:t xml:space="preserve">(seen in almost 70% of isolates in some settings) </w:t>
      </w:r>
      <w:r w:rsidR="006A7948">
        <w:rPr>
          <w:rFonts w:asciiTheme="minorHAnsi" w:hAnsiTheme="minorHAnsi" w:cstheme="minorHAnsi"/>
          <w:color w:val="000000" w:themeColor="text1"/>
          <w:sz w:val="22"/>
          <w:szCs w:val="22"/>
          <w:lang w:val="en-GB"/>
        </w:rPr>
        <w:t>could</w:t>
      </w:r>
      <w:r w:rsidR="00E071D7">
        <w:rPr>
          <w:rFonts w:asciiTheme="minorHAnsi" w:hAnsiTheme="minorHAnsi" w:cstheme="minorHAnsi"/>
          <w:color w:val="000000" w:themeColor="text1"/>
          <w:sz w:val="22"/>
          <w:szCs w:val="22"/>
          <w:lang w:val="en-GB"/>
        </w:rPr>
        <w:t>, in addition to reducing the cost of treatment,</w:t>
      </w:r>
      <w:r w:rsidR="006A7948">
        <w:rPr>
          <w:rFonts w:asciiTheme="minorHAnsi" w:hAnsiTheme="minorHAnsi" w:cstheme="minorHAnsi"/>
          <w:color w:val="000000" w:themeColor="text1"/>
          <w:sz w:val="22"/>
          <w:szCs w:val="22"/>
          <w:lang w:val="en-GB"/>
        </w:rPr>
        <w:t xml:space="preserve"> prolong the usable lifespan of </w:t>
      </w:r>
      <w:r w:rsidR="000F4236">
        <w:rPr>
          <w:rFonts w:asciiTheme="minorHAnsi" w:hAnsiTheme="minorHAnsi" w:cstheme="minorHAnsi"/>
          <w:color w:val="000000" w:themeColor="text1"/>
          <w:sz w:val="22"/>
          <w:szCs w:val="22"/>
          <w:lang w:val="en-GB"/>
        </w:rPr>
        <w:t>newer</w:t>
      </w:r>
      <w:r w:rsidR="006A7948">
        <w:rPr>
          <w:rFonts w:asciiTheme="minorHAnsi" w:hAnsiTheme="minorHAnsi" w:cstheme="minorHAnsi"/>
          <w:color w:val="000000" w:themeColor="text1"/>
          <w:sz w:val="22"/>
          <w:szCs w:val="22"/>
          <w:lang w:val="en-GB"/>
        </w:rPr>
        <w:t xml:space="preserve"> drugs</w:t>
      </w:r>
      <w:r w:rsidR="00CF5849">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113</w:t>
      </w:r>
      <w:r w:rsidR="00D60510">
        <w:rPr>
          <w:rFonts w:asciiTheme="minorHAnsi" w:hAnsiTheme="minorHAnsi" w:cstheme="minorHAnsi"/>
          <w:color w:val="000000" w:themeColor="text1"/>
          <w:sz w:val="22"/>
          <w:szCs w:val="22"/>
          <w:lang w:val="en-GB"/>
        </w:rPr>
        <w:t xml:space="preserve"> Sexually transmitted infections are best prevented </w:t>
      </w:r>
      <w:r w:rsidR="00A11AAF">
        <w:rPr>
          <w:rFonts w:asciiTheme="minorHAnsi" w:hAnsiTheme="minorHAnsi" w:cstheme="minorHAnsi"/>
          <w:color w:val="000000" w:themeColor="text1"/>
          <w:sz w:val="22"/>
          <w:szCs w:val="22"/>
          <w:lang w:val="en-GB"/>
        </w:rPr>
        <w:t>with behavioural interventions</w:t>
      </w:r>
      <w:r w:rsidR="00BD595E">
        <w:rPr>
          <w:rFonts w:asciiTheme="minorHAnsi" w:hAnsiTheme="minorHAnsi" w:cstheme="minorHAnsi"/>
          <w:color w:val="000000" w:themeColor="text1"/>
          <w:sz w:val="22"/>
          <w:szCs w:val="22"/>
          <w:lang w:val="en-GB"/>
        </w:rPr>
        <w:t>,</w:t>
      </w:r>
      <w:r w:rsidR="00A11AAF">
        <w:rPr>
          <w:rFonts w:asciiTheme="minorHAnsi" w:hAnsiTheme="minorHAnsi" w:cstheme="minorHAnsi"/>
          <w:color w:val="000000" w:themeColor="text1"/>
          <w:sz w:val="22"/>
          <w:szCs w:val="22"/>
          <w:lang w:val="en-GB"/>
        </w:rPr>
        <w:t xml:space="preserve"> and g</w:t>
      </w:r>
      <w:r w:rsidR="00D60510">
        <w:rPr>
          <w:rFonts w:asciiTheme="minorHAnsi" w:hAnsiTheme="minorHAnsi" w:cstheme="minorHAnsi"/>
          <w:color w:val="000000" w:themeColor="text1"/>
          <w:sz w:val="22"/>
          <w:szCs w:val="22"/>
          <w:lang w:val="en-GB"/>
        </w:rPr>
        <w:t>onorrh</w:t>
      </w:r>
      <w:r w:rsidR="004D00F8">
        <w:rPr>
          <w:rFonts w:asciiTheme="minorHAnsi" w:hAnsiTheme="minorHAnsi" w:cstheme="minorHAnsi"/>
          <w:color w:val="000000" w:themeColor="text1"/>
          <w:sz w:val="22"/>
          <w:szCs w:val="22"/>
          <w:lang w:val="en-GB"/>
        </w:rPr>
        <w:t>o</w:t>
      </w:r>
      <w:r w:rsidR="00D60510">
        <w:rPr>
          <w:rFonts w:asciiTheme="minorHAnsi" w:hAnsiTheme="minorHAnsi" w:cstheme="minorHAnsi"/>
          <w:color w:val="000000" w:themeColor="text1"/>
          <w:sz w:val="22"/>
          <w:szCs w:val="22"/>
          <w:lang w:val="en-GB"/>
        </w:rPr>
        <w:t xml:space="preserve">eal vaccines in development offer </w:t>
      </w:r>
      <w:r w:rsidR="00A11AAF">
        <w:rPr>
          <w:rFonts w:asciiTheme="minorHAnsi" w:hAnsiTheme="minorHAnsi" w:cstheme="minorHAnsi"/>
          <w:color w:val="000000" w:themeColor="text1"/>
          <w:sz w:val="22"/>
          <w:szCs w:val="22"/>
          <w:lang w:val="en-GB"/>
        </w:rPr>
        <w:t xml:space="preserve">additional </w:t>
      </w:r>
      <w:r w:rsidR="00D60510">
        <w:rPr>
          <w:rFonts w:asciiTheme="minorHAnsi" w:hAnsiTheme="minorHAnsi" w:cstheme="minorHAnsi"/>
          <w:color w:val="000000" w:themeColor="text1"/>
          <w:sz w:val="22"/>
          <w:szCs w:val="22"/>
          <w:lang w:val="en-GB"/>
        </w:rPr>
        <w:t>promise</w:t>
      </w:r>
      <w:r w:rsidR="00DB0E76">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114,115</w:t>
      </w:r>
    </w:p>
    <w:p w14:paraId="3DCD2FFA" w14:textId="2BE5520B" w:rsidR="00483F40" w:rsidRPr="00C37A4D" w:rsidRDefault="00483F40" w:rsidP="00433EE7">
      <w:pPr>
        <w:rPr>
          <w:rFonts w:asciiTheme="minorHAnsi" w:hAnsiTheme="minorHAnsi" w:cstheme="minorHAnsi"/>
          <w:color w:val="000000" w:themeColor="text1"/>
          <w:sz w:val="22"/>
          <w:szCs w:val="22"/>
          <w:lang w:val="en-GB"/>
        </w:rPr>
      </w:pPr>
    </w:p>
    <w:p w14:paraId="1240B96E" w14:textId="6264D0E5" w:rsidR="00607A1C" w:rsidRPr="00C37A4D" w:rsidRDefault="00433EE7" w:rsidP="00433EE7">
      <w:pPr>
        <w:rPr>
          <w:rFonts w:asciiTheme="minorHAnsi" w:hAnsiTheme="minorHAnsi" w:cstheme="minorHAnsi"/>
          <w:color w:val="000000" w:themeColor="text1"/>
          <w:sz w:val="22"/>
          <w:szCs w:val="22"/>
          <w:lang w:val="en-GB"/>
        </w:rPr>
      </w:pPr>
      <w:r w:rsidRPr="00C37A4D">
        <w:rPr>
          <w:rFonts w:asciiTheme="minorHAnsi" w:hAnsiTheme="minorHAnsi" w:cstheme="minorHAnsi"/>
          <w:color w:val="000000" w:themeColor="text1"/>
          <w:sz w:val="22"/>
          <w:szCs w:val="22"/>
          <w:lang w:val="en-GB"/>
        </w:rPr>
        <w:t>Typhoid fever</w:t>
      </w:r>
      <w:r w:rsidR="006A7948">
        <w:rPr>
          <w:rFonts w:asciiTheme="minorHAnsi" w:hAnsiTheme="minorHAnsi" w:cstheme="minorHAnsi"/>
          <w:color w:val="000000" w:themeColor="text1"/>
          <w:sz w:val="22"/>
          <w:szCs w:val="22"/>
          <w:lang w:val="en-GB"/>
        </w:rPr>
        <w:t xml:space="preserve"> is</w:t>
      </w:r>
      <w:r w:rsidRPr="00C37A4D">
        <w:rPr>
          <w:rFonts w:asciiTheme="minorHAnsi" w:hAnsiTheme="minorHAnsi" w:cstheme="minorHAnsi"/>
          <w:color w:val="000000" w:themeColor="text1"/>
          <w:sz w:val="22"/>
          <w:szCs w:val="22"/>
          <w:lang w:val="en-GB"/>
        </w:rPr>
        <w:t xml:space="preserve"> </w:t>
      </w:r>
      <w:r w:rsidR="006A7948">
        <w:rPr>
          <w:rFonts w:asciiTheme="minorHAnsi" w:hAnsiTheme="minorHAnsi" w:cstheme="minorHAnsi"/>
          <w:color w:val="000000" w:themeColor="text1"/>
          <w:sz w:val="22"/>
          <w:szCs w:val="22"/>
          <w:lang w:val="en-GB"/>
        </w:rPr>
        <w:t>a</w:t>
      </w:r>
      <w:r w:rsidR="006A7948" w:rsidRPr="00C37A4D">
        <w:rPr>
          <w:rFonts w:asciiTheme="minorHAnsi" w:hAnsiTheme="minorHAnsi" w:cstheme="minorHAnsi"/>
          <w:color w:val="000000" w:themeColor="text1"/>
          <w:sz w:val="22"/>
          <w:szCs w:val="22"/>
          <w:lang w:val="en-GB"/>
        </w:rPr>
        <w:t xml:space="preserve"> </w:t>
      </w:r>
      <w:r w:rsidRPr="00C37A4D">
        <w:rPr>
          <w:rFonts w:asciiTheme="minorHAnsi" w:hAnsiTheme="minorHAnsi" w:cstheme="minorHAnsi"/>
          <w:color w:val="000000" w:themeColor="text1"/>
          <w:sz w:val="22"/>
          <w:szCs w:val="22"/>
          <w:lang w:val="en-GB"/>
        </w:rPr>
        <w:t xml:space="preserve">life-threatening bloodstream infection caused by the Typhi </w:t>
      </w:r>
      <w:proofErr w:type="spellStart"/>
      <w:r w:rsidRPr="00C37A4D">
        <w:rPr>
          <w:rFonts w:asciiTheme="minorHAnsi" w:hAnsiTheme="minorHAnsi" w:cstheme="minorHAnsi"/>
          <w:color w:val="000000" w:themeColor="text1"/>
          <w:sz w:val="22"/>
          <w:szCs w:val="22"/>
          <w:lang w:val="en-GB"/>
        </w:rPr>
        <w:t>serovariety</w:t>
      </w:r>
      <w:proofErr w:type="spellEnd"/>
      <w:r w:rsidRPr="00C37A4D">
        <w:rPr>
          <w:rFonts w:asciiTheme="minorHAnsi" w:hAnsiTheme="minorHAnsi" w:cstheme="minorHAnsi"/>
          <w:color w:val="000000" w:themeColor="text1"/>
          <w:sz w:val="22"/>
          <w:szCs w:val="22"/>
          <w:lang w:val="en-GB"/>
        </w:rPr>
        <w:t xml:space="preserve"> of </w:t>
      </w:r>
      <w:r w:rsidRPr="00C37A4D">
        <w:rPr>
          <w:rFonts w:asciiTheme="minorHAnsi" w:hAnsiTheme="minorHAnsi" w:cstheme="minorHAnsi"/>
          <w:i/>
          <w:color w:val="000000" w:themeColor="text1"/>
          <w:sz w:val="22"/>
          <w:szCs w:val="22"/>
          <w:lang w:val="en-GB"/>
        </w:rPr>
        <w:t xml:space="preserve">Salmonella enterica </w:t>
      </w:r>
      <w:r w:rsidR="001B0454" w:rsidRPr="00C37A4D">
        <w:rPr>
          <w:rFonts w:asciiTheme="minorHAnsi" w:hAnsiTheme="minorHAnsi" w:cstheme="minorHAnsi"/>
          <w:color w:val="000000" w:themeColor="text1"/>
          <w:sz w:val="22"/>
          <w:szCs w:val="22"/>
          <w:lang w:val="en-GB"/>
        </w:rPr>
        <w:t xml:space="preserve">subsp. </w:t>
      </w:r>
      <w:r w:rsidRPr="00C37A4D">
        <w:rPr>
          <w:rFonts w:asciiTheme="minorHAnsi" w:hAnsiTheme="minorHAnsi" w:cstheme="minorHAnsi"/>
          <w:i/>
          <w:iCs/>
          <w:color w:val="000000" w:themeColor="text1"/>
          <w:sz w:val="22"/>
          <w:szCs w:val="22"/>
          <w:lang w:val="en-GB"/>
        </w:rPr>
        <w:t>enterica,</w:t>
      </w:r>
      <w:r w:rsidRPr="00C37A4D">
        <w:rPr>
          <w:rFonts w:asciiTheme="minorHAnsi" w:hAnsiTheme="minorHAnsi" w:cstheme="minorHAnsi"/>
          <w:color w:val="000000" w:themeColor="text1"/>
          <w:sz w:val="22"/>
          <w:szCs w:val="22"/>
          <w:lang w:val="en-GB"/>
        </w:rPr>
        <w:t xml:space="preserve"> a </w:t>
      </w:r>
      <w:proofErr w:type="spellStart"/>
      <w:r w:rsidRPr="00C37A4D">
        <w:rPr>
          <w:rFonts w:asciiTheme="minorHAnsi" w:hAnsiTheme="minorHAnsi" w:cstheme="minorHAnsi"/>
          <w:color w:val="000000" w:themeColor="text1"/>
          <w:sz w:val="22"/>
          <w:szCs w:val="22"/>
          <w:lang w:val="en-GB"/>
        </w:rPr>
        <w:t>feco</w:t>
      </w:r>
      <w:proofErr w:type="spellEnd"/>
      <w:r w:rsidRPr="00C37A4D">
        <w:rPr>
          <w:rFonts w:asciiTheme="minorHAnsi" w:hAnsiTheme="minorHAnsi" w:cstheme="minorHAnsi"/>
          <w:color w:val="000000" w:themeColor="text1"/>
          <w:sz w:val="22"/>
          <w:szCs w:val="22"/>
          <w:lang w:val="en-GB"/>
        </w:rPr>
        <w:t>-orally transmitted bacterium</w:t>
      </w:r>
      <w:r w:rsidR="004D00F8">
        <w:rPr>
          <w:rFonts w:asciiTheme="minorHAnsi" w:hAnsiTheme="minorHAnsi" w:cstheme="minorHAnsi"/>
          <w:color w:val="000000" w:themeColor="text1"/>
          <w:sz w:val="22"/>
          <w:szCs w:val="22"/>
          <w:lang w:val="en-GB"/>
        </w:rPr>
        <w:t xml:space="preserve"> that only infects humans</w:t>
      </w:r>
      <w:r w:rsidRPr="00C37A4D">
        <w:rPr>
          <w:rFonts w:asciiTheme="minorHAnsi" w:hAnsiTheme="minorHAnsi" w:cstheme="minorHAnsi"/>
          <w:color w:val="000000" w:themeColor="text1"/>
          <w:sz w:val="22"/>
          <w:szCs w:val="22"/>
          <w:lang w:val="en-GB"/>
        </w:rPr>
        <w:t>.</w:t>
      </w:r>
      <w:r w:rsidR="0047001E" w:rsidRPr="00C37A4D">
        <w:rPr>
          <w:rFonts w:asciiTheme="minorHAnsi" w:hAnsiTheme="minorHAnsi" w:cstheme="minorHAnsi"/>
          <w:color w:val="000000" w:themeColor="text1"/>
          <w:sz w:val="22"/>
          <w:szCs w:val="22"/>
          <w:lang w:val="en-GB"/>
        </w:rPr>
        <w:t xml:space="preserve"> </w:t>
      </w:r>
      <w:r w:rsidRPr="00C37A4D">
        <w:rPr>
          <w:rFonts w:asciiTheme="minorHAnsi" w:hAnsiTheme="minorHAnsi" w:cstheme="minorHAnsi"/>
          <w:color w:val="000000" w:themeColor="text1"/>
          <w:sz w:val="22"/>
          <w:szCs w:val="22"/>
          <w:lang w:val="en-GB"/>
        </w:rPr>
        <w:t>Untreated or improperly treated infections are commonly fatal:</w:t>
      </w:r>
      <w:r w:rsidR="0047001E" w:rsidRPr="00C37A4D">
        <w:rPr>
          <w:rFonts w:asciiTheme="minorHAnsi" w:hAnsiTheme="minorHAnsi" w:cstheme="minorHAnsi"/>
          <w:color w:val="000000" w:themeColor="text1"/>
          <w:sz w:val="22"/>
          <w:szCs w:val="22"/>
          <w:lang w:val="en-GB"/>
        </w:rPr>
        <w:t xml:space="preserve"> </w:t>
      </w:r>
      <w:r w:rsidRPr="00C37A4D">
        <w:rPr>
          <w:rFonts w:asciiTheme="minorHAnsi" w:hAnsiTheme="minorHAnsi" w:cstheme="minorHAnsi"/>
          <w:color w:val="000000" w:themeColor="text1"/>
          <w:sz w:val="22"/>
          <w:szCs w:val="22"/>
          <w:lang w:val="en-GB"/>
        </w:rPr>
        <w:t>10</w:t>
      </w:r>
      <w:r w:rsidR="001B0454" w:rsidRPr="00C37A4D">
        <w:rPr>
          <w:rFonts w:asciiTheme="minorHAnsi" w:hAnsiTheme="minorHAnsi" w:cstheme="minorHAnsi"/>
          <w:color w:val="000000" w:themeColor="text1"/>
          <w:sz w:val="22"/>
          <w:szCs w:val="22"/>
          <w:lang w:val="en-GB"/>
        </w:rPr>
        <w:t>–</w:t>
      </w:r>
      <w:r w:rsidRPr="00C37A4D">
        <w:rPr>
          <w:rFonts w:asciiTheme="minorHAnsi" w:hAnsiTheme="minorHAnsi" w:cstheme="minorHAnsi"/>
          <w:color w:val="000000" w:themeColor="text1"/>
          <w:sz w:val="22"/>
          <w:szCs w:val="22"/>
          <w:lang w:val="en-GB"/>
        </w:rPr>
        <w:t xml:space="preserve">20% of those infected with </w:t>
      </w:r>
      <w:r w:rsidRPr="00C37A4D">
        <w:rPr>
          <w:rFonts w:asciiTheme="minorHAnsi" w:hAnsiTheme="minorHAnsi" w:cstheme="minorHAnsi"/>
          <w:i/>
          <w:iCs/>
          <w:color w:val="000000" w:themeColor="text1"/>
          <w:sz w:val="22"/>
          <w:szCs w:val="22"/>
          <w:lang w:val="en-GB"/>
        </w:rPr>
        <w:t xml:space="preserve">S. </w:t>
      </w:r>
      <w:r w:rsidRPr="00C37A4D">
        <w:rPr>
          <w:rFonts w:asciiTheme="minorHAnsi" w:hAnsiTheme="minorHAnsi" w:cstheme="minorHAnsi"/>
          <w:color w:val="000000" w:themeColor="text1"/>
          <w:sz w:val="22"/>
          <w:szCs w:val="22"/>
          <w:lang w:val="en-GB"/>
        </w:rPr>
        <w:t>Typhi in the pre-antibiotic era died</w:t>
      </w:r>
      <w:r w:rsidR="00846D2A">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116</w:t>
      </w:r>
      <w:r w:rsidR="0047001E" w:rsidRPr="00C37A4D">
        <w:rPr>
          <w:rFonts w:asciiTheme="minorHAnsi" w:hAnsiTheme="minorHAnsi" w:cstheme="minorHAnsi"/>
          <w:color w:val="000000" w:themeColor="text1"/>
          <w:sz w:val="22"/>
          <w:szCs w:val="22"/>
          <w:lang w:val="en-GB"/>
        </w:rPr>
        <w:t xml:space="preserve"> </w:t>
      </w:r>
      <w:r w:rsidRPr="00C37A4D">
        <w:rPr>
          <w:rFonts w:asciiTheme="minorHAnsi" w:hAnsiTheme="minorHAnsi" w:cstheme="minorHAnsi"/>
          <w:color w:val="000000" w:themeColor="text1"/>
          <w:sz w:val="22"/>
          <w:szCs w:val="22"/>
          <w:lang w:val="en-GB"/>
        </w:rPr>
        <w:t xml:space="preserve">With little shift in incidence, </w:t>
      </w:r>
      <w:r w:rsidR="004955ED">
        <w:rPr>
          <w:rFonts w:asciiTheme="minorHAnsi" w:hAnsiTheme="minorHAnsi" w:cstheme="minorHAnsi"/>
          <w:color w:val="000000" w:themeColor="text1"/>
          <w:sz w:val="22"/>
          <w:szCs w:val="22"/>
          <w:lang w:val="en-GB"/>
        </w:rPr>
        <w:t>antimicrobials</w:t>
      </w:r>
      <w:r w:rsidR="004955ED" w:rsidRPr="00C37A4D">
        <w:rPr>
          <w:rFonts w:asciiTheme="minorHAnsi" w:hAnsiTheme="minorHAnsi" w:cstheme="minorHAnsi"/>
          <w:color w:val="000000" w:themeColor="text1"/>
          <w:sz w:val="22"/>
          <w:szCs w:val="22"/>
          <w:lang w:val="en-GB"/>
        </w:rPr>
        <w:t xml:space="preserve"> </w:t>
      </w:r>
      <w:r w:rsidR="0098011F" w:rsidRPr="00C37A4D">
        <w:rPr>
          <w:rFonts w:asciiTheme="minorHAnsi" w:hAnsiTheme="minorHAnsi" w:cstheme="minorHAnsi"/>
          <w:color w:val="000000" w:themeColor="text1"/>
          <w:sz w:val="22"/>
          <w:szCs w:val="22"/>
          <w:lang w:val="en-GB"/>
        </w:rPr>
        <w:t xml:space="preserve">dropped the </w:t>
      </w:r>
      <w:r w:rsidRPr="00C37A4D">
        <w:rPr>
          <w:rFonts w:asciiTheme="minorHAnsi" w:hAnsiTheme="minorHAnsi" w:cstheme="minorHAnsi"/>
          <w:color w:val="000000" w:themeColor="text1"/>
          <w:sz w:val="22"/>
          <w:szCs w:val="22"/>
          <w:lang w:val="en-GB"/>
        </w:rPr>
        <w:t xml:space="preserve">mortality from typhoid </w:t>
      </w:r>
      <w:r w:rsidR="008A7881" w:rsidRPr="00C37A4D">
        <w:rPr>
          <w:rFonts w:asciiTheme="minorHAnsi" w:hAnsiTheme="minorHAnsi" w:cstheme="minorHAnsi"/>
          <w:color w:val="000000" w:themeColor="text1"/>
          <w:sz w:val="22"/>
          <w:szCs w:val="22"/>
          <w:lang w:val="en-GB"/>
        </w:rPr>
        <w:t>to</w:t>
      </w:r>
      <w:r w:rsidRPr="00C37A4D">
        <w:rPr>
          <w:rFonts w:asciiTheme="minorHAnsi" w:hAnsiTheme="minorHAnsi" w:cstheme="minorHAnsi"/>
          <w:color w:val="000000" w:themeColor="text1"/>
          <w:sz w:val="22"/>
          <w:szCs w:val="22"/>
          <w:lang w:val="en-GB"/>
        </w:rPr>
        <w:t xml:space="preserve"> </w:t>
      </w:r>
      <w:r w:rsidR="00A750C9" w:rsidRPr="00C37A4D">
        <w:rPr>
          <w:rFonts w:asciiTheme="minorHAnsi" w:hAnsiTheme="minorHAnsi" w:cstheme="minorHAnsi"/>
          <w:color w:val="000000" w:themeColor="text1"/>
          <w:sz w:val="22"/>
          <w:szCs w:val="22"/>
          <w:lang w:val="en-GB"/>
        </w:rPr>
        <w:t>less th</w:t>
      </w:r>
      <w:r w:rsidR="00F55E6B" w:rsidRPr="00C37A4D">
        <w:rPr>
          <w:rFonts w:asciiTheme="minorHAnsi" w:hAnsiTheme="minorHAnsi" w:cstheme="minorHAnsi"/>
          <w:color w:val="000000" w:themeColor="text1"/>
          <w:sz w:val="22"/>
          <w:szCs w:val="22"/>
          <w:lang w:val="en-GB"/>
        </w:rPr>
        <w:t>a</w:t>
      </w:r>
      <w:r w:rsidR="00A750C9" w:rsidRPr="00C37A4D">
        <w:rPr>
          <w:rFonts w:asciiTheme="minorHAnsi" w:hAnsiTheme="minorHAnsi" w:cstheme="minorHAnsi"/>
          <w:color w:val="000000" w:themeColor="text1"/>
          <w:sz w:val="22"/>
          <w:szCs w:val="22"/>
          <w:lang w:val="en-GB"/>
        </w:rPr>
        <w:t xml:space="preserve">n </w:t>
      </w:r>
      <w:r w:rsidR="004A1B33" w:rsidRPr="00C37A4D">
        <w:rPr>
          <w:rFonts w:asciiTheme="minorHAnsi" w:hAnsiTheme="minorHAnsi" w:cstheme="minorHAnsi"/>
          <w:color w:val="000000" w:themeColor="text1"/>
          <w:sz w:val="22"/>
          <w:szCs w:val="22"/>
          <w:lang w:val="en-GB"/>
        </w:rPr>
        <w:t>1%</w:t>
      </w:r>
      <w:r w:rsidRPr="00C37A4D">
        <w:rPr>
          <w:rFonts w:asciiTheme="minorHAnsi" w:hAnsiTheme="minorHAnsi" w:cstheme="minorHAnsi"/>
          <w:color w:val="000000" w:themeColor="text1"/>
          <w:sz w:val="22"/>
          <w:szCs w:val="22"/>
          <w:lang w:val="en-GB"/>
        </w:rPr>
        <w:t xml:space="preserve"> in endemic regions</w:t>
      </w:r>
      <w:r w:rsidR="00A67851">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116</w:t>
      </w:r>
      <w:r w:rsidR="0047001E" w:rsidRPr="00C37A4D">
        <w:rPr>
          <w:rFonts w:asciiTheme="minorHAnsi" w:hAnsiTheme="minorHAnsi" w:cstheme="minorHAnsi"/>
          <w:color w:val="000000" w:themeColor="text1"/>
          <w:sz w:val="22"/>
          <w:szCs w:val="22"/>
          <w:lang w:val="en-GB"/>
        </w:rPr>
        <w:t xml:space="preserve"> </w:t>
      </w:r>
      <w:r w:rsidR="009627CE">
        <w:rPr>
          <w:rFonts w:asciiTheme="minorHAnsi" w:hAnsiTheme="minorHAnsi" w:cstheme="minorHAnsi"/>
          <w:color w:val="000000" w:themeColor="text1"/>
          <w:sz w:val="22"/>
          <w:szCs w:val="22"/>
          <w:lang w:val="en-GB"/>
        </w:rPr>
        <w:t>That</w:t>
      </w:r>
      <w:r w:rsidRPr="00C37A4D">
        <w:rPr>
          <w:rFonts w:asciiTheme="minorHAnsi" w:hAnsiTheme="minorHAnsi" w:cstheme="minorHAnsi"/>
          <w:color w:val="000000" w:themeColor="text1"/>
          <w:sz w:val="22"/>
          <w:szCs w:val="22"/>
          <w:lang w:val="en-GB"/>
        </w:rPr>
        <w:t xml:space="preserve"> success in typhoid control </w:t>
      </w:r>
      <w:r w:rsidR="00096F2A" w:rsidRPr="00C37A4D">
        <w:rPr>
          <w:rFonts w:asciiTheme="minorHAnsi" w:hAnsiTheme="minorHAnsi" w:cstheme="minorHAnsi"/>
          <w:color w:val="000000" w:themeColor="text1"/>
          <w:sz w:val="22"/>
          <w:szCs w:val="22"/>
          <w:lang w:val="en-GB"/>
        </w:rPr>
        <w:t xml:space="preserve">has been </w:t>
      </w:r>
      <w:r w:rsidRPr="00C37A4D">
        <w:rPr>
          <w:rFonts w:asciiTheme="minorHAnsi" w:hAnsiTheme="minorHAnsi" w:cstheme="minorHAnsi"/>
          <w:color w:val="000000" w:themeColor="text1"/>
          <w:sz w:val="22"/>
          <w:szCs w:val="22"/>
          <w:lang w:val="en-GB"/>
        </w:rPr>
        <w:t xml:space="preserve">reversed by </w:t>
      </w:r>
      <w:r w:rsidR="0098011F" w:rsidRPr="00C37A4D">
        <w:rPr>
          <w:rFonts w:asciiTheme="minorHAnsi" w:hAnsiTheme="minorHAnsi" w:cstheme="minorHAnsi"/>
          <w:color w:val="000000" w:themeColor="text1"/>
          <w:sz w:val="22"/>
          <w:szCs w:val="22"/>
          <w:lang w:val="en-GB"/>
        </w:rPr>
        <w:t xml:space="preserve">rapidly evolving </w:t>
      </w:r>
      <w:r w:rsidRPr="00C37A4D">
        <w:rPr>
          <w:rFonts w:asciiTheme="minorHAnsi" w:hAnsiTheme="minorHAnsi" w:cstheme="minorHAnsi"/>
          <w:color w:val="000000" w:themeColor="text1"/>
          <w:sz w:val="22"/>
          <w:szCs w:val="22"/>
          <w:lang w:val="en-GB"/>
        </w:rPr>
        <w:t xml:space="preserve">resistance </w:t>
      </w:r>
      <w:r w:rsidR="0098011F" w:rsidRPr="00C37A4D">
        <w:rPr>
          <w:rFonts w:asciiTheme="minorHAnsi" w:hAnsiTheme="minorHAnsi" w:cstheme="minorHAnsi"/>
          <w:color w:val="000000" w:themeColor="text1"/>
          <w:sz w:val="22"/>
          <w:szCs w:val="22"/>
          <w:lang w:val="en-GB"/>
        </w:rPr>
        <w:t>to</w:t>
      </w:r>
      <w:r w:rsidR="008A7881" w:rsidRPr="00C37A4D">
        <w:rPr>
          <w:rFonts w:asciiTheme="minorHAnsi" w:hAnsiTheme="minorHAnsi" w:cstheme="minorHAnsi"/>
          <w:color w:val="000000" w:themeColor="text1"/>
          <w:sz w:val="22"/>
          <w:szCs w:val="22"/>
          <w:lang w:val="en-GB"/>
        </w:rPr>
        <w:t xml:space="preserve"> every</w:t>
      </w:r>
      <w:r w:rsidRPr="00C37A4D">
        <w:rPr>
          <w:rFonts w:asciiTheme="minorHAnsi" w:hAnsiTheme="minorHAnsi" w:cstheme="minorHAnsi"/>
          <w:color w:val="000000" w:themeColor="text1"/>
          <w:sz w:val="22"/>
          <w:szCs w:val="22"/>
          <w:lang w:val="en-GB"/>
        </w:rPr>
        <w:t xml:space="preserve"> broad</w:t>
      </w:r>
      <w:r w:rsidR="001A24D0" w:rsidRPr="00C37A4D">
        <w:rPr>
          <w:rFonts w:asciiTheme="minorHAnsi" w:hAnsiTheme="minorHAnsi" w:cstheme="minorHAnsi"/>
          <w:color w:val="000000" w:themeColor="text1"/>
          <w:sz w:val="22"/>
          <w:szCs w:val="22"/>
          <w:lang w:val="en-GB"/>
        </w:rPr>
        <w:t xml:space="preserve">-spectrum </w:t>
      </w:r>
      <w:r w:rsidR="000D707B" w:rsidRPr="00C37A4D">
        <w:rPr>
          <w:rFonts w:asciiTheme="minorHAnsi" w:hAnsiTheme="minorHAnsi" w:cstheme="minorHAnsi"/>
          <w:color w:val="000000" w:themeColor="text1"/>
          <w:sz w:val="22"/>
          <w:szCs w:val="22"/>
          <w:lang w:val="en-GB"/>
        </w:rPr>
        <w:t xml:space="preserve">antimicrobial </w:t>
      </w:r>
      <w:r w:rsidRPr="00C37A4D">
        <w:rPr>
          <w:rFonts w:asciiTheme="minorHAnsi" w:hAnsiTheme="minorHAnsi" w:cstheme="minorHAnsi"/>
          <w:color w:val="000000" w:themeColor="text1"/>
          <w:sz w:val="22"/>
          <w:szCs w:val="22"/>
          <w:lang w:val="en-GB"/>
        </w:rPr>
        <w:t>treatment option</w:t>
      </w:r>
      <w:r w:rsidR="008A7881" w:rsidRPr="00C37A4D">
        <w:rPr>
          <w:rFonts w:asciiTheme="minorHAnsi" w:hAnsiTheme="minorHAnsi" w:cstheme="minorHAnsi"/>
          <w:color w:val="000000" w:themeColor="text1"/>
          <w:sz w:val="22"/>
          <w:szCs w:val="22"/>
          <w:lang w:val="en-GB"/>
        </w:rPr>
        <w:t xml:space="preserve"> that has been deployed</w:t>
      </w:r>
      <w:r w:rsidRPr="00C37A4D">
        <w:rPr>
          <w:rFonts w:asciiTheme="minorHAnsi" w:hAnsiTheme="minorHAnsi" w:cstheme="minorHAnsi"/>
          <w:color w:val="000000" w:themeColor="text1"/>
          <w:sz w:val="22"/>
          <w:szCs w:val="22"/>
          <w:lang w:val="en-GB"/>
        </w:rPr>
        <w:t xml:space="preserve"> (</w:t>
      </w:r>
      <w:r w:rsidRPr="00C37A4D">
        <w:rPr>
          <w:rFonts w:asciiTheme="minorHAnsi" w:hAnsiTheme="minorHAnsi" w:cstheme="minorHAnsi"/>
          <w:b/>
          <w:bCs/>
          <w:color w:val="000000" w:themeColor="text1"/>
          <w:sz w:val="22"/>
          <w:szCs w:val="22"/>
          <w:lang w:val="en-GB"/>
        </w:rPr>
        <w:t xml:space="preserve">Figure </w:t>
      </w:r>
      <w:r w:rsidR="009B0E51">
        <w:rPr>
          <w:rFonts w:asciiTheme="minorHAnsi" w:hAnsiTheme="minorHAnsi" w:cstheme="minorHAnsi"/>
          <w:b/>
          <w:bCs/>
          <w:color w:val="000000" w:themeColor="text1"/>
          <w:sz w:val="22"/>
          <w:szCs w:val="22"/>
          <w:lang w:val="en-GB"/>
        </w:rPr>
        <w:t>4</w:t>
      </w:r>
      <w:r w:rsidRPr="00C37A4D">
        <w:rPr>
          <w:rFonts w:asciiTheme="minorHAnsi" w:hAnsiTheme="minorHAnsi" w:cstheme="minorHAnsi"/>
          <w:color w:val="000000" w:themeColor="text1"/>
          <w:sz w:val="22"/>
          <w:szCs w:val="22"/>
          <w:lang w:val="en-GB"/>
        </w:rPr>
        <w:t>)</w:t>
      </w:r>
      <w:r w:rsidR="001A24D0" w:rsidRPr="00C37A4D">
        <w:rPr>
          <w:rFonts w:asciiTheme="minorHAnsi" w:hAnsiTheme="minorHAnsi" w:cstheme="minorHAnsi"/>
          <w:color w:val="000000" w:themeColor="text1"/>
          <w:sz w:val="22"/>
          <w:szCs w:val="22"/>
          <w:lang w:val="en-GB"/>
        </w:rPr>
        <w:t>.</w:t>
      </w:r>
      <w:r w:rsidR="00EB19D8" w:rsidRPr="00EB19D8">
        <w:rPr>
          <w:rFonts w:asciiTheme="minorHAnsi" w:hAnsiTheme="minorHAnsi" w:cstheme="minorHAnsi"/>
          <w:color w:val="000000" w:themeColor="text1"/>
          <w:sz w:val="22"/>
          <w:szCs w:val="22"/>
          <w:lang w:val="en-GB"/>
        </w:rPr>
        <w:t xml:space="preserve"> </w:t>
      </w:r>
      <w:r w:rsidR="00EB19D8" w:rsidRPr="00C37A4D">
        <w:rPr>
          <w:rFonts w:asciiTheme="minorHAnsi" w:hAnsiTheme="minorHAnsi" w:cstheme="minorHAnsi"/>
          <w:color w:val="000000" w:themeColor="text1"/>
          <w:sz w:val="22"/>
          <w:szCs w:val="22"/>
          <w:lang w:val="en-GB"/>
        </w:rPr>
        <w:t xml:space="preserve">Typhoid is largely imported to Europe and North America by returning travellers but remains a major cause of febrile illness in parts of Africa and Asia </w:t>
      </w:r>
      <w:r w:rsidR="009627CE" w:rsidRPr="00C37A4D">
        <w:rPr>
          <w:rFonts w:asciiTheme="minorHAnsi" w:hAnsiTheme="minorHAnsi" w:cstheme="minorHAnsi"/>
          <w:color w:val="000000" w:themeColor="text1"/>
          <w:sz w:val="22"/>
          <w:szCs w:val="22"/>
          <w:lang w:val="en-GB"/>
        </w:rPr>
        <w:t>w</w:t>
      </w:r>
      <w:r w:rsidR="009627CE">
        <w:rPr>
          <w:rFonts w:asciiTheme="minorHAnsi" w:hAnsiTheme="minorHAnsi" w:cstheme="minorHAnsi"/>
          <w:color w:val="000000" w:themeColor="text1"/>
          <w:sz w:val="22"/>
          <w:szCs w:val="22"/>
          <w:lang w:val="en-GB"/>
        </w:rPr>
        <w:t>ith poor</w:t>
      </w:r>
      <w:r w:rsidR="009627CE" w:rsidRPr="00C37A4D">
        <w:rPr>
          <w:rFonts w:asciiTheme="minorHAnsi" w:hAnsiTheme="minorHAnsi" w:cstheme="minorHAnsi"/>
          <w:color w:val="000000" w:themeColor="text1"/>
          <w:sz w:val="22"/>
          <w:szCs w:val="22"/>
          <w:lang w:val="en-GB"/>
        </w:rPr>
        <w:t xml:space="preserve"> </w:t>
      </w:r>
      <w:r w:rsidR="00EB19D8" w:rsidRPr="00C37A4D">
        <w:rPr>
          <w:rFonts w:asciiTheme="minorHAnsi" w:hAnsiTheme="minorHAnsi" w:cstheme="minorHAnsi"/>
          <w:color w:val="000000" w:themeColor="text1"/>
          <w:sz w:val="22"/>
          <w:szCs w:val="22"/>
          <w:lang w:val="en-GB"/>
        </w:rPr>
        <w:t>sanitation</w:t>
      </w:r>
      <w:r w:rsidR="009A66E1">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117</w:t>
      </w:r>
      <w:r w:rsidR="001A24D0" w:rsidRPr="00C37A4D">
        <w:rPr>
          <w:rFonts w:asciiTheme="minorHAnsi" w:hAnsiTheme="minorHAnsi" w:cstheme="minorHAnsi"/>
          <w:color w:val="000000" w:themeColor="text1"/>
          <w:sz w:val="22"/>
          <w:szCs w:val="22"/>
          <w:lang w:val="en-GB"/>
        </w:rPr>
        <w:t xml:space="preserve"> </w:t>
      </w:r>
      <w:r w:rsidR="00550242">
        <w:rPr>
          <w:rFonts w:asciiTheme="minorHAnsi" w:hAnsiTheme="minorHAnsi" w:cstheme="minorHAnsi"/>
          <w:color w:val="000000" w:themeColor="text1"/>
          <w:sz w:val="22"/>
          <w:szCs w:val="22"/>
          <w:lang w:val="en-GB"/>
        </w:rPr>
        <w:t>Prevention is crucial because</w:t>
      </w:r>
      <w:r w:rsidRPr="00C37A4D">
        <w:rPr>
          <w:rFonts w:asciiTheme="minorHAnsi" w:hAnsiTheme="minorHAnsi" w:cstheme="minorHAnsi"/>
          <w:color w:val="000000" w:themeColor="text1"/>
          <w:sz w:val="22"/>
          <w:szCs w:val="22"/>
          <w:lang w:val="en-GB"/>
        </w:rPr>
        <w:t xml:space="preserve"> anti</w:t>
      </w:r>
      <w:r w:rsidR="005C08DD" w:rsidRPr="00C37A4D">
        <w:rPr>
          <w:rFonts w:asciiTheme="minorHAnsi" w:hAnsiTheme="minorHAnsi" w:cstheme="minorHAnsi"/>
          <w:color w:val="000000" w:themeColor="text1"/>
          <w:sz w:val="22"/>
          <w:szCs w:val="22"/>
          <w:lang w:val="en-GB"/>
        </w:rPr>
        <w:t>biotics</w:t>
      </w:r>
      <w:r w:rsidRPr="00C37A4D">
        <w:rPr>
          <w:rFonts w:asciiTheme="minorHAnsi" w:hAnsiTheme="minorHAnsi" w:cstheme="minorHAnsi"/>
          <w:color w:val="000000" w:themeColor="text1"/>
          <w:sz w:val="22"/>
          <w:szCs w:val="22"/>
          <w:lang w:val="en-GB"/>
        </w:rPr>
        <w:t xml:space="preserve"> treat </w:t>
      </w:r>
      <w:r w:rsidR="001A24D0" w:rsidRPr="00C37A4D">
        <w:rPr>
          <w:rFonts w:asciiTheme="minorHAnsi" w:hAnsiTheme="minorHAnsi" w:cstheme="minorHAnsi"/>
          <w:color w:val="000000" w:themeColor="text1"/>
          <w:sz w:val="22"/>
          <w:szCs w:val="22"/>
          <w:lang w:val="en-GB"/>
        </w:rPr>
        <w:t xml:space="preserve">infections </w:t>
      </w:r>
      <w:r w:rsidRPr="00C37A4D">
        <w:rPr>
          <w:rFonts w:asciiTheme="minorHAnsi" w:hAnsiTheme="minorHAnsi" w:cstheme="minorHAnsi"/>
          <w:color w:val="000000" w:themeColor="text1"/>
          <w:sz w:val="22"/>
          <w:szCs w:val="22"/>
          <w:lang w:val="en-GB"/>
        </w:rPr>
        <w:t xml:space="preserve">but do not control </w:t>
      </w:r>
      <w:r w:rsidR="001A24D0" w:rsidRPr="00C37A4D">
        <w:rPr>
          <w:rFonts w:asciiTheme="minorHAnsi" w:hAnsiTheme="minorHAnsi" w:cstheme="minorHAnsi"/>
          <w:color w:val="000000" w:themeColor="text1"/>
          <w:sz w:val="22"/>
          <w:szCs w:val="22"/>
          <w:lang w:val="en-GB"/>
        </w:rPr>
        <w:t>transmission</w:t>
      </w:r>
      <w:r w:rsidR="005A2529">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117–119</w:t>
      </w:r>
      <w:r w:rsidR="00550242">
        <w:rPr>
          <w:rFonts w:asciiTheme="minorHAnsi" w:hAnsiTheme="minorHAnsi" w:cstheme="minorHAnsi"/>
          <w:color w:val="000000" w:themeColor="text1"/>
          <w:sz w:val="22"/>
          <w:szCs w:val="22"/>
          <w:lang w:val="en-GB"/>
        </w:rPr>
        <w:t xml:space="preserve"> </w:t>
      </w:r>
      <w:r w:rsidRPr="00C37A4D">
        <w:rPr>
          <w:rFonts w:asciiTheme="minorHAnsi" w:hAnsiTheme="minorHAnsi" w:cstheme="minorHAnsi"/>
          <w:color w:val="000000" w:themeColor="text1"/>
          <w:sz w:val="22"/>
          <w:szCs w:val="22"/>
          <w:lang w:val="en-GB"/>
        </w:rPr>
        <w:t xml:space="preserve">After accounting for location, outbreaks attributable </w:t>
      </w:r>
      <w:r w:rsidR="009627CE">
        <w:rPr>
          <w:rFonts w:asciiTheme="minorHAnsi" w:hAnsiTheme="minorHAnsi" w:cstheme="minorHAnsi"/>
          <w:color w:val="000000" w:themeColor="text1"/>
          <w:sz w:val="22"/>
          <w:szCs w:val="22"/>
          <w:lang w:val="en-GB"/>
        </w:rPr>
        <w:t xml:space="preserve">to </w:t>
      </w:r>
      <w:r w:rsidRPr="00C37A4D">
        <w:rPr>
          <w:rFonts w:asciiTheme="minorHAnsi" w:hAnsiTheme="minorHAnsi" w:cstheme="minorHAnsi"/>
          <w:color w:val="000000" w:themeColor="text1"/>
          <w:sz w:val="22"/>
          <w:szCs w:val="22"/>
          <w:lang w:val="en-GB"/>
        </w:rPr>
        <w:t>multidrug</w:t>
      </w:r>
      <w:r w:rsidR="00E61FF8" w:rsidRPr="00C37A4D">
        <w:rPr>
          <w:rFonts w:asciiTheme="minorHAnsi" w:hAnsiTheme="minorHAnsi" w:cstheme="minorHAnsi"/>
          <w:color w:val="000000" w:themeColor="text1"/>
          <w:sz w:val="22"/>
          <w:szCs w:val="22"/>
          <w:lang w:val="en-GB"/>
        </w:rPr>
        <w:t>-</w:t>
      </w:r>
      <w:r w:rsidRPr="00C37A4D">
        <w:rPr>
          <w:rFonts w:asciiTheme="minorHAnsi" w:hAnsiTheme="minorHAnsi" w:cstheme="minorHAnsi"/>
          <w:color w:val="000000" w:themeColor="text1"/>
          <w:sz w:val="22"/>
          <w:szCs w:val="22"/>
          <w:lang w:val="en-GB"/>
        </w:rPr>
        <w:t>resistant strains are increasingly common and typically larger than outbreaks caused by antimicrobial</w:t>
      </w:r>
      <w:r w:rsidR="00096F2A" w:rsidRPr="00C37A4D">
        <w:rPr>
          <w:rFonts w:asciiTheme="minorHAnsi" w:hAnsiTheme="minorHAnsi" w:cstheme="minorHAnsi"/>
          <w:color w:val="000000" w:themeColor="text1"/>
          <w:sz w:val="22"/>
          <w:szCs w:val="22"/>
          <w:lang w:val="en-GB"/>
        </w:rPr>
        <w:t>-</w:t>
      </w:r>
      <w:r w:rsidRPr="00C37A4D">
        <w:rPr>
          <w:rFonts w:asciiTheme="minorHAnsi" w:hAnsiTheme="minorHAnsi" w:cstheme="minorHAnsi"/>
          <w:color w:val="000000" w:themeColor="text1"/>
          <w:sz w:val="22"/>
          <w:szCs w:val="22"/>
          <w:lang w:val="en-GB"/>
        </w:rPr>
        <w:t xml:space="preserve">sensitive </w:t>
      </w:r>
      <w:r w:rsidR="009627CE" w:rsidRPr="00C37A4D">
        <w:rPr>
          <w:rFonts w:asciiTheme="minorHAnsi" w:hAnsiTheme="minorHAnsi" w:cstheme="minorHAnsi"/>
          <w:i/>
          <w:color w:val="000000" w:themeColor="text1"/>
          <w:sz w:val="22"/>
          <w:szCs w:val="22"/>
          <w:lang w:val="en-GB"/>
        </w:rPr>
        <w:t>S</w:t>
      </w:r>
      <w:r w:rsidR="009627CE">
        <w:rPr>
          <w:rFonts w:asciiTheme="minorHAnsi" w:hAnsiTheme="minorHAnsi" w:cstheme="minorHAnsi"/>
          <w:i/>
          <w:color w:val="000000" w:themeColor="text1"/>
          <w:sz w:val="22"/>
          <w:szCs w:val="22"/>
          <w:lang w:val="en-GB"/>
        </w:rPr>
        <w:t>.</w:t>
      </w:r>
      <w:r w:rsidR="009627CE" w:rsidRPr="00C37A4D">
        <w:rPr>
          <w:rFonts w:asciiTheme="minorHAnsi" w:hAnsiTheme="minorHAnsi" w:cstheme="minorHAnsi"/>
          <w:color w:val="000000" w:themeColor="text1"/>
          <w:sz w:val="22"/>
          <w:szCs w:val="22"/>
          <w:lang w:val="en-GB"/>
        </w:rPr>
        <w:t xml:space="preserve"> </w:t>
      </w:r>
      <w:r w:rsidRPr="00C37A4D">
        <w:rPr>
          <w:rFonts w:asciiTheme="minorHAnsi" w:hAnsiTheme="minorHAnsi" w:cstheme="minorHAnsi"/>
          <w:color w:val="000000" w:themeColor="text1"/>
          <w:sz w:val="22"/>
          <w:szCs w:val="22"/>
          <w:lang w:val="en-GB"/>
        </w:rPr>
        <w:t>Typhi</w:t>
      </w:r>
      <w:r w:rsidR="00265C65">
        <w:rPr>
          <w:rFonts w:asciiTheme="minorHAnsi" w:hAnsiTheme="minorHAnsi" w:cstheme="minorHAnsi"/>
          <w:color w:val="000000" w:themeColor="text1"/>
          <w:sz w:val="22"/>
          <w:szCs w:val="22"/>
          <w:lang w:val="en-GB"/>
        </w:rPr>
        <w:t>.</w:t>
      </w:r>
      <w:r w:rsidR="00150C06" w:rsidRPr="00150C06">
        <w:rPr>
          <w:rFonts w:hAnsiTheme="minorHAnsi"/>
          <w:color w:val="000000"/>
          <w:sz w:val="22"/>
          <w:vertAlign w:val="superscript"/>
        </w:rPr>
        <w:t>120</w:t>
      </w:r>
    </w:p>
    <w:p w14:paraId="1083F2EE" w14:textId="77777777" w:rsidR="00433EE7" w:rsidRPr="00C37A4D" w:rsidRDefault="00433EE7" w:rsidP="00433EE7">
      <w:pPr>
        <w:rPr>
          <w:rFonts w:asciiTheme="minorHAnsi" w:hAnsiTheme="minorHAnsi" w:cstheme="minorHAnsi"/>
          <w:color w:val="000000" w:themeColor="text1"/>
          <w:sz w:val="22"/>
          <w:szCs w:val="22"/>
          <w:lang w:val="en-GB"/>
        </w:rPr>
      </w:pPr>
    </w:p>
    <w:p w14:paraId="310B44CA" w14:textId="604EC149" w:rsidR="00433EE7" w:rsidRPr="00C37A4D" w:rsidRDefault="00995C43" w:rsidP="00433EE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w:t>
      </w:r>
      <w:r w:rsidRPr="00C37A4D">
        <w:rPr>
          <w:rFonts w:asciiTheme="minorHAnsi" w:hAnsiTheme="minorHAnsi" w:cstheme="minorHAnsi"/>
          <w:color w:val="000000" w:themeColor="text1"/>
          <w:sz w:val="22"/>
          <w:szCs w:val="22"/>
          <w:lang w:val="en-GB"/>
        </w:rPr>
        <w:t>ndemic-area surveillance</w:t>
      </w:r>
      <w:r>
        <w:rPr>
          <w:rFonts w:asciiTheme="minorHAnsi" w:hAnsiTheme="minorHAnsi" w:cstheme="minorHAnsi"/>
          <w:color w:val="000000" w:themeColor="text1"/>
          <w:sz w:val="22"/>
          <w:szCs w:val="22"/>
          <w:lang w:val="en-GB"/>
        </w:rPr>
        <w:t xml:space="preserve"> would not only</w:t>
      </w:r>
      <w:r w:rsidR="00433EE7" w:rsidRPr="00C37A4D">
        <w:rPr>
          <w:rFonts w:asciiTheme="minorHAnsi" w:hAnsiTheme="minorHAnsi" w:cstheme="minorHAnsi"/>
          <w:color w:val="000000" w:themeColor="text1"/>
          <w:sz w:val="22"/>
          <w:szCs w:val="22"/>
          <w:lang w:val="en-GB"/>
        </w:rPr>
        <w:t xml:space="preserve"> support treatment a</w:t>
      </w:r>
      <w:r w:rsidR="001F05EF" w:rsidRPr="00C37A4D">
        <w:rPr>
          <w:rFonts w:asciiTheme="minorHAnsi" w:hAnsiTheme="minorHAnsi" w:cstheme="minorHAnsi"/>
          <w:color w:val="000000" w:themeColor="text1"/>
          <w:sz w:val="22"/>
          <w:szCs w:val="22"/>
          <w:lang w:val="en-GB"/>
        </w:rPr>
        <w:t>nd</w:t>
      </w:r>
      <w:r w:rsidR="005A1A87" w:rsidRPr="00C37A4D">
        <w:rPr>
          <w:rFonts w:asciiTheme="minorHAnsi" w:hAnsiTheme="minorHAnsi" w:cstheme="minorHAnsi"/>
          <w:color w:val="000000" w:themeColor="text1"/>
          <w:sz w:val="22"/>
          <w:szCs w:val="22"/>
          <w:lang w:val="en-GB"/>
        </w:rPr>
        <w:t xml:space="preserve"> sanitation</w:t>
      </w:r>
      <w:r>
        <w:rPr>
          <w:rFonts w:asciiTheme="minorHAnsi" w:hAnsiTheme="minorHAnsi" w:cstheme="minorHAnsi"/>
          <w:color w:val="000000" w:themeColor="text1"/>
          <w:sz w:val="22"/>
          <w:szCs w:val="22"/>
          <w:lang w:val="en-GB"/>
        </w:rPr>
        <w:t xml:space="preserve"> </w:t>
      </w:r>
      <w:r w:rsidR="00433EE7" w:rsidRPr="00C37A4D">
        <w:rPr>
          <w:rFonts w:asciiTheme="minorHAnsi" w:hAnsiTheme="minorHAnsi" w:cstheme="minorHAnsi"/>
          <w:color w:val="000000" w:themeColor="text1"/>
          <w:sz w:val="22"/>
          <w:szCs w:val="22"/>
          <w:lang w:val="en-GB"/>
        </w:rPr>
        <w:t>prioriti</w:t>
      </w:r>
      <w:r w:rsidR="00034582" w:rsidRPr="00C37A4D">
        <w:rPr>
          <w:rFonts w:asciiTheme="minorHAnsi" w:hAnsiTheme="minorHAnsi" w:cstheme="minorHAnsi"/>
          <w:color w:val="000000" w:themeColor="text1"/>
          <w:sz w:val="22"/>
          <w:szCs w:val="22"/>
          <w:lang w:val="en-GB"/>
        </w:rPr>
        <w:t>es</w:t>
      </w:r>
      <w:r w:rsidR="00433EE7" w:rsidRPr="00C37A4D">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but also</w:t>
      </w:r>
      <w:r w:rsidR="00433EE7" w:rsidRPr="00C37A4D">
        <w:rPr>
          <w:rFonts w:asciiTheme="minorHAnsi" w:hAnsiTheme="minorHAnsi" w:cstheme="minorHAnsi"/>
          <w:color w:val="000000" w:themeColor="text1"/>
          <w:sz w:val="22"/>
          <w:szCs w:val="22"/>
          <w:lang w:val="en-GB"/>
        </w:rPr>
        <w:t xml:space="preserve"> identify transmission chains</w:t>
      </w:r>
      <w:r>
        <w:rPr>
          <w:rFonts w:asciiTheme="minorHAnsi" w:hAnsiTheme="minorHAnsi" w:cstheme="minorHAnsi"/>
          <w:color w:val="000000" w:themeColor="text1"/>
          <w:sz w:val="22"/>
          <w:szCs w:val="22"/>
          <w:lang w:val="en-GB"/>
        </w:rPr>
        <w:t xml:space="preserve"> and</w:t>
      </w:r>
      <w:r w:rsidRPr="00C37A4D">
        <w:rPr>
          <w:rFonts w:asciiTheme="minorHAnsi" w:hAnsiTheme="minorHAnsi" w:cstheme="minorHAnsi"/>
          <w:color w:val="000000" w:themeColor="text1"/>
          <w:sz w:val="22"/>
          <w:szCs w:val="22"/>
          <w:lang w:val="en-GB"/>
        </w:rPr>
        <w:t xml:space="preserve"> </w:t>
      </w:r>
      <w:r w:rsidR="00433EE7" w:rsidRPr="00C37A4D">
        <w:rPr>
          <w:rFonts w:asciiTheme="minorHAnsi" w:hAnsiTheme="minorHAnsi" w:cstheme="minorHAnsi"/>
          <w:color w:val="000000" w:themeColor="text1"/>
          <w:sz w:val="22"/>
          <w:szCs w:val="22"/>
          <w:lang w:val="en-GB"/>
        </w:rPr>
        <w:t xml:space="preserve">guide deployment of </w:t>
      </w:r>
      <w:r w:rsidR="00E61FF8" w:rsidRPr="00C37A4D">
        <w:rPr>
          <w:rFonts w:asciiTheme="minorHAnsi" w:hAnsiTheme="minorHAnsi" w:cstheme="minorHAnsi"/>
          <w:color w:val="000000" w:themeColor="text1"/>
          <w:sz w:val="22"/>
          <w:szCs w:val="22"/>
          <w:lang w:val="en-GB"/>
        </w:rPr>
        <w:t>t</w:t>
      </w:r>
      <w:r w:rsidR="00433EE7" w:rsidRPr="00C37A4D">
        <w:rPr>
          <w:rFonts w:asciiTheme="minorHAnsi" w:hAnsiTheme="minorHAnsi" w:cstheme="minorHAnsi"/>
          <w:color w:val="000000" w:themeColor="text1"/>
          <w:sz w:val="22"/>
          <w:szCs w:val="22"/>
          <w:lang w:val="en-GB"/>
        </w:rPr>
        <w:t xml:space="preserve">yphoid </w:t>
      </w:r>
      <w:r w:rsidR="00E61FF8" w:rsidRPr="00C37A4D">
        <w:rPr>
          <w:rFonts w:asciiTheme="minorHAnsi" w:hAnsiTheme="minorHAnsi" w:cstheme="minorHAnsi"/>
          <w:color w:val="000000" w:themeColor="text1"/>
          <w:sz w:val="22"/>
          <w:szCs w:val="22"/>
          <w:lang w:val="en-GB"/>
        </w:rPr>
        <w:t>c</w:t>
      </w:r>
      <w:r w:rsidR="00433EE7" w:rsidRPr="00C37A4D">
        <w:rPr>
          <w:rFonts w:asciiTheme="minorHAnsi" w:hAnsiTheme="minorHAnsi" w:cstheme="minorHAnsi"/>
          <w:color w:val="000000" w:themeColor="text1"/>
          <w:sz w:val="22"/>
          <w:szCs w:val="22"/>
          <w:lang w:val="en-GB"/>
        </w:rPr>
        <w:t xml:space="preserve">onjugate </w:t>
      </w:r>
      <w:r w:rsidR="00E61FF8" w:rsidRPr="00C37A4D">
        <w:rPr>
          <w:rFonts w:asciiTheme="minorHAnsi" w:hAnsiTheme="minorHAnsi" w:cstheme="minorHAnsi"/>
          <w:color w:val="000000" w:themeColor="text1"/>
          <w:sz w:val="22"/>
          <w:szCs w:val="22"/>
          <w:lang w:val="en-GB"/>
        </w:rPr>
        <w:t>v</w:t>
      </w:r>
      <w:r w:rsidR="00433EE7" w:rsidRPr="00C37A4D">
        <w:rPr>
          <w:rFonts w:asciiTheme="minorHAnsi" w:hAnsiTheme="minorHAnsi" w:cstheme="minorHAnsi"/>
          <w:color w:val="000000" w:themeColor="text1"/>
          <w:sz w:val="22"/>
          <w:szCs w:val="22"/>
          <w:lang w:val="en-GB"/>
        </w:rPr>
        <w:t xml:space="preserve">accine (see </w:t>
      </w:r>
      <w:r w:rsidR="00A164FD">
        <w:rPr>
          <w:rFonts w:asciiTheme="minorHAnsi" w:hAnsiTheme="minorHAnsi" w:cstheme="minorHAnsi"/>
          <w:color w:val="000000" w:themeColor="text1"/>
          <w:sz w:val="22"/>
          <w:szCs w:val="22"/>
          <w:lang w:val="en-GB"/>
        </w:rPr>
        <w:t>Paper 2</w:t>
      </w:r>
      <w:r w:rsidR="00150C06" w:rsidRPr="00150C06">
        <w:rPr>
          <w:rFonts w:hAnsiTheme="minorHAnsi"/>
          <w:color w:val="000000"/>
          <w:sz w:val="22"/>
          <w:vertAlign w:val="superscript"/>
        </w:rPr>
        <w:t>43</w:t>
      </w:r>
      <w:r w:rsidR="00433EE7" w:rsidRPr="00C37A4D">
        <w:rPr>
          <w:rFonts w:asciiTheme="minorHAnsi" w:hAnsiTheme="minorHAnsi" w:cstheme="minorHAnsi"/>
          <w:color w:val="000000" w:themeColor="text1"/>
          <w:sz w:val="22"/>
          <w:szCs w:val="22"/>
          <w:lang w:val="en-GB"/>
        </w:rPr>
        <w:t>)</w:t>
      </w:r>
      <w:r w:rsidR="00E61FF8" w:rsidRPr="00C37A4D">
        <w:rPr>
          <w:rFonts w:asciiTheme="minorHAnsi" w:hAnsiTheme="minorHAnsi" w:cstheme="minorHAnsi"/>
          <w:color w:val="000000" w:themeColor="text1"/>
          <w:sz w:val="22"/>
          <w:szCs w:val="22"/>
          <w:lang w:val="en-GB"/>
        </w:rPr>
        <w:t>.</w:t>
      </w:r>
      <w:r w:rsidR="0047001E" w:rsidRPr="00C37A4D">
        <w:rPr>
          <w:rFonts w:asciiTheme="minorHAnsi" w:hAnsiTheme="minorHAnsi" w:cstheme="minorHAnsi"/>
          <w:color w:val="000000" w:themeColor="text1"/>
          <w:sz w:val="22"/>
          <w:szCs w:val="22"/>
          <w:lang w:val="en-GB"/>
        </w:rPr>
        <w:t xml:space="preserve"> </w:t>
      </w:r>
      <w:r w:rsidR="00433EE7" w:rsidRPr="00C37A4D">
        <w:rPr>
          <w:rFonts w:asciiTheme="minorHAnsi" w:hAnsiTheme="minorHAnsi" w:cstheme="minorHAnsi"/>
          <w:color w:val="000000" w:themeColor="text1"/>
          <w:sz w:val="22"/>
          <w:szCs w:val="22"/>
          <w:lang w:val="en-GB"/>
        </w:rPr>
        <w:t xml:space="preserve">Genomic surveillance has identified major </w:t>
      </w:r>
      <w:r w:rsidR="00A164FD" w:rsidRPr="00C37A4D">
        <w:rPr>
          <w:rFonts w:asciiTheme="minorHAnsi" w:hAnsiTheme="minorHAnsi" w:cstheme="minorHAnsi"/>
          <w:i/>
          <w:color w:val="000000" w:themeColor="text1"/>
          <w:sz w:val="22"/>
          <w:szCs w:val="22"/>
          <w:lang w:val="en-GB"/>
        </w:rPr>
        <w:t>S</w:t>
      </w:r>
      <w:r w:rsidR="00A164FD">
        <w:rPr>
          <w:rFonts w:asciiTheme="minorHAnsi" w:hAnsiTheme="minorHAnsi" w:cstheme="minorHAnsi"/>
          <w:i/>
          <w:color w:val="000000" w:themeColor="text1"/>
          <w:sz w:val="22"/>
          <w:szCs w:val="22"/>
          <w:lang w:val="en-GB"/>
        </w:rPr>
        <w:t>.</w:t>
      </w:r>
      <w:r w:rsidR="00A164FD" w:rsidRPr="00C37A4D">
        <w:rPr>
          <w:rFonts w:asciiTheme="minorHAnsi" w:hAnsiTheme="minorHAnsi" w:cstheme="minorHAnsi"/>
          <w:color w:val="000000" w:themeColor="text1"/>
          <w:sz w:val="22"/>
          <w:szCs w:val="22"/>
          <w:lang w:val="en-GB"/>
        </w:rPr>
        <w:t xml:space="preserve"> </w:t>
      </w:r>
      <w:r w:rsidR="00433EE7" w:rsidRPr="00C37A4D">
        <w:rPr>
          <w:rFonts w:asciiTheme="minorHAnsi" w:hAnsiTheme="minorHAnsi" w:cstheme="minorHAnsi"/>
          <w:color w:val="000000" w:themeColor="text1"/>
          <w:sz w:val="22"/>
          <w:szCs w:val="22"/>
          <w:lang w:val="en-GB"/>
        </w:rPr>
        <w:t>Typhi clones and their routes of local and global dissemination</w:t>
      </w:r>
      <w:r w:rsidR="00C138C9">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121,122</w:t>
      </w:r>
      <w:r w:rsidR="00433EE7" w:rsidRPr="00C37A4D">
        <w:rPr>
          <w:rFonts w:asciiTheme="minorHAnsi" w:hAnsiTheme="minorHAnsi" w:cstheme="minorHAnsi"/>
          <w:color w:val="000000" w:themeColor="text1"/>
          <w:sz w:val="22"/>
          <w:szCs w:val="22"/>
          <w:lang w:val="en-GB"/>
        </w:rPr>
        <w:t xml:space="preserve"> including locations where drug-sensitive lineages continue to circulate.</w:t>
      </w:r>
      <w:r w:rsidR="008E7602" w:rsidRPr="00C37A4D" w:rsidDel="008E7602">
        <w:rPr>
          <w:rFonts w:asciiTheme="minorHAnsi" w:hAnsiTheme="minorHAnsi" w:cstheme="minorHAnsi"/>
          <w:color w:val="000000" w:themeColor="text1"/>
          <w:sz w:val="22"/>
          <w:szCs w:val="22"/>
          <w:lang w:val="en-GB"/>
        </w:rPr>
        <w:t xml:space="preserve"> </w:t>
      </w:r>
      <w:r w:rsidR="00433EE7" w:rsidRPr="00C37A4D">
        <w:rPr>
          <w:rFonts w:asciiTheme="minorHAnsi" w:hAnsiTheme="minorHAnsi" w:cstheme="minorHAnsi"/>
          <w:color w:val="000000" w:themeColor="text1"/>
          <w:sz w:val="22"/>
          <w:szCs w:val="22"/>
          <w:lang w:val="en-GB"/>
        </w:rPr>
        <w:t>Typhi genomic surveillance is based on large numbers of genomes (disproportionately fewer from Africa) allow</w:t>
      </w:r>
      <w:r w:rsidR="00322D35">
        <w:rPr>
          <w:rFonts w:asciiTheme="minorHAnsi" w:hAnsiTheme="minorHAnsi" w:cstheme="minorHAnsi"/>
          <w:color w:val="000000" w:themeColor="text1"/>
          <w:sz w:val="22"/>
          <w:szCs w:val="22"/>
          <w:lang w:val="en-GB"/>
        </w:rPr>
        <w:t>s</w:t>
      </w:r>
      <w:r w:rsidR="00433EE7" w:rsidRPr="00C37A4D">
        <w:rPr>
          <w:rFonts w:asciiTheme="minorHAnsi" w:hAnsiTheme="minorHAnsi" w:cstheme="minorHAnsi"/>
          <w:color w:val="000000" w:themeColor="text1"/>
          <w:sz w:val="22"/>
          <w:szCs w:val="22"/>
          <w:lang w:val="en-GB"/>
        </w:rPr>
        <w:t xml:space="preserve"> non-experts to contribute and interpret genomic information</w:t>
      </w:r>
      <w:r w:rsidR="002970B0">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122–124</w:t>
      </w:r>
      <w:r w:rsidR="002A4264" w:rsidRPr="00C37A4D">
        <w:rPr>
          <w:rFonts w:asciiTheme="minorHAnsi" w:hAnsiTheme="minorHAnsi" w:cstheme="minorHAnsi"/>
          <w:color w:val="000000" w:themeColor="text1"/>
          <w:sz w:val="22"/>
          <w:szCs w:val="22"/>
          <w:lang w:val="en-GB"/>
        </w:rPr>
        <w:t xml:space="preserve"> </w:t>
      </w:r>
      <w:r w:rsidR="00A164FD">
        <w:rPr>
          <w:rFonts w:asciiTheme="minorHAnsi" w:hAnsiTheme="minorHAnsi" w:cstheme="minorHAnsi"/>
          <w:color w:val="000000" w:themeColor="text1"/>
          <w:sz w:val="22"/>
          <w:szCs w:val="22"/>
          <w:lang w:val="en-GB"/>
        </w:rPr>
        <w:t>S</w:t>
      </w:r>
      <w:r w:rsidR="00433EE7" w:rsidRPr="00C37A4D">
        <w:rPr>
          <w:rFonts w:asciiTheme="minorHAnsi" w:hAnsiTheme="minorHAnsi" w:cstheme="minorHAnsi"/>
          <w:color w:val="000000" w:themeColor="text1"/>
          <w:sz w:val="22"/>
          <w:szCs w:val="22"/>
          <w:lang w:val="en-GB"/>
        </w:rPr>
        <w:t xml:space="preserve">urveillance </w:t>
      </w:r>
      <w:r w:rsidR="00322D35">
        <w:rPr>
          <w:rFonts w:asciiTheme="minorHAnsi" w:hAnsiTheme="minorHAnsi" w:cstheme="minorHAnsi"/>
          <w:color w:val="000000" w:themeColor="text1"/>
          <w:sz w:val="22"/>
          <w:szCs w:val="22"/>
          <w:lang w:val="en-GB"/>
        </w:rPr>
        <w:t xml:space="preserve">is </w:t>
      </w:r>
      <w:r w:rsidR="0033341E">
        <w:rPr>
          <w:rFonts w:asciiTheme="minorHAnsi" w:hAnsiTheme="minorHAnsi" w:cstheme="minorHAnsi"/>
          <w:color w:val="000000" w:themeColor="text1"/>
          <w:sz w:val="22"/>
          <w:szCs w:val="22"/>
          <w:lang w:val="en-GB"/>
        </w:rPr>
        <w:t>inhibited by it</w:t>
      </w:r>
      <w:r w:rsidR="00433EE7" w:rsidRPr="00C37A4D">
        <w:rPr>
          <w:rFonts w:asciiTheme="minorHAnsi" w:hAnsiTheme="minorHAnsi" w:cstheme="minorHAnsi"/>
          <w:color w:val="000000" w:themeColor="text1"/>
          <w:sz w:val="22"/>
          <w:szCs w:val="22"/>
          <w:lang w:val="en-GB"/>
        </w:rPr>
        <w:t>s dependence on blood cultur</w:t>
      </w:r>
      <w:r w:rsidR="00486635">
        <w:rPr>
          <w:rFonts w:asciiTheme="minorHAnsi" w:hAnsiTheme="minorHAnsi" w:cstheme="minorHAnsi"/>
          <w:color w:val="000000" w:themeColor="text1"/>
          <w:sz w:val="22"/>
          <w:szCs w:val="22"/>
          <w:lang w:val="en-GB"/>
        </w:rPr>
        <w:t>e</w:t>
      </w:r>
      <w:r w:rsidR="001572B2">
        <w:rPr>
          <w:rFonts w:asciiTheme="minorHAnsi" w:hAnsiTheme="minorHAnsi" w:cstheme="minorHAnsi"/>
          <w:color w:val="000000" w:themeColor="text1"/>
          <w:sz w:val="22"/>
          <w:szCs w:val="22"/>
          <w:lang w:val="en-GB"/>
        </w:rPr>
        <w:t>, which is</w:t>
      </w:r>
      <w:r w:rsidR="00433EE7" w:rsidRPr="00C37A4D">
        <w:rPr>
          <w:rFonts w:asciiTheme="minorHAnsi" w:hAnsiTheme="minorHAnsi" w:cstheme="minorHAnsi"/>
          <w:color w:val="000000" w:themeColor="text1"/>
          <w:sz w:val="22"/>
          <w:szCs w:val="22"/>
          <w:lang w:val="en-GB"/>
        </w:rPr>
        <w:t xml:space="preserve"> expensive, uncommon in many endemic areas, and insufficiently sensitive to </w:t>
      </w:r>
      <w:r w:rsidR="00EF39F4" w:rsidRPr="00C37A4D">
        <w:rPr>
          <w:rFonts w:asciiTheme="minorHAnsi" w:hAnsiTheme="minorHAnsi" w:cstheme="minorHAnsi"/>
          <w:color w:val="000000" w:themeColor="text1"/>
          <w:sz w:val="22"/>
          <w:szCs w:val="22"/>
          <w:lang w:val="en-GB"/>
        </w:rPr>
        <w:t>detect</w:t>
      </w:r>
      <w:r w:rsidR="00322D35">
        <w:rPr>
          <w:rFonts w:asciiTheme="minorHAnsi" w:hAnsiTheme="minorHAnsi" w:cstheme="minorHAnsi"/>
          <w:color w:val="000000" w:themeColor="text1"/>
          <w:sz w:val="22"/>
          <w:szCs w:val="22"/>
          <w:lang w:val="en-GB"/>
        </w:rPr>
        <w:t xml:space="preserve"> most</w:t>
      </w:r>
      <w:r w:rsidR="00EF39F4" w:rsidRPr="00C37A4D">
        <w:rPr>
          <w:rFonts w:asciiTheme="minorHAnsi" w:hAnsiTheme="minorHAnsi" w:cstheme="minorHAnsi"/>
          <w:color w:val="000000" w:themeColor="text1"/>
          <w:sz w:val="22"/>
          <w:szCs w:val="22"/>
          <w:lang w:val="en-GB"/>
        </w:rPr>
        <w:t xml:space="preserve"> </w:t>
      </w:r>
      <w:r w:rsidR="00433EE7" w:rsidRPr="00C37A4D">
        <w:rPr>
          <w:rFonts w:asciiTheme="minorHAnsi" w:hAnsiTheme="minorHAnsi" w:cstheme="minorHAnsi"/>
          <w:color w:val="000000" w:themeColor="text1"/>
          <w:sz w:val="22"/>
          <w:szCs w:val="22"/>
          <w:lang w:val="en-GB"/>
        </w:rPr>
        <w:t>typhoid cases</w:t>
      </w:r>
      <w:r w:rsidR="008D1C18">
        <w:rPr>
          <w:rFonts w:asciiTheme="minorHAnsi" w:hAnsiTheme="minorHAnsi" w:cstheme="minorHAnsi"/>
          <w:color w:val="000000" w:themeColor="text1"/>
          <w:sz w:val="22"/>
          <w:szCs w:val="22"/>
          <w:lang w:val="en-GB"/>
        </w:rPr>
        <w:t>.</w:t>
      </w:r>
      <w:r w:rsidR="00150C06" w:rsidRPr="00150C06">
        <w:rPr>
          <w:rFonts w:hAnsiTheme="minorHAnsi"/>
          <w:color w:val="000000"/>
          <w:sz w:val="22"/>
          <w:vertAlign w:val="superscript"/>
        </w:rPr>
        <w:t>125</w:t>
      </w:r>
      <w:r w:rsidR="0047001E" w:rsidRPr="00C37A4D">
        <w:rPr>
          <w:rFonts w:asciiTheme="minorHAnsi" w:hAnsiTheme="minorHAnsi" w:cstheme="minorHAnsi"/>
          <w:color w:val="000000" w:themeColor="text1"/>
          <w:sz w:val="22"/>
          <w:szCs w:val="22"/>
          <w:lang w:val="en-GB"/>
        </w:rPr>
        <w:t xml:space="preserve"> </w:t>
      </w:r>
      <w:r w:rsidR="00322D35">
        <w:rPr>
          <w:rFonts w:asciiTheme="minorHAnsi" w:hAnsiTheme="minorHAnsi" w:cstheme="minorHAnsi"/>
          <w:color w:val="000000" w:themeColor="text1"/>
          <w:sz w:val="22"/>
          <w:szCs w:val="22"/>
          <w:lang w:val="en-GB"/>
        </w:rPr>
        <w:t>Nevertheless,</w:t>
      </w:r>
      <w:r w:rsidR="00B04006">
        <w:rPr>
          <w:rFonts w:asciiTheme="minorHAnsi" w:hAnsiTheme="minorHAnsi" w:cstheme="minorHAnsi"/>
          <w:color w:val="000000" w:themeColor="text1"/>
          <w:sz w:val="22"/>
          <w:szCs w:val="22"/>
          <w:lang w:val="en-GB"/>
        </w:rPr>
        <w:t xml:space="preserve"> surveillance preceded adoption of the typhoid conjugative vaccines </w:t>
      </w:r>
      <w:r w:rsidR="00B04006">
        <w:rPr>
          <w:rFonts w:asciiTheme="minorHAnsi" w:hAnsiTheme="minorHAnsi" w:cstheme="minorHAnsi"/>
          <w:color w:val="000000" w:themeColor="text1"/>
          <w:sz w:val="22"/>
          <w:szCs w:val="22"/>
          <w:lang w:val="en-GB"/>
        </w:rPr>
        <w:lastRenderedPageBreak/>
        <w:t>in all but one (Liberia) of the countries that</w:t>
      </w:r>
      <w:r w:rsidR="00322D35">
        <w:rPr>
          <w:rFonts w:asciiTheme="minorHAnsi" w:hAnsiTheme="minorHAnsi" w:cstheme="minorHAnsi"/>
          <w:color w:val="000000" w:themeColor="text1"/>
          <w:sz w:val="22"/>
          <w:szCs w:val="22"/>
          <w:lang w:val="en-GB"/>
        </w:rPr>
        <w:t xml:space="preserve"> had</w:t>
      </w:r>
      <w:r w:rsidR="00B04006">
        <w:rPr>
          <w:rFonts w:asciiTheme="minorHAnsi" w:hAnsiTheme="minorHAnsi" w:cstheme="minorHAnsi"/>
          <w:color w:val="000000" w:themeColor="text1"/>
          <w:sz w:val="22"/>
          <w:szCs w:val="22"/>
          <w:lang w:val="en-GB"/>
        </w:rPr>
        <w:t xml:space="preserve"> deployed them by 2023 (</w:t>
      </w:r>
      <w:r w:rsidR="00B04006" w:rsidRPr="00B04006">
        <w:rPr>
          <w:rFonts w:asciiTheme="minorHAnsi" w:hAnsiTheme="minorHAnsi" w:cstheme="minorHAnsi"/>
          <w:color w:val="000000" w:themeColor="text1"/>
          <w:sz w:val="22"/>
          <w:szCs w:val="22"/>
          <w:lang w:val="en-GB"/>
        </w:rPr>
        <w:t>Liberia, Malawi, Nepal, Pakistan, Samoa, and Zimbabwe</w:t>
      </w:r>
      <w:r w:rsidR="00B04006">
        <w:rPr>
          <w:rFonts w:asciiTheme="minorHAnsi" w:hAnsiTheme="minorHAnsi" w:cstheme="minorHAnsi"/>
          <w:color w:val="000000" w:themeColor="text1"/>
          <w:sz w:val="22"/>
          <w:szCs w:val="22"/>
          <w:lang w:val="en-GB"/>
        </w:rPr>
        <w:t>)</w:t>
      </w:r>
      <w:r w:rsidR="001E2B4B">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126</w:t>
      </w:r>
      <w:r w:rsidR="00B04006">
        <w:rPr>
          <w:rFonts w:asciiTheme="minorHAnsi" w:hAnsiTheme="minorHAnsi" w:cstheme="minorHAnsi"/>
          <w:color w:val="000000" w:themeColor="text1"/>
          <w:sz w:val="22"/>
          <w:szCs w:val="22"/>
          <w:lang w:val="en-GB"/>
        </w:rPr>
        <w:t xml:space="preserve"> Neighbouring countries commonly have little or no typhoid surveillance.</w:t>
      </w:r>
    </w:p>
    <w:p w14:paraId="185AD94B" w14:textId="77777777" w:rsidR="00433EE7" w:rsidRPr="00C37A4D" w:rsidRDefault="00433EE7" w:rsidP="00433EE7">
      <w:pPr>
        <w:rPr>
          <w:rFonts w:asciiTheme="minorHAnsi" w:hAnsiTheme="minorHAnsi" w:cstheme="minorHAnsi"/>
          <w:color w:val="000000" w:themeColor="text1"/>
          <w:sz w:val="22"/>
          <w:szCs w:val="22"/>
          <w:lang w:val="en-GB"/>
        </w:rPr>
      </w:pPr>
    </w:p>
    <w:p w14:paraId="66BB0D80" w14:textId="78A26D4B" w:rsidR="004709DC" w:rsidRPr="00C37A4D" w:rsidRDefault="00433EE7">
      <w:pPr>
        <w:rPr>
          <w:rFonts w:asciiTheme="minorHAnsi" w:hAnsiTheme="minorHAnsi" w:cstheme="minorHAnsi"/>
          <w:color w:val="000000" w:themeColor="text1"/>
          <w:sz w:val="22"/>
          <w:szCs w:val="22"/>
          <w:lang w:val="en-GB"/>
        </w:rPr>
      </w:pPr>
      <w:r w:rsidRPr="00C37A4D">
        <w:rPr>
          <w:rFonts w:asciiTheme="minorHAnsi" w:hAnsiTheme="minorHAnsi" w:cstheme="minorHAnsi"/>
          <w:color w:val="000000" w:themeColor="text1"/>
          <w:sz w:val="22"/>
          <w:szCs w:val="22"/>
          <w:lang w:val="en-GB"/>
        </w:rPr>
        <w:t>In contrast</w:t>
      </w:r>
      <w:r w:rsidR="004955ED">
        <w:rPr>
          <w:rFonts w:asciiTheme="minorHAnsi" w:hAnsiTheme="minorHAnsi" w:cstheme="minorHAnsi"/>
          <w:color w:val="000000" w:themeColor="text1"/>
          <w:sz w:val="22"/>
          <w:szCs w:val="22"/>
          <w:lang w:val="en-GB"/>
        </w:rPr>
        <w:t xml:space="preserve"> to </w:t>
      </w:r>
      <w:r w:rsidR="004955ED" w:rsidRPr="0066136A">
        <w:rPr>
          <w:rFonts w:asciiTheme="minorHAnsi" w:hAnsiTheme="minorHAnsi" w:cstheme="minorHAnsi"/>
          <w:i/>
          <w:iCs/>
          <w:color w:val="000000" w:themeColor="text1"/>
          <w:sz w:val="22"/>
          <w:szCs w:val="22"/>
          <w:lang w:val="en-GB"/>
        </w:rPr>
        <w:t>Salmonella</w:t>
      </w:r>
      <w:r w:rsidR="004955ED">
        <w:rPr>
          <w:rFonts w:asciiTheme="minorHAnsi" w:hAnsiTheme="minorHAnsi" w:cstheme="minorHAnsi"/>
          <w:color w:val="000000" w:themeColor="text1"/>
          <w:sz w:val="22"/>
          <w:szCs w:val="22"/>
          <w:lang w:val="en-GB"/>
        </w:rPr>
        <w:t xml:space="preserve"> Typhi</w:t>
      </w:r>
      <w:r w:rsidRPr="00C37A4D">
        <w:rPr>
          <w:rFonts w:asciiTheme="minorHAnsi" w:hAnsiTheme="minorHAnsi" w:cstheme="minorHAnsi"/>
          <w:color w:val="000000" w:themeColor="text1"/>
          <w:sz w:val="22"/>
          <w:szCs w:val="22"/>
          <w:lang w:val="en-GB"/>
        </w:rPr>
        <w:t xml:space="preserve">, </w:t>
      </w:r>
      <w:r w:rsidR="00EF2081" w:rsidRPr="00C37A4D">
        <w:rPr>
          <w:rFonts w:asciiTheme="minorHAnsi" w:hAnsiTheme="minorHAnsi" w:cstheme="minorHAnsi"/>
          <w:color w:val="000000" w:themeColor="text1"/>
          <w:sz w:val="22"/>
          <w:szCs w:val="22"/>
          <w:lang w:val="en-GB"/>
        </w:rPr>
        <w:t xml:space="preserve">good genomic surveillance resources exist for </w:t>
      </w:r>
      <w:r w:rsidR="00333075" w:rsidRPr="00C37A4D">
        <w:rPr>
          <w:rFonts w:asciiTheme="minorHAnsi" w:hAnsiTheme="minorHAnsi" w:cstheme="minorHAnsi"/>
          <w:i/>
          <w:iCs/>
          <w:color w:val="000000" w:themeColor="text1"/>
          <w:sz w:val="22"/>
          <w:szCs w:val="22"/>
          <w:lang w:val="en-GB"/>
        </w:rPr>
        <w:t>S</w:t>
      </w:r>
      <w:r w:rsidR="00F42BEA">
        <w:rPr>
          <w:rFonts w:asciiTheme="minorHAnsi" w:hAnsiTheme="minorHAnsi" w:cstheme="minorHAnsi"/>
          <w:i/>
          <w:iCs/>
          <w:color w:val="000000" w:themeColor="text1"/>
          <w:sz w:val="22"/>
          <w:szCs w:val="22"/>
          <w:lang w:val="en-GB"/>
        </w:rPr>
        <w:t>treptococcus</w:t>
      </w:r>
      <w:r w:rsidR="00333075" w:rsidRPr="00C37A4D">
        <w:rPr>
          <w:rFonts w:asciiTheme="minorHAnsi" w:hAnsiTheme="minorHAnsi" w:cstheme="minorHAnsi"/>
          <w:i/>
          <w:iCs/>
          <w:color w:val="000000" w:themeColor="text1"/>
          <w:sz w:val="22"/>
          <w:szCs w:val="22"/>
          <w:lang w:val="en-GB"/>
        </w:rPr>
        <w:t xml:space="preserve"> </w:t>
      </w:r>
      <w:r w:rsidRPr="00C37A4D">
        <w:rPr>
          <w:rFonts w:asciiTheme="minorHAnsi" w:hAnsiTheme="minorHAnsi" w:cstheme="minorHAnsi"/>
          <w:i/>
          <w:iCs/>
          <w:color w:val="000000" w:themeColor="text1"/>
          <w:sz w:val="22"/>
          <w:szCs w:val="22"/>
          <w:lang w:val="en-GB"/>
        </w:rPr>
        <w:t xml:space="preserve">pneumoniae, </w:t>
      </w:r>
      <w:r w:rsidR="008E7602" w:rsidRPr="00C37A4D">
        <w:rPr>
          <w:rFonts w:asciiTheme="minorHAnsi" w:hAnsiTheme="minorHAnsi" w:cstheme="minorHAnsi"/>
          <w:color w:val="000000" w:themeColor="text1"/>
          <w:sz w:val="22"/>
          <w:szCs w:val="22"/>
          <w:lang w:val="en-GB"/>
        </w:rPr>
        <w:t>a</w:t>
      </w:r>
      <w:r w:rsidR="00D14B87" w:rsidRPr="00C37A4D">
        <w:rPr>
          <w:rFonts w:asciiTheme="minorHAnsi" w:hAnsiTheme="minorHAnsi" w:cstheme="minorHAnsi"/>
          <w:color w:val="000000" w:themeColor="text1"/>
          <w:sz w:val="22"/>
          <w:szCs w:val="22"/>
          <w:lang w:val="en-GB"/>
        </w:rPr>
        <w:t xml:space="preserve"> </w:t>
      </w:r>
      <w:r w:rsidRPr="00C37A4D">
        <w:rPr>
          <w:rFonts w:asciiTheme="minorHAnsi" w:hAnsiTheme="minorHAnsi" w:cstheme="minorHAnsi"/>
          <w:color w:val="000000" w:themeColor="text1"/>
          <w:sz w:val="22"/>
          <w:szCs w:val="22"/>
          <w:lang w:val="en-GB"/>
        </w:rPr>
        <w:t>community-acquired cause of childhood illness and mortality</w:t>
      </w:r>
      <w:r w:rsidR="00C82891">
        <w:rPr>
          <w:rFonts w:asciiTheme="minorHAnsi" w:hAnsiTheme="minorHAnsi" w:cstheme="minorHAnsi"/>
          <w:color w:val="000000" w:themeColor="text1"/>
          <w:sz w:val="22"/>
          <w:szCs w:val="22"/>
          <w:lang w:val="en-GB"/>
        </w:rPr>
        <w:t xml:space="preserve"> that is also vaccine preventable</w:t>
      </w:r>
      <w:r w:rsidR="00EF2081" w:rsidRPr="00C37A4D">
        <w:rPr>
          <w:rFonts w:asciiTheme="minorHAnsi" w:hAnsiTheme="minorHAnsi" w:cstheme="minorHAnsi"/>
          <w:color w:val="000000" w:themeColor="text1"/>
          <w:sz w:val="22"/>
          <w:szCs w:val="22"/>
          <w:lang w:val="en-GB"/>
        </w:rPr>
        <w:t xml:space="preserve">. </w:t>
      </w:r>
      <w:r w:rsidR="0037358B">
        <w:rPr>
          <w:rFonts w:asciiTheme="minorHAnsi" w:hAnsiTheme="minorHAnsi" w:cstheme="minorHAnsi"/>
          <w:color w:val="000000" w:themeColor="text1"/>
          <w:sz w:val="22"/>
          <w:szCs w:val="22"/>
          <w:lang w:val="en-GB"/>
        </w:rPr>
        <w:t>In 2009, an estimated 0</w:t>
      </w:r>
      <w:r w:rsidR="0031654B">
        <w:rPr>
          <w:rFonts w:asciiTheme="minorHAnsi" w:hAnsiTheme="minorHAnsi" w:cstheme="minorHAnsi"/>
          <w:color w:val="000000" w:themeColor="text1"/>
          <w:sz w:val="22"/>
          <w:szCs w:val="22"/>
          <w:lang w:val="en-GB"/>
        </w:rPr>
        <w:t>·</w:t>
      </w:r>
      <w:r w:rsidR="0037358B">
        <w:rPr>
          <w:rFonts w:asciiTheme="minorHAnsi" w:hAnsiTheme="minorHAnsi" w:cstheme="minorHAnsi"/>
          <w:color w:val="000000" w:themeColor="text1"/>
          <w:sz w:val="22"/>
          <w:szCs w:val="22"/>
          <w:lang w:val="en-GB"/>
        </w:rPr>
        <w:t xml:space="preserve">6 million deaths were associated with antimicrobial-resistant </w:t>
      </w:r>
      <w:r w:rsidR="0037358B" w:rsidRPr="0066136A">
        <w:rPr>
          <w:rFonts w:asciiTheme="minorHAnsi" w:hAnsiTheme="minorHAnsi" w:cstheme="minorHAnsi"/>
          <w:i/>
          <w:iCs/>
          <w:color w:val="000000" w:themeColor="text1"/>
          <w:sz w:val="22"/>
          <w:szCs w:val="22"/>
          <w:lang w:val="en-GB"/>
        </w:rPr>
        <w:t>S. pneumoniae</w:t>
      </w:r>
      <w:r w:rsidR="00044C4C">
        <w:rPr>
          <w:rFonts w:asciiTheme="minorHAnsi" w:hAnsiTheme="minorHAnsi" w:cstheme="minorHAnsi"/>
          <w:color w:val="000000" w:themeColor="text1"/>
          <w:sz w:val="22"/>
          <w:szCs w:val="22"/>
          <w:lang w:val="en-GB"/>
        </w:rPr>
        <w:t>.</w:t>
      </w:r>
      <w:r w:rsidR="00044C4C" w:rsidRPr="00044C4C">
        <w:rPr>
          <w:rFonts w:hAnsiTheme="minorHAnsi"/>
          <w:color w:val="000000"/>
          <w:sz w:val="22"/>
          <w:vertAlign w:val="superscript"/>
        </w:rPr>
        <w:t>1</w:t>
      </w:r>
      <w:r w:rsidR="0037358B">
        <w:rPr>
          <w:rFonts w:asciiTheme="minorHAnsi" w:hAnsiTheme="minorHAnsi" w:cstheme="minorHAnsi"/>
          <w:color w:val="000000" w:themeColor="text1"/>
          <w:sz w:val="22"/>
          <w:szCs w:val="22"/>
          <w:lang w:val="en-GB"/>
        </w:rPr>
        <w:t xml:space="preserve"> </w:t>
      </w:r>
      <w:r w:rsidR="00323F9A">
        <w:rPr>
          <w:rFonts w:asciiTheme="minorHAnsi" w:hAnsiTheme="minorHAnsi" w:cstheme="minorHAnsi"/>
          <w:color w:val="000000" w:themeColor="text1"/>
          <w:sz w:val="22"/>
          <w:szCs w:val="22"/>
          <w:lang w:val="en-GB"/>
        </w:rPr>
        <w:t>I</w:t>
      </w:r>
      <w:r w:rsidR="00EF2081" w:rsidRPr="00C37A4D">
        <w:rPr>
          <w:rFonts w:asciiTheme="minorHAnsi" w:hAnsiTheme="minorHAnsi" w:cstheme="minorHAnsi"/>
          <w:color w:val="000000" w:themeColor="text1"/>
          <w:sz w:val="22"/>
          <w:szCs w:val="22"/>
          <w:lang w:val="en-GB"/>
        </w:rPr>
        <w:t>solates</w:t>
      </w:r>
      <w:r w:rsidRPr="00C37A4D">
        <w:rPr>
          <w:rFonts w:asciiTheme="minorHAnsi" w:hAnsiTheme="minorHAnsi" w:cstheme="minorHAnsi"/>
          <w:color w:val="000000" w:themeColor="text1"/>
          <w:sz w:val="22"/>
          <w:szCs w:val="22"/>
          <w:lang w:val="en-GB"/>
        </w:rPr>
        <w:t xml:space="preserve"> can be retrieved from nasal</w:t>
      </w:r>
      <w:r w:rsidR="008329D8" w:rsidRPr="00C37A4D">
        <w:rPr>
          <w:rFonts w:asciiTheme="minorHAnsi" w:hAnsiTheme="minorHAnsi" w:cstheme="minorHAnsi"/>
          <w:color w:val="000000" w:themeColor="text1"/>
          <w:sz w:val="22"/>
          <w:szCs w:val="22"/>
          <w:lang w:val="en-GB"/>
        </w:rPr>
        <w:t>-</w:t>
      </w:r>
      <w:r w:rsidRPr="00C37A4D">
        <w:rPr>
          <w:rFonts w:asciiTheme="minorHAnsi" w:hAnsiTheme="minorHAnsi" w:cstheme="minorHAnsi"/>
          <w:color w:val="000000" w:themeColor="text1"/>
          <w:sz w:val="22"/>
          <w:szCs w:val="22"/>
          <w:lang w:val="en-GB"/>
        </w:rPr>
        <w:t>swab surveys in healthy populations</w:t>
      </w:r>
      <w:r w:rsidR="0047001E" w:rsidRPr="00C37A4D">
        <w:rPr>
          <w:rFonts w:asciiTheme="minorHAnsi" w:hAnsiTheme="minorHAnsi" w:cstheme="minorHAnsi"/>
          <w:color w:val="000000" w:themeColor="text1"/>
          <w:sz w:val="22"/>
          <w:szCs w:val="22"/>
          <w:lang w:val="en-GB"/>
        </w:rPr>
        <w:t xml:space="preserve"> </w:t>
      </w:r>
      <w:r w:rsidR="00EF2081" w:rsidRPr="00C37A4D">
        <w:rPr>
          <w:rFonts w:asciiTheme="minorHAnsi" w:hAnsiTheme="minorHAnsi" w:cstheme="minorHAnsi"/>
          <w:color w:val="000000" w:themeColor="text1"/>
          <w:sz w:val="22"/>
          <w:szCs w:val="22"/>
          <w:lang w:val="en-GB"/>
        </w:rPr>
        <w:t>and added</w:t>
      </w:r>
      <w:r w:rsidRPr="00C37A4D">
        <w:rPr>
          <w:rFonts w:asciiTheme="minorHAnsi" w:hAnsiTheme="minorHAnsi" w:cstheme="minorHAnsi"/>
          <w:color w:val="000000" w:themeColor="text1"/>
          <w:sz w:val="22"/>
          <w:szCs w:val="22"/>
          <w:lang w:val="en-GB"/>
        </w:rPr>
        <w:t xml:space="preserve"> to </w:t>
      </w:r>
      <w:r w:rsidR="00EF2081" w:rsidRPr="00C37A4D">
        <w:rPr>
          <w:rFonts w:asciiTheme="minorHAnsi" w:hAnsiTheme="minorHAnsi" w:cstheme="minorHAnsi"/>
          <w:color w:val="000000" w:themeColor="text1"/>
          <w:sz w:val="22"/>
          <w:szCs w:val="22"/>
          <w:lang w:val="en-GB"/>
        </w:rPr>
        <w:t xml:space="preserve">information </w:t>
      </w:r>
      <w:r w:rsidRPr="00C37A4D">
        <w:rPr>
          <w:rFonts w:asciiTheme="minorHAnsi" w:hAnsiTheme="minorHAnsi" w:cstheme="minorHAnsi"/>
          <w:color w:val="000000" w:themeColor="text1"/>
          <w:sz w:val="22"/>
          <w:szCs w:val="22"/>
          <w:lang w:val="en-GB"/>
        </w:rPr>
        <w:t>from blood</w:t>
      </w:r>
      <w:r w:rsidR="00EF2081" w:rsidRPr="00C37A4D">
        <w:rPr>
          <w:rFonts w:asciiTheme="minorHAnsi" w:hAnsiTheme="minorHAnsi" w:cstheme="minorHAnsi"/>
          <w:color w:val="000000" w:themeColor="text1"/>
          <w:sz w:val="22"/>
          <w:szCs w:val="22"/>
          <w:lang w:val="en-GB"/>
        </w:rPr>
        <w:t xml:space="preserve"> and </w:t>
      </w:r>
      <w:r w:rsidR="008E7602" w:rsidRPr="00C37A4D">
        <w:rPr>
          <w:rFonts w:asciiTheme="minorHAnsi" w:hAnsiTheme="minorHAnsi" w:cstheme="minorHAnsi"/>
          <w:color w:val="000000" w:themeColor="text1"/>
          <w:sz w:val="22"/>
          <w:szCs w:val="22"/>
          <w:lang w:val="en-GB"/>
        </w:rPr>
        <w:t>cerebrospinal fluid</w:t>
      </w:r>
      <w:r w:rsidRPr="00C37A4D">
        <w:rPr>
          <w:rFonts w:asciiTheme="minorHAnsi" w:hAnsiTheme="minorHAnsi" w:cstheme="minorHAnsi"/>
          <w:color w:val="000000" w:themeColor="text1"/>
          <w:sz w:val="22"/>
          <w:szCs w:val="22"/>
          <w:lang w:val="en-GB"/>
        </w:rPr>
        <w:t xml:space="preserve"> cultures</w:t>
      </w:r>
      <w:r w:rsidR="00872FE7">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127</w:t>
      </w:r>
      <w:r w:rsidRPr="00C37A4D">
        <w:rPr>
          <w:rFonts w:asciiTheme="minorHAnsi" w:hAnsiTheme="minorHAnsi" w:cstheme="minorHAnsi"/>
          <w:color w:val="000000" w:themeColor="text1"/>
          <w:sz w:val="22"/>
          <w:szCs w:val="22"/>
          <w:lang w:val="en-GB"/>
        </w:rPr>
        <w:t xml:space="preserve"> </w:t>
      </w:r>
      <w:r w:rsidR="00EF2081" w:rsidRPr="00C37A4D">
        <w:rPr>
          <w:rFonts w:asciiTheme="minorHAnsi" w:hAnsiTheme="minorHAnsi" w:cstheme="minorHAnsi"/>
          <w:color w:val="000000" w:themeColor="text1"/>
          <w:sz w:val="22"/>
          <w:szCs w:val="22"/>
          <w:lang w:val="en-GB"/>
        </w:rPr>
        <w:t>compensating for</w:t>
      </w:r>
      <w:r w:rsidRPr="00C37A4D">
        <w:rPr>
          <w:rFonts w:asciiTheme="minorHAnsi" w:hAnsiTheme="minorHAnsi" w:cstheme="minorHAnsi"/>
          <w:color w:val="000000" w:themeColor="text1"/>
          <w:sz w:val="22"/>
          <w:szCs w:val="22"/>
          <w:lang w:val="en-GB"/>
        </w:rPr>
        <w:t xml:space="preserve"> limited access to microbiology resources.</w:t>
      </w:r>
      <w:r w:rsidR="0047001E" w:rsidRPr="00C37A4D">
        <w:rPr>
          <w:rFonts w:asciiTheme="minorHAnsi" w:hAnsiTheme="minorHAnsi" w:cstheme="minorHAnsi"/>
          <w:color w:val="000000" w:themeColor="text1"/>
          <w:sz w:val="22"/>
          <w:szCs w:val="22"/>
          <w:lang w:val="en-GB"/>
        </w:rPr>
        <w:t xml:space="preserve"> </w:t>
      </w:r>
      <w:r w:rsidRPr="00C37A4D">
        <w:rPr>
          <w:rFonts w:asciiTheme="minorHAnsi" w:hAnsiTheme="minorHAnsi" w:cstheme="minorHAnsi"/>
          <w:color w:val="000000" w:themeColor="text1"/>
          <w:sz w:val="22"/>
          <w:szCs w:val="22"/>
          <w:lang w:val="en-GB"/>
        </w:rPr>
        <w:t>This in turn makes it possible to obtain lineage-specific information that can inform vaccine deployment</w:t>
      </w:r>
      <w:r w:rsidR="00C51C2C">
        <w:rPr>
          <w:rFonts w:asciiTheme="minorHAnsi" w:hAnsiTheme="minorHAnsi" w:cstheme="minorHAnsi"/>
          <w:color w:val="000000" w:themeColor="text1"/>
          <w:sz w:val="22"/>
          <w:szCs w:val="22"/>
          <w:lang w:val="en-GB"/>
        </w:rPr>
        <w:t xml:space="preserve"> </w:t>
      </w:r>
      <w:r w:rsidR="00693534">
        <w:rPr>
          <w:rFonts w:asciiTheme="minorHAnsi" w:hAnsiTheme="minorHAnsi" w:cstheme="minorHAnsi"/>
          <w:color w:val="000000" w:themeColor="text1"/>
          <w:sz w:val="22"/>
          <w:szCs w:val="22"/>
          <w:lang w:val="en-GB"/>
        </w:rPr>
        <w:t>and</w:t>
      </w:r>
      <w:r w:rsidR="00C51C2C">
        <w:rPr>
          <w:rFonts w:asciiTheme="minorHAnsi" w:hAnsiTheme="minorHAnsi" w:cstheme="minorHAnsi"/>
          <w:color w:val="000000" w:themeColor="text1"/>
          <w:sz w:val="22"/>
          <w:szCs w:val="22"/>
          <w:lang w:val="en-GB"/>
        </w:rPr>
        <w:t xml:space="preserve"> empiric treatment</w:t>
      </w:r>
      <w:r w:rsidRPr="00C37A4D">
        <w:rPr>
          <w:rFonts w:asciiTheme="minorHAnsi" w:hAnsiTheme="minorHAnsi" w:cstheme="minorHAnsi"/>
          <w:color w:val="000000" w:themeColor="text1"/>
          <w:sz w:val="22"/>
          <w:szCs w:val="22"/>
          <w:lang w:val="en-GB"/>
        </w:rPr>
        <w:t xml:space="preserve">. For typhoid and other infections </w:t>
      </w:r>
      <w:r w:rsidR="00EF2081" w:rsidRPr="00C37A4D">
        <w:rPr>
          <w:rFonts w:asciiTheme="minorHAnsi" w:hAnsiTheme="minorHAnsi" w:cstheme="minorHAnsi"/>
          <w:color w:val="000000" w:themeColor="text1"/>
          <w:sz w:val="22"/>
          <w:szCs w:val="22"/>
          <w:lang w:val="en-GB"/>
        </w:rPr>
        <w:t>with</w:t>
      </w:r>
      <w:r w:rsidR="009912E3">
        <w:rPr>
          <w:rFonts w:asciiTheme="minorHAnsi" w:hAnsiTheme="minorHAnsi" w:cstheme="minorHAnsi"/>
          <w:color w:val="000000" w:themeColor="text1"/>
          <w:sz w:val="22"/>
          <w:szCs w:val="22"/>
          <w:lang w:val="en-GB"/>
        </w:rPr>
        <w:t>out</w:t>
      </w:r>
      <w:r w:rsidRPr="00C37A4D">
        <w:rPr>
          <w:rFonts w:asciiTheme="minorHAnsi" w:hAnsiTheme="minorHAnsi" w:cstheme="minorHAnsi"/>
          <w:color w:val="000000" w:themeColor="text1"/>
          <w:sz w:val="22"/>
          <w:szCs w:val="22"/>
          <w:lang w:val="en-GB"/>
        </w:rPr>
        <w:t xml:space="preserve"> easily accessible pathogenic or potentially pathogenic isolates, emerging surveillance approaches, including direct specimen testing and environmental surveillance</w:t>
      </w:r>
      <w:r w:rsidR="00EF2081" w:rsidRPr="00C37A4D">
        <w:rPr>
          <w:rFonts w:asciiTheme="minorHAnsi" w:hAnsiTheme="minorHAnsi" w:cstheme="minorHAnsi"/>
          <w:color w:val="000000" w:themeColor="text1"/>
          <w:sz w:val="22"/>
          <w:szCs w:val="22"/>
          <w:lang w:val="en-GB"/>
        </w:rPr>
        <w:t>,</w:t>
      </w:r>
      <w:r w:rsidRPr="00C37A4D">
        <w:rPr>
          <w:rFonts w:asciiTheme="minorHAnsi" w:hAnsiTheme="minorHAnsi" w:cstheme="minorHAnsi"/>
          <w:color w:val="000000" w:themeColor="text1"/>
          <w:sz w:val="22"/>
          <w:szCs w:val="22"/>
          <w:lang w:val="en-GB"/>
        </w:rPr>
        <w:t xml:space="preserve"> offer promise.</w:t>
      </w:r>
      <w:r w:rsidR="0047001E" w:rsidRPr="00C37A4D">
        <w:rPr>
          <w:rFonts w:asciiTheme="minorHAnsi" w:hAnsiTheme="minorHAnsi" w:cstheme="minorHAnsi"/>
          <w:color w:val="000000" w:themeColor="text1"/>
          <w:sz w:val="22"/>
          <w:szCs w:val="22"/>
          <w:lang w:val="en-GB"/>
        </w:rPr>
        <w:t xml:space="preserve"> </w:t>
      </w:r>
      <w:r w:rsidR="00E63E87">
        <w:rPr>
          <w:rFonts w:asciiTheme="minorHAnsi" w:hAnsiTheme="minorHAnsi" w:cstheme="minorHAnsi"/>
          <w:color w:val="000000" w:themeColor="text1"/>
          <w:sz w:val="22"/>
          <w:szCs w:val="22"/>
          <w:lang w:val="en-GB"/>
        </w:rPr>
        <w:t>D</w:t>
      </w:r>
      <w:r w:rsidRPr="00C37A4D">
        <w:rPr>
          <w:rFonts w:asciiTheme="minorHAnsi" w:hAnsiTheme="minorHAnsi" w:cstheme="minorHAnsi"/>
          <w:color w:val="000000" w:themeColor="text1"/>
          <w:sz w:val="22"/>
          <w:szCs w:val="22"/>
          <w:lang w:val="en-GB"/>
        </w:rPr>
        <w:t xml:space="preserve">rug resistance </w:t>
      </w:r>
      <w:r w:rsidR="00323F9A">
        <w:rPr>
          <w:rFonts w:asciiTheme="minorHAnsi" w:hAnsiTheme="minorHAnsi" w:cstheme="minorHAnsi"/>
          <w:color w:val="000000" w:themeColor="text1"/>
          <w:sz w:val="22"/>
          <w:szCs w:val="22"/>
          <w:lang w:val="en-GB"/>
        </w:rPr>
        <w:t xml:space="preserve">monitoring </w:t>
      </w:r>
      <w:r w:rsidRPr="00C37A4D">
        <w:rPr>
          <w:rFonts w:asciiTheme="minorHAnsi" w:hAnsiTheme="minorHAnsi" w:cstheme="minorHAnsi"/>
          <w:color w:val="000000" w:themeColor="text1"/>
          <w:sz w:val="22"/>
          <w:szCs w:val="22"/>
          <w:lang w:val="en-GB"/>
        </w:rPr>
        <w:t>and resistance mechanism</w:t>
      </w:r>
      <w:r w:rsidR="00323F9A">
        <w:rPr>
          <w:rFonts w:asciiTheme="minorHAnsi" w:hAnsiTheme="minorHAnsi" w:cstheme="minorHAnsi"/>
          <w:color w:val="000000" w:themeColor="text1"/>
          <w:sz w:val="22"/>
          <w:szCs w:val="22"/>
          <w:lang w:val="en-GB"/>
        </w:rPr>
        <w:t xml:space="preserve"> identification</w:t>
      </w:r>
      <w:r w:rsidR="008E7602" w:rsidRPr="00C37A4D">
        <w:rPr>
          <w:rFonts w:asciiTheme="minorHAnsi" w:hAnsiTheme="minorHAnsi" w:cstheme="minorHAnsi"/>
          <w:color w:val="000000" w:themeColor="text1"/>
          <w:sz w:val="22"/>
          <w:szCs w:val="22"/>
          <w:lang w:val="en-GB"/>
        </w:rPr>
        <w:t xml:space="preserve"> need to be built into the </w:t>
      </w:r>
      <w:r w:rsidRPr="00C37A4D">
        <w:rPr>
          <w:rFonts w:asciiTheme="minorHAnsi" w:hAnsiTheme="minorHAnsi" w:cstheme="minorHAnsi"/>
          <w:color w:val="000000" w:themeColor="text1"/>
          <w:sz w:val="22"/>
          <w:szCs w:val="22"/>
          <w:lang w:val="en-GB"/>
        </w:rPr>
        <w:t>new approaches</w:t>
      </w:r>
      <w:r w:rsidR="009A0A3B" w:rsidRPr="00C37A4D">
        <w:rPr>
          <w:rFonts w:asciiTheme="minorHAnsi" w:hAnsiTheme="minorHAnsi" w:cstheme="minorHAnsi"/>
          <w:color w:val="000000" w:themeColor="text1"/>
          <w:sz w:val="22"/>
          <w:szCs w:val="22"/>
          <w:lang w:val="en-GB"/>
        </w:rPr>
        <w:t>,</w:t>
      </w:r>
      <w:r w:rsidRPr="00C37A4D">
        <w:rPr>
          <w:rFonts w:asciiTheme="minorHAnsi" w:hAnsiTheme="minorHAnsi" w:cstheme="minorHAnsi"/>
          <w:color w:val="000000" w:themeColor="text1"/>
          <w:sz w:val="22"/>
          <w:szCs w:val="22"/>
          <w:lang w:val="en-GB"/>
        </w:rPr>
        <w:t xml:space="preserve"> even </w:t>
      </w:r>
      <w:r w:rsidR="00323F9A">
        <w:rPr>
          <w:rFonts w:asciiTheme="minorHAnsi" w:hAnsiTheme="minorHAnsi" w:cstheme="minorHAnsi"/>
          <w:color w:val="000000" w:themeColor="text1"/>
          <w:sz w:val="22"/>
          <w:szCs w:val="22"/>
          <w:lang w:val="en-GB"/>
        </w:rPr>
        <w:t>at</w:t>
      </w:r>
      <w:r w:rsidRPr="00C37A4D">
        <w:rPr>
          <w:rFonts w:asciiTheme="minorHAnsi" w:hAnsiTheme="minorHAnsi" w:cstheme="minorHAnsi"/>
          <w:color w:val="000000" w:themeColor="text1"/>
          <w:sz w:val="22"/>
          <w:szCs w:val="22"/>
          <w:lang w:val="en-GB"/>
        </w:rPr>
        <w:t xml:space="preserve"> additional cost.</w:t>
      </w:r>
    </w:p>
    <w:p w14:paraId="5B5386F8" w14:textId="6873C140" w:rsidR="004709DC" w:rsidRDefault="004709DC">
      <w:pPr>
        <w:rPr>
          <w:rFonts w:asciiTheme="minorHAnsi" w:hAnsiTheme="minorHAnsi" w:cstheme="minorHAnsi"/>
          <w:color w:val="000000" w:themeColor="text1"/>
          <w:sz w:val="22"/>
          <w:szCs w:val="22"/>
          <w:lang w:val="en-GB"/>
        </w:rPr>
      </w:pPr>
    </w:p>
    <w:p w14:paraId="0778A65C" w14:textId="7FE33437" w:rsidR="008F3ED8" w:rsidRPr="00C37A4D" w:rsidRDefault="008F3ED8" w:rsidP="008F3ED8">
      <w:pPr>
        <w:rPr>
          <w:rFonts w:asciiTheme="minorHAnsi" w:hAnsiTheme="minorHAnsi" w:cstheme="minorHAnsi"/>
          <w:color w:val="000000" w:themeColor="text1"/>
          <w:sz w:val="22"/>
          <w:szCs w:val="22"/>
          <w:lang w:val="en-GB"/>
        </w:rPr>
      </w:pPr>
      <w:r>
        <w:rPr>
          <w:rFonts w:asciiTheme="minorHAnsi" w:hAnsiTheme="minorHAnsi" w:cstheme="minorHAnsi"/>
          <w:b/>
          <w:bCs/>
          <w:color w:val="000000" w:themeColor="text1"/>
          <w:sz w:val="22"/>
          <w:szCs w:val="22"/>
          <w:lang w:val="en-GB"/>
        </w:rPr>
        <w:t>ANTIMICROBIAL</w:t>
      </w:r>
      <w:r w:rsidRPr="00C37A4D">
        <w:rPr>
          <w:rFonts w:asciiTheme="minorHAnsi" w:hAnsiTheme="minorHAnsi" w:cstheme="minorHAnsi"/>
          <w:b/>
          <w:bCs/>
          <w:color w:val="000000" w:themeColor="text1"/>
          <w:sz w:val="22"/>
          <w:szCs w:val="22"/>
          <w:lang w:val="en-GB"/>
        </w:rPr>
        <w:t xml:space="preserve"> </w:t>
      </w:r>
      <w:r>
        <w:rPr>
          <w:rFonts w:asciiTheme="minorHAnsi" w:hAnsiTheme="minorHAnsi" w:cstheme="minorHAnsi"/>
          <w:b/>
          <w:bCs/>
          <w:color w:val="000000" w:themeColor="text1"/>
          <w:sz w:val="22"/>
          <w:szCs w:val="22"/>
          <w:lang w:val="en-GB"/>
        </w:rPr>
        <w:t>USE: A KEY DRIVER OF RESISTANCE</w:t>
      </w:r>
      <w:r w:rsidRPr="00C37A4D">
        <w:rPr>
          <w:rFonts w:asciiTheme="minorHAnsi" w:hAnsiTheme="minorHAnsi" w:cstheme="minorHAnsi"/>
          <w:color w:val="000000" w:themeColor="text1"/>
          <w:sz w:val="22"/>
          <w:szCs w:val="22"/>
          <w:lang w:val="en-GB"/>
        </w:rPr>
        <w:t xml:space="preserve"> </w:t>
      </w:r>
    </w:p>
    <w:p w14:paraId="3A92C235" w14:textId="51C48817" w:rsidR="008F3ED8" w:rsidRDefault="008F3ED8" w:rsidP="008F3ED8">
      <w:pPr>
        <w:rPr>
          <w:rFonts w:asciiTheme="minorHAnsi" w:hAnsiTheme="minorHAnsi" w:cstheme="minorHAnsi"/>
          <w:color w:val="000000" w:themeColor="text1"/>
          <w:sz w:val="22"/>
          <w:szCs w:val="22"/>
          <w:lang w:val="en-GB"/>
        </w:rPr>
      </w:pPr>
      <w:r>
        <w:rPr>
          <w:rFonts w:asciiTheme="minorHAnsi" w:hAnsiTheme="minorHAnsi" w:cstheme="minorHAnsi"/>
          <w:bCs/>
          <w:color w:val="000000" w:themeColor="text1"/>
          <w:sz w:val="22"/>
          <w:szCs w:val="22"/>
          <w:lang w:val="en-GB"/>
        </w:rPr>
        <w:t xml:space="preserve">Antimicrobials cure infections but </w:t>
      </w:r>
      <w:r w:rsidR="00031169">
        <w:rPr>
          <w:rFonts w:asciiTheme="minorHAnsi" w:hAnsiTheme="minorHAnsi" w:cstheme="minorHAnsi"/>
          <w:bCs/>
          <w:color w:val="000000" w:themeColor="text1"/>
          <w:sz w:val="22"/>
          <w:szCs w:val="22"/>
          <w:lang w:val="en-GB"/>
        </w:rPr>
        <w:t xml:space="preserve">also </w:t>
      </w:r>
      <w:r>
        <w:rPr>
          <w:rFonts w:asciiTheme="minorHAnsi" w:hAnsiTheme="minorHAnsi" w:cstheme="minorHAnsi"/>
          <w:bCs/>
          <w:color w:val="000000" w:themeColor="text1"/>
          <w:sz w:val="22"/>
          <w:szCs w:val="22"/>
          <w:lang w:val="en-GB"/>
        </w:rPr>
        <w:t xml:space="preserve">drive resistance by providing resistant </w:t>
      </w:r>
      <w:r w:rsidR="00B57102">
        <w:rPr>
          <w:rFonts w:asciiTheme="minorHAnsi" w:hAnsiTheme="minorHAnsi" w:cstheme="minorHAnsi"/>
          <w:bCs/>
          <w:color w:val="000000" w:themeColor="text1"/>
          <w:sz w:val="22"/>
          <w:szCs w:val="22"/>
          <w:lang w:val="en-GB"/>
        </w:rPr>
        <w:t xml:space="preserve">microbes with a selective advantage over sensitive ones. </w:t>
      </w:r>
      <w:r w:rsidRPr="00C37A4D">
        <w:rPr>
          <w:rFonts w:asciiTheme="minorHAnsi" w:hAnsiTheme="minorHAnsi" w:cstheme="minorHAnsi"/>
          <w:bCs/>
          <w:color w:val="000000" w:themeColor="text1"/>
          <w:sz w:val="22"/>
          <w:szCs w:val="22"/>
          <w:lang w:val="en-GB"/>
        </w:rPr>
        <w:t xml:space="preserve">Global </w:t>
      </w:r>
      <w:r>
        <w:rPr>
          <w:rFonts w:asciiTheme="minorHAnsi" w:hAnsiTheme="minorHAnsi" w:cstheme="minorHAnsi"/>
          <w:bCs/>
          <w:color w:val="000000" w:themeColor="text1"/>
          <w:sz w:val="22"/>
          <w:szCs w:val="22"/>
          <w:lang w:val="en-GB"/>
        </w:rPr>
        <w:t>antimicrobial/ antibiotic use (AMU) —</w:t>
      </w:r>
      <w:r w:rsidR="00031169">
        <w:rPr>
          <w:rFonts w:asciiTheme="minorHAnsi" w:hAnsiTheme="minorHAnsi" w:cstheme="minorHAnsi"/>
          <w:bCs/>
          <w:color w:val="000000" w:themeColor="text1"/>
          <w:sz w:val="22"/>
          <w:szCs w:val="22"/>
          <w:lang w:val="en-GB"/>
        </w:rPr>
        <w:t xml:space="preserve"> the key</w:t>
      </w:r>
      <w:r w:rsidRPr="00C37A4D">
        <w:rPr>
          <w:rFonts w:asciiTheme="minorHAnsi" w:hAnsiTheme="minorHAnsi" w:cstheme="minorHAnsi"/>
          <w:bCs/>
          <w:color w:val="000000" w:themeColor="text1"/>
          <w:sz w:val="22"/>
          <w:szCs w:val="22"/>
          <w:lang w:val="en-GB"/>
        </w:rPr>
        <w:t xml:space="preserve"> driver of resistance</w:t>
      </w:r>
      <w:r>
        <w:rPr>
          <w:rFonts w:asciiTheme="minorHAnsi" w:hAnsiTheme="minorHAnsi" w:cstheme="minorHAnsi"/>
          <w:bCs/>
          <w:color w:val="000000" w:themeColor="text1"/>
          <w:sz w:val="22"/>
          <w:szCs w:val="22"/>
          <w:lang w:val="en-GB"/>
        </w:rPr>
        <w:t>—</w:t>
      </w:r>
      <w:r w:rsidRPr="00C37A4D">
        <w:rPr>
          <w:rFonts w:asciiTheme="minorHAnsi" w:hAnsiTheme="minorHAnsi" w:cstheme="minorHAnsi"/>
          <w:bCs/>
          <w:color w:val="000000" w:themeColor="text1"/>
          <w:sz w:val="22"/>
          <w:szCs w:val="22"/>
          <w:lang w:val="en-GB"/>
        </w:rPr>
        <w:t>surged by 46</w:t>
      </w:r>
      <w:r>
        <w:rPr>
          <w:rFonts w:asciiTheme="minorHAnsi" w:hAnsiTheme="minorHAnsi" w:cstheme="minorHAnsi"/>
          <w:bCs/>
          <w:color w:val="000000" w:themeColor="text1"/>
          <w:sz w:val="22"/>
          <w:szCs w:val="22"/>
          <w:lang w:val="en-GB"/>
        </w:rPr>
        <w:t xml:space="preserve">% </w:t>
      </w:r>
      <w:r w:rsidRPr="00C37A4D">
        <w:rPr>
          <w:rFonts w:asciiTheme="minorHAnsi" w:hAnsiTheme="minorHAnsi" w:cstheme="minorHAnsi"/>
          <w:bCs/>
          <w:color w:val="000000" w:themeColor="text1"/>
          <w:sz w:val="22"/>
          <w:szCs w:val="22"/>
          <w:lang w:val="en-GB"/>
        </w:rPr>
        <w:t xml:space="preserve">over the </w:t>
      </w:r>
      <w:r>
        <w:rPr>
          <w:rFonts w:asciiTheme="minorHAnsi" w:hAnsiTheme="minorHAnsi" w:cstheme="minorHAnsi"/>
          <w:bCs/>
          <w:color w:val="000000" w:themeColor="text1"/>
          <w:sz w:val="22"/>
          <w:szCs w:val="22"/>
          <w:lang w:val="en-GB"/>
        </w:rPr>
        <w:t>p</w:t>
      </w:r>
      <w:r w:rsidRPr="00C37A4D">
        <w:rPr>
          <w:rFonts w:asciiTheme="minorHAnsi" w:hAnsiTheme="minorHAnsi" w:cstheme="minorHAnsi"/>
          <w:bCs/>
          <w:color w:val="000000" w:themeColor="text1"/>
          <w:sz w:val="22"/>
          <w:szCs w:val="22"/>
          <w:lang w:val="en-GB"/>
        </w:rPr>
        <w:t>ast two decades</w:t>
      </w:r>
      <w:r w:rsidR="002762C3">
        <w:rPr>
          <w:rFonts w:asciiTheme="minorHAnsi" w:hAnsiTheme="minorHAnsi" w:cstheme="minorHAnsi"/>
          <w:bCs/>
          <w:color w:val="000000" w:themeColor="text1"/>
          <w:sz w:val="22"/>
          <w:szCs w:val="22"/>
          <w:lang w:val="en-GB"/>
        </w:rPr>
        <w:t>.</w:t>
      </w:r>
      <w:r w:rsidR="00E00CFD" w:rsidRPr="00E00CFD">
        <w:rPr>
          <w:rFonts w:hAnsiTheme="minorHAnsi"/>
          <w:color w:val="000000"/>
          <w:sz w:val="22"/>
          <w:vertAlign w:val="superscript"/>
        </w:rPr>
        <w:t>128</w:t>
      </w:r>
      <w:r w:rsidRPr="00C37A4D">
        <w:rPr>
          <w:rFonts w:asciiTheme="minorHAnsi" w:hAnsiTheme="minorHAnsi" w:cstheme="minorHAnsi"/>
          <w:bCs/>
          <w:color w:val="000000" w:themeColor="text1"/>
          <w:sz w:val="22"/>
          <w:szCs w:val="22"/>
          <w:lang w:val="en-GB"/>
        </w:rPr>
        <w:t xml:space="preserve"> </w:t>
      </w:r>
      <w:r>
        <w:rPr>
          <w:rFonts w:asciiTheme="minorHAnsi" w:hAnsiTheme="minorHAnsi" w:cstheme="minorHAnsi"/>
          <w:bCs/>
          <w:color w:val="000000" w:themeColor="text1"/>
          <w:sz w:val="22"/>
          <w:szCs w:val="22"/>
          <w:lang w:val="en-GB"/>
        </w:rPr>
        <w:t>Nevertheless, t</w:t>
      </w:r>
      <w:r w:rsidRPr="00C37A4D">
        <w:rPr>
          <w:rFonts w:asciiTheme="minorHAnsi" w:hAnsiTheme="minorHAnsi" w:cstheme="minorHAnsi"/>
          <w:color w:val="000000" w:themeColor="text1"/>
          <w:sz w:val="22"/>
          <w:szCs w:val="22"/>
          <w:lang w:val="en-GB"/>
        </w:rPr>
        <w:t xml:space="preserve">he </w:t>
      </w:r>
      <w:r w:rsidRPr="00BD4C26">
        <w:rPr>
          <w:rFonts w:asciiTheme="minorHAnsi" w:hAnsiTheme="minorHAnsi" w:cstheme="minorHAnsi"/>
          <w:i/>
          <w:iCs/>
          <w:color w:val="000000" w:themeColor="text1"/>
          <w:sz w:val="22"/>
          <w:szCs w:val="22"/>
          <w:lang w:val="en-GB"/>
        </w:rPr>
        <w:t>Lancet</w:t>
      </w:r>
      <w:r w:rsidRPr="00C37A4D">
        <w:rPr>
          <w:rFonts w:asciiTheme="minorHAnsi" w:hAnsiTheme="minorHAnsi" w:cstheme="minorHAnsi"/>
          <w:color w:val="000000" w:themeColor="text1"/>
          <w:sz w:val="22"/>
          <w:szCs w:val="22"/>
          <w:lang w:val="en-GB"/>
        </w:rPr>
        <w:t xml:space="preserve"> AMR series of 2016 observed that more deaths were due to lack of access to antibiotics than to resistance</w:t>
      </w:r>
      <w:r w:rsidR="002762C3">
        <w:rPr>
          <w:rFonts w:asciiTheme="minorHAnsi" w:hAnsiTheme="minorHAnsi" w:cstheme="minorHAnsi"/>
          <w:color w:val="000000" w:themeColor="text1"/>
          <w:sz w:val="22"/>
          <w:szCs w:val="22"/>
          <w:lang w:val="en-GB"/>
        </w:rPr>
        <w:t>.</w:t>
      </w:r>
      <w:r w:rsidR="00E00CFD" w:rsidRPr="00E00CFD">
        <w:rPr>
          <w:rFonts w:hAnsiTheme="minorHAnsi"/>
          <w:color w:val="000000"/>
          <w:sz w:val="22"/>
          <w:vertAlign w:val="superscript"/>
        </w:rPr>
        <w:t>19</w:t>
      </w:r>
      <w:r w:rsidRPr="00C37A4D">
        <w:rPr>
          <w:rFonts w:asciiTheme="minorHAnsi" w:hAnsiTheme="minorHAnsi" w:cstheme="minorHAnsi"/>
          <w:color w:val="000000" w:themeColor="text1"/>
          <w:sz w:val="22"/>
          <w:szCs w:val="22"/>
          <w:lang w:val="en-GB"/>
        </w:rPr>
        <w:t xml:space="preserve"> Although more patients </w:t>
      </w:r>
      <w:r>
        <w:rPr>
          <w:rFonts w:asciiTheme="minorHAnsi" w:hAnsiTheme="minorHAnsi" w:cstheme="minorHAnsi"/>
          <w:color w:val="000000" w:themeColor="text1"/>
          <w:sz w:val="22"/>
          <w:szCs w:val="22"/>
          <w:lang w:val="en-GB"/>
        </w:rPr>
        <w:t>now</w:t>
      </w:r>
      <w:r w:rsidRPr="00C37A4D">
        <w:rPr>
          <w:rFonts w:asciiTheme="minorHAnsi" w:hAnsiTheme="minorHAnsi" w:cstheme="minorHAnsi"/>
          <w:color w:val="000000" w:themeColor="text1"/>
          <w:sz w:val="22"/>
          <w:szCs w:val="22"/>
          <w:lang w:val="en-GB"/>
        </w:rPr>
        <w:t xml:space="preserve"> have access to antimicrobial drugs, resistance has made previously useful antimicrobials less </w:t>
      </w:r>
      <w:r>
        <w:rPr>
          <w:rFonts w:asciiTheme="minorHAnsi" w:hAnsiTheme="minorHAnsi" w:cstheme="minorHAnsi"/>
          <w:color w:val="000000" w:themeColor="text1"/>
          <w:sz w:val="22"/>
          <w:szCs w:val="22"/>
          <w:lang w:val="en-GB"/>
        </w:rPr>
        <w:t>effective</w:t>
      </w:r>
      <w:r w:rsidRPr="00C37A4D">
        <w:rPr>
          <w:rFonts w:asciiTheme="minorHAnsi" w:hAnsiTheme="minorHAnsi" w:cstheme="minorHAnsi"/>
          <w:color w:val="000000" w:themeColor="text1"/>
          <w:sz w:val="22"/>
          <w:szCs w:val="22"/>
          <w:lang w:val="en-GB"/>
        </w:rPr>
        <w:t>, and access to previously second-line drugs</w:t>
      </w:r>
      <w:r>
        <w:rPr>
          <w:rFonts w:asciiTheme="minorHAnsi" w:hAnsiTheme="minorHAnsi" w:cstheme="minorHAnsi"/>
          <w:color w:val="000000" w:themeColor="text1"/>
          <w:sz w:val="22"/>
          <w:szCs w:val="22"/>
          <w:lang w:val="en-GB"/>
        </w:rPr>
        <w:t xml:space="preserve"> has thus become </w:t>
      </w:r>
      <w:r w:rsidRPr="00C37A4D">
        <w:rPr>
          <w:rFonts w:asciiTheme="minorHAnsi" w:hAnsiTheme="minorHAnsi" w:cstheme="minorHAnsi"/>
          <w:color w:val="000000" w:themeColor="text1"/>
          <w:sz w:val="22"/>
          <w:szCs w:val="22"/>
          <w:lang w:val="en-GB"/>
        </w:rPr>
        <w:t xml:space="preserve">more important. </w:t>
      </w:r>
      <w:r>
        <w:rPr>
          <w:rFonts w:asciiTheme="minorHAnsi" w:hAnsiTheme="minorHAnsi" w:cstheme="minorHAnsi"/>
          <w:color w:val="000000" w:themeColor="text1"/>
          <w:sz w:val="22"/>
          <w:szCs w:val="22"/>
          <w:lang w:val="en-GB"/>
        </w:rPr>
        <w:t>For example, a</w:t>
      </w:r>
      <w:r w:rsidRPr="00C37A4D">
        <w:rPr>
          <w:rFonts w:asciiTheme="minorHAnsi" w:hAnsiTheme="minorHAnsi" w:cstheme="minorHAnsi"/>
          <w:color w:val="000000" w:themeColor="text1"/>
          <w:sz w:val="22"/>
          <w:szCs w:val="22"/>
          <w:lang w:val="en-GB"/>
        </w:rPr>
        <w:t>ffordable and safe antimicrobials</w:t>
      </w:r>
      <w:r>
        <w:rPr>
          <w:rFonts w:asciiTheme="minorHAnsi" w:hAnsiTheme="minorHAnsi" w:cstheme="minorHAnsi"/>
          <w:color w:val="000000" w:themeColor="text1"/>
          <w:sz w:val="22"/>
          <w:szCs w:val="22"/>
          <w:lang w:val="en-GB"/>
        </w:rPr>
        <w:t xml:space="preserve"> (</w:t>
      </w:r>
      <w:r w:rsidRPr="00C37A4D">
        <w:rPr>
          <w:rFonts w:asciiTheme="minorHAnsi" w:hAnsiTheme="minorHAnsi" w:cstheme="minorHAnsi"/>
          <w:color w:val="000000" w:themeColor="text1"/>
          <w:sz w:val="22"/>
          <w:szCs w:val="22"/>
          <w:lang w:val="en-GB"/>
        </w:rPr>
        <w:t xml:space="preserve">‘Access’ antibiotics in the AWaRe </w:t>
      </w:r>
      <w:r>
        <w:rPr>
          <w:rFonts w:asciiTheme="minorHAnsi" w:hAnsiTheme="minorHAnsi" w:cstheme="minorHAnsi"/>
          <w:color w:val="000000" w:themeColor="text1"/>
          <w:sz w:val="22"/>
          <w:szCs w:val="22"/>
          <w:lang w:val="en-GB"/>
        </w:rPr>
        <w:t xml:space="preserve">classification; </w:t>
      </w:r>
      <w:r w:rsidRPr="00C37A4D">
        <w:rPr>
          <w:rFonts w:asciiTheme="minorHAnsi" w:hAnsiTheme="minorHAnsi" w:cstheme="minorHAnsi"/>
          <w:color w:val="000000" w:themeColor="text1"/>
          <w:sz w:val="22"/>
          <w:szCs w:val="22"/>
          <w:lang w:val="en-GB"/>
        </w:rPr>
        <w:t xml:space="preserve">see </w:t>
      </w:r>
      <w:r w:rsidRPr="00C37A4D">
        <w:rPr>
          <w:rFonts w:asciiTheme="minorHAnsi" w:hAnsiTheme="minorHAnsi" w:cstheme="minorHAnsi"/>
          <w:b/>
          <w:bCs/>
          <w:color w:val="000000" w:themeColor="text1"/>
          <w:sz w:val="22"/>
          <w:szCs w:val="22"/>
          <w:lang w:val="en-GB"/>
        </w:rPr>
        <w:t xml:space="preserve">Panel </w:t>
      </w:r>
      <w:r w:rsidR="00B57102">
        <w:rPr>
          <w:rFonts w:asciiTheme="minorHAnsi" w:hAnsiTheme="minorHAnsi" w:cstheme="minorHAnsi"/>
          <w:b/>
          <w:bCs/>
          <w:color w:val="000000" w:themeColor="text1"/>
          <w:sz w:val="22"/>
          <w:szCs w:val="22"/>
          <w:lang w:val="en-GB"/>
        </w:rPr>
        <w:t>2</w:t>
      </w:r>
      <w:r w:rsidR="00E00CFD" w:rsidRPr="00E00CFD">
        <w:rPr>
          <w:rFonts w:hAnsiTheme="minorHAnsi"/>
          <w:color w:val="000000"/>
          <w:sz w:val="22"/>
          <w:vertAlign w:val="superscript"/>
        </w:rPr>
        <w:t>129</w:t>
      </w:r>
      <w:r>
        <w:rPr>
          <w:rFonts w:asciiTheme="minorHAnsi" w:hAnsiTheme="minorHAnsi" w:cstheme="minorHAnsi"/>
          <w:color w:val="000000" w:themeColor="text1"/>
          <w:sz w:val="22"/>
          <w:szCs w:val="22"/>
          <w:lang w:val="en-GB"/>
        </w:rPr>
        <w:t>)</w:t>
      </w:r>
      <w:r w:rsidRPr="00C37A4D">
        <w:rPr>
          <w:rFonts w:asciiTheme="minorHAnsi" w:hAnsiTheme="minorHAnsi" w:cstheme="minorHAnsi"/>
          <w:color w:val="000000" w:themeColor="text1"/>
          <w:sz w:val="22"/>
          <w:szCs w:val="22"/>
          <w:lang w:val="en-GB"/>
        </w:rPr>
        <w:t xml:space="preserve"> were the mainstay of neonatal infection management in the mid to late</w:t>
      </w:r>
      <w:r>
        <w:rPr>
          <w:rFonts w:asciiTheme="minorHAnsi" w:hAnsiTheme="minorHAnsi" w:cstheme="minorHAnsi"/>
          <w:color w:val="000000" w:themeColor="text1"/>
          <w:sz w:val="22"/>
          <w:szCs w:val="22"/>
          <w:lang w:val="en-GB"/>
        </w:rPr>
        <w:t xml:space="preserve"> </w:t>
      </w:r>
      <w:r w:rsidRPr="00C37A4D">
        <w:rPr>
          <w:rFonts w:asciiTheme="minorHAnsi" w:hAnsiTheme="minorHAnsi" w:cstheme="minorHAnsi"/>
          <w:color w:val="000000" w:themeColor="text1"/>
          <w:sz w:val="22"/>
          <w:szCs w:val="22"/>
          <w:lang w:val="en-GB"/>
        </w:rPr>
        <w:t>20th</w:t>
      </w:r>
      <w:r w:rsidRPr="00C37A4D">
        <w:rPr>
          <w:rFonts w:asciiTheme="minorHAnsi" w:hAnsiTheme="minorHAnsi" w:cstheme="minorHAnsi"/>
          <w:color w:val="000000" w:themeColor="text1"/>
          <w:sz w:val="22"/>
          <w:szCs w:val="22"/>
          <w:vertAlign w:val="superscript"/>
          <w:lang w:val="en-GB"/>
        </w:rPr>
        <w:t xml:space="preserve"> </w:t>
      </w:r>
      <w:r w:rsidRPr="00C37A4D">
        <w:rPr>
          <w:rFonts w:asciiTheme="minorHAnsi" w:hAnsiTheme="minorHAnsi" w:cstheme="minorHAnsi"/>
          <w:color w:val="000000" w:themeColor="text1"/>
          <w:sz w:val="22"/>
          <w:szCs w:val="22"/>
          <w:lang w:val="en-GB"/>
        </w:rPr>
        <w:t>century.</w:t>
      </w:r>
      <w:r w:rsidRPr="00BF2F04">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T</w:t>
      </w:r>
      <w:r w:rsidRPr="00C37A4D">
        <w:rPr>
          <w:rFonts w:asciiTheme="minorHAnsi" w:hAnsiTheme="minorHAnsi" w:cstheme="minorHAnsi"/>
          <w:color w:val="000000" w:themeColor="text1"/>
          <w:sz w:val="22"/>
          <w:szCs w:val="22"/>
          <w:lang w:val="en-GB"/>
        </w:rPr>
        <w:t xml:space="preserve">he close-to and actual last-resort options </w:t>
      </w:r>
      <w:r>
        <w:rPr>
          <w:rFonts w:asciiTheme="minorHAnsi" w:hAnsiTheme="minorHAnsi" w:cstheme="minorHAnsi"/>
          <w:color w:val="000000" w:themeColor="text1"/>
          <w:sz w:val="22"/>
          <w:szCs w:val="22"/>
          <w:lang w:val="en-GB"/>
        </w:rPr>
        <w:t>(</w:t>
      </w:r>
      <w:r w:rsidRPr="00C37A4D">
        <w:rPr>
          <w:rFonts w:asciiTheme="minorHAnsi" w:hAnsiTheme="minorHAnsi" w:cstheme="minorHAnsi"/>
          <w:color w:val="000000" w:themeColor="text1"/>
          <w:sz w:val="22"/>
          <w:szCs w:val="22"/>
          <w:lang w:val="en-GB"/>
        </w:rPr>
        <w:t>‘Watch’ and ‘Reserve’ antibiotics</w:t>
      </w:r>
      <w:r>
        <w:rPr>
          <w:rFonts w:asciiTheme="minorHAnsi" w:hAnsiTheme="minorHAnsi" w:cstheme="minorHAnsi"/>
          <w:color w:val="000000" w:themeColor="text1"/>
          <w:sz w:val="22"/>
          <w:szCs w:val="22"/>
          <w:lang w:val="en-GB"/>
        </w:rPr>
        <w:t xml:space="preserve">) </w:t>
      </w:r>
      <w:r w:rsidRPr="00C37A4D">
        <w:rPr>
          <w:rFonts w:asciiTheme="minorHAnsi" w:hAnsiTheme="minorHAnsi" w:cstheme="minorHAnsi"/>
          <w:color w:val="000000" w:themeColor="text1"/>
          <w:sz w:val="22"/>
          <w:szCs w:val="22"/>
          <w:lang w:val="en-GB"/>
        </w:rPr>
        <w:t xml:space="preserve">are increasingly used today. Most pathogens isolated from 19 facilities in </w:t>
      </w:r>
      <w:r w:rsidR="00685732">
        <w:rPr>
          <w:rFonts w:asciiTheme="minorHAnsi" w:hAnsiTheme="minorHAnsi" w:cstheme="minorHAnsi"/>
          <w:color w:val="000000" w:themeColor="text1"/>
          <w:sz w:val="22"/>
          <w:szCs w:val="22"/>
          <w:lang w:val="en-GB"/>
        </w:rPr>
        <w:t>a</w:t>
      </w:r>
      <w:r w:rsidRPr="00C37A4D">
        <w:rPr>
          <w:rFonts w:asciiTheme="minorHAnsi" w:hAnsiTheme="minorHAnsi" w:cstheme="minorHAnsi"/>
          <w:color w:val="000000" w:themeColor="text1"/>
          <w:sz w:val="22"/>
          <w:szCs w:val="22"/>
          <w:lang w:val="en-GB"/>
        </w:rPr>
        <w:t xml:space="preserve"> multi-country study</w:t>
      </w:r>
      <w:r w:rsidR="00E00CFD" w:rsidRPr="00E00CFD">
        <w:rPr>
          <w:rFonts w:hAnsiTheme="minorHAnsi"/>
          <w:color w:val="000000"/>
          <w:sz w:val="22"/>
          <w:vertAlign w:val="superscript"/>
        </w:rPr>
        <w:t>55</w:t>
      </w:r>
      <w:r w:rsidRPr="00C37A4D">
        <w:rPr>
          <w:rFonts w:asciiTheme="minorHAnsi" w:hAnsiTheme="minorHAnsi" w:cstheme="minorHAnsi"/>
          <w:color w:val="000000" w:themeColor="text1"/>
          <w:sz w:val="22"/>
          <w:szCs w:val="22"/>
          <w:lang w:val="en-GB"/>
        </w:rPr>
        <w:t xml:space="preserve"> were resistant to Access antibiotics. More than a third (37%) of neonates started on Watch regimens and 25% of infants started on Access or Watch courses had to be escalated to a higher level within 24 hours because their condition deteriorated and/or laboratory results indicated resistance. Thus, currently recommended neonatal sepsis regimens are commonly ineffective or undereffective empiric treatments because of resistance (</w:t>
      </w:r>
      <w:r>
        <w:rPr>
          <w:rFonts w:asciiTheme="minorHAnsi" w:hAnsiTheme="minorHAnsi" w:cstheme="minorHAnsi"/>
          <w:b/>
          <w:bCs/>
          <w:color w:val="000000" w:themeColor="text1"/>
          <w:sz w:val="22"/>
          <w:szCs w:val="22"/>
          <w:lang w:val="en-GB"/>
        </w:rPr>
        <w:t>SI pg 5</w:t>
      </w:r>
      <w:r w:rsidR="00685732">
        <w:rPr>
          <w:rFonts w:asciiTheme="minorHAnsi" w:hAnsiTheme="minorHAnsi" w:cstheme="minorHAnsi"/>
          <w:b/>
          <w:bCs/>
          <w:color w:val="000000" w:themeColor="text1"/>
          <w:sz w:val="22"/>
          <w:szCs w:val="22"/>
          <w:lang w:val="en-GB"/>
        </w:rPr>
        <w:t>–</w:t>
      </w:r>
      <w:r>
        <w:rPr>
          <w:rFonts w:asciiTheme="minorHAnsi" w:hAnsiTheme="minorHAnsi" w:cstheme="minorHAnsi"/>
          <w:b/>
          <w:bCs/>
          <w:color w:val="000000" w:themeColor="text1"/>
          <w:sz w:val="22"/>
          <w:szCs w:val="22"/>
          <w:lang w:val="en-GB"/>
        </w:rPr>
        <w:t>6</w:t>
      </w:r>
      <w:r w:rsidRPr="00C37A4D">
        <w:rPr>
          <w:rFonts w:asciiTheme="minorHAnsi" w:hAnsiTheme="minorHAnsi" w:cstheme="minorHAnsi"/>
          <w:color w:val="000000" w:themeColor="text1"/>
          <w:sz w:val="22"/>
          <w:szCs w:val="22"/>
          <w:lang w:val="en-GB"/>
        </w:rPr>
        <w:t>).</w:t>
      </w:r>
    </w:p>
    <w:p w14:paraId="2B313A3B" w14:textId="77777777" w:rsidR="008F3ED8" w:rsidRPr="00C37A4D" w:rsidRDefault="008F3ED8" w:rsidP="008F3ED8">
      <w:pPr>
        <w:rPr>
          <w:rFonts w:asciiTheme="minorHAnsi" w:hAnsiTheme="minorHAnsi" w:cstheme="minorHAnsi"/>
          <w:color w:val="000000" w:themeColor="text1"/>
          <w:sz w:val="22"/>
          <w:szCs w:val="22"/>
          <w:lang w:val="en-GB"/>
        </w:rPr>
      </w:pPr>
    </w:p>
    <w:p w14:paraId="1A93AE25" w14:textId="7AB85D9C" w:rsidR="008F3ED8" w:rsidRDefault="008F3ED8" w:rsidP="008F3ED8">
      <w:pPr>
        <w:rPr>
          <w:rFonts w:asciiTheme="minorHAnsi" w:hAnsiTheme="minorHAnsi" w:cstheme="minorHAnsi"/>
          <w:color w:val="000000" w:themeColor="text1"/>
          <w:sz w:val="22"/>
          <w:szCs w:val="22"/>
          <w:lang w:val="en-GB"/>
        </w:rPr>
      </w:pPr>
      <w:r w:rsidRPr="00C37A4D">
        <w:rPr>
          <w:rFonts w:asciiTheme="minorHAnsi" w:hAnsiTheme="minorHAnsi" w:cstheme="minorHAnsi"/>
          <w:color w:val="000000" w:themeColor="text1"/>
          <w:sz w:val="22"/>
          <w:szCs w:val="22"/>
          <w:lang w:val="en-GB"/>
        </w:rPr>
        <w:t>Since 2016, WOAH has collected data on antibiotic sales for livestock from more 150 countries. Because the reporting countries are not specified and the national reports are aggregated</w:t>
      </w:r>
      <w:r>
        <w:rPr>
          <w:rFonts w:asciiTheme="minorHAnsi" w:hAnsiTheme="minorHAnsi" w:cstheme="minorHAnsi"/>
          <w:color w:val="000000" w:themeColor="text1"/>
          <w:sz w:val="22"/>
          <w:szCs w:val="22"/>
          <w:lang w:val="en-GB"/>
        </w:rPr>
        <w:t xml:space="preserve"> by region (</w:t>
      </w:r>
      <w:r w:rsidRPr="00C37A4D">
        <w:rPr>
          <w:rFonts w:asciiTheme="minorHAnsi" w:hAnsiTheme="minorHAnsi" w:cstheme="minorHAnsi"/>
          <w:color w:val="000000" w:themeColor="text1"/>
          <w:sz w:val="22"/>
          <w:szCs w:val="22"/>
          <w:lang w:val="en-GB"/>
        </w:rPr>
        <w:t>Europe, Africa, Americas, Middle East, and Asia–Far East–Oceania</w:t>
      </w:r>
      <w:r>
        <w:rPr>
          <w:rFonts w:asciiTheme="minorHAnsi" w:hAnsiTheme="minorHAnsi" w:cstheme="minorHAnsi"/>
          <w:color w:val="000000" w:themeColor="text1"/>
          <w:sz w:val="22"/>
          <w:szCs w:val="22"/>
          <w:lang w:val="en-GB"/>
        </w:rPr>
        <w:t>)</w:t>
      </w:r>
      <w:r w:rsidRPr="00C37A4D">
        <w:rPr>
          <w:rFonts w:asciiTheme="minorHAnsi" w:hAnsiTheme="minorHAnsi" w:cstheme="minorHAnsi"/>
          <w:color w:val="000000" w:themeColor="text1"/>
          <w:sz w:val="22"/>
          <w:szCs w:val="22"/>
          <w:lang w:val="en-GB"/>
        </w:rPr>
        <w:t xml:space="preserve">, the effect of national policies on AMU cannot be determined. Moreover, </w:t>
      </w:r>
      <w:r w:rsidR="00283880">
        <w:rPr>
          <w:rFonts w:asciiTheme="minorHAnsi" w:hAnsiTheme="minorHAnsi" w:cstheme="minorHAnsi"/>
          <w:color w:val="000000" w:themeColor="text1"/>
          <w:sz w:val="22"/>
          <w:szCs w:val="22"/>
          <w:lang w:val="en-GB"/>
        </w:rPr>
        <w:t>one country’s success in reducing</w:t>
      </w:r>
      <w:r w:rsidRPr="00C37A4D">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AMU</w:t>
      </w:r>
      <w:r w:rsidRPr="00C37A4D">
        <w:rPr>
          <w:rFonts w:asciiTheme="minorHAnsi" w:hAnsiTheme="minorHAnsi" w:cstheme="minorHAnsi"/>
          <w:color w:val="000000" w:themeColor="text1"/>
          <w:sz w:val="22"/>
          <w:szCs w:val="22"/>
          <w:lang w:val="en-GB"/>
        </w:rPr>
        <w:t xml:space="preserve"> is diluted at the regional level if </w:t>
      </w:r>
      <w:r>
        <w:rPr>
          <w:rFonts w:asciiTheme="minorHAnsi" w:hAnsiTheme="minorHAnsi" w:cstheme="minorHAnsi"/>
          <w:color w:val="000000" w:themeColor="text1"/>
          <w:sz w:val="22"/>
          <w:szCs w:val="22"/>
          <w:lang w:val="en-GB"/>
        </w:rPr>
        <w:t xml:space="preserve">usage rises in </w:t>
      </w:r>
      <w:r w:rsidRPr="00C37A4D">
        <w:rPr>
          <w:rFonts w:asciiTheme="minorHAnsi" w:hAnsiTheme="minorHAnsi" w:cstheme="minorHAnsi"/>
          <w:color w:val="000000" w:themeColor="text1"/>
          <w:sz w:val="22"/>
          <w:szCs w:val="22"/>
          <w:lang w:val="en-GB"/>
        </w:rPr>
        <w:t xml:space="preserve">neighbouring countries. </w:t>
      </w:r>
      <w:proofErr w:type="gramStart"/>
      <w:r w:rsidRPr="00C37A4D">
        <w:rPr>
          <w:rFonts w:asciiTheme="minorHAnsi" w:hAnsiTheme="minorHAnsi" w:cstheme="minorHAnsi"/>
          <w:color w:val="000000" w:themeColor="text1"/>
          <w:sz w:val="22"/>
          <w:szCs w:val="22"/>
          <w:lang w:val="en-GB"/>
        </w:rPr>
        <w:t>In particular, between</w:t>
      </w:r>
      <w:proofErr w:type="gramEnd"/>
      <w:r w:rsidRPr="00C37A4D">
        <w:rPr>
          <w:rFonts w:asciiTheme="minorHAnsi" w:hAnsiTheme="minorHAnsi" w:cstheme="minorHAnsi"/>
          <w:color w:val="000000" w:themeColor="text1"/>
          <w:sz w:val="22"/>
          <w:szCs w:val="22"/>
          <w:lang w:val="en-GB"/>
        </w:rPr>
        <w:t xml:space="preserve"> 2016 and 2018, WOAH reported a decline in global AMU</w:t>
      </w:r>
      <w:r>
        <w:rPr>
          <w:rFonts w:asciiTheme="minorHAnsi" w:hAnsiTheme="minorHAnsi" w:cstheme="minorHAnsi"/>
          <w:color w:val="000000" w:themeColor="text1"/>
          <w:sz w:val="22"/>
          <w:szCs w:val="22"/>
          <w:lang w:val="en-GB"/>
        </w:rPr>
        <w:t>,</w:t>
      </w:r>
      <w:r w:rsidRPr="00C37A4D">
        <w:rPr>
          <w:rFonts w:asciiTheme="minorHAnsi" w:hAnsiTheme="minorHAnsi" w:cstheme="minorHAnsi"/>
          <w:color w:val="000000" w:themeColor="text1"/>
          <w:sz w:val="22"/>
          <w:szCs w:val="22"/>
          <w:lang w:val="en-GB"/>
        </w:rPr>
        <w:t xml:space="preserve"> from 92,269 to 69,455 tonnes</w:t>
      </w:r>
      <w:r>
        <w:rPr>
          <w:rFonts w:asciiTheme="minorHAnsi" w:hAnsiTheme="minorHAnsi" w:cstheme="minorHAnsi"/>
          <w:color w:val="000000" w:themeColor="text1"/>
          <w:sz w:val="22"/>
          <w:szCs w:val="22"/>
          <w:lang w:val="en-GB"/>
        </w:rPr>
        <w:t>,</w:t>
      </w:r>
      <w:r w:rsidRPr="00C37A4D">
        <w:rPr>
          <w:rFonts w:asciiTheme="minorHAnsi" w:hAnsiTheme="minorHAnsi" w:cstheme="minorHAnsi"/>
          <w:color w:val="000000" w:themeColor="text1"/>
          <w:sz w:val="22"/>
          <w:szCs w:val="22"/>
          <w:lang w:val="en-GB"/>
        </w:rPr>
        <w:t xml:space="preserve"> that was largely attributable to China (where consumption fell from 44,186 to 29,774 tonnes). Modelling estimates of national-level AMU attempt to overcome such limitations. For 2020, </w:t>
      </w:r>
      <w:r w:rsidR="00A4771B">
        <w:rPr>
          <w:rFonts w:asciiTheme="minorHAnsi" w:hAnsiTheme="minorHAnsi" w:cstheme="minorHAnsi"/>
          <w:color w:val="000000" w:themeColor="text1"/>
          <w:sz w:val="22"/>
          <w:szCs w:val="22"/>
          <w:lang w:val="en-GB"/>
        </w:rPr>
        <w:t>one</w:t>
      </w:r>
      <w:r w:rsidRPr="00C37A4D">
        <w:rPr>
          <w:rFonts w:asciiTheme="minorHAnsi" w:hAnsiTheme="minorHAnsi" w:cstheme="minorHAnsi"/>
          <w:color w:val="000000" w:themeColor="text1"/>
          <w:sz w:val="22"/>
          <w:szCs w:val="22"/>
          <w:lang w:val="en-GB"/>
        </w:rPr>
        <w:t xml:space="preserve"> estimate </w:t>
      </w:r>
      <w:r w:rsidR="00A4771B">
        <w:rPr>
          <w:rFonts w:asciiTheme="minorHAnsi" w:hAnsiTheme="minorHAnsi" w:cstheme="minorHAnsi"/>
          <w:color w:val="000000" w:themeColor="text1"/>
          <w:sz w:val="22"/>
          <w:szCs w:val="22"/>
          <w:lang w:val="en-GB"/>
        </w:rPr>
        <w:t>named</w:t>
      </w:r>
      <w:r w:rsidR="00D47491">
        <w:rPr>
          <w:rFonts w:asciiTheme="minorHAnsi" w:hAnsiTheme="minorHAnsi" w:cstheme="minorHAnsi"/>
          <w:color w:val="000000" w:themeColor="text1"/>
          <w:sz w:val="22"/>
          <w:szCs w:val="22"/>
          <w:lang w:val="en-GB"/>
        </w:rPr>
        <w:t xml:space="preserve"> </w:t>
      </w:r>
      <w:r w:rsidRPr="00C37A4D">
        <w:rPr>
          <w:rFonts w:asciiTheme="minorHAnsi" w:hAnsiTheme="minorHAnsi" w:cstheme="minorHAnsi"/>
          <w:color w:val="000000" w:themeColor="text1"/>
          <w:sz w:val="22"/>
          <w:szCs w:val="22"/>
          <w:lang w:val="en-GB"/>
        </w:rPr>
        <w:t>China, Brazil, India, and</w:t>
      </w:r>
      <w:r>
        <w:rPr>
          <w:rFonts w:asciiTheme="minorHAnsi" w:hAnsiTheme="minorHAnsi" w:cstheme="minorHAnsi"/>
          <w:color w:val="000000" w:themeColor="text1"/>
          <w:sz w:val="22"/>
          <w:szCs w:val="22"/>
          <w:lang w:val="en-GB"/>
        </w:rPr>
        <w:t xml:space="preserve"> the</w:t>
      </w:r>
      <w:r w:rsidRPr="00C37A4D">
        <w:rPr>
          <w:rFonts w:asciiTheme="minorHAnsi" w:hAnsiTheme="minorHAnsi" w:cstheme="minorHAnsi"/>
          <w:color w:val="000000" w:themeColor="text1"/>
          <w:sz w:val="22"/>
          <w:szCs w:val="22"/>
          <w:lang w:val="en-GB"/>
        </w:rPr>
        <w:t xml:space="preserve"> United States </w:t>
      </w:r>
      <w:r w:rsidR="00D47491">
        <w:rPr>
          <w:rFonts w:asciiTheme="minorHAnsi" w:hAnsiTheme="minorHAnsi" w:cstheme="minorHAnsi"/>
          <w:color w:val="000000" w:themeColor="text1"/>
          <w:sz w:val="22"/>
          <w:szCs w:val="22"/>
          <w:lang w:val="en-GB"/>
        </w:rPr>
        <w:t>as the</w:t>
      </w:r>
      <w:r w:rsidRPr="00C37A4D">
        <w:rPr>
          <w:rFonts w:asciiTheme="minorHAnsi" w:hAnsiTheme="minorHAnsi" w:cstheme="minorHAnsi"/>
          <w:color w:val="000000" w:themeColor="text1"/>
          <w:sz w:val="22"/>
          <w:szCs w:val="22"/>
          <w:lang w:val="en-GB"/>
        </w:rPr>
        <w:t xml:space="preserve"> top four countries for absolute AMU, measured in tonnes.</w:t>
      </w:r>
      <w:r w:rsidR="00E00CFD" w:rsidRPr="00E00CFD">
        <w:rPr>
          <w:rFonts w:hAnsiTheme="minorHAnsi"/>
          <w:color w:val="000000"/>
          <w:sz w:val="22"/>
          <w:vertAlign w:val="superscript"/>
        </w:rPr>
        <w:t>130</w:t>
      </w:r>
      <w:r w:rsidRPr="00C37A4D">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From 2017 to 2020, AMU intensity in pigs fell slightly (from 193 to 173 mg/PCU), but in poultry, this measure fell sharply (from 68 to 35 mg/PCU) despite continued growth of the poultry sector.</w:t>
      </w:r>
    </w:p>
    <w:p w14:paraId="2E8C8A93" w14:textId="77777777" w:rsidR="008F3ED8" w:rsidRDefault="008F3ED8" w:rsidP="008F3ED8">
      <w:pPr>
        <w:rPr>
          <w:rFonts w:asciiTheme="minorHAnsi" w:hAnsiTheme="minorHAnsi" w:cstheme="minorHAnsi"/>
          <w:color w:val="000000" w:themeColor="text1"/>
          <w:sz w:val="22"/>
          <w:szCs w:val="22"/>
          <w:lang w:val="en-GB"/>
        </w:rPr>
      </w:pPr>
    </w:p>
    <w:p w14:paraId="60ACE7AB" w14:textId="1DBAEBE0" w:rsidR="008F3ED8" w:rsidRPr="00C37A4D" w:rsidRDefault="00CA0390" w:rsidP="008F3ED8">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AMU</w:t>
      </w:r>
      <w:r w:rsidR="008F3ED8" w:rsidRPr="00C37A4D">
        <w:rPr>
          <w:rFonts w:asciiTheme="minorHAnsi" w:hAnsiTheme="minorHAnsi" w:cstheme="minorHAnsi"/>
          <w:color w:val="000000" w:themeColor="text1"/>
          <w:sz w:val="22"/>
          <w:szCs w:val="22"/>
          <w:lang w:val="en-GB"/>
        </w:rPr>
        <w:t xml:space="preserve"> estimates assume that medication label claims of active ingredient</w:t>
      </w:r>
      <w:r>
        <w:rPr>
          <w:rFonts w:asciiTheme="minorHAnsi" w:hAnsiTheme="minorHAnsi" w:cstheme="minorHAnsi"/>
          <w:color w:val="000000" w:themeColor="text1"/>
          <w:sz w:val="22"/>
          <w:szCs w:val="22"/>
          <w:lang w:val="en-GB"/>
        </w:rPr>
        <w:t>s</w:t>
      </w:r>
      <w:r w:rsidR="008F3ED8" w:rsidRPr="00C37A4D">
        <w:rPr>
          <w:rFonts w:asciiTheme="minorHAnsi" w:hAnsiTheme="minorHAnsi" w:cstheme="minorHAnsi"/>
          <w:color w:val="000000" w:themeColor="text1"/>
          <w:sz w:val="22"/>
          <w:szCs w:val="22"/>
          <w:lang w:val="en-GB"/>
        </w:rPr>
        <w:t xml:space="preserve"> are </w:t>
      </w:r>
      <w:r w:rsidR="008F3ED8">
        <w:rPr>
          <w:rFonts w:asciiTheme="minorHAnsi" w:hAnsiTheme="minorHAnsi" w:cstheme="minorHAnsi"/>
          <w:color w:val="000000" w:themeColor="text1"/>
          <w:sz w:val="22"/>
          <w:szCs w:val="22"/>
          <w:lang w:val="en-GB"/>
        </w:rPr>
        <w:t>accurate, but a</w:t>
      </w:r>
      <w:r w:rsidR="008F3ED8" w:rsidRPr="00C37A4D">
        <w:rPr>
          <w:rFonts w:asciiTheme="minorHAnsi" w:hAnsiTheme="minorHAnsi" w:cstheme="minorHAnsi"/>
          <w:color w:val="000000" w:themeColor="text1"/>
          <w:sz w:val="22"/>
          <w:szCs w:val="22"/>
          <w:lang w:val="en-GB"/>
        </w:rPr>
        <w:t xml:space="preserve">n estimated 10% of antimicrobials marketed in LMICs are substandard </w:t>
      </w:r>
      <w:r w:rsidR="008F3ED8">
        <w:rPr>
          <w:rFonts w:asciiTheme="minorHAnsi" w:hAnsiTheme="minorHAnsi" w:cstheme="minorHAnsi"/>
          <w:color w:val="000000" w:themeColor="text1"/>
          <w:sz w:val="22"/>
          <w:szCs w:val="22"/>
          <w:lang w:val="en-GB"/>
        </w:rPr>
        <w:t>or</w:t>
      </w:r>
      <w:r w:rsidR="008F3ED8" w:rsidRPr="00C37A4D">
        <w:rPr>
          <w:rFonts w:asciiTheme="minorHAnsi" w:hAnsiTheme="minorHAnsi" w:cstheme="minorHAnsi"/>
          <w:color w:val="000000" w:themeColor="text1"/>
          <w:sz w:val="22"/>
          <w:szCs w:val="22"/>
          <w:lang w:val="en-GB"/>
        </w:rPr>
        <w:t xml:space="preserve"> falsified.</w:t>
      </w:r>
      <w:r w:rsidR="00E00CFD" w:rsidRPr="00E00CFD">
        <w:rPr>
          <w:rFonts w:hAnsiTheme="minorHAnsi"/>
          <w:color w:val="000000"/>
          <w:sz w:val="22"/>
          <w:vertAlign w:val="superscript"/>
        </w:rPr>
        <w:t>131</w:t>
      </w:r>
      <w:r w:rsidR="008F3ED8">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M</w:t>
      </w:r>
      <w:r w:rsidR="008F3ED8" w:rsidRPr="00C37A4D">
        <w:rPr>
          <w:rFonts w:asciiTheme="minorHAnsi" w:hAnsiTheme="minorHAnsi" w:cstheme="minorHAnsi"/>
          <w:color w:val="000000" w:themeColor="text1"/>
          <w:sz w:val="22"/>
          <w:szCs w:val="22"/>
          <w:lang w:val="en-GB"/>
        </w:rPr>
        <w:t>edicines may contain less (</w:t>
      </w:r>
      <w:r w:rsidR="008F3ED8">
        <w:rPr>
          <w:rFonts w:asciiTheme="minorHAnsi" w:hAnsiTheme="minorHAnsi" w:cstheme="minorHAnsi"/>
          <w:color w:val="000000" w:themeColor="text1"/>
          <w:sz w:val="22"/>
          <w:szCs w:val="22"/>
          <w:lang w:val="en-GB"/>
        </w:rPr>
        <w:t>sometimes</w:t>
      </w:r>
      <w:r w:rsidR="008F3ED8" w:rsidRPr="00C37A4D">
        <w:rPr>
          <w:rFonts w:asciiTheme="minorHAnsi" w:hAnsiTheme="minorHAnsi" w:cstheme="minorHAnsi"/>
          <w:color w:val="000000" w:themeColor="text1"/>
          <w:sz w:val="22"/>
          <w:szCs w:val="22"/>
          <w:lang w:val="en-GB"/>
        </w:rPr>
        <w:t xml:space="preserve"> more) than the labelled amount. </w:t>
      </w:r>
      <w:r>
        <w:rPr>
          <w:rFonts w:asciiTheme="minorHAnsi" w:hAnsiTheme="minorHAnsi" w:cstheme="minorHAnsi"/>
          <w:color w:val="000000" w:themeColor="text1"/>
          <w:sz w:val="22"/>
          <w:szCs w:val="22"/>
          <w:lang w:val="en-GB"/>
        </w:rPr>
        <w:t>A</w:t>
      </w:r>
      <w:r w:rsidR="008F3ED8" w:rsidRPr="00C37A4D">
        <w:rPr>
          <w:rFonts w:asciiTheme="minorHAnsi" w:hAnsiTheme="minorHAnsi" w:cstheme="minorHAnsi"/>
          <w:color w:val="000000" w:themeColor="text1"/>
          <w:sz w:val="22"/>
          <w:szCs w:val="22"/>
          <w:lang w:val="en-GB"/>
        </w:rPr>
        <w:t xml:space="preserve">ntibiotics may be </w:t>
      </w:r>
      <w:r w:rsidR="008F3ED8">
        <w:rPr>
          <w:rFonts w:asciiTheme="minorHAnsi" w:hAnsiTheme="minorHAnsi" w:cstheme="minorHAnsi"/>
          <w:color w:val="000000" w:themeColor="text1"/>
          <w:sz w:val="22"/>
          <w:szCs w:val="22"/>
          <w:lang w:val="en-GB"/>
        </w:rPr>
        <w:t>incorrectly</w:t>
      </w:r>
      <w:r w:rsidR="008F3ED8" w:rsidRPr="00C37A4D">
        <w:rPr>
          <w:rFonts w:asciiTheme="minorHAnsi" w:hAnsiTheme="minorHAnsi" w:cstheme="minorHAnsi"/>
          <w:color w:val="000000" w:themeColor="text1"/>
          <w:sz w:val="22"/>
          <w:szCs w:val="22"/>
          <w:lang w:val="en-GB"/>
        </w:rPr>
        <w:t xml:space="preserve"> transported and stored, leading </w:t>
      </w:r>
      <w:r w:rsidR="008F3ED8">
        <w:rPr>
          <w:rFonts w:asciiTheme="minorHAnsi" w:hAnsiTheme="minorHAnsi" w:cstheme="minorHAnsi"/>
          <w:color w:val="000000" w:themeColor="text1"/>
          <w:sz w:val="22"/>
          <w:szCs w:val="22"/>
          <w:lang w:val="en-GB"/>
        </w:rPr>
        <w:t xml:space="preserve">(particularly in the tropics) </w:t>
      </w:r>
      <w:r w:rsidR="008F3ED8" w:rsidRPr="00C37A4D">
        <w:rPr>
          <w:rFonts w:asciiTheme="minorHAnsi" w:hAnsiTheme="minorHAnsi" w:cstheme="minorHAnsi"/>
          <w:color w:val="000000" w:themeColor="text1"/>
          <w:sz w:val="22"/>
          <w:szCs w:val="22"/>
          <w:lang w:val="en-GB"/>
        </w:rPr>
        <w:t>to physical and chemical degradation that affects</w:t>
      </w:r>
      <w:r w:rsidR="008F3ED8">
        <w:rPr>
          <w:rFonts w:asciiTheme="minorHAnsi" w:hAnsiTheme="minorHAnsi" w:cstheme="minorHAnsi"/>
          <w:color w:val="000000" w:themeColor="text1"/>
          <w:sz w:val="22"/>
          <w:szCs w:val="22"/>
          <w:lang w:val="en-GB"/>
        </w:rPr>
        <w:t xml:space="preserve"> shelf life and </w:t>
      </w:r>
      <w:r w:rsidR="008F3ED8">
        <w:rPr>
          <w:rFonts w:asciiTheme="minorHAnsi" w:hAnsiTheme="minorHAnsi" w:cstheme="minorHAnsi"/>
          <w:color w:val="000000" w:themeColor="text1"/>
          <w:sz w:val="22"/>
          <w:szCs w:val="22"/>
          <w:lang w:val="en-GB"/>
        </w:rPr>
        <w:lastRenderedPageBreak/>
        <w:t>therefore efficacy</w:t>
      </w:r>
      <w:r w:rsidR="008F3ED8" w:rsidRPr="00C37A4D">
        <w:rPr>
          <w:rFonts w:asciiTheme="minorHAnsi" w:hAnsiTheme="minorHAnsi" w:cstheme="minorHAnsi"/>
          <w:color w:val="000000" w:themeColor="text1"/>
          <w:sz w:val="22"/>
          <w:szCs w:val="22"/>
          <w:lang w:val="en-GB"/>
        </w:rPr>
        <w:t xml:space="preserve">. Falsified antimicrobials are particularly common </w:t>
      </w:r>
      <w:r w:rsidR="008F3ED8">
        <w:rPr>
          <w:rFonts w:asciiTheme="minorHAnsi" w:hAnsiTheme="minorHAnsi" w:cstheme="minorHAnsi"/>
          <w:color w:val="000000" w:themeColor="text1"/>
          <w:sz w:val="22"/>
          <w:szCs w:val="22"/>
          <w:lang w:val="en-GB"/>
        </w:rPr>
        <w:t xml:space="preserve">where </w:t>
      </w:r>
      <w:r w:rsidR="008F3ED8" w:rsidRPr="00C37A4D">
        <w:rPr>
          <w:rFonts w:asciiTheme="minorHAnsi" w:hAnsiTheme="minorHAnsi" w:cstheme="minorHAnsi"/>
          <w:color w:val="000000" w:themeColor="text1"/>
          <w:sz w:val="22"/>
          <w:szCs w:val="22"/>
          <w:lang w:val="en-GB"/>
        </w:rPr>
        <w:t>regulation and supply chains</w:t>
      </w:r>
      <w:r w:rsidR="008F3ED8">
        <w:rPr>
          <w:rFonts w:asciiTheme="minorHAnsi" w:hAnsiTheme="minorHAnsi" w:cstheme="minorHAnsi"/>
          <w:color w:val="000000" w:themeColor="text1"/>
          <w:sz w:val="22"/>
          <w:szCs w:val="22"/>
          <w:lang w:val="en-GB"/>
        </w:rPr>
        <w:t xml:space="preserve"> are weak</w:t>
      </w:r>
      <w:r w:rsidR="008F3ED8" w:rsidRPr="00C37A4D">
        <w:rPr>
          <w:rFonts w:asciiTheme="minorHAnsi" w:hAnsiTheme="minorHAnsi" w:cstheme="minorHAnsi"/>
          <w:color w:val="000000" w:themeColor="text1"/>
          <w:sz w:val="22"/>
          <w:szCs w:val="22"/>
          <w:lang w:val="en-GB"/>
        </w:rPr>
        <w:t xml:space="preserve"> </w:t>
      </w:r>
      <w:r w:rsidR="008F3ED8">
        <w:rPr>
          <w:rFonts w:asciiTheme="minorHAnsi" w:hAnsiTheme="minorHAnsi" w:cstheme="minorHAnsi"/>
          <w:color w:val="000000" w:themeColor="text1"/>
          <w:sz w:val="22"/>
          <w:szCs w:val="22"/>
          <w:lang w:val="en-GB"/>
        </w:rPr>
        <w:t xml:space="preserve">and </w:t>
      </w:r>
      <w:r w:rsidR="008F3ED8" w:rsidRPr="00C37A4D">
        <w:rPr>
          <w:rFonts w:asciiTheme="minorHAnsi" w:hAnsiTheme="minorHAnsi" w:cstheme="minorHAnsi"/>
          <w:color w:val="000000" w:themeColor="text1"/>
          <w:sz w:val="22"/>
          <w:szCs w:val="22"/>
          <w:lang w:val="en-GB"/>
        </w:rPr>
        <w:t>infection burdens (and therefore demand)</w:t>
      </w:r>
      <w:r w:rsidR="008F3ED8">
        <w:rPr>
          <w:rFonts w:asciiTheme="minorHAnsi" w:hAnsiTheme="minorHAnsi" w:cstheme="minorHAnsi"/>
          <w:color w:val="000000" w:themeColor="text1"/>
          <w:sz w:val="22"/>
          <w:szCs w:val="22"/>
          <w:lang w:val="en-GB"/>
        </w:rPr>
        <w:t xml:space="preserve"> are high</w:t>
      </w:r>
      <w:r w:rsidR="008F3ED8" w:rsidRPr="00C37A4D">
        <w:rPr>
          <w:rFonts w:asciiTheme="minorHAnsi" w:hAnsiTheme="minorHAnsi" w:cstheme="minorHAnsi"/>
          <w:color w:val="000000" w:themeColor="text1"/>
          <w:sz w:val="22"/>
          <w:szCs w:val="22"/>
          <w:lang w:val="en-GB"/>
        </w:rPr>
        <w:t>. The Medicine Quality Scientific Literature Surveyor</w:t>
      </w:r>
      <w:r w:rsidR="00E00CFD" w:rsidRPr="00E00CFD">
        <w:rPr>
          <w:rFonts w:hAnsiTheme="minorHAnsi"/>
          <w:color w:val="000000"/>
          <w:sz w:val="22"/>
          <w:vertAlign w:val="superscript"/>
        </w:rPr>
        <w:t>52</w:t>
      </w:r>
      <w:r w:rsidR="008F3ED8" w:rsidRPr="00C37A4D">
        <w:rPr>
          <w:rFonts w:asciiTheme="minorHAnsi" w:hAnsiTheme="minorHAnsi" w:cstheme="minorHAnsi"/>
          <w:color w:val="000000" w:themeColor="text1"/>
          <w:sz w:val="22"/>
          <w:szCs w:val="22"/>
          <w:lang w:val="en-GB"/>
        </w:rPr>
        <w:t xml:space="preserve"> </w:t>
      </w:r>
      <w:r w:rsidR="008F3ED8">
        <w:rPr>
          <w:rFonts w:asciiTheme="minorHAnsi" w:hAnsiTheme="minorHAnsi" w:cstheme="minorHAnsi"/>
          <w:color w:val="000000" w:themeColor="text1"/>
          <w:sz w:val="22"/>
          <w:szCs w:val="22"/>
          <w:lang w:val="en-GB"/>
        </w:rPr>
        <w:t xml:space="preserve">finds </w:t>
      </w:r>
      <w:r w:rsidR="008F3ED8" w:rsidRPr="00C37A4D">
        <w:rPr>
          <w:rFonts w:asciiTheme="minorHAnsi" w:hAnsiTheme="minorHAnsi" w:cstheme="minorHAnsi"/>
          <w:color w:val="000000" w:themeColor="text1"/>
          <w:sz w:val="22"/>
          <w:szCs w:val="22"/>
          <w:lang w:val="en-GB"/>
        </w:rPr>
        <w:t>that substandard antibiotics are commonly reported from West and East Africa, South and East Asia</w:t>
      </w:r>
      <w:r w:rsidR="008F3ED8">
        <w:rPr>
          <w:rFonts w:asciiTheme="minorHAnsi" w:hAnsiTheme="minorHAnsi" w:cstheme="minorHAnsi"/>
          <w:color w:val="000000" w:themeColor="text1"/>
          <w:sz w:val="22"/>
          <w:szCs w:val="22"/>
          <w:lang w:val="en-GB"/>
        </w:rPr>
        <w:t>,</w:t>
      </w:r>
      <w:r w:rsidR="008F3ED8" w:rsidRPr="00C37A4D">
        <w:rPr>
          <w:rFonts w:asciiTheme="minorHAnsi" w:hAnsiTheme="minorHAnsi" w:cstheme="minorHAnsi"/>
          <w:color w:val="000000" w:themeColor="text1"/>
          <w:sz w:val="22"/>
          <w:szCs w:val="22"/>
          <w:lang w:val="en-GB"/>
        </w:rPr>
        <w:t xml:space="preserve"> and Central America. </w:t>
      </w:r>
      <w:r w:rsidR="008F3ED8">
        <w:rPr>
          <w:rFonts w:asciiTheme="minorHAnsi" w:hAnsiTheme="minorHAnsi" w:cstheme="minorHAnsi"/>
          <w:color w:val="000000" w:themeColor="text1"/>
          <w:sz w:val="22"/>
          <w:szCs w:val="22"/>
          <w:lang w:val="en-GB"/>
        </w:rPr>
        <w:t>Besides</w:t>
      </w:r>
      <w:r w:rsidR="008F3ED8" w:rsidRPr="00C37A4D">
        <w:rPr>
          <w:rFonts w:asciiTheme="minorHAnsi" w:hAnsiTheme="minorHAnsi" w:cstheme="minorHAnsi"/>
          <w:color w:val="000000" w:themeColor="text1"/>
          <w:sz w:val="22"/>
          <w:szCs w:val="22"/>
          <w:lang w:val="en-GB"/>
        </w:rPr>
        <w:t xml:space="preserve"> confounding </w:t>
      </w:r>
      <w:r w:rsidR="008F3ED8">
        <w:rPr>
          <w:rFonts w:asciiTheme="minorHAnsi" w:hAnsiTheme="minorHAnsi" w:cstheme="minorHAnsi"/>
          <w:color w:val="000000" w:themeColor="text1"/>
          <w:sz w:val="22"/>
          <w:szCs w:val="22"/>
          <w:lang w:val="en-GB"/>
        </w:rPr>
        <w:t>consumption</w:t>
      </w:r>
      <w:r w:rsidR="008F3ED8" w:rsidRPr="00C37A4D">
        <w:rPr>
          <w:rFonts w:asciiTheme="minorHAnsi" w:hAnsiTheme="minorHAnsi" w:cstheme="minorHAnsi"/>
          <w:color w:val="000000" w:themeColor="text1"/>
          <w:sz w:val="22"/>
          <w:szCs w:val="22"/>
          <w:lang w:val="en-GB"/>
        </w:rPr>
        <w:t xml:space="preserve"> estimates, </w:t>
      </w:r>
      <w:r w:rsidR="008F3ED8">
        <w:rPr>
          <w:rFonts w:asciiTheme="minorHAnsi" w:hAnsiTheme="minorHAnsi" w:cstheme="minorHAnsi"/>
          <w:color w:val="000000" w:themeColor="text1"/>
          <w:sz w:val="22"/>
          <w:szCs w:val="22"/>
          <w:lang w:val="en-GB"/>
        </w:rPr>
        <w:t xml:space="preserve">substandard </w:t>
      </w:r>
      <w:r w:rsidR="008F3ED8" w:rsidRPr="00C37A4D">
        <w:rPr>
          <w:rFonts w:asciiTheme="minorHAnsi" w:hAnsiTheme="minorHAnsi" w:cstheme="minorHAnsi"/>
          <w:color w:val="000000" w:themeColor="text1"/>
          <w:sz w:val="22"/>
          <w:szCs w:val="22"/>
          <w:lang w:val="en-GB"/>
        </w:rPr>
        <w:t xml:space="preserve">medicines may exacerbate selection for </w:t>
      </w:r>
      <w:r w:rsidR="008F3ED8">
        <w:rPr>
          <w:rFonts w:asciiTheme="minorHAnsi" w:hAnsiTheme="minorHAnsi" w:cstheme="minorHAnsi"/>
          <w:color w:val="000000" w:themeColor="text1"/>
          <w:sz w:val="22"/>
          <w:szCs w:val="22"/>
          <w:lang w:val="en-GB"/>
        </w:rPr>
        <w:t>AMR</w:t>
      </w:r>
      <w:r w:rsidR="008F3ED8" w:rsidRPr="00C37A4D">
        <w:rPr>
          <w:rFonts w:asciiTheme="minorHAnsi" w:hAnsiTheme="minorHAnsi" w:cstheme="minorHAnsi"/>
          <w:color w:val="000000" w:themeColor="text1"/>
          <w:sz w:val="22"/>
          <w:szCs w:val="22"/>
          <w:lang w:val="en-GB"/>
        </w:rPr>
        <w:t xml:space="preserve"> even when used according to prescription through a variety of mechanisms</w:t>
      </w:r>
      <w:r w:rsidR="008F3ED8" w:rsidRPr="00C37A4D">
        <w:rPr>
          <w:rStyle w:val="CommentReference"/>
          <w:sz w:val="22"/>
          <w:szCs w:val="22"/>
        </w:rPr>
        <w:t>.</w:t>
      </w:r>
      <w:r w:rsidR="00E00CFD" w:rsidRPr="00E00CFD">
        <w:rPr>
          <w:sz w:val="22"/>
          <w:vertAlign w:val="superscript"/>
        </w:rPr>
        <w:t>131,132</w:t>
      </w:r>
      <w:r w:rsidR="008F3ED8" w:rsidRPr="00C37A4D">
        <w:rPr>
          <w:rFonts w:asciiTheme="minorHAnsi" w:hAnsiTheme="minorHAnsi" w:cstheme="minorHAnsi"/>
          <w:color w:val="000000" w:themeColor="text1"/>
          <w:sz w:val="22"/>
          <w:szCs w:val="22"/>
          <w:lang w:val="en-GB"/>
        </w:rPr>
        <w:t xml:space="preserve"> Substandard or falsified antimicrobials also undermine the resistance-thwarting goals of combination regimens</w:t>
      </w:r>
      <w:r w:rsidR="008F3ED8">
        <w:rPr>
          <w:rFonts w:asciiTheme="minorHAnsi" w:hAnsiTheme="minorHAnsi" w:cstheme="minorHAnsi"/>
          <w:color w:val="000000" w:themeColor="text1"/>
          <w:sz w:val="22"/>
          <w:szCs w:val="22"/>
          <w:lang w:val="en-GB"/>
        </w:rPr>
        <w:t>,</w:t>
      </w:r>
      <w:r w:rsidR="008F3ED8" w:rsidRPr="00C37A4D">
        <w:rPr>
          <w:rFonts w:asciiTheme="minorHAnsi" w:hAnsiTheme="minorHAnsi" w:cstheme="minorHAnsi"/>
          <w:color w:val="000000" w:themeColor="text1"/>
          <w:sz w:val="22"/>
          <w:szCs w:val="22"/>
          <w:lang w:val="en-GB"/>
        </w:rPr>
        <w:t xml:space="preserve"> and formulations containing no active ingredient</w:t>
      </w:r>
      <w:r w:rsidR="008F3ED8">
        <w:rPr>
          <w:rFonts w:asciiTheme="minorHAnsi" w:hAnsiTheme="minorHAnsi" w:cstheme="minorHAnsi"/>
          <w:color w:val="000000" w:themeColor="text1"/>
          <w:sz w:val="22"/>
          <w:szCs w:val="22"/>
          <w:lang w:val="en-GB"/>
        </w:rPr>
        <w:t>,</w:t>
      </w:r>
      <w:r w:rsidR="008F3ED8" w:rsidRPr="00C37A4D">
        <w:rPr>
          <w:rFonts w:asciiTheme="minorHAnsi" w:hAnsiTheme="minorHAnsi" w:cstheme="minorHAnsi"/>
          <w:color w:val="000000" w:themeColor="text1"/>
          <w:sz w:val="22"/>
          <w:szCs w:val="22"/>
          <w:lang w:val="en-GB"/>
        </w:rPr>
        <w:t xml:space="preserve"> or the wrong active ingredient</w:t>
      </w:r>
      <w:r w:rsidR="008F3ED8">
        <w:rPr>
          <w:rFonts w:asciiTheme="minorHAnsi" w:hAnsiTheme="minorHAnsi" w:cstheme="minorHAnsi"/>
          <w:color w:val="000000" w:themeColor="text1"/>
          <w:sz w:val="22"/>
          <w:szCs w:val="22"/>
          <w:lang w:val="en-GB"/>
        </w:rPr>
        <w:t>,</w:t>
      </w:r>
      <w:r w:rsidR="008F3ED8" w:rsidRPr="00C37A4D">
        <w:rPr>
          <w:rFonts w:asciiTheme="minorHAnsi" w:hAnsiTheme="minorHAnsi" w:cstheme="minorHAnsi"/>
          <w:color w:val="000000" w:themeColor="text1"/>
          <w:sz w:val="22"/>
          <w:szCs w:val="22"/>
          <w:lang w:val="en-GB"/>
        </w:rPr>
        <w:t xml:space="preserve"> can </w:t>
      </w:r>
      <w:r w:rsidR="008F3ED8">
        <w:rPr>
          <w:rFonts w:asciiTheme="minorHAnsi" w:hAnsiTheme="minorHAnsi" w:cstheme="minorHAnsi"/>
          <w:color w:val="000000" w:themeColor="text1"/>
          <w:sz w:val="22"/>
          <w:szCs w:val="22"/>
          <w:lang w:val="en-GB"/>
        </w:rPr>
        <w:t>generate</w:t>
      </w:r>
      <w:r w:rsidR="008F3ED8" w:rsidRPr="00C37A4D">
        <w:rPr>
          <w:rFonts w:asciiTheme="minorHAnsi" w:hAnsiTheme="minorHAnsi" w:cstheme="minorHAnsi"/>
          <w:color w:val="000000" w:themeColor="text1"/>
          <w:sz w:val="22"/>
          <w:szCs w:val="22"/>
          <w:lang w:val="en-GB"/>
        </w:rPr>
        <w:t xml:space="preserve"> false impressions of resistance.</w:t>
      </w:r>
      <w:r w:rsidR="008F3ED8">
        <w:rPr>
          <w:rFonts w:asciiTheme="minorHAnsi" w:hAnsiTheme="minorHAnsi" w:cstheme="minorHAnsi"/>
          <w:color w:val="000000" w:themeColor="text1"/>
          <w:sz w:val="22"/>
          <w:szCs w:val="22"/>
          <w:lang w:val="en-GB"/>
        </w:rPr>
        <w:t xml:space="preserve"> </w:t>
      </w:r>
    </w:p>
    <w:p w14:paraId="644062C9" w14:textId="77777777" w:rsidR="008F3ED8" w:rsidRDefault="008F3ED8" w:rsidP="008F3ED8">
      <w:pPr>
        <w:rPr>
          <w:rFonts w:asciiTheme="minorHAnsi" w:hAnsiTheme="minorHAnsi" w:cstheme="minorHAnsi"/>
          <w:color w:val="000000" w:themeColor="text1"/>
          <w:sz w:val="22"/>
          <w:szCs w:val="22"/>
          <w:lang w:val="en-GB"/>
        </w:rPr>
      </w:pPr>
    </w:p>
    <w:p w14:paraId="6418D97C" w14:textId="07497D65" w:rsidR="00607A1C" w:rsidRPr="00C37A4D" w:rsidRDefault="008F3ED8" w:rsidP="008F3ED8">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Overall, because of inertia and the difficulties of documentation (</w:t>
      </w:r>
      <w:r w:rsidRPr="004740BD">
        <w:rPr>
          <w:rFonts w:asciiTheme="minorHAnsi" w:hAnsiTheme="minorHAnsi" w:cstheme="minorHAnsi"/>
          <w:b/>
          <w:bCs/>
          <w:color w:val="000000" w:themeColor="text1"/>
          <w:sz w:val="22"/>
          <w:szCs w:val="22"/>
          <w:lang w:val="en-GB"/>
        </w:rPr>
        <w:t xml:space="preserve">Panel </w:t>
      </w:r>
      <w:r w:rsidR="00B57102">
        <w:rPr>
          <w:rFonts w:asciiTheme="minorHAnsi" w:hAnsiTheme="minorHAnsi" w:cstheme="minorHAnsi"/>
          <w:b/>
          <w:bCs/>
          <w:color w:val="000000" w:themeColor="text1"/>
          <w:sz w:val="22"/>
          <w:szCs w:val="22"/>
          <w:lang w:val="en-GB"/>
        </w:rPr>
        <w:t>3</w:t>
      </w:r>
      <w:r>
        <w:rPr>
          <w:rFonts w:asciiTheme="minorHAnsi" w:hAnsiTheme="minorHAnsi" w:cstheme="minorHAnsi"/>
          <w:color w:val="000000" w:themeColor="text1"/>
          <w:sz w:val="22"/>
          <w:szCs w:val="22"/>
          <w:lang w:val="en-GB"/>
        </w:rPr>
        <w:t xml:space="preserve">), AMU in human clinical medicine, veterinary medicine, and agriculture is grossly underreported. </w:t>
      </w:r>
    </w:p>
    <w:p w14:paraId="00000123" w14:textId="77777777" w:rsidR="001821F7" w:rsidRPr="00C37A4D" w:rsidRDefault="001821F7" w:rsidP="00C42DDF">
      <w:pPr>
        <w:rPr>
          <w:rFonts w:asciiTheme="minorHAnsi" w:hAnsiTheme="minorHAnsi" w:cstheme="minorHAnsi"/>
          <w:color w:val="000000" w:themeColor="text1"/>
          <w:sz w:val="22"/>
          <w:szCs w:val="22"/>
          <w:lang w:val="en-GB"/>
        </w:rPr>
      </w:pPr>
    </w:p>
    <w:p w14:paraId="27C2DD7C" w14:textId="4361A46D" w:rsidR="00463B42" w:rsidRPr="00C37A4D" w:rsidRDefault="00CA1299">
      <w:pPr>
        <w:rPr>
          <w:rFonts w:asciiTheme="minorHAnsi" w:eastAsia="Arial" w:hAnsiTheme="minorHAnsi" w:cstheme="minorHAnsi"/>
          <w:b/>
          <w:bCs/>
          <w:iCs/>
          <w:color w:val="000000" w:themeColor="text1"/>
          <w:sz w:val="22"/>
          <w:szCs w:val="22"/>
          <w:lang w:val="en-GB"/>
        </w:rPr>
      </w:pPr>
      <w:r>
        <w:rPr>
          <w:rFonts w:asciiTheme="minorHAnsi" w:hAnsiTheme="minorHAnsi" w:cstheme="minorHAnsi"/>
          <w:b/>
          <w:bCs/>
          <w:color w:val="000000" w:themeColor="text1"/>
          <w:sz w:val="22"/>
          <w:szCs w:val="22"/>
          <w:lang w:val="en-GB"/>
        </w:rPr>
        <w:t>THE NEED FOR ANTIMICROBIAL RESISTANCE SURVEILLANCE</w:t>
      </w:r>
    </w:p>
    <w:p w14:paraId="7199A730" w14:textId="3BCC0E88" w:rsidR="003E4537" w:rsidRDefault="005D6A12" w:rsidP="005D6A12">
      <w:pPr>
        <w:rPr>
          <w:rFonts w:asciiTheme="minorHAnsi" w:hAnsiTheme="minorHAnsi" w:cstheme="minorHAnsi"/>
          <w:color w:val="000000" w:themeColor="text1"/>
          <w:sz w:val="22"/>
          <w:szCs w:val="22"/>
          <w:lang w:val="en-GB"/>
        </w:rPr>
      </w:pPr>
      <w:r w:rsidRPr="00F17551">
        <w:rPr>
          <w:rFonts w:asciiTheme="minorHAnsi" w:eastAsia="Arial" w:hAnsiTheme="minorHAnsi" w:cstheme="minorHAnsi"/>
          <w:color w:val="000000" w:themeColor="text1"/>
          <w:sz w:val="22"/>
          <w:szCs w:val="22"/>
          <w:lang w:val="en-GB"/>
        </w:rPr>
        <w:t>Paper 4</w:t>
      </w:r>
      <w:r>
        <w:rPr>
          <w:rFonts w:asciiTheme="minorHAnsi" w:eastAsia="Arial" w:hAnsiTheme="minorHAnsi" w:cstheme="minorHAnsi"/>
          <w:color w:val="000000" w:themeColor="text1"/>
          <w:sz w:val="22"/>
          <w:szCs w:val="22"/>
          <w:lang w:val="en-GB"/>
        </w:rPr>
        <w:t xml:space="preserve"> </w:t>
      </w:r>
      <w:r w:rsidR="00031169">
        <w:rPr>
          <w:rFonts w:asciiTheme="minorHAnsi" w:eastAsia="Arial" w:hAnsiTheme="minorHAnsi" w:cstheme="minorHAnsi"/>
          <w:color w:val="000000" w:themeColor="text1"/>
          <w:sz w:val="22"/>
          <w:szCs w:val="22"/>
          <w:lang w:val="en-GB"/>
        </w:rPr>
        <w:t xml:space="preserve">in this series </w:t>
      </w:r>
      <w:r>
        <w:rPr>
          <w:rFonts w:asciiTheme="minorHAnsi" w:eastAsia="Arial" w:hAnsiTheme="minorHAnsi" w:cstheme="minorHAnsi"/>
          <w:color w:val="000000" w:themeColor="text1"/>
          <w:sz w:val="22"/>
          <w:szCs w:val="22"/>
          <w:lang w:val="en-GB"/>
        </w:rPr>
        <w:t>proposes ambitious but achievable targets for containing AMR.</w:t>
      </w:r>
      <w:r w:rsidR="00E00CFD" w:rsidRPr="00E00CFD">
        <w:rPr>
          <w:rFonts w:hAnsiTheme="minorHAnsi"/>
          <w:color w:val="000000"/>
          <w:sz w:val="22"/>
          <w:vertAlign w:val="superscript"/>
        </w:rPr>
        <w:t>45</w:t>
      </w:r>
      <w:r w:rsidR="0066136A">
        <w:rPr>
          <w:rFonts w:asciiTheme="minorHAnsi" w:eastAsia="Arial" w:hAnsiTheme="minorHAnsi" w:cstheme="minorHAnsi"/>
          <w:color w:val="000000" w:themeColor="text1"/>
          <w:sz w:val="22"/>
          <w:szCs w:val="22"/>
          <w:lang w:val="en-GB"/>
        </w:rPr>
        <w:t xml:space="preserve"> </w:t>
      </w:r>
      <w:r>
        <w:rPr>
          <w:rFonts w:asciiTheme="minorHAnsi" w:eastAsia="Arial" w:hAnsiTheme="minorHAnsi" w:cstheme="minorHAnsi"/>
          <w:color w:val="000000" w:themeColor="text1"/>
          <w:sz w:val="22"/>
          <w:szCs w:val="22"/>
          <w:lang w:val="en-GB"/>
        </w:rPr>
        <w:t>These targets cannot be met, nor can progress towards them be measured, without robust surveillance</w:t>
      </w:r>
      <w:r w:rsidR="0034199D">
        <w:rPr>
          <w:rFonts w:asciiTheme="minorHAnsi" w:eastAsia="Arial" w:hAnsiTheme="minorHAnsi" w:cstheme="minorHAnsi"/>
          <w:color w:val="000000" w:themeColor="text1"/>
          <w:sz w:val="22"/>
          <w:szCs w:val="22"/>
          <w:lang w:val="en-GB"/>
        </w:rPr>
        <w:t xml:space="preserve"> of both resistance and its burden</w:t>
      </w:r>
      <w:r>
        <w:rPr>
          <w:rFonts w:asciiTheme="minorHAnsi" w:eastAsia="Arial" w:hAnsiTheme="minorHAnsi" w:cstheme="minorHAnsi"/>
          <w:color w:val="000000" w:themeColor="text1"/>
          <w:sz w:val="22"/>
          <w:szCs w:val="22"/>
          <w:lang w:val="en-GB"/>
        </w:rPr>
        <w:t xml:space="preserve">. </w:t>
      </w:r>
      <w:r w:rsidR="0034199D">
        <w:rPr>
          <w:rFonts w:asciiTheme="minorHAnsi" w:eastAsia="Arial" w:hAnsiTheme="minorHAnsi" w:cstheme="minorHAnsi"/>
          <w:color w:val="000000" w:themeColor="text1"/>
          <w:sz w:val="22"/>
          <w:szCs w:val="22"/>
          <w:lang w:val="en-GB"/>
        </w:rPr>
        <w:t>I</w:t>
      </w:r>
      <w:r w:rsidRPr="00C37A4D">
        <w:rPr>
          <w:rFonts w:asciiTheme="minorHAnsi" w:eastAsia="Arial" w:hAnsiTheme="minorHAnsi" w:cstheme="minorHAnsi"/>
          <w:color w:val="000000" w:themeColor="text1"/>
          <w:sz w:val="22"/>
          <w:szCs w:val="22"/>
          <w:lang w:val="en-GB"/>
        </w:rPr>
        <w:t xml:space="preserve">n many parts of the world, </w:t>
      </w:r>
      <w:r w:rsidR="0034199D">
        <w:rPr>
          <w:rFonts w:asciiTheme="minorHAnsi" w:eastAsia="Arial" w:hAnsiTheme="minorHAnsi" w:cstheme="minorHAnsi"/>
          <w:color w:val="000000" w:themeColor="text1"/>
          <w:sz w:val="22"/>
          <w:szCs w:val="22"/>
          <w:lang w:val="en-GB"/>
        </w:rPr>
        <w:t xml:space="preserve">however, </w:t>
      </w:r>
      <w:r w:rsidRPr="00C37A4D">
        <w:rPr>
          <w:rFonts w:asciiTheme="minorHAnsi" w:eastAsia="Arial" w:hAnsiTheme="minorHAnsi" w:cstheme="minorHAnsi"/>
          <w:color w:val="000000" w:themeColor="text1"/>
          <w:sz w:val="22"/>
          <w:szCs w:val="22"/>
          <w:lang w:val="en-GB"/>
        </w:rPr>
        <w:t xml:space="preserve">surveillance is insufficient </w:t>
      </w:r>
      <w:r w:rsidR="0034199D">
        <w:rPr>
          <w:rFonts w:asciiTheme="minorHAnsi" w:eastAsia="Arial" w:hAnsiTheme="minorHAnsi" w:cstheme="minorHAnsi"/>
          <w:color w:val="000000" w:themeColor="text1"/>
          <w:sz w:val="22"/>
          <w:szCs w:val="22"/>
          <w:lang w:val="en-GB"/>
        </w:rPr>
        <w:t>for the purpose</w:t>
      </w:r>
      <w:r w:rsidRPr="00C37A4D">
        <w:rPr>
          <w:rFonts w:asciiTheme="minorHAnsi" w:eastAsia="Arial" w:hAnsiTheme="minorHAnsi" w:cstheme="minorHAnsi"/>
          <w:color w:val="000000" w:themeColor="text1"/>
          <w:sz w:val="22"/>
          <w:szCs w:val="22"/>
          <w:lang w:val="en-GB"/>
        </w:rPr>
        <w:t xml:space="preserve">. </w:t>
      </w:r>
      <w:r>
        <w:rPr>
          <w:rFonts w:asciiTheme="minorHAnsi" w:eastAsia="Arial" w:hAnsiTheme="minorHAnsi" w:cstheme="minorHAnsi"/>
          <w:color w:val="000000" w:themeColor="text1"/>
          <w:sz w:val="22"/>
          <w:szCs w:val="22"/>
          <w:lang w:val="en-GB"/>
        </w:rPr>
        <w:t xml:space="preserve">Surveillance strategies </w:t>
      </w:r>
      <w:r w:rsidR="0034199D">
        <w:rPr>
          <w:rFonts w:asciiTheme="minorHAnsi" w:eastAsia="Arial" w:hAnsiTheme="minorHAnsi" w:cstheme="minorHAnsi"/>
          <w:color w:val="000000" w:themeColor="text1"/>
          <w:sz w:val="22"/>
          <w:szCs w:val="22"/>
          <w:lang w:val="en-GB"/>
        </w:rPr>
        <w:t xml:space="preserve">may be </w:t>
      </w:r>
      <w:r>
        <w:rPr>
          <w:rFonts w:asciiTheme="minorHAnsi" w:eastAsia="Arial" w:hAnsiTheme="minorHAnsi" w:cstheme="minorHAnsi"/>
          <w:color w:val="000000" w:themeColor="text1"/>
          <w:sz w:val="22"/>
          <w:szCs w:val="22"/>
          <w:lang w:val="en-GB"/>
        </w:rPr>
        <w:t xml:space="preserve">non-representative of the target population or </w:t>
      </w:r>
      <w:r w:rsidR="00775B9B">
        <w:rPr>
          <w:rFonts w:asciiTheme="minorHAnsi" w:eastAsia="Arial" w:hAnsiTheme="minorHAnsi" w:cstheme="minorHAnsi"/>
          <w:color w:val="000000" w:themeColor="text1"/>
          <w:sz w:val="22"/>
          <w:szCs w:val="22"/>
          <w:lang w:val="en-GB"/>
        </w:rPr>
        <w:t xml:space="preserve">may </w:t>
      </w:r>
      <w:r>
        <w:rPr>
          <w:rFonts w:asciiTheme="minorHAnsi" w:eastAsia="Arial" w:hAnsiTheme="minorHAnsi" w:cstheme="minorHAnsi"/>
          <w:color w:val="000000" w:themeColor="text1"/>
          <w:sz w:val="22"/>
          <w:szCs w:val="22"/>
          <w:lang w:val="en-GB"/>
        </w:rPr>
        <w:t xml:space="preserve">bias </w:t>
      </w:r>
      <w:r w:rsidR="0034199D">
        <w:rPr>
          <w:rFonts w:asciiTheme="minorHAnsi" w:eastAsia="Arial" w:hAnsiTheme="minorHAnsi" w:cstheme="minorHAnsi"/>
          <w:color w:val="000000" w:themeColor="text1"/>
          <w:sz w:val="22"/>
          <w:szCs w:val="22"/>
          <w:lang w:val="en-GB"/>
        </w:rPr>
        <w:t xml:space="preserve">the </w:t>
      </w:r>
      <w:r>
        <w:rPr>
          <w:rFonts w:asciiTheme="minorHAnsi" w:eastAsia="Roboto" w:hAnsiTheme="minorHAnsi" w:cstheme="minorHAnsi"/>
          <w:color w:val="000000" w:themeColor="text1"/>
          <w:sz w:val="22"/>
          <w:szCs w:val="22"/>
          <w:lang w:val="en-GB"/>
        </w:rPr>
        <w:t xml:space="preserve">responses, including </w:t>
      </w:r>
      <w:r w:rsidRPr="00C37A4D">
        <w:rPr>
          <w:rFonts w:asciiTheme="minorHAnsi" w:eastAsia="Roboto" w:hAnsiTheme="minorHAnsi" w:cstheme="minorHAnsi"/>
          <w:color w:val="000000" w:themeColor="text1"/>
          <w:sz w:val="22"/>
          <w:szCs w:val="22"/>
          <w:lang w:val="en-GB"/>
        </w:rPr>
        <w:t>prompt</w:t>
      </w:r>
      <w:r>
        <w:rPr>
          <w:rFonts w:asciiTheme="minorHAnsi" w:eastAsia="Roboto" w:hAnsiTheme="minorHAnsi" w:cstheme="minorHAnsi"/>
          <w:color w:val="000000" w:themeColor="text1"/>
          <w:sz w:val="22"/>
          <w:szCs w:val="22"/>
          <w:lang w:val="en-GB"/>
        </w:rPr>
        <w:t xml:space="preserve">ing </w:t>
      </w:r>
      <w:r w:rsidRPr="00C37A4D">
        <w:rPr>
          <w:rFonts w:asciiTheme="minorHAnsi" w:eastAsia="Roboto" w:hAnsiTheme="minorHAnsi" w:cstheme="minorHAnsi"/>
          <w:color w:val="000000" w:themeColor="text1"/>
          <w:sz w:val="22"/>
          <w:szCs w:val="22"/>
          <w:lang w:val="en-GB"/>
        </w:rPr>
        <w:t>antibiotic overuse.</w:t>
      </w:r>
      <w:r w:rsidR="00E00CFD" w:rsidRPr="00E00CFD">
        <w:rPr>
          <w:rFonts w:hAnsiTheme="minorHAnsi"/>
          <w:color w:val="000000"/>
          <w:sz w:val="22"/>
          <w:vertAlign w:val="superscript"/>
        </w:rPr>
        <w:t>145,146</w:t>
      </w:r>
      <w:r w:rsidRPr="00C37A4D">
        <w:rPr>
          <w:rFonts w:asciiTheme="minorHAnsi" w:eastAsia="Roboto" w:hAnsiTheme="minorHAnsi" w:cstheme="minorHAnsi"/>
          <w:color w:val="000000" w:themeColor="text1"/>
          <w:sz w:val="22"/>
          <w:szCs w:val="22"/>
          <w:lang w:val="en-GB"/>
        </w:rPr>
        <w:t xml:space="preserve"> </w:t>
      </w:r>
      <w:r w:rsidRPr="00C37A4D">
        <w:rPr>
          <w:rFonts w:asciiTheme="minorHAnsi" w:hAnsiTheme="minorHAnsi" w:cstheme="minorHAnsi"/>
          <w:color w:val="000000" w:themeColor="text1"/>
          <w:sz w:val="22"/>
          <w:szCs w:val="22"/>
          <w:lang w:val="en-GB"/>
        </w:rPr>
        <w:t>Traditional laboratory-based resistance surveillance</w:t>
      </w:r>
      <w:r w:rsidR="00540F43">
        <w:rPr>
          <w:rFonts w:asciiTheme="minorHAnsi" w:hAnsiTheme="minorHAnsi" w:cstheme="minorHAnsi"/>
          <w:color w:val="000000" w:themeColor="text1"/>
          <w:sz w:val="22"/>
          <w:szCs w:val="22"/>
          <w:lang w:val="en-GB"/>
        </w:rPr>
        <w:t>, which</w:t>
      </w:r>
      <w:r w:rsidRPr="00C37A4D">
        <w:rPr>
          <w:rFonts w:asciiTheme="minorHAnsi" w:hAnsiTheme="minorHAnsi" w:cstheme="minorHAnsi"/>
          <w:color w:val="000000" w:themeColor="text1"/>
          <w:sz w:val="22"/>
          <w:szCs w:val="22"/>
          <w:lang w:val="en-GB"/>
        </w:rPr>
        <w:t xml:space="preserve"> aggregat</w:t>
      </w:r>
      <w:r w:rsidR="00775B9B">
        <w:rPr>
          <w:rFonts w:asciiTheme="minorHAnsi" w:hAnsiTheme="minorHAnsi" w:cstheme="minorHAnsi"/>
          <w:color w:val="000000" w:themeColor="text1"/>
          <w:sz w:val="22"/>
          <w:szCs w:val="22"/>
          <w:lang w:val="en-GB"/>
        </w:rPr>
        <w:t>es</w:t>
      </w:r>
      <w:r w:rsidRPr="00C37A4D">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 xml:space="preserve">data </w:t>
      </w:r>
      <w:r w:rsidR="00540F43">
        <w:rPr>
          <w:rFonts w:asciiTheme="minorHAnsi" w:hAnsiTheme="minorHAnsi" w:cstheme="minorHAnsi"/>
          <w:color w:val="000000" w:themeColor="text1"/>
          <w:sz w:val="22"/>
          <w:szCs w:val="22"/>
          <w:lang w:val="en-GB"/>
        </w:rPr>
        <w:t>from</w:t>
      </w:r>
      <w:r w:rsidRPr="00C37A4D">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 xml:space="preserve">routine testing </w:t>
      </w:r>
      <w:r w:rsidRPr="00C37A4D">
        <w:rPr>
          <w:rFonts w:asciiTheme="minorHAnsi" w:hAnsiTheme="minorHAnsi" w:cstheme="minorHAnsi"/>
          <w:color w:val="000000" w:themeColor="text1"/>
          <w:sz w:val="22"/>
          <w:szCs w:val="22"/>
          <w:lang w:val="en-GB"/>
        </w:rPr>
        <w:t>of patients</w:t>
      </w:r>
      <w:r>
        <w:rPr>
          <w:rFonts w:asciiTheme="minorHAnsi" w:hAnsiTheme="minorHAnsi" w:cstheme="minorHAnsi"/>
          <w:color w:val="000000" w:themeColor="text1"/>
          <w:sz w:val="22"/>
          <w:szCs w:val="22"/>
          <w:lang w:val="en-GB"/>
        </w:rPr>
        <w:t xml:space="preserve"> in healthcare facilities</w:t>
      </w:r>
      <w:r w:rsidR="00540F43">
        <w:rPr>
          <w:rFonts w:asciiTheme="minorHAnsi" w:hAnsiTheme="minorHAnsi" w:cstheme="minorHAnsi"/>
          <w:color w:val="000000" w:themeColor="text1"/>
          <w:sz w:val="22"/>
          <w:szCs w:val="22"/>
          <w:lang w:val="en-GB"/>
        </w:rPr>
        <w:t>,</w:t>
      </w:r>
      <w:r w:rsidRPr="00C37A4D">
        <w:rPr>
          <w:rFonts w:asciiTheme="minorHAnsi" w:hAnsiTheme="minorHAnsi" w:cstheme="minorHAnsi"/>
          <w:color w:val="000000" w:themeColor="text1"/>
          <w:sz w:val="22"/>
          <w:szCs w:val="22"/>
          <w:lang w:val="en-GB"/>
        </w:rPr>
        <w:t xml:space="preserve"> has obvious drawbacks:</w:t>
      </w:r>
      <w:r w:rsidR="00775B9B">
        <w:rPr>
          <w:rFonts w:asciiTheme="minorHAnsi" w:hAnsiTheme="minorHAnsi" w:cstheme="minorHAnsi"/>
          <w:color w:val="000000" w:themeColor="text1"/>
          <w:sz w:val="22"/>
          <w:szCs w:val="22"/>
          <w:lang w:val="en-GB"/>
        </w:rPr>
        <w:t xml:space="preserve"> the</w:t>
      </w:r>
      <w:r w:rsidRPr="00C37A4D">
        <w:rPr>
          <w:rFonts w:asciiTheme="minorHAnsi" w:hAnsiTheme="minorHAnsi" w:cstheme="minorHAnsi"/>
          <w:color w:val="000000" w:themeColor="text1"/>
          <w:sz w:val="22"/>
          <w:szCs w:val="22"/>
          <w:lang w:val="en-GB"/>
        </w:rPr>
        <w:t xml:space="preserve"> data </w:t>
      </w:r>
      <w:r>
        <w:rPr>
          <w:rFonts w:asciiTheme="minorHAnsi" w:hAnsiTheme="minorHAnsi" w:cstheme="minorHAnsi"/>
          <w:color w:val="000000" w:themeColor="text1"/>
          <w:sz w:val="22"/>
          <w:szCs w:val="22"/>
          <w:lang w:val="en-GB"/>
        </w:rPr>
        <w:t xml:space="preserve">typically reflect the conditions of a selected </w:t>
      </w:r>
      <w:r w:rsidRPr="00C37A4D">
        <w:rPr>
          <w:rFonts w:asciiTheme="minorHAnsi" w:hAnsiTheme="minorHAnsi" w:cstheme="minorHAnsi"/>
          <w:color w:val="000000" w:themeColor="text1"/>
          <w:sz w:val="22"/>
          <w:szCs w:val="22"/>
          <w:lang w:val="en-GB"/>
        </w:rPr>
        <w:t>sample</w:t>
      </w:r>
      <w:r>
        <w:rPr>
          <w:rFonts w:asciiTheme="minorHAnsi" w:hAnsiTheme="minorHAnsi" w:cstheme="minorHAnsi"/>
          <w:color w:val="000000" w:themeColor="text1"/>
          <w:sz w:val="22"/>
          <w:szCs w:val="22"/>
          <w:lang w:val="en-GB"/>
        </w:rPr>
        <w:t xml:space="preserve"> of patients accessing health services and diagnostics</w:t>
      </w:r>
      <w:r w:rsidRPr="00C37A4D">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often</w:t>
      </w:r>
      <w:r w:rsidRPr="00C37A4D">
        <w:rPr>
          <w:rFonts w:asciiTheme="minorHAnsi" w:hAnsiTheme="minorHAnsi" w:cstheme="minorHAnsi"/>
          <w:color w:val="000000" w:themeColor="text1"/>
          <w:sz w:val="22"/>
          <w:szCs w:val="22"/>
          <w:lang w:val="en-GB"/>
        </w:rPr>
        <w:t xml:space="preserve"> from tertiary-care facilities where resistance </w:t>
      </w:r>
      <w:r>
        <w:rPr>
          <w:rFonts w:asciiTheme="minorHAnsi" w:hAnsiTheme="minorHAnsi" w:cstheme="minorHAnsi"/>
          <w:color w:val="000000" w:themeColor="text1"/>
          <w:sz w:val="22"/>
          <w:szCs w:val="22"/>
          <w:lang w:val="en-GB"/>
        </w:rPr>
        <w:t xml:space="preserve">rates </w:t>
      </w:r>
      <w:r w:rsidRPr="00C37A4D">
        <w:rPr>
          <w:rFonts w:asciiTheme="minorHAnsi" w:hAnsiTheme="minorHAnsi" w:cstheme="minorHAnsi"/>
          <w:color w:val="000000" w:themeColor="text1"/>
          <w:sz w:val="22"/>
          <w:szCs w:val="22"/>
          <w:lang w:val="en-GB"/>
        </w:rPr>
        <w:t>may be high</w:t>
      </w:r>
      <w:r w:rsidR="00775B9B">
        <w:rPr>
          <w:rFonts w:asciiTheme="minorHAnsi" w:hAnsiTheme="minorHAnsi" w:cstheme="minorHAnsi"/>
          <w:color w:val="000000" w:themeColor="text1"/>
          <w:sz w:val="22"/>
          <w:szCs w:val="22"/>
          <w:lang w:val="en-GB"/>
        </w:rPr>
        <w:t>, and</w:t>
      </w:r>
      <w:r w:rsidRPr="00C37A4D">
        <w:rPr>
          <w:rFonts w:asciiTheme="minorHAnsi" w:hAnsiTheme="minorHAnsi" w:cstheme="minorHAnsi"/>
          <w:color w:val="000000" w:themeColor="text1"/>
          <w:sz w:val="22"/>
          <w:szCs w:val="22"/>
          <w:lang w:val="en-GB"/>
        </w:rPr>
        <w:t xml:space="preserve"> resistance patterns are </w:t>
      </w:r>
      <w:r>
        <w:rPr>
          <w:rFonts w:asciiTheme="minorHAnsi" w:hAnsiTheme="minorHAnsi" w:cstheme="minorHAnsi"/>
          <w:color w:val="000000" w:themeColor="text1"/>
          <w:sz w:val="22"/>
          <w:szCs w:val="22"/>
          <w:lang w:val="en-GB"/>
        </w:rPr>
        <w:t xml:space="preserve">often reported </w:t>
      </w:r>
      <w:r w:rsidR="00775B9B">
        <w:rPr>
          <w:rFonts w:asciiTheme="minorHAnsi" w:hAnsiTheme="minorHAnsi" w:cstheme="minorHAnsi"/>
          <w:color w:val="000000" w:themeColor="text1"/>
          <w:sz w:val="22"/>
          <w:szCs w:val="22"/>
          <w:lang w:val="en-GB"/>
        </w:rPr>
        <w:t xml:space="preserve">out of </w:t>
      </w:r>
      <w:r>
        <w:rPr>
          <w:rFonts w:asciiTheme="minorHAnsi" w:hAnsiTheme="minorHAnsi" w:cstheme="minorHAnsi"/>
          <w:color w:val="000000" w:themeColor="text1"/>
          <w:sz w:val="22"/>
          <w:szCs w:val="22"/>
          <w:lang w:val="en-GB"/>
        </w:rPr>
        <w:t xml:space="preserve">epidemiological and </w:t>
      </w:r>
      <w:r w:rsidRPr="00C37A4D">
        <w:rPr>
          <w:rFonts w:asciiTheme="minorHAnsi" w:hAnsiTheme="minorHAnsi" w:cstheme="minorHAnsi"/>
          <w:color w:val="000000" w:themeColor="text1"/>
          <w:sz w:val="22"/>
          <w:szCs w:val="22"/>
          <w:lang w:val="en-GB"/>
        </w:rPr>
        <w:t xml:space="preserve">clinical </w:t>
      </w:r>
      <w:r w:rsidR="00775B9B">
        <w:rPr>
          <w:rFonts w:asciiTheme="minorHAnsi" w:hAnsiTheme="minorHAnsi" w:cstheme="minorHAnsi"/>
          <w:color w:val="000000" w:themeColor="text1"/>
          <w:sz w:val="22"/>
          <w:szCs w:val="22"/>
          <w:lang w:val="en-GB"/>
        </w:rPr>
        <w:t>context</w:t>
      </w:r>
      <w:r>
        <w:rPr>
          <w:rFonts w:asciiTheme="minorHAnsi" w:eastAsia="Roboto" w:hAnsiTheme="minorHAnsi" w:cstheme="minorHAnsi"/>
          <w:color w:val="000000" w:themeColor="text1"/>
          <w:sz w:val="22"/>
          <w:szCs w:val="22"/>
          <w:lang w:val="en-GB"/>
        </w:rPr>
        <w:t xml:space="preserve">, thus limiting their utility to </w:t>
      </w:r>
      <w:r w:rsidRPr="00C37A4D">
        <w:rPr>
          <w:rFonts w:asciiTheme="minorHAnsi" w:eastAsia="Roboto" w:hAnsiTheme="minorHAnsi" w:cstheme="minorHAnsi"/>
          <w:color w:val="000000" w:themeColor="text1"/>
          <w:sz w:val="22"/>
          <w:szCs w:val="22"/>
          <w:lang w:val="en-GB"/>
        </w:rPr>
        <w:t>inform empiric treatment guidelines</w:t>
      </w:r>
      <w:r w:rsidR="00F047D6">
        <w:rPr>
          <w:rFonts w:asciiTheme="minorHAnsi" w:eastAsia="Roboto" w:hAnsiTheme="minorHAnsi" w:cstheme="minorHAnsi"/>
          <w:color w:val="000000" w:themeColor="text1"/>
          <w:sz w:val="22"/>
          <w:szCs w:val="22"/>
          <w:lang w:val="en-GB"/>
        </w:rPr>
        <w:t xml:space="preserve"> (</w:t>
      </w:r>
      <w:r w:rsidR="00F047D6" w:rsidRPr="004740BD">
        <w:rPr>
          <w:rFonts w:asciiTheme="minorHAnsi" w:eastAsia="Roboto" w:hAnsiTheme="minorHAnsi" w:cstheme="minorHAnsi"/>
          <w:b/>
          <w:bCs/>
          <w:color w:val="000000" w:themeColor="text1"/>
          <w:sz w:val="22"/>
          <w:szCs w:val="22"/>
          <w:lang w:val="en-GB"/>
        </w:rPr>
        <w:t xml:space="preserve">Panel </w:t>
      </w:r>
      <w:r w:rsidR="00B57102">
        <w:rPr>
          <w:rFonts w:asciiTheme="minorHAnsi" w:eastAsia="Roboto" w:hAnsiTheme="minorHAnsi" w:cstheme="minorHAnsi"/>
          <w:b/>
          <w:bCs/>
          <w:color w:val="000000" w:themeColor="text1"/>
          <w:sz w:val="22"/>
          <w:szCs w:val="22"/>
          <w:lang w:val="en-GB"/>
        </w:rPr>
        <w:t>4</w:t>
      </w:r>
      <w:r w:rsidR="00F047D6">
        <w:rPr>
          <w:rFonts w:asciiTheme="minorHAnsi" w:eastAsia="Roboto" w:hAnsiTheme="minorHAnsi" w:cstheme="minorHAnsi"/>
          <w:color w:val="000000" w:themeColor="text1"/>
          <w:sz w:val="22"/>
          <w:szCs w:val="22"/>
          <w:lang w:val="en-GB"/>
        </w:rPr>
        <w:t>)</w:t>
      </w:r>
      <w:r w:rsidRPr="00C37A4D">
        <w:rPr>
          <w:rFonts w:asciiTheme="minorHAnsi" w:eastAsia="Roboto" w:hAnsiTheme="minorHAnsi" w:cstheme="minorHAnsi"/>
          <w:color w:val="000000" w:themeColor="text1"/>
          <w:sz w:val="22"/>
          <w:szCs w:val="22"/>
          <w:lang w:val="en-GB"/>
        </w:rPr>
        <w:t>.</w:t>
      </w:r>
      <w:r w:rsidR="00E00CFD" w:rsidRPr="00E00CFD">
        <w:rPr>
          <w:rFonts w:hAnsiTheme="minorHAnsi"/>
          <w:color w:val="000000"/>
          <w:sz w:val="22"/>
          <w:vertAlign w:val="superscript"/>
        </w:rPr>
        <w:t>147</w:t>
      </w:r>
      <w:r w:rsidRPr="00C37A4D">
        <w:rPr>
          <w:rFonts w:asciiTheme="minorHAnsi" w:hAnsiTheme="minorHAnsi" w:cstheme="minorHAnsi"/>
          <w:color w:val="000000" w:themeColor="text1"/>
          <w:sz w:val="22"/>
          <w:szCs w:val="22"/>
          <w:lang w:val="en-GB"/>
        </w:rPr>
        <w:t xml:space="preserve"> </w:t>
      </w:r>
    </w:p>
    <w:p w14:paraId="6975526E" w14:textId="77777777" w:rsidR="001F40A9" w:rsidRDefault="001F40A9" w:rsidP="00CA1299">
      <w:pPr>
        <w:rPr>
          <w:rFonts w:asciiTheme="minorHAnsi" w:eastAsia="Arial" w:hAnsiTheme="minorHAnsi" w:cstheme="minorHAnsi"/>
          <w:color w:val="000000" w:themeColor="text1"/>
          <w:sz w:val="22"/>
          <w:szCs w:val="22"/>
          <w:lang w:val="en-GB"/>
        </w:rPr>
      </w:pPr>
    </w:p>
    <w:p w14:paraId="251C3739" w14:textId="28C4BF71" w:rsidR="002763DB" w:rsidRPr="00C37A4D" w:rsidRDefault="002763DB" w:rsidP="002763DB">
      <w:pPr>
        <w:pBdr>
          <w:top w:val="nil"/>
          <w:left w:val="nil"/>
          <w:bottom w:val="nil"/>
          <w:right w:val="nil"/>
          <w:between w:val="nil"/>
        </w:pBdr>
        <w:rPr>
          <w:rFonts w:asciiTheme="minorHAnsi" w:eastAsia="Arial" w:hAnsiTheme="minorHAnsi" w:cstheme="minorHAnsi"/>
          <w:color w:val="000000" w:themeColor="text1"/>
          <w:sz w:val="22"/>
          <w:szCs w:val="22"/>
          <w:lang w:val="en-GB"/>
        </w:rPr>
      </w:pPr>
      <w:r w:rsidRPr="00C37A4D">
        <w:rPr>
          <w:rFonts w:asciiTheme="minorHAnsi" w:eastAsia="Arial" w:hAnsiTheme="minorHAnsi" w:cstheme="minorHAnsi"/>
          <w:color w:val="000000" w:themeColor="text1"/>
          <w:sz w:val="22"/>
          <w:szCs w:val="22"/>
          <w:lang w:val="en-GB"/>
        </w:rPr>
        <w:t xml:space="preserve">The WHO </w:t>
      </w:r>
      <w:r w:rsidRPr="00BD4C26">
        <w:rPr>
          <w:rFonts w:asciiTheme="minorHAnsi" w:eastAsia="Arial" w:hAnsiTheme="minorHAnsi" w:cstheme="minorHAnsi"/>
          <w:i/>
          <w:iCs/>
          <w:color w:val="000000" w:themeColor="text1"/>
          <w:sz w:val="22"/>
          <w:szCs w:val="22"/>
          <w:lang w:val="en-GB"/>
        </w:rPr>
        <w:t xml:space="preserve">Antimicrobial </w:t>
      </w:r>
      <w:r w:rsidR="00775B9B" w:rsidRPr="00BD4C26">
        <w:rPr>
          <w:rFonts w:asciiTheme="minorHAnsi" w:eastAsia="Arial" w:hAnsiTheme="minorHAnsi" w:cstheme="minorHAnsi"/>
          <w:i/>
          <w:iCs/>
          <w:color w:val="000000" w:themeColor="text1"/>
          <w:sz w:val="22"/>
          <w:szCs w:val="22"/>
          <w:lang w:val="en-GB"/>
        </w:rPr>
        <w:t>R</w:t>
      </w:r>
      <w:r w:rsidRPr="00BD4C26">
        <w:rPr>
          <w:rFonts w:asciiTheme="minorHAnsi" w:eastAsia="Arial" w:hAnsiTheme="minorHAnsi" w:cstheme="minorHAnsi"/>
          <w:i/>
          <w:iCs/>
          <w:color w:val="000000" w:themeColor="text1"/>
          <w:sz w:val="22"/>
          <w:szCs w:val="22"/>
          <w:lang w:val="en-GB"/>
        </w:rPr>
        <w:t xml:space="preserve">esistance: </w:t>
      </w:r>
      <w:r w:rsidR="00775B9B" w:rsidRPr="00BD4C26">
        <w:rPr>
          <w:rFonts w:asciiTheme="minorHAnsi" w:eastAsia="Arial" w:hAnsiTheme="minorHAnsi" w:cstheme="minorHAnsi"/>
          <w:i/>
          <w:iCs/>
          <w:color w:val="000000" w:themeColor="text1"/>
          <w:sz w:val="22"/>
          <w:szCs w:val="22"/>
          <w:lang w:val="en-GB"/>
        </w:rPr>
        <w:t>G</w:t>
      </w:r>
      <w:r w:rsidRPr="00BD4C26">
        <w:rPr>
          <w:rFonts w:asciiTheme="minorHAnsi" w:eastAsia="Arial" w:hAnsiTheme="minorHAnsi" w:cstheme="minorHAnsi"/>
          <w:i/>
          <w:iCs/>
          <w:color w:val="000000" w:themeColor="text1"/>
          <w:sz w:val="22"/>
          <w:szCs w:val="22"/>
          <w:lang w:val="en-GB"/>
        </w:rPr>
        <w:t xml:space="preserve">lobal </w:t>
      </w:r>
      <w:r w:rsidR="00775B9B" w:rsidRPr="00BD4C26">
        <w:rPr>
          <w:rFonts w:asciiTheme="minorHAnsi" w:eastAsia="Arial" w:hAnsiTheme="minorHAnsi" w:cstheme="minorHAnsi"/>
          <w:i/>
          <w:iCs/>
          <w:color w:val="000000" w:themeColor="text1"/>
          <w:sz w:val="22"/>
          <w:szCs w:val="22"/>
          <w:lang w:val="en-GB"/>
        </w:rPr>
        <w:t>R</w:t>
      </w:r>
      <w:r w:rsidRPr="00BD4C26">
        <w:rPr>
          <w:rFonts w:asciiTheme="minorHAnsi" w:eastAsia="Arial" w:hAnsiTheme="minorHAnsi" w:cstheme="minorHAnsi"/>
          <w:i/>
          <w:iCs/>
          <w:color w:val="000000" w:themeColor="text1"/>
          <w:sz w:val="22"/>
          <w:szCs w:val="22"/>
          <w:lang w:val="en-GB"/>
        </w:rPr>
        <w:t xml:space="preserve">eport on </w:t>
      </w:r>
      <w:r w:rsidR="00775B9B" w:rsidRPr="00BD4C26">
        <w:rPr>
          <w:rFonts w:asciiTheme="minorHAnsi" w:eastAsia="Arial" w:hAnsiTheme="minorHAnsi" w:cstheme="minorHAnsi"/>
          <w:i/>
          <w:iCs/>
          <w:color w:val="000000" w:themeColor="text1"/>
          <w:sz w:val="22"/>
          <w:szCs w:val="22"/>
          <w:lang w:val="en-GB"/>
        </w:rPr>
        <w:t>S</w:t>
      </w:r>
      <w:r w:rsidRPr="00BD4C26">
        <w:rPr>
          <w:rFonts w:asciiTheme="minorHAnsi" w:eastAsia="Arial" w:hAnsiTheme="minorHAnsi" w:cstheme="minorHAnsi"/>
          <w:i/>
          <w:iCs/>
          <w:color w:val="000000" w:themeColor="text1"/>
          <w:sz w:val="22"/>
          <w:szCs w:val="22"/>
          <w:lang w:val="en-GB"/>
        </w:rPr>
        <w:t>urveillance</w:t>
      </w:r>
      <w:r w:rsidR="00E00CFD" w:rsidRPr="00E00CFD">
        <w:rPr>
          <w:rFonts w:hAnsiTheme="minorHAnsi"/>
          <w:color w:val="000000"/>
          <w:sz w:val="22"/>
          <w:vertAlign w:val="superscript"/>
        </w:rPr>
        <w:t>161</w:t>
      </w:r>
      <w:r w:rsidR="00724B0F">
        <w:rPr>
          <w:rFonts w:asciiTheme="minorHAnsi" w:eastAsia="Arial" w:hAnsiTheme="minorHAnsi" w:cstheme="minorHAnsi"/>
          <w:color w:val="000000" w:themeColor="text1"/>
          <w:sz w:val="22"/>
          <w:szCs w:val="22"/>
          <w:lang w:val="en-GB"/>
        </w:rPr>
        <w:t xml:space="preserve"> </w:t>
      </w:r>
      <w:r w:rsidRPr="00C37A4D">
        <w:rPr>
          <w:rFonts w:asciiTheme="minorHAnsi" w:eastAsia="Arial" w:hAnsiTheme="minorHAnsi" w:cstheme="minorHAnsi"/>
          <w:color w:val="000000" w:themeColor="text1"/>
          <w:sz w:val="22"/>
          <w:szCs w:val="22"/>
          <w:lang w:val="en-GB"/>
        </w:rPr>
        <w:t xml:space="preserve">observed that data on antimicrobial resistance </w:t>
      </w:r>
      <w:r w:rsidR="00FC04F9">
        <w:rPr>
          <w:rFonts w:asciiTheme="minorHAnsi" w:eastAsia="Arial" w:hAnsiTheme="minorHAnsi" w:cstheme="minorHAnsi"/>
          <w:color w:val="000000" w:themeColor="text1"/>
          <w:sz w:val="22"/>
          <w:szCs w:val="22"/>
          <w:lang w:val="en-GB"/>
        </w:rPr>
        <w:t>were limited or lacking for more than</w:t>
      </w:r>
      <w:r w:rsidRPr="00C37A4D">
        <w:rPr>
          <w:rFonts w:asciiTheme="minorHAnsi" w:eastAsia="Arial" w:hAnsiTheme="minorHAnsi" w:cstheme="minorHAnsi"/>
          <w:color w:val="000000" w:themeColor="text1"/>
          <w:sz w:val="22"/>
          <w:szCs w:val="22"/>
          <w:lang w:val="en-GB"/>
        </w:rPr>
        <w:t xml:space="preserve"> half the world</w:t>
      </w:r>
      <w:r w:rsidR="00CC795E">
        <w:rPr>
          <w:rFonts w:asciiTheme="minorHAnsi" w:eastAsia="Arial" w:hAnsiTheme="minorHAnsi" w:cstheme="minorHAnsi"/>
          <w:color w:val="000000" w:themeColor="text1"/>
          <w:sz w:val="22"/>
          <w:szCs w:val="22"/>
          <w:lang w:val="en-GB"/>
        </w:rPr>
        <w:t>’s countries</w:t>
      </w:r>
      <w:r w:rsidRPr="00C37A4D">
        <w:rPr>
          <w:rFonts w:asciiTheme="minorHAnsi" w:eastAsia="Arial" w:hAnsiTheme="minorHAnsi" w:cstheme="minorHAnsi"/>
          <w:color w:val="000000" w:themeColor="text1"/>
          <w:sz w:val="22"/>
          <w:szCs w:val="22"/>
          <w:lang w:val="en-GB"/>
        </w:rPr>
        <w:t xml:space="preserve">. </w:t>
      </w:r>
      <w:r>
        <w:rPr>
          <w:rFonts w:asciiTheme="minorHAnsi" w:eastAsia="Arial" w:hAnsiTheme="minorHAnsi" w:cstheme="minorHAnsi"/>
          <w:color w:val="000000" w:themeColor="text1"/>
          <w:sz w:val="22"/>
          <w:szCs w:val="22"/>
          <w:lang w:val="en-GB"/>
        </w:rPr>
        <w:t>The</w:t>
      </w:r>
      <w:r w:rsidRPr="00C37A4D">
        <w:rPr>
          <w:rFonts w:asciiTheme="minorHAnsi" w:eastAsia="Arial" w:hAnsiTheme="minorHAnsi" w:cstheme="minorHAnsi"/>
          <w:color w:val="000000" w:themeColor="text1"/>
          <w:sz w:val="22"/>
          <w:szCs w:val="22"/>
          <w:lang w:val="en-GB"/>
        </w:rPr>
        <w:t xml:space="preserve"> WHO </w:t>
      </w:r>
      <w:r w:rsidRPr="00C7338A">
        <w:rPr>
          <w:rFonts w:asciiTheme="minorHAnsi" w:eastAsia="Arial" w:hAnsiTheme="minorHAnsi" w:cstheme="minorHAnsi"/>
          <w:color w:val="000000" w:themeColor="text1"/>
          <w:sz w:val="22"/>
          <w:szCs w:val="22"/>
          <w:lang w:val="en-GB"/>
        </w:rPr>
        <w:t xml:space="preserve">Global </w:t>
      </w:r>
      <w:r>
        <w:rPr>
          <w:rFonts w:asciiTheme="minorHAnsi" w:eastAsia="Arial" w:hAnsiTheme="minorHAnsi" w:cstheme="minorHAnsi"/>
          <w:color w:val="000000" w:themeColor="text1"/>
          <w:sz w:val="22"/>
          <w:szCs w:val="22"/>
          <w:lang w:val="en-GB"/>
        </w:rPr>
        <w:t>A</w:t>
      </w:r>
      <w:r w:rsidRPr="00C7338A">
        <w:rPr>
          <w:rFonts w:asciiTheme="minorHAnsi" w:eastAsia="Arial" w:hAnsiTheme="minorHAnsi" w:cstheme="minorHAnsi"/>
          <w:color w:val="000000" w:themeColor="text1"/>
          <w:sz w:val="22"/>
          <w:szCs w:val="22"/>
          <w:lang w:val="en-GB"/>
        </w:rPr>
        <w:t xml:space="preserve">ction </w:t>
      </w:r>
      <w:r>
        <w:rPr>
          <w:rFonts w:asciiTheme="minorHAnsi" w:eastAsia="Arial" w:hAnsiTheme="minorHAnsi" w:cstheme="minorHAnsi"/>
          <w:color w:val="000000" w:themeColor="text1"/>
          <w:sz w:val="22"/>
          <w:szCs w:val="22"/>
          <w:lang w:val="en-GB"/>
        </w:rPr>
        <w:t>P</w:t>
      </w:r>
      <w:r w:rsidRPr="00C7338A">
        <w:rPr>
          <w:rFonts w:asciiTheme="minorHAnsi" w:eastAsia="Arial" w:hAnsiTheme="minorHAnsi" w:cstheme="minorHAnsi"/>
          <w:color w:val="000000" w:themeColor="text1"/>
          <w:sz w:val="22"/>
          <w:szCs w:val="22"/>
          <w:lang w:val="en-GB"/>
        </w:rPr>
        <w:t xml:space="preserve">lan </w:t>
      </w:r>
      <w:r>
        <w:rPr>
          <w:rFonts w:asciiTheme="minorHAnsi" w:eastAsia="Arial" w:hAnsiTheme="minorHAnsi" w:cstheme="minorHAnsi"/>
          <w:color w:val="000000" w:themeColor="text1"/>
          <w:sz w:val="22"/>
          <w:szCs w:val="22"/>
          <w:lang w:val="en-GB"/>
        </w:rPr>
        <w:t xml:space="preserve">(GAP) </w:t>
      </w:r>
      <w:r w:rsidRPr="00C7338A">
        <w:rPr>
          <w:rFonts w:asciiTheme="minorHAnsi" w:eastAsia="Arial" w:hAnsiTheme="minorHAnsi" w:cstheme="minorHAnsi"/>
          <w:color w:val="000000" w:themeColor="text1"/>
          <w:sz w:val="22"/>
          <w:szCs w:val="22"/>
          <w:lang w:val="en-GB"/>
        </w:rPr>
        <w:t>on antimicrobial resistance</w:t>
      </w:r>
      <w:r w:rsidR="00FC04F9">
        <w:rPr>
          <w:rFonts w:asciiTheme="minorHAnsi" w:eastAsia="Arial" w:hAnsiTheme="minorHAnsi" w:cstheme="minorHAnsi"/>
          <w:color w:val="000000" w:themeColor="text1"/>
          <w:sz w:val="22"/>
          <w:szCs w:val="22"/>
          <w:lang w:val="en-GB"/>
        </w:rPr>
        <w:t>,</w:t>
      </w:r>
      <w:r w:rsidRPr="00C7338A" w:rsidDel="00C7338A">
        <w:rPr>
          <w:rFonts w:asciiTheme="minorHAnsi" w:eastAsia="Arial" w:hAnsiTheme="minorHAnsi" w:cstheme="minorHAnsi"/>
          <w:color w:val="000000" w:themeColor="text1"/>
          <w:sz w:val="22"/>
          <w:szCs w:val="22"/>
          <w:lang w:val="en-GB"/>
        </w:rPr>
        <w:t xml:space="preserve"> </w:t>
      </w:r>
      <w:r>
        <w:rPr>
          <w:rFonts w:asciiTheme="minorHAnsi" w:eastAsia="Arial" w:hAnsiTheme="minorHAnsi" w:cstheme="minorHAnsi"/>
          <w:color w:val="000000" w:themeColor="text1"/>
          <w:sz w:val="22"/>
          <w:szCs w:val="22"/>
          <w:lang w:val="en-GB"/>
        </w:rPr>
        <w:t>adopted in 2015</w:t>
      </w:r>
      <w:r w:rsidR="00FC04F9">
        <w:rPr>
          <w:rFonts w:asciiTheme="minorHAnsi" w:eastAsia="Arial" w:hAnsiTheme="minorHAnsi" w:cstheme="minorHAnsi"/>
          <w:color w:val="000000" w:themeColor="text1"/>
          <w:sz w:val="22"/>
          <w:szCs w:val="22"/>
          <w:lang w:val="en-GB"/>
        </w:rPr>
        <w:t>,</w:t>
      </w:r>
      <w:r w:rsidR="00E00CFD" w:rsidRPr="00E00CFD">
        <w:rPr>
          <w:rFonts w:hAnsiTheme="minorHAnsi"/>
          <w:color w:val="000000"/>
          <w:sz w:val="22"/>
          <w:vertAlign w:val="superscript"/>
        </w:rPr>
        <w:t>42</w:t>
      </w:r>
      <w:r w:rsidR="00AF732F">
        <w:rPr>
          <w:rFonts w:asciiTheme="minorHAnsi" w:eastAsia="Arial" w:hAnsiTheme="minorHAnsi" w:cstheme="minorHAnsi"/>
          <w:color w:val="000000" w:themeColor="text1"/>
          <w:sz w:val="22"/>
          <w:szCs w:val="22"/>
          <w:lang w:val="en-GB"/>
        </w:rPr>
        <w:t xml:space="preserve"> </w:t>
      </w:r>
      <w:r w:rsidRPr="00C37A4D">
        <w:rPr>
          <w:rFonts w:asciiTheme="minorHAnsi" w:eastAsia="Arial" w:hAnsiTheme="minorHAnsi" w:cstheme="minorHAnsi"/>
          <w:color w:val="000000" w:themeColor="text1"/>
          <w:sz w:val="22"/>
          <w:szCs w:val="22"/>
          <w:lang w:val="en-GB"/>
        </w:rPr>
        <w:t xml:space="preserve">emphasized </w:t>
      </w:r>
      <w:r>
        <w:rPr>
          <w:rFonts w:asciiTheme="minorHAnsi" w:eastAsia="Arial" w:hAnsiTheme="minorHAnsi" w:cstheme="minorHAnsi"/>
          <w:color w:val="000000" w:themeColor="text1"/>
          <w:sz w:val="22"/>
          <w:szCs w:val="22"/>
          <w:lang w:val="en-GB"/>
        </w:rPr>
        <w:t>improv</w:t>
      </w:r>
      <w:r w:rsidR="00FC04F9">
        <w:rPr>
          <w:rFonts w:asciiTheme="minorHAnsi" w:eastAsia="Arial" w:hAnsiTheme="minorHAnsi" w:cstheme="minorHAnsi"/>
          <w:color w:val="000000" w:themeColor="text1"/>
          <w:sz w:val="22"/>
          <w:szCs w:val="22"/>
          <w:lang w:val="en-GB"/>
        </w:rPr>
        <w:t>ing</w:t>
      </w:r>
      <w:r>
        <w:rPr>
          <w:rFonts w:asciiTheme="minorHAnsi" w:eastAsia="Arial" w:hAnsiTheme="minorHAnsi" w:cstheme="minorHAnsi"/>
          <w:color w:val="000000" w:themeColor="text1"/>
          <w:sz w:val="22"/>
          <w:szCs w:val="22"/>
          <w:lang w:val="en-GB"/>
        </w:rPr>
        <w:t xml:space="preserve"> the evidence base of </w:t>
      </w:r>
      <w:r w:rsidRPr="00C37A4D">
        <w:rPr>
          <w:rFonts w:asciiTheme="minorHAnsi" w:eastAsia="Arial" w:hAnsiTheme="minorHAnsi" w:cstheme="minorHAnsi"/>
          <w:color w:val="000000" w:themeColor="text1"/>
          <w:sz w:val="22"/>
          <w:szCs w:val="22"/>
          <w:lang w:val="en-GB"/>
        </w:rPr>
        <w:t>AMR</w:t>
      </w:r>
      <w:r w:rsidR="00AF732F">
        <w:rPr>
          <w:rFonts w:asciiTheme="minorHAnsi" w:eastAsia="Arial" w:hAnsiTheme="minorHAnsi" w:cstheme="minorHAnsi"/>
          <w:color w:val="000000" w:themeColor="text1"/>
          <w:sz w:val="22"/>
          <w:szCs w:val="22"/>
          <w:lang w:val="en-GB"/>
        </w:rPr>
        <w:t xml:space="preserve"> </w:t>
      </w:r>
      <w:r>
        <w:rPr>
          <w:rFonts w:asciiTheme="minorHAnsi" w:eastAsia="Arial" w:hAnsiTheme="minorHAnsi" w:cstheme="minorHAnsi"/>
          <w:color w:val="000000" w:themeColor="text1"/>
          <w:sz w:val="22"/>
          <w:szCs w:val="22"/>
          <w:lang w:val="en-GB"/>
        </w:rPr>
        <w:t xml:space="preserve">and </w:t>
      </w:r>
      <w:r w:rsidRPr="00C37A4D">
        <w:rPr>
          <w:rFonts w:asciiTheme="minorHAnsi" w:eastAsia="Arial" w:hAnsiTheme="minorHAnsi" w:cstheme="minorHAnsi"/>
          <w:color w:val="000000" w:themeColor="text1"/>
          <w:sz w:val="22"/>
          <w:szCs w:val="22"/>
          <w:lang w:val="en-GB"/>
        </w:rPr>
        <w:t>prompted the 68</w:t>
      </w:r>
      <w:r w:rsidRPr="00BD4C26">
        <w:rPr>
          <w:rFonts w:asciiTheme="minorHAnsi" w:eastAsia="Arial" w:hAnsiTheme="minorHAnsi" w:cstheme="minorHAnsi"/>
          <w:color w:val="000000" w:themeColor="text1"/>
          <w:sz w:val="22"/>
          <w:szCs w:val="22"/>
          <w:lang w:val="en-GB"/>
        </w:rPr>
        <w:t>th</w:t>
      </w:r>
      <w:r w:rsidRPr="00FC04F9">
        <w:rPr>
          <w:rFonts w:asciiTheme="minorHAnsi" w:eastAsia="Arial" w:hAnsiTheme="minorHAnsi" w:cstheme="minorHAnsi"/>
          <w:color w:val="000000" w:themeColor="text1"/>
          <w:sz w:val="22"/>
          <w:szCs w:val="22"/>
          <w:lang w:val="en-GB"/>
        </w:rPr>
        <w:t xml:space="preserve"> </w:t>
      </w:r>
      <w:r>
        <w:rPr>
          <w:rFonts w:asciiTheme="minorHAnsi" w:eastAsia="Arial" w:hAnsiTheme="minorHAnsi" w:cstheme="minorHAnsi"/>
          <w:color w:val="000000" w:themeColor="text1"/>
          <w:sz w:val="22"/>
          <w:szCs w:val="22"/>
          <w:lang w:val="en-GB"/>
        </w:rPr>
        <w:t>World Health Assembly</w:t>
      </w:r>
      <w:r w:rsidRPr="00C37A4D">
        <w:rPr>
          <w:rFonts w:asciiTheme="minorHAnsi" w:eastAsia="Arial" w:hAnsiTheme="minorHAnsi" w:cstheme="minorHAnsi"/>
          <w:color w:val="000000" w:themeColor="text1"/>
          <w:sz w:val="22"/>
          <w:szCs w:val="22"/>
          <w:lang w:val="en-GB"/>
        </w:rPr>
        <w:t xml:space="preserve"> to </w:t>
      </w:r>
      <w:r w:rsidR="00390BD2">
        <w:rPr>
          <w:rFonts w:asciiTheme="minorHAnsi" w:eastAsia="Arial" w:hAnsiTheme="minorHAnsi" w:cstheme="minorHAnsi"/>
          <w:color w:val="000000" w:themeColor="text1"/>
          <w:sz w:val="22"/>
          <w:szCs w:val="22"/>
          <w:lang w:val="en-GB"/>
        </w:rPr>
        <w:t>recommend</w:t>
      </w:r>
      <w:r>
        <w:rPr>
          <w:rFonts w:asciiTheme="minorHAnsi" w:eastAsia="Arial" w:hAnsiTheme="minorHAnsi" w:cstheme="minorHAnsi"/>
          <w:color w:val="000000" w:themeColor="text1"/>
          <w:sz w:val="22"/>
          <w:szCs w:val="22"/>
          <w:lang w:val="en-GB"/>
        </w:rPr>
        <w:t xml:space="preserve"> </w:t>
      </w:r>
      <w:r w:rsidRPr="00C37A4D">
        <w:rPr>
          <w:rFonts w:asciiTheme="minorHAnsi" w:eastAsia="Arial" w:hAnsiTheme="minorHAnsi" w:cstheme="minorHAnsi"/>
          <w:color w:val="000000" w:themeColor="text1"/>
          <w:sz w:val="22"/>
          <w:szCs w:val="22"/>
          <w:lang w:val="en-GB"/>
        </w:rPr>
        <w:t xml:space="preserve">national action plans </w:t>
      </w:r>
      <w:r>
        <w:rPr>
          <w:rFonts w:asciiTheme="minorHAnsi" w:eastAsia="Arial" w:hAnsiTheme="minorHAnsi" w:cstheme="minorHAnsi"/>
          <w:color w:val="000000" w:themeColor="text1"/>
          <w:sz w:val="22"/>
          <w:szCs w:val="22"/>
          <w:lang w:val="en-GB"/>
        </w:rPr>
        <w:t xml:space="preserve">to tackle </w:t>
      </w:r>
      <w:r w:rsidR="00FC04F9">
        <w:rPr>
          <w:rFonts w:asciiTheme="minorHAnsi" w:eastAsia="Arial" w:hAnsiTheme="minorHAnsi" w:cstheme="minorHAnsi"/>
          <w:color w:val="000000" w:themeColor="text1"/>
          <w:sz w:val="22"/>
          <w:szCs w:val="22"/>
          <w:lang w:val="en-GB"/>
        </w:rPr>
        <w:t>resistance</w:t>
      </w:r>
      <w:r>
        <w:rPr>
          <w:rFonts w:asciiTheme="minorHAnsi" w:eastAsia="Arial" w:hAnsiTheme="minorHAnsi" w:cstheme="minorHAnsi"/>
          <w:color w:val="000000" w:themeColor="text1"/>
          <w:sz w:val="22"/>
          <w:szCs w:val="22"/>
          <w:lang w:val="en-GB"/>
        </w:rPr>
        <w:t>.</w:t>
      </w:r>
      <w:r w:rsidR="00E00CFD" w:rsidRPr="00E00CFD">
        <w:rPr>
          <w:rFonts w:hAnsiTheme="minorHAnsi"/>
          <w:color w:val="000000"/>
          <w:sz w:val="22"/>
          <w:vertAlign w:val="superscript"/>
        </w:rPr>
        <w:t>162</w:t>
      </w:r>
      <w:r>
        <w:rPr>
          <w:rFonts w:asciiTheme="minorHAnsi" w:eastAsia="Arial" w:hAnsiTheme="minorHAnsi" w:cstheme="minorHAnsi"/>
          <w:color w:val="000000" w:themeColor="text1"/>
          <w:sz w:val="22"/>
          <w:szCs w:val="22"/>
          <w:lang w:val="en-GB"/>
        </w:rPr>
        <w:t xml:space="preserve"> </w:t>
      </w:r>
      <w:r w:rsidRPr="00C37A4D">
        <w:rPr>
          <w:rFonts w:asciiTheme="minorHAnsi" w:eastAsia="Arial" w:hAnsiTheme="minorHAnsi" w:cstheme="minorHAnsi"/>
          <w:color w:val="000000" w:themeColor="text1"/>
          <w:sz w:val="22"/>
          <w:szCs w:val="22"/>
          <w:lang w:val="en-GB"/>
        </w:rPr>
        <w:t>GLAS</w:t>
      </w:r>
      <w:r w:rsidR="007C6E7A">
        <w:rPr>
          <w:rFonts w:asciiTheme="minorHAnsi" w:eastAsia="Arial" w:hAnsiTheme="minorHAnsi" w:cstheme="minorHAnsi"/>
          <w:color w:val="000000" w:themeColor="text1"/>
          <w:sz w:val="22"/>
          <w:szCs w:val="22"/>
          <w:lang w:val="en-GB"/>
        </w:rPr>
        <w:t>S</w:t>
      </w:r>
      <w:r w:rsidR="00390BD2">
        <w:rPr>
          <w:rFonts w:asciiTheme="minorHAnsi" w:eastAsia="Arial" w:hAnsiTheme="minorHAnsi" w:cstheme="minorHAnsi"/>
          <w:color w:val="000000" w:themeColor="text1"/>
          <w:sz w:val="22"/>
          <w:szCs w:val="22"/>
          <w:lang w:val="en-GB"/>
        </w:rPr>
        <w:t xml:space="preserve"> now</w:t>
      </w:r>
      <w:r w:rsidRPr="00C37A4D">
        <w:rPr>
          <w:rFonts w:asciiTheme="minorHAnsi" w:eastAsia="Arial" w:hAnsiTheme="minorHAnsi" w:cstheme="minorHAnsi"/>
          <w:color w:val="000000" w:themeColor="text1"/>
          <w:sz w:val="22"/>
          <w:szCs w:val="22"/>
          <w:lang w:val="en-GB"/>
        </w:rPr>
        <w:t xml:space="preserve"> </w:t>
      </w:r>
      <w:r>
        <w:rPr>
          <w:rFonts w:asciiTheme="minorHAnsi" w:eastAsia="Arial" w:hAnsiTheme="minorHAnsi" w:cstheme="minorHAnsi"/>
          <w:color w:val="000000" w:themeColor="text1"/>
          <w:sz w:val="22"/>
          <w:szCs w:val="22"/>
          <w:lang w:val="en-GB"/>
        </w:rPr>
        <w:t>support</w:t>
      </w:r>
      <w:r w:rsidR="00390BD2">
        <w:rPr>
          <w:rFonts w:asciiTheme="minorHAnsi" w:eastAsia="Arial" w:hAnsiTheme="minorHAnsi" w:cstheme="minorHAnsi"/>
          <w:color w:val="000000" w:themeColor="text1"/>
          <w:sz w:val="22"/>
          <w:szCs w:val="22"/>
          <w:lang w:val="en-GB"/>
        </w:rPr>
        <w:t>s</w:t>
      </w:r>
      <w:r>
        <w:rPr>
          <w:rFonts w:asciiTheme="minorHAnsi" w:eastAsia="Arial" w:hAnsiTheme="minorHAnsi" w:cstheme="minorHAnsi"/>
          <w:color w:val="000000" w:themeColor="text1"/>
          <w:sz w:val="22"/>
          <w:szCs w:val="22"/>
          <w:lang w:val="en-GB"/>
        </w:rPr>
        <w:t xml:space="preserve"> </w:t>
      </w:r>
      <w:r w:rsidRPr="00C37A4D">
        <w:rPr>
          <w:rFonts w:asciiTheme="minorHAnsi" w:eastAsia="Arial" w:hAnsiTheme="minorHAnsi" w:cstheme="minorHAnsi"/>
          <w:color w:val="000000" w:themeColor="text1"/>
          <w:sz w:val="22"/>
          <w:szCs w:val="22"/>
          <w:lang w:val="en-GB"/>
        </w:rPr>
        <w:t xml:space="preserve">countries </w:t>
      </w:r>
      <w:r w:rsidR="00390BD2">
        <w:rPr>
          <w:rFonts w:asciiTheme="minorHAnsi" w:eastAsia="Arial" w:hAnsiTheme="minorHAnsi" w:cstheme="minorHAnsi"/>
          <w:color w:val="000000" w:themeColor="text1"/>
          <w:sz w:val="22"/>
          <w:szCs w:val="22"/>
          <w:lang w:val="en-GB"/>
        </w:rPr>
        <w:t xml:space="preserve">in </w:t>
      </w:r>
      <w:r w:rsidRPr="00C37A4D">
        <w:rPr>
          <w:rFonts w:asciiTheme="minorHAnsi" w:eastAsia="Arial" w:hAnsiTheme="minorHAnsi" w:cstheme="minorHAnsi"/>
          <w:color w:val="000000" w:themeColor="text1"/>
          <w:sz w:val="22"/>
          <w:szCs w:val="22"/>
          <w:lang w:val="en-GB"/>
        </w:rPr>
        <w:t>provid</w:t>
      </w:r>
      <w:r w:rsidR="00390BD2">
        <w:rPr>
          <w:rFonts w:asciiTheme="minorHAnsi" w:eastAsia="Arial" w:hAnsiTheme="minorHAnsi" w:cstheme="minorHAnsi"/>
          <w:color w:val="000000" w:themeColor="text1"/>
          <w:sz w:val="22"/>
          <w:szCs w:val="22"/>
          <w:lang w:val="en-GB"/>
        </w:rPr>
        <w:t>ing</w:t>
      </w:r>
      <w:r>
        <w:rPr>
          <w:rFonts w:asciiTheme="minorHAnsi" w:eastAsia="Arial" w:hAnsiTheme="minorHAnsi" w:cstheme="minorHAnsi"/>
          <w:color w:val="000000" w:themeColor="text1"/>
          <w:sz w:val="22"/>
          <w:szCs w:val="22"/>
          <w:lang w:val="en-GB"/>
        </w:rPr>
        <w:t xml:space="preserve"> </w:t>
      </w:r>
      <w:r w:rsidRPr="00C37A4D">
        <w:rPr>
          <w:rFonts w:asciiTheme="minorHAnsi" w:eastAsia="Arial" w:hAnsiTheme="minorHAnsi" w:cstheme="minorHAnsi"/>
          <w:color w:val="000000" w:themeColor="text1"/>
          <w:sz w:val="22"/>
          <w:szCs w:val="22"/>
          <w:lang w:val="en-GB"/>
        </w:rPr>
        <w:t xml:space="preserve">information </w:t>
      </w:r>
      <w:r>
        <w:rPr>
          <w:rFonts w:asciiTheme="minorHAnsi" w:eastAsia="Arial" w:hAnsiTheme="minorHAnsi" w:cstheme="minorHAnsi"/>
          <w:color w:val="000000" w:themeColor="text1"/>
          <w:sz w:val="22"/>
          <w:szCs w:val="22"/>
          <w:lang w:val="en-GB"/>
        </w:rPr>
        <w:t xml:space="preserve">on their national </w:t>
      </w:r>
      <w:r w:rsidRPr="00C37A4D">
        <w:rPr>
          <w:rFonts w:asciiTheme="minorHAnsi" w:eastAsia="Arial" w:hAnsiTheme="minorHAnsi" w:cstheme="minorHAnsi"/>
          <w:color w:val="000000" w:themeColor="text1"/>
          <w:sz w:val="22"/>
          <w:szCs w:val="22"/>
          <w:lang w:val="en-GB"/>
        </w:rPr>
        <w:t xml:space="preserve">AMR surveillance system </w:t>
      </w:r>
      <w:r>
        <w:rPr>
          <w:rFonts w:asciiTheme="minorHAnsi" w:eastAsia="Arial" w:hAnsiTheme="minorHAnsi" w:cstheme="minorHAnsi"/>
          <w:color w:val="000000" w:themeColor="text1"/>
          <w:sz w:val="22"/>
          <w:szCs w:val="22"/>
          <w:lang w:val="en-GB"/>
        </w:rPr>
        <w:t>and share</w:t>
      </w:r>
      <w:r w:rsidR="00390BD2">
        <w:rPr>
          <w:rFonts w:asciiTheme="minorHAnsi" w:eastAsia="Arial" w:hAnsiTheme="minorHAnsi" w:cstheme="minorHAnsi"/>
          <w:color w:val="000000" w:themeColor="text1"/>
          <w:sz w:val="22"/>
          <w:szCs w:val="22"/>
          <w:lang w:val="en-GB"/>
        </w:rPr>
        <w:t>s</w:t>
      </w:r>
      <w:r>
        <w:rPr>
          <w:rFonts w:asciiTheme="minorHAnsi" w:eastAsia="Arial" w:hAnsiTheme="minorHAnsi" w:cstheme="minorHAnsi"/>
          <w:color w:val="000000" w:themeColor="text1"/>
          <w:sz w:val="22"/>
          <w:szCs w:val="22"/>
          <w:lang w:val="en-GB"/>
        </w:rPr>
        <w:t xml:space="preserve"> </w:t>
      </w:r>
      <w:r w:rsidRPr="00C37A4D">
        <w:rPr>
          <w:rFonts w:asciiTheme="minorHAnsi" w:eastAsia="Arial" w:hAnsiTheme="minorHAnsi" w:cstheme="minorHAnsi"/>
          <w:color w:val="000000" w:themeColor="text1"/>
          <w:sz w:val="22"/>
          <w:szCs w:val="22"/>
          <w:lang w:val="en-GB"/>
        </w:rPr>
        <w:t xml:space="preserve">aggregated data on </w:t>
      </w:r>
      <w:r>
        <w:rPr>
          <w:rFonts w:asciiTheme="minorHAnsi" w:eastAsia="Arial" w:hAnsiTheme="minorHAnsi" w:cstheme="minorHAnsi"/>
          <w:color w:val="000000" w:themeColor="text1"/>
          <w:sz w:val="22"/>
          <w:szCs w:val="22"/>
          <w:lang w:val="en-GB"/>
        </w:rPr>
        <w:t>AMR</w:t>
      </w:r>
      <w:r w:rsidRPr="00C37A4D">
        <w:rPr>
          <w:rFonts w:asciiTheme="minorHAnsi" w:eastAsia="Arial" w:hAnsiTheme="minorHAnsi" w:cstheme="minorHAnsi"/>
          <w:color w:val="000000" w:themeColor="text1"/>
          <w:sz w:val="22"/>
          <w:szCs w:val="22"/>
          <w:lang w:val="en-GB"/>
        </w:rPr>
        <w:t xml:space="preserve"> proportions</w:t>
      </w:r>
      <w:r>
        <w:rPr>
          <w:rFonts w:asciiTheme="minorHAnsi" w:eastAsia="Arial" w:hAnsiTheme="minorHAnsi" w:cstheme="minorHAnsi"/>
          <w:color w:val="000000" w:themeColor="text1"/>
          <w:sz w:val="22"/>
          <w:szCs w:val="22"/>
          <w:lang w:val="en-GB"/>
        </w:rPr>
        <w:t xml:space="preserve"> and</w:t>
      </w:r>
      <w:r w:rsidRPr="00C37A4D">
        <w:rPr>
          <w:rFonts w:asciiTheme="minorHAnsi" w:eastAsia="Arial" w:hAnsiTheme="minorHAnsi" w:cstheme="minorHAnsi"/>
          <w:color w:val="000000" w:themeColor="text1"/>
          <w:sz w:val="22"/>
          <w:szCs w:val="22"/>
          <w:lang w:val="en-GB"/>
        </w:rPr>
        <w:t xml:space="preserve"> incidence data. GLASS has collaborated with existing AMR surveillance networks, such as the European Antimicrobial Resistance Surveillance Network (EARS-Net),</w:t>
      </w:r>
      <w:r w:rsidR="00E00CFD" w:rsidRPr="00E00CFD">
        <w:rPr>
          <w:rFonts w:hAnsiTheme="minorHAnsi"/>
          <w:color w:val="000000"/>
          <w:sz w:val="22"/>
          <w:vertAlign w:val="superscript"/>
        </w:rPr>
        <w:t>163</w:t>
      </w:r>
      <w:r w:rsidRPr="00C37A4D">
        <w:rPr>
          <w:rFonts w:asciiTheme="minorHAnsi" w:eastAsia="Arial" w:hAnsiTheme="minorHAnsi" w:cstheme="minorHAnsi"/>
          <w:color w:val="000000" w:themeColor="text1"/>
          <w:sz w:val="22"/>
          <w:szCs w:val="22"/>
          <w:lang w:val="en-GB"/>
        </w:rPr>
        <w:t xml:space="preserve"> the Cent</w:t>
      </w:r>
      <w:r>
        <w:rPr>
          <w:rFonts w:asciiTheme="minorHAnsi" w:eastAsia="Arial" w:hAnsiTheme="minorHAnsi" w:cstheme="minorHAnsi"/>
          <w:color w:val="000000" w:themeColor="text1"/>
          <w:sz w:val="22"/>
          <w:szCs w:val="22"/>
          <w:lang w:val="en-GB"/>
        </w:rPr>
        <w:t>r</w:t>
      </w:r>
      <w:r w:rsidRPr="00C37A4D">
        <w:rPr>
          <w:rFonts w:asciiTheme="minorHAnsi" w:eastAsia="Arial" w:hAnsiTheme="minorHAnsi" w:cstheme="minorHAnsi"/>
          <w:color w:val="000000" w:themeColor="text1"/>
          <w:sz w:val="22"/>
          <w:szCs w:val="22"/>
          <w:lang w:val="en-GB"/>
        </w:rPr>
        <w:t>al Asian and European surveillance of AMR (CAESAR),</w:t>
      </w:r>
      <w:r w:rsidR="00E00CFD" w:rsidRPr="00E00CFD">
        <w:rPr>
          <w:rFonts w:hAnsiTheme="minorHAnsi"/>
          <w:color w:val="000000"/>
          <w:sz w:val="22"/>
          <w:vertAlign w:val="superscript"/>
        </w:rPr>
        <w:t>164</w:t>
      </w:r>
      <w:r w:rsidRPr="00C37A4D">
        <w:rPr>
          <w:rFonts w:asciiTheme="minorHAnsi" w:eastAsia="Arial" w:hAnsiTheme="minorHAnsi" w:cstheme="minorHAnsi"/>
          <w:color w:val="000000" w:themeColor="text1"/>
          <w:sz w:val="22"/>
          <w:szCs w:val="22"/>
          <w:lang w:val="en-GB"/>
        </w:rPr>
        <w:t xml:space="preserve"> the Latin American Network for Antimicrobial Resistance Surveillance (Rede </w:t>
      </w:r>
      <w:proofErr w:type="spellStart"/>
      <w:r w:rsidRPr="00C37A4D">
        <w:rPr>
          <w:rFonts w:asciiTheme="minorHAnsi" w:eastAsia="Arial" w:hAnsiTheme="minorHAnsi" w:cstheme="minorHAnsi"/>
          <w:color w:val="000000" w:themeColor="text1"/>
          <w:sz w:val="22"/>
          <w:szCs w:val="22"/>
          <w:lang w:val="en-GB"/>
        </w:rPr>
        <w:t>Latinoamericana</w:t>
      </w:r>
      <w:proofErr w:type="spellEnd"/>
      <w:r w:rsidRPr="00C37A4D">
        <w:rPr>
          <w:rFonts w:asciiTheme="minorHAnsi" w:eastAsia="Arial" w:hAnsiTheme="minorHAnsi" w:cstheme="minorHAnsi"/>
          <w:color w:val="000000" w:themeColor="text1"/>
          <w:sz w:val="22"/>
          <w:szCs w:val="22"/>
          <w:lang w:val="en-GB"/>
        </w:rPr>
        <w:t xml:space="preserve"> de </w:t>
      </w:r>
      <w:proofErr w:type="spellStart"/>
      <w:r w:rsidRPr="00C37A4D">
        <w:rPr>
          <w:rFonts w:asciiTheme="minorHAnsi" w:eastAsia="Arial" w:hAnsiTheme="minorHAnsi" w:cstheme="minorHAnsi"/>
          <w:color w:val="000000" w:themeColor="text1"/>
          <w:sz w:val="22"/>
          <w:szCs w:val="22"/>
          <w:lang w:val="en-GB"/>
        </w:rPr>
        <w:t>Vigilancia</w:t>
      </w:r>
      <w:proofErr w:type="spellEnd"/>
      <w:r w:rsidRPr="00C37A4D">
        <w:rPr>
          <w:rFonts w:asciiTheme="minorHAnsi" w:eastAsia="Arial" w:hAnsiTheme="minorHAnsi" w:cstheme="minorHAnsi"/>
          <w:color w:val="000000" w:themeColor="text1"/>
          <w:sz w:val="22"/>
          <w:szCs w:val="22"/>
          <w:lang w:val="en-GB"/>
        </w:rPr>
        <w:t xml:space="preserve"> de la Resistencia a </w:t>
      </w:r>
      <w:proofErr w:type="spellStart"/>
      <w:r w:rsidRPr="00C37A4D">
        <w:rPr>
          <w:rFonts w:asciiTheme="minorHAnsi" w:eastAsia="Arial" w:hAnsiTheme="minorHAnsi" w:cstheme="minorHAnsi"/>
          <w:color w:val="000000" w:themeColor="text1"/>
          <w:sz w:val="22"/>
          <w:szCs w:val="22"/>
          <w:lang w:val="en-GB"/>
        </w:rPr>
        <w:t>los</w:t>
      </w:r>
      <w:proofErr w:type="spellEnd"/>
      <w:r w:rsidRPr="00C37A4D">
        <w:rPr>
          <w:rFonts w:asciiTheme="minorHAnsi" w:eastAsia="Arial" w:hAnsiTheme="minorHAnsi" w:cstheme="minorHAnsi"/>
          <w:color w:val="000000" w:themeColor="text1"/>
          <w:sz w:val="22"/>
          <w:szCs w:val="22"/>
          <w:lang w:val="en-GB"/>
        </w:rPr>
        <w:t xml:space="preserve"> </w:t>
      </w:r>
      <w:proofErr w:type="spellStart"/>
      <w:r w:rsidRPr="00C37A4D">
        <w:rPr>
          <w:rFonts w:asciiTheme="minorHAnsi" w:eastAsia="Arial" w:hAnsiTheme="minorHAnsi" w:cstheme="minorHAnsi"/>
          <w:color w:val="000000" w:themeColor="text1"/>
          <w:sz w:val="22"/>
          <w:szCs w:val="22"/>
          <w:lang w:val="en-GB"/>
        </w:rPr>
        <w:t>Antimicrobianos</w:t>
      </w:r>
      <w:proofErr w:type="spellEnd"/>
      <w:r w:rsidR="00390BD2">
        <w:rPr>
          <w:rFonts w:asciiTheme="minorHAnsi" w:eastAsia="Arial" w:hAnsiTheme="minorHAnsi" w:cstheme="minorHAnsi"/>
          <w:color w:val="000000" w:themeColor="text1"/>
          <w:sz w:val="22"/>
          <w:szCs w:val="22"/>
          <w:lang w:val="en-GB"/>
        </w:rPr>
        <w:t>,</w:t>
      </w:r>
      <w:r w:rsidRPr="00C37A4D">
        <w:rPr>
          <w:rFonts w:asciiTheme="minorHAnsi" w:eastAsia="Arial" w:hAnsiTheme="minorHAnsi" w:cstheme="minorHAnsi"/>
          <w:color w:val="000000" w:themeColor="text1"/>
          <w:sz w:val="22"/>
          <w:szCs w:val="22"/>
          <w:lang w:val="en-GB"/>
        </w:rPr>
        <w:t xml:space="preserve"> </w:t>
      </w:r>
      <w:proofErr w:type="spellStart"/>
      <w:r w:rsidRPr="00C37A4D">
        <w:rPr>
          <w:rFonts w:asciiTheme="minorHAnsi" w:eastAsia="Arial" w:hAnsiTheme="minorHAnsi" w:cstheme="minorHAnsi"/>
          <w:color w:val="000000" w:themeColor="text1"/>
          <w:sz w:val="22"/>
          <w:szCs w:val="22"/>
          <w:lang w:val="en-GB"/>
        </w:rPr>
        <w:t>ReLAVRA</w:t>
      </w:r>
      <w:proofErr w:type="spellEnd"/>
      <w:r w:rsidRPr="00C37A4D">
        <w:rPr>
          <w:rFonts w:asciiTheme="minorHAnsi" w:eastAsia="Arial" w:hAnsiTheme="minorHAnsi" w:cstheme="minorHAnsi"/>
          <w:color w:val="000000" w:themeColor="text1"/>
          <w:sz w:val="22"/>
          <w:szCs w:val="22"/>
          <w:lang w:val="en-GB"/>
        </w:rPr>
        <w:t>),</w:t>
      </w:r>
      <w:r w:rsidR="00E00CFD" w:rsidRPr="00E00CFD">
        <w:rPr>
          <w:rFonts w:hAnsiTheme="minorHAnsi"/>
          <w:color w:val="000000"/>
          <w:sz w:val="22"/>
          <w:vertAlign w:val="superscript"/>
        </w:rPr>
        <w:t>165</w:t>
      </w:r>
      <w:r w:rsidRPr="00C37A4D">
        <w:rPr>
          <w:rFonts w:asciiTheme="minorHAnsi" w:eastAsia="Arial" w:hAnsiTheme="minorHAnsi" w:cstheme="minorHAnsi"/>
          <w:color w:val="000000" w:themeColor="text1"/>
          <w:sz w:val="22"/>
          <w:szCs w:val="22"/>
          <w:lang w:val="en-GB"/>
        </w:rPr>
        <w:t xml:space="preserve"> and the </w:t>
      </w:r>
      <w:r w:rsidR="006F3FE8" w:rsidRPr="00C37A4D">
        <w:rPr>
          <w:rFonts w:asciiTheme="minorHAnsi" w:eastAsia="Arial" w:hAnsiTheme="minorHAnsi" w:cstheme="minorHAnsi"/>
          <w:color w:val="000000" w:themeColor="text1"/>
          <w:sz w:val="22"/>
          <w:szCs w:val="22"/>
          <w:lang w:val="en-GB"/>
        </w:rPr>
        <w:t xml:space="preserve">Western Pacific Regional Antimicrobial Consumption Surveillance System </w:t>
      </w:r>
      <w:r w:rsidR="00C15C33">
        <w:rPr>
          <w:rFonts w:asciiTheme="minorHAnsi" w:eastAsia="Arial" w:hAnsiTheme="minorHAnsi" w:cstheme="minorHAnsi"/>
          <w:color w:val="000000" w:themeColor="text1"/>
          <w:sz w:val="22"/>
          <w:szCs w:val="22"/>
          <w:lang w:val="en-GB"/>
        </w:rPr>
        <w:t>(</w:t>
      </w:r>
      <w:r w:rsidRPr="00C37A4D">
        <w:rPr>
          <w:rFonts w:asciiTheme="minorHAnsi" w:eastAsia="Arial" w:hAnsiTheme="minorHAnsi" w:cstheme="minorHAnsi"/>
          <w:color w:val="000000" w:themeColor="text1"/>
          <w:sz w:val="22"/>
          <w:szCs w:val="22"/>
          <w:lang w:val="en-GB"/>
        </w:rPr>
        <w:t>WPRACSS</w:t>
      </w:r>
      <w:r w:rsidR="00C15C33">
        <w:rPr>
          <w:rFonts w:asciiTheme="minorHAnsi" w:eastAsia="Arial" w:hAnsiTheme="minorHAnsi" w:cstheme="minorHAnsi"/>
          <w:color w:val="000000" w:themeColor="text1"/>
          <w:sz w:val="22"/>
          <w:szCs w:val="22"/>
          <w:lang w:val="en-GB"/>
        </w:rPr>
        <w:t>)</w:t>
      </w:r>
      <w:r w:rsidRPr="00C37A4D">
        <w:rPr>
          <w:rFonts w:asciiTheme="minorHAnsi" w:eastAsia="Arial" w:hAnsiTheme="minorHAnsi" w:cstheme="minorHAnsi"/>
          <w:color w:val="000000" w:themeColor="text1"/>
          <w:sz w:val="22"/>
          <w:szCs w:val="22"/>
          <w:lang w:val="en-GB"/>
        </w:rPr>
        <w:t>. After</w:t>
      </w:r>
      <w:r>
        <w:rPr>
          <w:rFonts w:asciiTheme="minorHAnsi" w:eastAsia="Arial" w:hAnsiTheme="minorHAnsi" w:cstheme="minorHAnsi"/>
          <w:color w:val="000000" w:themeColor="text1"/>
          <w:sz w:val="22"/>
          <w:szCs w:val="22"/>
          <w:lang w:val="en-GB"/>
        </w:rPr>
        <w:t xml:space="preserve"> the</w:t>
      </w:r>
      <w:r w:rsidRPr="00C37A4D">
        <w:rPr>
          <w:rFonts w:asciiTheme="minorHAnsi" w:eastAsia="Arial" w:hAnsiTheme="minorHAnsi" w:cstheme="minorHAnsi"/>
          <w:color w:val="000000" w:themeColor="text1"/>
          <w:sz w:val="22"/>
          <w:szCs w:val="22"/>
          <w:lang w:val="en-GB"/>
        </w:rPr>
        <w:t xml:space="preserve"> 2015</w:t>
      </w:r>
      <w:r w:rsidR="00390BD2">
        <w:rPr>
          <w:rFonts w:asciiTheme="minorHAnsi" w:eastAsia="Arial" w:hAnsiTheme="minorHAnsi" w:cstheme="minorHAnsi"/>
          <w:color w:val="000000" w:themeColor="text1"/>
          <w:sz w:val="22"/>
          <w:szCs w:val="22"/>
          <w:lang w:val="en-GB"/>
        </w:rPr>
        <w:t>–</w:t>
      </w:r>
      <w:r w:rsidRPr="00C37A4D">
        <w:rPr>
          <w:rFonts w:asciiTheme="minorHAnsi" w:eastAsia="Arial" w:hAnsiTheme="minorHAnsi" w:cstheme="minorHAnsi"/>
          <w:color w:val="000000" w:themeColor="text1"/>
          <w:sz w:val="22"/>
          <w:szCs w:val="22"/>
          <w:lang w:val="en-GB"/>
        </w:rPr>
        <w:t>2019 early implementation phase, GLASS introduce</w:t>
      </w:r>
      <w:r>
        <w:rPr>
          <w:rFonts w:asciiTheme="minorHAnsi" w:eastAsia="Arial" w:hAnsiTheme="minorHAnsi" w:cstheme="minorHAnsi"/>
          <w:color w:val="000000" w:themeColor="text1"/>
          <w:sz w:val="22"/>
          <w:szCs w:val="22"/>
          <w:lang w:val="en-GB"/>
        </w:rPr>
        <w:t>d</w:t>
      </w:r>
      <w:r w:rsidRPr="00C37A4D">
        <w:rPr>
          <w:rFonts w:asciiTheme="minorHAnsi" w:eastAsia="Arial" w:hAnsiTheme="minorHAnsi" w:cstheme="minorHAnsi"/>
          <w:color w:val="000000" w:themeColor="text1"/>
          <w:sz w:val="22"/>
          <w:szCs w:val="22"/>
          <w:lang w:val="en-GB"/>
        </w:rPr>
        <w:t xml:space="preserve"> indicators to </w:t>
      </w:r>
      <w:r>
        <w:rPr>
          <w:rFonts w:asciiTheme="minorHAnsi" w:eastAsia="Arial" w:hAnsiTheme="minorHAnsi" w:cstheme="minorHAnsi"/>
          <w:color w:val="000000" w:themeColor="text1"/>
          <w:sz w:val="22"/>
          <w:szCs w:val="22"/>
          <w:lang w:val="en-GB"/>
        </w:rPr>
        <w:t xml:space="preserve">assess </w:t>
      </w:r>
      <w:r w:rsidRPr="00C37A4D">
        <w:rPr>
          <w:rFonts w:asciiTheme="minorHAnsi" w:eastAsia="Arial" w:hAnsiTheme="minorHAnsi" w:cstheme="minorHAnsi"/>
          <w:color w:val="000000" w:themeColor="text1"/>
          <w:sz w:val="22"/>
          <w:szCs w:val="22"/>
          <w:lang w:val="en-GB"/>
        </w:rPr>
        <w:t>countr</w:t>
      </w:r>
      <w:r>
        <w:rPr>
          <w:rFonts w:asciiTheme="minorHAnsi" w:eastAsia="Arial" w:hAnsiTheme="minorHAnsi" w:cstheme="minorHAnsi"/>
          <w:color w:val="000000" w:themeColor="text1"/>
          <w:sz w:val="22"/>
          <w:szCs w:val="22"/>
          <w:lang w:val="en-GB"/>
        </w:rPr>
        <w:t xml:space="preserve">ies’ </w:t>
      </w:r>
      <w:r w:rsidRPr="00C37A4D">
        <w:rPr>
          <w:rFonts w:asciiTheme="minorHAnsi" w:eastAsia="Arial" w:hAnsiTheme="minorHAnsi" w:cstheme="minorHAnsi"/>
          <w:color w:val="000000" w:themeColor="text1"/>
          <w:sz w:val="22"/>
          <w:szCs w:val="22"/>
          <w:lang w:val="en-GB"/>
        </w:rPr>
        <w:t xml:space="preserve">AMR surveillance, including </w:t>
      </w:r>
      <w:r>
        <w:rPr>
          <w:rFonts w:asciiTheme="minorHAnsi" w:eastAsia="Arial" w:hAnsiTheme="minorHAnsi" w:cstheme="minorHAnsi"/>
          <w:color w:val="000000" w:themeColor="text1"/>
          <w:sz w:val="22"/>
          <w:szCs w:val="22"/>
          <w:lang w:val="en-GB"/>
        </w:rPr>
        <w:t xml:space="preserve">the </w:t>
      </w:r>
      <w:r w:rsidRPr="00C37A4D">
        <w:rPr>
          <w:rFonts w:asciiTheme="minorHAnsi" w:eastAsia="Arial" w:hAnsiTheme="minorHAnsi" w:cstheme="minorHAnsi"/>
          <w:color w:val="000000" w:themeColor="text1"/>
          <w:sz w:val="22"/>
          <w:szCs w:val="22"/>
          <w:lang w:val="en-GB"/>
        </w:rPr>
        <w:t xml:space="preserve">number of </w:t>
      </w:r>
      <w:r>
        <w:rPr>
          <w:rFonts w:asciiTheme="minorHAnsi" w:eastAsia="Arial" w:hAnsiTheme="minorHAnsi" w:cstheme="minorHAnsi"/>
          <w:color w:val="000000" w:themeColor="text1"/>
          <w:sz w:val="22"/>
          <w:szCs w:val="22"/>
          <w:lang w:val="en-GB"/>
        </w:rPr>
        <w:t xml:space="preserve">reporting </w:t>
      </w:r>
      <w:r w:rsidRPr="00C37A4D">
        <w:rPr>
          <w:rFonts w:asciiTheme="minorHAnsi" w:eastAsia="Arial" w:hAnsiTheme="minorHAnsi" w:cstheme="minorHAnsi"/>
          <w:color w:val="000000" w:themeColor="text1"/>
          <w:sz w:val="22"/>
          <w:szCs w:val="22"/>
          <w:lang w:val="en-GB"/>
        </w:rPr>
        <w:t>sites</w:t>
      </w:r>
      <w:r>
        <w:rPr>
          <w:rFonts w:asciiTheme="minorHAnsi" w:eastAsia="Arial" w:hAnsiTheme="minorHAnsi" w:cstheme="minorHAnsi"/>
          <w:color w:val="000000" w:themeColor="text1"/>
          <w:sz w:val="22"/>
          <w:szCs w:val="22"/>
          <w:lang w:val="en-GB"/>
        </w:rPr>
        <w:t xml:space="preserve">, participation in </w:t>
      </w:r>
      <w:r w:rsidRPr="00C37A4D">
        <w:rPr>
          <w:rFonts w:asciiTheme="minorHAnsi" w:eastAsia="Arial" w:hAnsiTheme="minorHAnsi" w:cstheme="minorHAnsi"/>
          <w:color w:val="000000" w:themeColor="text1"/>
          <w:sz w:val="22"/>
          <w:szCs w:val="22"/>
          <w:lang w:val="en-GB"/>
        </w:rPr>
        <w:t>quality</w:t>
      </w:r>
      <w:r w:rsidR="00390BD2">
        <w:rPr>
          <w:rFonts w:asciiTheme="minorHAnsi" w:eastAsia="Arial" w:hAnsiTheme="minorHAnsi" w:cstheme="minorHAnsi"/>
          <w:color w:val="000000" w:themeColor="text1"/>
          <w:sz w:val="22"/>
          <w:szCs w:val="22"/>
          <w:lang w:val="en-GB"/>
        </w:rPr>
        <w:t>-</w:t>
      </w:r>
      <w:r>
        <w:rPr>
          <w:rFonts w:asciiTheme="minorHAnsi" w:eastAsia="Arial" w:hAnsiTheme="minorHAnsi" w:cstheme="minorHAnsi"/>
          <w:color w:val="000000" w:themeColor="text1"/>
          <w:sz w:val="22"/>
          <w:szCs w:val="22"/>
          <w:lang w:val="en-GB"/>
        </w:rPr>
        <w:t>assurance programmes, representativeness of the population and health system levels,</w:t>
      </w:r>
      <w:r w:rsidRPr="00C37A4D">
        <w:rPr>
          <w:rFonts w:asciiTheme="minorHAnsi" w:eastAsia="Arial" w:hAnsiTheme="minorHAnsi" w:cstheme="minorHAnsi"/>
          <w:color w:val="000000" w:themeColor="text1"/>
          <w:sz w:val="22"/>
          <w:szCs w:val="22"/>
          <w:lang w:val="en-GB"/>
        </w:rPr>
        <w:t xml:space="preserve"> and laboratory diagnostics</w:t>
      </w:r>
      <w:r>
        <w:rPr>
          <w:rFonts w:asciiTheme="minorHAnsi" w:eastAsia="Arial" w:hAnsiTheme="minorHAnsi" w:cstheme="minorHAnsi"/>
          <w:color w:val="000000" w:themeColor="text1"/>
          <w:sz w:val="22"/>
          <w:szCs w:val="22"/>
          <w:lang w:val="en-GB"/>
        </w:rPr>
        <w:t xml:space="preserve"> standards</w:t>
      </w:r>
      <w:r w:rsidRPr="00C37A4D">
        <w:rPr>
          <w:rFonts w:asciiTheme="minorHAnsi" w:eastAsia="Arial" w:hAnsiTheme="minorHAnsi" w:cstheme="minorHAnsi"/>
          <w:color w:val="000000" w:themeColor="text1"/>
          <w:sz w:val="22"/>
          <w:szCs w:val="22"/>
          <w:lang w:val="en-GB"/>
        </w:rPr>
        <w:t>. In 2020</w:t>
      </w:r>
      <w:r w:rsidR="00AF7E66">
        <w:rPr>
          <w:rFonts w:asciiTheme="minorHAnsi" w:eastAsia="Arial" w:hAnsiTheme="minorHAnsi" w:cstheme="minorHAnsi"/>
          <w:color w:val="000000" w:themeColor="text1"/>
          <w:sz w:val="22"/>
          <w:szCs w:val="22"/>
          <w:lang w:val="en-GB"/>
        </w:rPr>
        <w:t>,</w:t>
      </w:r>
      <w:r w:rsidRPr="00C37A4D">
        <w:rPr>
          <w:rFonts w:asciiTheme="minorHAnsi" w:eastAsia="Arial" w:hAnsiTheme="minorHAnsi" w:cstheme="minorHAnsi"/>
          <w:color w:val="000000" w:themeColor="text1"/>
          <w:sz w:val="22"/>
          <w:szCs w:val="22"/>
          <w:lang w:val="en-GB"/>
        </w:rPr>
        <w:t xml:space="preserve"> GLASS added a module on monitoring of antimicrobial consumption (</w:t>
      </w:r>
      <w:r w:rsidRPr="00C37A4D">
        <w:rPr>
          <w:rFonts w:asciiTheme="minorHAnsi" w:eastAsia="Arial" w:hAnsiTheme="minorHAnsi" w:cstheme="minorHAnsi"/>
          <w:b/>
          <w:bCs/>
          <w:color w:val="000000" w:themeColor="text1"/>
          <w:sz w:val="22"/>
          <w:szCs w:val="22"/>
          <w:lang w:val="en-GB"/>
        </w:rPr>
        <w:t xml:space="preserve">Panel </w:t>
      </w:r>
      <w:r w:rsidR="00B57102">
        <w:rPr>
          <w:rFonts w:asciiTheme="minorHAnsi" w:eastAsia="Arial" w:hAnsiTheme="minorHAnsi" w:cstheme="minorHAnsi"/>
          <w:b/>
          <w:bCs/>
          <w:color w:val="000000" w:themeColor="text1"/>
          <w:sz w:val="22"/>
          <w:szCs w:val="22"/>
          <w:lang w:val="en-GB"/>
        </w:rPr>
        <w:t>3</w:t>
      </w:r>
      <w:r w:rsidR="00B57102" w:rsidRPr="00C3519F">
        <w:rPr>
          <w:rFonts w:asciiTheme="minorHAnsi" w:eastAsia="Arial" w:hAnsiTheme="minorHAnsi" w:cstheme="minorHAnsi"/>
          <w:color w:val="000000" w:themeColor="text1"/>
          <w:sz w:val="22"/>
          <w:szCs w:val="22"/>
          <w:lang w:val="en-GB"/>
        </w:rPr>
        <w:t>)</w:t>
      </w:r>
      <w:r>
        <w:rPr>
          <w:rFonts w:asciiTheme="minorHAnsi" w:eastAsia="Arial" w:hAnsiTheme="minorHAnsi" w:cstheme="minorHAnsi"/>
          <w:color w:val="000000" w:themeColor="text1"/>
          <w:sz w:val="22"/>
          <w:szCs w:val="22"/>
          <w:lang w:val="en-GB"/>
        </w:rPr>
        <w:t>. In addition, WHO has developed survey methods to generate reliable</w:t>
      </w:r>
      <w:r w:rsidR="00CF5526">
        <w:rPr>
          <w:rFonts w:asciiTheme="minorHAnsi" w:eastAsia="Arial" w:hAnsiTheme="minorHAnsi" w:cstheme="minorHAnsi"/>
          <w:color w:val="000000" w:themeColor="text1"/>
          <w:sz w:val="22"/>
          <w:szCs w:val="22"/>
          <w:lang w:val="en-GB"/>
        </w:rPr>
        <w:t>,</w:t>
      </w:r>
      <w:r>
        <w:rPr>
          <w:rFonts w:asciiTheme="minorHAnsi" w:eastAsia="Arial" w:hAnsiTheme="minorHAnsi" w:cstheme="minorHAnsi"/>
          <w:color w:val="000000" w:themeColor="text1"/>
          <w:sz w:val="22"/>
          <w:szCs w:val="22"/>
          <w:lang w:val="en-GB"/>
        </w:rPr>
        <w:t xml:space="preserve"> representative data on the prevalence and attributable mortality of </w:t>
      </w:r>
      <w:r w:rsidRPr="00C37A4D">
        <w:rPr>
          <w:rFonts w:asciiTheme="minorHAnsi" w:eastAsia="Arial" w:hAnsiTheme="minorHAnsi" w:cstheme="minorHAnsi"/>
          <w:color w:val="000000" w:themeColor="text1"/>
          <w:sz w:val="22"/>
          <w:szCs w:val="22"/>
          <w:lang w:val="en-GB"/>
        </w:rPr>
        <w:t>drug-resistant bloodstream infections</w:t>
      </w:r>
      <w:r>
        <w:rPr>
          <w:rFonts w:asciiTheme="minorHAnsi" w:eastAsia="Arial" w:hAnsiTheme="minorHAnsi" w:cstheme="minorHAnsi"/>
          <w:color w:val="000000" w:themeColor="text1"/>
          <w:sz w:val="22"/>
          <w:szCs w:val="22"/>
          <w:lang w:val="en-GB"/>
        </w:rPr>
        <w:t xml:space="preserve">, particularly </w:t>
      </w:r>
      <w:r w:rsidR="00724B0F">
        <w:rPr>
          <w:rFonts w:asciiTheme="minorHAnsi" w:eastAsia="Arial" w:hAnsiTheme="minorHAnsi" w:cstheme="minorHAnsi"/>
          <w:color w:val="000000" w:themeColor="text1"/>
          <w:sz w:val="22"/>
          <w:szCs w:val="22"/>
          <w:lang w:val="en-GB"/>
        </w:rPr>
        <w:t>where</w:t>
      </w:r>
      <w:r>
        <w:rPr>
          <w:rFonts w:asciiTheme="minorHAnsi" w:eastAsia="Arial" w:hAnsiTheme="minorHAnsi" w:cstheme="minorHAnsi"/>
          <w:color w:val="000000" w:themeColor="text1"/>
          <w:sz w:val="22"/>
          <w:szCs w:val="22"/>
          <w:lang w:val="en-GB"/>
        </w:rPr>
        <w:t xml:space="preserve"> surveillance system</w:t>
      </w:r>
      <w:r w:rsidR="00724B0F">
        <w:rPr>
          <w:rFonts w:asciiTheme="minorHAnsi" w:eastAsia="Arial" w:hAnsiTheme="minorHAnsi" w:cstheme="minorHAnsi"/>
          <w:color w:val="000000" w:themeColor="text1"/>
          <w:sz w:val="22"/>
          <w:szCs w:val="22"/>
          <w:lang w:val="en-GB"/>
        </w:rPr>
        <w:t>s are suboptimal</w:t>
      </w:r>
      <w:r w:rsidR="00D443DB">
        <w:rPr>
          <w:rFonts w:asciiTheme="minorHAnsi" w:eastAsia="Arial" w:hAnsiTheme="minorHAnsi" w:cstheme="minorHAnsi"/>
          <w:color w:val="000000" w:themeColor="text1"/>
          <w:sz w:val="22"/>
          <w:szCs w:val="22"/>
          <w:lang w:val="en-GB"/>
        </w:rPr>
        <w:t>.</w:t>
      </w:r>
      <w:r w:rsidR="00E00CFD" w:rsidRPr="00E00CFD">
        <w:rPr>
          <w:rFonts w:hAnsiTheme="minorHAnsi"/>
          <w:color w:val="000000"/>
          <w:sz w:val="22"/>
          <w:vertAlign w:val="superscript"/>
        </w:rPr>
        <w:t>10,166</w:t>
      </w:r>
      <w:r w:rsidRPr="00C37A4D">
        <w:rPr>
          <w:rFonts w:asciiTheme="minorHAnsi" w:eastAsia="Arial" w:hAnsiTheme="minorHAnsi" w:cstheme="minorHAnsi"/>
          <w:color w:val="000000" w:themeColor="text1"/>
          <w:sz w:val="22"/>
          <w:szCs w:val="22"/>
          <w:lang w:val="en-GB"/>
        </w:rPr>
        <w:t xml:space="preserve"> </w:t>
      </w:r>
      <w:r>
        <w:rPr>
          <w:rFonts w:asciiTheme="minorHAnsi" w:eastAsia="Arial" w:hAnsiTheme="minorHAnsi" w:cstheme="minorHAnsi"/>
          <w:color w:val="000000" w:themeColor="text1"/>
          <w:sz w:val="22"/>
          <w:szCs w:val="22"/>
          <w:lang w:val="en-GB"/>
        </w:rPr>
        <w:t xml:space="preserve">These surveys </w:t>
      </w:r>
      <w:r w:rsidR="00724B0F">
        <w:rPr>
          <w:rFonts w:asciiTheme="minorHAnsi" w:eastAsia="Arial" w:hAnsiTheme="minorHAnsi" w:cstheme="minorHAnsi"/>
          <w:color w:val="000000" w:themeColor="text1"/>
          <w:sz w:val="22"/>
          <w:szCs w:val="22"/>
          <w:lang w:val="en-GB"/>
        </w:rPr>
        <w:t>have been</w:t>
      </w:r>
      <w:r>
        <w:rPr>
          <w:rFonts w:asciiTheme="minorHAnsi" w:eastAsia="Arial" w:hAnsiTheme="minorHAnsi" w:cstheme="minorHAnsi"/>
          <w:color w:val="000000" w:themeColor="text1"/>
          <w:sz w:val="22"/>
          <w:szCs w:val="22"/>
          <w:lang w:val="en-GB"/>
        </w:rPr>
        <w:t xml:space="preserve"> rolled out in three African and </w:t>
      </w:r>
      <w:r w:rsidR="00724B0F">
        <w:rPr>
          <w:rFonts w:asciiTheme="minorHAnsi" w:eastAsia="Arial" w:hAnsiTheme="minorHAnsi" w:cstheme="minorHAnsi"/>
          <w:color w:val="000000" w:themeColor="text1"/>
          <w:sz w:val="22"/>
          <w:szCs w:val="22"/>
          <w:lang w:val="en-GB"/>
        </w:rPr>
        <w:t>C</w:t>
      </w:r>
      <w:r>
        <w:rPr>
          <w:rFonts w:asciiTheme="minorHAnsi" w:eastAsia="Arial" w:hAnsiTheme="minorHAnsi" w:cstheme="minorHAnsi"/>
          <w:color w:val="000000" w:themeColor="text1"/>
          <w:sz w:val="22"/>
          <w:szCs w:val="22"/>
          <w:lang w:val="en-GB"/>
        </w:rPr>
        <w:t xml:space="preserve">entral Asian countries. </w:t>
      </w:r>
    </w:p>
    <w:p w14:paraId="2FF1696A" w14:textId="43226F8E" w:rsidR="001F40A9" w:rsidRDefault="001F40A9" w:rsidP="00CA1299">
      <w:pPr>
        <w:rPr>
          <w:rFonts w:asciiTheme="minorHAnsi" w:hAnsiTheme="minorHAnsi" w:cstheme="minorHAnsi"/>
          <w:bCs/>
          <w:color w:val="000000" w:themeColor="text1"/>
          <w:sz w:val="22"/>
          <w:szCs w:val="22"/>
          <w:lang w:val="en-GB"/>
        </w:rPr>
      </w:pPr>
    </w:p>
    <w:p w14:paraId="0809BF6E" w14:textId="683D75AD" w:rsidR="00B57102" w:rsidRPr="00C37A4D" w:rsidRDefault="002E6994" w:rsidP="004709DC">
      <w:pPr>
        <w:pBdr>
          <w:top w:val="nil"/>
          <w:left w:val="nil"/>
          <w:bottom w:val="nil"/>
          <w:right w:val="nil"/>
          <w:between w:val="nil"/>
        </w:pBdr>
        <w:rPr>
          <w:rFonts w:asciiTheme="minorHAnsi" w:eastAsia="Arial" w:hAnsiTheme="minorHAnsi" w:cstheme="minorHAnsi"/>
          <w:color w:val="000000" w:themeColor="text1"/>
          <w:sz w:val="22"/>
          <w:szCs w:val="22"/>
          <w:lang w:val="en-GB"/>
        </w:rPr>
      </w:pPr>
      <w:r w:rsidRPr="00C37A4D">
        <w:rPr>
          <w:rFonts w:asciiTheme="minorHAnsi" w:eastAsia="Arial" w:hAnsiTheme="minorHAnsi" w:cstheme="minorHAnsi"/>
          <w:color w:val="000000" w:themeColor="text1"/>
          <w:sz w:val="22"/>
          <w:szCs w:val="22"/>
          <w:lang w:val="en-GB"/>
        </w:rPr>
        <w:t>S</w:t>
      </w:r>
      <w:r w:rsidR="004709DC" w:rsidRPr="00C37A4D">
        <w:rPr>
          <w:rFonts w:asciiTheme="minorHAnsi" w:eastAsia="Arial" w:hAnsiTheme="minorHAnsi" w:cstheme="minorHAnsi"/>
          <w:color w:val="000000" w:themeColor="text1"/>
          <w:sz w:val="22"/>
          <w:szCs w:val="22"/>
          <w:lang w:val="en-GB"/>
        </w:rPr>
        <w:t xml:space="preserve">urveillance has multiple </w:t>
      </w:r>
      <w:sdt>
        <w:sdtPr>
          <w:rPr>
            <w:rFonts w:asciiTheme="minorHAnsi" w:hAnsiTheme="minorHAnsi" w:cstheme="minorHAnsi"/>
            <w:color w:val="000000" w:themeColor="text1"/>
            <w:sz w:val="22"/>
            <w:szCs w:val="22"/>
            <w:lang w:val="en-GB"/>
          </w:rPr>
          <w:tag w:val="goog_rdk_4"/>
          <w:id w:val="1818605225"/>
        </w:sdtPr>
        <w:sdtContent/>
      </w:sdt>
      <w:r w:rsidR="004709DC" w:rsidRPr="00C37A4D">
        <w:rPr>
          <w:rFonts w:asciiTheme="minorHAnsi" w:eastAsia="Arial" w:hAnsiTheme="minorHAnsi" w:cstheme="minorHAnsi"/>
          <w:color w:val="000000" w:themeColor="text1"/>
          <w:sz w:val="22"/>
          <w:szCs w:val="22"/>
          <w:lang w:val="en-GB"/>
        </w:rPr>
        <w:t>purposes</w:t>
      </w:r>
      <w:r w:rsidR="004A33A2" w:rsidRPr="00C37A4D">
        <w:rPr>
          <w:rFonts w:asciiTheme="minorHAnsi" w:eastAsia="Arial" w:hAnsiTheme="minorHAnsi" w:cstheme="minorHAnsi"/>
          <w:color w:val="000000" w:themeColor="text1"/>
          <w:sz w:val="22"/>
          <w:szCs w:val="22"/>
          <w:lang w:val="en-GB"/>
        </w:rPr>
        <w:t>:</w:t>
      </w:r>
      <w:r w:rsidR="004709DC" w:rsidRPr="00C37A4D">
        <w:rPr>
          <w:rFonts w:asciiTheme="minorHAnsi" w:eastAsia="Arial" w:hAnsiTheme="minorHAnsi" w:cstheme="minorHAnsi"/>
          <w:color w:val="000000" w:themeColor="text1"/>
          <w:sz w:val="22"/>
          <w:szCs w:val="22"/>
          <w:lang w:val="en-GB"/>
        </w:rPr>
        <w:t xml:space="preserve"> supporting treatment </w:t>
      </w:r>
      <w:sdt>
        <w:sdtPr>
          <w:rPr>
            <w:rFonts w:asciiTheme="minorHAnsi" w:hAnsiTheme="minorHAnsi" w:cstheme="minorHAnsi"/>
            <w:color w:val="000000" w:themeColor="text1"/>
            <w:sz w:val="22"/>
            <w:szCs w:val="22"/>
            <w:lang w:val="en-GB"/>
          </w:rPr>
          <w:tag w:val="goog_rdk_5"/>
          <w:id w:val="-916703421"/>
        </w:sdtPr>
        <w:sdtContent/>
      </w:sdt>
      <w:sdt>
        <w:sdtPr>
          <w:rPr>
            <w:rFonts w:asciiTheme="minorHAnsi" w:hAnsiTheme="minorHAnsi" w:cstheme="minorHAnsi"/>
            <w:color w:val="000000" w:themeColor="text1"/>
            <w:sz w:val="22"/>
            <w:szCs w:val="22"/>
            <w:lang w:val="en-GB"/>
          </w:rPr>
          <w:tag w:val="goog_rdk_6"/>
          <w:id w:val="1344513303"/>
        </w:sdtPr>
        <w:sdtContent/>
      </w:sdt>
      <w:r w:rsidR="004709DC" w:rsidRPr="00C37A4D">
        <w:rPr>
          <w:rFonts w:asciiTheme="minorHAnsi" w:eastAsia="Arial" w:hAnsiTheme="minorHAnsi" w:cstheme="minorHAnsi"/>
          <w:color w:val="000000" w:themeColor="text1"/>
          <w:sz w:val="22"/>
          <w:szCs w:val="22"/>
          <w:lang w:val="en-GB"/>
        </w:rPr>
        <w:t>guidelines</w:t>
      </w:r>
      <w:r w:rsidR="004A33A2" w:rsidRPr="00C37A4D">
        <w:rPr>
          <w:rFonts w:asciiTheme="minorHAnsi" w:eastAsia="Arial" w:hAnsiTheme="minorHAnsi" w:cstheme="minorHAnsi"/>
          <w:color w:val="000000" w:themeColor="text1"/>
          <w:sz w:val="22"/>
          <w:szCs w:val="22"/>
          <w:lang w:val="en-GB"/>
        </w:rPr>
        <w:t xml:space="preserve">, </w:t>
      </w:r>
      <w:r w:rsidR="00F50492" w:rsidRPr="00C37A4D">
        <w:rPr>
          <w:rFonts w:asciiTheme="minorHAnsi" w:eastAsia="Arial" w:hAnsiTheme="minorHAnsi" w:cstheme="minorHAnsi"/>
          <w:color w:val="000000" w:themeColor="text1"/>
          <w:sz w:val="22"/>
          <w:szCs w:val="22"/>
          <w:lang w:val="en-GB"/>
        </w:rPr>
        <w:t>tracking</w:t>
      </w:r>
      <w:r w:rsidR="004709DC" w:rsidRPr="00C37A4D">
        <w:rPr>
          <w:rFonts w:asciiTheme="minorHAnsi" w:eastAsia="Arial" w:hAnsiTheme="minorHAnsi" w:cstheme="minorHAnsi"/>
          <w:color w:val="000000" w:themeColor="text1"/>
          <w:sz w:val="22"/>
          <w:szCs w:val="22"/>
          <w:lang w:val="en-GB"/>
        </w:rPr>
        <w:t xml:space="preserve"> the prevalence of AMR, </w:t>
      </w:r>
      <w:r w:rsidR="00726B14">
        <w:rPr>
          <w:rFonts w:asciiTheme="minorHAnsi" w:eastAsia="Arial" w:hAnsiTheme="minorHAnsi" w:cstheme="minorHAnsi"/>
          <w:color w:val="000000" w:themeColor="text1"/>
          <w:sz w:val="22"/>
          <w:szCs w:val="22"/>
          <w:lang w:val="en-GB"/>
        </w:rPr>
        <w:t xml:space="preserve">identifying practices that exacerbate </w:t>
      </w:r>
      <w:r w:rsidR="002D4FCD">
        <w:rPr>
          <w:rFonts w:asciiTheme="minorHAnsi" w:eastAsia="Arial" w:hAnsiTheme="minorHAnsi" w:cstheme="minorHAnsi"/>
          <w:color w:val="000000" w:themeColor="text1"/>
          <w:sz w:val="22"/>
          <w:szCs w:val="22"/>
          <w:lang w:val="en-GB"/>
        </w:rPr>
        <w:t>or</w:t>
      </w:r>
      <w:r w:rsidR="00B160FA">
        <w:rPr>
          <w:rFonts w:asciiTheme="minorHAnsi" w:eastAsia="Arial" w:hAnsiTheme="minorHAnsi" w:cstheme="minorHAnsi"/>
          <w:color w:val="000000" w:themeColor="text1"/>
          <w:sz w:val="22"/>
          <w:szCs w:val="22"/>
          <w:lang w:val="en-GB"/>
        </w:rPr>
        <w:t xml:space="preserve"> ameliorate </w:t>
      </w:r>
      <w:r w:rsidR="00726B14">
        <w:rPr>
          <w:rFonts w:asciiTheme="minorHAnsi" w:eastAsia="Arial" w:hAnsiTheme="minorHAnsi" w:cstheme="minorHAnsi"/>
          <w:color w:val="000000" w:themeColor="text1"/>
          <w:sz w:val="22"/>
          <w:szCs w:val="22"/>
          <w:lang w:val="en-GB"/>
        </w:rPr>
        <w:t xml:space="preserve">resistance, </w:t>
      </w:r>
      <w:r w:rsidR="004709DC" w:rsidRPr="00C37A4D">
        <w:rPr>
          <w:rFonts w:asciiTheme="minorHAnsi" w:eastAsia="Arial" w:hAnsiTheme="minorHAnsi" w:cstheme="minorHAnsi"/>
          <w:color w:val="000000" w:themeColor="text1"/>
          <w:sz w:val="22"/>
          <w:szCs w:val="22"/>
          <w:lang w:val="en-GB"/>
        </w:rPr>
        <w:t>evaluat</w:t>
      </w:r>
      <w:r w:rsidR="00F50492" w:rsidRPr="00C37A4D">
        <w:rPr>
          <w:rFonts w:asciiTheme="minorHAnsi" w:eastAsia="Arial" w:hAnsiTheme="minorHAnsi" w:cstheme="minorHAnsi"/>
          <w:color w:val="000000" w:themeColor="text1"/>
          <w:sz w:val="22"/>
          <w:szCs w:val="22"/>
          <w:lang w:val="en-GB"/>
        </w:rPr>
        <w:t>ing</w:t>
      </w:r>
      <w:r w:rsidR="004709DC" w:rsidRPr="00C37A4D">
        <w:rPr>
          <w:rFonts w:asciiTheme="minorHAnsi" w:eastAsia="Arial" w:hAnsiTheme="minorHAnsi" w:cstheme="minorHAnsi"/>
          <w:color w:val="000000" w:themeColor="text1"/>
          <w:sz w:val="22"/>
          <w:szCs w:val="22"/>
          <w:lang w:val="en-GB"/>
        </w:rPr>
        <w:t xml:space="preserve"> temporal trends</w:t>
      </w:r>
      <w:r w:rsidR="00724B0F">
        <w:rPr>
          <w:rFonts w:asciiTheme="minorHAnsi" w:eastAsia="Arial" w:hAnsiTheme="minorHAnsi" w:cstheme="minorHAnsi"/>
          <w:color w:val="000000" w:themeColor="text1"/>
          <w:sz w:val="22"/>
          <w:szCs w:val="22"/>
          <w:lang w:val="en-GB"/>
        </w:rPr>
        <w:t>,</w:t>
      </w:r>
      <w:r w:rsidR="004709DC" w:rsidRPr="00C37A4D">
        <w:rPr>
          <w:rFonts w:asciiTheme="minorHAnsi" w:eastAsia="Arial" w:hAnsiTheme="minorHAnsi" w:cstheme="minorHAnsi"/>
          <w:color w:val="000000" w:themeColor="text1"/>
          <w:sz w:val="22"/>
          <w:szCs w:val="22"/>
          <w:lang w:val="en-GB"/>
        </w:rPr>
        <w:t xml:space="preserve"> </w:t>
      </w:r>
      <w:r w:rsidR="00F50492" w:rsidRPr="00C37A4D">
        <w:rPr>
          <w:rFonts w:asciiTheme="minorHAnsi" w:eastAsia="Arial" w:hAnsiTheme="minorHAnsi" w:cstheme="minorHAnsi"/>
          <w:color w:val="000000" w:themeColor="text1"/>
          <w:sz w:val="22"/>
          <w:szCs w:val="22"/>
          <w:lang w:val="en-GB"/>
        </w:rPr>
        <w:t xml:space="preserve">detecting </w:t>
      </w:r>
      <w:r w:rsidR="004709DC" w:rsidRPr="00C37A4D">
        <w:rPr>
          <w:rFonts w:asciiTheme="minorHAnsi" w:eastAsia="Arial" w:hAnsiTheme="minorHAnsi" w:cstheme="minorHAnsi"/>
          <w:color w:val="000000" w:themeColor="text1"/>
          <w:sz w:val="22"/>
          <w:szCs w:val="22"/>
          <w:lang w:val="en-GB"/>
        </w:rPr>
        <w:t>outbreak</w:t>
      </w:r>
      <w:r w:rsidR="00F50492" w:rsidRPr="00C37A4D">
        <w:rPr>
          <w:rFonts w:asciiTheme="minorHAnsi" w:eastAsia="Arial" w:hAnsiTheme="minorHAnsi" w:cstheme="minorHAnsi"/>
          <w:color w:val="000000" w:themeColor="text1"/>
          <w:sz w:val="22"/>
          <w:szCs w:val="22"/>
          <w:lang w:val="en-GB"/>
        </w:rPr>
        <w:t>s</w:t>
      </w:r>
      <w:r w:rsidR="00726B14">
        <w:rPr>
          <w:rFonts w:asciiTheme="minorHAnsi" w:eastAsia="Arial" w:hAnsiTheme="minorHAnsi" w:cstheme="minorHAnsi"/>
          <w:color w:val="000000" w:themeColor="text1"/>
          <w:sz w:val="22"/>
          <w:szCs w:val="22"/>
          <w:lang w:val="en-GB"/>
        </w:rPr>
        <w:t>, enabling emergency preparedness, informing risk assessment</w:t>
      </w:r>
      <w:r w:rsidR="004709DC" w:rsidRPr="00C37A4D">
        <w:rPr>
          <w:rFonts w:asciiTheme="minorHAnsi" w:eastAsia="Arial" w:hAnsiTheme="minorHAnsi" w:cstheme="minorHAnsi"/>
          <w:color w:val="000000" w:themeColor="text1"/>
          <w:sz w:val="22"/>
          <w:szCs w:val="22"/>
          <w:lang w:val="en-GB"/>
        </w:rPr>
        <w:t xml:space="preserve">. </w:t>
      </w:r>
      <w:r w:rsidR="00517C84" w:rsidRPr="00C37A4D">
        <w:rPr>
          <w:rFonts w:asciiTheme="minorHAnsi" w:eastAsia="Arial" w:hAnsiTheme="minorHAnsi" w:cstheme="minorHAnsi"/>
          <w:color w:val="000000" w:themeColor="text1"/>
          <w:sz w:val="22"/>
          <w:szCs w:val="22"/>
          <w:lang w:val="en-GB"/>
        </w:rPr>
        <w:t xml:space="preserve">It </w:t>
      </w:r>
      <w:r w:rsidR="004709DC" w:rsidRPr="00C37A4D">
        <w:rPr>
          <w:rFonts w:asciiTheme="minorHAnsi" w:eastAsia="Arial" w:hAnsiTheme="minorHAnsi" w:cstheme="minorHAnsi"/>
          <w:color w:val="000000" w:themeColor="text1"/>
          <w:sz w:val="22"/>
          <w:szCs w:val="22"/>
          <w:lang w:val="en-GB"/>
        </w:rPr>
        <w:t xml:space="preserve">enables </w:t>
      </w:r>
      <w:r w:rsidR="005F5C7E">
        <w:rPr>
          <w:rFonts w:asciiTheme="minorHAnsi" w:eastAsia="Arial" w:hAnsiTheme="minorHAnsi" w:cstheme="minorHAnsi"/>
          <w:color w:val="000000" w:themeColor="text1"/>
          <w:sz w:val="22"/>
          <w:szCs w:val="22"/>
          <w:lang w:val="en-GB"/>
        </w:rPr>
        <w:t>benchmarking</w:t>
      </w:r>
      <w:r w:rsidR="005F5C7E" w:rsidRPr="00C37A4D">
        <w:rPr>
          <w:rFonts w:asciiTheme="minorHAnsi" w:eastAsia="Arial" w:hAnsiTheme="minorHAnsi" w:cstheme="minorHAnsi"/>
          <w:color w:val="000000" w:themeColor="text1"/>
          <w:sz w:val="22"/>
          <w:szCs w:val="22"/>
          <w:lang w:val="en-GB"/>
        </w:rPr>
        <w:t xml:space="preserve"> </w:t>
      </w:r>
      <w:r w:rsidR="003A436C" w:rsidRPr="00C37A4D">
        <w:rPr>
          <w:rFonts w:asciiTheme="minorHAnsi" w:eastAsia="Arial" w:hAnsiTheme="minorHAnsi" w:cstheme="minorHAnsi"/>
          <w:color w:val="000000" w:themeColor="text1"/>
          <w:sz w:val="22"/>
          <w:szCs w:val="22"/>
          <w:lang w:val="en-GB"/>
        </w:rPr>
        <w:t>of</w:t>
      </w:r>
      <w:r w:rsidR="004709DC" w:rsidRPr="00C37A4D">
        <w:rPr>
          <w:rFonts w:asciiTheme="minorHAnsi" w:eastAsia="Arial" w:hAnsiTheme="minorHAnsi" w:cstheme="minorHAnsi"/>
          <w:color w:val="000000" w:themeColor="text1"/>
          <w:sz w:val="22"/>
          <w:szCs w:val="22"/>
          <w:lang w:val="en-GB"/>
        </w:rPr>
        <w:t xml:space="preserve"> </w:t>
      </w:r>
      <w:r w:rsidR="003A436C" w:rsidRPr="00C37A4D">
        <w:rPr>
          <w:rFonts w:asciiTheme="minorHAnsi" w:eastAsia="Arial" w:hAnsiTheme="minorHAnsi" w:cstheme="minorHAnsi"/>
          <w:color w:val="000000" w:themeColor="text1"/>
          <w:sz w:val="22"/>
          <w:szCs w:val="22"/>
          <w:lang w:val="en-GB"/>
        </w:rPr>
        <w:t xml:space="preserve">AMR across </w:t>
      </w:r>
      <w:r w:rsidR="004709DC" w:rsidRPr="00C37A4D">
        <w:rPr>
          <w:rFonts w:asciiTheme="minorHAnsi" w:eastAsia="Arial" w:hAnsiTheme="minorHAnsi" w:cstheme="minorHAnsi"/>
          <w:color w:val="000000" w:themeColor="text1"/>
          <w:sz w:val="22"/>
          <w:szCs w:val="22"/>
          <w:lang w:val="en-GB"/>
        </w:rPr>
        <w:t>regions</w:t>
      </w:r>
      <w:r w:rsidR="003A436C" w:rsidRPr="00C37A4D">
        <w:rPr>
          <w:rFonts w:asciiTheme="minorHAnsi" w:eastAsia="Arial" w:hAnsiTheme="minorHAnsi" w:cstheme="minorHAnsi"/>
          <w:color w:val="000000" w:themeColor="text1"/>
          <w:sz w:val="22"/>
          <w:szCs w:val="22"/>
          <w:lang w:val="en-GB"/>
        </w:rPr>
        <w:t>,</w:t>
      </w:r>
      <w:r w:rsidR="004709DC" w:rsidRPr="00C37A4D">
        <w:rPr>
          <w:rFonts w:asciiTheme="minorHAnsi" w:eastAsia="Arial" w:hAnsiTheme="minorHAnsi" w:cstheme="minorHAnsi"/>
          <w:color w:val="000000" w:themeColor="text1"/>
          <w:sz w:val="22"/>
          <w:szCs w:val="22"/>
          <w:lang w:val="en-GB"/>
        </w:rPr>
        <w:t xml:space="preserve"> as has been undertaken through structured surveys in </w:t>
      </w:r>
      <w:sdt>
        <w:sdtPr>
          <w:rPr>
            <w:rFonts w:asciiTheme="minorHAnsi" w:hAnsiTheme="minorHAnsi" w:cstheme="minorHAnsi"/>
            <w:color w:val="000000" w:themeColor="text1"/>
            <w:sz w:val="22"/>
            <w:szCs w:val="22"/>
            <w:lang w:val="en-GB"/>
          </w:rPr>
          <w:tag w:val="goog_rdk_7"/>
          <w:id w:val="-947782764"/>
        </w:sdtPr>
        <w:sdtContent/>
      </w:sdt>
      <w:r w:rsidR="004709DC" w:rsidRPr="00C37A4D">
        <w:rPr>
          <w:rFonts w:asciiTheme="minorHAnsi" w:eastAsia="Arial" w:hAnsiTheme="minorHAnsi" w:cstheme="minorHAnsi"/>
          <w:color w:val="000000" w:themeColor="text1"/>
          <w:sz w:val="22"/>
          <w:szCs w:val="22"/>
          <w:lang w:val="en-GB"/>
        </w:rPr>
        <w:t>Europe</w:t>
      </w:r>
      <w:r w:rsidR="00A016ED">
        <w:rPr>
          <w:rFonts w:asciiTheme="minorHAnsi" w:eastAsia="Arial" w:hAnsiTheme="minorHAnsi" w:cstheme="minorHAnsi"/>
          <w:color w:val="000000" w:themeColor="text1"/>
          <w:sz w:val="22"/>
          <w:szCs w:val="22"/>
          <w:lang w:val="en-GB"/>
        </w:rPr>
        <w:t>.</w:t>
      </w:r>
      <w:r w:rsidR="00E00CFD" w:rsidRPr="00E00CFD">
        <w:rPr>
          <w:rFonts w:hAnsiTheme="minorHAnsi"/>
          <w:color w:val="000000"/>
          <w:sz w:val="22"/>
          <w:vertAlign w:val="superscript"/>
        </w:rPr>
        <w:t>167–171</w:t>
      </w:r>
      <w:r w:rsidR="0047001E" w:rsidRPr="00C37A4D">
        <w:rPr>
          <w:rFonts w:asciiTheme="minorHAnsi" w:eastAsia="Arial" w:hAnsiTheme="minorHAnsi" w:cstheme="minorHAnsi"/>
          <w:color w:val="000000" w:themeColor="text1"/>
          <w:sz w:val="22"/>
          <w:szCs w:val="22"/>
          <w:lang w:val="en-GB"/>
        </w:rPr>
        <w:t xml:space="preserve"> </w:t>
      </w:r>
      <w:r w:rsidR="00032C3C">
        <w:rPr>
          <w:rFonts w:asciiTheme="minorHAnsi" w:eastAsia="Arial" w:hAnsiTheme="minorHAnsi" w:cstheme="minorHAnsi"/>
          <w:color w:val="000000" w:themeColor="text1"/>
          <w:sz w:val="22"/>
          <w:szCs w:val="22"/>
          <w:lang w:val="en-GB"/>
        </w:rPr>
        <w:t xml:space="preserve">It can follow </w:t>
      </w:r>
      <w:r w:rsidR="00156E7E">
        <w:rPr>
          <w:rFonts w:asciiTheme="minorHAnsi" w:eastAsia="Arial" w:hAnsiTheme="minorHAnsi" w:cstheme="minorHAnsi"/>
          <w:color w:val="000000" w:themeColor="text1"/>
          <w:sz w:val="22"/>
          <w:szCs w:val="22"/>
          <w:lang w:val="en-GB"/>
        </w:rPr>
        <w:t xml:space="preserve">the </w:t>
      </w:r>
      <w:r w:rsidR="00032C3C">
        <w:rPr>
          <w:rFonts w:asciiTheme="minorHAnsi" w:eastAsia="Arial" w:hAnsiTheme="minorHAnsi" w:cstheme="minorHAnsi"/>
          <w:color w:val="000000" w:themeColor="text1"/>
          <w:sz w:val="22"/>
          <w:szCs w:val="22"/>
          <w:lang w:val="en-GB"/>
        </w:rPr>
        <w:t>e</w:t>
      </w:r>
      <w:r w:rsidR="00D17254" w:rsidRPr="00C37A4D">
        <w:rPr>
          <w:rFonts w:asciiTheme="minorHAnsi" w:eastAsia="Arial" w:hAnsiTheme="minorHAnsi" w:cstheme="minorHAnsi"/>
          <w:color w:val="000000" w:themeColor="text1"/>
          <w:sz w:val="22"/>
          <w:szCs w:val="22"/>
          <w:lang w:val="en-GB"/>
        </w:rPr>
        <w:t>volution of novel resistan</w:t>
      </w:r>
      <w:r w:rsidR="00032C3C">
        <w:rPr>
          <w:rFonts w:asciiTheme="minorHAnsi" w:eastAsia="Arial" w:hAnsiTheme="minorHAnsi" w:cstheme="minorHAnsi"/>
          <w:color w:val="000000" w:themeColor="text1"/>
          <w:sz w:val="22"/>
          <w:szCs w:val="22"/>
          <w:lang w:val="en-GB"/>
        </w:rPr>
        <w:t>ce</w:t>
      </w:r>
      <w:r w:rsidR="00D17254" w:rsidRPr="00C37A4D">
        <w:rPr>
          <w:rFonts w:asciiTheme="minorHAnsi" w:eastAsia="Arial" w:hAnsiTheme="minorHAnsi" w:cstheme="minorHAnsi"/>
          <w:color w:val="000000" w:themeColor="text1"/>
          <w:sz w:val="22"/>
          <w:szCs w:val="22"/>
          <w:lang w:val="en-GB"/>
        </w:rPr>
        <w:t xml:space="preserve"> mechanisms</w:t>
      </w:r>
      <w:r w:rsidR="004709DC" w:rsidRPr="00C37A4D">
        <w:rPr>
          <w:rFonts w:asciiTheme="minorHAnsi" w:eastAsia="Arial" w:hAnsiTheme="minorHAnsi" w:cstheme="minorHAnsi"/>
          <w:color w:val="000000" w:themeColor="text1"/>
          <w:sz w:val="22"/>
          <w:szCs w:val="22"/>
          <w:lang w:val="en-GB"/>
        </w:rPr>
        <w:t xml:space="preserve"> and dangerous resistant clones.</w:t>
      </w:r>
      <w:r w:rsidR="0047001E" w:rsidRPr="00C37A4D">
        <w:rPr>
          <w:rFonts w:asciiTheme="minorHAnsi" w:eastAsia="Arial" w:hAnsiTheme="minorHAnsi" w:cstheme="minorHAnsi"/>
          <w:color w:val="000000" w:themeColor="text1"/>
          <w:sz w:val="22"/>
          <w:szCs w:val="22"/>
          <w:lang w:val="en-GB"/>
        </w:rPr>
        <w:t xml:space="preserve"> </w:t>
      </w:r>
      <w:r w:rsidR="004709DC" w:rsidRPr="00C37A4D">
        <w:rPr>
          <w:rFonts w:asciiTheme="minorHAnsi" w:eastAsia="Arial" w:hAnsiTheme="minorHAnsi" w:cstheme="minorHAnsi"/>
          <w:color w:val="000000" w:themeColor="text1"/>
          <w:sz w:val="22"/>
          <w:szCs w:val="22"/>
          <w:lang w:val="en-GB"/>
        </w:rPr>
        <w:t xml:space="preserve">In 2016, </w:t>
      </w:r>
      <w:r w:rsidR="00517C84" w:rsidRPr="00C37A4D">
        <w:rPr>
          <w:rFonts w:asciiTheme="minorHAnsi" w:eastAsia="Arial" w:hAnsiTheme="minorHAnsi" w:cstheme="minorHAnsi"/>
          <w:color w:val="000000" w:themeColor="text1"/>
          <w:sz w:val="22"/>
          <w:szCs w:val="22"/>
          <w:lang w:val="en-GB"/>
        </w:rPr>
        <w:t xml:space="preserve">for example, </w:t>
      </w:r>
      <w:r w:rsidR="004709DC" w:rsidRPr="00C37A4D">
        <w:rPr>
          <w:rFonts w:asciiTheme="minorHAnsi" w:eastAsia="Arial" w:hAnsiTheme="minorHAnsi" w:cstheme="minorHAnsi"/>
          <w:color w:val="000000" w:themeColor="text1"/>
          <w:sz w:val="22"/>
          <w:szCs w:val="22"/>
          <w:lang w:val="en-GB"/>
        </w:rPr>
        <w:t xml:space="preserve">a </w:t>
      </w:r>
      <w:r w:rsidR="004709DC" w:rsidRPr="00C37A4D">
        <w:rPr>
          <w:rFonts w:asciiTheme="minorHAnsi" w:eastAsia="Arial" w:hAnsiTheme="minorHAnsi" w:cstheme="minorHAnsi"/>
          <w:color w:val="000000" w:themeColor="text1"/>
          <w:sz w:val="22"/>
          <w:szCs w:val="22"/>
          <w:lang w:val="en-GB"/>
        </w:rPr>
        <w:lastRenderedPageBreak/>
        <w:t xml:space="preserve">new family of mobile colistin resistance genes, </w:t>
      </w:r>
      <w:proofErr w:type="spellStart"/>
      <w:r w:rsidR="004709DC" w:rsidRPr="00C37A4D">
        <w:rPr>
          <w:rFonts w:asciiTheme="minorHAnsi" w:eastAsia="Arial" w:hAnsiTheme="minorHAnsi" w:cstheme="minorHAnsi"/>
          <w:i/>
          <w:iCs/>
          <w:color w:val="000000" w:themeColor="text1"/>
          <w:sz w:val="22"/>
          <w:szCs w:val="22"/>
          <w:lang w:val="en-GB"/>
        </w:rPr>
        <w:t>mcr</w:t>
      </w:r>
      <w:proofErr w:type="spellEnd"/>
      <w:r w:rsidR="00D17254" w:rsidRPr="00C37A4D">
        <w:rPr>
          <w:rFonts w:asciiTheme="minorHAnsi" w:eastAsia="Arial" w:hAnsiTheme="minorHAnsi" w:cstheme="minorHAnsi"/>
          <w:i/>
          <w:iCs/>
          <w:color w:val="000000" w:themeColor="text1"/>
          <w:sz w:val="22"/>
          <w:szCs w:val="22"/>
          <w:lang w:val="en-GB"/>
        </w:rPr>
        <w:t>,</w:t>
      </w:r>
      <w:r w:rsidR="004709DC" w:rsidRPr="00C37A4D">
        <w:rPr>
          <w:rFonts w:asciiTheme="minorHAnsi" w:eastAsia="Arial" w:hAnsiTheme="minorHAnsi" w:cstheme="minorHAnsi"/>
          <w:color w:val="000000" w:themeColor="text1"/>
          <w:sz w:val="22"/>
          <w:szCs w:val="22"/>
          <w:lang w:val="en-GB"/>
        </w:rPr>
        <w:t xml:space="preserve"> was </w:t>
      </w:r>
      <w:r w:rsidR="002D4FCD">
        <w:rPr>
          <w:rFonts w:asciiTheme="minorHAnsi" w:eastAsia="Arial" w:hAnsiTheme="minorHAnsi" w:cstheme="minorHAnsi"/>
          <w:color w:val="000000" w:themeColor="text1"/>
          <w:sz w:val="22"/>
          <w:szCs w:val="22"/>
          <w:lang w:val="en-GB"/>
        </w:rPr>
        <w:t xml:space="preserve">observed </w:t>
      </w:r>
      <w:r w:rsidR="003A436C" w:rsidRPr="00C37A4D">
        <w:rPr>
          <w:rFonts w:asciiTheme="minorHAnsi" w:eastAsia="Arial" w:hAnsiTheme="minorHAnsi" w:cstheme="minorHAnsi"/>
          <w:color w:val="000000" w:themeColor="text1"/>
          <w:sz w:val="22"/>
          <w:szCs w:val="22"/>
          <w:lang w:val="en-GB"/>
        </w:rPr>
        <w:t>during routine surveillance,</w:t>
      </w:r>
      <w:r w:rsidR="004709DC" w:rsidRPr="00C37A4D">
        <w:rPr>
          <w:rFonts w:asciiTheme="minorHAnsi" w:eastAsia="Arial" w:hAnsiTheme="minorHAnsi" w:cstheme="minorHAnsi"/>
          <w:color w:val="000000" w:themeColor="text1"/>
          <w:sz w:val="22"/>
          <w:szCs w:val="22"/>
          <w:lang w:val="en-GB"/>
        </w:rPr>
        <w:t xml:space="preserve"> of an unusual increase in colistin resistance in China</w:t>
      </w:r>
      <w:r w:rsidR="00910E7D" w:rsidRPr="00C37A4D">
        <w:rPr>
          <w:rFonts w:asciiTheme="minorHAnsi" w:eastAsia="Arial" w:hAnsiTheme="minorHAnsi" w:cstheme="minorHAnsi"/>
          <w:color w:val="000000" w:themeColor="text1"/>
          <w:sz w:val="22"/>
          <w:szCs w:val="22"/>
          <w:lang w:val="en-GB"/>
        </w:rPr>
        <w:t>.</w:t>
      </w:r>
      <w:r w:rsidR="00150C06" w:rsidRPr="00150C06">
        <w:rPr>
          <w:rFonts w:hAnsiTheme="minorHAnsi"/>
          <w:color w:val="000000"/>
          <w:sz w:val="22"/>
          <w:vertAlign w:val="superscript"/>
        </w:rPr>
        <w:t>172</w:t>
      </w:r>
      <w:r w:rsidR="004709DC" w:rsidRPr="00C37A4D">
        <w:rPr>
          <w:rFonts w:asciiTheme="minorHAnsi" w:eastAsia="Arial" w:hAnsiTheme="minorHAnsi" w:cstheme="minorHAnsi"/>
          <w:color w:val="000000" w:themeColor="text1"/>
          <w:sz w:val="22"/>
          <w:szCs w:val="22"/>
          <w:lang w:val="en-GB"/>
        </w:rPr>
        <w:t xml:space="preserve"> Surveillance data can </w:t>
      </w:r>
      <w:r w:rsidR="00032C3C">
        <w:rPr>
          <w:rFonts w:asciiTheme="minorHAnsi" w:eastAsia="Arial" w:hAnsiTheme="minorHAnsi" w:cstheme="minorHAnsi"/>
          <w:color w:val="000000" w:themeColor="text1"/>
          <w:sz w:val="22"/>
          <w:szCs w:val="22"/>
          <w:lang w:val="en-GB"/>
        </w:rPr>
        <w:t>inform</w:t>
      </w:r>
      <w:r w:rsidR="004709DC" w:rsidRPr="00C37A4D">
        <w:rPr>
          <w:rFonts w:asciiTheme="minorHAnsi" w:eastAsia="Arial" w:hAnsiTheme="minorHAnsi" w:cstheme="minorHAnsi"/>
          <w:color w:val="000000" w:themeColor="text1"/>
          <w:sz w:val="22"/>
          <w:szCs w:val="22"/>
          <w:lang w:val="en-GB"/>
        </w:rPr>
        <w:t xml:space="preserve"> policies </w:t>
      </w:r>
      <w:r w:rsidR="00032C3C">
        <w:rPr>
          <w:rFonts w:asciiTheme="minorHAnsi" w:eastAsia="Arial" w:hAnsiTheme="minorHAnsi" w:cstheme="minorHAnsi"/>
          <w:color w:val="000000" w:themeColor="text1"/>
          <w:sz w:val="22"/>
          <w:szCs w:val="22"/>
          <w:lang w:val="en-GB"/>
        </w:rPr>
        <w:t>for</w:t>
      </w:r>
      <w:r w:rsidR="00032C3C" w:rsidRPr="00C37A4D">
        <w:rPr>
          <w:rFonts w:asciiTheme="minorHAnsi" w:eastAsia="Arial" w:hAnsiTheme="minorHAnsi" w:cstheme="minorHAnsi"/>
          <w:color w:val="000000" w:themeColor="text1"/>
          <w:sz w:val="22"/>
          <w:szCs w:val="22"/>
          <w:lang w:val="en-GB"/>
        </w:rPr>
        <w:t xml:space="preserve"> </w:t>
      </w:r>
      <w:r w:rsidR="004709DC" w:rsidRPr="00C37A4D">
        <w:rPr>
          <w:rFonts w:asciiTheme="minorHAnsi" w:eastAsia="Arial" w:hAnsiTheme="minorHAnsi" w:cstheme="minorHAnsi"/>
          <w:color w:val="000000" w:themeColor="text1"/>
          <w:sz w:val="22"/>
          <w:szCs w:val="22"/>
          <w:lang w:val="en-GB"/>
        </w:rPr>
        <w:t xml:space="preserve">infection prevention and control </w:t>
      </w:r>
      <w:r w:rsidR="00032C3C">
        <w:rPr>
          <w:rFonts w:asciiTheme="minorHAnsi" w:eastAsia="Arial" w:hAnsiTheme="minorHAnsi" w:cstheme="minorHAnsi"/>
          <w:color w:val="000000" w:themeColor="text1"/>
          <w:sz w:val="22"/>
          <w:szCs w:val="22"/>
          <w:lang w:val="en-GB"/>
        </w:rPr>
        <w:t>and for</w:t>
      </w:r>
      <w:r w:rsidR="004709DC" w:rsidRPr="00C37A4D">
        <w:rPr>
          <w:rFonts w:asciiTheme="minorHAnsi" w:eastAsia="Arial" w:hAnsiTheme="minorHAnsi" w:cstheme="minorHAnsi"/>
          <w:color w:val="000000" w:themeColor="text1"/>
          <w:sz w:val="22"/>
          <w:szCs w:val="22"/>
          <w:lang w:val="en-GB"/>
        </w:rPr>
        <w:t xml:space="preserve"> antibiotic stewardship. Once interventions are implemented, surveillance can help evaluate their effectiveness prospectively</w:t>
      </w:r>
      <w:r w:rsidR="00910E7D" w:rsidRPr="00C37A4D">
        <w:rPr>
          <w:rFonts w:asciiTheme="minorHAnsi" w:eastAsia="Arial" w:hAnsiTheme="minorHAnsi" w:cstheme="minorHAnsi"/>
          <w:color w:val="000000" w:themeColor="text1"/>
          <w:sz w:val="22"/>
          <w:szCs w:val="22"/>
          <w:lang w:val="en-GB"/>
        </w:rPr>
        <w:t xml:space="preserve"> </w:t>
      </w:r>
      <w:r w:rsidR="004709DC" w:rsidRPr="00C37A4D">
        <w:rPr>
          <w:rFonts w:asciiTheme="minorHAnsi" w:hAnsiTheme="minorHAnsi" w:cstheme="minorHAnsi"/>
          <w:color w:val="000000" w:themeColor="text1"/>
          <w:sz w:val="22"/>
          <w:szCs w:val="22"/>
          <w:lang w:val="en-GB"/>
        </w:rPr>
        <w:t>(</w:t>
      </w:r>
      <w:r w:rsidR="00706ED7" w:rsidRPr="00C37A4D">
        <w:rPr>
          <w:rFonts w:asciiTheme="minorHAnsi" w:hAnsiTheme="minorHAnsi" w:cstheme="minorHAnsi"/>
          <w:color w:val="000000" w:themeColor="text1"/>
          <w:sz w:val="22"/>
          <w:szCs w:val="22"/>
          <w:lang w:val="en-GB"/>
        </w:rPr>
        <w:t xml:space="preserve">see </w:t>
      </w:r>
      <w:r w:rsidR="002D4FCD">
        <w:rPr>
          <w:rFonts w:asciiTheme="minorHAnsi" w:hAnsiTheme="minorHAnsi" w:cstheme="minorHAnsi"/>
          <w:color w:val="000000" w:themeColor="text1"/>
          <w:sz w:val="22"/>
          <w:szCs w:val="22"/>
          <w:lang w:val="en-GB"/>
        </w:rPr>
        <w:t>Paper 2</w:t>
      </w:r>
      <w:r w:rsidR="00150C06" w:rsidRPr="00150C06">
        <w:rPr>
          <w:rFonts w:hAnsiTheme="minorHAnsi"/>
          <w:color w:val="000000"/>
          <w:sz w:val="22"/>
          <w:vertAlign w:val="superscript"/>
        </w:rPr>
        <w:t>43</w:t>
      </w:r>
      <w:r w:rsidR="004709DC" w:rsidRPr="00C37A4D">
        <w:rPr>
          <w:rFonts w:asciiTheme="minorHAnsi" w:hAnsiTheme="minorHAnsi" w:cstheme="minorHAnsi"/>
          <w:color w:val="000000" w:themeColor="text1"/>
          <w:sz w:val="22"/>
          <w:szCs w:val="22"/>
          <w:lang w:val="en-GB"/>
        </w:rPr>
        <w:t>)</w:t>
      </w:r>
      <w:r w:rsidR="004709DC" w:rsidRPr="00C37A4D">
        <w:rPr>
          <w:rFonts w:asciiTheme="minorHAnsi" w:eastAsia="Arial" w:hAnsiTheme="minorHAnsi" w:cstheme="minorHAnsi"/>
          <w:color w:val="000000" w:themeColor="text1"/>
          <w:sz w:val="22"/>
          <w:szCs w:val="22"/>
          <w:lang w:val="en-GB"/>
        </w:rPr>
        <w:t xml:space="preserve">. </w:t>
      </w:r>
      <w:r w:rsidR="00032C3C">
        <w:rPr>
          <w:rFonts w:asciiTheme="minorHAnsi" w:eastAsia="Arial" w:hAnsiTheme="minorHAnsi" w:cstheme="minorHAnsi"/>
          <w:color w:val="000000" w:themeColor="text1"/>
          <w:sz w:val="22"/>
          <w:szCs w:val="22"/>
          <w:lang w:val="en-GB"/>
        </w:rPr>
        <w:t>It</w:t>
      </w:r>
      <w:r w:rsidR="00032C3C" w:rsidRPr="00C37A4D">
        <w:rPr>
          <w:rFonts w:asciiTheme="minorHAnsi" w:eastAsia="Arial" w:hAnsiTheme="minorHAnsi" w:cstheme="minorHAnsi"/>
          <w:color w:val="000000" w:themeColor="text1"/>
          <w:sz w:val="22"/>
          <w:szCs w:val="22"/>
          <w:lang w:val="en-GB"/>
        </w:rPr>
        <w:t xml:space="preserve"> </w:t>
      </w:r>
      <w:r w:rsidR="004709DC" w:rsidRPr="00C37A4D">
        <w:rPr>
          <w:rFonts w:asciiTheme="minorHAnsi" w:eastAsia="Arial" w:hAnsiTheme="minorHAnsi" w:cstheme="minorHAnsi"/>
          <w:color w:val="000000" w:themeColor="text1"/>
          <w:sz w:val="22"/>
          <w:szCs w:val="22"/>
          <w:lang w:val="en-GB"/>
        </w:rPr>
        <w:t xml:space="preserve">aids in </w:t>
      </w:r>
      <w:r w:rsidR="003A436C" w:rsidRPr="00C37A4D">
        <w:rPr>
          <w:rFonts w:asciiTheme="minorHAnsi" w:eastAsia="Arial" w:hAnsiTheme="minorHAnsi" w:cstheme="minorHAnsi"/>
          <w:color w:val="000000" w:themeColor="text1"/>
          <w:sz w:val="22"/>
          <w:szCs w:val="22"/>
          <w:lang w:val="en-GB"/>
        </w:rPr>
        <w:t>assessing the risk and</w:t>
      </w:r>
      <w:r w:rsidR="004709DC" w:rsidRPr="00C37A4D">
        <w:rPr>
          <w:rFonts w:asciiTheme="minorHAnsi" w:eastAsia="Arial" w:hAnsiTheme="minorHAnsi" w:cstheme="minorHAnsi"/>
          <w:color w:val="000000" w:themeColor="text1"/>
          <w:sz w:val="22"/>
          <w:szCs w:val="22"/>
          <w:lang w:val="en-GB"/>
        </w:rPr>
        <w:t xml:space="preserve"> burden of disease and helps evaluate transmission between One Health reservoirs of antibiotic resistance. </w:t>
      </w:r>
      <w:r w:rsidR="00156E7E">
        <w:rPr>
          <w:rFonts w:asciiTheme="minorHAnsi" w:eastAsia="Arial" w:hAnsiTheme="minorHAnsi" w:cstheme="minorHAnsi"/>
          <w:color w:val="000000" w:themeColor="text1"/>
          <w:sz w:val="22"/>
          <w:szCs w:val="22"/>
          <w:lang w:val="en-GB"/>
        </w:rPr>
        <w:t>And</w:t>
      </w:r>
      <w:r w:rsidR="004709DC" w:rsidRPr="00C37A4D">
        <w:rPr>
          <w:rFonts w:asciiTheme="minorHAnsi" w:eastAsia="Arial" w:hAnsiTheme="minorHAnsi" w:cstheme="minorHAnsi"/>
          <w:color w:val="000000" w:themeColor="text1"/>
          <w:sz w:val="22"/>
          <w:szCs w:val="22"/>
          <w:lang w:val="en-GB"/>
        </w:rPr>
        <w:t xml:space="preserve"> </w:t>
      </w:r>
      <w:r w:rsidR="00032C3C">
        <w:rPr>
          <w:rFonts w:asciiTheme="minorHAnsi" w:eastAsia="Arial" w:hAnsiTheme="minorHAnsi" w:cstheme="minorHAnsi"/>
          <w:color w:val="000000" w:themeColor="text1"/>
          <w:sz w:val="22"/>
          <w:szCs w:val="22"/>
          <w:lang w:val="en-GB"/>
        </w:rPr>
        <w:t>it</w:t>
      </w:r>
      <w:r w:rsidR="003A436C" w:rsidRPr="00C37A4D">
        <w:rPr>
          <w:rFonts w:asciiTheme="minorHAnsi" w:eastAsia="Arial" w:hAnsiTheme="minorHAnsi" w:cstheme="minorHAnsi"/>
          <w:color w:val="000000" w:themeColor="text1"/>
          <w:sz w:val="22"/>
          <w:szCs w:val="22"/>
          <w:lang w:val="en-GB"/>
        </w:rPr>
        <w:t xml:space="preserve"> </w:t>
      </w:r>
      <w:r w:rsidR="004709DC" w:rsidRPr="00C37A4D">
        <w:rPr>
          <w:rFonts w:asciiTheme="minorHAnsi" w:eastAsia="Arial" w:hAnsiTheme="minorHAnsi" w:cstheme="minorHAnsi"/>
          <w:color w:val="000000" w:themeColor="text1"/>
          <w:sz w:val="22"/>
          <w:szCs w:val="22"/>
          <w:lang w:val="en-GB"/>
        </w:rPr>
        <w:t xml:space="preserve">can be used to </w:t>
      </w:r>
      <w:r w:rsidR="00032C3C">
        <w:rPr>
          <w:rFonts w:asciiTheme="minorHAnsi" w:eastAsia="Arial" w:hAnsiTheme="minorHAnsi" w:cstheme="minorHAnsi"/>
          <w:color w:val="000000" w:themeColor="text1"/>
          <w:sz w:val="22"/>
          <w:szCs w:val="22"/>
          <w:lang w:val="en-GB"/>
        </w:rPr>
        <w:t>heighten</w:t>
      </w:r>
      <w:r w:rsidR="00032C3C" w:rsidRPr="00C37A4D">
        <w:rPr>
          <w:rFonts w:asciiTheme="minorHAnsi" w:eastAsia="Arial" w:hAnsiTheme="minorHAnsi" w:cstheme="minorHAnsi"/>
          <w:color w:val="000000" w:themeColor="text1"/>
          <w:sz w:val="22"/>
          <w:szCs w:val="22"/>
          <w:lang w:val="en-GB"/>
        </w:rPr>
        <w:t xml:space="preserve"> </w:t>
      </w:r>
      <w:r w:rsidR="004709DC" w:rsidRPr="00C37A4D">
        <w:rPr>
          <w:rFonts w:asciiTheme="minorHAnsi" w:eastAsia="Arial" w:hAnsiTheme="minorHAnsi" w:cstheme="minorHAnsi"/>
          <w:color w:val="000000" w:themeColor="text1"/>
          <w:sz w:val="22"/>
          <w:szCs w:val="22"/>
          <w:lang w:val="en-GB"/>
        </w:rPr>
        <w:t>awareness among health professionals, policymakers</w:t>
      </w:r>
      <w:r w:rsidR="003A436C" w:rsidRPr="00C37A4D">
        <w:rPr>
          <w:rFonts w:asciiTheme="minorHAnsi" w:eastAsia="Arial" w:hAnsiTheme="minorHAnsi" w:cstheme="minorHAnsi"/>
          <w:color w:val="000000" w:themeColor="text1"/>
          <w:sz w:val="22"/>
          <w:szCs w:val="22"/>
          <w:lang w:val="en-GB"/>
        </w:rPr>
        <w:t>,</w:t>
      </w:r>
      <w:r w:rsidR="004709DC" w:rsidRPr="00C37A4D">
        <w:rPr>
          <w:rFonts w:asciiTheme="minorHAnsi" w:eastAsia="Arial" w:hAnsiTheme="minorHAnsi" w:cstheme="minorHAnsi"/>
          <w:color w:val="000000" w:themeColor="text1"/>
          <w:sz w:val="22"/>
          <w:szCs w:val="22"/>
          <w:lang w:val="en-GB"/>
        </w:rPr>
        <w:t xml:space="preserve"> and the </w:t>
      </w:r>
      <w:proofErr w:type="gramStart"/>
      <w:r w:rsidR="004709DC" w:rsidRPr="00C37A4D">
        <w:rPr>
          <w:rFonts w:asciiTheme="minorHAnsi" w:eastAsia="Arial" w:hAnsiTheme="minorHAnsi" w:cstheme="minorHAnsi"/>
          <w:color w:val="000000" w:themeColor="text1"/>
          <w:sz w:val="22"/>
          <w:szCs w:val="22"/>
          <w:lang w:val="en-GB"/>
        </w:rPr>
        <w:t>general public</w:t>
      </w:r>
      <w:proofErr w:type="gramEnd"/>
      <w:r w:rsidR="004709DC" w:rsidRPr="00C37A4D">
        <w:rPr>
          <w:rFonts w:asciiTheme="minorHAnsi" w:eastAsia="Arial" w:hAnsiTheme="minorHAnsi" w:cstheme="minorHAnsi"/>
          <w:color w:val="000000" w:themeColor="text1"/>
          <w:sz w:val="22"/>
          <w:szCs w:val="22"/>
          <w:lang w:val="en-GB"/>
        </w:rPr>
        <w:t>.</w:t>
      </w:r>
      <w:r w:rsidR="0047001E" w:rsidRPr="00C37A4D">
        <w:rPr>
          <w:rFonts w:asciiTheme="minorHAnsi" w:eastAsia="Arial" w:hAnsiTheme="minorHAnsi" w:cstheme="minorHAnsi"/>
          <w:color w:val="000000" w:themeColor="text1"/>
          <w:sz w:val="22"/>
          <w:szCs w:val="22"/>
          <w:lang w:val="en-GB"/>
        </w:rPr>
        <w:t xml:space="preserve"> </w:t>
      </w:r>
      <w:r w:rsidR="00F047D6">
        <w:rPr>
          <w:rFonts w:asciiTheme="minorHAnsi" w:eastAsia="Arial" w:hAnsiTheme="minorHAnsi" w:cstheme="minorHAnsi"/>
          <w:color w:val="000000" w:themeColor="text1"/>
          <w:sz w:val="22"/>
          <w:szCs w:val="22"/>
          <w:lang w:val="en-GB"/>
        </w:rPr>
        <w:t>Moda</w:t>
      </w:r>
      <w:r w:rsidR="00032C3C">
        <w:rPr>
          <w:rFonts w:asciiTheme="minorHAnsi" w:eastAsia="Arial" w:hAnsiTheme="minorHAnsi" w:cstheme="minorHAnsi"/>
          <w:color w:val="000000" w:themeColor="text1"/>
          <w:sz w:val="22"/>
          <w:szCs w:val="22"/>
          <w:lang w:val="en-GB"/>
        </w:rPr>
        <w:t>l</w:t>
      </w:r>
      <w:r w:rsidR="00F047D6">
        <w:rPr>
          <w:rFonts w:asciiTheme="minorHAnsi" w:eastAsia="Arial" w:hAnsiTheme="minorHAnsi" w:cstheme="minorHAnsi"/>
          <w:color w:val="000000" w:themeColor="text1"/>
          <w:sz w:val="22"/>
          <w:szCs w:val="22"/>
          <w:lang w:val="en-GB"/>
        </w:rPr>
        <w:t xml:space="preserve">ities for surveillance </w:t>
      </w:r>
      <w:r w:rsidR="00CC795E">
        <w:rPr>
          <w:rFonts w:asciiTheme="minorHAnsi" w:eastAsia="Arial" w:hAnsiTheme="minorHAnsi" w:cstheme="minorHAnsi"/>
          <w:color w:val="000000" w:themeColor="text1"/>
          <w:sz w:val="22"/>
          <w:szCs w:val="22"/>
          <w:lang w:val="en-GB"/>
        </w:rPr>
        <w:t>can and should</w:t>
      </w:r>
      <w:r w:rsidR="00F047D6">
        <w:rPr>
          <w:rFonts w:asciiTheme="minorHAnsi" w:eastAsia="Arial" w:hAnsiTheme="minorHAnsi" w:cstheme="minorHAnsi"/>
          <w:color w:val="000000" w:themeColor="text1"/>
          <w:sz w:val="22"/>
          <w:szCs w:val="22"/>
          <w:lang w:val="en-GB"/>
        </w:rPr>
        <w:t xml:space="preserve"> leveraged </w:t>
      </w:r>
      <w:r w:rsidR="00CC795E">
        <w:rPr>
          <w:rFonts w:asciiTheme="minorHAnsi" w:eastAsia="Arial" w:hAnsiTheme="minorHAnsi" w:cstheme="minorHAnsi"/>
          <w:color w:val="000000" w:themeColor="text1"/>
          <w:sz w:val="22"/>
          <w:szCs w:val="22"/>
          <w:lang w:val="en-GB"/>
        </w:rPr>
        <w:t>existing systems and program</w:t>
      </w:r>
      <w:r w:rsidR="002D4FCD">
        <w:rPr>
          <w:rFonts w:asciiTheme="minorHAnsi" w:eastAsia="Arial" w:hAnsiTheme="minorHAnsi" w:cstheme="minorHAnsi"/>
          <w:color w:val="000000" w:themeColor="text1"/>
          <w:sz w:val="22"/>
          <w:szCs w:val="22"/>
          <w:lang w:val="en-GB"/>
        </w:rPr>
        <w:t>me</w:t>
      </w:r>
      <w:r w:rsidR="00CC795E">
        <w:rPr>
          <w:rFonts w:asciiTheme="minorHAnsi" w:eastAsia="Arial" w:hAnsiTheme="minorHAnsi" w:cstheme="minorHAnsi"/>
          <w:color w:val="000000" w:themeColor="text1"/>
          <w:sz w:val="22"/>
          <w:szCs w:val="22"/>
          <w:lang w:val="en-GB"/>
        </w:rPr>
        <w:t xml:space="preserve">s where possible </w:t>
      </w:r>
      <w:r w:rsidR="00F047D6">
        <w:rPr>
          <w:rFonts w:asciiTheme="minorHAnsi" w:eastAsia="Arial" w:hAnsiTheme="minorHAnsi" w:cstheme="minorHAnsi"/>
          <w:color w:val="000000" w:themeColor="text1"/>
          <w:sz w:val="22"/>
          <w:szCs w:val="22"/>
          <w:lang w:val="en-GB"/>
        </w:rPr>
        <w:t>to provide information</w:t>
      </w:r>
      <w:r w:rsidR="00CC795E">
        <w:rPr>
          <w:rFonts w:asciiTheme="minorHAnsi" w:eastAsia="Arial" w:hAnsiTheme="minorHAnsi" w:cstheme="minorHAnsi"/>
          <w:color w:val="000000" w:themeColor="text1"/>
          <w:sz w:val="22"/>
          <w:szCs w:val="22"/>
          <w:lang w:val="en-GB"/>
        </w:rPr>
        <w:t xml:space="preserve"> at low cost</w:t>
      </w:r>
      <w:r w:rsidR="00F047D6">
        <w:rPr>
          <w:rFonts w:asciiTheme="minorHAnsi" w:eastAsia="Arial" w:hAnsiTheme="minorHAnsi" w:cstheme="minorHAnsi"/>
          <w:color w:val="000000" w:themeColor="text1"/>
          <w:sz w:val="22"/>
          <w:szCs w:val="22"/>
          <w:lang w:val="en-GB"/>
        </w:rPr>
        <w:t xml:space="preserve"> (</w:t>
      </w:r>
      <w:r w:rsidR="00F047D6" w:rsidRPr="00B2494A">
        <w:rPr>
          <w:rFonts w:asciiTheme="minorHAnsi" w:eastAsia="Arial" w:hAnsiTheme="minorHAnsi" w:cstheme="minorHAnsi"/>
          <w:b/>
          <w:bCs/>
          <w:color w:val="000000" w:themeColor="text1"/>
          <w:sz w:val="22"/>
          <w:szCs w:val="22"/>
          <w:lang w:val="en-GB"/>
        </w:rPr>
        <w:t xml:space="preserve">Panel </w:t>
      </w:r>
      <w:r w:rsidR="00B57102">
        <w:rPr>
          <w:rFonts w:asciiTheme="minorHAnsi" w:eastAsia="Arial" w:hAnsiTheme="minorHAnsi" w:cstheme="minorHAnsi"/>
          <w:b/>
          <w:bCs/>
          <w:color w:val="000000" w:themeColor="text1"/>
          <w:sz w:val="22"/>
          <w:szCs w:val="22"/>
          <w:lang w:val="en-GB"/>
        </w:rPr>
        <w:t>5</w:t>
      </w:r>
      <w:r w:rsidR="00F047D6">
        <w:rPr>
          <w:rFonts w:asciiTheme="minorHAnsi" w:eastAsia="Arial" w:hAnsiTheme="minorHAnsi" w:cstheme="minorHAnsi"/>
          <w:color w:val="000000" w:themeColor="text1"/>
          <w:sz w:val="22"/>
          <w:szCs w:val="22"/>
          <w:lang w:val="en-GB"/>
        </w:rPr>
        <w:t>)</w:t>
      </w:r>
      <w:r w:rsidR="00156E7E">
        <w:rPr>
          <w:rFonts w:asciiTheme="minorHAnsi" w:eastAsia="Arial" w:hAnsiTheme="minorHAnsi" w:cstheme="minorHAnsi"/>
          <w:color w:val="000000" w:themeColor="text1"/>
          <w:sz w:val="22"/>
          <w:szCs w:val="22"/>
          <w:lang w:val="en-GB"/>
        </w:rPr>
        <w:t>.</w:t>
      </w:r>
    </w:p>
    <w:p w14:paraId="18EB96D2" w14:textId="77777777" w:rsidR="008C1B62" w:rsidRPr="00C37A4D" w:rsidRDefault="008C1B62" w:rsidP="008C1B62">
      <w:pPr>
        <w:pBdr>
          <w:top w:val="nil"/>
          <w:left w:val="nil"/>
          <w:bottom w:val="nil"/>
          <w:right w:val="nil"/>
          <w:between w:val="nil"/>
        </w:pBdr>
        <w:rPr>
          <w:rFonts w:asciiTheme="minorHAnsi" w:eastAsia="Arial" w:hAnsiTheme="minorHAnsi" w:cstheme="minorHAnsi"/>
          <w:color w:val="000000" w:themeColor="text1"/>
          <w:sz w:val="22"/>
          <w:szCs w:val="22"/>
          <w:lang w:val="en-GB"/>
        </w:rPr>
      </w:pPr>
    </w:p>
    <w:p w14:paraId="68E96CC5" w14:textId="272BB9A9" w:rsidR="00881850" w:rsidRDefault="00056E66" w:rsidP="00881850">
      <w:pPr>
        <w:rPr>
          <w:color w:val="000000" w:themeColor="text1"/>
          <w:sz w:val="22"/>
          <w:szCs w:val="22"/>
          <w:lang w:val="en-GB"/>
        </w:rPr>
      </w:pPr>
      <w:r>
        <w:rPr>
          <w:rFonts w:asciiTheme="minorHAnsi" w:hAnsiTheme="minorHAnsi" w:cstheme="minorHAnsi"/>
          <w:color w:val="000000" w:themeColor="text1"/>
          <w:sz w:val="22"/>
          <w:szCs w:val="22"/>
          <w:lang w:val="en-GB" w:eastAsia="ko-KR"/>
        </w:rPr>
        <w:t>S</w:t>
      </w:r>
      <w:r w:rsidR="008C1B62" w:rsidRPr="00C37A4D">
        <w:rPr>
          <w:rFonts w:asciiTheme="minorHAnsi" w:hAnsiTheme="minorHAnsi" w:cstheme="minorHAnsi"/>
          <w:color w:val="000000" w:themeColor="text1"/>
          <w:sz w:val="22"/>
          <w:szCs w:val="22"/>
          <w:lang w:val="en-GB" w:eastAsia="ko-KR"/>
        </w:rPr>
        <w:t xml:space="preserve">ome parts of the world </w:t>
      </w:r>
      <w:r>
        <w:rPr>
          <w:rFonts w:asciiTheme="minorHAnsi" w:hAnsiTheme="minorHAnsi" w:cstheme="minorHAnsi"/>
          <w:color w:val="000000" w:themeColor="text1"/>
          <w:sz w:val="22"/>
          <w:szCs w:val="22"/>
          <w:lang w:val="en-GB" w:eastAsia="ko-KR"/>
        </w:rPr>
        <w:t xml:space="preserve">do not conduct </w:t>
      </w:r>
      <w:r w:rsidR="008C1B62" w:rsidRPr="00C37A4D">
        <w:rPr>
          <w:rFonts w:asciiTheme="minorHAnsi" w:hAnsiTheme="minorHAnsi" w:cstheme="minorHAnsi"/>
          <w:color w:val="000000" w:themeColor="text1"/>
          <w:sz w:val="22"/>
          <w:szCs w:val="22"/>
          <w:lang w:val="en-GB" w:eastAsia="ko-KR"/>
        </w:rPr>
        <w:t>enough susceptibility testing. The</w:t>
      </w:r>
      <w:r w:rsidR="00891A02" w:rsidRPr="00C37A4D">
        <w:rPr>
          <w:rFonts w:asciiTheme="minorHAnsi" w:hAnsiTheme="minorHAnsi" w:cstheme="minorHAnsi"/>
          <w:color w:val="000000" w:themeColor="text1"/>
          <w:sz w:val="22"/>
          <w:szCs w:val="22"/>
          <w:lang w:val="en-GB" w:eastAsia="ko-KR"/>
        </w:rPr>
        <w:t xml:space="preserve"> Mapping Antimicrobial Resistance and Antimicrobial Use Partnership</w:t>
      </w:r>
      <w:r w:rsidR="008C1B62" w:rsidRPr="00C37A4D">
        <w:rPr>
          <w:rFonts w:asciiTheme="minorHAnsi" w:hAnsiTheme="minorHAnsi" w:cstheme="minorHAnsi"/>
          <w:color w:val="000000" w:themeColor="text1"/>
          <w:sz w:val="22"/>
          <w:szCs w:val="22"/>
          <w:lang w:val="en-GB" w:eastAsia="ko-KR"/>
        </w:rPr>
        <w:t xml:space="preserve"> </w:t>
      </w:r>
      <w:r w:rsidR="00891A02" w:rsidRPr="00C37A4D">
        <w:rPr>
          <w:rFonts w:asciiTheme="minorHAnsi" w:hAnsiTheme="minorHAnsi" w:cstheme="minorHAnsi"/>
          <w:color w:val="000000" w:themeColor="text1"/>
          <w:sz w:val="22"/>
          <w:szCs w:val="22"/>
          <w:lang w:val="en-GB" w:eastAsia="ko-KR"/>
        </w:rPr>
        <w:t>(</w:t>
      </w:r>
      <w:r w:rsidR="008C1B62" w:rsidRPr="00C37A4D">
        <w:rPr>
          <w:rFonts w:asciiTheme="minorHAnsi" w:hAnsiTheme="minorHAnsi" w:cstheme="minorHAnsi"/>
          <w:color w:val="000000" w:themeColor="text1"/>
          <w:sz w:val="22"/>
          <w:szCs w:val="22"/>
          <w:lang w:val="en-GB" w:eastAsia="ko-KR"/>
        </w:rPr>
        <w:t>MAAP</w:t>
      </w:r>
      <w:r w:rsidR="00891A02" w:rsidRPr="00C37A4D">
        <w:rPr>
          <w:rFonts w:asciiTheme="minorHAnsi" w:hAnsiTheme="minorHAnsi" w:cstheme="minorHAnsi"/>
          <w:color w:val="000000" w:themeColor="text1"/>
          <w:sz w:val="22"/>
          <w:szCs w:val="22"/>
          <w:lang w:val="en-GB" w:eastAsia="ko-KR"/>
        </w:rPr>
        <w:t>)</w:t>
      </w:r>
      <w:r w:rsidR="008C1B62" w:rsidRPr="00C37A4D">
        <w:rPr>
          <w:rFonts w:asciiTheme="minorHAnsi" w:hAnsiTheme="minorHAnsi" w:cstheme="minorHAnsi"/>
          <w:color w:val="000000" w:themeColor="text1"/>
          <w:sz w:val="22"/>
          <w:szCs w:val="22"/>
          <w:lang w:val="en-GB" w:eastAsia="ko-KR"/>
        </w:rPr>
        <w:t xml:space="preserve"> reports that only 1</w:t>
      </w:r>
      <w:r w:rsidR="00766A7F" w:rsidRPr="00C37A4D">
        <w:rPr>
          <w:rFonts w:asciiTheme="minorHAnsi" w:hAnsiTheme="minorHAnsi" w:cstheme="minorHAnsi"/>
          <w:color w:val="000000" w:themeColor="text1"/>
          <w:sz w:val="22"/>
          <w:szCs w:val="22"/>
          <w:lang w:val="en-GB" w:eastAsia="ko-KR"/>
        </w:rPr>
        <w:t>·</w:t>
      </w:r>
      <w:r w:rsidR="008C1B62" w:rsidRPr="00C37A4D">
        <w:rPr>
          <w:rFonts w:asciiTheme="minorHAnsi" w:hAnsiTheme="minorHAnsi" w:cstheme="minorHAnsi"/>
          <w:color w:val="000000" w:themeColor="text1"/>
          <w:sz w:val="22"/>
          <w:szCs w:val="22"/>
          <w:lang w:val="en-GB" w:eastAsia="ko-KR"/>
        </w:rPr>
        <w:t>3</w:t>
      </w:r>
      <w:r w:rsidR="007C6E7A">
        <w:rPr>
          <w:rFonts w:asciiTheme="minorHAnsi" w:hAnsiTheme="minorHAnsi" w:cstheme="minorHAnsi"/>
          <w:color w:val="000000" w:themeColor="text1"/>
          <w:sz w:val="22"/>
          <w:szCs w:val="22"/>
          <w:lang w:val="en-GB" w:eastAsia="ko-KR"/>
        </w:rPr>
        <w:t xml:space="preserve">% </w:t>
      </w:r>
      <w:r w:rsidR="008C1B62" w:rsidRPr="00C37A4D">
        <w:rPr>
          <w:rFonts w:asciiTheme="minorHAnsi" w:hAnsiTheme="minorHAnsi" w:cstheme="minorHAnsi"/>
          <w:color w:val="000000" w:themeColor="text1"/>
          <w:sz w:val="22"/>
          <w:szCs w:val="22"/>
          <w:lang w:val="en-GB" w:eastAsia="ko-KR"/>
        </w:rPr>
        <w:t xml:space="preserve">of </w:t>
      </w:r>
      <w:r w:rsidR="00763608" w:rsidRPr="00C37A4D">
        <w:rPr>
          <w:rFonts w:asciiTheme="minorHAnsi" w:hAnsiTheme="minorHAnsi" w:cstheme="minorHAnsi"/>
          <w:color w:val="000000" w:themeColor="text1"/>
          <w:sz w:val="22"/>
          <w:szCs w:val="22"/>
          <w:lang w:val="en-GB" w:eastAsia="ko-KR"/>
        </w:rPr>
        <w:t xml:space="preserve">diagnostic </w:t>
      </w:r>
      <w:r w:rsidR="008C1B62" w:rsidRPr="00C37A4D">
        <w:rPr>
          <w:rFonts w:asciiTheme="minorHAnsi" w:hAnsiTheme="minorHAnsi" w:cstheme="minorHAnsi"/>
          <w:color w:val="000000" w:themeColor="text1"/>
          <w:sz w:val="22"/>
          <w:szCs w:val="22"/>
          <w:lang w:val="en-GB" w:eastAsia="ko-KR"/>
        </w:rPr>
        <w:t>lab</w:t>
      </w:r>
      <w:r w:rsidR="00763608" w:rsidRPr="00C37A4D">
        <w:rPr>
          <w:rFonts w:asciiTheme="minorHAnsi" w:hAnsiTheme="minorHAnsi" w:cstheme="minorHAnsi"/>
          <w:color w:val="000000" w:themeColor="text1"/>
          <w:sz w:val="22"/>
          <w:szCs w:val="22"/>
          <w:lang w:val="en-GB" w:eastAsia="ko-KR"/>
        </w:rPr>
        <w:t>oratories</w:t>
      </w:r>
      <w:r w:rsidR="008C1B62" w:rsidRPr="00C37A4D">
        <w:rPr>
          <w:rFonts w:asciiTheme="minorHAnsi" w:hAnsiTheme="minorHAnsi" w:cstheme="minorHAnsi"/>
          <w:color w:val="000000" w:themeColor="text1"/>
          <w:sz w:val="22"/>
          <w:szCs w:val="22"/>
          <w:lang w:val="en-GB" w:eastAsia="ko-KR"/>
        </w:rPr>
        <w:t xml:space="preserve"> in sub-Saharan Africa were capable of bacteriological testing, and only a subset of those could perform susceptibility tests. </w:t>
      </w:r>
      <w:r w:rsidR="008C2F4E">
        <w:rPr>
          <w:rFonts w:asciiTheme="minorHAnsi" w:hAnsiTheme="minorHAnsi" w:cstheme="minorHAnsi"/>
          <w:color w:val="000000" w:themeColor="text1"/>
          <w:sz w:val="22"/>
          <w:szCs w:val="22"/>
          <w:lang w:val="en-GB"/>
        </w:rPr>
        <w:t xml:space="preserve">Mycology expertise is </w:t>
      </w:r>
      <w:r>
        <w:rPr>
          <w:rFonts w:asciiTheme="minorHAnsi" w:hAnsiTheme="minorHAnsi" w:cstheme="minorHAnsi"/>
          <w:color w:val="000000" w:themeColor="text1"/>
          <w:sz w:val="22"/>
          <w:szCs w:val="22"/>
          <w:lang w:val="en-GB"/>
        </w:rPr>
        <w:t xml:space="preserve">truly </w:t>
      </w:r>
      <w:r w:rsidR="008C2F4E">
        <w:rPr>
          <w:rFonts w:asciiTheme="minorHAnsi" w:hAnsiTheme="minorHAnsi" w:cstheme="minorHAnsi"/>
          <w:color w:val="000000" w:themeColor="text1"/>
          <w:sz w:val="22"/>
          <w:szCs w:val="22"/>
          <w:lang w:val="en-GB"/>
        </w:rPr>
        <w:t>scar</w:t>
      </w:r>
      <w:r w:rsidR="004D00F8">
        <w:rPr>
          <w:rFonts w:asciiTheme="minorHAnsi" w:hAnsiTheme="minorHAnsi" w:cstheme="minorHAnsi"/>
          <w:color w:val="000000" w:themeColor="text1"/>
          <w:sz w:val="22"/>
          <w:szCs w:val="22"/>
          <w:lang w:val="en-GB"/>
        </w:rPr>
        <w:t>c</w:t>
      </w:r>
      <w:r w:rsidR="008C2F4E">
        <w:rPr>
          <w:rFonts w:asciiTheme="minorHAnsi" w:hAnsiTheme="minorHAnsi" w:cstheme="minorHAnsi"/>
          <w:color w:val="000000" w:themeColor="text1"/>
          <w:sz w:val="22"/>
          <w:szCs w:val="22"/>
          <w:lang w:val="en-GB"/>
        </w:rPr>
        <w:t>e</w:t>
      </w:r>
      <w:r>
        <w:rPr>
          <w:rFonts w:asciiTheme="minorHAnsi" w:hAnsiTheme="minorHAnsi" w:cstheme="minorHAnsi"/>
          <w:color w:val="000000" w:themeColor="text1"/>
          <w:sz w:val="22"/>
          <w:szCs w:val="22"/>
          <w:lang w:val="en-GB"/>
        </w:rPr>
        <w:t>:</w:t>
      </w:r>
      <w:r w:rsidR="0066136A">
        <w:rPr>
          <w:rFonts w:asciiTheme="minorHAnsi" w:hAnsiTheme="minorHAnsi" w:cstheme="minorHAnsi"/>
          <w:color w:val="000000" w:themeColor="text1"/>
          <w:sz w:val="22"/>
          <w:szCs w:val="22"/>
          <w:lang w:val="en-GB"/>
        </w:rPr>
        <w:t xml:space="preserve"> </w:t>
      </w:r>
      <w:r w:rsidR="00881850" w:rsidRPr="00C37A4D">
        <w:rPr>
          <w:rFonts w:asciiTheme="minorHAnsi" w:hAnsiTheme="minorHAnsi" w:cstheme="minorHAnsi"/>
          <w:color w:val="000000" w:themeColor="text1"/>
          <w:sz w:val="22"/>
          <w:szCs w:val="22"/>
          <w:lang w:val="en-GB"/>
        </w:rPr>
        <w:t xml:space="preserve">fungal surveillance </w:t>
      </w:r>
      <w:r w:rsidR="00881850">
        <w:rPr>
          <w:rFonts w:asciiTheme="minorHAnsi" w:hAnsiTheme="minorHAnsi" w:cstheme="minorHAnsi"/>
          <w:color w:val="000000" w:themeColor="text1"/>
          <w:sz w:val="22"/>
          <w:szCs w:val="22"/>
          <w:lang w:val="en-GB"/>
        </w:rPr>
        <w:t>l</w:t>
      </w:r>
      <w:r w:rsidR="00881850" w:rsidRPr="000A599E">
        <w:rPr>
          <w:rFonts w:asciiTheme="minorHAnsi" w:hAnsiTheme="minorHAnsi" w:cstheme="minorHAnsi"/>
          <w:color w:val="000000" w:themeColor="text1"/>
          <w:sz w:val="22"/>
          <w:szCs w:val="22"/>
          <w:lang w:val="en-GB"/>
        </w:rPr>
        <w:t>ags bacterial infection surveillance</w:t>
      </w:r>
      <w:r w:rsidR="00881850" w:rsidRPr="00C37A4D">
        <w:rPr>
          <w:rFonts w:asciiTheme="minorHAnsi" w:hAnsiTheme="minorHAnsi" w:cstheme="minorHAnsi"/>
          <w:color w:val="000000" w:themeColor="text1"/>
          <w:sz w:val="22"/>
          <w:szCs w:val="22"/>
          <w:lang w:val="en-GB"/>
        </w:rPr>
        <w:t xml:space="preserve"> </w:t>
      </w:r>
      <w:r w:rsidR="00881850">
        <w:rPr>
          <w:rFonts w:asciiTheme="minorHAnsi" w:hAnsiTheme="minorHAnsi" w:cstheme="minorHAnsi"/>
          <w:color w:val="000000" w:themeColor="text1"/>
          <w:sz w:val="22"/>
          <w:szCs w:val="22"/>
          <w:lang w:val="en-GB"/>
        </w:rPr>
        <w:t xml:space="preserve">and is </w:t>
      </w:r>
      <w:r w:rsidR="00881850" w:rsidRPr="000A599E">
        <w:rPr>
          <w:rFonts w:asciiTheme="minorHAnsi" w:hAnsiTheme="minorHAnsi" w:cstheme="minorHAnsi"/>
          <w:color w:val="000000" w:themeColor="text1"/>
          <w:sz w:val="22"/>
          <w:szCs w:val="22"/>
          <w:lang w:val="en-GB"/>
        </w:rPr>
        <w:t xml:space="preserve">insufficient to support interventions </w:t>
      </w:r>
      <w:r>
        <w:rPr>
          <w:rFonts w:asciiTheme="minorHAnsi" w:hAnsiTheme="minorHAnsi" w:cstheme="minorHAnsi"/>
          <w:color w:val="000000" w:themeColor="text1"/>
          <w:sz w:val="22"/>
          <w:szCs w:val="22"/>
          <w:lang w:val="en-GB"/>
        </w:rPr>
        <w:t>to</w:t>
      </w:r>
      <w:r w:rsidR="00881850" w:rsidRPr="000A599E">
        <w:rPr>
          <w:rFonts w:asciiTheme="minorHAnsi" w:hAnsiTheme="minorHAnsi" w:cstheme="minorHAnsi"/>
          <w:color w:val="000000" w:themeColor="text1"/>
          <w:sz w:val="22"/>
          <w:szCs w:val="22"/>
          <w:lang w:val="en-GB"/>
        </w:rPr>
        <w:t xml:space="preserve"> tackl</w:t>
      </w:r>
      <w:r>
        <w:rPr>
          <w:rFonts w:asciiTheme="minorHAnsi" w:hAnsiTheme="minorHAnsi" w:cstheme="minorHAnsi"/>
          <w:color w:val="000000" w:themeColor="text1"/>
          <w:sz w:val="22"/>
          <w:szCs w:val="22"/>
          <w:lang w:val="en-GB"/>
        </w:rPr>
        <w:t>e</w:t>
      </w:r>
      <w:r w:rsidR="00881850" w:rsidRPr="000A599E">
        <w:rPr>
          <w:rFonts w:asciiTheme="minorHAnsi" w:hAnsiTheme="minorHAnsi" w:cstheme="minorHAnsi"/>
          <w:color w:val="000000" w:themeColor="text1"/>
          <w:sz w:val="22"/>
          <w:szCs w:val="22"/>
          <w:lang w:val="en-GB"/>
        </w:rPr>
        <w:t xml:space="preserve"> the growing prevalence of </w:t>
      </w:r>
      <w:r w:rsidR="00881850" w:rsidRPr="00C37A4D">
        <w:rPr>
          <w:rFonts w:asciiTheme="minorHAnsi" w:hAnsiTheme="minorHAnsi" w:cstheme="minorHAnsi"/>
          <w:color w:val="000000" w:themeColor="text1"/>
          <w:sz w:val="22"/>
          <w:szCs w:val="22"/>
          <w:lang w:val="en-GB"/>
        </w:rPr>
        <w:t xml:space="preserve">resistant fungi </w:t>
      </w:r>
      <w:r>
        <w:rPr>
          <w:rFonts w:asciiTheme="minorHAnsi" w:hAnsiTheme="minorHAnsi" w:cstheme="minorHAnsi"/>
          <w:color w:val="000000" w:themeColor="text1"/>
          <w:sz w:val="22"/>
          <w:szCs w:val="22"/>
          <w:lang w:val="en-GB"/>
        </w:rPr>
        <w:t>responsible for</w:t>
      </w:r>
      <w:r w:rsidRPr="00C37A4D">
        <w:rPr>
          <w:rFonts w:asciiTheme="minorHAnsi" w:hAnsiTheme="minorHAnsi" w:cstheme="minorHAnsi"/>
          <w:color w:val="000000" w:themeColor="text1"/>
          <w:sz w:val="22"/>
          <w:szCs w:val="22"/>
          <w:lang w:val="en-GB"/>
        </w:rPr>
        <w:t xml:space="preserve"> </w:t>
      </w:r>
      <w:r w:rsidR="00881850">
        <w:rPr>
          <w:rFonts w:asciiTheme="minorHAnsi" w:hAnsiTheme="minorHAnsi" w:cstheme="minorHAnsi"/>
          <w:color w:val="000000" w:themeColor="text1"/>
          <w:sz w:val="22"/>
          <w:szCs w:val="22"/>
          <w:lang w:val="en-GB"/>
        </w:rPr>
        <w:t xml:space="preserve">both </w:t>
      </w:r>
      <w:r w:rsidR="00881850" w:rsidRPr="00C37A4D">
        <w:rPr>
          <w:rFonts w:asciiTheme="minorHAnsi" w:hAnsiTheme="minorHAnsi" w:cstheme="minorHAnsi"/>
          <w:color w:val="000000" w:themeColor="text1"/>
          <w:sz w:val="22"/>
          <w:szCs w:val="22"/>
          <w:lang w:val="en-GB"/>
        </w:rPr>
        <w:t>community</w:t>
      </w:r>
      <w:r w:rsidR="00881850">
        <w:rPr>
          <w:rFonts w:asciiTheme="minorHAnsi" w:hAnsiTheme="minorHAnsi" w:cstheme="minorHAnsi"/>
          <w:color w:val="000000" w:themeColor="text1"/>
          <w:sz w:val="22"/>
          <w:szCs w:val="22"/>
          <w:lang w:val="en-GB"/>
        </w:rPr>
        <w:t>-</w:t>
      </w:r>
      <w:r w:rsidR="00881850" w:rsidRPr="00C37A4D">
        <w:rPr>
          <w:rFonts w:asciiTheme="minorHAnsi" w:hAnsiTheme="minorHAnsi" w:cstheme="minorHAnsi"/>
          <w:color w:val="000000" w:themeColor="text1"/>
          <w:sz w:val="22"/>
          <w:szCs w:val="22"/>
          <w:lang w:val="en-GB"/>
        </w:rPr>
        <w:t xml:space="preserve"> and </w:t>
      </w:r>
      <w:r w:rsidR="00881850">
        <w:rPr>
          <w:rFonts w:asciiTheme="minorHAnsi" w:hAnsiTheme="minorHAnsi" w:cstheme="minorHAnsi"/>
          <w:color w:val="000000" w:themeColor="text1"/>
          <w:sz w:val="22"/>
          <w:szCs w:val="22"/>
          <w:lang w:val="en-GB"/>
        </w:rPr>
        <w:t>healthcare-associated</w:t>
      </w:r>
      <w:r w:rsidR="00881850" w:rsidRPr="00C37A4D">
        <w:rPr>
          <w:rFonts w:asciiTheme="minorHAnsi" w:hAnsiTheme="minorHAnsi" w:cstheme="minorHAnsi"/>
          <w:color w:val="000000" w:themeColor="text1"/>
          <w:sz w:val="22"/>
          <w:szCs w:val="22"/>
          <w:lang w:val="en-GB"/>
        </w:rPr>
        <w:t xml:space="preserve"> infections.</w:t>
      </w:r>
      <w:r w:rsidR="0066136A">
        <w:rPr>
          <w:rFonts w:asciiTheme="minorHAnsi" w:hAnsiTheme="minorHAnsi" w:cstheme="minorHAnsi"/>
          <w:color w:val="000000" w:themeColor="text1"/>
          <w:sz w:val="22"/>
          <w:szCs w:val="22"/>
          <w:lang w:val="en-GB"/>
        </w:rPr>
        <w:t xml:space="preserve"> </w:t>
      </w:r>
      <w:r w:rsidR="00881850">
        <w:rPr>
          <w:color w:val="000000" w:themeColor="text1"/>
          <w:sz w:val="22"/>
          <w:szCs w:val="22"/>
          <w:lang w:val="en-GB"/>
        </w:rPr>
        <w:t xml:space="preserve">For example, </w:t>
      </w:r>
      <w:r w:rsidR="00881850" w:rsidRPr="00D718AC">
        <w:rPr>
          <w:i/>
          <w:iCs/>
          <w:color w:val="000000" w:themeColor="text1"/>
          <w:sz w:val="22"/>
          <w:szCs w:val="22"/>
          <w:lang w:val="en-GB"/>
        </w:rPr>
        <w:t>Cryptococcus neoformans</w:t>
      </w:r>
      <w:r w:rsidR="00881850">
        <w:rPr>
          <w:color w:val="000000" w:themeColor="text1"/>
          <w:sz w:val="22"/>
          <w:szCs w:val="22"/>
          <w:lang w:val="en-GB"/>
        </w:rPr>
        <w:t>, a difficult-to-treat, community-acquired opportunistic infection in people living with HIV</w:t>
      </w:r>
      <w:r w:rsidR="008C2F4E">
        <w:rPr>
          <w:color w:val="000000" w:themeColor="text1"/>
          <w:sz w:val="22"/>
          <w:szCs w:val="22"/>
          <w:lang w:val="en-GB"/>
        </w:rPr>
        <w:t xml:space="preserve">, especially in Africa, </w:t>
      </w:r>
      <w:r w:rsidR="00881850">
        <w:rPr>
          <w:color w:val="000000" w:themeColor="text1"/>
          <w:sz w:val="22"/>
          <w:szCs w:val="22"/>
          <w:lang w:val="en-GB"/>
        </w:rPr>
        <w:t>and other immunocompromised patients</w:t>
      </w:r>
      <w:r>
        <w:rPr>
          <w:color w:val="000000" w:themeColor="text1"/>
          <w:sz w:val="22"/>
          <w:szCs w:val="22"/>
          <w:lang w:val="en-GB"/>
        </w:rPr>
        <w:t>,</w:t>
      </w:r>
      <w:r w:rsidR="00881850">
        <w:rPr>
          <w:color w:val="000000" w:themeColor="text1"/>
          <w:sz w:val="22"/>
          <w:szCs w:val="22"/>
          <w:lang w:val="en-GB"/>
        </w:rPr>
        <w:t xml:space="preserve"> is typically diagnosed late</w:t>
      </w:r>
      <w:r w:rsidR="0093643B">
        <w:rPr>
          <w:color w:val="000000" w:themeColor="text1"/>
          <w:sz w:val="22"/>
          <w:szCs w:val="22"/>
          <w:lang w:val="en-GB"/>
        </w:rPr>
        <w:t>,</w:t>
      </w:r>
      <w:r w:rsidR="00881850">
        <w:rPr>
          <w:color w:val="000000" w:themeColor="text1"/>
          <w:sz w:val="22"/>
          <w:szCs w:val="22"/>
          <w:lang w:val="en-GB"/>
        </w:rPr>
        <w:t xml:space="preserve"> and susceptibility patterns</w:t>
      </w:r>
      <w:r w:rsidR="0093643B">
        <w:rPr>
          <w:color w:val="000000" w:themeColor="text1"/>
          <w:sz w:val="22"/>
          <w:szCs w:val="22"/>
          <w:lang w:val="en-GB"/>
        </w:rPr>
        <w:t xml:space="preserve"> are uncertain</w:t>
      </w:r>
      <w:r w:rsidR="00881850">
        <w:rPr>
          <w:color w:val="000000" w:themeColor="text1"/>
          <w:sz w:val="22"/>
          <w:szCs w:val="22"/>
          <w:lang w:val="en-GB"/>
        </w:rPr>
        <w:t xml:space="preserve">. </w:t>
      </w:r>
      <w:r w:rsidR="00881850" w:rsidRPr="00D718AC">
        <w:rPr>
          <w:i/>
          <w:iCs/>
          <w:color w:val="000000" w:themeColor="text1"/>
          <w:sz w:val="22"/>
          <w:szCs w:val="22"/>
          <w:lang w:val="en-GB"/>
        </w:rPr>
        <w:t>C. neoformans</w:t>
      </w:r>
      <w:r w:rsidR="00881850">
        <w:rPr>
          <w:color w:val="000000" w:themeColor="text1"/>
          <w:sz w:val="22"/>
          <w:szCs w:val="22"/>
          <w:lang w:val="en-GB"/>
        </w:rPr>
        <w:t xml:space="preserve"> isolates </w:t>
      </w:r>
      <w:r w:rsidR="0093643B">
        <w:rPr>
          <w:color w:val="000000" w:themeColor="text1"/>
          <w:sz w:val="22"/>
          <w:szCs w:val="22"/>
          <w:lang w:val="en-GB"/>
        </w:rPr>
        <w:t xml:space="preserve">are reported as </w:t>
      </w:r>
      <w:r w:rsidR="00881850">
        <w:rPr>
          <w:color w:val="000000" w:themeColor="text1"/>
          <w:sz w:val="22"/>
          <w:szCs w:val="22"/>
          <w:lang w:val="en-GB"/>
        </w:rPr>
        <w:t>showing resistance to one or more of the antifungals</w:t>
      </w:r>
      <w:r w:rsidR="002D4FCD">
        <w:rPr>
          <w:color w:val="000000" w:themeColor="text1"/>
          <w:sz w:val="22"/>
          <w:szCs w:val="22"/>
          <w:lang w:val="en-GB"/>
        </w:rPr>
        <w:t xml:space="preserve">; </w:t>
      </w:r>
      <w:r w:rsidR="00881850">
        <w:rPr>
          <w:color w:val="000000" w:themeColor="text1"/>
          <w:sz w:val="22"/>
          <w:szCs w:val="22"/>
          <w:lang w:val="en-GB"/>
        </w:rPr>
        <w:t>backup options</w:t>
      </w:r>
      <w:r w:rsidR="0093643B">
        <w:rPr>
          <w:color w:val="000000" w:themeColor="text1"/>
          <w:sz w:val="22"/>
          <w:szCs w:val="22"/>
          <w:lang w:val="en-GB"/>
        </w:rPr>
        <w:t xml:space="preserve"> are few</w:t>
      </w:r>
      <w:r w:rsidR="004F47D5">
        <w:rPr>
          <w:color w:val="000000" w:themeColor="text1"/>
          <w:sz w:val="22"/>
          <w:szCs w:val="22"/>
          <w:lang w:val="en-GB"/>
        </w:rPr>
        <w:t>.</w:t>
      </w:r>
      <w:r w:rsidR="00E00CFD" w:rsidRPr="00E00CFD">
        <w:rPr>
          <w:color w:val="000000"/>
          <w:sz w:val="22"/>
          <w:vertAlign w:val="superscript"/>
        </w:rPr>
        <w:t>173,174</w:t>
      </w:r>
    </w:p>
    <w:p w14:paraId="791F25C5" w14:textId="77777777" w:rsidR="008C2F4E" w:rsidRDefault="008C2F4E" w:rsidP="00881850">
      <w:pPr>
        <w:rPr>
          <w:rFonts w:asciiTheme="minorHAnsi" w:hAnsiTheme="minorHAnsi" w:cstheme="minorHAnsi"/>
          <w:color w:val="000000" w:themeColor="text1"/>
          <w:sz w:val="22"/>
          <w:szCs w:val="22"/>
          <w:lang w:val="en-GB"/>
        </w:rPr>
      </w:pPr>
    </w:p>
    <w:p w14:paraId="2E6B36FB" w14:textId="06E6AE87" w:rsidR="008C1B62" w:rsidRPr="00C37A4D" w:rsidRDefault="0093643B" w:rsidP="00036969">
      <w:pPr>
        <w:rPr>
          <w:rFonts w:asciiTheme="minorHAnsi" w:eastAsia="Arial"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eastAsia="ko-KR"/>
        </w:rPr>
        <w:t>E</w:t>
      </w:r>
      <w:r w:rsidR="008C1B62" w:rsidRPr="00C37A4D">
        <w:rPr>
          <w:rFonts w:asciiTheme="minorHAnsi" w:eastAsia="Roboto" w:hAnsiTheme="minorHAnsi" w:cstheme="minorHAnsi"/>
          <w:color w:val="000000" w:themeColor="text1"/>
          <w:sz w:val="22"/>
          <w:szCs w:val="22"/>
          <w:lang w:val="en-GB" w:eastAsia="ko-KR"/>
        </w:rPr>
        <w:t>lectronic data capture systems</w:t>
      </w:r>
      <w:r>
        <w:rPr>
          <w:rFonts w:asciiTheme="minorHAnsi" w:eastAsia="Roboto" w:hAnsiTheme="minorHAnsi" w:cstheme="minorHAnsi"/>
          <w:color w:val="000000" w:themeColor="text1"/>
          <w:sz w:val="22"/>
          <w:szCs w:val="22"/>
          <w:lang w:val="en-GB" w:eastAsia="ko-KR"/>
        </w:rPr>
        <w:t xml:space="preserve"> are absent from</w:t>
      </w:r>
      <w:r w:rsidR="008C1B62" w:rsidRPr="00C37A4D">
        <w:rPr>
          <w:rFonts w:asciiTheme="minorHAnsi" w:eastAsia="Roboto" w:hAnsiTheme="minorHAnsi" w:cstheme="minorHAnsi"/>
          <w:color w:val="000000" w:themeColor="text1"/>
          <w:sz w:val="22"/>
          <w:szCs w:val="22"/>
          <w:lang w:val="en-GB" w:eastAsia="ko-KR"/>
        </w:rPr>
        <w:t xml:space="preserve"> </w:t>
      </w:r>
      <w:proofErr w:type="gramStart"/>
      <w:r w:rsidR="008C1B62" w:rsidRPr="00C37A4D">
        <w:rPr>
          <w:rFonts w:asciiTheme="minorHAnsi" w:eastAsia="Roboto" w:hAnsiTheme="minorHAnsi" w:cstheme="minorHAnsi"/>
          <w:color w:val="000000" w:themeColor="text1"/>
          <w:sz w:val="22"/>
          <w:szCs w:val="22"/>
          <w:lang w:val="en-GB" w:eastAsia="ko-KR"/>
        </w:rPr>
        <w:t>the majority of</w:t>
      </w:r>
      <w:proofErr w:type="gramEnd"/>
      <w:r w:rsidR="008C1B62" w:rsidRPr="00C37A4D">
        <w:rPr>
          <w:rFonts w:asciiTheme="minorHAnsi" w:eastAsia="Roboto" w:hAnsiTheme="minorHAnsi" w:cstheme="minorHAnsi"/>
          <w:color w:val="000000" w:themeColor="text1"/>
          <w:sz w:val="22"/>
          <w:szCs w:val="22"/>
          <w:lang w:val="en-GB" w:eastAsia="ko-KR"/>
        </w:rPr>
        <w:t xml:space="preserve"> African hospitals. WHONET offers laboratory data management that is the mainstay of strong surveillance systems</w:t>
      </w:r>
      <w:r w:rsidR="00802D9D" w:rsidRPr="00C37A4D">
        <w:rPr>
          <w:rFonts w:asciiTheme="minorHAnsi" w:eastAsia="Roboto" w:hAnsiTheme="minorHAnsi" w:cstheme="minorHAnsi"/>
          <w:color w:val="000000" w:themeColor="text1"/>
          <w:sz w:val="22"/>
          <w:szCs w:val="22"/>
          <w:lang w:val="en-GB" w:eastAsia="ko-KR"/>
        </w:rPr>
        <w:t xml:space="preserve"> in </w:t>
      </w:r>
      <w:r w:rsidR="008C1B62" w:rsidRPr="00C37A4D">
        <w:rPr>
          <w:rFonts w:asciiTheme="minorHAnsi" w:eastAsia="Roboto" w:hAnsiTheme="minorHAnsi" w:cstheme="minorHAnsi"/>
          <w:color w:val="000000" w:themeColor="text1"/>
          <w:sz w:val="22"/>
          <w:szCs w:val="22"/>
          <w:lang w:val="en-GB" w:eastAsia="ko-KR"/>
        </w:rPr>
        <w:t>the Philippines and much of South America</w:t>
      </w:r>
      <w:r w:rsidR="00802D9D" w:rsidRPr="00C37A4D">
        <w:rPr>
          <w:rFonts w:asciiTheme="minorHAnsi" w:eastAsia="Roboto" w:hAnsiTheme="minorHAnsi" w:cstheme="minorHAnsi"/>
          <w:color w:val="000000" w:themeColor="text1"/>
          <w:sz w:val="22"/>
          <w:szCs w:val="22"/>
          <w:lang w:val="en-GB" w:eastAsia="ko-KR"/>
        </w:rPr>
        <w:t>; it is</w:t>
      </w:r>
      <w:r w:rsidR="008C1B62" w:rsidRPr="00C37A4D">
        <w:rPr>
          <w:rFonts w:asciiTheme="minorHAnsi" w:eastAsia="Roboto" w:hAnsiTheme="minorHAnsi" w:cstheme="minorHAnsi"/>
          <w:color w:val="000000" w:themeColor="text1"/>
          <w:sz w:val="22"/>
          <w:szCs w:val="22"/>
          <w:lang w:val="en-GB" w:eastAsia="ko-KR"/>
        </w:rPr>
        <w:t xml:space="preserve"> compatible with </w:t>
      </w:r>
      <w:r w:rsidR="00FD3329" w:rsidRPr="00C37A4D">
        <w:rPr>
          <w:rFonts w:asciiTheme="minorHAnsi" w:eastAsia="Roboto" w:hAnsiTheme="minorHAnsi" w:cstheme="minorHAnsi"/>
          <w:color w:val="000000" w:themeColor="text1"/>
          <w:sz w:val="22"/>
          <w:szCs w:val="22"/>
          <w:lang w:val="en-GB" w:eastAsia="ko-KR"/>
        </w:rPr>
        <w:t xml:space="preserve">the </w:t>
      </w:r>
      <w:r w:rsidR="008C1B62" w:rsidRPr="00C37A4D">
        <w:rPr>
          <w:rFonts w:asciiTheme="minorHAnsi" w:eastAsia="Roboto" w:hAnsiTheme="minorHAnsi" w:cstheme="minorHAnsi"/>
          <w:color w:val="000000" w:themeColor="text1"/>
          <w:sz w:val="22"/>
          <w:szCs w:val="22"/>
          <w:lang w:val="en-GB" w:eastAsia="ko-KR"/>
        </w:rPr>
        <w:t>ACORN</w:t>
      </w:r>
      <w:r w:rsidR="000C38CC" w:rsidRPr="00C37A4D">
        <w:rPr>
          <w:rFonts w:asciiTheme="minorHAnsi" w:eastAsia="Roboto" w:hAnsiTheme="minorHAnsi" w:cstheme="minorHAnsi"/>
          <w:color w:val="000000" w:themeColor="text1"/>
          <w:sz w:val="22"/>
          <w:szCs w:val="22"/>
          <w:lang w:val="en-GB" w:eastAsia="ko-KR"/>
        </w:rPr>
        <w:t xml:space="preserve"> </w:t>
      </w:r>
      <w:r w:rsidR="00FD3329" w:rsidRPr="00C37A4D">
        <w:rPr>
          <w:rFonts w:asciiTheme="minorHAnsi" w:eastAsia="Roboto" w:hAnsiTheme="minorHAnsi" w:cstheme="minorHAnsi"/>
          <w:color w:val="000000" w:themeColor="text1"/>
          <w:sz w:val="22"/>
          <w:szCs w:val="22"/>
          <w:lang w:val="en-GB" w:eastAsia="ko-KR"/>
        </w:rPr>
        <w:t>platform</w:t>
      </w:r>
      <w:r w:rsidR="008C1B62" w:rsidRPr="00C37A4D">
        <w:rPr>
          <w:rFonts w:asciiTheme="minorHAnsi" w:eastAsia="Roboto" w:hAnsiTheme="minorHAnsi" w:cstheme="minorHAnsi"/>
          <w:color w:val="000000" w:themeColor="text1"/>
          <w:sz w:val="22"/>
          <w:szCs w:val="22"/>
          <w:lang w:val="en-GB" w:eastAsia="ko-KR"/>
        </w:rPr>
        <w:t>.</w:t>
      </w:r>
      <w:r w:rsidR="00E00CFD" w:rsidRPr="00E00CFD">
        <w:rPr>
          <w:rFonts w:hAnsiTheme="minorHAnsi"/>
          <w:color w:val="000000"/>
          <w:sz w:val="22"/>
          <w:vertAlign w:val="superscript"/>
        </w:rPr>
        <w:t>175,176</w:t>
      </w:r>
      <w:r w:rsidR="008C1B62" w:rsidRPr="00C37A4D">
        <w:rPr>
          <w:rFonts w:asciiTheme="minorHAnsi" w:eastAsia="Roboto" w:hAnsiTheme="minorHAnsi" w:cstheme="minorHAnsi"/>
          <w:color w:val="000000" w:themeColor="text1"/>
          <w:sz w:val="22"/>
          <w:szCs w:val="22"/>
          <w:lang w:val="en-GB"/>
        </w:rPr>
        <w:t xml:space="preserve"> Development of other open-access platforms tailored to microbiology data, such as SEDRI-LIMS, is expected to further mobili</w:t>
      </w:r>
      <w:r w:rsidR="0094482F" w:rsidRPr="00C37A4D">
        <w:rPr>
          <w:rFonts w:asciiTheme="minorHAnsi" w:eastAsia="Roboto" w:hAnsiTheme="minorHAnsi" w:cstheme="minorHAnsi"/>
          <w:color w:val="000000" w:themeColor="text1"/>
          <w:sz w:val="22"/>
          <w:szCs w:val="22"/>
          <w:lang w:val="en-GB"/>
        </w:rPr>
        <w:t>s</w:t>
      </w:r>
      <w:r w:rsidR="008C1B62" w:rsidRPr="00C37A4D">
        <w:rPr>
          <w:rFonts w:asciiTheme="minorHAnsi" w:eastAsia="Roboto" w:hAnsiTheme="minorHAnsi" w:cstheme="minorHAnsi"/>
          <w:color w:val="000000" w:themeColor="text1"/>
          <w:sz w:val="22"/>
          <w:szCs w:val="22"/>
          <w:lang w:val="en-GB"/>
        </w:rPr>
        <w:t xml:space="preserve">e laboratory antimicrobial susceptibility data </w:t>
      </w:r>
      <w:r>
        <w:rPr>
          <w:rFonts w:asciiTheme="minorHAnsi" w:eastAsia="Roboto" w:hAnsiTheme="minorHAnsi" w:cstheme="minorHAnsi"/>
          <w:color w:val="000000" w:themeColor="text1"/>
          <w:sz w:val="22"/>
          <w:szCs w:val="22"/>
          <w:lang w:val="en-GB"/>
        </w:rPr>
        <w:t>for</w:t>
      </w:r>
      <w:r w:rsidRPr="00C37A4D">
        <w:rPr>
          <w:rFonts w:asciiTheme="minorHAnsi" w:eastAsia="Roboto" w:hAnsiTheme="minorHAnsi" w:cstheme="minorHAnsi"/>
          <w:color w:val="000000" w:themeColor="text1"/>
          <w:sz w:val="22"/>
          <w:szCs w:val="22"/>
          <w:lang w:val="en-GB"/>
        </w:rPr>
        <w:t xml:space="preserve"> </w:t>
      </w:r>
      <w:r w:rsidR="008C1B62" w:rsidRPr="00C37A4D">
        <w:rPr>
          <w:rFonts w:asciiTheme="minorHAnsi" w:eastAsia="Roboto" w:hAnsiTheme="minorHAnsi" w:cstheme="minorHAnsi"/>
          <w:color w:val="000000" w:themeColor="text1"/>
          <w:sz w:val="22"/>
          <w:szCs w:val="22"/>
          <w:lang w:val="en-GB"/>
        </w:rPr>
        <w:t xml:space="preserve">surveillance applications. </w:t>
      </w:r>
      <w:r w:rsidR="00A62745">
        <w:rPr>
          <w:rFonts w:asciiTheme="minorHAnsi" w:eastAsia="Roboto" w:hAnsiTheme="minorHAnsi" w:cstheme="minorHAnsi"/>
          <w:color w:val="000000" w:themeColor="text1"/>
          <w:sz w:val="22"/>
          <w:szCs w:val="22"/>
          <w:lang w:val="en-GB"/>
        </w:rPr>
        <w:t>D</w:t>
      </w:r>
      <w:r w:rsidR="008E7A4B" w:rsidRPr="00C37A4D">
        <w:rPr>
          <w:rFonts w:asciiTheme="minorHAnsi" w:eastAsia="Roboto" w:hAnsiTheme="minorHAnsi" w:cstheme="minorHAnsi"/>
          <w:color w:val="000000" w:themeColor="text1"/>
          <w:sz w:val="22"/>
          <w:szCs w:val="22"/>
          <w:lang w:val="en-GB"/>
        </w:rPr>
        <w:t>ata intended to inform empiric prescribing guidelines must include details of the clinical presentation, underlying disease, empiric and subsequent switching of therapy, all relevant microbiology results</w:t>
      </w:r>
      <w:r>
        <w:rPr>
          <w:rFonts w:asciiTheme="minorHAnsi" w:eastAsia="Roboto" w:hAnsiTheme="minorHAnsi" w:cstheme="minorHAnsi"/>
          <w:color w:val="000000" w:themeColor="text1"/>
          <w:sz w:val="22"/>
          <w:szCs w:val="22"/>
          <w:lang w:val="en-GB"/>
        </w:rPr>
        <w:t>,</w:t>
      </w:r>
      <w:r w:rsidR="008E7A4B" w:rsidRPr="00C37A4D">
        <w:rPr>
          <w:rFonts w:asciiTheme="minorHAnsi" w:eastAsia="Roboto" w:hAnsiTheme="minorHAnsi" w:cstheme="minorHAnsi"/>
          <w:color w:val="000000" w:themeColor="text1"/>
          <w:sz w:val="22"/>
          <w:szCs w:val="22"/>
          <w:lang w:val="en-GB"/>
        </w:rPr>
        <w:t xml:space="preserve"> and in-hospital and 28-day mortality.</w:t>
      </w:r>
      <w:r w:rsidR="00E00CFD" w:rsidRPr="00E00CFD">
        <w:rPr>
          <w:rFonts w:hAnsiTheme="minorHAnsi"/>
          <w:color w:val="000000"/>
          <w:sz w:val="22"/>
          <w:vertAlign w:val="superscript"/>
        </w:rPr>
        <w:t>131</w:t>
      </w:r>
      <w:r w:rsidR="008E7A4B" w:rsidRPr="00C37A4D">
        <w:rPr>
          <w:rFonts w:asciiTheme="minorHAnsi" w:eastAsia="Roboto" w:hAnsiTheme="minorHAnsi" w:cstheme="minorHAnsi"/>
          <w:color w:val="000000" w:themeColor="text1"/>
          <w:sz w:val="22"/>
          <w:szCs w:val="22"/>
          <w:lang w:val="en-GB"/>
        </w:rPr>
        <w:t xml:space="preserve"> ACORN enables clinical caregivers to collect </w:t>
      </w:r>
      <w:r w:rsidR="00A62745">
        <w:rPr>
          <w:rFonts w:asciiTheme="minorHAnsi" w:eastAsia="Roboto" w:hAnsiTheme="minorHAnsi" w:cstheme="minorHAnsi"/>
          <w:color w:val="000000" w:themeColor="text1"/>
          <w:sz w:val="22"/>
          <w:szCs w:val="22"/>
          <w:lang w:val="en-GB"/>
        </w:rPr>
        <w:t>such</w:t>
      </w:r>
      <w:r w:rsidR="008E7A4B" w:rsidRPr="00C37A4D">
        <w:rPr>
          <w:rFonts w:asciiTheme="minorHAnsi" w:eastAsia="Roboto" w:hAnsiTheme="minorHAnsi" w:cstheme="minorHAnsi"/>
          <w:color w:val="000000" w:themeColor="text1"/>
          <w:sz w:val="22"/>
          <w:szCs w:val="22"/>
          <w:lang w:val="en-GB"/>
        </w:rPr>
        <w:t xml:space="preserve"> information electronically so that it can be merged with laboratory data and shared via easily interpretable dashboard displays.</w:t>
      </w:r>
      <w:r w:rsidR="00E00CFD" w:rsidRPr="00E00CFD">
        <w:rPr>
          <w:rFonts w:hAnsiTheme="minorHAnsi"/>
          <w:color w:val="000000"/>
          <w:sz w:val="22"/>
          <w:vertAlign w:val="superscript"/>
        </w:rPr>
        <w:t>9</w:t>
      </w:r>
      <w:r w:rsidR="008E7A4B" w:rsidRPr="00C37A4D">
        <w:rPr>
          <w:rFonts w:asciiTheme="minorHAnsi" w:eastAsia="Roboto" w:hAnsiTheme="minorHAnsi" w:cstheme="minorHAnsi"/>
          <w:color w:val="000000" w:themeColor="text1"/>
          <w:sz w:val="22"/>
          <w:szCs w:val="22"/>
          <w:lang w:val="en-GB" w:eastAsia="ko-KR"/>
        </w:rPr>
        <w:t xml:space="preserve"> </w:t>
      </w:r>
    </w:p>
    <w:p w14:paraId="00000148" w14:textId="77777777" w:rsidR="001821F7" w:rsidRDefault="001821F7">
      <w:pPr>
        <w:rPr>
          <w:rFonts w:asciiTheme="minorHAnsi" w:hAnsiTheme="minorHAnsi" w:cstheme="minorHAnsi"/>
          <w:color w:val="000000" w:themeColor="text1"/>
          <w:sz w:val="22"/>
          <w:szCs w:val="22"/>
          <w:lang w:val="en-GB"/>
        </w:rPr>
      </w:pPr>
    </w:p>
    <w:p w14:paraId="18FCDBD7" w14:textId="7BE98C4A" w:rsidR="001014D0" w:rsidRPr="00C37A4D" w:rsidRDefault="005D6A12" w:rsidP="001014D0">
      <w:pPr>
        <w:rPr>
          <w:rFonts w:asciiTheme="minorHAnsi" w:hAnsiTheme="minorHAnsi" w:cstheme="minorHAnsi"/>
          <w:i/>
          <w:color w:val="000000" w:themeColor="text1"/>
          <w:sz w:val="22"/>
          <w:szCs w:val="22"/>
          <w:lang w:val="en-GB"/>
        </w:rPr>
      </w:pPr>
      <w:r w:rsidRPr="00C37A4D">
        <w:rPr>
          <w:rFonts w:asciiTheme="minorHAnsi" w:hAnsiTheme="minorHAnsi" w:cstheme="minorHAnsi"/>
          <w:color w:val="000000" w:themeColor="text1"/>
          <w:sz w:val="22"/>
          <w:szCs w:val="22"/>
          <w:lang w:val="en-GB"/>
        </w:rPr>
        <w:t xml:space="preserve">The </w:t>
      </w:r>
      <w:r w:rsidR="00726B14">
        <w:rPr>
          <w:rFonts w:asciiTheme="minorHAnsi" w:hAnsiTheme="minorHAnsi" w:cstheme="minorHAnsi"/>
          <w:color w:val="000000" w:themeColor="text1"/>
          <w:sz w:val="22"/>
          <w:szCs w:val="22"/>
          <w:lang w:val="en-GB"/>
        </w:rPr>
        <w:t xml:space="preserve">ultimate </w:t>
      </w:r>
      <w:r w:rsidRPr="00C37A4D">
        <w:rPr>
          <w:rFonts w:asciiTheme="minorHAnsi" w:hAnsiTheme="minorHAnsi" w:cstheme="minorHAnsi"/>
          <w:color w:val="000000" w:themeColor="text1"/>
          <w:sz w:val="22"/>
          <w:szCs w:val="22"/>
          <w:lang w:val="en-GB"/>
        </w:rPr>
        <w:t xml:space="preserve">value of a surveillance system depends on how the information is used. </w:t>
      </w:r>
      <w:r w:rsidR="00A87754">
        <w:rPr>
          <w:rFonts w:asciiTheme="minorHAnsi" w:hAnsiTheme="minorHAnsi" w:cstheme="minorHAnsi"/>
          <w:color w:val="000000" w:themeColor="text1"/>
          <w:sz w:val="22"/>
          <w:szCs w:val="22"/>
          <w:lang w:val="en-GB"/>
        </w:rPr>
        <w:t>D</w:t>
      </w:r>
      <w:r w:rsidRPr="00C37A4D">
        <w:rPr>
          <w:rFonts w:asciiTheme="minorHAnsi" w:hAnsiTheme="minorHAnsi" w:cstheme="minorHAnsi"/>
          <w:color w:val="000000" w:themeColor="text1"/>
          <w:sz w:val="22"/>
          <w:szCs w:val="22"/>
          <w:lang w:val="en-GB"/>
        </w:rPr>
        <w:t xml:space="preserve">oes it resolve uncertainty? If we already have a good idea of the level of resistance—or if the surveillance is not accurate—then it adds little. </w:t>
      </w:r>
      <w:r w:rsidR="00A87754">
        <w:rPr>
          <w:rFonts w:asciiTheme="minorHAnsi" w:hAnsiTheme="minorHAnsi" w:cstheme="minorHAnsi"/>
          <w:color w:val="000000" w:themeColor="text1"/>
          <w:sz w:val="22"/>
          <w:szCs w:val="22"/>
          <w:lang w:val="en-GB"/>
        </w:rPr>
        <w:t>I</w:t>
      </w:r>
      <w:r w:rsidRPr="00C37A4D">
        <w:rPr>
          <w:rFonts w:asciiTheme="minorHAnsi" w:hAnsiTheme="minorHAnsi" w:cstheme="minorHAnsi"/>
          <w:color w:val="000000" w:themeColor="text1"/>
          <w:sz w:val="22"/>
          <w:szCs w:val="22"/>
          <w:lang w:val="en-GB"/>
        </w:rPr>
        <w:t>s the surveillance information actionable? If, for example, surveillance suggests a change in treatment</w:t>
      </w:r>
      <w:r w:rsidR="003E4537">
        <w:rPr>
          <w:rFonts w:asciiTheme="minorHAnsi" w:hAnsiTheme="minorHAnsi" w:cstheme="minorHAnsi"/>
          <w:color w:val="000000" w:themeColor="text1"/>
          <w:sz w:val="22"/>
          <w:szCs w:val="22"/>
          <w:lang w:val="en-GB"/>
        </w:rPr>
        <w:t>,</w:t>
      </w:r>
      <w:r w:rsidRPr="00C37A4D">
        <w:rPr>
          <w:rFonts w:asciiTheme="minorHAnsi" w:hAnsiTheme="minorHAnsi" w:cstheme="minorHAnsi"/>
          <w:color w:val="000000" w:themeColor="text1"/>
          <w:sz w:val="22"/>
          <w:szCs w:val="22"/>
          <w:lang w:val="en-GB"/>
        </w:rPr>
        <w:t xml:space="preserve"> but the </w:t>
      </w:r>
      <w:r w:rsidR="00A87754">
        <w:rPr>
          <w:rFonts w:asciiTheme="minorHAnsi" w:hAnsiTheme="minorHAnsi" w:cstheme="minorHAnsi"/>
          <w:color w:val="000000" w:themeColor="text1"/>
          <w:sz w:val="22"/>
          <w:szCs w:val="22"/>
          <w:lang w:val="en-GB"/>
        </w:rPr>
        <w:t>recommended</w:t>
      </w:r>
      <w:r w:rsidRPr="00C37A4D">
        <w:rPr>
          <w:rFonts w:asciiTheme="minorHAnsi" w:hAnsiTheme="minorHAnsi" w:cstheme="minorHAnsi"/>
          <w:color w:val="000000" w:themeColor="text1"/>
          <w:sz w:val="22"/>
          <w:szCs w:val="22"/>
          <w:lang w:val="en-GB"/>
        </w:rPr>
        <w:t xml:space="preserve"> drugs are </w:t>
      </w:r>
      <w:r w:rsidR="00A87754">
        <w:rPr>
          <w:rFonts w:asciiTheme="minorHAnsi" w:hAnsiTheme="minorHAnsi" w:cstheme="minorHAnsi"/>
          <w:color w:val="000000" w:themeColor="text1"/>
          <w:sz w:val="22"/>
          <w:szCs w:val="22"/>
          <w:lang w:val="en-GB"/>
        </w:rPr>
        <w:t>un</w:t>
      </w:r>
      <w:r w:rsidRPr="00C37A4D">
        <w:rPr>
          <w:rFonts w:asciiTheme="minorHAnsi" w:hAnsiTheme="minorHAnsi" w:cstheme="minorHAnsi"/>
          <w:color w:val="000000" w:themeColor="text1"/>
          <w:sz w:val="22"/>
          <w:szCs w:val="22"/>
          <w:lang w:val="en-GB"/>
        </w:rPr>
        <w:t xml:space="preserve">available, then it has little value. And </w:t>
      </w:r>
      <w:r w:rsidR="00A87754">
        <w:rPr>
          <w:rFonts w:asciiTheme="minorHAnsi" w:hAnsiTheme="minorHAnsi" w:cstheme="minorHAnsi"/>
          <w:color w:val="000000" w:themeColor="text1"/>
          <w:sz w:val="22"/>
          <w:szCs w:val="22"/>
          <w:lang w:val="en-GB"/>
        </w:rPr>
        <w:t>finally</w:t>
      </w:r>
      <w:r w:rsidRPr="00C37A4D">
        <w:rPr>
          <w:rFonts w:asciiTheme="minorHAnsi" w:hAnsiTheme="minorHAnsi" w:cstheme="minorHAnsi"/>
          <w:color w:val="000000" w:themeColor="text1"/>
          <w:sz w:val="22"/>
          <w:szCs w:val="22"/>
          <w:lang w:val="en-GB"/>
        </w:rPr>
        <w:t xml:space="preserve">, what is the </w:t>
      </w:r>
      <w:r w:rsidR="00FF79DF">
        <w:rPr>
          <w:rFonts w:asciiTheme="minorHAnsi" w:hAnsiTheme="minorHAnsi" w:cstheme="minorHAnsi"/>
          <w:color w:val="000000" w:themeColor="text1"/>
          <w:sz w:val="22"/>
          <w:szCs w:val="22"/>
          <w:lang w:val="en-GB"/>
        </w:rPr>
        <w:t>benefit</w:t>
      </w:r>
      <w:r w:rsidRPr="00C37A4D">
        <w:rPr>
          <w:rFonts w:asciiTheme="minorHAnsi" w:hAnsiTheme="minorHAnsi" w:cstheme="minorHAnsi"/>
          <w:color w:val="000000" w:themeColor="text1"/>
          <w:sz w:val="22"/>
          <w:szCs w:val="22"/>
          <w:lang w:val="en-GB"/>
        </w:rPr>
        <w:t xml:space="preserve"> of the </w:t>
      </w:r>
      <w:r>
        <w:rPr>
          <w:rFonts w:asciiTheme="minorHAnsi" w:hAnsiTheme="minorHAnsi" w:cstheme="minorHAnsi"/>
          <w:color w:val="000000" w:themeColor="text1"/>
          <w:sz w:val="22"/>
          <w:szCs w:val="22"/>
          <w:lang w:val="en-GB"/>
        </w:rPr>
        <w:t>interventions</w:t>
      </w:r>
      <w:r w:rsidRPr="00C37A4D">
        <w:rPr>
          <w:rFonts w:asciiTheme="minorHAnsi" w:hAnsiTheme="minorHAnsi" w:cstheme="minorHAnsi"/>
          <w:color w:val="000000" w:themeColor="text1"/>
          <w:sz w:val="22"/>
          <w:szCs w:val="22"/>
          <w:lang w:val="en-GB"/>
        </w:rPr>
        <w:t xml:space="preserve"> informed by the surveillance data? Estimates of the value of surveillance</w:t>
      </w:r>
      <w:r w:rsidR="001B523D">
        <w:rPr>
          <w:rFonts w:asciiTheme="minorHAnsi" w:hAnsiTheme="minorHAnsi" w:cstheme="minorHAnsi"/>
          <w:color w:val="000000" w:themeColor="text1"/>
          <w:sz w:val="22"/>
          <w:szCs w:val="22"/>
          <w:lang w:val="en-GB"/>
        </w:rPr>
        <w:t xml:space="preserve"> can then help justify its cost</w:t>
      </w:r>
      <w:r w:rsidRPr="00C37A4D">
        <w:rPr>
          <w:rFonts w:asciiTheme="minorHAnsi" w:hAnsiTheme="minorHAnsi" w:cstheme="minorHAnsi"/>
          <w:color w:val="000000" w:themeColor="text1"/>
          <w:sz w:val="22"/>
          <w:szCs w:val="22"/>
          <w:lang w:val="en-GB"/>
        </w:rPr>
        <w:t xml:space="preserve">. </w:t>
      </w:r>
    </w:p>
    <w:p w14:paraId="2B5368A8" w14:textId="77777777" w:rsidR="00CA1299" w:rsidRDefault="00CA1299">
      <w:pPr>
        <w:rPr>
          <w:rFonts w:asciiTheme="minorHAnsi" w:eastAsia="Arial" w:hAnsiTheme="minorHAnsi" w:cstheme="minorHAnsi"/>
          <w:b/>
          <w:color w:val="000000" w:themeColor="text1"/>
          <w:sz w:val="22"/>
          <w:szCs w:val="22"/>
          <w:lang w:val="en-GB"/>
        </w:rPr>
      </w:pPr>
    </w:p>
    <w:p w14:paraId="70CA9588" w14:textId="3D316744" w:rsidR="00B92ECE" w:rsidRPr="00C37A4D" w:rsidRDefault="004D20C7">
      <w:pPr>
        <w:rPr>
          <w:rFonts w:asciiTheme="minorHAnsi" w:eastAsia="Arial" w:hAnsiTheme="minorHAnsi" w:cstheme="minorHAnsi"/>
          <w:b/>
          <w:color w:val="000000" w:themeColor="text1"/>
          <w:sz w:val="22"/>
          <w:szCs w:val="22"/>
          <w:lang w:val="en-GB"/>
        </w:rPr>
      </w:pPr>
      <w:r w:rsidRPr="00C37A4D">
        <w:rPr>
          <w:rFonts w:asciiTheme="minorHAnsi" w:eastAsia="Arial" w:hAnsiTheme="minorHAnsi" w:cstheme="minorHAnsi"/>
          <w:b/>
          <w:color w:val="000000" w:themeColor="text1"/>
          <w:sz w:val="22"/>
          <w:szCs w:val="22"/>
          <w:lang w:val="en-GB"/>
        </w:rPr>
        <w:t>CONCLUSION</w:t>
      </w:r>
    </w:p>
    <w:p w14:paraId="1FF45FE6" w14:textId="1EEED9CD" w:rsidR="00C85256" w:rsidRPr="00C37A4D" w:rsidRDefault="007C6E7A">
      <w:pPr>
        <w:rPr>
          <w:rFonts w:asciiTheme="minorHAnsi" w:eastAsia="Arial"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Antibiotics have</w:t>
      </w:r>
      <w:r w:rsidR="0001512C" w:rsidRPr="00C37A4D">
        <w:rPr>
          <w:rFonts w:asciiTheme="minorHAnsi" w:hAnsiTheme="minorHAnsi" w:cstheme="minorHAnsi"/>
          <w:color w:val="000000" w:themeColor="text1"/>
          <w:sz w:val="22"/>
          <w:szCs w:val="22"/>
          <w:lang w:val="en-GB"/>
        </w:rPr>
        <w:t xml:space="preserve"> saved millions of lives but </w:t>
      </w:r>
      <w:r>
        <w:rPr>
          <w:rFonts w:asciiTheme="minorHAnsi" w:hAnsiTheme="minorHAnsi" w:cstheme="minorHAnsi"/>
          <w:color w:val="000000" w:themeColor="text1"/>
          <w:sz w:val="22"/>
          <w:szCs w:val="22"/>
          <w:lang w:val="en-GB"/>
        </w:rPr>
        <w:t>have</w:t>
      </w:r>
      <w:r w:rsidRPr="00C37A4D">
        <w:rPr>
          <w:rFonts w:asciiTheme="minorHAnsi" w:hAnsiTheme="minorHAnsi" w:cstheme="minorHAnsi"/>
          <w:color w:val="000000" w:themeColor="text1"/>
          <w:sz w:val="22"/>
          <w:szCs w:val="22"/>
          <w:lang w:val="en-GB"/>
        </w:rPr>
        <w:t xml:space="preserve"> </w:t>
      </w:r>
      <w:r w:rsidR="0001512C" w:rsidRPr="00C37A4D">
        <w:rPr>
          <w:rFonts w:asciiTheme="minorHAnsi" w:hAnsiTheme="minorHAnsi" w:cstheme="minorHAnsi"/>
          <w:color w:val="000000" w:themeColor="text1"/>
          <w:sz w:val="22"/>
          <w:szCs w:val="22"/>
          <w:lang w:val="en-GB"/>
        </w:rPr>
        <w:t>also driven the accompanying resistance pandemic</w:t>
      </w:r>
      <w:r w:rsidR="00480C22">
        <w:rPr>
          <w:rFonts w:asciiTheme="minorHAnsi" w:hAnsiTheme="minorHAnsi" w:cstheme="minorHAnsi"/>
          <w:color w:val="000000" w:themeColor="text1"/>
          <w:sz w:val="22"/>
          <w:szCs w:val="22"/>
          <w:lang w:val="en-GB"/>
        </w:rPr>
        <w:t xml:space="preserve"> </w:t>
      </w:r>
      <w:r w:rsidR="001B523D">
        <w:rPr>
          <w:rFonts w:asciiTheme="minorHAnsi" w:hAnsiTheme="minorHAnsi" w:cstheme="minorHAnsi"/>
          <w:color w:val="000000" w:themeColor="text1"/>
          <w:sz w:val="22"/>
          <w:szCs w:val="22"/>
          <w:lang w:val="en-GB"/>
        </w:rPr>
        <w:t xml:space="preserve">and its </w:t>
      </w:r>
      <w:r w:rsidR="00480C22">
        <w:rPr>
          <w:rFonts w:asciiTheme="minorHAnsi" w:hAnsiTheme="minorHAnsi" w:cstheme="minorHAnsi"/>
          <w:color w:val="000000" w:themeColor="text1"/>
          <w:sz w:val="22"/>
          <w:szCs w:val="22"/>
          <w:lang w:val="en-GB"/>
        </w:rPr>
        <w:t>considerable attributable mortality</w:t>
      </w:r>
      <w:r w:rsidR="0001512C" w:rsidRPr="00C37A4D">
        <w:rPr>
          <w:rFonts w:asciiTheme="minorHAnsi" w:hAnsiTheme="minorHAnsi" w:cstheme="minorHAnsi"/>
          <w:color w:val="000000" w:themeColor="text1"/>
          <w:sz w:val="22"/>
          <w:szCs w:val="22"/>
          <w:lang w:val="en-GB"/>
        </w:rPr>
        <w:t xml:space="preserve">. </w:t>
      </w:r>
      <w:r w:rsidR="00E66DFF">
        <w:rPr>
          <w:rFonts w:asciiTheme="minorHAnsi" w:eastAsia="Arial" w:hAnsiTheme="minorHAnsi" w:cstheme="minorHAnsi"/>
          <w:color w:val="000000" w:themeColor="text1"/>
          <w:sz w:val="22"/>
          <w:szCs w:val="22"/>
          <w:lang w:val="en-GB"/>
        </w:rPr>
        <w:t>As is access to antimicrobials, the</w:t>
      </w:r>
      <w:r w:rsidR="00E66DFF" w:rsidRPr="00C37A4D">
        <w:rPr>
          <w:rFonts w:asciiTheme="minorHAnsi" w:eastAsia="Arial" w:hAnsiTheme="minorHAnsi" w:cstheme="minorHAnsi"/>
          <w:color w:val="000000" w:themeColor="text1"/>
          <w:sz w:val="22"/>
          <w:szCs w:val="22"/>
          <w:lang w:val="en-GB"/>
        </w:rPr>
        <w:t xml:space="preserve"> </w:t>
      </w:r>
      <w:r w:rsidR="00B92ECE" w:rsidRPr="00C37A4D">
        <w:rPr>
          <w:rFonts w:asciiTheme="minorHAnsi" w:eastAsia="Arial" w:hAnsiTheme="minorHAnsi" w:cstheme="minorHAnsi"/>
          <w:color w:val="000000" w:themeColor="text1"/>
          <w:sz w:val="22"/>
          <w:szCs w:val="22"/>
          <w:lang w:val="en-GB"/>
        </w:rPr>
        <w:t>burden of resistance is enormous</w:t>
      </w:r>
      <w:r>
        <w:rPr>
          <w:rFonts w:asciiTheme="minorHAnsi" w:eastAsia="Arial" w:hAnsiTheme="minorHAnsi" w:cstheme="minorHAnsi"/>
          <w:color w:val="000000" w:themeColor="text1"/>
          <w:sz w:val="22"/>
          <w:szCs w:val="22"/>
          <w:lang w:val="en-GB"/>
        </w:rPr>
        <w:t xml:space="preserve">, </w:t>
      </w:r>
      <w:r w:rsidR="009A581B" w:rsidRPr="00C37A4D">
        <w:rPr>
          <w:rFonts w:asciiTheme="minorHAnsi" w:eastAsia="Arial" w:hAnsiTheme="minorHAnsi" w:cstheme="minorHAnsi"/>
          <w:color w:val="000000" w:themeColor="text1"/>
          <w:sz w:val="22"/>
          <w:szCs w:val="22"/>
          <w:lang w:val="en-GB"/>
        </w:rPr>
        <w:t>growing</w:t>
      </w:r>
      <w:r>
        <w:rPr>
          <w:rFonts w:asciiTheme="minorHAnsi" w:eastAsia="Arial" w:hAnsiTheme="minorHAnsi" w:cstheme="minorHAnsi"/>
          <w:color w:val="000000" w:themeColor="text1"/>
          <w:sz w:val="22"/>
          <w:szCs w:val="22"/>
          <w:lang w:val="en-GB"/>
        </w:rPr>
        <w:t xml:space="preserve">, unevenly </w:t>
      </w:r>
      <w:r w:rsidR="00B92ECE" w:rsidRPr="00C37A4D">
        <w:rPr>
          <w:rFonts w:asciiTheme="minorHAnsi" w:eastAsia="Arial" w:hAnsiTheme="minorHAnsi" w:cstheme="minorHAnsi"/>
          <w:color w:val="000000" w:themeColor="text1"/>
          <w:sz w:val="22"/>
          <w:szCs w:val="22"/>
          <w:lang w:val="en-GB"/>
        </w:rPr>
        <w:t>distributed</w:t>
      </w:r>
      <w:r w:rsidR="00FF79DF">
        <w:rPr>
          <w:rFonts w:asciiTheme="minorHAnsi" w:eastAsia="Arial" w:hAnsiTheme="minorHAnsi" w:cstheme="minorHAnsi"/>
          <w:color w:val="000000" w:themeColor="text1"/>
          <w:sz w:val="22"/>
          <w:szCs w:val="22"/>
          <w:lang w:val="en-GB"/>
        </w:rPr>
        <w:t>;</w:t>
      </w:r>
      <w:r w:rsidR="00C277DD">
        <w:rPr>
          <w:rFonts w:asciiTheme="minorHAnsi" w:eastAsia="Arial" w:hAnsiTheme="minorHAnsi" w:cstheme="minorHAnsi"/>
          <w:color w:val="000000" w:themeColor="text1"/>
          <w:sz w:val="22"/>
          <w:szCs w:val="22"/>
          <w:lang w:val="en-GB"/>
        </w:rPr>
        <w:t xml:space="preserve"> </w:t>
      </w:r>
      <w:r w:rsidR="00FF79DF">
        <w:rPr>
          <w:rFonts w:asciiTheme="minorHAnsi" w:eastAsia="Arial" w:hAnsiTheme="minorHAnsi" w:cstheme="minorHAnsi"/>
          <w:color w:val="000000" w:themeColor="text1"/>
          <w:sz w:val="22"/>
          <w:szCs w:val="22"/>
          <w:lang w:val="en-GB"/>
        </w:rPr>
        <w:t xml:space="preserve">it is </w:t>
      </w:r>
      <w:r w:rsidR="00C277DD">
        <w:rPr>
          <w:rFonts w:asciiTheme="minorHAnsi" w:eastAsia="Arial" w:hAnsiTheme="minorHAnsi" w:cstheme="minorHAnsi"/>
          <w:color w:val="000000" w:themeColor="text1"/>
          <w:sz w:val="22"/>
          <w:szCs w:val="22"/>
          <w:lang w:val="en-GB"/>
        </w:rPr>
        <w:t>thwarting infectious disease control</w:t>
      </w:r>
      <w:r w:rsidR="00B92ECE" w:rsidRPr="00C37A4D">
        <w:rPr>
          <w:rFonts w:asciiTheme="minorHAnsi" w:eastAsia="Arial" w:hAnsiTheme="minorHAnsi" w:cstheme="minorHAnsi"/>
          <w:color w:val="000000" w:themeColor="text1"/>
          <w:sz w:val="22"/>
          <w:szCs w:val="22"/>
          <w:lang w:val="en-GB"/>
        </w:rPr>
        <w:t>.</w:t>
      </w:r>
      <w:r w:rsidR="0047001E" w:rsidRPr="00C37A4D">
        <w:rPr>
          <w:rFonts w:asciiTheme="minorHAnsi" w:eastAsia="Arial" w:hAnsiTheme="minorHAnsi" w:cstheme="minorHAnsi"/>
          <w:color w:val="000000" w:themeColor="text1"/>
          <w:sz w:val="22"/>
          <w:szCs w:val="22"/>
          <w:lang w:val="en-GB"/>
        </w:rPr>
        <w:t xml:space="preserve"> </w:t>
      </w:r>
      <w:r w:rsidR="00943716">
        <w:rPr>
          <w:rFonts w:asciiTheme="minorHAnsi" w:eastAsia="Arial" w:hAnsiTheme="minorHAnsi" w:cstheme="minorHAnsi"/>
          <w:color w:val="000000" w:themeColor="text1"/>
          <w:sz w:val="22"/>
          <w:szCs w:val="22"/>
          <w:lang w:val="en-GB"/>
        </w:rPr>
        <w:t>Everyone is at risk from resistance, including those</w:t>
      </w:r>
      <w:r w:rsidR="00407CBE" w:rsidRPr="00C37A4D">
        <w:rPr>
          <w:rFonts w:asciiTheme="minorHAnsi" w:eastAsia="Arial" w:hAnsiTheme="minorHAnsi" w:cstheme="minorHAnsi"/>
          <w:color w:val="000000" w:themeColor="text1"/>
          <w:sz w:val="22"/>
          <w:szCs w:val="22"/>
          <w:lang w:val="en-GB"/>
        </w:rPr>
        <w:t xml:space="preserve"> </w:t>
      </w:r>
      <w:r w:rsidR="00943716">
        <w:rPr>
          <w:rFonts w:asciiTheme="minorHAnsi" w:eastAsia="Arial" w:hAnsiTheme="minorHAnsi" w:cstheme="minorHAnsi"/>
          <w:color w:val="000000" w:themeColor="text1"/>
          <w:sz w:val="22"/>
          <w:szCs w:val="22"/>
          <w:lang w:val="en-GB"/>
        </w:rPr>
        <w:t>that</w:t>
      </w:r>
      <w:r w:rsidR="00943716" w:rsidRPr="00C37A4D">
        <w:rPr>
          <w:rFonts w:asciiTheme="minorHAnsi" w:eastAsia="Arial" w:hAnsiTheme="minorHAnsi" w:cstheme="minorHAnsi"/>
          <w:color w:val="000000" w:themeColor="text1"/>
          <w:sz w:val="22"/>
          <w:szCs w:val="22"/>
          <w:lang w:val="en-GB"/>
        </w:rPr>
        <w:t xml:space="preserve"> </w:t>
      </w:r>
      <w:r w:rsidR="00407CBE" w:rsidRPr="00C37A4D">
        <w:rPr>
          <w:rFonts w:asciiTheme="minorHAnsi" w:eastAsia="Arial" w:hAnsiTheme="minorHAnsi" w:cstheme="minorHAnsi"/>
          <w:color w:val="000000" w:themeColor="text1"/>
          <w:sz w:val="22"/>
          <w:szCs w:val="22"/>
          <w:lang w:val="en-GB"/>
        </w:rPr>
        <w:t xml:space="preserve">have never </w:t>
      </w:r>
      <w:r w:rsidR="001B523D">
        <w:rPr>
          <w:rFonts w:asciiTheme="minorHAnsi" w:eastAsia="Arial" w:hAnsiTheme="minorHAnsi" w:cstheme="minorHAnsi"/>
          <w:color w:val="000000" w:themeColor="text1"/>
          <w:sz w:val="22"/>
          <w:szCs w:val="22"/>
          <w:lang w:val="en-GB"/>
        </w:rPr>
        <w:t>taken</w:t>
      </w:r>
      <w:r w:rsidR="001B523D" w:rsidRPr="00C37A4D">
        <w:rPr>
          <w:rFonts w:asciiTheme="minorHAnsi" w:eastAsia="Arial" w:hAnsiTheme="minorHAnsi" w:cstheme="minorHAnsi"/>
          <w:color w:val="000000" w:themeColor="text1"/>
          <w:sz w:val="22"/>
          <w:szCs w:val="22"/>
          <w:lang w:val="en-GB"/>
        </w:rPr>
        <w:t xml:space="preserve"> </w:t>
      </w:r>
      <w:r w:rsidR="00407CBE" w:rsidRPr="00C37A4D">
        <w:rPr>
          <w:rFonts w:asciiTheme="minorHAnsi" w:eastAsia="Arial" w:hAnsiTheme="minorHAnsi" w:cstheme="minorHAnsi"/>
          <w:color w:val="000000" w:themeColor="text1"/>
          <w:sz w:val="22"/>
          <w:szCs w:val="22"/>
          <w:lang w:val="en-GB"/>
        </w:rPr>
        <w:t xml:space="preserve">an </w:t>
      </w:r>
      <w:r w:rsidR="001B523D">
        <w:rPr>
          <w:rFonts w:asciiTheme="minorHAnsi" w:eastAsia="Arial" w:hAnsiTheme="minorHAnsi" w:cstheme="minorHAnsi"/>
          <w:color w:val="000000" w:themeColor="text1"/>
          <w:sz w:val="22"/>
          <w:szCs w:val="22"/>
          <w:lang w:val="en-GB"/>
        </w:rPr>
        <w:t>antibiotic</w:t>
      </w:r>
      <w:r w:rsidR="00943716">
        <w:rPr>
          <w:rFonts w:asciiTheme="minorHAnsi" w:eastAsia="Arial" w:hAnsiTheme="minorHAnsi" w:cstheme="minorHAnsi"/>
          <w:color w:val="000000" w:themeColor="text1"/>
          <w:sz w:val="22"/>
          <w:szCs w:val="22"/>
          <w:lang w:val="en-GB"/>
        </w:rPr>
        <w:t>, such as neonates</w:t>
      </w:r>
      <w:r w:rsidR="004D00F8">
        <w:rPr>
          <w:rFonts w:asciiTheme="minorHAnsi" w:eastAsia="Arial" w:hAnsiTheme="minorHAnsi" w:cstheme="minorHAnsi"/>
          <w:color w:val="000000" w:themeColor="text1"/>
          <w:sz w:val="22"/>
          <w:szCs w:val="22"/>
          <w:lang w:val="en-GB"/>
        </w:rPr>
        <w:t>,</w:t>
      </w:r>
      <w:r w:rsidR="001B523D">
        <w:rPr>
          <w:rFonts w:asciiTheme="minorHAnsi" w:eastAsia="Arial" w:hAnsiTheme="minorHAnsi" w:cstheme="minorHAnsi"/>
          <w:color w:val="000000" w:themeColor="text1"/>
          <w:sz w:val="22"/>
          <w:szCs w:val="22"/>
          <w:lang w:val="en-GB"/>
        </w:rPr>
        <w:t xml:space="preserve"> </w:t>
      </w:r>
      <w:r w:rsidR="00407CBE" w:rsidRPr="00C37A4D">
        <w:rPr>
          <w:rFonts w:asciiTheme="minorHAnsi" w:eastAsia="Arial" w:hAnsiTheme="minorHAnsi" w:cstheme="minorHAnsi"/>
          <w:color w:val="000000" w:themeColor="text1"/>
          <w:sz w:val="22"/>
          <w:szCs w:val="22"/>
          <w:lang w:val="en-GB"/>
        </w:rPr>
        <w:t>bear the consequences of antimicrobial selective pressure placed by generations before.</w:t>
      </w:r>
      <w:r w:rsidR="0066136A">
        <w:rPr>
          <w:rFonts w:asciiTheme="minorHAnsi" w:eastAsia="Arial" w:hAnsiTheme="minorHAnsi" w:cstheme="minorHAnsi"/>
          <w:color w:val="000000" w:themeColor="text1"/>
          <w:sz w:val="22"/>
          <w:szCs w:val="22"/>
          <w:lang w:val="en-GB"/>
        </w:rPr>
        <w:t xml:space="preserve"> </w:t>
      </w:r>
      <w:r w:rsidR="00B92ECE" w:rsidRPr="00C37A4D">
        <w:rPr>
          <w:rFonts w:asciiTheme="minorHAnsi" w:eastAsia="Arial" w:hAnsiTheme="minorHAnsi" w:cstheme="minorHAnsi"/>
          <w:color w:val="000000" w:themeColor="text1"/>
          <w:sz w:val="22"/>
          <w:szCs w:val="22"/>
          <w:lang w:val="en-GB"/>
        </w:rPr>
        <w:t xml:space="preserve">In </w:t>
      </w:r>
      <w:r w:rsidR="00C85256" w:rsidRPr="00C37A4D">
        <w:rPr>
          <w:rFonts w:asciiTheme="minorHAnsi" w:eastAsia="Arial" w:hAnsiTheme="minorHAnsi" w:cstheme="minorHAnsi"/>
          <w:color w:val="000000" w:themeColor="text1"/>
          <w:sz w:val="22"/>
          <w:szCs w:val="22"/>
          <w:lang w:val="en-GB"/>
        </w:rPr>
        <w:t xml:space="preserve">parts of Asia and sub-Saharan Africa, </w:t>
      </w:r>
      <w:r w:rsidR="001B523D">
        <w:rPr>
          <w:rFonts w:asciiTheme="minorHAnsi" w:eastAsia="Arial" w:hAnsiTheme="minorHAnsi" w:cstheme="minorHAnsi"/>
          <w:color w:val="000000" w:themeColor="text1"/>
          <w:sz w:val="22"/>
          <w:szCs w:val="22"/>
          <w:lang w:val="en-GB"/>
        </w:rPr>
        <w:t xml:space="preserve">the </w:t>
      </w:r>
      <w:r w:rsidR="00C85256" w:rsidRPr="00C37A4D">
        <w:rPr>
          <w:rFonts w:asciiTheme="minorHAnsi" w:eastAsia="Arial" w:hAnsiTheme="minorHAnsi" w:cstheme="minorHAnsi"/>
          <w:color w:val="000000" w:themeColor="text1"/>
          <w:sz w:val="22"/>
          <w:szCs w:val="22"/>
          <w:lang w:val="en-GB"/>
        </w:rPr>
        <w:t xml:space="preserve">burden is lack of access to </w:t>
      </w:r>
      <w:r w:rsidR="00161ED9" w:rsidRPr="00C37A4D">
        <w:rPr>
          <w:rFonts w:asciiTheme="minorHAnsi" w:eastAsia="Arial" w:hAnsiTheme="minorHAnsi" w:cstheme="minorHAnsi"/>
          <w:color w:val="000000" w:themeColor="text1"/>
          <w:sz w:val="22"/>
          <w:szCs w:val="22"/>
          <w:lang w:val="en-GB"/>
        </w:rPr>
        <w:t xml:space="preserve">effective </w:t>
      </w:r>
      <w:r w:rsidR="00C85256" w:rsidRPr="00C37A4D">
        <w:rPr>
          <w:rFonts w:asciiTheme="minorHAnsi" w:eastAsia="Arial" w:hAnsiTheme="minorHAnsi" w:cstheme="minorHAnsi"/>
          <w:color w:val="000000" w:themeColor="text1"/>
          <w:sz w:val="22"/>
          <w:szCs w:val="22"/>
          <w:lang w:val="en-GB"/>
        </w:rPr>
        <w:t>antibiotics</w:t>
      </w:r>
      <w:r w:rsidR="001B523D">
        <w:rPr>
          <w:rFonts w:asciiTheme="minorHAnsi" w:eastAsia="Arial" w:hAnsiTheme="minorHAnsi" w:cstheme="minorHAnsi"/>
          <w:color w:val="000000" w:themeColor="text1"/>
          <w:sz w:val="22"/>
          <w:szCs w:val="22"/>
          <w:lang w:val="en-GB"/>
        </w:rPr>
        <w:t xml:space="preserve"> and</w:t>
      </w:r>
      <w:r w:rsidR="00407CBE" w:rsidRPr="00C37A4D">
        <w:rPr>
          <w:rFonts w:asciiTheme="minorHAnsi" w:eastAsia="Arial" w:hAnsiTheme="minorHAnsi" w:cstheme="minorHAnsi"/>
          <w:color w:val="000000" w:themeColor="text1"/>
          <w:sz w:val="22"/>
          <w:szCs w:val="22"/>
          <w:lang w:val="en-GB"/>
        </w:rPr>
        <w:t xml:space="preserve"> infrastructural shortfalls that promote </w:t>
      </w:r>
      <w:r w:rsidR="001B523D">
        <w:rPr>
          <w:rFonts w:asciiTheme="minorHAnsi" w:eastAsia="Arial" w:hAnsiTheme="minorHAnsi" w:cstheme="minorHAnsi"/>
          <w:color w:val="000000" w:themeColor="text1"/>
          <w:sz w:val="22"/>
          <w:szCs w:val="22"/>
          <w:lang w:val="en-GB"/>
        </w:rPr>
        <w:t xml:space="preserve">the spread of resistant </w:t>
      </w:r>
      <w:r w:rsidR="00407CBE" w:rsidRPr="00C37A4D">
        <w:rPr>
          <w:rFonts w:asciiTheme="minorHAnsi" w:eastAsia="Arial" w:hAnsiTheme="minorHAnsi" w:cstheme="minorHAnsi"/>
          <w:color w:val="000000" w:themeColor="text1"/>
          <w:sz w:val="22"/>
          <w:szCs w:val="22"/>
          <w:lang w:val="en-GB"/>
        </w:rPr>
        <w:t>pathogen</w:t>
      </w:r>
      <w:r w:rsidR="001B523D">
        <w:rPr>
          <w:rFonts w:asciiTheme="minorHAnsi" w:eastAsia="Arial" w:hAnsiTheme="minorHAnsi" w:cstheme="minorHAnsi"/>
          <w:color w:val="000000" w:themeColor="text1"/>
          <w:sz w:val="22"/>
          <w:szCs w:val="22"/>
          <w:lang w:val="en-GB"/>
        </w:rPr>
        <w:t>s</w:t>
      </w:r>
      <w:r w:rsidR="004C0D67">
        <w:rPr>
          <w:rFonts w:asciiTheme="minorHAnsi" w:eastAsia="Arial" w:hAnsiTheme="minorHAnsi" w:cstheme="minorHAnsi"/>
          <w:color w:val="000000" w:themeColor="text1"/>
          <w:sz w:val="22"/>
          <w:szCs w:val="22"/>
          <w:lang w:val="en-GB"/>
        </w:rPr>
        <w:t>.</w:t>
      </w:r>
      <w:r w:rsidR="0066136A">
        <w:rPr>
          <w:rFonts w:asciiTheme="minorHAnsi" w:eastAsia="Arial" w:hAnsiTheme="minorHAnsi" w:cstheme="minorHAnsi"/>
          <w:color w:val="000000" w:themeColor="text1"/>
          <w:sz w:val="22"/>
          <w:szCs w:val="22"/>
          <w:lang w:val="en-GB"/>
        </w:rPr>
        <w:t xml:space="preserve"> </w:t>
      </w:r>
      <w:r w:rsidR="009A581B" w:rsidRPr="00C37A4D">
        <w:rPr>
          <w:rFonts w:asciiTheme="minorHAnsi" w:eastAsia="Arial" w:hAnsiTheme="minorHAnsi" w:cstheme="minorHAnsi"/>
          <w:color w:val="000000" w:themeColor="text1"/>
          <w:sz w:val="22"/>
          <w:szCs w:val="22"/>
          <w:lang w:val="en-GB"/>
        </w:rPr>
        <w:t xml:space="preserve">In </w:t>
      </w:r>
      <w:r w:rsidR="00407CBE" w:rsidRPr="00C37A4D">
        <w:rPr>
          <w:rFonts w:asciiTheme="minorHAnsi" w:eastAsia="Arial" w:hAnsiTheme="minorHAnsi" w:cstheme="minorHAnsi"/>
          <w:color w:val="000000" w:themeColor="text1"/>
          <w:sz w:val="22"/>
          <w:szCs w:val="22"/>
          <w:lang w:val="en-GB"/>
        </w:rPr>
        <w:t xml:space="preserve">all </w:t>
      </w:r>
      <w:r w:rsidR="009A581B" w:rsidRPr="00C37A4D">
        <w:rPr>
          <w:rFonts w:asciiTheme="minorHAnsi" w:eastAsia="Arial" w:hAnsiTheme="minorHAnsi" w:cstheme="minorHAnsi"/>
          <w:color w:val="000000" w:themeColor="text1"/>
          <w:sz w:val="22"/>
          <w:szCs w:val="22"/>
          <w:lang w:val="en-GB"/>
        </w:rPr>
        <w:t>case</w:t>
      </w:r>
      <w:r w:rsidR="00407CBE" w:rsidRPr="00C37A4D">
        <w:rPr>
          <w:rFonts w:asciiTheme="minorHAnsi" w:eastAsia="Arial" w:hAnsiTheme="minorHAnsi" w:cstheme="minorHAnsi"/>
          <w:color w:val="000000" w:themeColor="text1"/>
          <w:sz w:val="22"/>
          <w:szCs w:val="22"/>
          <w:lang w:val="en-GB"/>
        </w:rPr>
        <w:t>s</w:t>
      </w:r>
      <w:r w:rsidR="009A581B" w:rsidRPr="00C37A4D">
        <w:rPr>
          <w:rFonts w:asciiTheme="minorHAnsi" w:eastAsia="Arial" w:hAnsiTheme="minorHAnsi" w:cstheme="minorHAnsi"/>
          <w:color w:val="000000" w:themeColor="text1"/>
          <w:sz w:val="22"/>
          <w:szCs w:val="22"/>
          <w:lang w:val="en-GB"/>
        </w:rPr>
        <w:t xml:space="preserve">, AMR </w:t>
      </w:r>
      <w:r w:rsidR="00821E30">
        <w:rPr>
          <w:rFonts w:asciiTheme="minorHAnsi" w:eastAsia="Arial" w:hAnsiTheme="minorHAnsi" w:cstheme="minorHAnsi"/>
          <w:color w:val="000000" w:themeColor="text1"/>
          <w:sz w:val="22"/>
          <w:szCs w:val="22"/>
          <w:lang w:val="en-GB"/>
        </w:rPr>
        <w:t>is</w:t>
      </w:r>
      <w:r w:rsidR="00821E30" w:rsidRPr="00C37A4D">
        <w:rPr>
          <w:rFonts w:asciiTheme="minorHAnsi" w:eastAsia="Arial" w:hAnsiTheme="minorHAnsi" w:cstheme="minorHAnsi"/>
          <w:color w:val="000000" w:themeColor="text1"/>
          <w:sz w:val="22"/>
          <w:szCs w:val="22"/>
          <w:lang w:val="en-GB"/>
        </w:rPr>
        <w:t xml:space="preserve"> </w:t>
      </w:r>
      <w:r w:rsidR="00407CBE" w:rsidRPr="00C37A4D">
        <w:rPr>
          <w:rFonts w:asciiTheme="minorHAnsi" w:eastAsia="Arial" w:hAnsiTheme="minorHAnsi" w:cstheme="minorHAnsi"/>
          <w:color w:val="000000" w:themeColor="text1"/>
          <w:sz w:val="22"/>
          <w:szCs w:val="22"/>
          <w:lang w:val="en-GB"/>
        </w:rPr>
        <w:t xml:space="preserve">inadequately </w:t>
      </w:r>
      <w:r w:rsidR="00821E30">
        <w:rPr>
          <w:rFonts w:asciiTheme="minorHAnsi" w:eastAsia="Arial" w:hAnsiTheme="minorHAnsi" w:cstheme="minorHAnsi"/>
          <w:color w:val="000000" w:themeColor="text1"/>
          <w:sz w:val="22"/>
          <w:szCs w:val="22"/>
          <w:lang w:val="en-GB"/>
        </w:rPr>
        <w:t xml:space="preserve">documented because </w:t>
      </w:r>
      <w:r w:rsidR="00407CBE" w:rsidRPr="00C37A4D">
        <w:rPr>
          <w:rFonts w:asciiTheme="minorHAnsi" w:eastAsia="Arial" w:hAnsiTheme="minorHAnsi" w:cstheme="minorHAnsi"/>
          <w:color w:val="000000" w:themeColor="text1"/>
          <w:sz w:val="22"/>
          <w:szCs w:val="22"/>
          <w:lang w:val="en-GB"/>
        </w:rPr>
        <w:t xml:space="preserve">laboratory testing </w:t>
      </w:r>
      <w:r w:rsidR="00821E30">
        <w:rPr>
          <w:rFonts w:asciiTheme="minorHAnsi" w:eastAsia="Arial" w:hAnsiTheme="minorHAnsi" w:cstheme="minorHAnsi"/>
          <w:color w:val="000000" w:themeColor="text1"/>
          <w:sz w:val="22"/>
          <w:szCs w:val="22"/>
          <w:lang w:val="en-GB"/>
        </w:rPr>
        <w:t xml:space="preserve">is </w:t>
      </w:r>
      <w:r w:rsidR="006E69A2">
        <w:rPr>
          <w:rFonts w:asciiTheme="minorHAnsi" w:eastAsia="Arial" w:hAnsiTheme="minorHAnsi" w:cstheme="minorHAnsi"/>
          <w:color w:val="000000" w:themeColor="text1"/>
          <w:sz w:val="22"/>
          <w:szCs w:val="22"/>
          <w:lang w:val="en-GB"/>
        </w:rPr>
        <w:t>insufficient</w:t>
      </w:r>
      <w:r w:rsidR="00821E30">
        <w:rPr>
          <w:rFonts w:asciiTheme="minorHAnsi" w:eastAsia="Arial" w:hAnsiTheme="minorHAnsi" w:cstheme="minorHAnsi"/>
          <w:color w:val="000000" w:themeColor="text1"/>
          <w:sz w:val="22"/>
          <w:szCs w:val="22"/>
          <w:lang w:val="en-GB"/>
        </w:rPr>
        <w:t xml:space="preserve">, </w:t>
      </w:r>
      <w:r w:rsidR="00407CBE" w:rsidRPr="00C37A4D">
        <w:rPr>
          <w:rFonts w:asciiTheme="minorHAnsi" w:eastAsia="Arial" w:hAnsiTheme="minorHAnsi" w:cstheme="minorHAnsi"/>
          <w:color w:val="000000" w:themeColor="text1"/>
          <w:sz w:val="22"/>
          <w:szCs w:val="22"/>
          <w:lang w:val="en-GB"/>
        </w:rPr>
        <w:t>and</w:t>
      </w:r>
      <w:r w:rsidR="003E5419" w:rsidRPr="00C37A4D">
        <w:rPr>
          <w:rFonts w:asciiTheme="minorHAnsi" w:eastAsia="Arial" w:hAnsiTheme="minorHAnsi" w:cstheme="minorHAnsi"/>
          <w:color w:val="000000" w:themeColor="text1"/>
          <w:sz w:val="22"/>
          <w:szCs w:val="22"/>
          <w:lang w:val="en-GB"/>
        </w:rPr>
        <w:t xml:space="preserve"> </w:t>
      </w:r>
      <w:r w:rsidR="00821E30">
        <w:rPr>
          <w:rFonts w:asciiTheme="minorHAnsi" w:eastAsia="Arial" w:hAnsiTheme="minorHAnsi" w:cstheme="minorHAnsi"/>
          <w:color w:val="000000" w:themeColor="text1"/>
          <w:sz w:val="22"/>
          <w:szCs w:val="22"/>
          <w:lang w:val="en-GB"/>
        </w:rPr>
        <w:t xml:space="preserve">its burden of disease is </w:t>
      </w:r>
      <w:r w:rsidR="00C85256" w:rsidRPr="00C37A4D">
        <w:rPr>
          <w:rFonts w:asciiTheme="minorHAnsi" w:eastAsia="Arial" w:hAnsiTheme="minorHAnsi" w:cstheme="minorHAnsi"/>
          <w:color w:val="000000" w:themeColor="text1"/>
          <w:sz w:val="22"/>
          <w:szCs w:val="22"/>
          <w:lang w:val="en-GB"/>
        </w:rPr>
        <w:t>poorly measured</w:t>
      </w:r>
      <w:r w:rsidR="009A581B" w:rsidRPr="00C37A4D">
        <w:rPr>
          <w:rFonts w:asciiTheme="minorHAnsi" w:eastAsia="Arial" w:hAnsiTheme="minorHAnsi" w:cstheme="minorHAnsi"/>
          <w:color w:val="000000" w:themeColor="text1"/>
          <w:sz w:val="22"/>
          <w:szCs w:val="22"/>
          <w:lang w:val="en-GB"/>
        </w:rPr>
        <w:t>.</w:t>
      </w:r>
      <w:r w:rsidR="0047001E" w:rsidRPr="00C37A4D">
        <w:rPr>
          <w:rFonts w:asciiTheme="minorHAnsi" w:eastAsia="Arial" w:hAnsiTheme="minorHAnsi" w:cstheme="minorHAnsi"/>
          <w:color w:val="000000" w:themeColor="text1"/>
          <w:sz w:val="22"/>
          <w:szCs w:val="22"/>
          <w:lang w:val="en-GB"/>
        </w:rPr>
        <w:t xml:space="preserve"> </w:t>
      </w:r>
      <w:r w:rsidR="00407CBE" w:rsidRPr="00C37A4D">
        <w:rPr>
          <w:rFonts w:asciiTheme="minorHAnsi" w:eastAsia="Arial" w:hAnsiTheme="minorHAnsi" w:cstheme="minorHAnsi"/>
          <w:color w:val="000000" w:themeColor="text1"/>
          <w:sz w:val="22"/>
          <w:szCs w:val="22"/>
          <w:lang w:val="en-GB"/>
        </w:rPr>
        <w:t xml:space="preserve">Strengthening surveillance is a </w:t>
      </w:r>
      <w:r w:rsidR="00A87754">
        <w:rPr>
          <w:rFonts w:asciiTheme="minorHAnsi" w:eastAsia="Arial" w:hAnsiTheme="minorHAnsi" w:cstheme="minorHAnsi"/>
          <w:color w:val="000000" w:themeColor="text1"/>
          <w:sz w:val="22"/>
          <w:szCs w:val="22"/>
          <w:lang w:val="en-GB"/>
        </w:rPr>
        <w:t>prerequisite</w:t>
      </w:r>
      <w:r w:rsidR="00407CBE" w:rsidRPr="00C37A4D">
        <w:rPr>
          <w:rFonts w:asciiTheme="minorHAnsi" w:eastAsia="Arial" w:hAnsiTheme="minorHAnsi" w:cstheme="minorHAnsi"/>
          <w:color w:val="000000" w:themeColor="text1"/>
          <w:sz w:val="22"/>
          <w:szCs w:val="22"/>
          <w:lang w:val="en-GB"/>
        </w:rPr>
        <w:t xml:space="preserve"> for </w:t>
      </w:r>
      <w:r w:rsidR="00821E30">
        <w:rPr>
          <w:rFonts w:asciiTheme="minorHAnsi" w:eastAsia="Arial" w:hAnsiTheme="minorHAnsi" w:cstheme="minorHAnsi"/>
          <w:color w:val="000000" w:themeColor="text1"/>
          <w:sz w:val="22"/>
          <w:szCs w:val="22"/>
          <w:lang w:val="en-GB"/>
        </w:rPr>
        <w:t>halting</w:t>
      </w:r>
      <w:r w:rsidR="00407CBE" w:rsidRPr="00C37A4D">
        <w:rPr>
          <w:rFonts w:asciiTheme="minorHAnsi" w:eastAsia="Arial" w:hAnsiTheme="minorHAnsi" w:cstheme="minorHAnsi"/>
          <w:color w:val="000000" w:themeColor="text1"/>
          <w:sz w:val="22"/>
          <w:szCs w:val="22"/>
          <w:lang w:val="en-GB"/>
        </w:rPr>
        <w:t xml:space="preserve"> antimicrobial resistance and measuring successes in its containment.</w:t>
      </w:r>
    </w:p>
    <w:p w14:paraId="30C979BD" w14:textId="77777777" w:rsidR="00B92ECE" w:rsidRDefault="00B92ECE">
      <w:pPr>
        <w:rPr>
          <w:rFonts w:asciiTheme="minorHAnsi" w:eastAsia="Arial" w:hAnsiTheme="minorHAnsi" w:cstheme="minorHAnsi"/>
          <w:color w:val="000000" w:themeColor="text1"/>
          <w:sz w:val="22"/>
          <w:szCs w:val="22"/>
          <w:lang w:val="en-GB"/>
        </w:rPr>
      </w:pPr>
    </w:p>
    <w:p w14:paraId="0A4BC41C" w14:textId="4C2641FF" w:rsidR="00881206" w:rsidRPr="00881206" w:rsidRDefault="00066963">
      <w:pPr>
        <w:rPr>
          <w:rFonts w:asciiTheme="minorHAnsi" w:eastAsia="Arial" w:hAnsiTheme="minorHAnsi" w:cstheme="minorHAnsi"/>
          <w:color w:val="000000" w:themeColor="text1"/>
          <w:sz w:val="22"/>
          <w:szCs w:val="22"/>
          <w:lang w:val="en-GB"/>
        </w:rPr>
      </w:pPr>
      <w:r>
        <w:rPr>
          <w:rFonts w:asciiTheme="minorHAnsi" w:eastAsia="Arial" w:hAnsiTheme="minorHAnsi" w:cstheme="minorHAnsi"/>
          <w:b/>
          <w:bCs/>
          <w:color w:val="000000" w:themeColor="text1"/>
          <w:sz w:val="22"/>
          <w:szCs w:val="22"/>
          <w:lang w:val="en-GB"/>
        </w:rPr>
        <w:t>DECLARATION OF INTERESTS</w:t>
      </w:r>
    </w:p>
    <w:p w14:paraId="5AD536F1" w14:textId="30809C8D" w:rsidR="00743DC1" w:rsidRDefault="00DD673F">
      <w:pPr>
        <w:rPr>
          <w:rFonts w:asciiTheme="minorHAnsi" w:hAnsiTheme="minorHAnsi" w:cstheme="minorHAnsi"/>
          <w:color w:val="222222"/>
          <w:sz w:val="22"/>
          <w:szCs w:val="22"/>
        </w:rPr>
      </w:pPr>
      <w:r w:rsidRPr="00030C78">
        <w:rPr>
          <w:sz w:val="22"/>
          <w:szCs w:val="22"/>
          <w:lang w:val="en-GB"/>
        </w:rPr>
        <w:t xml:space="preserve">A meeting held to coordinate this paper was supported by the Bill &amp; Melinda Gates Foundation (BMGF) </w:t>
      </w:r>
      <w:r w:rsidRPr="00EA227A">
        <w:rPr>
          <w:sz w:val="22"/>
          <w:szCs w:val="22"/>
          <w:lang w:val="en-GB"/>
        </w:rPr>
        <w:t xml:space="preserve">(INV-055356 to RL) </w:t>
      </w:r>
      <w:r w:rsidRPr="00030C78">
        <w:rPr>
          <w:sz w:val="22"/>
          <w:szCs w:val="22"/>
          <w:lang w:val="en-GB"/>
        </w:rPr>
        <w:t>and the Africa Cent</w:t>
      </w:r>
      <w:r>
        <w:rPr>
          <w:sz w:val="22"/>
          <w:szCs w:val="22"/>
          <w:lang w:val="en-GB"/>
        </w:rPr>
        <w:t>re</w:t>
      </w:r>
      <w:r w:rsidRPr="00030C78">
        <w:rPr>
          <w:sz w:val="22"/>
          <w:szCs w:val="22"/>
          <w:lang w:val="en-GB"/>
        </w:rPr>
        <w:t xml:space="preserve">s for Disease Control and Prevention. Neither funder had any role in the decision to submit the paper for publication. </w:t>
      </w:r>
      <w:r>
        <w:rPr>
          <w:sz w:val="22"/>
          <w:szCs w:val="22"/>
          <w:lang w:val="en-GB"/>
        </w:rPr>
        <w:t>RL has received grant funding from the National Science Foundation (</w:t>
      </w:r>
      <w:r w:rsidRPr="00EA227A">
        <w:rPr>
          <w:sz w:val="22"/>
          <w:szCs w:val="22"/>
          <w:lang w:val="en-GB"/>
        </w:rPr>
        <w:t>CCF1918628</w:t>
      </w:r>
      <w:r>
        <w:rPr>
          <w:sz w:val="22"/>
          <w:szCs w:val="22"/>
          <w:lang w:val="en-GB"/>
        </w:rPr>
        <w:t xml:space="preserve">). </w:t>
      </w:r>
      <w:r w:rsidR="00DC5797" w:rsidRPr="00C37A4D">
        <w:rPr>
          <w:rFonts w:asciiTheme="minorHAnsi" w:eastAsia="Arial" w:hAnsiTheme="minorHAnsi" w:cstheme="minorHAnsi"/>
          <w:color w:val="000000" w:themeColor="text1"/>
          <w:sz w:val="22"/>
          <w:szCs w:val="22"/>
          <w:lang w:val="en-GB"/>
        </w:rPr>
        <w:t xml:space="preserve">INO is a </w:t>
      </w:r>
      <w:proofErr w:type="spellStart"/>
      <w:r w:rsidR="00DC5797" w:rsidRPr="00C37A4D">
        <w:rPr>
          <w:rFonts w:asciiTheme="minorHAnsi" w:eastAsia="Arial" w:hAnsiTheme="minorHAnsi" w:cstheme="minorHAnsi"/>
          <w:color w:val="000000" w:themeColor="text1"/>
          <w:sz w:val="22"/>
          <w:szCs w:val="22"/>
          <w:lang w:val="en-GB"/>
        </w:rPr>
        <w:t>Calestous</w:t>
      </w:r>
      <w:proofErr w:type="spellEnd"/>
      <w:r w:rsidR="00DC5797" w:rsidRPr="00C37A4D">
        <w:rPr>
          <w:rFonts w:asciiTheme="minorHAnsi" w:eastAsia="Arial" w:hAnsiTheme="minorHAnsi" w:cstheme="minorHAnsi"/>
          <w:color w:val="000000" w:themeColor="text1"/>
          <w:sz w:val="22"/>
          <w:szCs w:val="22"/>
          <w:lang w:val="en-GB"/>
        </w:rPr>
        <w:t xml:space="preserve"> </w:t>
      </w:r>
      <w:proofErr w:type="spellStart"/>
      <w:r w:rsidR="00DC5797" w:rsidRPr="00C37A4D">
        <w:rPr>
          <w:rFonts w:asciiTheme="minorHAnsi" w:eastAsia="Arial" w:hAnsiTheme="minorHAnsi" w:cstheme="minorHAnsi"/>
          <w:color w:val="000000" w:themeColor="text1"/>
          <w:sz w:val="22"/>
          <w:szCs w:val="22"/>
          <w:lang w:val="en-GB"/>
        </w:rPr>
        <w:t>Juma</w:t>
      </w:r>
      <w:proofErr w:type="spellEnd"/>
      <w:r w:rsidR="00DC5797" w:rsidRPr="00C37A4D">
        <w:rPr>
          <w:rFonts w:asciiTheme="minorHAnsi" w:eastAsia="Arial" w:hAnsiTheme="minorHAnsi" w:cstheme="minorHAnsi"/>
          <w:color w:val="000000" w:themeColor="text1"/>
          <w:sz w:val="22"/>
          <w:szCs w:val="22"/>
          <w:lang w:val="en-GB"/>
        </w:rPr>
        <w:t xml:space="preserve"> Science Leadership fellow supported by </w:t>
      </w:r>
      <w:r w:rsidR="009647DD">
        <w:rPr>
          <w:rFonts w:asciiTheme="minorHAnsi" w:eastAsia="Arial" w:hAnsiTheme="minorHAnsi" w:cstheme="minorHAnsi"/>
          <w:color w:val="000000" w:themeColor="text1"/>
          <w:sz w:val="22"/>
          <w:szCs w:val="22"/>
          <w:lang w:val="en-GB"/>
        </w:rPr>
        <w:t>BMGF</w:t>
      </w:r>
      <w:r w:rsidR="00DC5797" w:rsidRPr="00C37A4D">
        <w:rPr>
          <w:rFonts w:asciiTheme="minorHAnsi" w:eastAsia="Arial" w:hAnsiTheme="minorHAnsi" w:cstheme="minorHAnsi"/>
          <w:color w:val="000000" w:themeColor="text1"/>
          <w:sz w:val="22"/>
          <w:szCs w:val="22"/>
          <w:lang w:val="en-GB"/>
        </w:rPr>
        <w:t xml:space="preserve"> (INV-036234</w:t>
      </w:r>
      <w:r w:rsidR="00DC5797" w:rsidRPr="00DD730C">
        <w:rPr>
          <w:rFonts w:asciiTheme="minorHAnsi" w:eastAsia="Arial" w:hAnsiTheme="minorHAnsi" w:cstheme="minorHAnsi"/>
          <w:color w:val="000000" w:themeColor="text1"/>
          <w:sz w:val="22"/>
          <w:szCs w:val="22"/>
          <w:lang w:val="en-GB"/>
        </w:rPr>
        <w:t>)</w:t>
      </w:r>
      <w:r w:rsidR="00BB78B9">
        <w:rPr>
          <w:rFonts w:asciiTheme="minorHAnsi" w:eastAsia="Arial" w:hAnsiTheme="minorHAnsi" w:cstheme="minorHAnsi"/>
          <w:color w:val="000000" w:themeColor="text1"/>
          <w:sz w:val="22"/>
          <w:szCs w:val="22"/>
          <w:lang w:val="en-GB"/>
        </w:rPr>
        <w:t xml:space="preserve">; receives grant funding from the UK NIHR, </w:t>
      </w:r>
      <w:proofErr w:type="spellStart"/>
      <w:r w:rsidR="00BB78B9">
        <w:rPr>
          <w:rFonts w:asciiTheme="minorHAnsi" w:eastAsia="Arial" w:hAnsiTheme="minorHAnsi" w:cstheme="minorHAnsi"/>
          <w:color w:val="000000" w:themeColor="text1"/>
          <w:sz w:val="22"/>
          <w:szCs w:val="22"/>
          <w:lang w:val="en-GB"/>
        </w:rPr>
        <w:t>Wellcome</w:t>
      </w:r>
      <w:proofErr w:type="spellEnd"/>
      <w:r w:rsidR="00BB78B9">
        <w:rPr>
          <w:rFonts w:asciiTheme="minorHAnsi" w:eastAsia="Arial" w:hAnsiTheme="minorHAnsi" w:cstheme="minorHAnsi"/>
          <w:color w:val="000000" w:themeColor="text1"/>
          <w:sz w:val="22"/>
          <w:szCs w:val="22"/>
          <w:lang w:val="en-GB"/>
        </w:rPr>
        <w:t xml:space="preserve"> Trust, Public Health Alliance for Genomic Epidemiology, SEQAFRICA, Grand Challenges Africa Award (</w:t>
      </w:r>
      <w:r w:rsidR="00BB78B9" w:rsidRPr="00BB78B9">
        <w:rPr>
          <w:rFonts w:asciiTheme="minorHAnsi" w:eastAsia="Arial" w:hAnsiTheme="minorHAnsi" w:cstheme="minorHAnsi"/>
          <w:color w:val="000000" w:themeColor="text1"/>
          <w:sz w:val="22"/>
          <w:szCs w:val="22"/>
          <w:lang w:val="en-GB"/>
        </w:rPr>
        <w:t>GCA/DD/rnd3/021</w:t>
      </w:r>
      <w:r w:rsidR="00BB78B9">
        <w:rPr>
          <w:rFonts w:asciiTheme="minorHAnsi" w:eastAsia="Arial" w:hAnsiTheme="minorHAnsi" w:cstheme="minorHAnsi"/>
          <w:color w:val="000000" w:themeColor="text1"/>
          <w:sz w:val="22"/>
          <w:szCs w:val="22"/>
          <w:lang w:val="en-GB"/>
        </w:rPr>
        <w:t xml:space="preserve">), International Vaccine Institute Award; receives royalties from Oxford University Press, Cornell University Press, Springer; receives consulting fees from the </w:t>
      </w:r>
      <w:proofErr w:type="spellStart"/>
      <w:r w:rsidR="00BB78B9">
        <w:rPr>
          <w:rFonts w:asciiTheme="minorHAnsi" w:eastAsia="Arial" w:hAnsiTheme="minorHAnsi" w:cstheme="minorHAnsi"/>
          <w:color w:val="000000" w:themeColor="text1"/>
          <w:sz w:val="22"/>
          <w:szCs w:val="22"/>
          <w:lang w:val="en-GB"/>
        </w:rPr>
        <w:t>Wellcome</w:t>
      </w:r>
      <w:proofErr w:type="spellEnd"/>
      <w:r w:rsidR="00BB78B9">
        <w:rPr>
          <w:rFonts w:asciiTheme="minorHAnsi" w:eastAsia="Arial" w:hAnsiTheme="minorHAnsi" w:cstheme="minorHAnsi"/>
          <w:color w:val="000000" w:themeColor="text1"/>
          <w:sz w:val="22"/>
          <w:szCs w:val="22"/>
          <w:lang w:val="en-GB"/>
        </w:rPr>
        <w:t xml:space="preserve"> Trust, has received payment for lectures from the UK Microbiology Society; travel support from the BMGF, the European Society for Clinical Microbiology and Infectious Disease, the American Society for Microbiology; has paid leadership roles in the BMGF Surveillance Advisory group (2019-2021), the Thomas </w:t>
      </w:r>
      <w:proofErr w:type="spellStart"/>
      <w:r w:rsidR="00BB78B9">
        <w:rPr>
          <w:rFonts w:asciiTheme="minorHAnsi" w:eastAsia="Arial" w:hAnsiTheme="minorHAnsi" w:cstheme="minorHAnsi"/>
          <w:color w:val="000000" w:themeColor="text1"/>
          <w:sz w:val="22"/>
          <w:szCs w:val="22"/>
          <w:lang w:val="en-GB"/>
        </w:rPr>
        <w:t>Bassir</w:t>
      </w:r>
      <w:proofErr w:type="spellEnd"/>
      <w:r w:rsidR="00BB78B9">
        <w:rPr>
          <w:rFonts w:asciiTheme="minorHAnsi" w:eastAsia="Arial" w:hAnsiTheme="minorHAnsi" w:cstheme="minorHAnsi"/>
          <w:color w:val="000000" w:themeColor="text1"/>
          <w:sz w:val="22"/>
          <w:szCs w:val="22"/>
          <w:lang w:val="en-GB"/>
        </w:rPr>
        <w:t xml:space="preserve"> Biomedical Foundation Nigeria (2019-present), The International Centre for Antimicrobial Resistance Solutions Technical Advisory Forum (2021-present)</w:t>
      </w:r>
      <w:r w:rsidR="00025013">
        <w:rPr>
          <w:rFonts w:asciiTheme="minorHAnsi" w:eastAsia="Arial" w:hAnsiTheme="minorHAnsi" w:cstheme="minorHAnsi"/>
          <w:color w:val="000000" w:themeColor="text1"/>
          <w:sz w:val="22"/>
          <w:szCs w:val="22"/>
          <w:lang w:val="en-GB"/>
        </w:rPr>
        <w:t xml:space="preserve">; has other financial/non-financial interests in the African Journal of Laboratory Medicine, Microbial Genomics, the Lancet Infectious Diseases, Nigeria </w:t>
      </w:r>
      <w:proofErr w:type="spellStart"/>
      <w:r w:rsidR="00025013">
        <w:rPr>
          <w:rFonts w:asciiTheme="minorHAnsi" w:eastAsia="Arial" w:hAnsiTheme="minorHAnsi" w:cstheme="minorHAnsi"/>
          <w:color w:val="000000" w:themeColor="text1"/>
          <w:sz w:val="22"/>
          <w:szCs w:val="22"/>
          <w:lang w:val="en-GB"/>
        </w:rPr>
        <w:t>Center</w:t>
      </w:r>
      <w:proofErr w:type="spellEnd"/>
      <w:r w:rsidR="00025013">
        <w:rPr>
          <w:rFonts w:asciiTheme="minorHAnsi" w:eastAsia="Arial" w:hAnsiTheme="minorHAnsi" w:cstheme="minorHAnsi"/>
          <w:color w:val="000000" w:themeColor="text1"/>
          <w:sz w:val="22"/>
          <w:szCs w:val="22"/>
          <w:lang w:val="en-GB"/>
        </w:rPr>
        <w:t xml:space="preserve"> for Disease Control, the Lancet Commission for Nigeria.</w:t>
      </w:r>
      <w:r w:rsidR="00DD730C" w:rsidRPr="00DD730C">
        <w:rPr>
          <w:rFonts w:asciiTheme="minorHAnsi" w:eastAsia="Arial" w:hAnsiTheme="minorHAnsi" w:cstheme="minorHAnsi"/>
          <w:color w:val="000000" w:themeColor="text1"/>
          <w:sz w:val="22"/>
          <w:szCs w:val="22"/>
          <w:lang w:val="en-GB"/>
        </w:rPr>
        <w:t xml:space="preserve"> </w:t>
      </w:r>
      <w:r w:rsidR="00DD730C" w:rsidRPr="0066136A">
        <w:rPr>
          <w:rFonts w:asciiTheme="minorHAnsi" w:hAnsiTheme="minorHAnsi" w:cstheme="minorHAnsi"/>
          <w:color w:val="222222"/>
          <w:sz w:val="22"/>
          <w:szCs w:val="22"/>
        </w:rPr>
        <w:t>SB is a staff of the World Health Organization (WHO)</w:t>
      </w:r>
      <w:r w:rsidR="00310A53">
        <w:rPr>
          <w:rFonts w:asciiTheme="minorHAnsi" w:hAnsiTheme="minorHAnsi" w:cstheme="minorHAnsi"/>
          <w:color w:val="222222"/>
          <w:sz w:val="22"/>
          <w:szCs w:val="22"/>
        </w:rPr>
        <w:t>; t</w:t>
      </w:r>
      <w:r w:rsidR="00DD730C" w:rsidRPr="0066136A">
        <w:rPr>
          <w:rFonts w:asciiTheme="minorHAnsi" w:hAnsiTheme="minorHAnsi" w:cstheme="minorHAnsi"/>
          <w:color w:val="222222"/>
          <w:sz w:val="22"/>
          <w:szCs w:val="22"/>
        </w:rPr>
        <w:t>he views presented in this article are those of the authors and do not reflect those of the WHO or any funders.</w:t>
      </w:r>
      <w:r w:rsidR="004E7CF0">
        <w:rPr>
          <w:rFonts w:asciiTheme="minorHAnsi" w:hAnsiTheme="minorHAnsi" w:cstheme="minorHAnsi"/>
          <w:color w:val="222222"/>
          <w:sz w:val="22"/>
          <w:szCs w:val="22"/>
        </w:rPr>
        <w:t xml:space="preserve"> </w:t>
      </w:r>
      <w:r w:rsidR="007462C8">
        <w:rPr>
          <w:rFonts w:asciiTheme="minorHAnsi" w:hAnsiTheme="minorHAnsi" w:cstheme="minorHAnsi"/>
          <w:color w:val="222222"/>
          <w:sz w:val="22"/>
          <w:szCs w:val="22"/>
        </w:rPr>
        <w:t xml:space="preserve">AG </w:t>
      </w:r>
      <w:r w:rsidR="00A158FE">
        <w:rPr>
          <w:rFonts w:asciiTheme="minorHAnsi" w:hAnsiTheme="minorHAnsi" w:cstheme="minorHAnsi"/>
          <w:color w:val="222222"/>
          <w:sz w:val="22"/>
          <w:szCs w:val="22"/>
        </w:rPr>
        <w:t>receives</w:t>
      </w:r>
      <w:r w:rsidR="007462C8">
        <w:rPr>
          <w:rFonts w:asciiTheme="minorHAnsi" w:hAnsiTheme="minorHAnsi" w:cstheme="minorHAnsi"/>
          <w:color w:val="222222"/>
          <w:sz w:val="22"/>
          <w:szCs w:val="22"/>
        </w:rPr>
        <w:t xml:space="preserve"> consulting fees from </w:t>
      </w:r>
      <w:proofErr w:type="spellStart"/>
      <w:r w:rsidR="007462C8">
        <w:rPr>
          <w:rFonts w:asciiTheme="minorHAnsi" w:hAnsiTheme="minorHAnsi" w:cstheme="minorHAnsi"/>
          <w:color w:val="222222"/>
          <w:sz w:val="22"/>
          <w:szCs w:val="22"/>
        </w:rPr>
        <w:t>Aché</w:t>
      </w:r>
      <w:proofErr w:type="spellEnd"/>
      <w:r w:rsidR="007462C8">
        <w:rPr>
          <w:rFonts w:asciiTheme="minorHAnsi" w:hAnsiTheme="minorHAnsi" w:cstheme="minorHAnsi"/>
          <w:color w:val="222222"/>
          <w:sz w:val="22"/>
          <w:szCs w:val="22"/>
        </w:rPr>
        <w:t xml:space="preserve">, </w:t>
      </w:r>
      <w:proofErr w:type="spellStart"/>
      <w:r w:rsidR="007462C8">
        <w:rPr>
          <w:rFonts w:asciiTheme="minorHAnsi" w:hAnsiTheme="minorHAnsi" w:cstheme="minorHAnsi"/>
          <w:color w:val="222222"/>
          <w:sz w:val="22"/>
          <w:szCs w:val="22"/>
        </w:rPr>
        <w:t>Eurofarma</w:t>
      </w:r>
      <w:proofErr w:type="spellEnd"/>
      <w:r w:rsidR="007462C8">
        <w:rPr>
          <w:rFonts w:asciiTheme="minorHAnsi" w:hAnsiTheme="minorHAnsi" w:cstheme="minorHAnsi"/>
          <w:color w:val="222222"/>
          <w:sz w:val="22"/>
          <w:szCs w:val="22"/>
        </w:rPr>
        <w:t xml:space="preserve">, </w:t>
      </w:r>
      <w:proofErr w:type="spellStart"/>
      <w:r w:rsidR="007462C8">
        <w:rPr>
          <w:rFonts w:asciiTheme="minorHAnsi" w:hAnsiTheme="minorHAnsi" w:cstheme="minorHAnsi"/>
          <w:color w:val="222222"/>
          <w:sz w:val="22"/>
          <w:szCs w:val="22"/>
        </w:rPr>
        <w:t>União</w:t>
      </w:r>
      <w:proofErr w:type="spellEnd"/>
      <w:r w:rsidR="007462C8">
        <w:rPr>
          <w:rFonts w:asciiTheme="minorHAnsi" w:hAnsiTheme="minorHAnsi" w:cstheme="minorHAnsi"/>
          <w:color w:val="222222"/>
          <w:sz w:val="22"/>
          <w:szCs w:val="22"/>
        </w:rPr>
        <w:t xml:space="preserve">, and </w:t>
      </w:r>
      <w:proofErr w:type="spellStart"/>
      <w:r w:rsidR="007462C8">
        <w:rPr>
          <w:rFonts w:asciiTheme="minorHAnsi" w:hAnsiTheme="minorHAnsi" w:cstheme="minorHAnsi"/>
          <w:color w:val="222222"/>
          <w:sz w:val="22"/>
          <w:szCs w:val="22"/>
        </w:rPr>
        <w:t>Química</w:t>
      </w:r>
      <w:proofErr w:type="spellEnd"/>
      <w:r w:rsidR="00A158FE">
        <w:rPr>
          <w:rFonts w:asciiTheme="minorHAnsi" w:hAnsiTheme="minorHAnsi" w:cstheme="minorHAnsi"/>
          <w:color w:val="222222"/>
          <w:sz w:val="22"/>
          <w:szCs w:val="22"/>
        </w:rPr>
        <w:t>;</w:t>
      </w:r>
      <w:r w:rsidR="007462C8">
        <w:rPr>
          <w:rFonts w:asciiTheme="minorHAnsi" w:hAnsiTheme="minorHAnsi" w:cstheme="minorHAnsi"/>
          <w:color w:val="222222"/>
          <w:sz w:val="22"/>
          <w:szCs w:val="22"/>
        </w:rPr>
        <w:t xml:space="preserve"> payment for lectures from </w:t>
      </w:r>
      <w:proofErr w:type="spellStart"/>
      <w:r w:rsidR="007462C8" w:rsidRPr="007462C8">
        <w:rPr>
          <w:rFonts w:asciiTheme="minorHAnsi" w:hAnsiTheme="minorHAnsi" w:cstheme="minorHAnsi"/>
          <w:color w:val="222222"/>
          <w:sz w:val="22"/>
          <w:szCs w:val="22"/>
        </w:rPr>
        <w:t>bioMérieux</w:t>
      </w:r>
      <w:proofErr w:type="spellEnd"/>
      <w:r w:rsidR="007462C8" w:rsidRPr="007462C8">
        <w:rPr>
          <w:rFonts w:asciiTheme="minorHAnsi" w:hAnsiTheme="minorHAnsi" w:cstheme="minorHAnsi"/>
          <w:color w:val="222222"/>
          <w:sz w:val="22"/>
          <w:szCs w:val="22"/>
        </w:rPr>
        <w:t xml:space="preserve">, </w:t>
      </w:r>
      <w:proofErr w:type="spellStart"/>
      <w:r w:rsidR="007462C8" w:rsidRPr="007462C8">
        <w:rPr>
          <w:rFonts w:asciiTheme="minorHAnsi" w:hAnsiTheme="minorHAnsi" w:cstheme="minorHAnsi"/>
          <w:color w:val="222222"/>
          <w:sz w:val="22"/>
          <w:szCs w:val="22"/>
        </w:rPr>
        <w:t>Eurofarma</w:t>
      </w:r>
      <w:proofErr w:type="spellEnd"/>
      <w:r w:rsidR="007462C8" w:rsidRPr="007462C8">
        <w:rPr>
          <w:rFonts w:asciiTheme="minorHAnsi" w:hAnsiTheme="minorHAnsi" w:cstheme="minorHAnsi"/>
          <w:color w:val="222222"/>
          <w:sz w:val="22"/>
          <w:szCs w:val="22"/>
        </w:rPr>
        <w:t>, MSD, Pfizer, Sandoz</w:t>
      </w:r>
      <w:r w:rsidR="00A158FE">
        <w:rPr>
          <w:rFonts w:asciiTheme="minorHAnsi" w:hAnsiTheme="minorHAnsi" w:cstheme="minorHAnsi"/>
          <w:color w:val="222222"/>
          <w:sz w:val="22"/>
          <w:szCs w:val="22"/>
        </w:rPr>
        <w:t>;</w:t>
      </w:r>
      <w:r w:rsidR="007462C8">
        <w:rPr>
          <w:rFonts w:asciiTheme="minorHAnsi" w:hAnsiTheme="minorHAnsi" w:cstheme="minorHAnsi"/>
          <w:color w:val="222222"/>
          <w:sz w:val="22"/>
          <w:szCs w:val="22"/>
        </w:rPr>
        <w:t xml:space="preserve"> travel support from MSD and Pfizer</w:t>
      </w:r>
      <w:r w:rsidR="00A158FE">
        <w:rPr>
          <w:rFonts w:asciiTheme="minorHAnsi" w:hAnsiTheme="minorHAnsi" w:cstheme="minorHAnsi"/>
          <w:color w:val="222222"/>
          <w:sz w:val="22"/>
          <w:szCs w:val="22"/>
        </w:rPr>
        <w:t>;</w:t>
      </w:r>
      <w:r w:rsidR="007462C8">
        <w:rPr>
          <w:rFonts w:asciiTheme="minorHAnsi" w:hAnsiTheme="minorHAnsi" w:cstheme="minorHAnsi"/>
          <w:color w:val="222222"/>
          <w:sz w:val="22"/>
          <w:szCs w:val="22"/>
        </w:rPr>
        <w:t xml:space="preserve"> participates on the data monitoring board of </w:t>
      </w:r>
      <w:proofErr w:type="spellStart"/>
      <w:r w:rsidR="007462C8" w:rsidRPr="007462C8">
        <w:rPr>
          <w:rFonts w:asciiTheme="minorHAnsi" w:hAnsiTheme="minorHAnsi" w:cstheme="minorHAnsi"/>
          <w:color w:val="222222"/>
          <w:sz w:val="22"/>
          <w:szCs w:val="22"/>
        </w:rPr>
        <w:t>Aché</w:t>
      </w:r>
      <w:proofErr w:type="spellEnd"/>
      <w:r w:rsidR="007462C8" w:rsidRPr="007462C8">
        <w:rPr>
          <w:rFonts w:asciiTheme="minorHAnsi" w:hAnsiTheme="minorHAnsi" w:cstheme="minorHAnsi"/>
          <w:color w:val="222222"/>
          <w:sz w:val="22"/>
          <w:szCs w:val="22"/>
        </w:rPr>
        <w:t xml:space="preserve">, </w:t>
      </w:r>
      <w:proofErr w:type="spellStart"/>
      <w:r w:rsidR="007462C8" w:rsidRPr="007462C8">
        <w:rPr>
          <w:rFonts w:asciiTheme="minorHAnsi" w:hAnsiTheme="minorHAnsi" w:cstheme="minorHAnsi"/>
          <w:color w:val="222222"/>
          <w:sz w:val="22"/>
          <w:szCs w:val="22"/>
        </w:rPr>
        <w:t>Eurofarma</w:t>
      </w:r>
      <w:proofErr w:type="spellEnd"/>
      <w:r w:rsidR="007462C8" w:rsidRPr="007462C8">
        <w:rPr>
          <w:rFonts w:asciiTheme="minorHAnsi" w:hAnsiTheme="minorHAnsi" w:cstheme="minorHAnsi"/>
          <w:color w:val="222222"/>
          <w:sz w:val="22"/>
          <w:szCs w:val="22"/>
        </w:rPr>
        <w:t xml:space="preserve">, </w:t>
      </w:r>
      <w:proofErr w:type="spellStart"/>
      <w:r w:rsidR="007462C8" w:rsidRPr="007462C8">
        <w:rPr>
          <w:rFonts w:asciiTheme="minorHAnsi" w:hAnsiTheme="minorHAnsi" w:cstheme="minorHAnsi"/>
          <w:color w:val="222222"/>
          <w:sz w:val="22"/>
          <w:szCs w:val="22"/>
        </w:rPr>
        <w:t>Hypera</w:t>
      </w:r>
      <w:proofErr w:type="spellEnd"/>
      <w:r w:rsidR="007462C8" w:rsidRPr="007462C8">
        <w:rPr>
          <w:rFonts w:asciiTheme="minorHAnsi" w:hAnsiTheme="minorHAnsi" w:cstheme="minorHAnsi"/>
          <w:color w:val="222222"/>
          <w:sz w:val="22"/>
          <w:szCs w:val="22"/>
        </w:rPr>
        <w:t xml:space="preserve"> Pharma, MSD, Pfizer, Roche, Sandoz, United Medical, </w:t>
      </w:r>
      <w:proofErr w:type="spellStart"/>
      <w:r w:rsidR="007462C8" w:rsidRPr="007462C8">
        <w:rPr>
          <w:rFonts w:asciiTheme="minorHAnsi" w:hAnsiTheme="minorHAnsi" w:cstheme="minorHAnsi"/>
          <w:color w:val="222222"/>
          <w:sz w:val="22"/>
          <w:szCs w:val="22"/>
        </w:rPr>
        <w:t>União</w:t>
      </w:r>
      <w:proofErr w:type="spellEnd"/>
      <w:r w:rsidR="007462C8">
        <w:rPr>
          <w:rFonts w:asciiTheme="minorHAnsi" w:hAnsiTheme="minorHAnsi" w:cstheme="minorHAnsi"/>
          <w:color w:val="222222"/>
          <w:sz w:val="22"/>
          <w:szCs w:val="22"/>
        </w:rPr>
        <w:t>,</w:t>
      </w:r>
      <w:r w:rsidR="007462C8" w:rsidRPr="007462C8">
        <w:rPr>
          <w:rFonts w:asciiTheme="minorHAnsi" w:hAnsiTheme="minorHAnsi" w:cstheme="minorHAnsi"/>
          <w:color w:val="222222"/>
          <w:sz w:val="22"/>
          <w:szCs w:val="22"/>
        </w:rPr>
        <w:t xml:space="preserve"> </w:t>
      </w:r>
      <w:proofErr w:type="spellStart"/>
      <w:r w:rsidR="007462C8" w:rsidRPr="007462C8">
        <w:rPr>
          <w:rFonts w:asciiTheme="minorHAnsi" w:hAnsiTheme="minorHAnsi" w:cstheme="minorHAnsi"/>
          <w:color w:val="222222"/>
          <w:sz w:val="22"/>
          <w:szCs w:val="22"/>
        </w:rPr>
        <w:t>Química</w:t>
      </w:r>
      <w:proofErr w:type="spellEnd"/>
      <w:r w:rsidR="00A158FE">
        <w:rPr>
          <w:rFonts w:asciiTheme="minorHAnsi" w:hAnsiTheme="minorHAnsi" w:cstheme="minorHAnsi"/>
          <w:color w:val="222222"/>
          <w:sz w:val="22"/>
          <w:szCs w:val="22"/>
        </w:rPr>
        <w:t>;</w:t>
      </w:r>
      <w:r w:rsidR="007462C8">
        <w:rPr>
          <w:rFonts w:asciiTheme="minorHAnsi" w:hAnsiTheme="minorHAnsi" w:cstheme="minorHAnsi"/>
          <w:color w:val="222222"/>
          <w:sz w:val="22"/>
          <w:szCs w:val="22"/>
        </w:rPr>
        <w:t xml:space="preserve"> is a member of the Scientific Advisory Committee of </w:t>
      </w:r>
      <w:r w:rsidR="00310A53">
        <w:rPr>
          <w:rFonts w:asciiTheme="minorHAnsi" w:hAnsiTheme="minorHAnsi" w:cstheme="minorHAnsi"/>
          <w:color w:val="222222"/>
          <w:sz w:val="22"/>
          <w:szCs w:val="22"/>
        </w:rPr>
        <w:t>the Global Antibiotic Research and Development Partnership (GARDP)</w:t>
      </w:r>
      <w:r w:rsidR="007462C8">
        <w:rPr>
          <w:rFonts w:asciiTheme="minorHAnsi" w:hAnsiTheme="minorHAnsi" w:cstheme="minorHAnsi"/>
          <w:color w:val="222222"/>
          <w:sz w:val="22"/>
          <w:szCs w:val="22"/>
        </w:rPr>
        <w:t xml:space="preserve">, the </w:t>
      </w:r>
      <w:r w:rsidR="007462C8" w:rsidRPr="007462C8">
        <w:rPr>
          <w:rFonts w:asciiTheme="minorHAnsi" w:hAnsiTheme="minorHAnsi" w:cstheme="minorHAnsi"/>
          <w:color w:val="222222"/>
          <w:sz w:val="22"/>
          <w:szCs w:val="22"/>
        </w:rPr>
        <w:t xml:space="preserve">Health 1 Area Coordination board, </w:t>
      </w:r>
      <w:proofErr w:type="spellStart"/>
      <w:r w:rsidR="007462C8" w:rsidRPr="007462C8">
        <w:rPr>
          <w:rFonts w:asciiTheme="minorHAnsi" w:hAnsiTheme="minorHAnsi" w:cstheme="minorHAnsi"/>
          <w:color w:val="222222"/>
          <w:sz w:val="22"/>
          <w:szCs w:val="22"/>
        </w:rPr>
        <w:t>Fundação</w:t>
      </w:r>
      <w:proofErr w:type="spellEnd"/>
      <w:r w:rsidR="007462C8" w:rsidRPr="007462C8">
        <w:rPr>
          <w:rFonts w:asciiTheme="minorHAnsi" w:hAnsiTheme="minorHAnsi" w:cstheme="minorHAnsi"/>
          <w:color w:val="222222"/>
          <w:sz w:val="22"/>
          <w:szCs w:val="22"/>
        </w:rPr>
        <w:t xml:space="preserve"> de Amparo à </w:t>
      </w:r>
      <w:proofErr w:type="spellStart"/>
      <w:r w:rsidR="007462C8" w:rsidRPr="007462C8">
        <w:rPr>
          <w:rFonts w:asciiTheme="minorHAnsi" w:hAnsiTheme="minorHAnsi" w:cstheme="minorHAnsi"/>
          <w:color w:val="222222"/>
          <w:sz w:val="22"/>
          <w:szCs w:val="22"/>
        </w:rPr>
        <w:t>Pesquisa</w:t>
      </w:r>
      <w:proofErr w:type="spellEnd"/>
      <w:r w:rsidR="007462C8" w:rsidRPr="007462C8">
        <w:rPr>
          <w:rFonts w:asciiTheme="minorHAnsi" w:hAnsiTheme="minorHAnsi" w:cstheme="minorHAnsi"/>
          <w:color w:val="222222"/>
          <w:sz w:val="22"/>
          <w:szCs w:val="22"/>
        </w:rPr>
        <w:t xml:space="preserve"> do Estado de São Paulo</w:t>
      </w:r>
      <w:r w:rsidR="007462C8">
        <w:rPr>
          <w:rFonts w:asciiTheme="minorHAnsi" w:hAnsiTheme="minorHAnsi" w:cstheme="minorHAnsi"/>
          <w:color w:val="222222"/>
          <w:sz w:val="22"/>
          <w:szCs w:val="22"/>
        </w:rPr>
        <w:t xml:space="preserve">, and is a </w:t>
      </w:r>
      <w:r w:rsidR="007462C8" w:rsidRPr="007462C8">
        <w:rPr>
          <w:rFonts w:asciiTheme="minorHAnsi" w:hAnsiTheme="minorHAnsi" w:cstheme="minorHAnsi"/>
          <w:color w:val="222222"/>
          <w:sz w:val="22"/>
          <w:szCs w:val="22"/>
        </w:rPr>
        <w:t xml:space="preserve">Researcher </w:t>
      </w:r>
      <w:r w:rsidR="007462C8">
        <w:rPr>
          <w:rFonts w:asciiTheme="minorHAnsi" w:hAnsiTheme="minorHAnsi" w:cstheme="minorHAnsi"/>
          <w:color w:val="222222"/>
          <w:sz w:val="22"/>
          <w:szCs w:val="22"/>
        </w:rPr>
        <w:t>for</w:t>
      </w:r>
      <w:r w:rsidR="007462C8" w:rsidRPr="007462C8">
        <w:rPr>
          <w:rFonts w:asciiTheme="minorHAnsi" w:hAnsiTheme="minorHAnsi" w:cstheme="minorHAnsi"/>
          <w:color w:val="222222"/>
          <w:sz w:val="22"/>
          <w:szCs w:val="22"/>
        </w:rPr>
        <w:t xml:space="preserve"> the Brazilian National Council for Scientific and Technological Development</w:t>
      </w:r>
      <w:r w:rsidR="007462C8">
        <w:rPr>
          <w:rFonts w:asciiTheme="minorHAnsi" w:hAnsiTheme="minorHAnsi" w:cstheme="minorHAnsi"/>
          <w:color w:val="222222"/>
          <w:sz w:val="22"/>
          <w:szCs w:val="22"/>
        </w:rPr>
        <w:t xml:space="preserve">. </w:t>
      </w:r>
      <w:r w:rsidR="0042175F">
        <w:rPr>
          <w:rFonts w:asciiTheme="minorHAnsi" w:hAnsiTheme="minorHAnsi" w:cstheme="minorHAnsi"/>
          <w:color w:val="222222"/>
          <w:sz w:val="22"/>
          <w:szCs w:val="22"/>
        </w:rPr>
        <w:t xml:space="preserve">MS receives funding from the </w:t>
      </w:r>
      <w:proofErr w:type="spellStart"/>
      <w:r w:rsidR="0042175F">
        <w:rPr>
          <w:rFonts w:asciiTheme="minorHAnsi" w:hAnsiTheme="minorHAnsi" w:cstheme="minorHAnsi"/>
          <w:color w:val="222222"/>
          <w:sz w:val="22"/>
          <w:szCs w:val="22"/>
        </w:rPr>
        <w:t>Wellcome</w:t>
      </w:r>
      <w:proofErr w:type="spellEnd"/>
      <w:r w:rsidR="0042175F">
        <w:rPr>
          <w:rFonts w:asciiTheme="minorHAnsi" w:hAnsiTheme="minorHAnsi" w:cstheme="minorHAnsi"/>
          <w:color w:val="222222"/>
          <w:sz w:val="22"/>
          <w:szCs w:val="22"/>
        </w:rPr>
        <w:t xml:space="preserve"> Trust (</w:t>
      </w:r>
      <w:r w:rsidR="0042175F" w:rsidRPr="0042175F">
        <w:rPr>
          <w:rFonts w:asciiTheme="minorHAnsi" w:hAnsiTheme="minorHAnsi" w:cstheme="minorHAnsi"/>
          <w:color w:val="222222"/>
          <w:sz w:val="22"/>
          <w:szCs w:val="22"/>
        </w:rPr>
        <w:t>222051/Z/20/Z</w:t>
      </w:r>
      <w:r w:rsidR="0042175F">
        <w:rPr>
          <w:rFonts w:asciiTheme="minorHAnsi" w:hAnsiTheme="minorHAnsi" w:cstheme="minorHAnsi"/>
          <w:color w:val="222222"/>
          <w:sz w:val="22"/>
          <w:szCs w:val="22"/>
        </w:rPr>
        <w:t>), GARDP and EDCTP</w:t>
      </w:r>
      <w:r w:rsidR="0048024C">
        <w:rPr>
          <w:rFonts w:asciiTheme="minorHAnsi" w:hAnsiTheme="minorHAnsi" w:cstheme="minorHAnsi"/>
          <w:color w:val="222222"/>
          <w:sz w:val="22"/>
          <w:szCs w:val="22"/>
        </w:rPr>
        <w:t xml:space="preserve"> (NeoSep1)</w:t>
      </w:r>
      <w:r w:rsidR="0042175F">
        <w:rPr>
          <w:rFonts w:asciiTheme="minorHAnsi" w:hAnsiTheme="minorHAnsi" w:cstheme="minorHAnsi"/>
          <w:color w:val="222222"/>
          <w:sz w:val="22"/>
          <w:szCs w:val="22"/>
        </w:rPr>
        <w:t xml:space="preserve">; has unpaid leadership positions on the WHO Essential Medicine List Antibiotics Working Group and GARDP; has received equipment from Sandoz, </w:t>
      </w:r>
      <w:proofErr w:type="spellStart"/>
      <w:r w:rsidR="0042175F">
        <w:rPr>
          <w:rFonts w:asciiTheme="minorHAnsi" w:hAnsiTheme="minorHAnsi" w:cstheme="minorHAnsi"/>
          <w:color w:val="222222"/>
          <w:sz w:val="22"/>
          <w:szCs w:val="22"/>
        </w:rPr>
        <w:t>InfectoPharm</w:t>
      </w:r>
      <w:proofErr w:type="spellEnd"/>
      <w:r w:rsidR="0042175F">
        <w:rPr>
          <w:rFonts w:asciiTheme="minorHAnsi" w:hAnsiTheme="minorHAnsi" w:cstheme="minorHAnsi"/>
          <w:color w:val="222222"/>
          <w:sz w:val="22"/>
          <w:szCs w:val="22"/>
        </w:rPr>
        <w:t>, and Shionogi</w:t>
      </w:r>
      <w:r w:rsidR="00310A53">
        <w:rPr>
          <w:rFonts w:asciiTheme="minorHAnsi" w:hAnsiTheme="minorHAnsi" w:cstheme="minorHAnsi"/>
          <w:color w:val="222222"/>
          <w:sz w:val="22"/>
          <w:szCs w:val="22"/>
        </w:rPr>
        <w:t>.</w:t>
      </w:r>
      <w:r w:rsidR="0042175F">
        <w:rPr>
          <w:rFonts w:asciiTheme="minorHAnsi" w:hAnsiTheme="minorHAnsi" w:cstheme="minorHAnsi"/>
          <w:color w:val="222222"/>
          <w:sz w:val="22"/>
          <w:szCs w:val="22"/>
        </w:rPr>
        <w:t xml:space="preserve"> </w:t>
      </w:r>
      <w:r w:rsidR="004E7CF0">
        <w:rPr>
          <w:rFonts w:asciiTheme="minorHAnsi" w:hAnsiTheme="minorHAnsi" w:cstheme="minorHAnsi"/>
          <w:color w:val="222222"/>
          <w:sz w:val="22"/>
          <w:szCs w:val="22"/>
        </w:rPr>
        <w:t>The other authors have no conflicts of interest to report.</w:t>
      </w:r>
    </w:p>
    <w:p w14:paraId="5330775A" w14:textId="77777777" w:rsidR="009D170C" w:rsidRDefault="009D170C">
      <w:pPr>
        <w:rPr>
          <w:rFonts w:asciiTheme="minorHAnsi" w:hAnsiTheme="minorHAnsi" w:cstheme="minorHAnsi"/>
          <w:color w:val="222222"/>
          <w:sz w:val="22"/>
          <w:szCs w:val="22"/>
        </w:rPr>
      </w:pPr>
    </w:p>
    <w:p w14:paraId="5D1C2358" w14:textId="1A6F617E" w:rsidR="009D170C" w:rsidRDefault="009D170C">
      <w:pPr>
        <w:rPr>
          <w:rFonts w:asciiTheme="minorHAnsi" w:eastAsia="Arial" w:hAnsiTheme="minorHAnsi" w:cstheme="minorHAnsi"/>
          <w:b/>
          <w:bCs/>
          <w:color w:val="000000" w:themeColor="text1"/>
          <w:sz w:val="22"/>
          <w:szCs w:val="22"/>
          <w:lang w:val="en-GB"/>
        </w:rPr>
      </w:pPr>
      <w:r>
        <w:rPr>
          <w:rFonts w:asciiTheme="minorHAnsi" w:eastAsia="Arial" w:hAnsiTheme="minorHAnsi" w:cstheme="minorHAnsi"/>
          <w:b/>
          <w:bCs/>
          <w:color w:val="000000" w:themeColor="text1"/>
          <w:sz w:val="22"/>
          <w:szCs w:val="22"/>
          <w:lang w:val="en-GB"/>
        </w:rPr>
        <w:t>CONTRIBUTORS</w:t>
      </w:r>
    </w:p>
    <w:p w14:paraId="034A66B3" w14:textId="0A380B29" w:rsidR="009D170C" w:rsidRPr="0021089D" w:rsidRDefault="009D2C09" w:rsidP="002108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21089D">
        <w:rPr>
          <w:sz w:val="22"/>
          <w:szCs w:val="22"/>
        </w:rPr>
        <w:t>IO Conceptualization, Project administration, Formal Analysis, Methodology, Visualization, Writing – original draft, Writing – review &amp; editing</w:t>
      </w:r>
      <w:r>
        <w:rPr>
          <w:sz w:val="22"/>
          <w:szCs w:val="22"/>
        </w:rPr>
        <w:t xml:space="preserve">; </w:t>
      </w:r>
      <w:proofErr w:type="spellStart"/>
      <w:r w:rsidRPr="0021089D">
        <w:rPr>
          <w:sz w:val="22"/>
          <w:szCs w:val="22"/>
        </w:rPr>
        <w:t>MdK</w:t>
      </w:r>
      <w:proofErr w:type="spellEnd"/>
      <w:r w:rsidRPr="0021089D">
        <w:rPr>
          <w:sz w:val="22"/>
          <w:szCs w:val="22"/>
        </w:rPr>
        <w:t xml:space="preserve"> Conceptualization, Writing – original draft, Writing – review &amp; editing</w:t>
      </w:r>
      <w:r>
        <w:rPr>
          <w:sz w:val="22"/>
          <w:szCs w:val="22"/>
        </w:rPr>
        <w:t xml:space="preserve">; </w:t>
      </w:r>
      <w:r w:rsidRPr="0021089D">
        <w:rPr>
          <w:sz w:val="22"/>
          <w:szCs w:val="22"/>
        </w:rPr>
        <w:t>TVB Conceptualization, Data curation, Methodology, Visualization, Writing – original draft, Writing – review &amp; editing</w:t>
      </w:r>
      <w:r>
        <w:rPr>
          <w:sz w:val="22"/>
          <w:szCs w:val="22"/>
        </w:rPr>
        <w:t xml:space="preserve">; </w:t>
      </w:r>
      <w:r w:rsidRPr="0021089D">
        <w:rPr>
          <w:sz w:val="22"/>
          <w:szCs w:val="22"/>
        </w:rPr>
        <w:t>HS Conceptualization, Writing – original draft, Writing – review &amp; editing</w:t>
      </w:r>
      <w:r>
        <w:rPr>
          <w:sz w:val="22"/>
          <w:szCs w:val="22"/>
        </w:rPr>
        <w:t xml:space="preserve">; </w:t>
      </w:r>
      <w:r w:rsidRPr="0021089D">
        <w:rPr>
          <w:sz w:val="22"/>
          <w:szCs w:val="22"/>
        </w:rPr>
        <w:t>AG Conceptualization, Writing – original draft, Writing – review &amp; editing</w:t>
      </w:r>
      <w:r>
        <w:rPr>
          <w:sz w:val="22"/>
          <w:szCs w:val="22"/>
        </w:rPr>
        <w:t xml:space="preserve">; </w:t>
      </w:r>
      <w:r w:rsidRPr="0021089D">
        <w:rPr>
          <w:sz w:val="22"/>
          <w:szCs w:val="22"/>
        </w:rPr>
        <w:t>SB Writing – review &amp; editing</w:t>
      </w:r>
      <w:r w:rsidR="00B25A6A">
        <w:rPr>
          <w:sz w:val="22"/>
          <w:szCs w:val="22"/>
        </w:rPr>
        <w:t xml:space="preserve">; </w:t>
      </w:r>
      <w:r w:rsidRPr="0021089D">
        <w:rPr>
          <w:sz w:val="22"/>
          <w:szCs w:val="22"/>
        </w:rPr>
        <w:t>MS Writing – original draft, Writing – review &amp; editing</w:t>
      </w:r>
      <w:r w:rsidR="00BE34F7">
        <w:rPr>
          <w:sz w:val="22"/>
          <w:szCs w:val="22"/>
        </w:rPr>
        <w:t xml:space="preserve">; </w:t>
      </w:r>
      <w:r w:rsidRPr="0021089D">
        <w:rPr>
          <w:sz w:val="22"/>
          <w:szCs w:val="22"/>
        </w:rPr>
        <w:t>RL Conceptualization, Data curation, Formal Analysis, Funding acquisition, Methodology, Project administration, Resources, Supervision, Visualization, Writing – review &amp; editing</w:t>
      </w:r>
    </w:p>
    <w:p w14:paraId="05249181" w14:textId="77777777" w:rsidR="00295A33" w:rsidRDefault="00295A33">
      <w:pPr>
        <w:rPr>
          <w:rFonts w:eastAsia="Arial"/>
          <w:b/>
          <w:bCs/>
          <w:color w:val="000000" w:themeColor="text1"/>
          <w:sz w:val="22"/>
          <w:szCs w:val="22"/>
          <w:lang w:val="en-GB"/>
        </w:rPr>
      </w:pPr>
    </w:p>
    <w:p w14:paraId="6AFBE434" w14:textId="0CD93DCD" w:rsidR="002564D8" w:rsidRPr="00C37A4D" w:rsidRDefault="00881206">
      <w:pPr>
        <w:rPr>
          <w:rFonts w:asciiTheme="minorHAnsi" w:eastAsia="Arial" w:hAnsiTheme="minorHAnsi" w:cstheme="minorHAnsi"/>
          <w:color w:val="000000" w:themeColor="text1"/>
          <w:sz w:val="22"/>
          <w:szCs w:val="22"/>
          <w:lang w:val="en-GB"/>
        </w:rPr>
      </w:pPr>
      <w:r w:rsidRPr="0021089D">
        <w:rPr>
          <w:rFonts w:eastAsia="Arial"/>
          <w:b/>
          <w:bCs/>
          <w:color w:val="000000" w:themeColor="text1"/>
          <w:sz w:val="22"/>
          <w:szCs w:val="22"/>
          <w:lang w:val="en-GB"/>
        </w:rPr>
        <w:t>ACKNOWLEDGEMENTS</w:t>
      </w:r>
    </w:p>
    <w:p w14:paraId="6E64E3AC" w14:textId="4343EDB0" w:rsidR="00F95D64" w:rsidRDefault="00743DC1" w:rsidP="00F95D64">
      <w:pPr>
        <w:rPr>
          <w:rFonts w:asciiTheme="minorHAnsi" w:eastAsia="Arial" w:hAnsiTheme="minorHAnsi" w:cstheme="minorHAnsi"/>
          <w:color w:val="000000" w:themeColor="text1"/>
          <w:sz w:val="22"/>
          <w:szCs w:val="22"/>
          <w:lang w:val="en-GB"/>
        </w:rPr>
      </w:pPr>
      <w:r w:rsidRPr="00C37A4D">
        <w:rPr>
          <w:rFonts w:asciiTheme="minorHAnsi" w:eastAsia="Arial" w:hAnsiTheme="minorHAnsi" w:cstheme="minorHAnsi"/>
          <w:color w:val="000000" w:themeColor="text1"/>
          <w:sz w:val="22"/>
          <w:szCs w:val="22"/>
          <w:lang w:val="en-GB"/>
        </w:rPr>
        <w:t>We thank John Stelling and Christi</w:t>
      </w:r>
      <w:r w:rsidR="008C3BAC">
        <w:rPr>
          <w:rFonts w:asciiTheme="minorHAnsi" w:eastAsia="Arial" w:hAnsiTheme="minorHAnsi" w:cstheme="minorHAnsi"/>
          <w:color w:val="000000" w:themeColor="text1"/>
          <w:sz w:val="22"/>
          <w:szCs w:val="22"/>
          <w:lang w:val="en-GB"/>
        </w:rPr>
        <w:t>a</w:t>
      </w:r>
      <w:r w:rsidRPr="00C37A4D">
        <w:rPr>
          <w:rFonts w:asciiTheme="minorHAnsi" w:eastAsia="Arial" w:hAnsiTheme="minorHAnsi" w:cstheme="minorHAnsi"/>
          <w:color w:val="000000" w:themeColor="text1"/>
          <w:sz w:val="22"/>
          <w:szCs w:val="22"/>
          <w:lang w:val="en-GB"/>
        </w:rPr>
        <w:t xml:space="preserve">ne </w:t>
      </w:r>
      <w:proofErr w:type="spellStart"/>
      <w:r w:rsidRPr="00C37A4D">
        <w:rPr>
          <w:rFonts w:asciiTheme="minorHAnsi" w:eastAsia="Arial" w:hAnsiTheme="minorHAnsi" w:cstheme="minorHAnsi"/>
          <w:color w:val="000000" w:themeColor="text1"/>
          <w:sz w:val="22"/>
          <w:szCs w:val="22"/>
          <w:lang w:val="en-GB"/>
        </w:rPr>
        <w:t>Dolecek</w:t>
      </w:r>
      <w:proofErr w:type="spellEnd"/>
      <w:r w:rsidRPr="00C37A4D">
        <w:rPr>
          <w:rFonts w:asciiTheme="minorHAnsi" w:eastAsia="Arial" w:hAnsiTheme="minorHAnsi" w:cstheme="minorHAnsi"/>
          <w:color w:val="000000" w:themeColor="text1"/>
          <w:sz w:val="22"/>
          <w:szCs w:val="22"/>
          <w:lang w:val="en-GB"/>
        </w:rPr>
        <w:t xml:space="preserve"> for helpful comments and are grateful to Ambika </w:t>
      </w:r>
      <w:proofErr w:type="spellStart"/>
      <w:r w:rsidRPr="00C37A4D">
        <w:rPr>
          <w:rFonts w:asciiTheme="minorHAnsi" w:eastAsia="Arial" w:hAnsiTheme="minorHAnsi" w:cstheme="minorHAnsi"/>
          <w:color w:val="000000" w:themeColor="text1"/>
          <w:sz w:val="22"/>
          <w:szCs w:val="22"/>
          <w:lang w:val="en-GB"/>
        </w:rPr>
        <w:t>Lall</w:t>
      </w:r>
      <w:proofErr w:type="spellEnd"/>
      <w:r w:rsidR="00B242A5" w:rsidRPr="00C37A4D">
        <w:rPr>
          <w:rFonts w:asciiTheme="minorHAnsi" w:eastAsia="Arial" w:hAnsiTheme="minorHAnsi" w:cstheme="minorHAnsi"/>
          <w:color w:val="000000" w:themeColor="text1"/>
          <w:sz w:val="22"/>
          <w:szCs w:val="22"/>
          <w:lang w:val="en-GB"/>
        </w:rPr>
        <w:t xml:space="preserve">, </w:t>
      </w:r>
      <w:r w:rsidRPr="00C37A4D">
        <w:rPr>
          <w:rFonts w:asciiTheme="minorHAnsi" w:eastAsia="Arial" w:hAnsiTheme="minorHAnsi" w:cstheme="minorHAnsi"/>
          <w:color w:val="000000" w:themeColor="text1"/>
          <w:sz w:val="22"/>
          <w:szCs w:val="22"/>
          <w:lang w:val="en-GB"/>
        </w:rPr>
        <w:t xml:space="preserve">Isabella Impalli, </w:t>
      </w:r>
      <w:r w:rsidR="00F67754">
        <w:rPr>
          <w:rFonts w:asciiTheme="minorHAnsi" w:eastAsia="Arial" w:hAnsiTheme="minorHAnsi" w:cstheme="minorHAnsi"/>
          <w:color w:val="000000" w:themeColor="text1"/>
          <w:sz w:val="22"/>
          <w:szCs w:val="22"/>
          <w:lang w:val="en-GB"/>
        </w:rPr>
        <w:t xml:space="preserve">Sally Atwater, </w:t>
      </w:r>
      <w:r w:rsidR="00E2180C">
        <w:rPr>
          <w:rFonts w:asciiTheme="minorHAnsi" w:eastAsia="Arial" w:hAnsiTheme="minorHAnsi" w:cstheme="minorHAnsi"/>
          <w:color w:val="000000" w:themeColor="text1"/>
          <w:sz w:val="22"/>
          <w:szCs w:val="22"/>
          <w:lang w:val="en-GB"/>
        </w:rPr>
        <w:t xml:space="preserve">and </w:t>
      </w:r>
      <w:r w:rsidR="00254D2F" w:rsidRPr="00C37A4D">
        <w:rPr>
          <w:rFonts w:asciiTheme="minorHAnsi" w:eastAsia="Arial" w:hAnsiTheme="minorHAnsi" w:cstheme="minorHAnsi"/>
          <w:color w:val="000000" w:themeColor="text1"/>
          <w:sz w:val="22"/>
          <w:szCs w:val="22"/>
          <w:lang w:val="en-GB"/>
        </w:rPr>
        <w:t xml:space="preserve">Chirag Kumar </w:t>
      </w:r>
      <w:r w:rsidRPr="00C37A4D">
        <w:rPr>
          <w:rFonts w:asciiTheme="minorHAnsi" w:eastAsia="Arial" w:hAnsiTheme="minorHAnsi" w:cstheme="minorHAnsi"/>
          <w:color w:val="000000" w:themeColor="text1"/>
          <w:sz w:val="22"/>
          <w:szCs w:val="22"/>
          <w:lang w:val="en-GB"/>
        </w:rPr>
        <w:t xml:space="preserve">for </w:t>
      </w:r>
      <w:r w:rsidR="00254D2F" w:rsidRPr="00C37A4D">
        <w:rPr>
          <w:rFonts w:asciiTheme="minorHAnsi" w:eastAsia="Arial" w:hAnsiTheme="minorHAnsi" w:cstheme="minorHAnsi"/>
          <w:color w:val="000000" w:themeColor="text1"/>
          <w:sz w:val="22"/>
          <w:szCs w:val="22"/>
          <w:lang w:val="en-GB"/>
        </w:rPr>
        <w:t xml:space="preserve">figure and </w:t>
      </w:r>
      <w:r w:rsidRPr="00C37A4D">
        <w:rPr>
          <w:rFonts w:asciiTheme="minorHAnsi" w:eastAsia="Arial" w:hAnsiTheme="minorHAnsi" w:cstheme="minorHAnsi"/>
          <w:color w:val="000000" w:themeColor="text1"/>
          <w:sz w:val="22"/>
          <w:szCs w:val="22"/>
          <w:lang w:val="en-GB"/>
        </w:rPr>
        <w:t>editorial assistance</w:t>
      </w:r>
      <w:r w:rsidR="00A20585" w:rsidRPr="00C37A4D">
        <w:rPr>
          <w:rFonts w:asciiTheme="minorHAnsi" w:eastAsia="Arial" w:hAnsiTheme="minorHAnsi" w:cstheme="minorHAnsi"/>
          <w:color w:val="000000" w:themeColor="text1"/>
          <w:sz w:val="22"/>
          <w:szCs w:val="22"/>
          <w:lang w:val="en-GB"/>
        </w:rPr>
        <w:t>.</w:t>
      </w:r>
    </w:p>
    <w:p w14:paraId="2317ECB7" w14:textId="6FE01BF6" w:rsidR="00903ECF" w:rsidRDefault="00FF32F7" w:rsidP="00F95D64">
      <w:pPr>
        <w:rPr>
          <w:rFonts w:asciiTheme="minorHAnsi" w:eastAsia="Arial" w:hAnsiTheme="minorHAnsi" w:cstheme="minorHAnsi"/>
          <w:color w:val="000000" w:themeColor="text1"/>
          <w:sz w:val="22"/>
          <w:szCs w:val="22"/>
          <w:lang w:val="en-GB"/>
        </w:rPr>
      </w:pPr>
      <w:r>
        <w:rPr>
          <w:rFonts w:asciiTheme="minorHAnsi" w:eastAsia="Arial" w:hAnsiTheme="minorHAnsi" w:cstheme="minorHAnsi"/>
          <w:color w:val="000000" w:themeColor="text1"/>
          <w:sz w:val="22"/>
          <w:szCs w:val="22"/>
          <w:lang w:val="en-GB"/>
        </w:rPr>
        <w:br w:type="page"/>
      </w:r>
    </w:p>
    <w:p w14:paraId="3627A09D" w14:textId="77777777" w:rsidR="00400FDA" w:rsidRPr="00C37A4D" w:rsidRDefault="00400FDA" w:rsidP="00400FDA">
      <w:pPr>
        <w:pBdr>
          <w:top w:val="single" w:sz="4" w:space="1" w:color="auto"/>
          <w:left w:val="single" w:sz="4" w:space="4" w:color="auto"/>
          <w:bottom w:val="single" w:sz="4" w:space="1" w:color="auto"/>
          <w:right w:val="single" w:sz="4" w:space="4" w:color="auto"/>
        </w:pBdr>
        <w:rPr>
          <w:rFonts w:asciiTheme="minorHAnsi" w:eastAsia="Arial" w:hAnsiTheme="minorHAnsi" w:cstheme="minorHAnsi"/>
          <w:color w:val="000000" w:themeColor="text1"/>
          <w:sz w:val="22"/>
          <w:szCs w:val="22"/>
          <w:highlight w:val="yellow"/>
          <w:lang w:val="en-GB"/>
        </w:rPr>
      </w:pPr>
      <w:r w:rsidRPr="007B1ECC">
        <w:rPr>
          <w:rFonts w:asciiTheme="minorHAnsi" w:eastAsia="Arial" w:hAnsiTheme="minorHAnsi" w:cstheme="minorHAnsi"/>
          <w:b/>
          <w:bCs/>
          <w:color w:val="000000" w:themeColor="text1"/>
          <w:sz w:val="22"/>
          <w:szCs w:val="22"/>
          <w:lang w:val="en-GB"/>
        </w:rPr>
        <w:lastRenderedPageBreak/>
        <w:t>Panel 1</w:t>
      </w:r>
      <w:r>
        <w:rPr>
          <w:rFonts w:asciiTheme="minorHAnsi" w:eastAsia="Arial" w:hAnsiTheme="minorHAnsi" w:cstheme="minorHAnsi"/>
          <w:b/>
          <w:bCs/>
          <w:color w:val="000000" w:themeColor="text1"/>
          <w:sz w:val="22"/>
          <w:szCs w:val="22"/>
          <w:lang w:val="en-GB"/>
        </w:rPr>
        <w:t>.</w:t>
      </w:r>
      <w:r>
        <w:rPr>
          <w:rFonts w:asciiTheme="minorHAnsi" w:eastAsia="Arial" w:hAnsiTheme="minorHAnsi" w:cstheme="minorHAnsi"/>
          <w:color w:val="000000" w:themeColor="text1"/>
          <w:sz w:val="22"/>
          <w:szCs w:val="22"/>
          <w:lang w:val="en-GB"/>
        </w:rPr>
        <w:t xml:space="preserve"> </w:t>
      </w:r>
      <w:r>
        <w:rPr>
          <w:rFonts w:asciiTheme="minorHAnsi" w:hAnsiTheme="minorHAnsi" w:cstheme="minorHAnsi"/>
          <w:b/>
          <w:bCs/>
          <w:color w:val="000000" w:themeColor="text1"/>
          <w:sz w:val="22"/>
          <w:szCs w:val="22"/>
          <w:lang w:val="en-GB"/>
        </w:rPr>
        <w:t>Trends in the burden of antimicrobial resistance</w:t>
      </w:r>
    </w:p>
    <w:p w14:paraId="294981DA" w14:textId="77777777" w:rsidR="00400FDA" w:rsidRPr="0037743C" w:rsidRDefault="00400FDA" w:rsidP="00400FDA">
      <w:pPr>
        <w:pBdr>
          <w:top w:val="single" w:sz="4" w:space="1" w:color="auto"/>
          <w:left w:val="single" w:sz="4" w:space="4" w:color="auto"/>
          <w:bottom w:val="single" w:sz="4" w:space="1" w:color="auto"/>
          <w:right w:val="single" w:sz="4" w:space="4" w:color="auto"/>
        </w:pBdr>
        <w:jc w:val="both"/>
        <w:rPr>
          <w:rFonts w:asciiTheme="minorHAnsi" w:hAnsiTheme="minorHAnsi" w:cstheme="minorHAnsi"/>
          <w:b/>
          <w:i/>
          <w:iCs/>
          <w:color w:val="000000" w:themeColor="text1"/>
          <w:sz w:val="22"/>
          <w:szCs w:val="22"/>
          <w:lang w:val="en-GB"/>
        </w:rPr>
      </w:pPr>
      <w:r w:rsidRPr="0037743C">
        <w:rPr>
          <w:rFonts w:asciiTheme="minorHAnsi" w:hAnsiTheme="minorHAnsi" w:cstheme="minorHAnsi"/>
          <w:b/>
          <w:i/>
          <w:iCs/>
          <w:color w:val="000000" w:themeColor="text1"/>
          <w:sz w:val="22"/>
          <w:szCs w:val="22"/>
          <w:lang w:val="en-GB"/>
        </w:rPr>
        <w:t>AMR in humans</w:t>
      </w:r>
    </w:p>
    <w:p w14:paraId="0407415F" w14:textId="77777777" w:rsidR="00400FDA" w:rsidRPr="00C37A4D" w:rsidRDefault="00400FDA" w:rsidP="00400FDA">
      <w:pPr>
        <w:pBdr>
          <w:top w:val="single" w:sz="4" w:space="1" w:color="auto"/>
          <w:left w:val="single" w:sz="4" w:space="4" w:color="auto"/>
          <w:bottom w:val="single" w:sz="4" w:space="1" w:color="auto"/>
          <w:right w:val="single" w:sz="4" w:space="4" w:color="auto"/>
        </w:pBdr>
        <w:rPr>
          <w:rFonts w:asciiTheme="minorHAnsi" w:hAnsiTheme="minorHAnsi" w:cstheme="minorHAnsi"/>
          <w:bCs/>
          <w:color w:val="000000" w:themeColor="text1"/>
          <w:sz w:val="22"/>
          <w:szCs w:val="22"/>
          <w:lang w:val="en-GB"/>
        </w:rPr>
      </w:pPr>
      <w:r w:rsidRPr="00C37A4D">
        <w:rPr>
          <w:rFonts w:asciiTheme="minorHAnsi" w:hAnsiTheme="minorHAnsi" w:cstheme="minorHAnsi"/>
          <w:bCs/>
          <w:color w:val="000000" w:themeColor="text1"/>
          <w:sz w:val="22"/>
          <w:szCs w:val="22"/>
          <w:lang w:val="en-GB"/>
        </w:rPr>
        <w:t>Global 2020 AMR data reported to WHO Global Antimicrobial Resistance and Use Surveillance System (GLASS) from 87 countries</w:t>
      </w:r>
      <w:r w:rsidRPr="00E00CFD">
        <w:rPr>
          <w:rFonts w:hAnsiTheme="minorHAnsi"/>
          <w:color w:val="000000"/>
          <w:sz w:val="22"/>
          <w:vertAlign w:val="superscript"/>
        </w:rPr>
        <w:t>2</w:t>
      </w:r>
      <w:r w:rsidRPr="00C37A4D">
        <w:rPr>
          <w:rFonts w:asciiTheme="minorHAnsi" w:hAnsiTheme="minorHAnsi" w:cstheme="minorHAnsi"/>
          <w:bCs/>
          <w:color w:val="000000" w:themeColor="text1"/>
          <w:sz w:val="22"/>
          <w:szCs w:val="22"/>
          <w:lang w:val="en-GB"/>
        </w:rPr>
        <w:t xml:space="preserve"> </w:t>
      </w:r>
      <w:r>
        <w:rPr>
          <w:rFonts w:asciiTheme="minorHAnsi" w:hAnsiTheme="minorHAnsi" w:cstheme="minorHAnsi"/>
          <w:bCs/>
          <w:color w:val="000000" w:themeColor="text1"/>
          <w:sz w:val="22"/>
          <w:szCs w:val="22"/>
          <w:lang w:val="en-GB"/>
        </w:rPr>
        <w:t>show that c</w:t>
      </w:r>
      <w:r w:rsidRPr="00C37A4D">
        <w:rPr>
          <w:rFonts w:asciiTheme="minorHAnsi" w:hAnsiTheme="minorHAnsi" w:cstheme="minorHAnsi"/>
          <w:bCs/>
          <w:color w:val="000000" w:themeColor="text1"/>
          <w:sz w:val="22"/>
          <w:szCs w:val="22"/>
          <w:lang w:val="en-GB"/>
        </w:rPr>
        <w:t xml:space="preserve">arbapenem resistance in </w:t>
      </w:r>
      <w:r w:rsidRPr="00C37A4D">
        <w:rPr>
          <w:rFonts w:asciiTheme="minorHAnsi" w:hAnsiTheme="minorHAnsi" w:cstheme="minorHAnsi"/>
          <w:bCs/>
          <w:i/>
          <w:iCs/>
          <w:color w:val="000000" w:themeColor="text1"/>
          <w:sz w:val="22"/>
          <w:szCs w:val="22"/>
          <w:lang w:val="en-GB"/>
        </w:rPr>
        <w:t>K</w:t>
      </w:r>
      <w:r>
        <w:rPr>
          <w:rFonts w:asciiTheme="minorHAnsi" w:hAnsiTheme="minorHAnsi" w:cstheme="minorHAnsi"/>
          <w:bCs/>
          <w:i/>
          <w:iCs/>
          <w:color w:val="000000" w:themeColor="text1"/>
          <w:sz w:val="22"/>
          <w:szCs w:val="22"/>
          <w:lang w:val="en-GB"/>
        </w:rPr>
        <w:t>.</w:t>
      </w:r>
      <w:r w:rsidRPr="00C37A4D">
        <w:rPr>
          <w:rFonts w:asciiTheme="minorHAnsi" w:hAnsiTheme="minorHAnsi" w:cstheme="minorHAnsi"/>
          <w:bCs/>
          <w:i/>
          <w:iCs/>
          <w:color w:val="000000" w:themeColor="text1"/>
          <w:sz w:val="22"/>
          <w:szCs w:val="22"/>
          <w:lang w:val="en-GB"/>
        </w:rPr>
        <w:t xml:space="preserve"> pneumoniae</w:t>
      </w:r>
      <w:r w:rsidRPr="00C37A4D">
        <w:rPr>
          <w:rFonts w:asciiTheme="minorHAnsi" w:hAnsiTheme="minorHAnsi" w:cstheme="minorHAnsi"/>
          <w:bCs/>
          <w:color w:val="000000" w:themeColor="text1"/>
          <w:sz w:val="22"/>
          <w:szCs w:val="22"/>
          <w:lang w:val="en-GB"/>
        </w:rPr>
        <w:t xml:space="preserve"> was at least 8% in 2020</w:t>
      </w:r>
      <w:r>
        <w:rPr>
          <w:rFonts w:asciiTheme="minorHAnsi" w:hAnsiTheme="minorHAnsi" w:cstheme="minorHAnsi"/>
          <w:bCs/>
          <w:color w:val="000000" w:themeColor="text1"/>
          <w:sz w:val="22"/>
          <w:szCs w:val="22"/>
          <w:lang w:val="en-GB"/>
        </w:rPr>
        <w:t>, and resistance to ‘</w:t>
      </w:r>
      <w:proofErr w:type="gramStart"/>
      <w:r w:rsidRPr="00C37A4D">
        <w:rPr>
          <w:rFonts w:asciiTheme="minorHAnsi" w:hAnsiTheme="minorHAnsi" w:cstheme="minorHAnsi"/>
          <w:bCs/>
          <w:color w:val="000000" w:themeColor="text1"/>
          <w:sz w:val="22"/>
          <w:szCs w:val="22"/>
          <w:lang w:val="en-GB"/>
        </w:rPr>
        <w:t>last-resort</w:t>
      </w:r>
      <w:proofErr w:type="gramEnd"/>
      <w:r>
        <w:rPr>
          <w:rFonts w:asciiTheme="minorHAnsi" w:hAnsiTheme="minorHAnsi" w:cstheme="minorHAnsi"/>
          <w:bCs/>
          <w:color w:val="000000" w:themeColor="text1"/>
          <w:sz w:val="22"/>
          <w:szCs w:val="22"/>
          <w:lang w:val="en-GB"/>
        </w:rPr>
        <w:t>’</w:t>
      </w:r>
      <w:r w:rsidRPr="00C37A4D">
        <w:rPr>
          <w:rFonts w:asciiTheme="minorHAnsi" w:hAnsiTheme="minorHAnsi" w:cstheme="minorHAnsi"/>
          <w:bCs/>
          <w:color w:val="000000" w:themeColor="text1"/>
          <w:sz w:val="22"/>
          <w:szCs w:val="22"/>
          <w:lang w:val="en-GB"/>
        </w:rPr>
        <w:t xml:space="preserve"> colistin </w:t>
      </w:r>
      <w:r>
        <w:rPr>
          <w:rFonts w:asciiTheme="minorHAnsi" w:hAnsiTheme="minorHAnsi" w:cstheme="minorHAnsi"/>
          <w:bCs/>
          <w:color w:val="000000" w:themeColor="text1"/>
          <w:sz w:val="22"/>
          <w:szCs w:val="22"/>
          <w:lang w:val="en-GB"/>
        </w:rPr>
        <w:t>was</w:t>
      </w:r>
      <w:r w:rsidRPr="00C37A4D">
        <w:rPr>
          <w:rFonts w:asciiTheme="minorHAnsi" w:hAnsiTheme="minorHAnsi" w:cstheme="minorHAnsi"/>
          <w:bCs/>
          <w:color w:val="000000" w:themeColor="text1"/>
          <w:sz w:val="22"/>
          <w:szCs w:val="22"/>
          <w:lang w:val="en-GB"/>
        </w:rPr>
        <w:t xml:space="preserve"> 5% or higher</w:t>
      </w:r>
      <w:r>
        <w:rPr>
          <w:rFonts w:asciiTheme="minorHAnsi" w:hAnsiTheme="minorHAnsi" w:cstheme="minorHAnsi"/>
          <w:bCs/>
          <w:color w:val="000000" w:themeColor="text1"/>
          <w:sz w:val="22"/>
          <w:szCs w:val="22"/>
          <w:lang w:val="en-GB"/>
        </w:rPr>
        <w:t xml:space="preserve"> in some regions</w:t>
      </w:r>
      <w:r w:rsidRPr="00C37A4D">
        <w:rPr>
          <w:rFonts w:asciiTheme="minorHAnsi" w:hAnsiTheme="minorHAnsi" w:cstheme="minorHAnsi"/>
          <w:bCs/>
          <w:color w:val="000000" w:themeColor="text1"/>
          <w:sz w:val="22"/>
          <w:szCs w:val="22"/>
          <w:lang w:val="en-GB"/>
        </w:rPr>
        <w:t xml:space="preserve">. Resistance to aminoglycosides in </w:t>
      </w:r>
      <w:r w:rsidRPr="00C37A4D">
        <w:rPr>
          <w:rFonts w:asciiTheme="minorHAnsi" w:hAnsiTheme="minorHAnsi" w:cstheme="minorHAnsi"/>
          <w:bCs/>
          <w:i/>
          <w:iCs/>
          <w:color w:val="000000" w:themeColor="text1"/>
          <w:sz w:val="22"/>
          <w:szCs w:val="22"/>
          <w:lang w:val="en-GB"/>
        </w:rPr>
        <w:t>A</w:t>
      </w:r>
      <w:r>
        <w:rPr>
          <w:rFonts w:asciiTheme="minorHAnsi" w:hAnsiTheme="minorHAnsi" w:cstheme="minorHAnsi"/>
          <w:bCs/>
          <w:i/>
          <w:iCs/>
          <w:color w:val="000000" w:themeColor="text1"/>
          <w:sz w:val="22"/>
          <w:szCs w:val="22"/>
          <w:lang w:val="en-GB"/>
        </w:rPr>
        <w:t>.</w:t>
      </w:r>
      <w:r w:rsidRPr="00C37A4D">
        <w:rPr>
          <w:rFonts w:asciiTheme="minorHAnsi" w:hAnsiTheme="minorHAnsi" w:cstheme="minorHAnsi"/>
          <w:bCs/>
          <w:i/>
          <w:iCs/>
          <w:color w:val="000000" w:themeColor="text1"/>
          <w:sz w:val="22"/>
          <w:szCs w:val="22"/>
          <w:lang w:val="en-GB"/>
        </w:rPr>
        <w:t xml:space="preserve"> baumannii</w:t>
      </w:r>
      <w:r w:rsidRPr="00C37A4D">
        <w:rPr>
          <w:rFonts w:asciiTheme="minorHAnsi" w:hAnsiTheme="minorHAnsi" w:cstheme="minorHAnsi"/>
          <w:bCs/>
          <w:color w:val="000000" w:themeColor="text1"/>
          <w:sz w:val="22"/>
          <w:szCs w:val="22"/>
          <w:lang w:val="en-GB"/>
        </w:rPr>
        <w:t xml:space="preserve"> bloodstream infections</w:t>
      </w:r>
      <w:r>
        <w:rPr>
          <w:rFonts w:asciiTheme="minorHAnsi" w:hAnsiTheme="minorHAnsi" w:cstheme="minorHAnsi"/>
          <w:bCs/>
          <w:color w:val="000000" w:themeColor="text1"/>
          <w:sz w:val="22"/>
          <w:szCs w:val="22"/>
          <w:lang w:val="en-GB"/>
        </w:rPr>
        <w:t>—typically used with beta lactams</w:t>
      </w:r>
      <w:r w:rsidRPr="00C37A4D">
        <w:rPr>
          <w:rFonts w:asciiTheme="minorHAnsi" w:hAnsiTheme="minorHAnsi" w:cstheme="minorHAnsi"/>
          <w:bCs/>
          <w:color w:val="000000" w:themeColor="text1"/>
          <w:sz w:val="22"/>
          <w:szCs w:val="22"/>
          <w:lang w:val="en-GB"/>
        </w:rPr>
        <w:t xml:space="preserve"> for empirical treatment of sepsis</w:t>
      </w:r>
      <w:r>
        <w:rPr>
          <w:rFonts w:asciiTheme="minorHAnsi" w:hAnsiTheme="minorHAnsi" w:cstheme="minorHAnsi"/>
          <w:bCs/>
          <w:color w:val="000000" w:themeColor="text1"/>
          <w:sz w:val="22"/>
          <w:szCs w:val="22"/>
          <w:lang w:val="en-GB"/>
        </w:rPr>
        <w:t>—</w:t>
      </w:r>
      <w:r w:rsidRPr="00C37A4D">
        <w:rPr>
          <w:rFonts w:asciiTheme="minorHAnsi" w:hAnsiTheme="minorHAnsi" w:cstheme="minorHAnsi"/>
          <w:bCs/>
          <w:color w:val="000000" w:themeColor="text1"/>
          <w:sz w:val="22"/>
          <w:szCs w:val="22"/>
          <w:lang w:val="en-GB"/>
        </w:rPr>
        <w:t xml:space="preserve">was reported for half of the cases, </w:t>
      </w:r>
      <w:r>
        <w:rPr>
          <w:rFonts w:asciiTheme="minorHAnsi" w:hAnsiTheme="minorHAnsi" w:cstheme="minorHAnsi"/>
          <w:bCs/>
          <w:color w:val="000000" w:themeColor="text1"/>
          <w:sz w:val="22"/>
          <w:szCs w:val="22"/>
          <w:lang w:val="en-GB"/>
        </w:rPr>
        <w:t>and</w:t>
      </w:r>
      <w:r w:rsidRPr="00C37A4D">
        <w:rPr>
          <w:rFonts w:asciiTheme="minorHAnsi" w:hAnsiTheme="minorHAnsi" w:cstheme="minorHAnsi"/>
          <w:bCs/>
          <w:color w:val="000000" w:themeColor="text1"/>
          <w:sz w:val="22"/>
          <w:szCs w:val="22"/>
          <w:lang w:val="en-GB"/>
        </w:rPr>
        <w:t xml:space="preserve"> over 60% reported resistance to carbapenems.</w:t>
      </w:r>
      <w:r w:rsidRPr="00E00CFD">
        <w:rPr>
          <w:rFonts w:hAnsiTheme="minorHAnsi"/>
          <w:color w:val="000000"/>
          <w:sz w:val="22"/>
          <w:vertAlign w:val="superscript"/>
        </w:rPr>
        <w:t>2</w:t>
      </w:r>
      <w:r w:rsidRPr="00C37A4D">
        <w:rPr>
          <w:rFonts w:asciiTheme="minorHAnsi" w:hAnsiTheme="minorHAnsi" w:cstheme="minorHAnsi"/>
          <w:bCs/>
          <w:color w:val="000000" w:themeColor="text1"/>
          <w:sz w:val="22"/>
          <w:szCs w:val="22"/>
          <w:lang w:val="en-GB"/>
        </w:rPr>
        <w:t xml:space="preserve"> </w:t>
      </w:r>
      <w:r>
        <w:rPr>
          <w:rFonts w:asciiTheme="minorHAnsi" w:hAnsiTheme="minorHAnsi" w:cstheme="minorHAnsi"/>
          <w:bCs/>
          <w:color w:val="000000" w:themeColor="text1"/>
          <w:sz w:val="22"/>
          <w:szCs w:val="22"/>
          <w:lang w:val="en-GB"/>
        </w:rPr>
        <w:t xml:space="preserve">More than 40% of </w:t>
      </w:r>
      <w:r w:rsidRPr="00C37A4D">
        <w:rPr>
          <w:rFonts w:asciiTheme="minorHAnsi" w:hAnsiTheme="minorHAnsi" w:cstheme="minorHAnsi"/>
          <w:bCs/>
          <w:i/>
          <w:iCs/>
          <w:color w:val="000000" w:themeColor="text1"/>
          <w:sz w:val="22"/>
          <w:szCs w:val="22"/>
          <w:lang w:val="en-GB"/>
        </w:rPr>
        <w:t xml:space="preserve">E. coli </w:t>
      </w:r>
      <w:r w:rsidRPr="00C37A4D">
        <w:rPr>
          <w:rFonts w:asciiTheme="minorHAnsi" w:hAnsiTheme="minorHAnsi" w:cstheme="minorHAnsi"/>
          <w:bCs/>
          <w:color w:val="000000" w:themeColor="text1"/>
          <w:sz w:val="22"/>
          <w:szCs w:val="22"/>
          <w:lang w:val="en-GB"/>
        </w:rPr>
        <w:t xml:space="preserve">bloodstream infections </w:t>
      </w:r>
      <w:r>
        <w:rPr>
          <w:rFonts w:asciiTheme="minorHAnsi" w:hAnsiTheme="minorHAnsi" w:cstheme="minorHAnsi"/>
          <w:bCs/>
          <w:color w:val="000000" w:themeColor="text1"/>
          <w:sz w:val="22"/>
          <w:szCs w:val="22"/>
          <w:lang w:val="en-GB"/>
        </w:rPr>
        <w:t>were resistant</w:t>
      </w:r>
      <w:r w:rsidRPr="00C37A4D">
        <w:rPr>
          <w:rFonts w:asciiTheme="minorHAnsi" w:hAnsiTheme="minorHAnsi" w:cstheme="minorHAnsi"/>
          <w:bCs/>
          <w:color w:val="000000" w:themeColor="text1"/>
          <w:sz w:val="22"/>
          <w:szCs w:val="22"/>
          <w:lang w:val="en-GB"/>
        </w:rPr>
        <w:t xml:space="preserve"> to </w:t>
      </w:r>
      <w:proofErr w:type="gramStart"/>
      <w:r w:rsidRPr="00C37A4D">
        <w:rPr>
          <w:rFonts w:asciiTheme="minorHAnsi" w:hAnsiTheme="minorHAnsi" w:cstheme="minorHAnsi"/>
          <w:bCs/>
          <w:color w:val="000000" w:themeColor="text1"/>
          <w:sz w:val="22"/>
          <w:szCs w:val="22"/>
          <w:lang w:val="en-GB"/>
        </w:rPr>
        <w:t>third-generation</w:t>
      </w:r>
      <w:proofErr w:type="gramEnd"/>
      <w:r w:rsidRPr="00C37A4D">
        <w:rPr>
          <w:rFonts w:asciiTheme="minorHAnsi" w:hAnsiTheme="minorHAnsi" w:cstheme="minorHAnsi"/>
          <w:bCs/>
          <w:color w:val="000000" w:themeColor="text1"/>
          <w:sz w:val="22"/>
          <w:szCs w:val="22"/>
          <w:lang w:val="en-GB"/>
        </w:rPr>
        <w:t xml:space="preserve"> cephalosporins across 76 countries.</w:t>
      </w:r>
      <w:r w:rsidRPr="00E00CFD">
        <w:rPr>
          <w:rFonts w:hAnsiTheme="minorHAnsi"/>
          <w:color w:val="000000"/>
          <w:sz w:val="22"/>
          <w:vertAlign w:val="superscript"/>
        </w:rPr>
        <w:t>2</w:t>
      </w:r>
    </w:p>
    <w:p w14:paraId="25637D54" w14:textId="77777777" w:rsidR="00400FDA" w:rsidRPr="00C37A4D" w:rsidRDefault="00400FDA" w:rsidP="00400FDA">
      <w:pPr>
        <w:pBdr>
          <w:top w:val="single" w:sz="4" w:space="1" w:color="auto"/>
          <w:left w:val="single" w:sz="4" w:space="4" w:color="auto"/>
          <w:bottom w:val="single" w:sz="4" w:space="1" w:color="auto"/>
          <w:right w:val="single" w:sz="4" w:space="4" w:color="auto"/>
        </w:pBdr>
        <w:rPr>
          <w:rFonts w:asciiTheme="minorHAnsi" w:hAnsiTheme="minorHAnsi" w:cstheme="minorHAnsi"/>
          <w:bCs/>
          <w:color w:val="000000" w:themeColor="text1"/>
          <w:sz w:val="22"/>
          <w:szCs w:val="22"/>
          <w:lang w:val="en-GB"/>
        </w:rPr>
      </w:pPr>
    </w:p>
    <w:p w14:paraId="74CBD29C" w14:textId="77777777" w:rsidR="00400FDA" w:rsidRDefault="00400FDA" w:rsidP="00400FDA">
      <w:pPr>
        <w:pBdr>
          <w:top w:val="single" w:sz="4" w:space="1" w:color="auto"/>
          <w:left w:val="single" w:sz="4" w:space="4" w:color="auto"/>
          <w:bottom w:val="single" w:sz="4" w:space="1" w:color="auto"/>
          <w:right w:val="single" w:sz="4" w:space="4" w:color="auto"/>
        </w:pBdr>
        <w:rPr>
          <w:rFonts w:asciiTheme="minorHAnsi" w:hAnsiTheme="minorHAnsi" w:cstheme="minorHAnsi"/>
          <w:bCs/>
          <w:color w:val="000000" w:themeColor="text1"/>
          <w:sz w:val="22"/>
          <w:szCs w:val="22"/>
          <w:lang w:val="en-GB"/>
        </w:rPr>
      </w:pPr>
      <w:r w:rsidRPr="00C37A4D">
        <w:rPr>
          <w:rFonts w:asciiTheme="minorHAnsi" w:hAnsiTheme="minorHAnsi" w:cstheme="minorHAnsi"/>
          <w:bCs/>
          <w:color w:val="000000" w:themeColor="text1"/>
          <w:sz w:val="22"/>
          <w:szCs w:val="22"/>
          <w:lang w:val="en-GB"/>
        </w:rPr>
        <w:t>AMR trend analyses</w:t>
      </w:r>
      <w:r>
        <w:rPr>
          <w:rFonts w:asciiTheme="minorHAnsi" w:hAnsiTheme="minorHAnsi" w:cstheme="minorHAnsi"/>
          <w:bCs/>
          <w:color w:val="000000" w:themeColor="text1"/>
          <w:sz w:val="22"/>
          <w:szCs w:val="22"/>
          <w:lang w:val="en-GB"/>
        </w:rPr>
        <w:t xml:space="preserve"> </w:t>
      </w:r>
      <w:r w:rsidRPr="00C37A4D">
        <w:rPr>
          <w:rFonts w:asciiTheme="minorHAnsi" w:hAnsiTheme="minorHAnsi" w:cstheme="minorHAnsi"/>
          <w:bCs/>
          <w:color w:val="000000" w:themeColor="text1"/>
          <w:sz w:val="22"/>
          <w:szCs w:val="22"/>
          <w:lang w:val="en-GB"/>
        </w:rPr>
        <w:t xml:space="preserve">point to a rise in resistant infections, notably </w:t>
      </w:r>
      <w:r>
        <w:rPr>
          <w:rFonts w:asciiTheme="minorHAnsi" w:hAnsiTheme="minorHAnsi" w:cstheme="minorHAnsi"/>
          <w:bCs/>
          <w:color w:val="000000" w:themeColor="text1"/>
          <w:sz w:val="22"/>
          <w:szCs w:val="22"/>
          <w:lang w:val="en-GB"/>
        </w:rPr>
        <w:t xml:space="preserve">in </w:t>
      </w:r>
      <w:r w:rsidRPr="00C37A4D">
        <w:rPr>
          <w:rFonts w:asciiTheme="minorHAnsi" w:hAnsiTheme="minorHAnsi" w:cstheme="minorHAnsi"/>
          <w:bCs/>
          <w:color w:val="000000" w:themeColor="text1"/>
          <w:sz w:val="22"/>
          <w:szCs w:val="22"/>
          <w:lang w:val="en-GB"/>
        </w:rPr>
        <w:t xml:space="preserve">Gram-negative organisms, </w:t>
      </w:r>
      <w:r>
        <w:rPr>
          <w:rFonts w:asciiTheme="minorHAnsi" w:hAnsiTheme="minorHAnsi" w:cstheme="minorHAnsi"/>
          <w:bCs/>
          <w:color w:val="000000" w:themeColor="text1"/>
          <w:sz w:val="22"/>
          <w:szCs w:val="22"/>
          <w:lang w:val="en-GB"/>
        </w:rPr>
        <w:t>in the past decade</w:t>
      </w:r>
      <w:r w:rsidRPr="00C37A4D">
        <w:rPr>
          <w:rFonts w:asciiTheme="minorHAnsi" w:hAnsiTheme="minorHAnsi" w:cstheme="minorHAnsi"/>
          <w:bCs/>
          <w:color w:val="000000" w:themeColor="text1"/>
          <w:sz w:val="22"/>
          <w:szCs w:val="22"/>
          <w:lang w:val="en-GB"/>
        </w:rPr>
        <w:t>.</w:t>
      </w:r>
      <w:r w:rsidRPr="00E00CFD">
        <w:rPr>
          <w:rFonts w:hAnsiTheme="minorHAnsi"/>
          <w:color w:val="000000"/>
          <w:sz w:val="22"/>
          <w:vertAlign w:val="superscript"/>
        </w:rPr>
        <w:t>3</w:t>
      </w:r>
      <w:r w:rsidRPr="00C37A4D">
        <w:rPr>
          <w:rFonts w:asciiTheme="minorHAnsi" w:hAnsiTheme="minorHAnsi" w:cstheme="minorHAnsi"/>
          <w:bCs/>
          <w:color w:val="000000" w:themeColor="text1"/>
          <w:sz w:val="22"/>
          <w:szCs w:val="22"/>
          <w:lang w:val="en-GB"/>
        </w:rPr>
        <w:t xml:space="preserve"> </w:t>
      </w:r>
      <w:r>
        <w:rPr>
          <w:rFonts w:asciiTheme="minorHAnsi" w:hAnsiTheme="minorHAnsi" w:cstheme="minorHAnsi"/>
          <w:bCs/>
          <w:color w:val="000000" w:themeColor="text1"/>
          <w:sz w:val="22"/>
          <w:szCs w:val="22"/>
          <w:lang w:val="en-GB"/>
        </w:rPr>
        <w:t>In</w:t>
      </w:r>
      <w:r w:rsidRPr="00C37A4D">
        <w:rPr>
          <w:rFonts w:asciiTheme="minorHAnsi" w:hAnsiTheme="minorHAnsi" w:cstheme="minorHAnsi"/>
          <w:bCs/>
          <w:color w:val="000000" w:themeColor="text1"/>
          <w:sz w:val="22"/>
          <w:szCs w:val="22"/>
          <w:lang w:val="en-GB"/>
        </w:rPr>
        <w:t xml:space="preserve"> Europe</w:t>
      </w:r>
      <w:r>
        <w:rPr>
          <w:rFonts w:asciiTheme="minorHAnsi" w:hAnsiTheme="minorHAnsi" w:cstheme="minorHAnsi"/>
          <w:bCs/>
          <w:color w:val="000000" w:themeColor="text1"/>
          <w:sz w:val="22"/>
          <w:szCs w:val="22"/>
          <w:lang w:val="en-GB"/>
        </w:rPr>
        <w:t xml:space="preserve"> in 2019–2021</w:t>
      </w:r>
      <w:r w:rsidRPr="00C37A4D">
        <w:rPr>
          <w:rFonts w:asciiTheme="minorHAnsi" w:hAnsiTheme="minorHAnsi" w:cstheme="minorHAnsi"/>
          <w:bCs/>
          <w:color w:val="000000" w:themeColor="text1"/>
          <w:sz w:val="22"/>
          <w:szCs w:val="22"/>
          <w:lang w:val="en-GB"/>
        </w:rPr>
        <w:t xml:space="preserve">, </w:t>
      </w:r>
      <w:r>
        <w:rPr>
          <w:rFonts w:asciiTheme="minorHAnsi" w:hAnsiTheme="minorHAnsi" w:cstheme="minorHAnsi"/>
          <w:bCs/>
          <w:color w:val="000000" w:themeColor="text1"/>
          <w:sz w:val="22"/>
          <w:szCs w:val="22"/>
          <w:lang w:val="en-GB"/>
        </w:rPr>
        <w:t xml:space="preserve">increasing rates of resistance have been reported, </w:t>
      </w:r>
      <w:r w:rsidRPr="00C37A4D">
        <w:rPr>
          <w:rFonts w:asciiTheme="minorHAnsi" w:hAnsiTheme="minorHAnsi" w:cstheme="minorHAnsi"/>
          <w:bCs/>
          <w:color w:val="000000" w:themeColor="text1"/>
          <w:sz w:val="22"/>
          <w:szCs w:val="22"/>
          <w:lang w:val="en-GB"/>
        </w:rPr>
        <w:t>particularly carbapenem-resistant </w:t>
      </w:r>
      <w:r w:rsidRPr="00C37A4D">
        <w:rPr>
          <w:rFonts w:asciiTheme="minorHAnsi" w:hAnsiTheme="minorHAnsi" w:cstheme="minorHAnsi"/>
          <w:bCs/>
          <w:i/>
          <w:iCs/>
          <w:color w:val="000000" w:themeColor="text1"/>
          <w:sz w:val="22"/>
          <w:szCs w:val="22"/>
          <w:lang w:val="en-GB"/>
        </w:rPr>
        <w:t>Acinetobacter</w:t>
      </w:r>
      <w:r w:rsidRPr="00C37A4D">
        <w:rPr>
          <w:rFonts w:asciiTheme="minorHAnsi" w:hAnsiTheme="minorHAnsi" w:cstheme="minorHAnsi"/>
          <w:bCs/>
          <w:color w:val="000000" w:themeColor="text1"/>
          <w:sz w:val="22"/>
          <w:szCs w:val="22"/>
          <w:lang w:val="en-GB"/>
        </w:rPr>
        <w:t xml:space="preserve"> spp. causing bloodstream infections </w:t>
      </w:r>
      <w:r>
        <w:rPr>
          <w:rFonts w:asciiTheme="minorHAnsi" w:hAnsiTheme="minorHAnsi" w:cstheme="minorHAnsi"/>
          <w:bCs/>
          <w:color w:val="000000" w:themeColor="text1"/>
          <w:sz w:val="22"/>
          <w:szCs w:val="22"/>
          <w:lang w:val="en-GB"/>
        </w:rPr>
        <w:t>in</w:t>
      </w:r>
      <w:r w:rsidRPr="00C37A4D">
        <w:rPr>
          <w:rFonts w:asciiTheme="minorHAnsi" w:hAnsiTheme="minorHAnsi" w:cstheme="minorHAnsi"/>
          <w:bCs/>
          <w:color w:val="000000" w:themeColor="text1"/>
          <w:sz w:val="22"/>
          <w:szCs w:val="22"/>
          <w:lang w:val="en-GB"/>
        </w:rPr>
        <w:t xml:space="preserve"> 2017</w:t>
      </w:r>
      <w:r>
        <w:rPr>
          <w:rFonts w:asciiTheme="minorHAnsi" w:hAnsiTheme="minorHAnsi" w:cstheme="minorHAnsi"/>
          <w:bCs/>
          <w:color w:val="000000" w:themeColor="text1"/>
          <w:sz w:val="22"/>
          <w:szCs w:val="22"/>
          <w:lang w:val="en-GB"/>
        </w:rPr>
        <w:t>–</w:t>
      </w:r>
      <w:r w:rsidRPr="00C37A4D">
        <w:rPr>
          <w:rFonts w:asciiTheme="minorHAnsi" w:hAnsiTheme="minorHAnsi" w:cstheme="minorHAnsi"/>
          <w:bCs/>
          <w:color w:val="000000" w:themeColor="text1"/>
          <w:sz w:val="22"/>
          <w:szCs w:val="22"/>
          <w:lang w:val="en-GB"/>
        </w:rPr>
        <w:t>2021.</w:t>
      </w:r>
      <w:r w:rsidRPr="00E00CFD">
        <w:rPr>
          <w:rFonts w:hAnsiTheme="minorHAnsi"/>
          <w:color w:val="000000"/>
          <w:sz w:val="22"/>
          <w:vertAlign w:val="superscript"/>
        </w:rPr>
        <w:t>4</w:t>
      </w:r>
      <w:r w:rsidRPr="00C37A4D">
        <w:rPr>
          <w:rFonts w:asciiTheme="minorHAnsi" w:hAnsiTheme="minorHAnsi" w:cstheme="minorHAnsi"/>
          <w:bCs/>
          <w:color w:val="000000" w:themeColor="text1"/>
          <w:sz w:val="22"/>
          <w:szCs w:val="22"/>
          <w:lang w:val="en-GB"/>
        </w:rPr>
        <w:t xml:space="preserve"> The </w:t>
      </w:r>
      <w:r>
        <w:rPr>
          <w:rFonts w:asciiTheme="minorHAnsi" w:hAnsiTheme="minorHAnsi" w:cstheme="minorHAnsi"/>
          <w:bCs/>
          <w:color w:val="000000" w:themeColor="text1"/>
          <w:sz w:val="22"/>
          <w:szCs w:val="22"/>
          <w:lang w:val="en-GB"/>
        </w:rPr>
        <w:t xml:space="preserve">substantial </w:t>
      </w:r>
      <w:r w:rsidRPr="00C37A4D">
        <w:rPr>
          <w:rFonts w:asciiTheme="minorHAnsi" w:hAnsiTheme="minorHAnsi" w:cstheme="minorHAnsi"/>
          <w:bCs/>
          <w:color w:val="000000" w:themeColor="text1"/>
          <w:sz w:val="22"/>
          <w:szCs w:val="22"/>
          <w:lang w:val="en-GB"/>
        </w:rPr>
        <w:t xml:space="preserve">estimated burden of </w:t>
      </w:r>
      <w:r>
        <w:rPr>
          <w:rFonts w:asciiTheme="minorHAnsi" w:hAnsiTheme="minorHAnsi" w:cstheme="minorHAnsi"/>
          <w:bCs/>
          <w:color w:val="000000" w:themeColor="text1"/>
          <w:sz w:val="22"/>
          <w:szCs w:val="22"/>
          <w:lang w:val="en-GB"/>
        </w:rPr>
        <w:t xml:space="preserve">resistant </w:t>
      </w:r>
      <w:r w:rsidRPr="00C37A4D">
        <w:rPr>
          <w:rFonts w:asciiTheme="minorHAnsi" w:hAnsiTheme="minorHAnsi" w:cstheme="minorHAnsi"/>
          <w:bCs/>
          <w:color w:val="000000" w:themeColor="text1"/>
          <w:sz w:val="22"/>
          <w:szCs w:val="22"/>
          <w:lang w:val="en-GB"/>
        </w:rPr>
        <w:t>infections in Europe increased between 2007 and 2015.</w:t>
      </w:r>
      <w:r w:rsidRPr="00E00CFD">
        <w:rPr>
          <w:rFonts w:hAnsiTheme="minorHAnsi"/>
          <w:color w:val="000000"/>
          <w:sz w:val="22"/>
          <w:vertAlign w:val="superscript"/>
        </w:rPr>
        <w:t>5</w:t>
      </w:r>
      <w:r w:rsidRPr="00C37A4D">
        <w:rPr>
          <w:rFonts w:asciiTheme="minorHAnsi" w:hAnsiTheme="minorHAnsi" w:cstheme="minorHAnsi"/>
          <w:bCs/>
          <w:color w:val="000000" w:themeColor="text1"/>
          <w:sz w:val="22"/>
          <w:szCs w:val="22"/>
          <w:lang w:val="en-GB"/>
        </w:rPr>
        <w:t xml:space="preserve"> </w:t>
      </w:r>
      <w:r>
        <w:rPr>
          <w:rFonts w:asciiTheme="minorHAnsi" w:hAnsiTheme="minorHAnsi" w:cstheme="minorHAnsi"/>
          <w:bCs/>
          <w:color w:val="000000" w:themeColor="text1"/>
          <w:sz w:val="22"/>
          <w:szCs w:val="22"/>
          <w:lang w:val="en-GB"/>
        </w:rPr>
        <w:t>In 2015, t</w:t>
      </w:r>
      <w:r w:rsidRPr="00C37A4D">
        <w:rPr>
          <w:rFonts w:asciiTheme="minorHAnsi" w:hAnsiTheme="minorHAnsi" w:cstheme="minorHAnsi"/>
          <w:bCs/>
          <w:color w:val="000000" w:themeColor="text1"/>
          <w:sz w:val="22"/>
          <w:szCs w:val="22"/>
          <w:lang w:val="en-GB"/>
        </w:rPr>
        <w:t>he 426</w:t>
      </w:r>
      <w:r>
        <w:rPr>
          <w:rFonts w:asciiTheme="minorHAnsi" w:hAnsiTheme="minorHAnsi" w:cstheme="minorHAnsi"/>
          <w:bCs/>
          <w:color w:val="000000" w:themeColor="text1"/>
          <w:sz w:val="22"/>
          <w:szCs w:val="22"/>
          <w:lang w:val="en-GB"/>
        </w:rPr>
        <w:t>,</w:t>
      </w:r>
      <w:r w:rsidRPr="00C37A4D">
        <w:rPr>
          <w:rFonts w:asciiTheme="minorHAnsi" w:hAnsiTheme="minorHAnsi" w:cstheme="minorHAnsi"/>
          <w:bCs/>
          <w:color w:val="000000" w:themeColor="text1"/>
          <w:sz w:val="22"/>
          <w:szCs w:val="22"/>
          <w:lang w:val="en-GB"/>
        </w:rPr>
        <w:t>277 anti</w:t>
      </w:r>
      <w:r>
        <w:rPr>
          <w:rFonts w:asciiTheme="minorHAnsi" w:hAnsiTheme="minorHAnsi" w:cstheme="minorHAnsi"/>
          <w:bCs/>
          <w:color w:val="000000" w:themeColor="text1"/>
          <w:sz w:val="22"/>
          <w:szCs w:val="22"/>
          <w:lang w:val="en-GB"/>
        </w:rPr>
        <w:t>microbial</w:t>
      </w:r>
      <w:r w:rsidRPr="00C37A4D">
        <w:rPr>
          <w:rFonts w:asciiTheme="minorHAnsi" w:hAnsiTheme="minorHAnsi" w:cstheme="minorHAnsi"/>
          <w:bCs/>
          <w:color w:val="000000" w:themeColor="text1"/>
          <w:sz w:val="22"/>
          <w:szCs w:val="22"/>
          <w:lang w:val="en-GB"/>
        </w:rPr>
        <w:t xml:space="preserve">-resistant </w:t>
      </w:r>
      <w:r>
        <w:rPr>
          <w:rFonts w:asciiTheme="minorHAnsi" w:hAnsiTheme="minorHAnsi" w:cstheme="minorHAnsi"/>
          <w:bCs/>
          <w:color w:val="000000" w:themeColor="text1"/>
          <w:sz w:val="22"/>
          <w:szCs w:val="22"/>
          <w:lang w:val="en-GB"/>
        </w:rPr>
        <w:t>HCAIs</w:t>
      </w:r>
      <w:r w:rsidRPr="00C37A4D">
        <w:rPr>
          <w:rFonts w:asciiTheme="minorHAnsi" w:hAnsiTheme="minorHAnsi" w:cstheme="minorHAnsi"/>
          <w:bCs/>
          <w:color w:val="000000" w:themeColor="text1"/>
          <w:sz w:val="22"/>
          <w:szCs w:val="22"/>
          <w:lang w:val="en-GB"/>
        </w:rPr>
        <w:t xml:space="preserve"> accounted for an estimated 33,110 attributable deaths and 874,541 </w:t>
      </w:r>
      <w:r>
        <w:rPr>
          <w:rFonts w:asciiTheme="minorHAnsi" w:hAnsiTheme="minorHAnsi" w:cstheme="minorHAnsi"/>
          <w:bCs/>
          <w:color w:val="000000" w:themeColor="text1"/>
          <w:sz w:val="22"/>
          <w:szCs w:val="22"/>
          <w:lang w:val="en-GB"/>
        </w:rPr>
        <w:t>DALY</w:t>
      </w:r>
      <w:r w:rsidRPr="00C37A4D">
        <w:rPr>
          <w:rFonts w:asciiTheme="minorHAnsi" w:hAnsiTheme="minorHAnsi" w:cstheme="minorHAnsi"/>
          <w:bCs/>
          <w:color w:val="000000" w:themeColor="text1"/>
          <w:sz w:val="22"/>
          <w:szCs w:val="22"/>
          <w:lang w:val="en-GB"/>
        </w:rPr>
        <w:t>s.</w:t>
      </w:r>
      <w:r w:rsidRPr="00E00CFD">
        <w:rPr>
          <w:rFonts w:hAnsiTheme="minorHAnsi"/>
          <w:color w:val="000000"/>
          <w:sz w:val="22"/>
          <w:vertAlign w:val="superscript"/>
        </w:rPr>
        <w:t>5</w:t>
      </w:r>
      <w:r>
        <w:rPr>
          <w:rFonts w:asciiTheme="minorHAnsi" w:hAnsiTheme="minorHAnsi" w:cstheme="minorHAnsi"/>
          <w:bCs/>
          <w:color w:val="000000" w:themeColor="text1"/>
          <w:sz w:val="22"/>
          <w:szCs w:val="22"/>
          <w:lang w:val="en-GB"/>
        </w:rPr>
        <w:t xml:space="preserve"> </w:t>
      </w:r>
      <w:r w:rsidRPr="00C37A4D">
        <w:rPr>
          <w:rFonts w:asciiTheme="minorHAnsi" w:hAnsiTheme="minorHAnsi" w:cstheme="minorHAnsi"/>
          <w:bCs/>
          <w:color w:val="000000" w:themeColor="text1"/>
          <w:sz w:val="22"/>
          <w:szCs w:val="22"/>
          <w:lang w:val="en-GB"/>
        </w:rPr>
        <w:t>Projection</w:t>
      </w:r>
      <w:r>
        <w:rPr>
          <w:rFonts w:asciiTheme="minorHAnsi" w:hAnsiTheme="minorHAnsi" w:cstheme="minorHAnsi"/>
          <w:bCs/>
          <w:color w:val="000000" w:themeColor="text1"/>
          <w:sz w:val="22"/>
          <w:szCs w:val="22"/>
          <w:lang w:val="en-GB"/>
        </w:rPr>
        <w:t>s</w:t>
      </w:r>
      <w:r w:rsidRPr="00C37A4D">
        <w:rPr>
          <w:rFonts w:asciiTheme="minorHAnsi" w:hAnsiTheme="minorHAnsi" w:cstheme="minorHAnsi"/>
          <w:bCs/>
          <w:color w:val="000000" w:themeColor="text1"/>
          <w:sz w:val="22"/>
          <w:szCs w:val="22"/>
          <w:lang w:val="en-GB"/>
        </w:rPr>
        <w:t xml:space="preserve"> from </w:t>
      </w:r>
      <w:r>
        <w:rPr>
          <w:rFonts w:asciiTheme="minorHAnsi" w:hAnsiTheme="minorHAnsi" w:cstheme="minorHAnsi"/>
          <w:bCs/>
          <w:color w:val="000000" w:themeColor="text1"/>
          <w:sz w:val="22"/>
          <w:szCs w:val="22"/>
          <w:lang w:val="en-GB"/>
        </w:rPr>
        <w:t>high-income</w:t>
      </w:r>
      <w:r w:rsidRPr="00C37A4D">
        <w:rPr>
          <w:rFonts w:asciiTheme="minorHAnsi" w:hAnsiTheme="minorHAnsi" w:cstheme="minorHAnsi"/>
          <w:bCs/>
          <w:color w:val="000000" w:themeColor="text1"/>
          <w:sz w:val="22"/>
          <w:szCs w:val="22"/>
          <w:lang w:val="en-GB"/>
        </w:rPr>
        <w:t xml:space="preserve"> countries predict a 2·1-fold rise in resistance to third-line antimicrobials</w:t>
      </w:r>
      <w:r>
        <w:rPr>
          <w:rFonts w:asciiTheme="minorHAnsi" w:hAnsiTheme="minorHAnsi" w:cstheme="minorHAnsi"/>
          <w:bCs/>
          <w:color w:val="000000" w:themeColor="text1"/>
          <w:sz w:val="22"/>
          <w:szCs w:val="22"/>
          <w:lang w:val="en-GB"/>
        </w:rPr>
        <w:t>—</w:t>
      </w:r>
      <w:r w:rsidRPr="00C37A4D">
        <w:rPr>
          <w:rFonts w:asciiTheme="minorHAnsi" w:hAnsiTheme="minorHAnsi" w:cstheme="minorHAnsi"/>
          <w:bCs/>
          <w:color w:val="000000" w:themeColor="text1"/>
          <w:sz w:val="22"/>
          <w:szCs w:val="22"/>
          <w:lang w:val="en-GB"/>
        </w:rPr>
        <w:t>the last</w:t>
      </w:r>
      <w:r>
        <w:rPr>
          <w:rFonts w:asciiTheme="minorHAnsi" w:hAnsiTheme="minorHAnsi" w:cstheme="minorHAnsi"/>
          <w:bCs/>
          <w:color w:val="000000" w:themeColor="text1"/>
          <w:sz w:val="22"/>
          <w:szCs w:val="22"/>
          <w:lang w:val="en-GB"/>
        </w:rPr>
        <w:t>-</w:t>
      </w:r>
      <w:r w:rsidRPr="00C37A4D">
        <w:rPr>
          <w:rFonts w:asciiTheme="minorHAnsi" w:hAnsiTheme="minorHAnsi" w:cstheme="minorHAnsi"/>
          <w:bCs/>
          <w:color w:val="000000" w:themeColor="text1"/>
          <w:sz w:val="22"/>
          <w:szCs w:val="22"/>
          <w:lang w:val="en-GB"/>
        </w:rPr>
        <w:t>resort drugs</w:t>
      </w:r>
      <w:r>
        <w:rPr>
          <w:rFonts w:asciiTheme="minorHAnsi" w:hAnsiTheme="minorHAnsi" w:cstheme="minorHAnsi"/>
          <w:bCs/>
          <w:color w:val="000000" w:themeColor="text1"/>
          <w:sz w:val="22"/>
          <w:szCs w:val="22"/>
          <w:lang w:val="en-GB"/>
        </w:rPr>
        <w:t>—</w:t>
      </w:r>
      <w:r w:rsidRPr="00C37A4D">
        <w:rPr>
          <w:rFonts w:asciiTheme="minorHAnsi" w:hAnsiTheme="minorHAnsi" w:cstheme="minorHAnsi"/>
          <w:bCs/>
          <w:color w:val="000000" w:themeColor="text1"/>
          <w:sz w:val="22"/>
          <w:szCs w:val="22"/>
          <w:lang w:val="en-GB"/>
        </w:rPr>
        <w:t xml:space="preserve">by 2035 compared </w:t>
      </w:r>
      <w:r>
        <w:rPr>
          <w:rFonts w:asciiTheme="minorHAnsi" w:hAnsiTheme="minorHAnsi" w:cstheme="minorHAnsi"/>
          <w:bCs/>
          <w:color w:val="000000" w:themeColor="text1"/>
          <w:sz w:val="22"/>
          <w:szCs w:val="22"/>
          <w:lang w:val="en-GB"/>
        </w:rPr>
        <w:t>with</w:t>
      </w:r>
      <w:r w:rsidRPr="00C37A4D">
        <w:rPr>
          <w:rFonts w:asciiTheme="minorHAnsi" w:hAnsiTheme="minorHAnsi" w:cstheme="minorHAnsi"/>
          <w:bCs/>
          <w:color w:val="000000" w:themeColor="text1"/>
          <w:sz w:val="22"/>
          <w:szCs w:val="22"/>
          <w:lang w:val="en-GB"/>
        </w:rPr>
        <w:t xml:space="preserve"> 2005. </w:t>
      </w:r>
    </w:p>
    <w:p w14:paraId="4A5B955F" w14:textId="77777777" w:rsidR="00400FDA" w:rsidRPr="00C37A4D" w:rsidRDefault="00400FDA" w:rsidP="00400FDA">
      <w:pPr>
        <w:pBdr>
          <w:top w:val="single" w:sz="4" w:space="1" w:color="auto"/>
          <w:left w:val="single" w:sz="4" w:space="4" w:color="auto"/>
          <w:bottom w:val="single" w:sz="4" w:space="1" w:color="auto"/>
          <w:right w:val="single" w:sz="4" w:space="4" w:color="auto"/>
        </w:pBdr>
        <w:rPr>
          <w:rFonts w:asciiTheme="minorHAnsi" w:hAnsiTheme="minorHAnsi" w:cstheme="minorHAnsi"/>
          <w:bCs/>
          <w:color w:val="000000" w:themeColor="text1"/>
          <w:sz w:val="22"/>
          <w:szCs w:val="22"/>
          <w:lang w:val="en-GB"/>
        </w:rPr>
      </w:pPr>
    </w:p>
    <w:p w14:paraId="367E2A2A" w14:textId="77777777" w:rsidR="00400FDA" w:rsidRPr="00C37A4D" w:rsidRDefault="00400FDA" w:rsidP="00400FDA">
      <w:pPr>
        <w:pBdr>
          <w:top w:val="single" w:sz="4" w:space="1" w:color="auto"/>
          <w:left w:val="single" w:sz="4" w:space="4" w:color="auto"/>
          <w:bottom w:val="single" w:sz="4" w:space="1" w:color="auto"/>
          <w:right w:val="single" w:sz="4" w:space="4" w:color="auto"/>
        </w:pBdr>
        <w:rPr>
          <w:rFonts w:asciiTheme="minorHAnsi" w:hAnsiTheme="minorHAnsi" w:cstheme="minorHAnsi"/>
          <w:bCs/>
          <w:color w:val="000000" w:themeColor="text1"/>
          <w:sz w:val="22"/>
          <w:szCs w:val="22"/>
          <w:lang w:val="en-GB"/>
        </w:rPr>
      </w:pPr>
      <w:r w:rsidRPr="00C37A4D">
        <w:rPr>
          <w:rFonts w:asciiTheme="minorHAnsi" w:hAnsiTheme="minorHAnsi" w:cstheme="minorHAnsi"/>
          <w:bCs/>
          <w:color w:val="000000" w:themeColor="text1"/>
          <w:sz w:val="22"/>
          <w:szCs w:val="22"/>
          <w:lang w:val="en-GB"/>
        </w:rPr>
        <w:t>The Global Research on Antimicrobial Resistance (GRAM)</w:t>
      </w:r>
      <w:r w:rsidRPr="00C37A4D" w:rsidDel="000276EA">
        <w:rPr>
          <w:rFonts w:asciiTheme="minorHAnsi" w:hAnsiTheme="minorHAnsi" w:cstheme="minorHAnsi"/>
          <w:bCs/>
          <w:color w:val="000000" w:themeColor="text1"/>
          <w:sz w:val="22"/>
          <w:szCs w:val="22"/>
          <w:lang w:val="en-GB"/>
        </w:rPr>
        <w:t xml:space="preserve"> </w:t>
      </w:r>
      <w:r w:rsidRPr="00C37A4D">
        <w:rPr>
          <w:rFonts w:asciiTheme="minorHAnsi" w:hAnsiTheme="minorHAnsi" w:cstheme="minorHAnsi"/>
          <w:bCs/>
          <w:color w:val="000000" w:themeColor="text1"/>
          <w:sz w:val="22"/>
          <w:szCs w:val="22"/>
          <w:lang w:val="en-GB"/>
        </w:rPr>
        <w:t xml:space="preserve">study estimated </w:t>
      </w:r>
      <w:r>
        <w:rPr>
          <w:rFonts w:asciiTheme="minorHAnsi" w:hAnsiTheme="minorHAnsi" w:cstheme="minorHAnsi"/>
          <w:bCs/>
          <w:color w:val="000000" w:themeColor="text1"/>
          <w:sz w:val="22"/>
          <w:szCs w:val="22"/>
          <w:lang w:val="en-GB"/>
        </w:rPr>
        <w:t xml:space="preserve">that </w:t>
      </w:r>
      <w:r w:rsidRPr="00C37A4D">
        <w:rPr>
          <w:rFonts w:asciiTheme="minorHAnsi" w:hAnsiTheme="minorHAnsi" w:cstheme="minorHAnsi"/>
          <w:bCs/>
          <w:color w:val="000000" w:themeColor="text1"/>
          <w:sz w:val="22"/>
          <w:szCs w:val="22"/>
          <w:lang w:val="en-GB"/>
        </w:rPr>
        <w:t>4·95 million (3·62–6·57</w:t>
      </w:r>
      <w:r>
        <w:rPr>
          <w:rFonts w:asciiTheme="minorHAnsi" w:hAnsiTheme="minorHAnsi" w:cstheme="minorHAnsi"/>
          <w:bCs/>
          <w:color w:val="000000" w:themeColor="text1"/>
          <w:sz w:val="22"/>
          <w:szCs w:val="22"/>
          <w:lang w:val="en-GB"/>
        </w:rPr>
        <w:t xml:space="preserve"> million</w:t>
      </w:r>
      <w:r w:rsidRPr="00C37A4D">
        <w:rPr>
          <w:rFonts w:asciiTheme="minorHAnsi" w:hAnsiTheme="minorHAnsi" w:cstheme="minorHAnsi"/>
          <w:bCs/>
          <w:color w:val="000000" w:themeColor="text1"/>
          <w:sz w:val="22"/>
          <w:szCs w:val="22"/>
          <w:lang w:val="en-GB"/>
        </w:rPr>
        <w:t>) deaths were associated with bacterial AMR in 2019 (resistan</w:t>
      </w:r>
      <w:r>
        <w:rPr>
          <w:rFonts w:asciiTheme="minorHAnsi" w:hAnsiTheme="minorHAnsi" w:cstheme="minorHAnsi"/>
          <w:bCs/>
          <w:color w:val="000000" w:themeColor="text1"/>
          <w:sz w:val="22"/>
          <w:szCs w:val="22"/>
          <w:lang w:val="en-GB"/>
        </w:rPr>
        <w:t>t</w:t>
      </w:r>
      <w:r w:rsidRPr="00C37A4D">
        <w:rPr>
          <w:rFonts w:asciiTheme="minorHAnsi" w:hAnsiTheme="minorHAnsi" w:cstheme="minorHAnsi"/>
          <w:bCs/>
          <w:color w:val="000000" w:themeColor="text1"/>
          <w:sz w:val="22"/>
          <w:szCs w:val="22"/>
          <w:lang w:val="en-GB"/>
        </w:rPr>
        <w:t xml:space="preserve"> vs. no infections), including 1·27 million (0·91–1·71</w:t>
      </w:r>
      <w:r>
        <w:rPr>
          <w:rFonts w:asciiTheme="minorHAnsi" w:hAnsiTheme="minorHAnsi" w:cstheme="minorHAnsi"/>
          <w:bCs/>
          <w:color w:val="000000" w:themeColor="text1"/>
          <w:sz w:val="22"/>
          <w:szCs w:val="22"/>
          <w:lang w:val="en-GB"/>
        </w:rPr>
        <w:t xml:space="preserve"> million</w:t>
      </w:r>
      <w:r w:rsidRPr="00C37A4D">
        <w:rPr>
          <w:rFonts w:asciiTheme="minorHAnsi" w:hAnsiTheme="minorHAnsi" w:cstheme="minorHAnsi"/>
          <w:bCs/>
          <w:color w:val="000000" w:themeColor="text1"/>
          <w:sz w:val="22"/>
          <w:szCs w:val="22"/>
          <w:lang w:val="en-GB"/>
        </w:rPr>
        <w:t>) deaths attributable to bacterial AMR (resistan</w:t>
      </w:r>
      <w:r>
        <w:rPr>
          <w:rFonts w:asciiTheme="minorHAnsi" w:hAnsiTheme="minorHAnsi" w:cstheme="minorHAnsi"/>
          <w:bCs/>
          <w:color w:val="000000" w:themeColor="text1"/>
          <w:sz w:val="22"/>
          <w:szCs w:val="22"/>
          <w:lang w:val="en-GB"/>
        </w:rPr>
        <w:t>t</w:t>
      </w:r>
      <w:r w:rsidRPr="00C37A4D">
        <w:rPr>
          <w:rFonts w:asciiTheme="minorHAnsi" w:hAnsiTheme="minorHAnsi" w:cstheme="minorHAnsi"/>
          <w:bCs/>
          <w:color w:val="000000" w:themeColor="text1"/>
          <w:sz w:val="22"/>
          <w:szCs w:val="22"/>
          <w:lang w:val="en-GB"/>
        </w:rPr>
        <w:t xml:space="preserve"> vs</w:t>
      </w:r>
      <w:r>
        <w:rPr>
          <w:rFonts w:asciiTheme="minorHAnsi" w:hAnsiTheme="minorHAnsi" w:cstheme="minorHAnsi"/>
          <w:bCs/>
          <w:color w:val="000000" w:themeColor="text1"/>
          <w:sz w:val="22"/>
          <w:szCs w:val="22"/>
          <w:lang w:val="en-GB"/>
        </w:rPr>
        <w:t>.</w:t>
      </w:r>
      <w:r w:rsidRPr="00C37A4D">
        <w:rPr>
          <w:rFonts w:asciiTheme="minorHAnsi" w:hAnsiTheme="minorHAnsi" w:cstheme="minorHAnsi"/>
          <w:bCs/>
          <w:color w:val="000000" w:themeColor="text1"/>
          <w:sz w:val="22"/>
          <w:szCs w:val="22"/>
          <w:lang w:val="en-GB"/>
        </w:rPr>
        <w:t xml:space="preserve"> susceptible infections).</w:t>
      </w:r>
      <w:r w:rsidRPr="00795AD6">
        <w:rPr>
          <w:rFonts w:hAnsiTheme="minorHAnsi"/>
          <w:color w:val="000000"/>
          <w:sz w:val="22"/>
          <w:vertAlign w:val="superscript"/>
        </w:rPr>
        <w:t>1</w:t>
      </w:r>
      <w:r w:rsidRPr="00C37A4D">
        <w:rPr>
          <w:rFonts w:asciiTheme="minorHAnsi" w:hAnsiTheme="minorHAnsi" w:cstheme="minorHAnsi"/>
          <w:bCs/>
          <w:color w:val="000000" w:themeColor="text1"/>
          <w:sz w:val="22"/>
          <w:szCs w:val="22"/>
          <w:lang w:val="en-GB"/>
        </w:rPr>
        <w:t xml:space="preserve"> The upper limit would place AMR in the top three causes of death</w:t>
      </w:r>
      <w:r>
        <w:rPr>
          <w:rFonts w:asciiTheme="minorHAnsi" w:hAnsiTheme="minorHAnsi" w:cstheme="minorHAnsi"/>
          <w:bCs/>
          <w:color w:val="000000" w:themeColor="text1"/>
          <w:sz w:val="22"/>
          <w:szCs w:val="22"/>
          <w:lang w:val="en-GB"/>
        </w:rPr>
        <w:t>,</w:t>
      </w:r>
      <w:r w:rsidRPr="00C37A4D">
        <w:rPr>
          <w:rFonts w:asciiTheme="minorHAnsi" w:hAnsiTheme="minorHAnsi" w:cstheme="minorHAnsi"/>
          <w:bCs/>
          <w:color w:val="000000" w:themeColor="text1"/>
          <w:sz w:val="22"/>
          <w:szCs w:val="22"/>
          <w:lang w:val="en-GB"/>
        </w:rPr>
        <w:t xml:space="preserve"> after ischemic heart disease, stroke, and chronic obstructive pulmonary disease. </w:t>
      </w:r>
      <w:r>
        <w:rPr>
          <w:rFonts w:asciiTheme="minorHAnsi" w:hAnsiTheme="minorHAnsi" w:cstheme="minorHAnsi"/>
          <w:bCs/>
          <w:color w:val="000000" w:themeColor="text1"/>
          <w:sz w:val="22"/>
          <w:szCs w:val="22"/>
          <w:lang w:val="en-GB"/>
        </w:rPr>
        <w:t xml:space="preserve">In addition to absolute AMR rates, the burden from resistance is driven by the overall infectious disease burden and access to </w:t>
      </w:r>
      <w:proofErr w:type="gramStart"/>
      <w:r>
        <w:rPr>
          <w:rFonts w:asciiTheme="minorHAnsi" w:hAnsiTheme="minorHAnsi" w:cstheme="minorHAnsi"/>
          <w:bCs/>
          <w:color w:val="000000" w:themeColor="text1"/>
          <w:sz w:val="22"/>
          <w:szCs w:val="22"/>
          <w:lang w:val="en-GB"/>
        </w:rPr>
        <w:t>second-line</w:t>
      </w:r>
      <w:proofErr w:type="gramEnd"/>
      <w:r>
        <w:rPr>
          <w:rFonts w:asciiTheme="minorHAnsi" w:hAnsiTheme="minorHAnsi" w:cstheme="minorHAnsi"/>
          <w:bCs/>
          <w:color w:val="000000" w:themeColor="text1"/>
          <w:sz w:val="22"/>
          <w:szCs w:val="22"/>
          <w:lang w:val="en-GB"/>
        </w:rPr>
        <w:t xml:space="preserve"> and reserve antimicrobials that can be used to treat resistant infections. </w:t>
      </w:r>
      <w:r w:rsidRPr="00C37A4D">
        <w:rPr>
          <w:rFonts w:asciiTheme="minorHAnsi" w:hAnsiTheme="minorHAnsi" w:cstheme="minorHAnsi"/>
          <w:bCs/>
          <w:color w:val="000000" w:themeColor="text1"/>
          <w:sz w:val="22"/>
          <w:szCs w:val="22"/>
          <w:lang w:val="en-GB"/>
        </w:rPr>
        <w:t>Th</w:t>
      </w:r>
      <w:r>
        <w:rPr>
          <w:rFonts w:asciiTheme="minorHAnsi" w:hAnsiTheme="minorHAnsi" w:cstheme="minorHAnsi"/>
          <w:bCs/>
          <w:color w:val="000000" w:themeColor="text1"/>
          <w:sz w:val="22"/>
          <w:szCs w:val="22"/>
          <w:lang w:val="en-GB"/>
        </w:rPr>
        <w:t>us,</w:t>
      </w:r>
      <w:r w:rsidRPr="00C37A4D">
        <w:rPr>
          <w:rFonts w:asciiTheme="minorHAnsi" w:hAnsiTheme="minorHAnsi" w:cstheme="minorHAnsi"/>
          <w:bCs/>
          <w:color w:val="000000" w:themeColor="text1"/>
          <w:sz w:val="22"/>
          <w:szCs w:val="22"/>
          <w:lang w:val="en-GB"/>
        </w:rPr>
        <w:t xml:space="preserve"> estimated all-age death rate attributable to resistance was highest in </w:t>
      </w:r>
      <w:r>
        <w:rPr>
          <w:rFonts w:asciiTheme="minorHAnsi" w:hAnsiTheme="minorHAnsi" w:cstheme="minorHAnsi"/>
          <w:bCs/>
          <w:color w:val="000000" w:themeColor="text1"/>
          <w:sz w:val="22"/>
          <w:szCs w:val="22"/>
          <w:lang w:val="en-GB"/>
        </w:rPr>
        <w:t>West</w:t>
      </w:r>
      <w:r w:rsidRPr="00C37A4D">
        <w:rPr>
          <w:rFonts w:asciiTheme="minorHAnsi" w:hAnsiTheme="minorHAnsi" w:cstheme="minorHAnsi"/>
          <w:bCs/>
          <w:color w:val="000000" w:themeColor="text1"/>
          <w:sz w:val="22"/>
          <w:szCs w:val="22"/>
          <w:lang w:val="en-GB"/>
        </w:rPr>
        <w:t xml:space="preserve"> Africa (27·3 deaths/100,000) and lowest in Australasia (6·5 deaths/100,000). </w:t>
      </w:r>
      <w:r>
        <w:rPr>
          <w:rFonts w:asciiTheme="minorHAnsi" w:hAnsiTheme="minorHAnsi" w:cstheme="minorHAnsi"/>
          <w:bCs/>
          <w:color w:val="000000" w:themeColor="text1"/>
          <w:sz w:val="22"/>
          <w:szCs w:val="22"/>
          <w:lang w:val="en-GB"/>
        </w:rPr>
        <w:t>Such</w:t>
      </w:r>
      <w:r w:rsidRPr="00C37A4D">
        <w:rPr>
          <w:rFonts w:asciiTheme="minorHAnsi" w:hAnsiTheme="minorHAnsi" w:cstheme="minorHAnsi"/>
          <w:bCs/>
          <w:color w:val="000000" w:themeColor="text1"/>
          <w:sz w:val="22"/>
          <w:szCs w:val="22"/>
          <w:lang w:val="en-GB"/>
        </w:rPr>
        <w:t xml:space="preserve"> estimates </w:t>
      </w:r>
      <w:r>
        <w:rPr>
          <w:rFonts w:asciiTheme="minorHAnsi" w:hAnsiTheme="minorHAnsi" w:cstheme="minorHAnsi"/>
          <w:bCs/>
          <w:color w:val="000000" w:themeColor="text1"/>
          <w:sz w:val="22"/>
          <w:szCs w:val="22"/>
          <w:lang w:val="en-GB"/>
        </w:rPr>
        <w:t>have several</w:t>
      </w:r>
      <w:r w:rsidRPr="00C37A4D">
        <w:rPr>
          <w:rFonts w:asciiTheme="minorHAnsi" w:hAnsiTheme="minorHAnsi" w:cstheme="minorHAnsi"/>
          <w:bCs/>
          <w:color w:val="000000" w:themeColor="text1"/>
          <w:sz w:val="22"/>
          <w:szCs w:val="22"/>
          <w:lang w:val="en-GB"/>
        </w:rPr>
        <w:t xml:space="preserve"> limitations</w:t>
      </w:r>
      <w:r>
        <w:rPr>
          <w:rFonts w:asciiTheme="minorHAnsi" w:hAnsiTheme="minorHAnsi" w:cstheme="minorHAnsi"/>
          <w:bCs/>
          <w:color w:val="000000" w:themeColor="text1"/>
          <w:sz w:val="22"/>
          <w:szCs w:val="22"/>
          <w:lang w:val="en-GB"/>
        </w:rPr>
        <w:t>: t</w:t>
      </w:r>
      <w:r w:rsidRPr="00C37A4D">
        <w:rPr>
          <w:rFonts w:asciiTheme="minorHAnsi" w:hAnsiTheme="minorHAnsi" w:cstheme="minorHAnsi"/>
          <w:bCs/>
          <w:color w:val="000000" w:themeColor="text1"/>
          <w:sz w:val="22"/>
          <w:szCs w:val="22"/>
          <w:lang w:val="en-GB"/>
        </w:rPr>
        <w:t xml:space="preserve">he data </w:t>
      </w:r>
      <w:r>
        <w:rPr>
          <w:rFonts w:asciiTheme="minorHAnsi" w:hAnsiTheme="minorHAnsi" w:cstheme="minorHAnsi"/>
          <w:bCs/>
          <w:color w:val="000000" w:themeColor="text1"/>
          <w:sz w:val="22"/>
          <w:szCs w:val="22"/>
          <w:lang w:val="en-GB"/>
        </w:rPr>
        <w:t xml:space="preserve">come </w:t>
      </w:r>
      <w:r w:rsidRPr="00C37A4D">
        <w:rPr>
          <w:rFonts w:asciiTheme="minorHAnsi" w:hAnsiTheme="minorHAnsi" w:cstheme="minorHAnsi"/>
          <w:bCs/>
          <w:color w:val="000000" w:themeColor="text1"/>
          <w:sz w:val="22"/>
          <w:szCs w:val="22"/>
          <w:lang w:val="en-GB"/>
        </w:rPr>
        <w:t>from a small number of countries; DALYs did not account for prolonged treatment effects, disability, or other sequelae; and burden estimates included non-hospitalized patients</w:t>
      </w:r>
      <w:r>
        <w:rPr>
          <w:rFonts w:asciiTheme="minorHAnsi" w:hAnsiTheme="minorHAnsi" w:cstheme="minorHAnsi"/>
          <w:bCs/>
          <w:color w:val="000000" w:themeColor="text1"/>
          <w:sz w:val="22"/>
          <w:szCs w:val="22"/>
          <w:lang w:val="en-GB"/>
        </w:rPr>
        <w:t>,</w:t>
      </w:r>
      <w:r w:rsidRPr="00C37A4D">
        <w:rPr>
          <w:rFonts w:asciiTheme="minorHAnsi" w:hAnsiTheme="minorHAnsi" w:cstheme="minorHAnsi"/>
          <w:bCs/>
          <w:color w:val="000000" w:themeColor="text1"/>
          <w:sz w:val="22"/>
          <w:szCs w:val="22"/>
          <w:lang w:val="en-GB"/>
        </w:rPr>
        <w:t xml:space="preserve"> but pathogen distributions and case fatality ratios were derived from hospital data. Also, </w:t>
      </w:r>
      <w:r>
        <w:rPr>
          <w:rFonts w:asciiTheme="minorHAnsi" w:hAnsiTheme="minorHAnsi" w:cstheme="minorHAnsi"/>
          <w:bCs/>
          <w:color w:val="000000" w:themeColor="text1"/>
          <w:sz w:val="22"/>
          <w:szCs w:val="22"/>
          <w:lang w:val="en-GB"/>
        </w:rPr>
        <w:t>because of</w:t>
      </w:r>
      <w:r w:rsidRPr="00C37A4D">
        <w:rPr>
          <w:rFonts w:asciiTheme="minorHAnsi" w:hAnsiTheme="minorHAnsi" w:cstheme="minorHAnsi"/>
          <w:bCs/>
          <w:color w:val="000000" w:themeColor="text1"/>
          <w:sz w:val="22"/>
          <w:szCs w:val="22"/>
          <w:lang w:val="en-GB"/>
        </w:rPr>
        <w:t xml:space="preserve"> sparse data, resistance proportions and relative risks were assumed equal across sub-populations, infection sites, and locations, </w:t>
      </w:r>
      <w:r>
        <w:rPr>
          <w:rFonts w:asciiTheme="minorHAnsi" w:hAnsiTheme="minorHAnsi" w:cstheme="minorHAnsi"/>
          <w:bCs/>
          <w:color w:val="000000" w:themeColor="text1"/>
          <w:sz w:val="22"/>
          <w:szCs w:val="22"/>
          <w:lang w:val="en-GB"/>
        </w:rPr>
        <w:t>affecting</w:t>
      </w:r>
      <w:r w:rsidRPr="00C37A4D">
        <w:rPr>
          <w:rFonts w:asciiTheme="minorHAnsi" w:hAnsiTheme="minorHAnsi" w:cstheme="minorHAnsi"/>
          <w:bCs/>
          <w:color w:val="000000" w:themeColor="text1"/>
          <w:sz w:val="22"/>
          <w:szCs w:val="22"/>
          <w:lang w:val="en-GB"/>
        </w:rPr>
        <w:t xml:space="preserve"> the reliability of </w:t>
      </w:r>
      <w:r>
        <w:rPr>
          <w:rFonts w:asciiTheme="minorHAnsi" w:hAnsiTheme="minorHAnsi" w:cstheme="minorHAnsi"/>
          <w:bCs/>
          <w:color w:val="000000" w:themeColor="text1"/>
          <w:sz w:val="22"/>
          <w:szCs w:val="22"/>
          <w:lang w:val="en-GB"/>
        </w:rPr>
        <w:t xml:space="preserve">the </w:t>
      </w:r>
      <w:r w:rsidRPr="00C37A4D">
        <w:rPr>
          <w:rFonts w:asciiTheme="minorHAnsi" w:hAnsiTheme="minorHAnsi" w:cstheme="minorHAnsi"/>
          <w:bCs/>
          <w:color w:val="000000" w:themeColor="text1"/>
          <w:sz w:val="22"/>
          <w:szCs w:val="22"/>
          <w:lang w:val="en-GB"/>
        </w:rPr>
        <w:t>ranking</w:t>
      </w:r>
      <w:r>
        <w:rPr>
          <w:rFonts w:asciiTheme="minorHAnsi" w:hAnsiTheme="minorHAnsi" w:cstheme="minorHAnsi"/>
          <w:bCs/>
          <w:color w:val="000000" w:themeColor="text1"/>
          <w:sz w:val="22"/>
          <w:szCs w:val="22"/>
          <w:lang w:val="en-GB"/>
        </w:rPr>
        <w:t>s</w:t>
      </w:r>
      <w:r w:rsidRPr="00C37A4D">
        <w:rPr>
          <w:rFonts w:asciiTheme="minorHAnsi" w:hAnsiTheme="minorHAnsi" w:cstheme="minorHAnsi"/>
          <w:bCs/>
          <w:color w:val="000000" w:themeColor="text1"/>
          <w:sz w:val="22"/>
          <w:szCs w:val="22"/>
          <w:lang w:val="en-GB"/>
        </w:rPr>
        <w:t>.</w:t>
      </w:r>
    </w:p>
    <w:p w14:paraId="21246021" w14:textId="77777777" w:rsidR="00400FDA" w:rsidRPr="00C37A4D" w:rsidRDefault="00400FDA" w:rsidP="00400FDA">
      <w:pPr>
        <w:pBdr>
          <w:top w:val="single" w:sz="4" w:space="1" w:color="auto"/>
          <w:left w:val="single" w:sz="4" w:space="4" w:color="auto"/>
          <w:bottom w:val="single" w:sz="4" w:space="1" w:color="auto"/>
          <w:right w:val="single" w:sz="4" w:space="4" w:color="auto"/>
        </w:pBdr>
        <w:rPr>
          <w:rFonts w:asciiTheme="minorHAnsi" w:hAnsiTheme="minorHAnsi" w:cstheme="minorHAnsi"/>
          <w:bCs/>
          <w:color w:val="000000" w:themeColor="text1"/>
          <w:sz w:val="22"/>
          <w:szCs w:val="22"/>
          <w:lang w:val="en-GB"/>
        </w:rPr>
      </w:pPr>
    </w:p>
    <w:p w14:paraId="0B88A7C9" w14:textId="77777777" w:rsidR="00400FDA" w:rsidRPr="00C37A4D" w:rsidRDefault="00400FDA" w:rsidP="00400FDA">
      <w:pPr>
        <w:pBdr>
          <w:top w:val="single" w:sz="4" w:space="1" w:color="auto"/>
          <w:left w:val="single" w:sz="4" w:space="4" w:color="auto"/>
          <w:bottom w:val="single" w:sz="4" w:space="1" w:color="auto"/>
          <w:right w:val="single" w:sz="4" w:space="4" w:color="auto"/>
        </w:pBdr>
        <w:rPr>
          <w:rFonts w:asciiTheme="minorHAnsi" w:hAnsiTheme="minorHAnsi" w:cstheme="minorHAnsi"/>
          <w:bCs/>
          <w:color w:val="000000" w:themeColor="text1"/>
          <w:sz w:val="22"/>
          <w:szCs w:val="22"/>
          <w:lang w:val="en-GB"/>
        </w:rPr>
      </w:pPr>
      <w:r w:rsidRPr="00C37A4D">
        <w:rPr>
          <w:rFonts w:asciiTheme="minorHAnsi" w:hAnsiTheme="minorHAnsi" w:cstheme="minorHAnsi"/>
          <w:bCs/>
          <w:color w:val="000000" w:themeColor="text1"/>
          <w:sz w:val="22"/>
          <w:szCs w:val="22"/>
          <w:lang w:val="en-GB"/>
        </w:rPr>
        <w:t>Few studies have attempted to measure the AMR-attributable mortality. PANORAMA,</w:t>
      </w:r>
      <w:r w:rsidRPr="00E00CFD">
        <w:rPr>
          <w:rFonts w:hAnsiTheme="minorHAnsi"/>
          <w:color w:val="000000"/>
          <w:sz w:val="22"/>
          <w:vertAlign w:val="superscript"/>
        </w:rPr>
        <w:t>6</w:t>
      </w:r>
      <w:r w:rsidRPr="00C37A4D">
        <w:rPr>
          <w:rFonts w:asciiTheme="minorHAnsi" w:hAnsiTheme="minorHAnsi" w:cstheme="minorHAnsi"/>
          <w:bCs/>
          <w:color w:val="000000" w:themeColor="text1"/>
          <w:sz w:val="22"/>
          <w:szCs w:val="22"/>
          <w:lang w:val="en-GB"/>
        </w:rPr>
        <w:t xml:space="preserve"> a multinational cohort study, found that carbapenem-resistant </w:t>
      </w:r>
      <w:proofErr w:type="spellStart"/>
      <w:r w:rsidRPr="00C37A4D">
        <w:rPr>
          <w:rFonts w:asciiTheme="minorHAnsi" w:hAnsiTheme="minorHAnsi" w:cstheme="minorHAnsi"/>
          <w:bCs/>
          <w:color w:val="000000" w:themeColor="text1"/>
          <w:sz w:val="22"/>
          <w:szCs w:val="22"/>
          <w:lang w:val="en-GB"/>
        </w:rPr>
        <w:t>Enterobacterales</w:t>
      </w:r>
      <w:proofErr w:type="spellEnd"/>
      <w:r w:rsidRPr="00C37A4D">
        <w:rPr>
          <w:rFonts w:asciiTheme="minorHAnsi" w:hAnsiTheme="minorHAnsi" w:cstheme="minorHAnsi"/>
          <w:bCs/>
          <w:color w:val="000000" w:themeColor="text1"/>
          <w:sz w:val="22"/>
          <w:szCs w:val="22"/>
          <w:lang w:val="en-GB"/>
        </w:rPr>
        <w:t xml:space="preserve"> bloodstream infections in LMICs were associated with 3·7 days</w:t>
      </w:r>
      <w:r>
        <w:rPr>
          <w:rFonts w:asciiTheme="minorHAnsi" w:hAnsiTheme="minorHAnsi" w:cstheme="minorHAnsi"/>
          <w:bCs/>
          <w:color w:val="000000" w:themeColor="text1"/>
          <w:sz w:val="22"/>
          <w:szCs w:val="22"/>
          <w:lang w:val="en-GB"/>
        </w:rPr>
        <w:t>’</w:t>
      </w:r>
      <w:r w:rsidRPr="00C37A4D">
        <w:rPr>
          <w:rFonts w:asciiTheme="minorHAnsi" w:hAnsiTheme="minorHAnsi" w:cstheme="minorHAnsi"/>
          <w:bCs/>
          <w:color w:val="000000" w:themeColor="text1"/>
          <w:sz w:val="22"/>
          <w:szCs w:val="22"/>
          <w:lang w:val="en-GB"/>
        </w:rPr>
        <w:t xml:space="preserve"> longer hospital </w:t>
      </w:r>
      <w:proofErr w:type="gramStart"/>
      <w:r w:rsidRPr="00C37A4D">
        <w:rPr>
          <w:rFonts w:asciiTheme="minorHAnsi" w:hAnsiTheme="minorHAnsi" w:cstheme="minorHAnsi"/>
          <w:bCs/>
          <w:color w:val="000000" w:themeColor="text1"/>
          <w:sz w:val="22"/>
          <w:szCs w:val="22"/>
          <w:lang w:val="en-GB"/>
        </w:rPr>
        <w:t>stays</w:t>
      </w:r>
      <w:proofErr w:type="gramEnd"/>
      <w:r w:rsidRPr="00C37A4D">
        <w:rPr>
          <w:rFonts w:asciiTheme="minorHAnsi" w:hAnsiTheme="minorHAnsi" w:cstheme="minorHAnsi"/>
          <w:bCs/>
          <w:color w:val="000000" w:themeColor="text1"/>
          <w:sz w:val="22"/>
          <w:szCs w:val="22"/>
          <w:lang w:val="en-GB"/>
        </w:rPr>
        <w:t xml:space="preserve"> and </w:t>
      </w:r>
      <w:r>
        <w:rPr>
          <w:rFonts w:asciiTheme="minorHAnsi" w:hAnsiTheme="minorHAnsi" w:cstheme="minorHAnsi"/>
          <w:bCs/>
          <w:color w:val="000000" w:themeColor="text1"/>
          <w:sz w:val="22"/>
          <w:szCs w:val="22"/>
          <w:lang w:val="en-GB"/>
        </w:rPr>
        <w:t xml:space="preserve">a </w:t>
      </w:r>
      <w:r w:rsidRPr="00C37A4D">
        <w:rPr>
          <w:rFonts w:asciiTheme="minorHAnsi" w:hAnsiTheme="minorHAnsi" w:cstheme="minorHAnsi"/>
          <w:bCs/>
          <w:color w:val="000000" w:themeColor="text1"/>
          <w:sz w:val="22"/>
          <w:szCs w:val="22"/>
          <w:lang w:val="en-GB"/>
        </w:rPr>
        <w:t xml:space="preserve">75% higher mortality rate compared </w:t>
      </w:r>
      <w:r>
        <w:rPr>
          <w:rFonts w:asciiTheme="minorHAnsi" w:hAnsiTheme="minorHAnsi" w:cstheme="minorHAnsi"/>
          <w:bCs/>
          <w:color w:val="000000" w:themeColor="text1"/>
          <w:sz w:val="22"/>
          <w:szCs w:val="22"/>
          <w:lang w:val="en-GB"/>
        </w:rPr>
        <w:t>with</w:t>
      </w:r>
      <w:r w:rsidRPr="00C37A4D">
        <w:rPr>
          <w:rFonts w:asciiTheme="minorHAnsi" w:hAnsiTheme="minorHAnsi" w:cstheme="minorHAnsi"/>
          <w:bCs/>
          <w:color w:val="000000" w:themeColor="text1"/>
          <w:sz w:val="22"/>
          <w:szCs w:val="22"/>
          <w:lang w:val="en-GB"/>
        </w:rPr>
        <w:t xml:space="preserve"> carbapenem-susceptible infections. A review of 109 studies showed similar findings,</w:t>
      </w:r>
      <w:r w:rsidRPr="00E00CFD">
        <w:rPr>
          <w:rFonts w:hAnsiTheme="minorHAnsi"/>
          <w:color w:val="000000"/>
          <w:sz w:val="22"/>
          <w:vertAlign w:val="superscript"/>
        </w:rPr>
        <w:t>7</w:t>
      </w:r>
      <w:r w:rsidRPr="00C37A4D">
        <w:rPr>
          <w:rFonts w:asciiTheme="minorHAnsi" w:hAnsiTheme="minorHAnsi" w:cstheme="minorHAnsi"/>
          <w:bCs/>
          <w:color w:val="000000" w:themeColor="text1"/>
          <w:sz w:val="22"/>
          <w:szCs w:val="22"/>
          <w:lang w:val="en-GB"/>
        </w:rPr>
        <w:t xml:space="preserve"> with longer hospital stays, doubled risk</w:t>
      </w:r>
      <w:r>
        <w:rPr>
          <w:rFonts w:asciiTheme="minorHAnsi" w:hAnsiTheme="minorHAnsi" w:cstheme="minorHAnsi"/>
          <w:bCs/>
          <w:color w:val="000000" w:themeColor="text1"/>
          <w:sz w:val="22"/>
          <w:szCs w:val="22"/>
          <w:lang w:val="en-GB"/>
        </w:rPr>
        <w:t xml:space="preserve"> of admission to intensive care</w:t>
      </w:r>
      <w:r w:rsidRPr="00C37A4D">
        <w:rPr>
          <w:rFonts w:asciiTheme="minorHAnsi" w:hAnsiTheme="minorHAnsi" w:cstheme="minorHAnsi"/>
          <w:bCs/>
          <w:color w:val="000000" w:themeColor="text1"/>
          <w:sz w:val="22"/>
          <w:szCs w:val="22"/>
          <w:lang w:val="en-GB"/>
        </w:rPr>
        <w:t xml:space="preserve">, 60% higher mortality from bloodstream infections by resistant pathogens, and increased direct medical and productivity costs. </w:t>
      </w:r>
      <w:r>
        <w:rPr>
          <w:rFonts w:asciiTheme="minorHAnsi" w:hAnsiTheme="minorHAnsi" w:cstheme="minorHAnsi"/>
          <w:bCs/>
          <w:color w:val="000000" w:themeColor="text1"/>
          <w:sz w:val="22"/>
          <w:szCs w:val="22"/>
          <w:lang w:val="en-GB"/>
        </w:rPr>
        <w:t>T</w:t>
      </w:r>
      <w:r w:rsidRPr="00C37A4D">
        <w:rPr>
          <w:rFonts w:asciiTheme="minorHAnsi" w:hAnsiTheme="minorHAnsi" w:cstheme="minorHAnsi"/>
          <w:bCs/>
          <w:color w:val="000000" w:themeColor="text1"/>
          <w:sz w:val="22"/>
          <w:szCs w:val="22"/>
          <w:lang w:val="en-GB"/>
        </w:rPr>
        <w:t xml:space="preserve">hese estimates fail to adequately account for confounders, potentially overestimating the </w:t>
      </w:r>
      <w:r>
        <w:rPr>
          <w:rFonts w:asciiTheme="minorHAnsi" w:hAnsiTheme="minorHAnsi" w:cstheme="minorHAnsi"/>
          <w:bCs/>
          <w:color w:val="000000" w:themeColor="text1"/>
          <w:sz w:val="22"/>
          <w:szCs w:val="22"/>
          <w:lang w:val="en-GB"/>
        </w:rPr>
        <w:t>effect</w:t>
      </w:r>
      <w:r w:rsidRPr="00C37A4D">
        <w:rPr>
          <w:rFonts w:asciiTheme="minorHAnsi" w:hAnsiTheme="minorHAnsi" w:cstheme="minorHAnsi"/>
          <w:bCs/>
          <w:color w:val="000000" w:themeColor="text1"/>
          <w:sz w:val="22"/>
          <w:szCs w:val="22"/>
          <w:lang w:val="en-GB"/>
        </w:rPr>
        <w:t xml:space="preserve"> of AMR</w:t>
      </w:r>
      <w:r>
        <w:rPr>
          <w:rFonts w:asciiTheme="minorHAnsi" w:hAnsiTheme="minorHAnsi" w:cstheme="minorHAnsi"/>
          <w:bCs/>
          <w:color w:val="000000" w:themeColor="text1"/>
          <w:sz w:val="22"/>
          <w:szCs w:val="22"/>
          <w:lang w:val="en-GB"/>
        </w:rPr>
        <w:t xml:space="preserve"> and underscoring</w:t>
      </w:r>
      <w:r w:rsidRPr="00C37A4D">
        <w:rPr>
          <w:rFonts w:asciiTheme="minorHAnsi" w:hAnsiTheme="minorHAnsi" w:cstheme="minorHAnsi"/>
          <w:bCs/>
          <w:color w:val="000000" w:themeColor="text1"/>
          <w:sz w:val="22"/>
          <w:szCs w:val="22"/>
          <w:lang w:val="en-GB"/>
        </w:rPr>
        <w:t xml:space="preserve"> the need for</w:t>
      </w:r>
      <w:r>
        <w:rPr>
          <w:rFonts w:asciiTheme="minorHAnsi" w:hAnsiTheme="minorHAnsi" w:cstheme="minorHAnsi"/>
          <w:bCs/>
          <w:color w:val="000000" w:themeColor="text1"/>
          <w:sz w:val="22"/>
          <w:szCs w:val="22"/>
          <w:lang w:val="en-GB"/>
        </w:rPr>
        <w:t xml:space="preserve"> accurate data</w:t>
      </w:r>
      <w:r w:rsidRPr="00C37A4D">
        <w:rPr>
          <w:rFonts w:asciiTheme="minorHAnsi" w:hAnsiTheme="minorHAnsi" w:cstheme="minorHAnsi"/>
          <w:bCs/>
          <w:color w:val="000000" w:themeColor="text1"/>
          <w:sz w:val="22"/>
          <w:szCs w:val="22"/>
          <w:lang w:val="en-GB"/>
        </w:rPr>
        <w:t xml:space="preserve">, especially in LMICs. In the MBIRA </w:t>
      </w:r>
      <w:r>
        <w:rPr>
          <w:rFonts w:asciiTheme="minorHAnsi" w:hAnsiTheme="minorHAnsi" w:cstheme="minorHAnsi"/>
          <w:bCs/>
          <w:color w:val="000000" w:themeColor="text1"/>
          <w:sz w:val="22"/>
          <w:szCs w:val="22"/>
          <w:lang w:val="en-GB"/>
        </w:rPr>
        <w:t>s</w:t>
      </w:r>
      <w:r w:rsidRPr="00C37A4D">
        <w:rPr>
          <w:rFonts w:asciiTheme="minorHAnsi" w:hAnsiTheme="minorHAnsi" w:cstheme="minorHAnsi"/>
          <w:bCs/>
          <w:color w:val="000000" w:themeColor="text1"/>
          <w:sz w:val="22"/>
          <w:szCs w:val="22"/>
          <w:lang w:val="en-GB"/>
        </w:rPr>
        <w:t>tudy,</w:t>
      </w:r>
      <w:r w:rsidRPr="00E00CFD">
        <w:rPr>
          <w:rFonts w:hAnsiTheme="minorHAnsi"/>
          <w:color w:val="000000"/>
          <w:sz w:val="22"/>
          <w:vertAlign w:val="superscript"/>
        </w:rPr>
        <w:t>8</w:t>
      </w:r>
      <w:r w:rsidRPr="00C37A4D">
        <w:rPr>
          <w:rFonts w:asciiTheme="minorHAnsi" w:hAnsiTheme="minorHAnsi" w:cstheme="minorHAnsi"/>
          <w:bCs/>
          <w:color w:val="000000" w:themeColor="text1"/>
          <w:sz w:val="22"/>
          <w:szCs w:val="22"/>
          <w:lang w:val="en-GB"/>
        </w:rPr>
        <w:t xml:space="preserve"> where models were adjusted for confounders, resistance to </w:t>
      </w:r>
      <w:proofErr w:type="gramStart"/>
      <w:r w:rsidRPr="00C37A4D">
        <w:rPr>
          <w:rFonts w:asciiTheme="minorHAnsi" w:hAnsiTheme="minorHAnsi" w:cstheme="minorHAnsi"/>
          <w:bCs/>
          <w:color w:val="000000" w:themeColor="text1"/>
          <w:sz w:val="22"/>
          <w:szCs w:val="22"/>
          <w:lang w:val="en-GB"/>
        </w:rPr>
        <w:t>third-generation</w:t>
      </w:r>
      <w:proofErr w:type="gramEnd"/>
      <w:r w:rsidRPr="00C37A4D">
        <w:rPr>
          <w:rFonts w:asciiTheme="minorHAnsi" w:hAnsiTheme="minorHAnsi" w:cstheme="minorHAnsi"/>
          <w:bCs/>
          <w:color w:val="000000" w:themeColor="text1"/>
          <w:sz w:val="22"/>
          <w:szCs w:val="22"/>
          <w:lang w:val="en-GB"/>
        </w:rPr>
        <w:t xml:space="preserve"> cephalosporins in </w:t>
      </w:r>
      <w:proofErr w:type="spellStart"/>
      <w:r w:rsidRPr="00C37A4D">
        <w:rPr>
          <w:rFonts w:asciiTheme="minorHAnsi" w:hAnsiTheme="minorHAnsi" w:cstheme="minorHAnsi"/>
          <w:bCs/>
          <w:color w:val="000000" w:themeColor="text1"/>
          <w:sz w:val="22"/>
          <w:szCs w:val="22"/>
          <w:lang w:val="en-GB"/>
        </w:rPr>
        <w:t>Enterobacterales</w:t>
      </w:r>
      <w:proofErr w:type="spellEnd"/>
      <w:r w:rsidRPr="00C37A4D">
        <w:rPr>
          <w:rFonts w:asciiTheme="minorHAnsi" w:hAnsiTheme="minorHAnsi" w:cstheme="minorHAnsi"/>
          <w:bCs/>
          <w:color w:val="000000" w:themeColor="text1"/>
          <w:sz w:val="22"/>
          <w:szCs w:val="22"/>
          <w:lang w:val="en-GB"/>
        </w:rPr>
        <w:t xml:space="preserve"> bloodstream infections was </w:t>
      </w:r>
      <w:r w:rsidRPr="00C37A4D">
        <w:rPr>
          <w:rFonts w:asciiTheme="minorHAnsi" w:hAnsiTheme="minorHAnsi" w:cstheme="minorHAnsi"/>
          <w:bCs/>
          <w:i/>
          <w:iCs/>
          <w:color w:val="000000" w:themeColor="text1"/>
          <w:sz w:val="22"/>
          <w:szCs w:val="22"/>
          <w:lang w:val="en-GB"/>
        </w:rPr>
        <w:t xml:space="preserve">not </w:t>
      </w:r>
      <w:r w:rsidRPr="00C37A4D">
        <w:rPr>
          <w:rFonts w:asciiTheme="minorHAnsi" w:hAnsiTheme="minorHAnsi" w:cstheme="minorHAnsi"/>
          <w:bCs/>
          <w:color w:val="000000" w:themeColor="text1"/>
          <w:sz w:val="22"/>
          <w:szCs w:val="22"/>
          <w:lang w:val="en-GB"/>
        </w:rPr>
        <w:t xml:space="preserve">associated with increased mortality risk compared </w:t>
      </w:r>
      <w:r>
        <w:rPr>
          <w:rFonts w:asciiTheme="minorHAnsi" w:hAnsiTheme="minorHAnsi" w:cstheme="minorHAnsi"/>
          <w:bCs/>
          <w:color w:val="000000" w:themeColor="text1"/>
          <w:sz w:val="22"/>
          <w:szCs w:val="22"/>
          <w:lang w:val="en-GB"/>
        </w:rPr>
        <w:t>with</w:t>
      </w:r>
      <w:r w:rsidRPr="00C37A4D">
        <w:rPr>
          <w:rFonts w:asciiTheme="minorHAnsi" w:hAnsiTheme="minorHAnsi" w:cstheme="minorHAnsi"/>
          <w:bCs/>
          <w:color w:val="000000" w:themeColor="text1"/>
          <w:sz w:val="22"/>
          <w:szCs w:val="22"/>
          <w:lang w:val="en-GB"/>
        </w:rPr>
        <w:t xml:space="preserve"> susceptible pathogens in </w:t>
      </w:r>
      <w:r>
        <w:rPr>
          <w:rFonts w:asciiTheme="minorHAnsi" w:hAnsiTheme="minorHAnsi" w:cstheme="minorHAnsi"/>
          <w:bCs/>
          <w:color w:val="000000" w:themeColor="text1"/>
          <w:sz w:val="22"/>
          <w:szCs w:val="22"/>
          <w:lang w:val="en-GB"/>
        </w:rPr>
        <w:t>multiple sites in Africa</w:t>
      </w:r>
      <w:r w:rsidRPr="00C37A4D">
        <w:rPr>
          <w:rFonts w:asciiTheme="minorHAnsi" w:hAnsiTheme="minorHAnsi" w:cstheme="minorHAnsi"/>
          <w:bCs/>
          <w:color w:val="000000" w:themeColor="text1"/>
          <w:sz w:val="22"/>
          <w:szCs w:val="22"/>
          <w:lang w:val="en-GB"/>
        </w:rPr>
        <w:t xml:space="preserve"> (</w:t>
      </w:r>
      <w:proofErr w:type="spellStart"/>
      <w:r w:rsidRPr="00C37A4D">
        <w:rPr>
          <w:rFonts w:asciiTheme="minorHAnsi" w:hAnsiTheme="minorHAnsi" w:cstheme="minorHAnsi"/>
          <w:bCs/>
          <w:color w:val="000000" w:themeColor="text1"/>
          <w:sz w:val="22"/>
          <w:szCs w:val="22"/>
          <w:lang w:val="en-GB"/>
        </w:rPr>
        <w:t>aHR</w:t>
      </w:r>
      <w:proofErr w:type="spellEnd"/>
      <w:r w:rsidRPr="00C37A4D">
        <w:rPr>
          <w:rFonts w:asciiTheme="minorHAnsi" w:hAnsiTheme="minorHAnsi" w:cstheme="minorHAnsi"/>
          <w:bCs/>
          <w:color w:val="000000" w:themeColor="text1"/>
          <w:sz w:val="22"/>
          <w:szCs w:val="22"/>
          <w:lang w:val="en-GB"/>
        </w:rPr>
        <w:t xml:space="preserve"> 6·79 vs</w:t>
      </w:r>
      <w:r>
        <w:rPr>
          <w:rFonts w:asciiTheme="minorHAnsi" w:hAnsiTheme="minorHAnsi" w:cstheme="minorHAnsi"/>
          <w:bCs/>
          <w:color w:val="000000" w:themeColor="text1"/>
          <w:sz w:val="22"/>
          <w:szCs w:val="22"/>
          <w:lang w:val="en-GB"/>
        </w:rPr>
        <w:t>.</w:t>
      </w:r>
      <w:r w:rsidRPr="00C37A4D">
        <w:rPr>
          <w:rFonts w:asciiTheme="minorHAnsi" w:hAnsiTheme="minorHAnsi" w:cstheme="minorHAnsi"/>
          <w:bCs/>
          <w:color w:val="000000" w:themeColor="text1"/>
          <w:sz w:val="22"/>
          <w:szCs w:val="22"/>
          <w:lang w:val="en-GB"/>
        </w:rPr>
        <w:t xml:space="preserve"> </w:t>
      </w:r>
      <w:proofErr w:type="spellStart"/>
      <w:r w:rsidRPr="00C37A4D">
        <w:rPr>
          <w:rFonts w:asciiTheme="minorHAnsi" w:hAnsiTheme="minorHAnsi" w:cstheme="minorHAnsi"/>
          <w:bCs/>
          <w:color w:val="000000" w:themeColor="text1"/>
          <w:sz w:val="22"/>
          <w:szCs w:val="22"/>
          <w:lang w:val="en-GB"/>
        </w:rPr>
        <w:t>aHR</w:t>
      </w:r>
      <w:proofErr w:type="spellEnd"/>
      <w:r w:rsidRPr="00C37A4D">
        <w:rPr>
          <w:rFonts w:asciiTheme="minorHAnsi" w:hAnsiTheme="minorHAnsi" w:cstheme="minorHAnsi"/>
          <w:bCs/>
          <w:color w:val="000000" w:themeColor="text1"/>
          <w:sz w:val="22"/>
          <w:szCs w:val="22"/>
          <w:lang w:val="en-GB"/>
        </w:rPr>
        <w:t xml:space="preserve"> 5·01; differential </w:t>
      </w:r>
      <w:proofErr w:type="spellStart"/>
      <w:r w:rsidRPr="00C37A4D">
        <w:rPr>
          <w:rFonts w:asciiTheme="minorHAnsi" w:hAnsiTheme="minorHAnsi" w:cstheme="minorHAnsi"/>
          <w:bCs/>
          <w:color w:val="000000" w:themeColor="text1"/>
          <w:sz w:val="22"/>
          <w:szCs w:val="22"/>
          <w:lang w:val="en-GB"/>
        </w:rPr>
        <w:t>aHR</w:t>
      </w:r>
      <w:proofErr w:type="spellEnd"/>
      <w:r w:rsidRPr="00C37A4D">
        <w:rPr>
          <w:rFonts w:asciiTheme="minorHAnsi" w:hAnsiTheme="minorHAnsi" w:cstheme="minorHAnsi"/>
          <w:bCs/>
          <w:color w:val="000000" w:themeColor="text1"/>
          <w:sz w:val="22"/>
          <w:szCs w:val="22"/>
          <w:lang w:val="en-GB"/>
        </w:rPr>
        <w:t xml:space="preserve"> 0·7 (0·42</w:t>
      </w:r>
      <w:r>
        <w:rPr>
          <w:rFonts w:asciiTheme="minorHAnsi" w:hAnsiTheme="minorHAnsi" w:cstheme="minorHAnsi"/>
          <w:bCs/>
          <w:color w:val="000000" w:themeColor="text1"/>
          <w:sz w:val="22"/>
          <w:szCs w:val="22"/>
          <w:lang w:val="en-GB"/>
        </w:rPr>
        <w:t>–</w:t>
      </w:r>
      <w:r w:rsidRPr="00C37A4D">
        <w:rPr>
          <w:rFonts w:asciiTheme="minorHAnsi" w:hAnsiTheme="minorHAnsi" w:cstheme="minorHAnsi"/>
          <w:bCs/>
          <w:color w:val="000000" w:themeColor="text1"/>
          <w:sz w:val="22"/>
          <w:szCs w:val="22"/>
          <w:lang w:val="en-GB"/>
        </w:rPr>
        <w:t xml:space="preserve">1·30)). </w:t>
      </w:r>
      <w:r>
        <w:rPr>
          <w:rFonts w:asciiTheme="minorHAnsi" w:hAnsiTheme="minorHAnsi" w:cstheme="minorHAnsi"/>
          <w:bCs/>
          <w:color w:val="000000" w:themeColor="text1"/>
          <w:sz w:val="22"/>
          <w:szCs w:val="22"/>
          <w:lang w:val="en-GB"/>
        </w:rPr>
        <w:t>Confirmatory</w:t>
      </w:r>
      <w:r w:rsidRPr="00C37A4D">
        <w:rPr>
          <w:rFonts w:asciiTheme="minorHAnsi" w:hAnsiTheme="minorHAnsi" w:cstheme="minorHAnsi"/>
          <w:bCs/>
          <w:color w:val="000000" w:themeColor="text1"/>
          <w:sz w:val="22"/>
          <w:szCs w:val="22"/>
          <w:lang w:val="en-GB"/>
        </w:rPr>
        <w:t xml:space="preserve"> evidence is required, and ongoing initiatives</w:t>
      </w:r>
      <w:r>
        <w:rPr>
          <w:rFonts w:asciiTheme="minorHAnsi" w:hAnsiTheme="minorHAnsi" w:cstheme="minorHAnsi"/>
          <w:bCs/>
          <w:color w:val="000000" w:themeColor="text1"/>
          <w:sz w:val="22"/>
          <w:szCs w:val="22"/>
          <w:lang w:val="en-GB"/>
        </w:rPr>
        <w:t xml:space="preserve"> (e.g., </w:t>
      </w:r>
      <w:r>
        <w:rPr>
          <w:rFonts w:asciiTheme="minorHAnsi" w:eastAsia="Roboto" w:hAnsiTheme="minorHAnsi" w:cstheme="minorHAnsi"/>
          <w:color w:val="000000" w:themeColor="text1"/>
          <w:sz w:val="22"/>
          <w:szCs w:val="22"/>
          <w:lang w:val="en-GB" w:eastAsia="ko-KR"/>
        </w:rPr>
        <w:t>A</w:t>
      </w:r>
      <w:r w:rsidRPr="00C37A4D">
        <w:rPr>
          <w:rFonts w:asciiTheme="minorHAnsi" w:eastAsia="Roboto" w:hAnsiTheme="minorHAnsi" w:cstheme="minorHAnsi"/>
          <w:color w:val="000000" w:themeColor="text1"/>
          <w:sz w:val="22"/>
          <w:szCs w:val="22"/>
          <w:lang w:val="en-GB" w:eastAsia="ko-KR"/>
        </w:rPr>
        <w:t xml:space="preserve"> </w:t>
      </w:r>
      <w:r>
        <w:rPr>
          <w:rFonts w:asciiTheme="minorHAnsi" w:eastAsia="Roboto" w:hAnsiTheme="minorHAnsi" w:cstheme="minorHAnsi"/>
          <w:color w:val="000000" w:themeColor="text1"/>
          <w:sz w:val="22"/>
          <w:szCs w:val="22"/>
          <w:lang w:val="en-GB" w:eastAsia="ko-KR"/>
        </w:rPr>
        <w:t>C</w:t>
      </w:r>
      <w:r w:rsidRPr="00C37A4D">
        <w:rPr>
          <w:rFonts w:asciiTheme="minorHAnsi" w:eastAsia="Roboto" w:hAnsiTheme="minorHAnsi" w:cstheme="minorHAnsi"/>
          <w:color w:val="000000" w:themeColor="text1"/>
          <w:sz w:val="22"/>
          <w:szCs w:val="22"/>
          <w:lang w:val="en-GB" w:eastAsia="ko-KR"/>
        </w:rPr>
        <w:t xml:space="preserve">linically </w:t>
      </w:r>
      <w:r>
        <w:rPr>
          <w:rFonts w:asciiTheme="minorHAnsi" w:eastAsia="Roboto" w:hAnsiTheme="minorHAnsi" w:cstheme="minorHAnsi"/>
          <w:color w:val="000000" w:themeColor="text1"/>
          <w:sz w:val="22"/>
          <w:szCs w:val="22"/>
          <w:lang w:val="en-GB" w:eastAsia="ko-KR"/>
        </w:rPr>
        <w:t>O</w:t>
      </w:r>
      <w:r w:rsidRPr="00C37A4D">
        <w:rPr>
          <w:rFonts w:asciiTheme="minorHAnsi" w:eastAsia="Roboto" w:hAnsiTheme="minorHAnsi" w:cstheme="minorHAnsi"/>
          <w:color w:val="000000" w:themeColor="text1"/>
          <w:sz w:val="22"/>
          <w:szCs w:val="22"/>
          <w:lang w:val="en-GB" w:eastAsia="ko-KR"/>
        </w:rPr>
        <w:t xml:space="preserve">riented </w:t>
      </w:r>
      <w:r>
        <w:rPr>
          <w:rFonts w:asciiTheme="minorHAnsi" w:eastAsia="Roboto" w:hAnsiTheme="minorHAnsi" w:cstheme="minorHAnsi"/>
          <w:color w:val="000000" w:themeColor="text1"/>
          <w:sz w:val="22"/>
          <w:szCs w:val="22"/>
          <w:lang w:val="en-GB" w:eastAsia="ko-KR"/>
        </w:rPr>
        <w:t>R</w:t>
      </w:r>
      <w:r w:rsidRPr="00C37A4D">
        <w:rPr>
          <w:rFonts w:asciiTheme="minorHAnsi" w:eastAsia="Roboto" w:hAnsiTheme="minorHAnsi" w:cstheme="minorHAnsi"/>
          <w:color w:val="000000" w:themeColor="text1"/>
          <w:sz w:val="22"/>
          <w:szCs w:val="22"/>
          <w:lang w:val="en-GB" w:eastAsia="ko-KR"/>
        </w:rPr>
        <w:t xml:space="preserve">esistance </w:t>
      </w:r>
      <w:r>
        <w:rPr>
          <w:rFonts w:asciiTheme="minorHAnsi" w:eastAsia="Roboto" w:hAnsiTheme="minorHAnsi" w:cstheme="minorHAnsi"/>
          <w:color w:val="000000" w:themeColor="text1"/>
          <w:sz w:val="22"/>
          <w:szCs w:val="22"/>
          <w:lang w:val="en-GB" w:eastAsia="ko-KR"/>
        </w:rPr>
        <w:t>N</w:t>
      </w:r>
      <w:r w:rsidRPr="00C37A4D">
        <w:rPr>
          <w:rFonts w:asciiTheme="minorHAnsi" w:eastAsia="Roboto" w:hAnsiTheme="minorHAnsi" w:cstheme="minorHAnsi"/>
          <w:color w:val="000000" w:themeColor="text1"/>
          <w:sz w:val="22"/>
          <w:szCs w:val="22"/>
          <w:lang w:val="en-GB" w:eastAsia="ko-KR"/>
        </w:rPr>
        <w:t>etwork</w:t>
      </w:r>
      <w:r>
        <w:rPr>
          <w:rFonts w:asciiTheme="minorHAnsi" w:eastAsia="Roboto" w:hAnsiTheme="minorHAnsi" w:cstheme="minorHAnsi"/>
          <w:color w:val="000000" w:themeColor="text1"/>
          <w:sz w:val="22"/>
          <w:szCs w:val="22"/>
          <w:lang w:val="en-GB" w:eastAsia="ko-KR"/>
        </w:rPr>
        <w:t xml:space="preserve"> (</w:t>
      </w:r>
      <w:r w:rsidRPr="00C37A4D">
        <w:rPr>
          <w:rFonts w:asciiTheme="minorHAnsi" w:hAnsiTheme="minorHAnsi" w:cstheme="minorHAnsi"/>
          <w:bCs/>
          <w:color w:val="000000" w:themeColor="text1"/>
          <w:sz w:val="22"/>
          <w:szCs w:val="22"/>
          <w:lang w:val="en-GB"/>
        </w:rPr>
        <w:t>ACORN</w:t>
      </w:r>
      <w:r>
        <w:rPr>
          <w:rFonts w:asciiTheme="minorHAnsi" w:hAnsiTheme="minorHAnsi" w:cstheme="minorHAnsi"/>
          <w:bCs/>
          <w:color w:val="000000" w:themeColor="text1"/>
          <w:sz w:val="22"/>
          <w:szCs w:val="22"/>
          <w:lang w:val="en-GB"/>
        </w:rPr>
        <w:t>)</w:t>
      </w:r>
      <w:r w:rsidRPr="00C37A4D">
        <w:rPr>
          <w:rFonts w:asciiTheme="minorHAnsi" w:hAnsiTheme="minorHAnsi" w:cstheme="minorHAnsi"/>
          <w:bCs/>
          <w:color w:val="000000" w:themeColor="text1"/>
          <w:sz w:val="22"/>
          <w:szCs w:val="22"/>
          <w:lang w:val="en-GB"/>
        </w:rPr>
        <w:t>,</w:t>
      </w:r>
      <w:r w:rsidRPr="00E00CFD">
        <w:rPr>
          <w:rFonts w:hAnsiTheme="minorHAnsi"/>
          <w:color w:val="000000"/>
          <w:sz w:val="22"/>
          <w:vertAlign w:val="superscript"/>
        </w:rPr>
        <w:t>9</w:t>
      </w:r>
      <w:r w:rsidRPr="00C37A4D">
        <w:rPr>
          <w:rFonts w:asciiTheme="minorHAnsi" w:hAnsiTheme="minorHAnsi" w:cstheme="minorHAnsi"/>
          <w:bCs/>
          <w:color w:val="000000" w:themeColor="text1"/>
          <w:sz w:val="22"/>
          <w:szCs w:val="22"/>
          <w:lang w:val="en-GB"/>
        </w:rPr>
        <w:t xml:space="preserve"> aligned with WHO’s AMR attributable mortality protocol, and BALANCE study</w:t>
      </w:r>
      <w:r w:rsidRPr="00E00CFD">
        <w:rPr>
          <w:rFonts w:hAnsiTheme="minorHAnsi"/>
          <w:color w:val="000000"/>
          <w:sz w:val="22"/>
          <w:vertAlign w:val="superscript"/>
        </w:rPr>
        <w:t>10,11</w:t>
      </w:r>
      <w:r>
        <w:rPr>
          <w:rFonts w:asciiTheme="minorHAnsi" w:hAnsiTheme="minorHAnsi" w:cstheme="minorHAnsi"/>
          <w:bCs/>
          <w:color w:val="000000" w:themeColor="text1"/>
          <w:sz w:val="22"/>
          <w:szCs w:val="22"/>
          <w:lang w:val="en-GB"/>
        </w:rPr>
        <w:t>)</w:t>
      </w:r>
      <w:r w:rsidRPr="00C37A4D">
        <w:rPr>
          <w:rFonts w:asciiTheme="minorHAnsi" w:hAnsiTheme="minorHAnsi" w:cstheme="minorHAnsi"/>
          <w:bCs/>
          <w:color w:val="000000" w:themeColor="text1"/>
          <w:sz w:val="22"/>
          <w:szCs w:val="22"/>
          <w:lang w:val="en-GB"/>
        </w:rPr>
        <w:t xml:space="preserve"> will offer more insights. </w:t>
      </w:r>
    </w:p>
    <w:p w14:paraId="14997CAD" w14:textId="77777777" w:rsidR="00400FDA" w:rsidRPr="00C37A4D" w:rsidRDefault="00400FDA" w:rsidP="00400FDA">
      <w:pPr>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000000" w:themeColor="text1"/>
          <w:sz w:val="22"/>
          <w:szCs w:val="22"/>
          <w:lang w:val="en-GB"/>
        </w:rPr>
      </w:pPr>
    </w:p>
    <w:p w14:paraId="5F50A43B" w14:textId="77777777" w:rsidR="00400FDA" w:rsidRPr="0037743C" w:rsidRDefault="00400FDA" w:rsidP="00400FDA">
      <w:pPr>
        <w:pBdr>
          <w:top w:val="single" w:sz="4" w:space="1" w:color="auto"/>
          <w:left w:val="single" w:sz="4" w:space="4" w:color="auto"/>
          <w:bottom w:val="single" w:sz="4" w:space="1" w:color="auto"/>
          <w:right w:val="single" w:sz="4" w:space="4" w:color="auto"/>
        </w:pBdr>
        <w:jc w:val="both"/>
        <w:rPr>
          <w:rFonts w:asciiTheme="minorHAnsi" w:hAnsiTheme="minorHAnsi" w:cstheme="minorHAnsi"/>
          <w:b/>
          <w:i/>
          <w:iCs/>
          <w:color w:val="000000" w:themeColor="text1"/>
          <w:sz w:val="22"/>
          <w:szCs w:val="22"/>
          <w:lang w:val="en-GB"/>
        </w:rPr>
      </w:pPr>
      <w:r w:rsidRPr="0037743C">
        <w:rPr>
          <w:rFonts w:asciiTheme="minorHAnsi" w:hAnsiTheme="minorHAnsi" w:cstheme="minorHAnsi"/>
          <w:b/>
          <w:i/>
          <w:iCs/>
          <w:color w:val="000000" w:themeColor="text1"/>
          <w:sz w:val="22"/>
          <w:szCs w:val="22"/>
          <w:lang w:val="en-GB"/>
        </w:rPr>
        <w:lastRenderedPageBreak/>
        <w:t>AMR in domesticated animals</w:t>
      </w:r>
    </w:p>
    <w:p w14:paraId="33B94BCB" w14:textId="77777777" w:rsidR="00400FDA" w:rsidRPr="00C37A4D" w:rsidRDefault="00400FDA" w:rsidP="00400FD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In h</w:t>
      </w:r>
      <w:r w:rsidRPr="00C37A4D">
        <w:rPr>
          <w:rFonts w:asciiTheme="minorHAnsi" w:hAnsiTheme="minorHAnsi" w:cstheme="minorHAnsi"/>
          <w:color w:val="000000" w:themeColor="text1"/>
          <w:sz w:val="22"/>
          <w:szCs w:val="22"/>
          <w:lang w:val="en-GB"/>
        </w:rPr>
        <w:t>igh-income countries</w:t>
      </w:r>
      <w:r>
        <w:rPr>
          <w:rFonts w:asciiTheme="minorHAnsi" w:hAnsiTheme="minorHAnsi" w:cstheme="minorHAnsi"/>
          <w:color w:val="000000" w:themeColor="text1"/>
          <w:sz w:val="22"/>
          <w:szCs w:val="22"/>
          <w:lang w:val="en-GB"/>
        </w:rPr>
        <w:t>,</w:t>
      </w:r>
      <w:r w:rsidRPr="00C37A4D">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 xml:space="preserve">long-term, </w:t>
      </w:r>
      <w:r w:rsidRPr="00C37A4D">
        <w:rPr>
          <w:rFonts w:asciiTheme="minorHAnsi" w:hAnsiTheme="minorHAnsi" w:cstheme="minorHAnsi"/>
          <w:color w:val="000000" w:themeColor="text1"/>
          <w:sz w:val="22"/>
          <w:szCs w:val="22"/>
          <w:lang w:val="en-GB"/>
        </w:rPr>
        <w:t>systematic surveillance of antimicrobial use (AMU) and resistance in animals</w:t>
      </w:r>
      <w:r w:rsidRPr="00E00CFD">
        <w:rPr>
          <w:rFonts w:hAnsiTheme="minorHAnsi"/>
          <w:color w:val="000000"/>
          <w:sz w:val="22"/>
          <w:vertAlign w:val="superscript"/>
        </w:rPr>
        <w:t>12–14</w:t>
      </w:r>
      <w:r w:rsidRPr="00C37A4D">
        <w:rPr>
          <w:rFonts w:asciiTheme="minorHAnsi" w:hAnsiTheme="minorHAnsi" w:cstheme="minorHAnsi"/>
          <w:color w:val="000000" w:themeColor="text1"/>
          <w:sz w:val="22"/>
          <w:szCs w:val="22"/>
          <w:lang w:val="en-GB"/>
        </w:rPr>
        <w:t xml:space="preserve"> has informed decisions to withdraw drug classes</w:t>
      </w:r>
      <w:r w:rsidRPr="00E00CFD">
        <w:rPr>
          <w:rFonts w:hAnsiTheme="minorHAnsi"/>
          <w:color w:val="000000"/>
          <w:sz w:val="22"/>
          <w:vertAlign w:val="superscript"/>
        </w:rPr>
        <w:t>15</w:t>
      </w:r>
      <w:r>
        <w:rPr>
          <w:rFonts w:asciiTheme="minorHAnsi" w:hAnsiTheme="minorHAnsi" w:cstheme="minorHAnsi"/>
          <w:color w:val="000000" w:themeColor="text1"/>
          <w:sz w:val="22"/>
          <w:szCs w:val="22"/>
          <w:lang w:val="en-GB"/>
        </w:rPr>
        <w:t xml:space="preserve"> f</w:t>
      </w:r>
      <w:r w:rsidRPr="00C37A4D">
        <w:rPr>
          <w:rFonts w:asciiTheme="minorHAnsi" w:hAnsiTheme="minorHAnsi" w:cstheme="minorHAnsi"/>
          <w:color w:val="000000" w:themeColor="text1"/>
          <w:sz w:val="22"/>
          <w:szCs w:val="22"/>
          <w:lang w:val="en-GB"/>
        </w:rPr>
        <w:t>rom animal production and end the use of antibiotics as growth promoters.</w:t>
      </w:r>
      <w:r w:rsidRPr="00E00CFD">
        <w:rPr>
          <w:rFonts w:hAnsiTheme="minorHAnsi"/>
          <w:color w:val="000000"/>
          <w:sz w:val="22"/>
          <w:vertAlign w:val="superscript"/>
        </w:rPr>
        <w:t>16,17</w:t>
      </w:r>
      <w:r w:rsidRPr="00C37A4D">
        <w:rPr>
          <w:rFonts w:asciiTheme="minorHAnsi" w:hAnsiTheme="minorHAnsi" w:cstheme="minorHAnsi"/>
          <w:color w:val="000000" w:themeColor="text1"/>
          <w:sz w:val="22"/>
          <w:szCs w:val="22"/>
          <w:lang w:val="en-GB"/>
        </w:rPr>
        <w:t xml:space="preserve"> However, surveillance </w:t>
      </w:r>
      <w:r>
        <w:rPr>
          <w:rFonts w:asciiTheme="minorHAnsi" w:hAnsiTheme="minorHAnsi" w:cstheme="minorHAnsi"/>
          <w:color w:val="000000" w:themeColor="text1"/>
          <w:sz w:val="22"/>
          <w:szCs w:val="22"/>
          <w:lang w:val="en-GB"/>
        </w:rPr>
        <w:t>has</w:t>
      </w:r>
      <w:r w:rsidRPr="00C37A4D">
        <w:rPr>
          <w:rFonts w:asciiTheme="minorHAnsi" w:hAnsiTheme="minorHAnsi" w:cstheme="minorHAnsi"/>
          <w:color w:val="000000" w:themeColor="text1"/>
          <w:sz w:val="22"/>
          <w:szCs w:val="22"/>
          <w:lang w:val="en-GB"/>
        </w:rPr>
        <w:t xml:space="preserve"> focused on the prevalence of resistance (percentage of resistant isolates) to the exclusion of disease burden, a gap now being addressed.</w:t>
      </w:r>
      <w:r w:rsidRPr="00E00CFD">
        <w:rPr>
          <w:rFonts w:hAnsiTheme="minorHAnsi"/>
          <w:color w:val="000000"/>
          <w:sz w:val="22"/>
          <w:vertAlign w:val="superscript"/>
        </w:rPr>
        <w:t>18</w:t>
      </w:r>
      <w:r w:rsidRPr="00C37A4D">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Without systematically integrating antimicrobial resistance data with information on livestock production and disease, as is required in burden computation, the economic cost of resistance cannot be estimated.</w:t>
      </w:r>
      <w:r w:rsidRPr="00E00CFD">
        <w:rPr>
          <w:rFonts w:hAnsiTheme="minorHAnsi"/>
          <w:color w:val="000000"/>
          <w:sz w:val="22"/>
          <w:vertAlign w:val="superscript"/>
        </w:rPr>
        <w:t>18</w:t>
      </w:r>
      <w:r>
        <w:rPr>
          <w:rFonts w:asciiTheme="minorHAnsi" w:hAnsiTheme="minorHAnsi" w:cstheme="minorHAnsi"/>
          <w:color w:val="000000" w:themeColor="text1"/>
          <w:sz w:val="22"/>
          <w:szCs w:val="22"/>
          <w:lang w:val="en-GB"/>
        </w:rPr>
        <w:t xml:space="preserve"> </w:t>
      </w:r>
      <w:r w:rsidRPr="00C37A4D">
        <w:rPr>
          <w:rFonts w:asciiTheme="minorHAnsi" w:hAnsiTheme="minorHAnsi" w:cstheme="minorHAnsi"/>
          <w:color w:val="000000" w:themeColor="text1"/>
          <w:sz w:val="22"/>
          <w:szCs w:val="22"/>
          <w:lang w:val="en-GB"/>
        </w:rPr>
        <w:t>The European Food Safety Agency and the US National Antimicrobial Resistance Monitoring System for Enteric Bacteria have provided the template for surveillance in other regions, but variations in sampling schemes, laboratory guidelines</w:t>
      </w:r>
      <w:r>
        <w:rPr>
          <w:rFonts w:asciiTheme="minorHAnsi" w:hAnsiTheme="minorHAnsi" w:cstheme="minorHAnsi"/>
          <w:color w:val="000000" w:themeColor="text1"/>
          <w:sz w:val="22"/>
          <w:szCs w:val="22"/>
          <w:lang w:val="en-GB"/>
        </w:rPr>
        <w:t>,</w:t>
      </w:r>
      <w:r w:rsidRPr="00C37A4D">
        <w:rPr>
          <w:rFonts w:asciiTheme="minorHAnsi" w:hAnsiTheme="minorHAnsi" w:cstheme="minorHAnsi"/>
          <w:color w:val="000000" w:themeColor="text1"/>
          <w:sz w:val="22"/>
          <w:szCs w:val="22"/>
          <w:lang w:val="en-GB"/>
        </w:rPr>
        <w:t xml:space="preserve"> and susceptibility breakpoints complicate comparison of the data. </w:t>
      </w:r>
    </w:p>
    <w:p w14:paraId="669D74D9" w14:textId="77777777" w:rsidR="00400FDA" w:rsidRPr="00C37A4D" w:rsidRDefault="00400FDA" w:rsidP="00400FD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lang w:val="en-GB"/>
        </w:rPr>
      </w:pPr>
    </w:p>
    <w:p w14:paraId="41989B53" w14:textId="77777777" w:rsidR="00400FDA" w:rsidRPr="00C37A4D" w:rsidRDefault="00400FDA" w:rsidP="00400FD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lang w:val="en-GB"/>
        </w:rPr>
      </w:pPr>
      <w:r w:rsidRPr="00C37A4D">
        <w:rPr>
          <w:rFonts w:asciiTheme="minorHAnsi" w:hAnsiTheme="minorHAnsi" w:cstheme="minorHAnsi"/>
          <w:color w:val="000000" w:themeColor="text1"/>
          <w:sz w:val="22"/>
          <w:szCs w:val="22"/>
          <w:lang w:val="en-GB"/>
        </w:rPr>
        <w:t xml:space="preserve">In the past decade in Europe, resistance of </w:t>
      </w:r>
      <w:r w:rsidRPr="00C37A4D">
        <w:rPr>
          <w:rFonts w:asciiTheme="minorHAnsi" w:hAnsiTheme="minorHAnsi" w:cstheme="minorHAnsi"/>
          <w:i/>
          <w:color w:val="000000" w:themeColor="text1"/>
          <w:sz w:val="22"/>
          <w:szCs w:val="22"/>
          <w:lang w:val="en-GB"/>
        </w:rPr>
        <w:t>Salmonella</w:t>
      </w:r>
      <w:r w:rsidRPr="00C37A4D">
        <w:rPr>
          <w:rFonts w:asciiTheme="minorHAnsi" w:hAnsiTheme="minorHAnsi" w:cstheme="minorHAnsi"/>
          <w:color w:val="000000" w:themeColor="text1"/>
          <w:sz w:val="22"/>
          <w:szCs w:val="22"/>
          <w:lang w:val="en-GB"/>
        </w:rPr>
        <w:t xml:space="preserve"> and </w:t>
      </w:r>
      <w:r w:rsidRPr="00C37A4D">
        <w:rPr>
          <w:rFonts w:asciiTheme="minorHAnsi" w:hAnsiTheme="minorHAnsi" w:cstheme="minorHAnsi"/>
          <w:i/>
          <w:color w:val="000000" w:themeColor="text1"/>
          <w:sz w:val="22"/>
          <w:szCs w:val="22"/>
          <w:lang w:val="en-GB"/>
        </w:rPr>
        <w:t>E. coli</w:t>
      </w:r>
      <w:r w:rsidRPr="00C37A4D">
        <w:rPr>
          <w:rFonts w:asciiTheme="minorHAnsi" w:hAnsiTheme="minorHAnsi" w:cstheme="minorHAnsi"/>
          <w:color w:val="000000" w:themeColor="text1"/>
          <w:sz w:val="22"/>
          <w:szCs w:val="22"/>
          <w:lang w:val="en-GB"/>
        </w:rPr>
        <w:t xml:space="preserve"> to ampicillin, tetracyclines, and </w:t>
      </w:r>
      <w:proofErr w:type="spellStart"/>
      <w:r w:rsidRPr="00C37A4D">
        <w:rPr>
          <w:rFonts w:asciiTheme="minorHAnsi" w:hAnsiTheme="minorHAnsi" w:cstheme="minorHAnsi"/>
          <w:color w:val="000000" w:themeColor="text1"/>
          <w:sz w:val="22"/>
          <w:szCs w:val="22"/>
          <w:lang w:val="en-GB"/>
        </w:rPr>
        <w:t>sulfonamides</w:t>
      </w:r>
      <w:proofErr w:type="spellEnd"/>
      <w:r w:rsidRPr="00C37A4D">
        <w:rPr>
          <w:rFonts w:asciiTheme="minorHAnsi" w:hAnsiTheme="minorHAnsi" w:cstheme="minorHAnsi"/>
          <w:color w:val="000000" w:themeColor="text1"/>
          <w:sz w:val="22"/>
          <w:szCs w:val="22"/>
          <w:lang w:val="en-GB"/>
        </w:rPr>
        <w:t xml:space="preserve"> was frequently detected (30–50%) but resistance to </w:t>
      </w:r>
      <w:proofErr w:type="gramStart"/>
      <w:r w:rsidRPr="00C37A4D">
        <w:rPr>
          <w:rFonts w:asciiTheme="minorHAnsi" w:hAnsiTheme="minorHAnsi" w:cstheme="minorHAnsi"/>
          <w:color w:val="000000" w:themeColor="text1"/>
          <w:sz w:val="22"/>
          <w:szCs w:val="22"/>
          <w:lang w:val="en-GB"/>
        </w:rPr>
        <w:t>third-generation</w:t>
      </w:r>
      <w:proofErr w:type="gramEnd"/>
      <w:r w:rsidRPr="00C37A4D">
        <w:rPr>
          <w:rFonts w:asciiTheme="minorHAnsi" w:hAnsiTheme="minorHAnsi" w:cstheme="minorHAnsi"/>
          <w:color w:val="000000" w:themeColor="text1"/>
          <w:sz w:val="22"/>
          <w:szCs w:val="22"/>
          <w:lang w:val="en-GB"/>
        </w:rPr>
        <w:t xml:space="preserve"> cephalosporins remained rare (0–1%).</w:t>
      </w:r>
      <w:r w:rsidRPr="00E00CFD">
        <w:rPr>
          <w:rFonts w:hAnsiTheme="minorHAnsi"/>
          <w:color w:val="000000"/>
          <w:sz w:val="22"/>
          <w:vertAlign w:val="superscript"/>
        </w:rPr>
        <w:t>19</w:t>
      </w:r>
      <w:r w:rsidRPr="00C37A4D">
        <w:rPr>
          <w:rFonts w:asciiTheme="minorHAnsi" w:hAnsiTheme="minorHAnsi" w:cstheme="minorHAnsi"/>
          <w:color w:val="000000" w:themeColor="text1"/>
          <w:sz w:val="22"/>
          <w:szCs w:val="22"/>
          <w:lang w:val="en-GB"/>
        </w:rPr>
        <w:t xml:space="preserve"> Resistance among poultry isolates is a growing problem, albeit with considerable variations between Eastern (high) and Western Europe (low) and among serovars. In the United States, </w:t>
      </w:r>
      <w:r w:rsidRPr="00C37A4D">
        <w:rPr>
          <w:rFonts w:asciiTheme="minorHAnsi" w:hAnsiTheme="minorHAnsi" w:cstheme="minorHAnsi"/>
          <w:i/>
          <w:color w:val="000000" w:themeColor="text1"/>
          <w:sz w:val="22"/>
          <w:szCs w:val="22"/>
          <w:lang w:val="en-GB"/>
        </w:rPr>
        <w:t>E. coli</w:t>
      </w:r>
      <w:r w:rsidRPr="00C37A4D">
        <w:rPr>
          <w:rFonts w:asciiTheme="minorHAnsi" w:hAnsiTheme="minorHAnsi" w:cstheme="minorHAnsi"/>
          <w:color w:val="000000" w:themeColor="text1"/>
          <w:sz w:val="22"/>
          <w:szCs w:val="22"/>
          <w:lang w:val="en-GB"/>
        </w:rPr>
        <w:t xml:space="preserve"> and </w:t>
      </w:r>
      <w:r w:rsidRPr="00C37A4D">
        <w:rPr>
          <w:rFonts w:asciiTheme="minorHAnsi" w:hAnsiTheme="minorHAnsi" w:cstheme="minorHAnsi"/>
          <w:i/>
          <w:color w:val="000000" w:themeColor="text1"/>
          <w:sz w:val="22"/>
          <w:szCs w:val="22"/>
          <w:lang w:val="en-GB"/>
        </w:rPr>
        <w:t>Salmonella</w:t>
      </w:r>
      <w:r w:rsidRPr="00C37A4D">
        <w:rPr>
          <w:rFonts w:asciiTheme="minorHAnsi" w:hAnsiTheme="minorHAnsi" w:cstheme="minorHAnsi"/>
          <w:color w:val="000000" w:themeColor="text1"/>
          <w:sz w:val="22"/>
          <w:szCs w:val="22"/>
          <w:lang w:val="en-GB"/>
        </w:rPr>
        <w:t xml:space="preserve"> quinolone resistance is substantially lower than in most of Europe. Low resistance rates for </w:t>
      </w:r>
      <w:r w:rsidRPr="00C37A4D">
        <w:rPr>
          <w:rFonts w:asciiTheme="minorHAnsi" w:hAnsiTheme="minorHAnsi" w:cstheme="minorHAnsi"/>
          <w:i/>
          <w:iCs/>
          <w:color w:val="000000" w:themeColor="text1"/>
          <w:sz w:val="22"/>
          <w:szCs w:val="22"/>
          <w:lang w:val="en-GB"/>
        </w:rPr>
        <w:t>Salmonella</w:t>
      </w:r>
      <w:r w:rsidRPr="00C37A4D">
        <w:rPr>
          <w:rFonts w:asciiTheme="minorHAnsi" w:hAnsiTheme="minorHAnsi" w:cstheme="minorHAnsi"/>
          <w:color w:val="000000" w:themeColor="text1"/>
          <w:sz w:val="22"/>
          <w:szCs w:val="22"/>
          <w:lang w:val="en-GB"/>
        </w:rPr>
        <w:t xml:space="preserve"> in France and the United States could be associated with national control initiatives.</w:t>
      </w:r>
      <w:r w:rsidRPr="00E00CFD">
        <w:rPr>
          <w:rFonts w:hAnsiTheme="minorHAnsi"/>
          <w:color w:val="000000"/>
          <w:sz w:val="22"/>
          <w:vertAlign w:val="superscript"/>
        </w:rPr>
        <w:t>20,21</w:t>
      </w:r>
      <w:r w:rsidRPr="00C37A4D">
        <w:rPr>
          <w:rFonts w:asciiTheme="minorHAnsi" w:hAnsiTheme="minorHAnsi" w:cstheme="minorHAnsi"/>
          <w:color w:val="000000" w:themeColor="text1"/>
          <w:sz w:val="22"/>
          <w:szCs w:val="22"/>
          <w:lang w:val="en-GB"/>
        </w:rPr>
        <w:t xml:space="preserve"> For </w:t>
      </w:r>
      <w:r w:rsidRPr="00C37A4D">
        <w:rPr>
          <w:rFonts w:asciiTheme="minorHAnsi" w:hAnsiTheme="minorHAnsi" w:cstheme="minorHAnsi"/>
          <w:i/>
          <w:color w:val="000000" w:themeColor="text1"/>
          <w:sz w:val="22"/>
          <w:szCs w:val="22"/>
          <w:lang w:val="en-GB"/>
        </w:rPr>
        <w:t>Campylobacter</w:t>
      </w:r>
      <w:r w:rsidRPr="00C37A4D">
        <w:rPr>
          <w:rFonts w:asciiTheme="minorHAnsi" w:hAnsiTheme="minorHAnsi" w:cstheme="minorHAnsi"/>
          <w:color w:val="000000" w:themeColor="text1"/>
          <w:sz w:val="22"/>
          <w:szCs w:val="22"/>
          <w:lang w:val="en-GB"/>
        </w:rPr>
        <w:t>,</w:t>
      </w:r>
      <w:r w:rsidRPr="00C37A4D" w:rsidDel="009E6B88">
        <w:rPr>
          <w:rFonts w:asciiTheme="minorHAnsi" w:hAnsiTheme="minorHAnsi" w:cstheme="minorHAnsi"/>
          <w:color w:val="000000" w:themeColor="text1"/>
          <w:sz w:val="22"/>
          <w:szCs w:val="22"/>
          <w:lang w:val="en-GB"/>
        </w:rPr>
        <w:t xml:space="preserve"> </w:t>
      </w:r>
      <w:r w:rsidRPr="00C37A4D">
        <w:rPr>
          <w:rFonts w:asciiTheme="minorHAnsi" w:hAnsiTheme="minorHAnsi" w:cstheme="minorHAnsi"/>
          <w:color w:val="000000" w:themeColor="text1"/>
          <w:sz w:val="22"/>
          <w:szCs w:val="22"/>
          <w:lang w:val="en-GB"/>
        </w:rPr>
        <w:t>resistance to quinolones (particularly ciprofloxacin) and tetracycline is high (&gt;50%) in Europe, especially in poultry isolates</w:t>
      </w:r>
      <w:r>
        <w:rPr>
          <w:rFonts w:asciiTheme="minorHAnsi" w:hAnsiTheme="minorHAnsi" w:cstheme="minorHAnsi"/>
          <w:color w:val="000000" w:themeColor="text1"/>
          <w:sz w:val="22"/>
          <w:szCs w:val="22"/>
          <w:lang w:val="en-GB"/>
        </w:rPr>
        <w:t>;</w:t>
      </w:r>
      <w:r w:rsidRPr="00C37A4D">
        <w:rPr>
          <w:rFonts w:asciiTheme="minorHAnsi" w:hAnsiTheme="minorHAnsi" w:cstheme="minorHAnsi"/>
          <w:color w:val="000000" w:themeColor="text1"/>
          <w:sz w:val="22"/>
          <w:szCs w:val="22"/>
          <w:lang w:val="en-GB"/>
        </w:rPr>
        <w:t xml:space="preserve"> in the United States, quinolone resistance has remained at lower levels since the 2005 ban on using this class of drugs for animals.</w:t>
      </w:r>
      <w:r w:rsidRPr="00E00CFD">
        <w:rPr>
          <w:rFonts w:hAnsiTheme="minorHAnsi"/>
          <w:color w:val="000000"/>
          <w:sz w:val="22"/>
          <w:vertAlign w:val="superscript"/>
        </w:rPr>
        <w:t>15</w:t>
      </w:r>
    </w:p>
    <w:p w14:paraId="168B879C" w14:textId="77777777" w:rsidR="00400FDA" w:rsidRPr="00C37A4D" w:rsidRDefault="00400FDA" w:rsidP="00400FD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lang w:val="en-GB"/>
        </w:rPr>
      </w:pPr>
      <w:r w:rsidRPr="00C37A4D">
        <w:rPr>
          <w:rFonts w:asciiTheme="minorHAnsi" w:hAnsiTheme="minorHAnsi" w:cstheme="minorHAnsi"/>
          <w:color w:val="000000" w:themeColor="text1"/>
          <w:sz w:val="22"/>
          <w:szCs w:val="22"/>
          <w:lang w:val="en-GB"/>
        </w:rPr>
        <w:t xml:space="preserve"> </w:t>
      </w:r>
    </w:p>
    <w:p w14:paraId="1FD75177" w14:textId="35A40DD2" w:rsidR="00400FDA" w:rsidRPr="00B73158" w:rsidRDefault="00400FDA" w:rsidP="00400FD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lang w:val="en-GB"/>
        </w:rPr>
      </w:pPr>
      <w:r w:rsidRPr="00C37A4D">
        <w:rPr>
          <w:rFonts w:asciiTheme="minorHAnsi" w:hAnsiTheme="minorHAnsi" w:cstheme="minorHAnsi"/>
          <w:color w:val="000000" w:themeColor="text1"/>
          <w:sz w:val="22"/>
          <w:szCs w:val="22"/>
          <w:lang w:val="en-GB"/>
        </w:rPr>
        <w:t xml:space="preserve">In </w:t>
      </w:r>
      <w:r>
        <w:rPr>
          <w:rFonts w:asciiTheme="minorHAnsi" w:hAnsiTheme="minorHAnsi" w:cstheme="minorHAnsi"/>
          <w:color w:val="000000" w:themeColor="text1"/>
          <w:sz w:val="22"/>
          <w:szCs w:val="22"/>
          <w:lang w:val="en-GB"/>
        </w:rPr>
        <w:t>LMICs,</w:t>
      </w:r>
      <w:r w:rsidRPr="00C37A4D">
        <w:rPr>
          <w:rFonts w:asciiTheme="minorHAnsi" w:hAnsiTheme="minorHAnsi" w:cstheme="minorHAnsi"/>
          <w:color w:val="000000" w:themeColor="text1"/>
          <w:sz w:val="22"/>
          <w:szCs w:val="22"/>
          <w:lang w:val="en-GB"/>
        </w:rPr>
        <w:t xml:space="preserve"> surveillance systems are largely nascent, and efforts to document the burden of AMR in animals have relied on second-best amalgamation of case studies and point prevalence surveys, often conducted using heterogeneous sampling schemes and laboratory protocols. A summary of 900 surveys</w:t>
      </w:r>
      <w:r>
        <w:rPr>
          <w:rFonts w:asciiTheme="minorHAnsi" w:hAnsiTheme="minorHAnsi" w:cstheme="minorHAnsi"/>
          <w:color w:val="000000" w:themeColor="text1"/>
          <w:sz w:val="22"/>
          <w:szCs w:val="22"/>
          <w:lang w:val="en-GB"/>
        </w:rPr>
        <w:t>,</w:t>
      </w:r>
      <w:r w:rsidRPr="00E00CFD">
        <w:rPr>
          <w:rFonts w:hAnsiTheme="minorHAnsi"/>
          <w:color w:val="000000"/>
          <w:sz w:val="22"/>
          <w:vertAlign w:val="superscript"/>
        </w:rPr>
        <w:t>22</w:t>
      </w:r>
      <w:r w:rsidRPr="00C37A4D">
        <w:rPr>
          <w:rFonts w:asciiTheme="minorHAnsi" w:hAnsiTheme="minorHAnsi" w:cstheme="minorHAnsi"/>
          <w:color w:val="000000" w:themeColor="text1"/>
          <w:sz w:val="22"/>
          <w:szCs w:val="22"/>
          <w:lang w:val="en-GB"/>
        </w:rPr>
        <w:t xml:space="preserve"> ranging from</w:t>
      </w:r>
      <w:r>
        <w:rPr>
          <w:rFonts w:asciiTheme="minorHAnsi" w:hAnsiTheme="minorHAnsi" w:cstheme="minorHAnsi"/>
          <w:color w:val="000000" w:themeColor="text1"/>
          <w:sz w:val="22"/>
          <w:szCs w:val="22"/>
          <w:lang w:val="en-GB"/>
        </w:rPr>
        <w:t xml:space="preserve"> </w:t>
      </w:r>
      <w:r w:rsidRPr="00C37A4D">
        <w:rPr>
          <w:rFonts w:asciiTheme="minorHAnsi" w:hAnsiTheme="minorHAnsi" w:cstheme="minorHAnsi"/>
          <w:color w:val="000000" w:themeColor="text1"/>
          <w:sz w:val="22"/>
          <w:szCs w:val="22"/>
          <w:lang w:val="en-GB"/>
        </w:rPr>
        <w:t>mixed farm-household surveys in Nigeria</w:t>
      </w:r>
      <w:r w:rsidRPr="00E00CFD">
        <w:rPr>
          <w:rFonts w:hAnsiTheme="minorHAnsi"/>
          <w:color w:val="000000"/>
          <w:sz w:val="22"/>
          <w:vertAlign w:val="superscript"/>
        </w:rPr>
        <w:t>23</w:t>
      </w:r>
      <w:r w:rsidRPr="00C37A4D">
        <w:rPr>
          <w:rFonts w:asciiTheme="minorHAnsi" w:hAnsiTheme="minorHAnsi" w:cstheme="minorHAnsi"/>
          <w:color w:val="000000" w:themeColor="text1"/>
          <w:sz w:val="22"/>
          <w:szCs w:val="22"/>
          <w:lang w:val="en-GB"/>
        </w:rPr>
        <w:t xml:space="preserve"> and Kenya</w:t>
      </w:r>
      <w:r w:rsidRPr="00E00CFD">
        <w:rPr>
          <w:rFonts w:hAnsiTheme="minorHAnsi"/>
          <w:color w:val="000000"/>
          <w:sz w:val="22"/>
          <w:vertAlign w:val="superscript"/>
        </w:rPr>
        <w:t>24</w:t>
      </w:r>
      <w:r w:rsidRPr="00C37A4D">
        <w:rPr>
          <w:rFonts w:asciiTheme="minorHAnsi" w:hAnsiTheme="minorHAnsi" w:cstheme="minorHAnsi"/>
          <w:color w:val="000000" w:themeColor="text1"/>
          <w:sz w:val="22"/>
          <w:szCs w:val="22"/>
          <w:lang w:val="en-GB"/>
        </w:rPr>
        <w:t xml:space="preserve"> to prospective surveys </w:t>
      </w:r>
      <w:r>
        <w:rPr>
          <w:rFonts w:asciiTheme="minorHAnsi" w:hAnsiTheme="minorHAnsi" w:cstheme="minorHAnsi"/>
          <w:color w:val="000000" w:themeColor="text1"/>
          <w:sz w:val="22"/>
          <w:szCs w:val="22"/>
          <w:lang w:val="en-GB"/>
        </w:rPr>
        <w:t>for</w:t>
      </w:r>
      <w:r w:rsidRPr="00C37A4D">
        <w:rPr>
          <w:rFonts w:asciiTheme="minorHAnsi" w:hAnsiTheme="minorHAnsi" w:cstheme="minorHAnsi"/>
          <w:color w:val="000000" w:themeColor="text1"/>
          <w:sz w:val="22"/>
          <w:szCs w:val="22"/>
          <w:lang w:val="en-GB"/>
        </w:rPr>
        <w:t xml:space="preserve"> new resistance genes in broilers in Pakistan</w:t>
      </w:r>
      <w:r w:rsidRPr="00E00CFD">
        <w:rPr>
          <w:rFonts w:hAnsiTheme="minorHAnsi"/>
          <w:color w:val="000000"/>
          <w:sz w:val="22"/>
          <w:vertAlign w:val="superscript"/>
        </w:rPr>
        <w:t>25</w:t>
      </w:r>
      <w:r w:rsidRPr="00C37A4D">
        <w:rPr>
          <w:rFonts w:asciiTheme="minorHAnsi" w:hAnsiTheme="minorHAnsi" w:cstheme="minorHAnsi"/>
          <w:color w:val="000000" w:themeColor="text1"/>
          <w:sz w:val="22"/>
          <w:szCs w:val="22"/>
          <w:lang w:val="en-GB"/>
        </w:rPr>
        <w:t xml:space="preserve"> and in salmon farms in Chile,</w:t>
      </w:r>
      <w:r w:rsidRPr="00E00CFD">
        <w:rPr>
          <w:rFonts w:hAnsiTheme="minorHAnsi"/>
          <w:color w:val="000000"/>
          <w:sz w:val="22"/>
          <w:vertAlign w:val="superscript"/>
        </w:rPr>
        <w:t>26</w:t>
      </w:r>
      <w:r w:rsidRPr="00C37A4D">
        <w:rPr>
          <w:rFonts w:asciiTheme="minorHAnsi" w:hAnsiTheme="minorHAnsi" w:cstheme="minorHAnsi"/>
          <w:color w:val="000000" w:themeColor="text1"/>
          <w:sz w:val="22"/>
          <w:szCs w:val="22"/>
          <w:lang w:val="en-GB"/>
        </w:rPr>
        <w:t xml:space="preserve"> quantified and mapped the prevalence of resistance for multiple antibiotics in chickens, cattle, and pigs. This geographic analysis identified likely hotspots for AMR in animals in southern India, </w:t>
      </w:r>
      <w:proofErr w:type="gramStart"/>
      <w:r w:rsidRPr="00C37A4D">
        <w:rPr>
          <w:rFonts w:asciiTheme="minorHAnsi" w:hAnsiTheme="minorHAnsi" w:cstheme="minorHAnsi"/>
          <w:color w:val="000000" w:themeColor="text1"/>
          <w:sz w:val="22"/>
          <w:szCs w:val="22"/>
          <w:lang w:val="en-GB"/>
        </w:rPr>
        <w:t>north</w:t>
      </w:r>
      <w:r>
        <w:rPr>
          <w:rFonts w:asciiTheme="minorHAnsi" w:hAnsiTheme="minorHAnsi" w:cstheme="minorHAnsi"/>
          <w:color w:val="000000" w:themeColor="text1"/>
          <w:sz w:val="22"/>
          <w:szCs w:val="22"/>
          <w:lang w:val="en-GB"/>
        </w:rPr>
        <w:t xml:space="preserve"> </w:t>
      </w:r>
      <w:r w:rsidRPr="00C37A4D">
        <w:rPr>
          <w:rFonts w:asciiTheme="minorHAnsi" w:hAnsiTheme="minorHAnsi" w:cstheme="minorHAnsi"/>
          <w:color w:val="000000" w:themeColor="text1"/>
          <w:sz w:val="22"/>
          <w:szCs w:val="22"/>
          <w:lang w:val="en-GB"/>
        </w:rPr>
        <w:t>eastern</w:t>
      </w:r>
      <w:proofErr w:type="gramEnd"/>
      <w:r w:rsidRPr="00C37A4D">
        <w:rPr>
          <w:rFonts w:asciiTheme="minorHAnsi" w:hAnsiTheme="minorHAnsi" w:cstheme="minorHAnsi"/>
          <w:color w:val="000000" w:themeColor="text1"/>
          <w:sz w:val="22"/>
          <w:szCs w:val="22"/>
          <w:lang w:val="en-GB"/>
        </w:rPr>
        <w:t xml:space="preserve"> China,</w:t>
      </w:r>
      <w:r w:rsidRPr="00E00CFD">
        <w:rPr>
          <w:rFonts w:hAnsiTheme="minorHAnsi"/>
          <w:color w:val="000000"/>
          <w:sz w:val="22"/>
          <w:vertAlign w:val="superscript"/>
        </w:rPr>
        <w:t>27</w:t>
      </w:r>
      <w:r w:rsidRPr="00C37A4D">
        <w:rPr>
          <w:rFonts w:asciiTheme="minorHAnsi" w:hAnsiTheme="minorHAnsi" w:cstheme="minorHAnsi"/>
          <w:color w:val="000000" w:themeColor="text1"/>
          <w:sz w:val="22"/>
          <w:szCs w:val="22"/>
          <w:lang w:val="en-GB"/>
        </w:rPr>
        <w:t xml:space="preserve"> southern Brazil, Ethiopia, and the peri-urban region of Johannesburg. Resistance levels in </w:t>
      </w:r>
      <w:r w:rsidRPr="00C37A4D">
        <w:rPr>
          <w:rFonts w:asciiTheme="minorHAnsi" w:hAnsiTheme="minorHAnsi" w:cstheme="minorHAnsi"/>
          <w:i/>
          <w:color w:val="000000" w:themeColor="text1"/>
          <w:sz w:val="22"/>
          <w:szCs w:val="22"/>
          <w:lang w:val="en-GB"/>
        </w:rPr>
        <w:t>E. coli</w:t>
      </w:r>
      <w:r w:rsidRPr="00C37A4D">
        <w:rPr>
          <w:rFonts w:asciiTheme="minorHAnsi" w:hAnsiTheme="minorHAnsi" w:cstheme="minorHAnsi"/>
          <w:color w:val="000000" w:themeColor="text1"/>
          <w:sz w:val="22"/>
          <w:szCs w:val="22"/>
          <w:lang w:val="en-GB"/>
        </w:rPr>
        <w:t xml:space="preserve"> and </w:t>
      </w:r>
      <w:r w:rsidRPr="00C37A4D">
        <w:rPr>
          <w:rFonts w:asciiTheme="minorHAnsi" w:hAnsiTheme="minorHAnsi" w:cstheme="minorHAnsi"/>
          <w:i/>
          <w:color w:val="000000" w:themeColor="text1"/>
          <w:sz w:val="22"/>
          <w:szCs w:val="22"/>
          <w:lang w:val="en-GB"/>
        </w:rPr>
        <w:t>Salmonella</w:t>
      </w:r>
      <w:r w:rsidRPr="00C37A4D">
        <w:rPr>
          <w:rFonts w:asciiTheme="minorHAnsi" w:hAnsiTheme="minorHAnsi" w:cstheme="minorHAnsi"/>
          <w:color w:val="000000" w:themeColor="text1"/>
          <w:sz w:val="22"/>
          <w:szCs w:val="22"/>
          <w:lang w:val="en-GB"/>
        </w:rPr>
        <w:t xml:space="preserve"> spp. to quinolones in LMICs were comparable to levels in Europe, but gentamicin resistance was higher in LMICs (5–38%) than in Europe (2·4–8·9%). </w:t>
      </w:r>
      <w:r>
        <w:rPr>
          <w:rFonts w:asciiTheme="minorHAnsi" w:hAnsiTheme="minorHAnsi" w:cstheme="minorHAnsi"/>
          <w:color w:val="000000" w:themeColor="text1"/>
          <w:sz w:val="22"/>
          <w:szCs w:val="22"/>
          <w:lang w:val="en-GB"/>
        </w:rPr>
        <w:t>I</w:t>
      </w:r>
      <w:r w:rsidRPr="00C37A4D">
        <w:rPr>
          <w:rFonts w:asciiTheme="minorHAnsi" w:hAnsiTheme="minorHAnsi" w:cstheme="minorHAnsi"/>
          <w:color w:val="000000" w:themeColor="text1"/>
          <w:sz w:val="22"/>
          <w:szCs w:val="22"/>
          <w:lang w:val="en-GB"/>
        </w:rPr>
        <w:t xml:space="preserve">n comparisons with LMICs and the United States, </w:t>
      </w:r>
      <w:r>
        <w:rPr>
          <w:rFonts w:asciiTheme="minorHAnsi" w:hAnsiTheme="minorHAnsi" w:cstheme="minorHAnsi"/>
          <w:color w:val="000000" w:themeColor="text1"/>
          <w:sz w:val="22"/>
          <w:szCs w:val="22"/>
          <w:lang w:val="en-GB"/>
        </w:rPr>
        <w:t>however,</w:t>
      </w:r>
      <w:r w:rsidRPr="00C37A4D">
        <w:rPr>
          <w:rFonts w:asciiTheme="minorHAnsi" w:hAnsiTheme="minorHAnsi" w:cstheme="minorHAnsi"/>
          <w:color w:val="000000" w:themeColor="text1"/>
          <w:sz w:val="22"/>
          <w:szCs w:val="22"/>
          <w:lang w:val="en-GB"/>
        </w:rPr>
        <w:t xml:space="preserve"> quinolone resistance was lower (2·4–4·6%) and gentamicin resistance higher (22·1% and 41·3% for </w:t>
      </w:r>
      <w:r w:rsidRPr="00C37A4D">
        <w:rPr>
          <w:rFonts w:asciiTheme="minorHAnsi" w:hAnsiTheme="minorHAnsi" w:cstheme="minorHAnsi"/>
          <w:i/>
          <w:color w:val="000000" w:themeColor="text1"/>
          <w:sz w:val="22"/>
          <w:szCs w:val="22"/>
          <w:lang w:val="en-GB"/>
        </w:rPr>
        <w:t>Salmonella</w:t>
      </w:r>
      <w:r w:rsidRPr="00C37A4D">
        <w:rPr>
          <w:rFonts w:asciiTheme="minorHAnsi" w:hAnsiTheme="minorHAnsi" w:cstheme="minorHAnsi"/>
          <w:color w:val="000000" w:themeColor="text1"/>
          <w:sz w:val="22"/>
          <w:szCs w:val="22"/>
          <w:lang w:val="en-GB"/>
        </w:rPr>
        <w:t xml:space="preserve"> and </w:t>
      </w:r>
      <w:r w:rsidRPr="00C37A4D">
        <w:rPr>
          <w:rFonts w:asciiTheme="minorHAnsi" w:hAnsiTheme="minorHAnsi" w:cstheme="minorHAnsi"/>
          <w:i/>
          <w:color w:val="000000" w:themeColor="text1"/>
          <w:sz w:val="22"/>
          <w:szCs w:val="22"/>
          <w:lang w:val="en-GB"/>
        </w:rPr>
        <w:t>E. coli</w:t>
      </w:r>
      <w:r w:rsidRPr="00C37A4D">
        <w:rPr>
          <w:rFonts w:asciiTheme="minorHAnsi" w:hAnsiTheme="minorHAnsi" w:cstheme="minorHAnsi"/>
          <w:color w:val="000000" w:themeColor="text1"/>
          <w:sz w:val="22"/>
          <w:szCs w:val="22"/>
          <w:lang w:val="en-GB"/>
        </w:rPr>
        <w:t xml:space="preserve">, respectively). In </w:t>
      </w:r>
      <w:r w:rsidRPr="00C37A4D">
        <w:rPr>
          <w:rFonts w:asciiTheme="minorHAnsi" w:hAnsiTheme="minorHAnsi" w:cstheme="minorHAnsi"/>
          <w:i/>
          <w:color w:val="000000" w:themeColor="text1"/>
          <w:sz w:val="22"/>
          <w:szCs w:val="22"/>
          <w:lang w:val="en-GB"/>
        </w:rPr>
        <w:t>Campylobacter</w:t>
      </w:r>
      <w:r w:rsidRPr="00C37A4D">
        <w:rPr>
          <w:rFonts w:asciiTheme="minorHAnsi" w:hAnsiTheme="minorHAnsi" w:cstheme="minorHAnsi"/>
          <w:color w:val="000000" w:themeColor="text1"/>
          <w:sz w:val="22"/>
          <w:szCs w:val="22"/>
          <w:lang w:val="en-GB"/>
        </w:rPr>
        <w:t xml:space="preserve"> spp., the highest resistance rates were identified for tetracyclines (60%) and quinolones (60%). Tetracycline resistance was also highest in the United States (49·1–100%). In 2020, researchers sought to quantify the relative prevalence of AMR in aquaculture in Asia, identifying China as the current hotspot of resistance and using an open-access repository (resistancebank.org) (</w:t>
      </w:r>
      <w:r w:rsidRPr="00C37A4D">
        <w:rPr>
          <w:rFonts w:asciiTheme="minorHAnsi" w:hAnsiTheme="minorHAnsi" w:cstheme="minorHAnsi"/>
          <w:b/>
          <w:bCs/>
          <w:color w:val="000000" w:themeColor="text1"/>
          <w:sz w:val="22"/>
          <w:szCs w:val="22"/>
          <w:lang w:val="en-GB"/>
        </w:rPr>
        <w:t xml:space="preserve">Figure </w:t>
      </w:r>
      <w:r>
        <w:rPr>
          <w:rFonts w:asciiTheme="minorHAnsi" w:hAnsiTheme="minorHAnsi" w:cstheme="minorHAnsi"/>
          <w:b/>
          <w:bCs/>
          <w:color w:val="000000" w:themeColor="text1"/>
          <w:sz w:val="22"/>
          <w:szCs w:val="22"/>
          <w:lang w:val="en-GB"/>
        </w:rPr>
        <w:t>1</w:t>
      </w:r>
      <w:r w:rsidRPr="00C37A4D">
        <w:rPr>
          <w:rFonts w:asciiTheme="minorHAnsi" w:hAnsiTheme="minorHAnsi" w:cstheme="minorHAnsi"/>
          <w:color w:val="000000" w:themeColor="text1"/>
          <w:sz w:val="22"/>
          <w:szCs w:val="22"/>
          <w:lang w:val="en-GB"/>
        </w:rPr>
        <w:t>) for reporting new point prevalence surveys of AMR in animals in LMIC</w:t>
      </w:r>
      <w:r>
        <w:rPr>
          <w:rFonts w:asciiTheme="minorHAnsi" w:hAnsiTheme="minorHAnsi" w:cstheme="minorHAnsi"/>
          <w:color w:val="000000" w:themeColor="text1"/>
          <w:sz w:val="22"/>
          <w:szCs w:val="22"/>
          <w:lang w:val="en-GB"/>
        </w:rPr>
        <w:t>s</w:t>
      </w:r>
      <w:r w:rsidRPr="00C37A4D">
        <w:rPr>
          <w:rFonts w:asciiTheme="minorHAnsi" w:hAnsiTheme="minorHAnsi" w:cstheme="minorHAnsi"/>
          <w:color w:val="000000" w:themeColor="text1"/>
          <w:sz w:val="22"/>
          <w:szCs w:val="22"/>
          <w:lang w:val="en-GB"/>
        </w:rPr>
        <w:t>.</w:t>
      </w:r>
    </w:p>
    <w:p w14:paraId="225CF628" w14:textId="77777777" w:rsidR="00400FDA" w:rsidRPr="00E678CE" w:rsidRDefault="00400FDA" w:rsidP="00400FD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lang w:val="en-GB"/>
        </w:rPr>
      </w:pPr>
      <w:r w:rsidRPr="00C37A4D">
        <w:rPr>
          <w:rFonts w:asciiTheme="minorHAnsi" w:hAnsiTheme="minorHAnsi" w:cstheme="minorHAnsi"/>
          <w:color w:val="000000" w:themeColor="text1"/>
          <w:sz w:val="22"/>
          <w:szCs w:val="22"/>
          <w:lang w:val="en-GB"/>
        </w:rPr>
        <w:t xml:space="preserve"> </w:t>
      </w:r>
    </w:p>
    <w:p w14:paraId="635C31A6" w14:textId="77777777" w:rsidR="00400FDA" w:rsidRPr="00C37A4D" w:rsidRDefault="00400FDA" w:rsidP="00400FD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lang w:val="en-GB"/>
        </w:rPr>
      </w:pPr>
      <w:r w:rsidRPr="00090CFD">
        <w:rPr>
          <w:rFonts w:asciiTheme="minorHAnsi" w:hAnsiTheme="minorHAnsi" w:cstheme="minorHAnsi"/>
          <w:color w:val="000000" w:themeColor="text1"/>
          <w:sz w:val="22"/>
          <w:szCs w:val="22"/>
          <w:lang w:val="en-GB"/>
        </w:rPr>
        <w:t xml:space="preserve">Initiatives to ramp up surveillance </w:t>
      </w:r>
      <w:r>
        <w:rPr>
          <w:rFonts w:asciiTheme="minorHAnsi" w:hAnsiTheme="minorHAnsi" w:cstheme="minorHAnsi"/>
          <w:color w:val="000000" w:themeColor="text1"/>
          <w:sz w:val="22"/>
          <w:szCs w:val="22"/>
          <w:lang w:val="en-GB"/>
        </w:rPr>
        <w:t xml:space="preserve">in </w:t>
      </w:r>
      <w:r w:rsidRPr="00090CFD">
        <w:rPr>
          <w:rFonts w:asciiTheme="minorHAnsi" w:hAnsiTheme="minorHAnsi" w:cstheme="minorHAnsi"/>
          <w:color w:val="000000" w:themeColor="text1"/>
          <w:sz w:val="22"/>
          <w:szCs w:val="22"/>
          <w:lang w:val="en-GB"/>
        </w:rPr>
        <w:t>LMIC animal sectors have been undertaken by several countries</w:t>
      </w:r>
      <w:r w:rsidRPr="00E00CFD">
        <w:rPr>
          <w:rFonts w:hAnsiTheme="minorHAnsi"/>
          <w:color w:val="000000"/>
          <w:sz w:val="22"/>
          <w:vertAlign w:val="superscript"/>
        </w:rPr>
        <w:t>29</w:t>
      </w:r>
      <w:r w:rsidRPr="00090CFD">
        <w:rPr>
          <w:rFonts w:asciiTheme="minorHAnsi" w:hAnsiTheme="minorHAnsi" w:cstheme="minorHAnsi"/>
          <w:color w:val="000000" w:themeColor="text1"/>
          <w:sz w:val="22"/>
          <w:szCs w:val="22"/>
          <w:lang w:val="en-GB"/>
        </w:rPr>
        <w:t xml:space="preserve"> and supported by international funders</w:t>
      </w:r>
      <w:r w:rsidRPr="00E00CFD">
        <w:rPr>
          <w:rFonts w:hAnsiTheme="minorHAnsi"/>
          <w:color w:val="000000"/>
          <w:sz w:val="22"/>
          <w:vertAlign w:val="superscript"/>
        </w:rPr>
        <w:t>30</w:t>
      </w:r>
      <w:r w:rsidRPr="00090CFD">
        <w:rPr>
          <w:rFonts w:asciiTheme="minorHAnsi" w:hAnsiTheme="minorHAnsi" w:cstheme="minorHAnsi"/>
          <w:color w:val="000000" w:themeColor="text1"/>
          <w:sz w:val="22"/>
          <w:szCs w:val="22"/>
          <w:lang w:val="en-GB"/>
        </w:rPr>
        <w:t xml:space="preserve"> but have not yet reported AMR prevalence in an integrated international platform. The need for a globally harmonised surveillance system and reporting platform for human AMR was requested by WHO </w:t>
      </w:r>
      <w:r>
        <w:rPr>
          <w:rFonts w:asciiTheme="minorHAnsi" w:hAnsiTheme="minorHAnsi" w:cstheme="minorHAnsi"/>
          <w:color w:val="000000" w:themeColor="text1"/>
          <w:sz w:val="22"/>
          <w:szCs w:val="22"/>
          <w:lang w:val="en-GB"/>
        </w:rPr>
        <w:t>m</w:t>
      </w:r>
      <w:r w:rsidRPr="00090CFD">
        <w:rPr>
          <w:rFonts w:asciiTheme="minorHAnsi" w:hAnsiTheme="minorHAnsi" w:cstheme="minorHAnsi"/>
          <w:color w:val="000000" w:themeColor="text1"/>
          <w:sz w:val="22"/>
          <w:szCs w:val="22"/>
          <w:lang w:val="en-GB"/>
        </w:rPr>
        <w:t xml:space="preserve">ember </w:t>
      </w:r>
      <w:r>
        <w:rPr>
          <w:rFonts w:asciiTheme="minorHAnsi" w:hAnsiTheme="minorHAnsi" w:cstheme="minorHAnsi"/>
          <w:color w:val="000000" w:themeColor="text1"/>
          <w:sz w:val="22"/>
          <w:szCs w:val="22"/>
          <w:lang w:val="en-GB"/>
        </w:rPr>
        <w:t>s</w:t>
      </w:r>
      <w:r w:rsidRPr="00090CFD">
        <w:rPr>
          <w:rFonts w:asciiTheme="minorHAnsi" w:hAnsiTheme="minorHAnsi" w:cstheme="minorHAnsi"/>
          <w:color w:val="000000" w:themeColor="text1"/>
          <w:sz w:val="22"/>
          <w:szCs w:val="22"/>
          <w:lang w:val="en-GB"/>
        </w:rPr>
        <w:t xml:space="preserve">tates in the 2015 World Health Assembly resolution, leading to the development of </w:t>
      </w:r>
      <w:r>
        <w:rPr>
          <w:rFonts w:asciiTheme="minorHAnsi" w:hAnsiTheme="minorHAnsi" w:cstheme="minorHAnsi"/>
          <w:color w:val="000000" w:themeColor="text1"/>
          <w:sz w:val="22"/>
          <w:szCs w:val="22"/>
          <w:lang w:val="en-GB"/>
        </w:rPr>
        <w:t>GLASS</w:t>
      </w:r>
      <w:r w:rsidRPr="00090CFD">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 xml:space="preserve">The </w:t>
      </w:r>
      <w:r w:rsidRPr="00090CFD">
        <w:rPr>
          <w:rFonts w:asciiTheme="minorHAnsi" w:hAnsiTheme="minorHAnsi" w:cstheme="minorHAnsi"/>
          <w:color w:val="000000" w:themeColor="text1"/>
          <w:sz w:val="22"/>
          <w:szCs w:val="22"/>
          <w:lang w:val="en-GB"/>
        </w:rPr>
        <w:t>World Organization for Animal Health (WOAH, formerly the Office International des Epizooties) started collect</w:t>
      </w:r>
      <w:r>
        <w:rPr>
          <w:rFonts w:asciiTheme="minorHAnsi" w:hAnsiTheme="minorHAnsi" w:cstheme="minorHAnsi"/>
          <w:color w:val="000000" w:themeColor="text1"/>
          <w:sz w:val="22"/>
          <w:szCs w:val="22"/>
          <w:lang w:val="en-GB"/>
        </w:rPr>
        <w:t>ing</w:t>
      </w:r>
      <w:r w:rsidRPr="00090CFD">
        <w:rPr>
          <w:rFonts w:asciiTheme="minorHAnsi" w:hAnsiTheme="minorHAnsi" w:cstheme="minorHAnsi"/>
          <w:color w:val="000000" w:themeColor="text1"/>
          <w:sz w:val="22"/>
          <w:szCs w:val="22"/>
          <w:lang w:val="en-GB"/>
        </w:rPr>
        <w:t xml:space="preserve"> data on the extent and reasons for antimicrobial use in animals (ANIMUSE) in 2015</w:t>
      </w:r>
      <w:r>
        <w:rPr>
          <w:rFonts w:asciiTheme="minorHAnsi" w:hAnsiTheme="minorHAnsi" w:cstheme="minorHAnsi"/>
          <w:color w:val="000000" w:themeColor="text1"/>
          <w:sz w:val="22"/>
          <w:szCs w:val="22"/>
          <w:lang w:val="en-GB"/>
        </w:rPr>
        <w:t>,</w:t>
      </w:r>
      <w:r w:rsidRPr="00090CFD">
        <w:rPr>
          <w:rFonts w:asciiTheme="minorHAnsi" w:hAnsiTheme="minorHAnsi" w:cstheme="minorHAnsi"/>
          <w:color w:val="000000" w:themeColor="text1"/>
          <w:sz w:val="22"/>
          <w:szCs w:val="22"/>
          <w:lang w:val="en-GB"/>
        </w:rPr>
        <w:t xml:space="preserve"> and in 2022 </w:t>
      </w:r>
      <w:r>
        <w:rPr>
          <w:rFonts w:asciiTheme="minorHAnsi" w:hAnsiTheme="minorHAnsi" w:cstheme="minorHAnsi"/>
          <w:color w:val="000000" w:themeColor="text1"/>
          <w:sz w:val="22"/>
          <w:szCs w:val="22"/>
          <w:lang w:val="en-GB"/>
        </w:rPr>
        <w:t xml:space="preserve">the </w:t>
      </w:r>
      <w:r w:rsidRPr="00090CFD">
        <w:rPr>
          <w:rFonts w:asciiTheme="minorHAnsi" w:hAnsiTheme="minorHAnsi" w:cstheme="minorHAnsi"/>
          <w:color w:val="000000" w:themeColor="text1"/>
          <w:sz w:val="22"/>
          <w:szCs w:val="22"/>
          <w:lang w:val="en-GB"/>
        </w:rPr>
        <w:t xml:space="preserve">UN Food and Agriculture Organization (FAO) </w:t>
      </w:r>
      <w:r>
        <w:rPr>
          <w:rFonts w:asciiTheme="minorHAnsi" w:hAnsiTheme="minorHAnsi" w:cstheme="minorHAnsi"/>
          <w:color w:val="000000" w:themeColor="text1"/>
          <w:sz w:val="22"/>
          <w:szCs w:val="22"/>
          <w:lang w:val="en-GB"/>
        </w:rPr>
        <w:t>began developing</w:t>
      </w:r>
      <w:r w:rsidRPr="00090CFD">
        <w:rPr>
          <w:rFonts w:asciiTheme="minorHAnsi" w:hAnsiTheme="minorHAnsi" w:cstheme="minorHAnsi"/>
          <w:color w:val="000000" w:themeColor="text1"/>
          <w:sz w:val="22"/>
          <w:szCs w:val="22"/>
          <w:lang w:val="en-GB"/>
        </w:rPr>
        <w:t xml:space="preserve"> the International FAO Antimicrobial Resistance Monitoring (</w:t>
      </w:r>
      <w:proofErr w:type="spellStart"/>
      <w:r w:rsidRPr="00090CFD">
        <w:rPr>
          <w:rFonts w:asciiTheme="minorHAnsi" w:hAnsiTheme="minorHAnsi" w:cstheme="minorHAnsi"/>
          <w:color w:val="000000" w:themeColor="text1"/>
          <w:sz w:val="22"/>
          <w:szCs w:val="22"/>
          <w:lang w:val="en-GB"/>
        </w:rPr>
        <w:t>InFARM</w:t>
      </w:r>
      <w:proofErr w:type="spellEnd"/>
      <w:r w:rsidRPr="00090CFD">
        <w:rPr>
          <w:rFonts w:asciiTheme="minorHAnsi" w:hAnsiTheme="minorHAnsi" w:cstheme="minorHAnsi"/>
          <w:color w:val="000000" w:themeColor="text1"/>
          <w:sz w:val="22"/>
          <w:szCs w:val="22"/>
          <w:lang w:val="en-GB"/>
        </w:rPr>
        <w:t>) platform.</w:t>
      </w:r>
      <w:r w:rsidRPr="0066136A">
        <w:rPr>
          <w:sz w:val="22"/>
          <w:szCs w:val="22"/>
        </w:rPr>
        <w:t xml:space="preserve"> WHO </w:t>
      </w:r>
      <w:r w:rsidRPr="00090CFD">
        <w:rPr>
          <w:rFonts w:asciiTheme="minorHAnsi" w:hAnsiTheme="minorHAnsi" w:cstheme="minorHAnsi"/>
          <w:color w:val="000000" w:themeColor="text1"/>
          <w:sz w:val="22"/>
          <w:szCs w:val="22"/>
          <w:lang w:val="en-GB"/>
        </w:rPr>
        <w:t xml:space="preserve">GLASS </w:t>
      </w:r>
      <w:r w:rsidRPr="00090CFD">
        <w:rPr>
          <w:rFonts w:asciiTheme="minorHAnsi" w:hAnsiTheme="minorHAnsi" w:cstheme="minorHAnsi"/>
          <w:color w:val="000000" w:themeColor="text1"/>
          <w:sz w:val="22"/>
          <w:szCs w:val="22"/>
          <w:lang w:val="en-GB"/>
        </w:rPr>
        <w:lastRenderedPageBreak/>
        <w:t xml:space="preserve">focuses on pathogens relevant </w:t>
      </w:r>
      <w:r>
        <w:rPr>
          <w:rFonts w:asciiTheme="minorHAnsi" w:hAnsiTheme="minorHAnsi" w:cstheme="minorHAnsi"/>
          <w:color w:val="000000" w:themeColor="text1"/>
          <w:sz w:val="22"/>
          <w:szCs w:val="22"/>
          <w:lang w:val="en-GB"/>
        </w:rPr>
        <w:t>to</w:t>
      </w:r>
      <w:r w:rsidRPr="00090CFD">
        <w:rPr>
          <w:rFonts w:asciiTheme="minorHAnsi" w:hAnsiTheme="minorHAnsi" w:cstheme="minorHAnsi"/>
          <w:color w:val="000000" w:themeColor="text1"/>
          <w:sz w:val="22"/>
          <w:szCs w:val="22"/>
          <w:lang w:val="en-GB"/>
        </w:rPr>
        <w:t xml:space="preserve"> human health</w:t>
      </w:r>
      <w:r>
        <w:rPr>
          <w:rFonts w:asciiTheme="minorHAnsi" w:hAnsiTheme="minorHAnsi" w:cstheme="minorHAnsi"/>
          <w:color w:val="000000" w:themeColor="text1"/>
          <w:sz w:val="22"/>
          <w:szCs w:val="22"/>
          <w:lang w:val="en-GB"/>
        </w:rPr>
        <w:t xml:space="preserve"> but</w:t>
      </w:r>
      <w:r w:rsidRPr="00090CFD">
        <w:rPr>
          <w:rFonts w:asciiTheme="minorHAnsi" w:hAnsiTheme="minorHAnsi" w:cstheme="minorHAnsi"/>
          <w:color w:val="000000" w:themeColor="text1"/>
          <w:sz w:val="22"/>
          <w:szCs w:val="22"/>
          <w:lang w:val="en-GB"/>
        </w:rPr>
        <w:t xml:space="preserve"> also includes organisms relevant</w:t>
      </w:r>
      <w:r>
        <w:rPr>
          <w:rFonts w:asciiTheme="minorHAnsi" w:hAnsiTheme="minorHAnsi" w:cstheme="minorHAnsi"/>
          <w:color w:val="000000" w:themeColor="text1"/>
          <w:sz w:val="22"/>
          <w:szCs w:val="22"/>
          <w:lang w:val="en-GB"/>
        </w:rPr>
        <w:t xml:space="preserve"> </w:t>
      </w:r>
      <w:r w:rsidRPr="00090CFD">
        <w:rPr>
          <w:rFonts w:asciiTheme="minorHAnsi" w:hAnsiTheme="minorHAnsi" w:cstheme="minorHAnsi"/>
          <w:color w:val="000000" w:themeColor="text1"/>
          <w:sz w:val="22"/>
          <w:szCs w:val="22"/>
          <w:lang w:val="en-GB"/>
        </w:rPr>
        <w:t xml:space="preserve">to other sectors, such as </w:t>
      </w:r>
      <w:r w:rsidRPr="0066136A">
        <w:rPr>
          <w:rFonts w:asciiTheme="minorHAnsi" w:hAnsiTheme="minorHAnsi" w:cstheme="minorHAnsi"/>
          <w:i/>
          <w:iCs/>
          <w:color w:val="000000" w:themeColor="text1"/>
          <w:sz w:val="22"/>
          <w:szCs w:val="22"/>
          <w:lang w:val="en-GB"/>
        </w:rPr>
        <w:t>E.</w:t>
      </w:r>
      <w:r>
        <w:rPr>
          <w:rFonts w:asciiTheme="minorHAnsi" w:hAnsiTheme="minorHAnsi" w:cstheme="minorHAnsi"/>
          <w:i/>
          <w:iCs/>
          <w:color w:val="000000" w:themeColor="text1"/>
          <w:sz w:val="22"/>
          <w:szCs w:val="22"/>
          <w:lang w:val="en-GB"/>
        </w:rPr>
        <w:t xml:space="preserve"> </w:t>
      </w:r>
      <w:r w:rsidRPr="0066136A">
        <w:rPr>
          <w:rFonts w:asciiTheme="minorHAnsi" w:hAnsiTheme="minorHAnsi" w:cstheme="minorHAnsi"/>
          <w:i/>
          <w:iCs/>
          <w:color w:val="000000" w:themeColor="text1"/>
          <w:sz w:val="22"/>
          <w:szCs w:val="22"/>
          <w:lang w:val="en-GB"/>
        </w:rPr>
        <w:t>coli</w:t>
      </w:r>
      <w:r w:rsidRPr="00090CFD">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 xml:space="preserve">and </w:t>
      </w:r>
      <w:r w:rsidRPr="00073F4A">
        <w:rPr>
          <w:rFonts w:asciiTheme="minorHAnsi" w:hAnsiTheme="minorHAnsi" w:cstheme="minorHAnsi"/>
          <w:i/>
          <w:iCs/>
          <w:color w:val="000000" w:themeColor="text1"/>
          <w:sz w:val="22"/>
          <w:szCs w:val="22"/>
          <w:lang w:val="en-GB"/>
        </w:rPr>
        <w:t>Salmonella</w:t>
      </w:r>
      <w:r w:rsidRPr="00090CFD">
        <w:rPr>
          <w:rFonts w:asciiTheme="minorHAnsi" w:hAnsiTheme="minorHAnsi" w:cstheme="minorHAnsi"/>
          <w:color w:val="000000" w:themeColor="text1"/>
          <w:sz w:val="22"/>
          <w:szCs w:val="22"/>
          <w:lang w:val="en-GB"/>
        </w:rPr>
        <w:t xml:space="preserve"> spp. In addition, WHO supports the </w:t>
      </w:r>
      <w:r>
        <w:rPr>
          <w:rFonts w:asciiTheme="minorHAnsi" w:hAnsiTheme="minorHAnsi" w:cstheme="minorHAnsi"/>
          <w:color w:val="000000" w:themeColor="text1"/>
          <w:sz w:val="22"/>
          <w:szCs w:val="22"/>
          <w:lang w:val="en-GB"/>
        </w:rPr>
        <w:t xml:space="preserve">country </w:t>
      </w:r>
      <w:r w:rsidRPr="00090CFD">
        <w:rPr>
          <w:rFonts w:asciiTheme="minorHAnsi" w:hAnsiTheme="minorHAnsi" w:cstheme="minorHAnsi"/>
          <w:color w:val="000000" w:themeColor="text1"/>
          <w:sz w:val="22"/>
          <w:szCs w:val="22"/>
          <w:lang w:val="en-GB"/>
        </w:rPr>
        <w:t xml:space="preserve">implementation of </w:t>
      </w:r>
      <w:r>
        <w:rPr>
          <w:rFonts w:asciiTheme="minorHAnsi" w:hAnsiTheme="minorHAnsi" w:cstheme="minorHAnsi"/>
          <w:color w:val="000000" w:themeColor="text1"/>
          <w:sz w:val="22"/>
          <w:szCs w:val="22"/>
          <w:lang w:val="en-GB"/>
        </w:rPr>
        <w:t xml:space="preserve">the </w:t>
      </w:r>
      <w:r w:rsidRPr="00090CFD">
        <w:rPr>
          <w:rFonts w:asciiTheme="minorHAnsi" w:hAnsiTheme="minorHAnsi" w:cstheme="minorHAnsi"/>
          <w:color w:val="000000" w:themeColor="text1"/>
          <w:sz w:val="22"/>
          <w:szCs w:val="22"/>
          <w:lang w:val="en-GB"/>
        </w:rPr>
        <w:t xml:space="preserve">integrated </w:t>
      </w:r>
      <w:proofErr w:type="spellStart"/>
      <w:r w:rsidRPr="00090CFD">
        <w:rPr>
          <w:rFonts w:asciiTheme="minorHAnsi" w:hAnsiTheme="minorHAnsi" w:cstheme="minorHAnsi"/>
          <w:color w:val="000000" w:themeColor="text1"/>
          <w:sz w:val="22"/>
          <w:szCs w:val="22"/>
          <w:lang w:val="en-GB"/>
        </w:rPr>
        <w:t>Tri</w:t>
      </w:r>
      <w:r>
        <w:rPr>
          <w:rFonts w:asciiTheme="minorHAnsi" w:hAnsiTheme="minorHAnsi" w:cstheme="minorHAnsi"/>
          <w:color w:val="000000" w:themeColor="text1"/>
          <w:sz w:val="22"/>
          <w:szCs w:val="22"/>
          <w:lang w:val="en-GB"/>
        </w:rPr>
        <w:t>C</w:t>
      </w:r>
      <w:r w:rsidRPr="00090CFD">
        <w:rPr>
          <w:rFonts w:asciiTheme="minorHAnsi" w:hAnsiTheme="minorHAnsi" w:cstheme="minorHAnsi"/>
          <w:color w:val="000000" w:themeColor="text1"/>
          <w:sz w:val="22"/>
          <w:szCs w:val="22"/>
          <w:lang w:val="en-GB"/>
        </w:rPr>
        <w:t>ycle</w:t>
      </w:r>
      <w:proofErr w:type="spellEnd"/>
      <w:r w:rsidRPr="00090CFD">
        <w:rPr>
          <w:rFonts w:asciiTheme="minorHAnsi" w:hAnsiTheme="minorHAnsi" w:cstheme="minorHAnsi"/>
          <w:color w:val="000000" w:themeColor="text1"/>
          <w:sz w:val="22"/>
          <w:szCs w:val="22"/>
          <w:lang w:val="en-GB"/>
        </w:rPr>
        <w:t xml:space="preserve"> module of </w:t>
      </w:r>
      <w:r>
        <w:rPr>
          <w:rFonts w:asciiTheme="minorHAnsi" w:hAnsiTheme="minorHAnsi" w:cstheme="minorHAnsi"/>
          <w:color w:val="000000" w:themeColor="text1"/>
          <w:sz w:val="22"/>
          <w:szCs w:val="22"/>
          <w:lang w:val="en-GB"/>
        </w:rPr>
        <w:t>extended-spectrum beta-lactamase (</w:t>
      </w:r>
      <w:r w:rsidRPr="00090CFD">
        <w:rPr>
          <w:rFonts w:asciiTheme="minorHAnsi" w:hAnsiTheme="minorHAnsi" w:cstheme="minorHAnsi"/>
          <w:color w:val="000000" w:themeColor="text1"/>
          <w:sz w:val="22"/>
          <w:szCs w:val="22"/>
          <w:lang w:val="en-GB"/>
        </w:rPr>
        <w:t>ESBL</w:t>
      </w:r>
      <w:r>
        <w:rPr>
          <w:rFonts w:asciiTheme="minorHAnsi" w:hAnsiTheme="minorHAnsi" w:cstheme="minorHAnsi"/>
          <w:color w:val="000000" w:themeColor="text1"/>
          <w:sz w:val="22"/>
          <w:szCs w:val="22"/>
          <w:lang w:val="en-GB"/>
        </w:rPr>
        <w:t>)–producing</w:t>
      </w:r>
      <w:r w:rsidRPr="00090CFD">
        <w:rPr>
          <w:rFonts w:asciiTheme="minorHAnsi" w:hAnsiTheme="minorHAnsi" w:cstheme="minorHAnsi"/>
          <w:color w:val="000000" w:themeColor="text1"/>
          <w:sz w:val="22"/>
          <w:szCs w:val="22"/>
          <w:lang w:val="en-GB"/>
        </w:rPr>
        <w:t xml:space="preserve"> </w:t>
      </w:r>
      <w:r w:rsidRPr="00090CFD">
        <w:rPr>
          <w:rFonts w:asciiTheme="minorHAnsi" w:hAnsiTheme="minorHAnsi" w:cstheme="minorHAnsi"/>
          <w:i/>
          <w:color w:val="000000" w:themeColor="text1"/>
          <w:sz w:val="22"/>
          <w:szCs w:val="22"/>
          <w:lang w:val="en-GB"/>
        </w:rPr>
        <w:t>E. coli</w:t>
      </w:r>
      <w:r>
        <w:rPr>
          <w:rFonts w:asciiTheme="minorHAnsi" w:hAnsiTheme="minorHAnsi" w:cstheme="minorHAnsi"/>
          <w:color w:val="000000" w:themeColor="text1"/>
          <w:sz w:val="22"/>
          <w:szCs w:val="22"/>
          <w:lang w:val="en-GB"/>
        </w:rPr>
        <w:t>,</w:t>
      </w:r>
      <w:r w:rsidRPr="00E00CFD">
        <w:rPr>
          <w:rFonts w:hAnsiTheme="minorHAnsi"/>
          <w:color w:val="000000"/>
          <w:sz w:val="22"/>
          <w:vertAlign w:val="superscript"/>
        </w:rPr>
        <w:t>31</w:t>
      </w:r>
      <w:r>
        <w:rPr>
          <w:rFonts w:asciiTheme="minorHAnsi" w:hAnsiTheme="minorHAnsi" w:cstheme="minorHAnsi"/>
          <w:color w:val="000000" w:themeColor="text1"/>
          <w:sz w:val="22"/>
          <w:szCs w:val="22"/>
          <w:lang w:val="en-GB"/>
        </w:rPr>
        <w:t xml:space="preserve"> which surveys the prevalence of these resistant bacteria in sick and healthy humans, livestock and food, and the environment. </w:t>
      </w:r>
      <w:proofErr w:type="spellStart"/>
      <w:r>
        <w:rPr>
          <w:rFonts w:asciiTheme="minorHAnsi" w:hAnsiTheme="minorHAnsi" w:cstheme="minorHAnsi"/>
          <w:color w:val="000000" w:themeColor="text1"/>
          <w:sz w:val="22"/>
          <w:szCs w:val="22"/>
          <w:lang w:val="en-GB"/>
        </w:rPr>
        <w:t>TriCycle</w:t>
      </w:r>
      <w:proofErr w:type="spellEnd"/>
      <w:r>
        <w:rPr>
          <w:rFonts w:asciiTheme="minorHAnsi" w:hAnsiTheme="minorHAnsi" w:cstheme="minorHAnsi"/>
          <w:color w:val="000000" w:themeColor="text1"/>
          <w:sz w:val="22"/>
          <w:szCs w:val="22"/>
          <w:lang w:val="en-GB"/>
        </w:rPr>
        <w:t xml:space="preserve"> was </w:t>
      </w:r>
      <w:r w:rsidRPr="00090CFD">
        <w:rPr>
          <w:rFonts w:asciiTheme="minorHAnsi" w:hAnsiTheme="minorHAnsi" w:cstheme="minorHAnsi"/>
          <w:color w:val="000000" w:themeColor="text1"/>
          <w:sz w:val="22"/>
          <w:szCs w:val="22"/>
          <w:lang w:val="en-GB"/>
        </w:rPr>
        <w:t>developed by WHO</w:t>
      </w:r>
      <w:r>
        <w:rPr>
          <w:rFonts w:asciiTheme="minorHAnsi" w:hAnsiTheme="minorHAnsi" w:cstheme="minorHAnsi"/>
          <w:color w:val="000000" w:themeColor="text1"/>
          <w:sz w:val="22"/>
          <w:szCs w:val="22"/>
          <w:lang w:val="en-GB"/>
        </w:rPr>
        <w:t>,</w:t>
      </w:r>
      <w:r w:rsidRPr="00090CFD">
        <w:rPr>
          <w:rFonts w:asciiTheme="minorHAnsi" w:hAnsiTheme="minorHAnsi" w:cstheme="minorHAnsi"/>
          <w:color w:val="000000" w:themeColor="text1"/>
          <w:sz w:val="22"/>
          <w:szCs w:val="22"/>
          <w:lang w:val="en-GB"/>
        </w:rPr>
        <w:t xml:space="preserve"> in collaboration </w:t>
      </w:r>
      <w:r>
        <w:rPr>
          <w:rFonts w:asciiTheme="minorHAnsi" w:hAnsiTheme="minorHAnsi" w:cstheme="minorHAnsi"/>
          <w:color w:val="000000" w:themeColor="text1"/>
          <w:sz w:val="22"/>
          <w:szCs w:val="22"/>
          <w:lang w:val="en-GB"/>
        </w:rPr>
        <w:t xml:space="preserve">with </w:t>
      </w:r>
      <w:r w:rsidRPr="00090CFD">
        <w:rPr>
          <w:rFonts w:asciiTheme="minorHAnsi" w:hAnsiTheme="minorHAnsi" w:cstheme="minorHAnsi"/>
          <w:color w:val="000000" w:themeColor="text1"/>
          <w:sz w:val="22"/>
          <w:szCs w:val="22"/>
          <w:lang w:val="en-GB"/>
        </w:rPr>
        <w:t xml:space="preserve">WOAH and FAO. </w:t>
      </w:r>
    </w:p>
    <w:p w14:paraId="62E99454" w14:textId="77777777" w:rsidR="00400FDA" w:rsidRPr="001C0420" w:rsidRDefault="00400FDA" w:rsidP="00400FDA">
      <w:pPr>
        <w:rPr>
          <w:rFonts w:asciiTheme="minorHAnsi" w:hAnsiTheme="minorHAnsi" w:cstheme="minorHAnsi"/>
          <w:bCs/>
          <w:color w:val="000000" w:themeColor="text1"/>
          <w:sz w:val="22"/>
          <w:szCs w:val="22"/>
          <w:lang w:val="en-GB"/>
        </w:rPr>
      </w:pPr>
    </w:p>
    <w:p w14:paraId="1228F737" w14:textId="29860F9E" w:rsidR="008F3ED8" w:rsidRDefault="008F3ED8" w:rsidP="00F95D64">
      <w:pPr>
        <w:rPr>
          <w:rFonts w:asciiTheme="minorHAnsi" w:eastAsia="Arial" w:hAnsiTheme="minorHAnsi" w:cstheme="minorHAnsi"/>
          <w:color w:val="000000" w:themeColor="text1"/>
          <w:sz w:val="22"/>
          <w:szCs w:val="22"/>
          <w:lang w:val="en-GB"/>
        </w:rPr>
      </w:pPr>
    </w:p>
    <w:p w14:paraId="6EFB736A" w14:textId="77777777" w:rsidR="008F3ED8" w:rsidRPr="00C37A4D" w:rsidRDefault="008F3ED8" w:rsidP="00F95D64">
      <w:pPr>
        <w:rPr>
          <w:rFonts w:asciiTheme="minorHAnsi" w:eastAsia="Arial" w:hAnsiTheme="minorHAnsi" w:cstheme="minorHAnsi"/>
          <w:color w:val="000000" w:themeColor="text1"/>
          <w:sz w:val="22"/>
          <w:szCs w:val="22"/>
          <w:lang w:val="en-GB"/>
        </w:rPr>
      </w:pPr>
    </w:p>
    <w:p w14:paraId="6132FFB3" w14:textId="6C9853B5" w:rsidR="00683A19" w:rsidRDefault="00683A19">
      <w:pPr>
        <w:rPr>
          <w:rFonts w:asciiTheme="minorHAnsi" w:eastAsia="Arial" w:hAnsiTheme="minorHAnsi" w:cstheme="minorHAnsi"/>
          <w:color w:val="000000" w:themeColor="text1"/>
          <w:sz w:val="22"/>
          <w:szCs w:val="22"/>
          <w:lang w:val="en-GB"/>
        </w:rPr>
      </w:pPr>
      <w:r w:rsidRPr="00C37A4D">
        <w:rPr>
          <w:rFonts w:asciiTheme="minorHAnsi" w:eastAsia="Arial" w:hAnsiTheme="minorHAnsi" w:cstheme="minorHAnsi"/>
          <w:color w:val="000000" w:themeColor="text1"/>
          <w:sz w:val="22"/>
          <w:szCs w:val="22"/>
          <w:lang w:val="en-GB"/>
        </w:rPr>
        <w:br w:type="page"/>
      </w:r>
    </w:p>
    <w:p w14:paraId="63DD1A0F" w14:textId="77777777" w:rsidR="00AB7DD1" w:rsidRPr="00C37A4D" w:rsidRDefault="00AB7DD1" w:rsidP="00AB7DD1">
      <w:pPr>
        <w:pBdr>
          <w:top w:val="single" w:sz="4" w:space="1" w:color="auto"/>
          <w:left w:val="single" w:sz="4" w:space="4" w:color="auto"/>
          <w:bottom w:val="single" w:sz="4" w:space="1" w:color="auto"/>
          <w:right w:val="single" w:sz="4" w:space="4" w:color="auto"/>
        </w:pBdr>
        <w:rPr>
          <w:rFonts w:asciiTheme="minorHAnsi" w:eastAsia="Arial" w:hAnsiTheme="minorHAnsi" w:cstheme="minorHAnsi"/>
          <w:b/>
          <w:bCs/>
          <w:color w:val="000000" w:themeColor="text1"/>
          <w:sz w:val="22"/>
          <w:szCs w:val="22"/>
          <w:lang w:val="en-GB"/>
        </w:rPr>
      </w:pPr>
      <w:r w:rsidRPr="00C37A4D">
        <w:rPr>
          <w:rFonts w:asciiTheme="minorHAnsi" w:eastAsia="Arial" w:hAnsiTheme="minorHAnsi" w:cstheme="minorHAnsi"/>
          <w:b/>
          <w:bCs/>
          <w:color w:val="000000" w:themeColor="text1"/>
          <w:sz w:val="22"/>
          <w:szCs w:val="22"/>
          <w:lang w:val="en-GB"/>
        </w:rPr>
        <w:lastRenderedPageBreak/>
        <w:t xml:space="preserve">Panel </w:t>
      </w:r>
      <w:r>
        <w:rPr>
          <w:rFonts w:asciiTheme="minorHAnsi" w:eastAsia="Arial" w:hAnsiTheme="minorHAnsi" w:cstheme="minorHAnsi"/>
          <w:b/>
          <w:bCs/>
          <w:color w:val="000000" w:themeColor="text1"/>
          <w:sz w:val="22"/>
          <w:szCs w:val="22"/>
          <w:lang w:val="en-GB"/>
        </w:rPr>
        <w:t>2.</w:t>
      </w:r>
      <w:r w:rsidRPr="00C37A4D">
        <w:rPr>
          <w:rFonts w:asciiTheme="minorHAnsi" w:eastAsia="Arial" w:hAnsiTheme="minorHAnsi" w:cstheme="minorHAnsi"/>
          <w:b/>
          <w:bCs/>
          <w:color w:val="000000" w:themeColor="text1"/>
          <w:sz w:val="22"/>
          <w:szCs w:val="22"/>
          <w:lang w:val="en-GB"/>
        </w:rPr>
        <w:t xml:space="preserve"> AWaRe: A traffic light approach to antibiotic use</w:t>
      </w:r>
    </w:p>
    <w:p w14:paraId="343DA54A" w14:textId="77777777" w:rsidR="00AB7DD1" w:rsidRPr="00C37A4D" w:rsidRDefault="00AB7DD1" w:rsidP="00AB7DD1">
      <w:pPr>
        <w:pBdr>
          <w:top w:val="single" w:sz="4" w:space="1" w:color="auto"/>
          <w:left w:val="single" w:sz="4" w:space="4" w:color="auto"/>
          <w:bottom w:val="single" w:sz="4" w:space="1" w:color="auto"/>
          <w:right w:val="single" w:sz="4" w:space="4" w:color="auto"/>
        </w:pBdr>
        <w:rPr>
          <w:rFonts w:asciiTheme="minorHAnsi" w:eastAsia="Arial" w:hAnsiTheme="minorHAnsi" w:cstheme="minorHAnsi"/>
          <w:color w:val="000000" w:themeColor="text1"/>
          <w:sz w:val="22"/>
          <w:szCs w:val="22"/>
          <w:lang w:val="en-GB"/>
        </w:rPr>
      </w:pPr>
      <w:r w:rsidRPr="00C37A4D">
        <w:rPr>
          <w:rFonts w:asciiTheme="minorHAnsi" w:eastAsia="Arial" w:hAnsiTheme="minorHAnsi" w:cstheme="minorHAnsi"/>
          <w:color w:val="000000" w:themeColor="text1"/>
          <w:sz w:val="22"/>
          <w:szCs w:val="22"/>
          <w:lang w:val="en-GB"/>
        </w:rPr>
        <w:t>In 2017</w:t>
      </w:r>
      <w:r>
        <w:rPr>
          <w:rFonts w:asciiTheme="minorHAnsi" w:eastAsia="Arial" w:hAnsiTheme="minorHAnsi" w:cstheme="minorHAnsi"/>
          <w:color w:val="000000" w:themeColor="text1"/>
          <w:sz w:val="22"/>
          <w:szCs w:val="22"/>
          <w:lang w:val="en-GB"/>
        </w:rPr>
        <w:t>,</w:t>
      </w:r>
      <w:r w:rsidRPr="00C37A4D">
        <w:rPr>
          <w:rFonts w:asciiTheme="minorHAnsi" w:eastAsia="Arial" w:hAnsiTheme="minorHAnsi" w:cstheme="minorHAnsi"/>
          <w:color w:val="000000" w:themeColor="text1"/>
          <w:sz w:val="22"/>
          <w:szCs w:val="22"/>
          <w:lang w:val="en-GB"/>
        </w:rPr>
        <w:t xml:space="preserve"> the WHO developed the AWaRe system for categorising the more than 250 antibiotics used in humans according to their clinical efficacy, safety, selection of resistance or impact on microbiome, and cost</w:t>
      </w:r>
      <w:r w:rsidRPr="002F3C87">
        <w:rPr>
          <w:rFonts w:asciiTheme="minorHAnsi" w:eastAsia="Arial" w:hAnsiTheme="minorHAnsi" w:cstheme="minorHAnsi"/>
          <w:color w:val="000000" w:themeColor="text1"/>
          <w:sz w:val="22"/>
          <w:szCs w:val="22"/>
          <w:lang w:val="en-GB"/>
        </w:rPr>
        <w:t xml:space="preserve">. </w:t>
      </w:r>
      <w:r>
        <w:rPr>
          <w:rFonts w:asciiTheme="minorHAnsi" w:eastAsia="Arial" w:hAnsiTheme="minorHAnsi" w:cstheme="minorHAnsi"/>
          <w:color w:val="000000" w:themeColor="text1"/>
          <w:sz w:val="22"/>
          <w:szCs w:val="22"/>
          <w:lang w:val="en-GB"/>
        </w:rPr>
        <w:t>“</w:t>
      </w:r>
      <w:r w:rsidRPr="00FC26A6">
        <w:rPr>
          <w:rFonts w:asciiTheme="minorHAnsi" w:eastAsia="Arial" w:hAnsiTheme="minorHAnsi" w:cstheme="minorHAnsi"/>
          <w:color w:val="000000" w:themeColor="text1"/>
          <w:sz w:val="22"/>
          <w:szCs w:val="22"/>
          <w:lang w:val="en-GB"/>
        </w:rPr>
        <w:t>Access</w:t>
      </w:r>
      <w:r>
        <w:rPr>
          <w:rFonts w:asciiTheme="minorHAnsi" w:eastAsia="Arial" w:hAnsiTheme="minorHAnsi" w:cstheme="minorHAnsi"/>
          <w:color w:val="000000" w:themeColor="text1"/>
          <w:sz w:val="22"/>
          <w:szCs w:val="22"/>
          <w:lang w:val="en-GB"/>
        </w:rPr>
        <w:t>”</w:t>
      </w:r>
      <w:r w:rsidRPr="00FC26A6">
        <w:rPr>
          <w:rFonts w:asciiTheme="minorHAnsi" w:eastAsia="Arial" w:hAnsiTheme="minorHAnsi" w:cstheme="minorHAnsi"/>
          <w:color w:val="000000" w:themeColor="text1"/>
          <w:sz w:val="22"/>
          <w:szCs w:val="22"/>
          <w:lang w:val="en-GB"/>
        </w:rPr>
        <w:t xml:space="preserve"> </w:t>
      </w:r>
      <w:r w:rsidRPr="002F3C87">
        <w:rPr>
          <w:rFonts w:asciiTheme="minorHAnsi" w:eastAsia="Arial" w:hAnsiTheme="minorHAnsi" w:cstheme="minorHAnsi"/>
          <w:color w:val="000000" w:themeColor="text1"/>
          <w:sz w:val="22"/>
          <w:szCs w:val="22"/>
          <w:lang w:val="en-GB"/>
        </w:rPr>
        <w:t>antibiotics (e.g.</w:t>
      </w:r>
      <w:r>
        <w:rPr>
          <w:rFonts w:asciiTheme="minorHAnsi" w:eastAsia="Arial" w:hAnsiTheme="minorHAnsi" w:cstheme="minorHAnsi"/>
          <w:color w:val="000000" w:themeColor="text1"/>
          <w:sz w:val="22"/>
          <w:szCs w:val="22"/>
          <w:lang w:val="en-GB"/>
        </w:rPr>
        <w:t>,</w:t>
      </w:r>
      <w:r w:rsidRPr="002F3C87">
        <w:rPr>
          <w:rFonts w:asciiTheme="minorHAnsi" w:eastAsia="Arial" w:hAnsiTheme="minorHAnsi" w:cstheme="minorHAnsi"/>
          <w:color w:val="000000" w:themeColor="text1"/>
          <w:sz w:val="22"/>
          <w:szCs w:val="22"/>
          <w:lang w:val="en-GB"/>
        </w:rPr>
        <w:t xml:space="preserve"> </w:t>
      </w:r>
      <w:r>
        <w:rPr>
          <w:rFonts w:asciiTheme="minorHAnsi" w:eastAsia="Arial" w:hAnsiTheme="minorHAnsi" w:cstheme="minorHAnsi"/>
          <w:color w:val="000000" w:themeColor="text1"/>
          <w:sz w:val="22"/>
          <w:szCs w:val="22"/>
          <w:lang w:val="en-GB"/>
        </w:rPr>
        <w:t>amoxicillin</w:t>
      </w:r>
      <w:r w:rsidRPr="002F3C87">
        <w:rPr>
          <w:rFonts w:asciiTheme="minorHAnsi" w:eastAsia="Arial" w:hAnsiTheme="minorHAnsi" w:cstheme="minorHAnsi"/>
          <w:color w:val="000000" w:themeColor="text1"/>
          <w:sz w:val="22"/>
          <w:szCs w:val="22"/>
          <w:lang w:val="en-GB"/>
        </w:rPr>
        <w:t xml:space="preserve">) are generally older, often narrow-spectrum </w:t>
      </w:r>
      <w:r>
        <w:rPr>
          <w:rFonts w:asciiTheme="minorHAnsi" w:eastAsia="Arial" w:hAnsiTheme="minorHAnsi" w:cstheme="minorHAnsi"/>
          <w:color w:val="000000" w:themeColor="text1"/>
          <w:sz w:val="22"/>
          <w:szCs w:val="22"/>
          <w:lang w:val="en-GB"/>
        </w:rPr>
        <w:t>drugs</w:t>
      </w:r>
      <w:r w:rsidRPr="002F3C87">
        <w:rPr>
          <w:rFonts w:asciiTheme="minorHAnsi" w:eastAsia="Arial" w:hAnsiTheme="minorHAnsi" w:cstheme="minorHAnsi"/>
          <w:color w:val="000000" w:themeColor="text1"/>
          <w:sz w:val="22"/>
          <w:szCs w:val="22"/>
          <w:lang w:val="en-GB"/>
        </w:rPr>
        <w:t xml:space="preserve"> that are still effective in treating common infections</w:t>
      </w:r>
      <w:r>
        <w:rPr>
          <w:rFonts w:asciiTheme="minorHAnsi" w:eastAsia="Arial" w:hAnsiTheme="minorHAnsi" w:cstheme="minorHAnsi"/>
          <w:color w:val="000000" w:themeColor="text1"/>
          <w:sz w:val="22"/>
          <w:szCs w:val="22"/>
          <w:lang w:val="en-GB"/>
        </w:rPr>
        <w:t>,</w:t>
      </w:r>
      <w:r w:rsidRPr="002F3C87">
        <w:rPr>
          <w:rFonts w:asciiTheme="minorHAnsi" w:eastAsia="Arial" w:hAnsiTheme="minorHAnsi" w:cstheme="minorHAnsi"/>
          <w:color w:val="000000" w:themeColor="text1"/>
          <w:sz w:val="22"/>
          <w:szCs w:val="22"/>
          <w:lang w:val="en-GB"/>
        </w:rPr>
        <w:t xml:space="preserve"> particularly in primary care. They have a good safety profile and are inexpensive (where widely available). </w:t>
      </w:r>
      <w:r>
        <w:rPr>
          <w:rFonts w:asciiTheme="minorHAnsi" w:eastAsia="Arial" w:hAnsiTheme="minorHAnsi" w:cstheme="minorHAnsi"/>
          <w:color w:val="000000" w:themeColor="text1"/>
          <w:sz w:val="22"/>
          <w:szCs w:val="22"/>
          <w:lang w:val="en-GB"/>
        </w:rPr>
        <w:t>“</w:t>
      </w:r>
      <w:r w:rsidRPr="00FF09EB">
        <w:rPr>
          <w:rFonts w:asciiTheme="minorHAnsi" w:eastAsia="Arial" w:hAnsiTheme="minorHAnsi" w:cstheme="minorHAnsi"/>
          <w:color w:val="000000" w:themeColor="text1"/>
          <w:sz w:val="22"/>
          <w:szCs w:val="22"/>
          <w:lang w:val="en-GB"/>
        </w:rPr>
        <w:t>Watch</w:t>
      </w:r>
      <w:r>
        <w:rPr>
          <w:rFonts w:asciiTheme="minorHAnsi" w:eastAsia="Arial" w:hAnsiTheme="minorHAnsi" w:cstheme="minorHAnsi"/>
          <w:color w:val="000000" w:themeColor="text1"/>
          <w:sz w:val="22"/>
          <w:szCs w:val="22"/>
          <w:lang w:val="en-GB"/>
        </w:rPr>
        <w:t>”</w:t>
      </w:r>
      <w:r w:rsidRPr="002F3C87">
        <w:rPr>
          <w:rFonts w:asciiTheme="minorHAnsi" w:eastAsia="Arial" w:hAnsiTheme="minorHAnsi" w:cstheme="minorHAnsi"/>
          <w:color w:val="000000" w:themeColor="text1"/>
          <w:sz w:val="22"/>
          <w:szCs w:val="22"/>
          <w:lang w:val="en-GB"/>
        </w:rPr>
        <w:t xml:space="preserve"> antibiotics (e.g.</w:t>
      </w:r>
      <w:r>
        <w:rPr>
          <w:rFonts w:asciiTheme="minorHAnsi" w:eastAsia="Arial" w:hAnsiTheme="minorHAnsi" w:cstheme="minorHAnsi"/>
          <w:color w:val="000000" w:themeColor="text1"/>
          <w:sz w:val="22"/>
          <w:szCs w:val="22"/>
          <w:lang w:val="en-GB"/>
        </w:rPr>
        <w:t>,</w:t>
      </w:r>
      <w:r w:rsidRPr="002F3C87">
        <w:rPr>
          <w:rFonts w:asciiTheme="minorHAnsi" w:eastAsia="Arial" w:hAnsiTheme="minorHAnsi" w:cstheme="minorHAnsi"/>
          <w:color w:val="000000" w:themeColor="text1"/>
          <w:sz w:val="22"/>
          <w:szCs w:val="22"/>
          <w:lang w:val="en-GB"/>
        </w:rPr>
        <w:t xml:space="preserve"> </w:t>
      </w:r>
      <w:proofErr w:type="gramStart"/>
      <w:r w:rsidRPr="002F3C87">
        <w:rPr>
          <w:rFonts w:asciiTheme="minorHAnsi" w:eastAsia="Arial" w:hAnsiTheme="minorHAnsi" w:cstheme="minorHAnsi"/>
          <w:color w:val="000000" w:themeColor="text1"/>
          <w:sz w:val="22"/>
          <w:szCs w:val="22"/>
          <w:lang w:val="en-GB"/>
        </w:rPr>
        <w:t>third-generation</w:t>
      </w:r>
      <w:proofErr w:type="gramEnd"/>
      <w:r w:rsidRPr="002F3C87">
        <w:rPr>
          <w:rFonts w:asciiTheme="minorHAnsi" w:eastAsia="Arial" w:hAnsiTheme="minorHAnsi" w:cstheme="minorHAnsi"/>
          <w:color w:val="000000" w:themeColor="text1"/>
          <w:sz w:val="22"/>
          <w:szCs w:val="22"/>
          <w:lang w:val="en-GB"/>
        </w:rPr>
        <w:t xml:space="preserve"> cephalosporins) have a broader spectrum of activity against resistant organisms, are still widely effective against more severe infections in hospitals, generally are more likely to select for resistance</w:t>
      </w:r>
      <w:r>
        <w:rPr>
          <w:rFonts w:asciiTheme="minorHAnsi" w:eastAsia="Arial" w:hAnsiTheme="minorHAnsi" w:cstheme="minorHAnsi"/>
          <w:color w:val="000000" w:themeColor="text1"/>
          <w:sz w:val="22"/>
          <w:szCs w:val="22"/>
          <w:lang w:val="en-GB"/>
        </w:rPr>
        <w:t>,</w:t>
      </w:r>
      <w:r w:rsidRPr="002F3C87">
        <w:rPr>
          <w:rFonts w:asciiTheme="minorHAnsi" w:eastAsia="Arial" w:hAnsiTheme="minorHAnsi" w:cstheme="minorHAnsi"/>
          <w:color w:val="000000" w:themeColor="text1"/>
          <w:sz w:val="22"/>
          <w:szCs w:val="22"/>
          <w:lang w:val="en-GB"/>
        </w:rPr>
        <w:t xml:space="preserve"> and typically have higher toxicity and higher cost. </w:t>
      </w:r>
      <w:r>
        <w:rPr>
          <w:rFonts w:asciiTheme="minorHAnsi" w:eastAsia="Arial" w:hAnsiTheme="minorHAnsi" w:cstheme="minorHAnsi"/>
          <w:color w:val="000000" w:themeColor="text1"/>
          <w:sz w:val="22"/>
          <w:szCs w:val="22"/>
          <w:lang w:val="en-GB"/>
        </w:rPr>
        <w:t>“</w:t>
      </w:r>
      <w:r w:rsidRPr="007055E0">
        <w:rPr>
          <w:rFonts w:asciiTheme="minorHAnsi" w:eastAsia="Arial" w:hAnsiTheme="minorHAnsi" w:cstheme="minorHAnsi"/>
          <w:color w:val="000000" w:themeColor="text1"/>
          <w:sz w:val="22"/>
          <w:szCs w:val="22"/>
          <w:lang w:val="en-GB"/>
        </w:rPr>
        <w:t>Reserve</w:t>
      </w:r>
      <w:r>
        <w:rPr>
          <w:rFonts w:asciiTheme="minorHAnsi" w:eastAsia="Arial" w:hAnsiTheme="minorHAnsi" w:cstheme="minorHAnsi"/>
          <w:color w:val="000000" w:themeColor="text1"/>
          <w:sz w:val="22"/>
          <w:szCs w:val="22"/>
          <w:lang w:val="en-GB"/>
        </w:rPr>
        <w:t>”</w:t>
      </w:r>
      <w:r w:rsidRPr="00C37A4D">
        <w:rPr>
          <w:rFonts w:asciiTheme="minorHAnsi" w:eastAsia="Arial" w:hAnsiTheme="minorHAnsi" w:cstheme="minorHAnsi"/>
          <w:color w:val="000000" w:themeColor="text1"/>
          <w:sz w:val="22"/>
          <w:szCs w:val="22"/>
          <w:lang w:val="en-GB"/>
        </w:rPr>
        <w:t xml:space="preserve"> antibiotics (e.g.</w:t>
      </w:r>
      <w:r>
        <w:rPr>
          <w:rFonts w:asciiTheme="minorHAnsi" w:eastAsia="Arial" w:hAnsiTheme="minorHAnsi" w:cstheme="minorHAnsi"/>
          <w:color w:val="000000" w:themeColor="text1"/>
          <w:sz w:val="22"/>
          <w:szCs w:val="22"/>
          <w:lang w:val="en-GB"/>
        </w:rPr>
        <w:t>,</w:t>
      </w:r>
      <w:r w:rsidRPr="00C37A4D">
        <w:rPr>
          <w:rFonts w:asciiTheme="minorHAnsi" w:eastAsia="Arial" w:hAnsiTheme="minorHAnsi" w:cstheme="minorHAnsi"/>
          <w:color w:val="000000" w:themeColor="text1"/>
          <w:sz w:val="22"/>
          <w:szCs w:val="22"/>
          <w:lang w:val="en-GB"/>
        </w:rPr>
        <w:t xml:space="preserve"> colistin) are used as a last resort to treat multidrug-resistant infections in severely ill patients. The WHO Essential Medicines List (EML) includes about 30 Access and Watch antibiotics and 10 in the Reserve class. The WHO recently added a Not Recommended category of antibiotics, mainly inappropriate fixed-dose combinations.</w:t>
      </w:r>
    </w:p>
    <w:p w14:paraId="3BFADAAE" w14:textId="77777777" w:rsidR="00AB7DD1" w:rsidRPr="00C37A4D" w:rsidRDefault="00AB7DD1" w:rsidP="00AB7DD1">
      <w:pPr>
        <w:pBdr>
          <w:top w:val="single" w:sz="4" w:space="1" w:color="auto"/>
          <w:left w:val="single" w:sz="4" w:space="4" w:color="auto"/>
          <w:bottom w:val="single" w:sz="4" w:space="1" w:color="auto"/>
          <w:right w:val="single" w:sz="4" w:space="4" w:color="auto"/>
        </w:pBdr>
        <w:rPr>
          <w:rFonts w:asciiTheme="minorHAnsi" w:eastAsia="Arial" w:hAnsiTheme="minorHAnsi" w:cstheme="minorHAnsi"/>
          <w:color w:val="000000" w:themeColor="text1"/>
          <w:sz w:val="22"/>
          <w:szCs w:val="22"/>
          <w:lang w:val="en-GB"/>
        </w:rPr>
      </w:pPr>
    </w:p>
    <w:p w14:paraId="21A4140A" w14:textId="77777777" w:rsidR="00AB7DD1" w:rsidRPr="00C37A4D" w:rsidRDefault="00AB7DD1" w:rsidP="00AB7DD1">
      <w:pPr>
        <w:pBdr>
          <w:top w:val="single" w:sz="4" w:space="1" w:color="auto"/>
          <w:left w:val="single" w:sz="4" w:space="4" w:color="auto"/>
          <w:bottom w:val="single" w:sz="4" w:space="1" w:color="auto"/>
          <w:right w:val="single" w:sz="4" w:space="4" w:color="auto"/>
        </w:pBdr>
        <w:rPr>
          <w:rFonts w:asciiTheme="minorHAnsi" w:eastAsia="Arial" w:hAnsiTheme="minorHAnsi" w:cstheme="minorHAnsi"/>
          <w:color w:val="000000" w:themeColor="text1"/>
          <w:sz w:val="22"/>
          <w:szCs w:val="22"/>
          <w:lang w:val="en-GB"/>
        </w:rPr>
      </w:pPr>
      <w:r>
        <w:rPr>
          <w:rFonts w:asciiTheme="minorHAnsi" w:eastAsia="Arial" w:hAnsiTheme="minorHAnsi" w:cstheme="minorHAnsi"/>
          <w:color w:val="000000" w:themeColor="text1"/>
          <w:sz w:val="22"/>
          <w:szCs w:val="22"/>
          <w:lang w:val="en-GB"/>
        </w:rPr>
        <w:t>T</w:t>
      </w:r>
      <w:r w:rsidRPr="00C37A4D">
        <w:rPr>
          <w:rFonts w:asciiTheme="minorHAnsi" w:eastAsia="Arial" w:hAnsiTheme="minorHAnsi" w:cstheme="minorHAnsi"/>
          <w:color w:val="000000" w:themeColor="text1"/>
          <w:sz w:val="22"/>
          <w:szCs w:val="22"/>
          <w:lang w:val="en-GB"/>
        </w:rPr>
        <w:t>he WHO</w:t>
      </w:r>
      <w:r>
        <w:rPr>
          <w:rFonts w:asciiTheme="minorHAnsi" w:eastAsia="Arial" w:hAnsiTheme="minorHAnsi" w:cstheme="minorHAnsi"/>
          <w:color w:val="000000" w:themeColor="text1"/>
          <w:sz w:val="22"/>
          <w:szCs w:val="22"/>
          <w:lang w:val="en-GB"/>
        </w:rPr>
        <w:t xml:space="preserve"> 2022</w:t>
      </w:r>
      <w:r w:rsidRPr="00C37A4D">
        <w:rPr>
          <w:rFonts w:asciiTheme="minorHAnsi" w:eastAsia="Arial" w:hAnsiTheme="minorHAnsi" w:cstheme="minorHAnsi"/>
          <w:color w:val="000000" w:themeColor="text1"/>
          <w:sz w:val="22"/>
          <w:szCs w:val="22"/>
          <w:lang w:val="en-GB"/>
        </w:rPr>
        <w:t xml:space="preserve"> EML </w:t>
      </w:r>
      <w:r w:rsidRPr="0066136A">
        <w:rPr>
          <w:rFonts w:asciiTheme="minorHAnsi" w:eastAsia="Arial" w:hAnsiTheme="minorHAnsi" w:cstheme="minorHAnsi"/>
          <w:color w:val="000000" w:themeColor="text1"/>
          <w:sz w:val="22"/>
          <w:szCs w:val="22"/>
          <w:lang w:val="en-GB"/>
        </w:rPr>
        <w:t>AWaRe Book</w:t>
      </w:r>
      <w:r w:rsidRPr="00C37A4D">
        <w:rPr>
          <w:rFonts w:asciiTheme="minorHAnsi" w:eastAsia="Arial" w:hAnsiTheme="minorHAnsi" w:cstheme="minorHAnsi"/>
          <w:color w:val="000000" w:themeColor="text1"/>
          <w:sz w:val="22"/>
          <w:szCs w:val="22"/>
          <w:lang w:val="en-GB"/>
        </w:rPr>
        <w:t xml:space="preserve"> </w:t>
      </w:r>
      <w:r>
        <w:rPr>
          <w:rFonts w:asciiTheme="minorHAnsi" w:eastAsia="Arial" w:hAnsiTheme="minorHAnsi" w:cstheme="minorHAnsi"/>
          <w:color w:val="000000" w:themeColor="text1"/>
          <w:sz w:val="22"/>
          <w:szCs w:val="22"/>
          <w:lang w:val="en-GB"/>
        </w:rPr>
        <w:t xml:space="preserve">guides </w:t>
      </w:r>
      <w:r w:rsidRPr="00C37A4D">
        <w:rPr>
          <w:rFonts w:asciiTheme="minorHAnsi" w:eastAsia="Arial" w:hAnsiTheme="minorHAnsi" w:cstheme="minorHAnsi"/>
          <w:color w:val="000000" w:themeColor="text1"/>
          <w:sz w:val="22"/>
          <w:szCs w:val="22"/>
          <w:lang w:val="en-GB"/>
        </w:rPr>
        <w:t>on the optimal choice of drug, dose</w:t>
      </w:r>
      <w:r>
        <w:rPr>
          <w:rFonts w:asciiTheme="minorHAnsi" w:eastAsia="Arial" w:hAnsiTheme="minorHAnsi" w:cstheme="minorHAnsi"/>
          <w:color w:val="000000" w:themeColor="text1"/>
          <w:sz w:val="22"/>
          <w:szCs w:val="22"/>
          <w:lang w:val="en-GB"/>
        </w:rPr>
        <w:t>,</w:t>
      </w:r>
      <w:r w:rsidRPr="00C37A4D">
        <w:rPr>
          <w:rFonts w:asciiTheme="minorHAnsi" w:eastAsia="Arial" w:hAnsiTheme="minorHAnsi" w:cstheme="minorHAnsi"/>
          <w:color w:val="000000" w:themeColor="text1"/>
          <w:sz w:val="22"/>
          <w:szCs w:val="22"/>
          <w:lang w:val="en-GB"/>
        </w:rPr>
        <w:t xml:space="preserve"> and duration for about 35 common infections in adults and children in primary care and hospital settings, with a strong universal healthcare focus.</w:t>
      </w:r>
      <w:r w:rsidRPr="00E00CFD">
        <w:rPr>
          <w:rFonts w:hAnsiTheme="minorHAnsi"/>
          <w:color w:val="000000"/>
          <w:sz w:val="22"/>
          <w:vertAlign w:val="superscript"/>
        </w:rPr>
        <w:t>129</w:t>
      </w:r>
      <w:r w:rsidRPr="00C37A4D">
        <w:rPr>
          <w:rFonts w:asciiTheme="minorHAnsi" w:eastAsia="Arial" w:hAnsiTheme="minorHAnsi" w:cstheme="minorHAnsi"/>
          <w:color w:val="000000" w:themeColor="text1"/>
          <w:sz w:val="22"/>
          <w:szCs w:val="22"/>
          <w:lang w:val="en-GB"/>
        </w:rPr>
        <w:t xml:space="preserve"> The recommendations now underpin the development of future policy goals. For example, Access antibiotics (most commonly amoxicillin) are the first-choice recommendation for 90% of the most common infections seen in primary care. The </w:t>
      </w:r>
      <w:r w:rsidRPr="0066136A">
        <w:rPr>
          <w:rFonts w:asciiTheme="minorHAnsi" w:eastAsia="Arial" w:hAnsiTheme="minorHAnsi" w:cstheme="minorHAnsi"/>
          <w:color w:val="000000" w:themeColor="text1"/>
          <w:sz w:val="22"/>
          <w:szCs w:val="22"/>
          <w:lang w:val="en-GB"/>
        </w:rPr>
        <w:t>AWaRe Book</w:t>
      </w:r>
      <w:r w:rsidRPr="00C37A4D">
        <w:rPr>
          <w:rFonts w:asciiTheme="minorHAnsi" w:eastAsia="Arial" w:hAnsiTheme="minorHAnsi" w:cstheme="minorHAnsi"/>
          <w:color w:val="000000" w:themeColor="text1"/>
          <w:sz w:val="22"/>
          <w:szCs w:val="22"/>
          <w:lang w:val="en-GB"/>
        </w:rPr>
        <w:t xml:space="preserve"> also takes a risk-based approach, giving guidance on when an antibiotic is not recommended, usually for minor respiratory infections. AWaRe-based quality indicators, quality metrics, and educational and stewardship interventions have been developed. </w:t>
      </w:r>
      <w:r>
        <w:rPr>
          <w:rFonts w:asciiTheme="minorHAnsi" w:eastAsia="Arial" w:hAnsiTheme="minorHAnsi" w:cstheme="minorHAnsi"/>
          <w:color w:val="000000" w:themeColor="text1"/>
          <w:sz w:val="22"/>
          <w:szCs w:val="22"/>
          <w:lang w:val="en-GB"/>
        </w:rPr>
        <w:t xml:space="preserve">The </w:t>
      </w:r>
      <w:r w:rsidRPr="00C37A4D">
        <w:rPr>
          <w:rFonts w:asciiTheme="minorHAnsi" w:eastAsia="Arial" w:hAnsiTheme="minorHAnsi" w:cstheme="minorHAnsi"/>
          <w:color w:val="000000" w:themeColor="text1"/>
          <w:sz w:val="22"/>
          <w:szCs w:val="22"/>
          <w:lang w:val="en-GB"/>
        </w:rPr>
        <w:t>AWaRe system</w:t>
      </w:r>
      <w:r>
        <w:rPr>
          <w:rFonts w:asciiTheme="minorHAnsi" w:eastAsia="Arial" w:hAnsiTheme="minorHAnsi" w:cstheme="minorHAnsi"/>
          <w:color w:val="000000" w:themeColor="text1"/>
          <w:sz w:val="22"/>
          <w:szCs w:val="22"/>
          <w:lang w:val="en-GB"/>
        </w:rPr>
        <w:t>’s traffic light approach</w:t>
      </w:r>
      <w:r w:rsidRPr="00C37A4D">
        <w:rPr>
          <w:rFonts w:asciiTheme="minorHAnsi" w:eastAsia="Arial" w:hAnsiTheme="minorHAnsi" w:cstheme="minorHAnsi"/>
          <w:color w:val="000000" w:themeColor="text1"/>
          <w:sz w:val="22"/>
          <w:szCs w:val="22"/>
          <w:lang w:val="en-GB"/>
        </w:rPr>
        <w:t xml:space="preserve"> has simplified </w:t>
      </w:r>
      <w:r>
        <w:rPr>
          <w:rFonts w:asciiTheme="minorHAnsi" w:eastAsia="Arial" w:hAnsiTheme="minorHAnsi" w:cstheme="minorHAnsi"/>
          <w:color w:val="000000" w:themeColor="text1"/>
          <w:sz w:val="22"/>
          <w:szCs w:val="22"/>
          <w:lang w:val="en-GB"/>
        </w:rPr>
        <w:t>AMU</w:t>
      </w:r>
      <w:r w:rsidRPr="00C37A4D">
        <w:rPr>
          <w:rFonts w:asciiTheme="minorHAnsi" w:eastAsia="Arial" w:hAnsiTheme="minorHAnsi" w:cstheme="minorHAnsi"/>
          <w:color w:val="000000" w:themeColor="text1"/>
          <w:sz w:val="22"/>
          <w:szCs w:val="22"/>
          <w:lang w:val="en-GB"/>
        </w:rPr>
        <w:t xml:space="preserve"> surveillance and monitoring</w:t>
      </w:r>
      <w:r>
        <w:rPr>
          <w:rFonts w:asciiTheme="minorHAnsi" w:eastAsia="Arial" w:hAnsiTheme="minorHAnsi" w:cstheme="minorHAnsi"/>
          <w:color w:val="000000" w:themeColor="text1"/>
          <w:sz w:val="22"/>
          <w:szCs w:val="22"/>
          <w:lang w:val="en-GB"/>
        </w:rPr>
        <w:t xml:space="preserve"> and will dictate in the future which Access </w:t>
      </w:r>
      <w:r w:rsidRPr="00C37A4D">
        <w:rPr>
          <w:rFonts w:asciiTheme="minorHAnsi" w:eastAsia="Arial" w:hAnsiTheme="minorHAnsi" w:cstheme="minorHAnsi"/>
          <w:color w:val="000000" w:themeColor="text1"/>
          <w:sz w:val="22"/>
          <w:szCs w:val="22"/>
          <w:lang w:val="en-GB"/>
        </w:rPr>
        <w:t>antibiotics should be universally available</w:t>
      </w:r>
      <w:r>
        <w:rPr>
          <w:rFonts w:asciiTheme="minorHAnsi" w:eastAsia="Arial" w:hAnsiTheme="minorHAnsi" w:cstheme="minorHAnsi"/>
          <w:color w:val="000000" w:themeColor="text1"/>
          <w:sz w:val="22"/>
          <w:szCs w:val="22"/>
          <w:lang w:val="en-GB"/>
        </w:rPr>
        <w:t xml:space="preserve"> to meet SDG 3·8 (to achieve universal health coverage)</w:t>
      </w:r>
      <w:r w:rsidRPr="00C37A4D">
        <w:rPr>
          <w:rFonts w:asciiTheme="minorHAnsi" w:eastAsia="Arial" w:hAnsiTheme="minorHAnsi" w:cstheme="minorHAnsi"/>
          <w:color w:val="000000" w:themeColor="text1"/>
          <w:sz w:val="22"/>
          <w:szCs w:val="22"/>
          <w:lang w:val="en-GB"/>
        </w:rPr>
        <w:t xml:space="preserve">. Many older </w:t>
      </w:r>
      <w:r>
        <w:rPr>
          <w:rFonts w:asciiTheme="minorHAnsi" w:eastAsia="Arial" w:hAnsiTheme="minorHAnsi" w:cstheme="minorHAnsi"/>
          <w:color w:val="000000" w:themeColor="text1"/>
          <w:sz w:val="22"/>
          <w:szCs w:val="22"/>
          <w:lang w:val="en-GB"/>
        </w:rPr>
        <w:t xml:space="preserve">Watch </w:t>
      </w:r>
      <w:r w:rsidRPr="00C37A4D">
        <w:rPr>
          <w:rFonts w:asciiTheme="minorHAnsi" w:eastAsia="Arial" w:hAnsiTheme="minorHAnsi" w:cstheme="minorHAnsi"/>
          <w:color w:val="000000" w:themeColor="text1"/>
          <w:sz w:val="22"/>
          <w:szCs w:val="22"/>
          <w:lang w:val="en-GB"/>
        </w:rPr>
        <w:t xml:space="preserve">antibiotics </w:t>
      </w:r>
      <w:r>
        <w:rPr>
          <w:rFonts w:asciiTheme="minorHAnsi" w:eastAsia="Arial" w:hAnsiTheme="minorHAnsi" w:cstheme="minorHAnsi"/>
          <w:color w:val="000000" w:themeColor="text1"/>
          <w:sz w:val="22"/>
          <w:szCs w:val="22"/>
          <w:lang w:val="en-GB"/>
        </w:rPr>
        <w:t>with</w:t>
      </w:r>
      <w:r w:rsidRPr="00C37A4D">
        <w:rPr>
          <w:rFonts w:asciiTheme="minorHAnsi" w:eastAsia="Arial" w:hAnsiTheme="minorHAnsi" w:cstheme="minorHAnsi"/>
          <w:color w:val="000000" w:themeColor="text1"/>
          <w:sz w:val="22"/>
          <w:szCs w:val="22"/>
          <w:lang w:val="en-GB"/>
        </w:rPr>
        <w:t xml:space="preserve"> little utility are still widely produced, and further guidance on unnecessary antibiotics is needed. Developing policy goals </w:t>
      </w:r>
      <w:r>
        <w:rPr>
          <w:rFonts w:asciiTheme="minorHAnsi" w:eastAsia="Arial" w:hAnsiTheme="minorHAnsi" w:cstheme="minorHAnsi"/>
          <w:color w:val="000000" w:themeColor="text1"/>
          <w:sz w:val="22"/>
          <w:szCs w:val="22"/>
          <w:lang w:val="en-GB"/>
        </w:rPr>
        <w:t xml:space="preserve">based on </w:t>
      </w:r>
      <w:r w:rsidRPr="00C37A4D">
        <w:rPr>
          <w:rFonts w:asciiTheme="minorHAnsi" w:eastAsia="Arial" w:hAnsiTheme="minorHAnsi" w:cstheme="minorHAnsi"/>
          <w:color w:val="000000" w:themeColor="text1"/>
          <w:sz w:val="22"/>
          <w:szCs w:val="22"/>
          <w:lang w:val="en-GB"/>
        </w:rPr>
        <w:t>absolute levels of Access, Watch</w:t>
      </w:r>
      <w:r>
        <w:rPr>
          <w:rFonts w:asciiTheme="minorHAnsi" w:eastAsia="Arial" w:hAnsiTheme="minorHAnsi" w:cstheme="minorHAnsi"/>
          <w:color w:val="000000" w:themeColor="text1"/>
          <w:sz w:val="22"/>
          <w:szCs w:val="22"/>
          <w:lang w:val="en-GB"/>
        </w:rPr>
        <w:t>,</w:t>
      </w:r>
      <w:r w:rsidRPr="00C37A4D">
        <w:rPr>
          <w:rFonts w:asciiTheme="minorHAnsi" w:eastAsia="Arial" w:hAnsiTheme="minorHAnsi" w:cstheme="minorHAnsi"/>
          <w:color w:val="000000" w:themeColor="text1"/>
          <w:sz w:val="22"/>
          <w:szCs w:val="22"/>
          <w:lang w:val="en-GB"/>
        </w:rPr>
        <w:t xml:space="preserve"> and Reserve antibiotics at a country level will require risk adjustment for </w:t>
      </w:r>
      <w:r>
        <w:rPr>
          <w:rFonts w:asciiTheme="minorHAnsi" w:eastAsia="Arial" w:hAnsiTheme="minorHAnsi" w:cstheme="minorHAnsi"/>
          <w:color w:val="000000" w:themeColor="text1"/>
          <w:sz w:val="22"/>
          <w:szCs w:val="22"/>
          <w:lang w:val="en-GB"/>
        </w:rPr>
        <w:t xml:space="preserve">burden of disease, </w:t>
      </w:r>
      <w:r w:rsidRPr="00C37A4D">
        <w:rPr>
          <w:rFonts w:asciiTheme="minorHAnsi" w:eastAsia="Arial" w:hAnsiTheme="minorHAnsi" w:cstheme="minorHAnsi"/>
          <w:color w:val="000000" w:themeColor="text1"/>
          <w:sz w:val="22"/>
          <w:szCs w:val="22"/>
          <w:lang w:val="en-GB"/>
        </w:rPr>
        <w:t>demography, mortality</w:t>
      </w:r>
      <w:r>
        <w:rPr>
          <w:rFonts w:asciiTheme="minorHAnsi" w:eastAsia="Arial" w:hAnsiTheme="minorHAnsi" w:cstheme="minorHAnsi"/>
          <w:color w:val="000000" w:themeColor="text1"/>
          <w:sz w:val="22"/>
          <w:szCs w:val="22"/>
          <w:lang w:val="en-GB"/>
        </w:rPr>
        <w:t xml:space="preserve">, </w:t>
      </w:r>
      <w:r w:rsidRPr="00C37A4D">
        <w:rPr>
          <w:rFonts w:asciiTheme="minorHAnsi" w:eastAsia="Arial" w:hAnsiTheme="minorHAnsi" w:cstheme="minorHAnsi"/>
          <w:color w:val="000000" w:themeColor="text1"/>
          <w:sz w:val="22"/>
          <w:szCs w:val="22"/>
          <w:lang w:val="en-GB"/>
        </w:rPr>
        <w:t>and rates of AMR.</w:t>
      </w:r>
    </w:p>
    <w:p w14:paraId="2EA17A68" w14:textId="77777777" w:rsidR="00AB7DD1" w:rsidRPr="00C37A4D" w:rsidRDefault="00AB7DD1" w:rsidP="00AB7DD1">
      <w:pPr>
        <w:rPr>
          <w:rFonts w:asciiTheme="minorHAnsi" w:hAnsiTheme="minorHAnsi" w:cstheme="minorHAnsi"/>
          <w:color w:val="000000" w:themeColor="text1"/>
          <w:sz w:val="22"/>
          <w:szCs w:val="22"/>
          <w:lang w:val="en-GB"/>
        </w:rPr>
      </w:pPr>
    </w:p>
    <w:p w14:paraId="316BED47" w14:textId="77777777" w:rsidR="00F95D64" w:rsidRPr="00C37A4D" w:rsidRDefault="00F95D64" w:rsidP="00F95D64">
      <w:pPr>
        <w:rPr>
          <w:rFonts w:asciiTheme="minorHAnsi" w:eastAsia="Arial" w:hAnsiTheme="minorHAnsi" w:cstheme="minorHAnsi"/>
          <w:color w:val="000000" w:themeColor="text1"/>
          <w:sz w:val="22"/>
          <w:szCs w:val="22"/>
          <w:lang w:val="en-GB"/>
        </w:rPr>
      </w:pPr>
    </w:p>
    <w:p w14:paraId="080CBF6C" w14:textId="05181DF0" w:rsidR="00F95D64" w:rsidRPr="0059454E" w:rsidRDefault="00F95D64" w:rsidP="00F95D64">
      <w:pPr>
        <w:rPr>
          <w:rFonts w:asciiTheme="minorHAnsi" w:eastAsia="Arial" w:hAnsiTheme="minorHAnsi" w:cstheme="minorHAnsi"/>
          <w:b/>
          <w:bCs/>
          <w:color w:val="000000" w:themeColor="text1"/>
          <w:sz w:val="22"/>
          <w:szCs w:val="22"/>
          <w:lang w:val="en-GB"/>
        </w:rPr>
      </w:pPr>
      <w:r w:rsidRPr="00C37A4D">
        <w:rPr>
          <w:rFonts w:asciiTheme="minorHAnsi" w:eastAsia="Arial" w:hAnsiTheme="minorHAnsi" w:cstheme="minorHAnsi"/>
          <w:b/>
          <w:bCs/>
          <w:color w:val="000000" w:themeColor="text1"/>
          <w:sz w:val="22"/>
          <w:szCs w:val="22"/>
          <w:lang w:val="en-GB"/>
        </w:rPr>
        <w:br w:type="page"/>
      </w:r>
    </w:p>
    <w:p w14:paraId="5642FE81" w14:textId="77777777" w:rsidR="00F53A8B" w:rsidRPr="00C37A4D" w:rsidRDefault="00F53A8B" w:rsidP="00F53A8B">
      <w:pPr>
        <w:pBdr>
          <w:top w:val="single" w:sz="4" w:space="1" w:color="auto"/>
          <w:left w:val="single" w:sz="4" w:space="4" w:color="auto"/>
          <w:bottom w:val="single" w:sz="4" w:space="1" w:color="auto"/>
          <w:right w:val="single" w:sz="4" w:space="4" w:color="auto"/>
        </w:pBdr>
        <w:rPr>
          <w:rFonts w:asciiTheme="minorHAnsi" w:eastAsia="Arial" w:hAnsiTheme="minorHAnsi" w:cstheme="minorHAnsi"/>
          <w:b/>
          <w:bCs/>
          <w:color w:val="000000" w:themeColor="text1"/>
          <w:sz w:val="22"/>
          <w:szCs w:val="22"/>
          <w:lang w:val="en-GB"/>
        </w:rPr>
      </w:pPr>
      <w:r w:rsidRPr="00C37A4D">
        <w:rPr>
          <w:rFonts w:asciiTheme="minorHAnsi" w:eastAsia="Arial" w:hAnsiTheme="minorHAnsi" w:cstheme="minorHAnsi"/>
          <w:b/>
          <w:bCs/>
          <w:color w:val="000000" w:themeColor="text1"/>
          <w:sz w:val="22"/>
          <w:szCs w:val="22"/>
          <w:lang w:val="en-GB"/>
        </w:rPr>
        <w:lastRenderedPageBreak/>
        <w:t xml:space="preserve">Panel </w:t>
      </w:r>
      <w:r>
        <w:rPr>
          <w:rFonts w:asciiTheme="minorHAnsi" w:eastAsia="Arial" w:hAnsiTheme="minorHAnsi" w:cstheme="minorHAnsi"/>
          <w:b/>
          <w:bCs/>
          <w:color w:val="000000" w:themeColor="text1"/>
          <w:sz w:val="22"/>
          <w:szCs w:val="22"/>
          <w:lang w:val="en-GB"/>
        </w:rPr>
        <w:t>3</w:t>
      </w:r>
      <w:r w:rsidRPr="00C37A4D">
        <w:rPr>
          <w:rFonts w:asciiTheme="minorHAnsi" w:eastAsia="Arial" w:hAnsiTheme="minorHAnsi" w:cstheme="minorHAnsi"/>
          <w:b/>
          <w:bCs/>
          <w:color w:val="000000" w:themeColor="text1"/>
          <w:sz w:val="22"/>
          <w:szCs w:val="22"/>
          <w:lang w:val="en-GB"/>
        </w:rPr>
        <w:t xml:space="preserve">. </w:t>
      </w:r>
      <w:r w:rsidRPr="00C37A4D">
        <w:rPr>
          <w:rFonts w:asciiTheme="minorHAnsi" w:hAnsiTheme="minorHAnsi" w:cstheme="minorHAnsi"/>
          <w:b/>
          <w:bCs/>
          <w:color w:val="000000" w:themeColor="text1"/>
          <w:sz w:val="22"/>
          <w:szCs w:val="22"/>
          <w:lang w:val="en-GB"/>
        </w:rPr>
        <w:t xml:space="preserve">Challenges in </w:t>
      </w:r>
      <w:r w:rsidRPr="00C37A4D">
        <w:rPr>
          <w:rFonts w:asciiTheme="minorHAnsi" w:eastAsia="Arial" w:hAnsiTheme="minorHAnsi" w:cstheme="minorHAnsi"/>
          <w:b/>
          <w:bCs/>
          <w:color w:val="000000" w:themeColor="text1"/>
          <w:sz w:val="22"/>
          <w:szCs w:val="22"/>
          <w:lang w:val="en-GB"/>
        </w:rPr>
        <w:t xml:space="preserve">measuring antibiotic </w:t>
      </w:r>
      <w:proofErr w:type="gramStart"/>
      <w:r>
        <w:rPr>
          <w:rFonts w:asciiTheme="minorHAnsi" w:eastAsia="Arial" w:hAnsiTheme="minorHAnsi" w:cstheme="minorHAnsi"/>
          <w:b/>
          <w:bCs/>
          <w:color w:val="000000" w:themeColor="text1"/>
          <w:sz w:val="22"/>
          <w:szCs w:val="22"/>
          <w:lang w:val="en-GB"/>
        </w:rPr>
        <w:t>use</w:t>
      </w:r>
      <w:proofErr w:type="gramEnd"/>
    </w:p>
    <w:p w14:paraId="632A7D9E" w14:textId="77777777" w:rsidR="00F53A8B" w:rsidRPr="00C37A4D" w:rsidRDefault="00F53A8B" w:rsidP="00F53A8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lang w:val="en-GB"/>
        </w:rPr>
      </w:pPr>
      <w:r w:rsidRPr="00C37A4D">
        <w:rPr>
          <w:rFonts w:asciiTheme="minorHAnsi" w:hAnsiTheme="minorHAnsi" w:cstheme="minorHAnsi"/>
          <w:color w:val="000000" w:themeColor="text1"/>
          <w:sz w:val="22"/>
          <w:szCs w:val="22"/>
          <w:lang w:val="en-GB"/>
        </w:rPr>
        <w:t>The 2023 G20 New Delhi Leader’s Declaration call</w:t>
      </w:r>
      <w:r>
        <w:rPr>
          <w:rFonts w:asciiTheme="minorHAnsi" w:hAnsiTheme="minorHAnsi" w:cstheme="minorHAnsi"/>
          <w:color w:val="000000" w:themeColor="text1"/>
          <w:sz w:val="22"/>
          <w:szCs w:val="22"/>
          <w:lang w:val="en-GB"/>
        </w:rPr>
        <w:t>s</w:t>
      </w:r>
      <w:r w:rsidRPr="00C37A4D">
        <w:rPr>
          <w:rFonts w:asciiTheme="minorHAnsi" w:hAnsiTheme="minorHAnsi" w:cstheme="minorHAnsi"/>
          <w:color w:val="000000" w:themeColor="text1"/>
          <w:sz w:val="22"/>
          <w:szCs w:val="22"/>
          <w:lang w:val="en-GB"/>
        </w:rPr>
        <w:t xml:space="preserve"> for implementing antimicrobial stewardship efforts in national action plans through antibiotic </w:t>
      </w:r>
      <w:r>
        <w:rPr>
          <w:rFonts w:asciiTheme="minorHAnsi" w:hAnsiTheme="minorHAnsi" w:cstheme="minorHAnsi"/>
          <w:color w:val="000000" w:themeColor="text1"/>
          <w:sz w:val="22"/>
          <w:szCs w:val="22"/>
          <w:lang w:val="en-GB"/>
        </w:rPr>
        <w:t>use</w:t>
      </w:r>
      <w:r w:rsidRPr="00C37A4D">
        <w:rPr>
          <w:rFonts w:asciiTheme="minorHAnsi" w:hAnsiTheme="minorHAnsi" w:cstheme="minorHAnsi"/>
          <w:color w:val="000000" w:themeColor="text1"/>
          <w:sz w:val="22"/>
          <w:szCs w:val="22"/>
          <w:lang w:val="en-GB"/>
        </w:rPr>
        <w:t xml:space="preserve"> surveillance, but global surveillance of antibiotic </w:t>
      </w:r>
      <w:r>
        <w:rPr>
          <w:rFonts w:asciiTheme="minorHAnsi" w:hAnsiTheme="minorHAnsi" w:cstheme="minorHAnsi"/>
          <w:color w:val="000000" w:themeColor="text1"/>
          <w:sz w:val="22"/>
          <w:szCs w:val="22"/>
          <w:lang w:val="en-GB"/>
        </w:rPr>
        <w:t>use</w:t>
      </w:r>
      <w:r w:rsidRPr="00C37A4D">
        <w:rPr>
          <w:rFonts w:asciiTheme="minorHAnsi" w:hAnsiTheme="minorHAnsi" w:cstheme="minorHAnsi"/>
          <w:color w:val="000000" w:themeColor="text1"/>
          <w:sz w:val="22"/>
          <w:szCs w:val="22"/>
          <w:lang w:val="en-GB"/>
        </w:rPr>
        <w:t xml:space="preserve"> in humans has seen less progress than surveillance for resistance. The GLASS guide to collecting and reporting resistance data was launched in 2016; its antibiotic </w:t>
      </w:r>
      <w:r>
        <w:rPr>
          <w:rFonts w:asciiTheme="minorHAnsi" w:hAnsiTheme="minorHAnsi" w:cstheme="minorHAnsi"/>
          <w:color w:val="000000" w:themeColor="text1"/>
          <w:sz w:val="22"/>
          <w:szCs w:val="22"/>
          <w:lang w:val="en-GB"/>
        </w:rPr>
        <w:t>use</w:t>
      </w:r>
      <w:r w:rsidRPr="00C37A4D">
        <w:rPr>
          <w:rFonts w:asciiTheme="minorHAnsi" w:hAnsiTheme="minorHAnsi" w:cstheme="minorHAnsi"/>
          <w:color w:val="000000" w:themeColor="text1"/>
          <w:sz w:val="22"/>
          <w:szCs w:val="22"/>
          <w:lang w:val="en-GB"/>
        </w:rPr>
        <w:t xml:space="preserve"> modules did not start until 2020, and most of </w:t>
      </w:r>
      <w:r>
        <w:rPr>
          <w:rFonts w:asciiTheme="minorHAnsi" w:hAnsiTheme="minorHAnsi" w:cstheme="minorHAnsi"/>
          <w:color w:val="000000" w:themeColor="text1"/>
          <w:sz w:val="22"/>
          <w:szCs w:val="22"/>
          <w:lang w:val="en-GB"/>
        </w:rPr>
        <w:t>its</w:t>
      </w:r>
      <w:r w:rsidRPr="00C37A4D">
        <w:rPr>
          <w:rFonts w:asciiTheme="minorHAnsi" w:hAnsiTheme="minorHAnsi" w:cstheme="minorHAnsi"/>
          <w:color w:val="000000" w:themeColor="text1"/>
          <w:sz w:val="22"/>
          <w:szCs w:val="22"/>
          <w:lang w:val="en-GB"/>
        </w:rPr>
        <w:t xml:space="preserve"> data sources do not measure actual </w:t>
      </w:r>
      <w:r>
        <w:rPr>
          <w:rFonts w:asciiTheme="minorHAnsi" w:hAnsiTheme="minorHAnsi" w:cstheme="minorHAnsi"/>
          <w:color w:val="000000" w:themeColor="text1"/>
          <w:sz w:val="22"/>
          <w:szCs w:val="22"/>
          <w:lang w:val="en-GB"/>
        </w:rPr>
        <w:t>antibiotic use by patients</w:t>
      </w:r>
      <w:r w:rsidRPr="00C37A4D">
        <w:rPr>
          <w:rFonts w:asciiTheme="minorHAnsi" w:hAnsiTheme="minorHAnsi" w:cstheme="minorHAnsi"/>
          <w:color w:val="000000" w:themeColor="text1"/>
          <w:sz w:val="22"/>
          <w:szCs w:val="22"/>
          <w:lang w:val="en-GB"/>
        </w:rPr>
        <w:t>. The 2022 GLASS report</w:t>
      </w:r>
      <w:r w:rsidRPr="00E00CFD">
        <w:rPr>
          <w:rFonts w:hAnsiTheme="minorHAnsi"/>
          <w:color w:val="000000"/>
          <w:sz w:val="22"/>
          <w:vertAlign w:val="superscript"/>
        </w:rPr>
        <w:t>2</w:t>
      </w:r>
      <w:r w:rsidRPr="00C37A4D">
        <w:rPr>
          <w:rFonts w:asciiTheme="minorHAnsi" w:hAnsiTheme="minorHAnsi" w:cstheme="minorHAnsi"/>
          <w:color w:val="000000" w:themeColor="text1"/>
          <w:sz w:val="22"/>
          <w:szCs w:val="22"/>
          <w:lang w:val="en-GB"/>
        </w:rPr>
        <w:t xml:space="preserve"> noted that 109 countries were enrolled in GLASS AMR, with 87 providing data; only 36 were enrolled in GLASS-AMC (Antimicrobial Consumption), and only 27 countries were providing data, although information was available from other sources (e.g., ESAC-Net). GLASS reports that about 95% of overall antibiotic </w:t>
      </w:r>
      <w:r>
        <w:rPr>
          <w:rFonts w:asciiTheme="minorHAnsi" w:hAnsiTheme="minorHAnsi" w:cstheme="minorHAnsi"/>
          <w:color w:val="000000" w:themeColor="text1"/>
          <w:sz w:val="22"/>
          <w:szCs w:val="22"/>
          <w:lang w:val="en-GB"/>
        </w:rPr>
        <w:t>use</w:t>
      </w:r>
      <w:r w:rsidRPr="00C37A4D">
        <w:rPr>
          <w:rFonts w:asciiTheme="minorHAnsi" w:hAnsiTheme="minorHAnsi" w:cstheme="minorHAnsi"/>
          <w:color w:val="000000" w:themeColor="text1"/>
          <w:sz w:val="22"/>
          <w:szCs w:val="22"/>
          <w:lang w:val="en-GB"/>
        </w:rPr>
        <w:t xml:space="preserve"> is oral</w:t>
      </w:r>
      <w:r>
        <w:rPr>
          <w:rFonts w:asciiTheme="minorHAnsi" w:hAnsiTheme="minorHAnsi" w:cstheme="minorHAnsi"/>
          <w:color w:val="000000" w:themeColor="text1"/>
          <w:sz w:val="22"/>
          <w:szCs w:val="22"/>
          <w:lang w:val="en-GB"/>
        </w:rPr>
        <w:t>;</w:t>
      </w:r>
      <w:r w:rsidRPr="00C37A4D">
        <w:rPr>
          <w:rFonts w:asciiTheme="minorHAnsi" w:hAnsiTheme="minorHAnsi" w:cstheme="minorHAnsi"/>
          <w:color w:val="000000" w:themeColor="text1"/>
          <w:sz w:val="22"/>
          <w:szCs w:val="22"/>
          <w:lang w:val="en-GB"/>
        </w:rPr>
        <w:t xml:space="preserve"> the rest is parenteral. To be </w:t>
      </w:r>
      <w:r>
        <w:rPr>
          <w:rFonts w:asciiTheme="minorHAnsi" w:hAnsiTheme="minorHAnsi" w:cstheme="minorHAnsi"/>
          <w:color w:val="000000" w:themeColor="text1"/>
          <w:sz w:val="22"/>
          <w:szCs w:val="22"/>
          <w:lang w:val="en-GB"/>
        </w:rPr>
        <w:t xml:space="preserve">useful </w:t>
      </w:r>
      <w:r w:rsidRPr="00C37A4D">
        <w:rPr>
          <w:rFonts w:asciiTheme="minorHAnsi" w:hAnsiTheme="minorHAnsi" w:cstheme="minorHAnsi"/>
          <w:color w:val="000000" w:themeColor="text1"/>
          <w:sz w:val="22"/>
          <w:szCs w:val="22"/>
          <w:lang w:val="en-GB"/>
        </w:rPr>
        <w:t xml:space="preserve">at a country level, surveillance data should be representative of the target population and without substantial bias. Improved macro-, mid-, and micro-level data are needed to enable robust country-level attribution of total </w:t>
      </w:r>
      <w:r>
        <w:rPr>
          <w:rFonts w:asciiTheme="minorHAnsi" w:hAnsiTheme="minorHAnsi" w:cstheme="minorHAnsi"/>
          <w:color w:val="000000" w:themeColor="text1"/>
          <w:sz w:val="22"/>
          <w:szCs w:val="22"/>
          <w:lang w:val="en-GB"/>
        </w:rPr>
        <w:t xml:space="preserve">and AWaRe levels (see </w:t>
      </w:r>
      <w:r w:rsidRPr="00BD4C26">
        <w:rPr>
          <w:rFonts w:asciiTheme="minorHAnsi" w:hAnsiTheme="minorHAnsi" w:cstheme="minorHAnsi"/>
          <w:b/>
          <w:bCs/>
          <w:color w:val="000000" w:themeColor="text1"/>
          <w:sz w:val="22"/>
          <w:szCs w:val="22"/>
          <w:lang w:val="en-GB"/>
        </w:rPr>
        <w:t xml:space="preserve">Panel </w:t>
      </w:r>
      <w:r>
        <w:rPr>
          <w:rFonts w:asciiTheme="minorHAnsi" w:hAnsiTheme="minorHAnsi" w:cstheme="minorHAnsi"/>
          <w:b/>
          <w:bCs/>
          <w:color w:val="000000" w:themeColor="text1"/>
          <w:sz w:val="22"/>
          <w:szCs w:val="22"/>
          <w:lang w:val="en-GB"/>
        </w:rPr>
        <w:t>2</w:t>
      </w:r>
      <w:r>
        <w:rPr>
          <w:rFonts w:asciiTheme="minorHAnsi" w:hAnsiTheme="minorHAnsi" w:cstheme="minorHAnsi"/>
          <w:color w:val="000000" w:themeColor="text1"/>
          <w:sz w:val="22"/>
          <w:szCs w:val="22"/>
          <w:lang w:val="en-GB"/>
        </w:rPr>
        <w:t xml:space="preserve">) of </w:t>
      </w:r>
      <w:r w:rsidRPr="00C37A4D">
        <w:rPr>
          <w:rFonts w:asciiTheme="minorHAnsi" w:hAnsiTheme="minorHAnsi" w:cstheme="minorHAnsi"/>
          <w:color w:val="000000" w:themeColor="text1"/>
          <w:sz w:val="22"/>
          <w:szCs w:val="22"/>
          <w:lang w:val="en-GB"/>
        </w:rPr>
        <w:t xml:space="preserve">antibiotic </w:t>
      </w:r>
      <w:r>
        <w:rPr>
          <w:rFonts w:asciiTheme="minorHAnsi" w:hAnsiTheme="minorHAnsi" w:cstheme="minorHAnsi"/>
          <w:color w:val="000000" w:themeColor="text1"/>
          <w:sz w:val="22"/>
          <w:szCs w:val="22"/>
          <w:lang w:val="en-GB"/>
        </w:rPr>
        <w:t>use to</w:t>
      </w:r>
      <w:r w:rsidRPr="00C37A4D">
        <w:rPr>
          <w:rFonts w:asciiTheme="minorHAnsi" w:hAnsiTheme="minorHAnsi" w:cstheme="minorHAnsi"/>
          <w:color w:val="000000" w:themeColor="text1"/>
          <w:sz w:val="22"/>
          <w:szCs w:val="22"/>
          <w:lang w:val="en-GB"/>
        </w:rPr>
        <w:t xml:space="preserve"> inform evidence-based goals.</w:t>
      </w:r>
    </w:p>
    <w:p w14:paraId="7021FFAC" w14:textId="77777777" w:rsidR="00F53A8B" w:rsidRPr="00C37A4D" w:rsidRDefault="00F53A8B" w:rsidP="00F53A8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lang w:val="en-GB"/>
        </w:rPr>
      </w:pPr>
      <w:r w:rsidRPr="00C37A4D">
        <w:rPr>
          <w:rFonts w:asciiTheme="minorHAnsi" w:hAnsiTheme="minorHAnsi" w:cstheme="minorHAnsi"/>
          <w:color w:val="000000" w:themeColor="text1"/>
          <w:sz w:val="22"/>
          <w:szCs w:val="22"/>
          <w:lang w:val="en-GB"/>
        </w:rPr>
        <w:t xml:space="preserve"> </w:t>
      </w:r>
    </w:p>
    <w:p w14:paraId="635A4B30" w14:textId="77777777" w:rsidR="00F53A8B" w:rsidRPr="00C37A4D" w:rsidRDefault="00F53A8B" w:rsidP="00F53A8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lang w:val="en-GB"/>
        </w:rPr>
      </w:pPr>
      <w:r w:rsidRPr="00C37A4D">
        <w:rPr>
          <w:rFonts w:asciiTheme="minorHAnsi" w:hAnsiTheme="minorHAnsi" w:cstheme="minorHAnsi"/>
          <w:color w:val="000000" w:themeColor="text1"/>
          <w:sz w:val="22"/>
          <w:szCs w:val="22"/>
          <w:lang w:val="en-GB"/>
        </w:rPr>
        <w:t xml:space="preserve">Macro-level data on global antibiotic trade—a complex market involving imports, manufacturing, and exports—are limited. Countries provide their own data to GLASS. The World Customs Organisation Harmonised System is used by the World Trade Organisation to monitor global trade in active pharmaceutical ingredients and pharmaceutical products. </w:t>
      </w:r>
      <w:r>
        <w:rPr>
          <w:rFonts w:asciiTheme="minorHAnsi" w:hAnsiTheme="minorHAnsi" w:cstheme="minorHAnsi"/>
          <w:color w:val="000000" w:themeColor="text1"/>
          <w:sz w:val="22"/>
          <w:szCs w:val="22"/>
          <w:lang w:val="en-GB"/>
        </w:rPr>
        <w:t>In</w:t>
      </w:r>
      <w:r w:rsidRPr="00C37A4D">
        <w:rPr>
          <w:rFonts w:asciiTheme="minorHAnsi" w:hAnsiTheme="minorHAnsi" w:cstheme="minorHAnsi"/>
          <w:color w:val="000000" w:themeColor="text1"/>
          <w:sz w:val="22"/>
          <w:szCs w:val="22"/>
          <w:lang w:val="en-GB"/>
        </w:rPr>
        <w:t xml:space="preserve"> this system, the two main subcategories monitored are (</w:t>
      </w:r>
      <w:proofErr w:type="spellStart"/>
      <w:r w:rsidRPr="00C37A4D">
        <w:rPr>
          <w:rFonts w:asciiTheme="minorHAnsi" w:hAnsiTheme="minorHAnsi" w:cstheme="minorHAnsi"/>
          <w:color w:val="000000" w:themeColor="text1"/>
          <w:sz w:val="22"/>
          <w:szCs w:val="22"/>
          <w:lang w:val="en-GB"/>
        </w:rPr>
        <w:t>i</w:t>
      </w:r>
      <w:proofErr w:type="spellEnd"/>
      <w:r w:rsidRPr="00C37A4D">
        <w:rPr>
          <w:rFonts w:asciiTheme="minorHAnsi" w:hAnsiTheme="minorHAnsi" w:cstheme="minorHAnsi"/>
          <w:color w:val="000000" w:themeColor="text1"/>
          <w:sz w:val="22"/>
          <w:szCs w:val="22"/>
          <w:lang w:val="en-GB"/>
        </w:rPr>
        <w:t xml:space="preserve">) </w:t>
      </w:r>
      <w:proofErr w:type="spellStart"/>
      <w:r w:rsidRPr="00C37A4D">
        <w:rPr>
          <w:rFonts w:asciiTheme="minorHAnsi" w:hAnsiTheme="minorHAnsi" w:cstheme="minorHAnsi"/>
          <w:color w:val="000000" w:themeColor="text1"/>
          <w:sz w:val="22"/>
          <w:szCs w:val="22"/>
          <w:lang w:val="en-GB"/>
        </w:rPr>
        <w:t>penicillins</w:t>
      </w:r>
      <w:proofErr w:type="spellEnd"/>
      <w:r w:rsidRPr="00C37A4D">
        <w:rPr>
          <w:rFonts w:asciiTheme="minorHAnsi" w:hAnsiTheme="minorHAnsi" w:cstheme="minorHAnsi"/>
          <w:color w:val="000000" w:themeColor="text1"/>
          <w:sz w:val="22"/>
          <w:szCs w:val="22"/>
          <w:lang w:val="en-GB"/>
        </w:rPr>
        <w:t xml:space="preserve"> and </w:t>
      </w:r>
      <w:proofErr w:type="spellStart"/>
      <w:r w:rsidRPr="00C37A4D">
        <w:rPr>
          <w:rFonts w:asciiTheme="minorHAnsi" w:hAnsiTheme="minorHAnsi" w:cstheme="minorHAnsi"/>
          <w:color w:val="000000" w:themeColor="text1"/>
          <w:sz w:val="22"/>
          <w:szCs w:val="22"/>
          <w:lang w:val="en-GB"/>
        </w:rPr>
        <w:t>streptomycins</w:t>
      </w:r>
      <w:proofErr w:type="spellEnd"/>
      <w:r w:rsidRPr="00C37A4D">
        <w:rPr>
          <w:rFonts w:asciiTheme="minorHAnsi" w:hAnsiTheme="minorHAnsi" w:cstheme="minorHAnsi"/>
          <w:color w:val="000000" w:themeColor="text1"/>
          <w:sz w:val="22"/>
          <w:szCs w:val="22"/>
          <w:lang w:val="en-GB"/>
        </w:rPr>
        <w:t xml:space="preserve"> and (ii) all other antibiotics, whose mass production and export started more recently.</w:t>
      </w:r>
      <w:r w:rsidRPr="00E00CFD">
        <w:rPr>
          <w:rFonts w:hAnsiTheme="minorHAnsi"/>
          <w:color w:val="000000"/>
          <w:sz w:val="22"/>
          <w:vertAlign w:val="superscript"/>
        </w:rPr>
        <w:t>133</w:t>
      </w:r>
      <w:r w:rsidRPr="00C37A4D">
        <w:rPr>
          <w:rFonts w:asciiTheme="minorHAnsi" w:hAnsiTheme="minorHAnsi" w:cstheme="minorHAnsi"/>
          <w:color w:val="000000" w:themeColor="text1"/>
          <w:sz w:val="22"/>
          <w:szCs w:val="22"/>
          <w:lang w:val="en-GB"/>
        </w:rPr>
        <w:t xml:space="preserve"> Interestingly, Thailand has detailed and publicly available </w:t>
      </w:r>
      <w:r>
        <w:rPr>
          <w:rFonts w:asciiTheme="minorHAnsi" w:hAnsiTheme="minorHAnsi" w:cstheme="minorHAnsi"/>
          <w:color w:val="000000" w:themeColor="text1"/>
          <w:sz w:val="22"/>
          <w:szCs w:val="22"/>
          <w:lang w:val="en-GB"/>
        </w:rPr>
        <w:t>use</w:t>
      </w:r>
      <w:r w:rsidRPr="00C37A4D">
        <w:rPr>
          <w:rFonts w:asciiTheme="minorHAnsi" w:hAnsiTheme="minorHAnsi" w:cstheme="minorHAnsi"/>
          <w:color w:val="000000" w:themeColor="text1"/>
          <w:sz w:val="22"/>
          <w:szCs w:val="22"/>
          <w:lang w:val="en-GB"/>
        </w:rPr>
        <w:t xml:space="preserve"> data broken down by antibiotic because it mandates annual reporting of the total volume of imported and manufactured medicines, including antibiotics, by all market authorisation holders.</w:t>
      </w:r>
      <w:r w:rsidRPr="00E00CFD">
        <w:rPr>
          <w:rFonts w:hAnsiTheme="minorHAnsi"/>
          <w:color w:val="000000"/>
          <w:sz w:val="22"/>
          <w:vertAlign w:val="superscript"/>
        </w:rPr>
        <w:t>134</w:t>
      </w:r>
      <w:r w:rsidRPr="00C37A4D">
        <w:rPr>
          <w:rFonts w:asciiTheme="minorHAnsi" w:hAnsiTheme="minorHAnsi" w:cstheme="minorHAnsi"/>
          <w:color w:val="000000" w:themeColor="text1"/>
          <w:sz w:val="22"/>
          <w:szCs w:val="22"/>
          <w:lang w:val="en-GB"/>
        </w:rPr>
        <w:t xml:space="preserve"> By following this example, other countries could gain insights in the global antibiotic manufacturing and trade landscape.</w:t>
      </w:r>
    </w:p>
    <w:p w14:paraId="1A036B3F" w14:textId="77777777" w:rsidR="00F53A8B" w:rsidRPr="00C37A4D" w:rsidRDefault="00F53A8B" w:rsidP="00F53A8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lang w:val="en-GB"/>
        </w:rPr>
      </w:pPr>
      <w:r w:rsidRPr="00C37A4D">
        <w:rPr>
          <w:rFonts w:asciiTheme="minorHAnsi" w:hAnsiTheme="minorHAnsi" w:cstheme="minorHAnsi"/>
          <w:color w:val="000000" w:themeColor="text1"/>
          <w:sz w:val="22"/>
          <w:szCs w:val="22"/>
          <w:lang w:val="en-GB"/>
        </w:rPr>
        <w:t xml:space="preserve"> </w:t>
      </w:r>
    </w:p>
    <w:p w14:paraId="10361E91" w14:textId="77777777" w:rsidR="00F53A8B" w:rsidRPr="00C37A4D" w:rsidRDefault="00F53A8B" w:rsidP="00F53A8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Pharmaceutical</w:t>
      </w:r>
      <w:r w:rsidRPr="00C37A4D">
        <w:rPr>
          <w:rFonts w:asciiTheme="minorHAnsi" w:hAnsiTheme="minorHAnsi" w:cstheme="minorHAnsi"/>
          <w:color w:val="000000" w:themeColor="text1"/>
          <w:sz w:val="22"/>
          <w:szCs w:val="22"/>
          <w:lang w:val="en-GB"/>
        </w:rPr>
        <w:t xml:space="preserve"> production is con</w:t>
      </w:r>
      <w:r>
        <w:rPr>
          <w:rFonts w:asciiTheme="minorHAnsi" w:hAnsiTheme="minorHAnsi" w:cstheme="minorHAnsi"/>
          <w:color w:val="000000" w:themeColor="text1"/>
          <w:sz w:val="22"/>
          <w:szCs w:val="22"/>
          <w:lang w:val="en-GB"/>
        </w:rPr>
        <w:t>centrated</w:t>
      </w:r>
      <w:r w:rsidRPr="00C37A4D">
        <w:rPr>
          <w:rFonts w:asciiTheme="minorHAnsi" w:hAnsiTheme="minorHAnsi" w:cstheme="minorHAnsi"/>
          <w:color w:val="000000" w:themeColor="text1"/>
          <w:sz w:val="22"/>
          <w:szCs w:val="22"/>
          <w:lang w:val="en-GB"/>
        </w:rPr>
        <w:t xml:space="preserve"> predominantly in China and India, but also </w:t>
      </w:r>
      <w:r>
        <w:rPr>
          <w:rFonts w:asciiTheme="minorHAnsi" w:hAnsiTheme="minorHAnsi" w:cstheme="minorHAnsi"/>
          <w:color w:val="000000" w:themeColor="text1"/>
          <w:sz w:val="22"/>
          <w:szCs w:val="22"/>
          <w:lang w:val="en-GB"/>
        </w:rPr>
        <w:t xml:space="preserve">occurs in </w:t>
      </w:r>
      <w:r w:rsidRPr="00C37A4D">
        <w:rPr>
          <w:rFonts w:asciiTheme="minorHAnsi" w:hAnsiTheme="minorHAnsi" w:cstheme="minorHAnsi"/>
          <w:color w:val="000000" w:themeColor="text1"/>
          <w:sz w:val="22"/>
          <w:szCs w:val="22"/>
          <w:lang w:val="en-GB"/>
        </w:rPr>
        <w:t>the European Union.</w:t>
      </w:r>
      <w:r w:rsidRPr="00150C06">
        <w:rPr>
          <w:rFonts w:hAnsiTheme="minorHAnsi"/>
          <w:color w:val="000000"/>
          <w:sz w:val="22"/>
          <w:vertAlign w:val="superscript"/>
        </w:rPr>
        <w:t>135</w:t>
      </w:r>
      <w:r w:rsidRPr="00C37A4D">
        <w:rPr>
          <w:rFonts w:asciiTheme="minorHAnsi" w:hAnsiTheme="minorHAnsi" w:cstheme="minorHAnsi"/>
          <w:color w:val="000000" w:themeColor="text1"/>
          <w:sz w:val="22"/>
          <w:szCs w:val="22"/>
          <w:lang w:val="en-GB"/>
        </w:rPr>
        <w:t xml:space="preserve"> The International Federation of Pharmaceutical Manufacturers and Associations and the AMR Industry Alliance have clear statements on </w:t>
      </w:r>
      <w:r>
        <w:rPr>
          <w:rFonts w:asciiTheme="minorHAnsi" w:hAnsiTheme="minorHAnsi" w:cstheme="minorHAnsi"/>
          <w:color w:val="000000" w:themeColor="text1"/>
          <w:sz w:val="22"/>
          <w:szCs w:val="22"/>
          <w:lang w:val="en-GB"/>
        </w:rPr>
        <w:t xml:space="preserve">industry’s </w:t>
      </w:r>
      <w:r w:rsidRPr="00C37A4D">
        <w:rPr>
          <w:rFonts w:asciiTheme="minorHAnsi" w:hAnsiTheme="minorHAnsi" w:cstheme="minorHAnsi"/>
          <w:color w:val="000000" w:themeColor="text1"/>
          <w:sz w:val="22"/>
          <w:szCs w:val="22"/>
          <w:lang w:val="en-GB"/>
        </w:rPr>
        <w:t xml:space="preserve">role in supporting antibiotic use and stewardship policies, but they represent only a </w:t>
      </w:r>
      <w:r>
        <w:rPr>
          <w:rFonts w:asciiTheme="minorHAnsi" w:hAnsiTheme="minorHAnsi" w:cstheme="minorHAnsi"/>
          <w:color w:val="000000" w:themeColor="text1"/>
          <w:sz w:val="22"/>
          <w:szCs w:val="22"/>
          <w:lang w:val="en-GB"/>
        </w:rPr>
        <w:t xml:space="preserve">small </w:t>
      </w:r>
      <w:r w:rsidRPr="00C37A4D">
        <w:rPr>
          <w:rFonts w:asciiTheme="minorHAnsi" w:hAnsiTheme="minorHAnsi" w:cstheme="minorHAnsi"/>
          <w:color w:val="000000" w:themeColor="text1"/>
          <w:sz w:val="22"/>
          <w:szCs w:val="22"/>
          <w:lang w:val="en-GB"/>
        </w:rPr>
        <w:t>portion of the estimated $50 billion/year antibiotic manufacturing sector, which grows at an estimated annual rate of more than 5%. A large data set of antibiotic wholesale distribution and sales, covering about 75 countries from 2000 onwards, is available (commercially) from IQVIA MIDAS. It provides estimates of country-level sales based on an IQVIA confidential in-house algorithm. Many caveats are required when estimating population-level exposure, but MIDAS reports data on tens of billions of defined daily doses/</w:t>
      </w:r>
      <w:proofErr w:type="gramStart"/>
      <w:r w:rsidRPr="00C37A4D">
        <w:rPr>
          <w:rFonts w:asciiTheme="minorHAnsi" w:hAnsiTheme="minorHAnsi" w:cstheme="minorHAnsi"/>
          <w:color w:val="000000" w:themeColor="text1"/>
          <w:sz w:val="22"/>
          <w:szCs w:val="22"/>
          <w:lang w:val="en-GB"/>
        </w:rPr>
        <w:t>year</w:t>
      </w:r>
      <w:proofErr w:type="gramEnd"/>
      <w:r w:rsidRPr="00C37A4D">
        <w:rPr>
          <w:rFonts w:asciiTheme="minorHAnsi" w:hAnsiTheme="minorHAnsi" w:cstheme="minorHAnsi"/>
          <w:color w:val="000000" w:themeColor="text1"/>
          <w:sz w:val="22"/>
          <w:szCs w:val="22"/>
          <w:lang w:val="en-GB"/>
        </w:rPr>
        <w:t xml:space="preserve">. Some (predominantly high-income) countries have access to national pharmacy data or insurance claims and procurement data. In LMICs, estimates of use can be </w:t>
      </w:r>
      <w:r>
        <w:rPr>
          <w:rFonts w:asciiTheme="minorHAnsi" w:hAnsiTheme="minorHAnsi" w:cstheme="minorHAnsi"/>
          <w:color w:val="000000" w:themeColor="text1"/>
          <w:sz w:val="22"/>
          <w:szCs w:val="22"/>
          <w:lang w:val="en-GB"/>
        </w:rPr>
        <w:t>obtained</w:t>
      </w:r>
      <w:r w:rsidRPr="00C37A4D">
        <w:rPr>
          <w:rFonts w:asciiTheme="minorHAnsi" w:hAnsiTheme="minorHAnsi" w:cstheme="minorHAnsi"/>
          <w:color w:val="000000" w:themeColor="text1"/>
          <w:sz w:val="22"/>
          <w:szCs w:val="22"/>
          <w:lang w:val="en-GB"/>
        </w:rPr>
        <w:t xml:space="preserve"> from major donors or non-governmental organisations like Oxfam and Médecins sans Frontiers.</w:t>
      </w:r>
    </w:p>
    <w:p w14:paraId="073F4984" w14:textId="77777777" w:rsidR="00F53A8B" w:rsidRPr="00C37A4D" w:rsidRDefault="00F53A8B" w:rsidP="00F53A8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lang w:val="en-GB"/>
        </w:rPr>
      </w:pPr>
    </w:p>
    <w:p w14:paraId="21F40035" w14:textId="77777777" w:rsidR="00F53A8B" w:rsidRPr="00C37A4D" w:rsidRDefault="00F53A8B" w:rsidP="00F53A8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lang w:val="en-GB"/>
        </w:rPr>
      </w:pPr>
      <w:r w:rsidRPr="00C37A4D">
        <w:rPr>
          <w:rFonts w:asciiTheme="minorHAnsi" w:hAnsiTheme="minorHAnsi" w:cstheme="minorHAnsi"/>
          <w:color w:val="000000" w:themeColor="text1"/>
          <w:sz w:val="22"/>
          <w:szCs w:val="22"/>
          <w:lang w:val="en-GB"/>
        </w:rPr>
        <w:t>At a micro level, primary care data collection is inadequate in most LMIC</w:t>
      </w:r>
      <w:r>
        <w:rPr>
          <w:rFonts w:asciiTheme="minorHAnsi" w:hAnsiTheme="minorHAnsi" w:cstheme="minorHAnsi"/>
          <w:color w:val="000000" w:themeColor="text1"/>
          <w:sz w:val="22"/>
          <w:szCs w:val="22"/>
          <w:lang w:val="en-GB"/>
        </w:rPr>
        <w:t>s</w:t>
      </w:r>
      <w:r w:rsidRPr="00C37A4D">
        <w:rPr>
          <w:rFonts w:asciiTheme="minorHAnsi" w:hAnsiTheme="minorHAnsi" w:cstheme="minorHAnsi"/>
          <w:color w:val="000000" w:themeColor="text1"/>
          <w:sz w:val="22"/>
          <w:szCs w:val="22"/>
          <w:lang w:val="en-GB"/>
        </w:rPr>
        <w:t>. Patterns of use can be assessed through facility exit interviews, prescription audits, household surveys</w:t>
      </w:r>
      <w:r>
        <w:rPr>
          <w:rFonts w:asciiTheme="minorHAnsi" w:hAnsiTheme="minorHAnsi" w:cstheme="minorHAnsi"/>
          <w:color w:val="000000" w:themeColor="text1"/>
          <w:sz w:val="22"/>
          <w:szCs w:val="22"/>
          <w:lang w:val="en-GB"/>
        </w:rPr>
        <w:t>,</w:t>
      </w:r>
      <w:r w:rsidRPr="00C37A4D">
        <w:rPr>
          <w:rFonts w:asciiTheme="minorHAnsi" w:hAnsiTheme="minorHAnsi" w:cstheme="minorHAnsi"/>
          <w:color w:val="000000" w:themeColor="text1"/>
          <w:sz w:val="22"/>
          <w:szCs w:val="22"/>
          <w:lang w:val="en-GB"/>
        </w:rPr>
        <w:t xml:space="preserve"> and point prevalence surveys. Global-PPS</w:t>
      </w:r>
      <w:r>
        <w:rPr>
          <w:rFonts w:asciiTheme="minorHAnsi" w:hAnsiTheme="minorHAnsi" w:cstheme="minorHAnsi"/>
          <w:color w:val="000000" w:themeColor="text1"/>
          <w:sz w:val="22"/>
          <w:szCs w:val="22"/>
          <w:lang w:val="en-GB"/>
        </w:rPr>
        <w:t xml:space="preserve"> </w:t>
      </w:r>
      <w:r w:rsidRPr="00C37A4D">
        <w:rPr>
          <w:rFonts w:asciiTheme="minorHAnsi" w:hAnsiTheme="minorHAnsi" w:cstheme="minorHAnsi"/>
          <w:color w:val="000000" w:themeColor="text1"/>
          <w:sz w:val="22"/>
          <w:szCs w:val="22"/>
          <w:lang w:val="en-GB"/>
        </w:rPr>
        <w:t>(point</w:t>
      </w:r>
      <w:r>
        <w:rPr>
          <w:rFonts w:asciiTheme="minorHAnsi" w:hAnsiTheme="minorHAnsi" w:cstheme="minorHAnsi"/>
          <w:color w:val="000000" w:themeColor="text1"/>
          <w:sz w:val="22"/>
          <w:szCs w:val="22"/>
          <w:lang w:val="en-GB"/>
        </w:rPr>
        <w:t xml:space="preserve"> </w:t>
      </w:r>
      <w:r w:rsidRPr="00C37A4D">
        <w:rPr>
          <w:rFonts w:asciiTheme="minorHAnsi" w:hAnsiTheme="minorHAnsi" w:cstheme="minorHAnsi"/>
          <w:color w:val="000000" w:themeColor="text1"/>
          <w:sz w:val="22"/>
          <w:szCs w:val="22"/>
          <w:lang w:val="en-GB"/>
        </w:rPr>
        <w:t>prevalence survey)</w:t>
      </w:r>
      <w:r w:rsidRPr="00E00CFD">
        <w:rPr>
          <w:rFonts w:hAnsiTheme="minorHAnsi"/>
          <w:color w:val="000000"/>
          <w:sz w:val="22"/>
          <w:vertAlign w:val="superscript"/>
        </w:rPr>
        <w:t>136</w:t>
      </w:r>
      <w:r w:rsidRPr="00C37A4D">
        <w:rPr>
          <w:rFonts w:asciiTheme="minorHAnsi" w:hAnsiTheme="minorHAnsi" w:cstheme="minorHAnsi"/>
          <w:color w:val="000000" w:themeColor="text1"/>
          <w:sz w:val="22"/>
          <w:szCs w:val="22"/>
          <w:lang w:val="en-GB"/>
        </w:rPr>
        <w:t xml:space="preserve"> is a voluntary hospital survey without a representative sampling frame, and other methods have been developed, including by GLASS. Patient-level data collection is </w:t>
      </w:r>
      <w:r>
        <w:rPr>
          <w:rFonts w:asciiTheme="minorHAnsi" w:hAnsiTheme="minorHAnsi" w:cstheme="minorHAnsi"/>
          <w:color w:val="000000" w:themeColor="text1"/>
          <w:sz w:val="22"/>
          <w:szCs w:val="22"/>
          <w:lang w:val="en-GB"/>
        </w:rPr>
        <w:t>problematic because</w:t>
      </w:r>
      <w:r w:rsidRPr="00C37A4D">
        <w:rPr>
          <w:rFonts w:asciiTheme="minorHAnsi" w:hAnsiTheme="minorHAnsi" w:cstheme="minorHAnsi"/>
          <w:color w:val="000000" w:themeColor="text1"/>
          <w:sz w:val="22"/>
          <w:szCs w:val="22"/>
          <w:lang w:val="en-GB"/>
        </w:rPr>
        <w:t xml:space="preserve"> many patients taking unprescribed antibiotics do not know the identity of their medication.</w:t>
      </w:r>
      <w:r w:rsidRPr="00E00CFD">
        <w:rPr>
          <w:rFonts w:hAnsiTheme="minorHAnsi"/>
          <w:color w:val="000000"/>
          <w:sz w:val="22"/>
          <w:vertAlign w:val="superscript"/>
        </w:rPr>
        <w:t>137</w:t>
      </w:r>
      <w:r w:rsidRPr="00C37A4D">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As we learned during</w:t>
      </w:r>
      <w:r w:rsidRPr="00C37A4D">
        <w:rPr>
          <w:rFonts w:asciiTheme="minorHAnsi" w:hAnsiTheme="minorHAnsi" w:cstheme="minorHAnsi"/>
          <w:color w:val="000000" w:themeColor="text1"/>
          <w:sz w:val="22"/>
          <w:szCs w:val="22"/>
          <w:lang w:val="en-GB"/>
        </w:rPr>
        <w:t xml:space="preserve"> COVID-19</w:t>
      </w:r>
      <w:r>
        <w:rPr>
          <w:rFonts w:asciiTheme="minorHAnsi" w:hAnsiTheme="minorHAnsi" w:cstheme="minorHAnsi"/>
          <w:color w:val="000000" w:themeColor="text1"/>
          <w:sz w:val="22"/>
          <w:szCs w:val="22"/>
          <w:lang w:val="en-GB"/>
        </w:rPr>
        <w:t>,</w:t>
      </w:r>
      <w:r w:rsidRPr="00C37A4D">
        <w:rPr>
          <w:rFonts w:asciiTheme="minorHAnsi" w:hAnsiTheme="minorHAnsi" w:cstheme="minorHAnsi"/>
          <w:color w:val="000000" w:themeColor="text1"/>
          <w:sz w:val="22"/>
          <w:szCs w:val="22"/>
          <w:lang w:val="en-GB"/>
        </w:rPr>
        <w:t xml:space="preserve"> just having a representative sampling frame is often insufficient because estimates can still be biased by non-response if this is not accounted for through weighting and/or post-stratification.</w:t>
      </w:r>
      <w:r w:rsidRPr="00E00CFD">
        <w:rPr>
          <w:rFonts w:hAnsiTheme="minorHAnsi"/>
          <w:color w:val="000000"/>
          <w:sz w:val="22"/>
          <w:vertAlign w:val="superscript"/>
        </w:rPr>
        <w:t>138</w:t>
      </w:r>
      <w:r w:rsidRPr="00C37A4D">
        <w:rPr>
          <w:rFonts w:asciiTheme="minorHAnsi" w:hAnsiTheme="minorHAnsi" w:cstheme="minorHAnsi"/>
          <w:color w:val="000000" w:themeColor="text1"/>
          <w:sz w:val="22"/>
          <w:szCs w:val="22"/>
          <w:lang w:val="en-GB"/>
        </w:rPr>
        <w:t xml:space="preserve"> </w:t>
      </w:r>
    </w:p>
    <w:p w14:paraId="28B8AE06" w14:textId="77777777" w:rsidR="00F53A8B" w:rsidRPr="00C37A4D" w:rsidRDefault="00F53A8B" w:rsidP="00F53A8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lang w:val="en-GB"/>
        </w:rPr>
      </w:pPr>
    </w:p>
    <w:p w14:paraId="4FF8DB92" w14:textId="77777777" w:rsidR="00F53A8B" w:rsidRPr="00C37A4D" w:rsidRDefault="00F53A8B" w:rsidP="00F53A8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Despite</w:t>
      </w:r>
      <w:r w:rsidRPr="00C37A4D">
        <w:rPr>
          <w:rFonts w:asciiTheme="minorHAnsi" w:hAnsiTheme="minorHAnsi" w:cstheme="minorHAnsi"/>
          <w:color w:val="000000" w:themeColor="text1"/>
          <w:sz w:val="22"/>
          <w:szCs w:val="22"/>
          <w:lang w:val="en-GB"/>
        </w:rPr>
        <w:t xml:space="preserve"> widespread antibiotic use in primary healthcare</w:t>
      </w:r>
      <w:r>
        <w:rPr>
          <w:rFonts w:asciiTheme="minorHAnsi" w:hAnsiTheme="minorHAnsi" w:cstheme="minorHAnsi"/>
          <w:color w:val="000000" w:themeColor="text1"/>
          <w:sz w:val="22"/>
          <w:szCs w:val="22"/>
          <w:lang w:val="en-GB"/>
        </w:rPr>
        <w:t xml:space="preserve"> and the doubling of use in</w:t>
      </w:r>
      <w:r w:rsidRPr="00C37A4D">
        <w:rPr>
          <w:rFonts w:asciiTheme="minorHAnsi" w:hAnsiTheme="minorHAnsi" w:cstheme="minorHAnsi"/>
          <w:color w:val="000000" w:themeColor="text1"/>
          <w:sz w:val="22"/>
          <w:szCs w:val="22"/>
          <w:lang w:val="en-GB"/>
        </w:rPr>
        <w:t xml:space="preserve"> LMIC</w:t>
      </w:r>
      <w:r>
        <w:rPr>
          <w:rFonts w:asciiTheme="minorHAnsi" w:hAnsiTheme="minorHAnsi" w:cstheme="minorHAnsi"/>
          <w:color w:val="000000" w:themeColor="text1"/>
          <w:sz w:val="22"/>
          <w:szCs w:val="22"/>
          <w:lang w:val="en-GB"/>
        </w:rPr>
        <w:t>s</w:t>
      </w:r>
      <w:r w:rsidRPr="00C37A4D">
        <w:rPr>
          <w:rFonts w:asciiTheme="minorHAnsi" w:hAnsiTheme="minorHAnsi" w:cstheme="minorHAnsi"/>
          <w:color w:val="000000" w:themeColor="text1"/>
          <w:sz w:val="22"/>
          <w:szCs w:val="22"/>
          <w:lang w:val="en-GB"/>
        </w:rPr>
        <w:t xml:space="preserve"> over the past decade,</w:t>
      </w:r>
      <w:r w:rsidRPr="00E00CFD">
        <w:rPr>
          <w:rFonts w:hAnsiTheme="minorHAnsi"/>
          <w:color w:val="000000"/>
          <w:sz w:val="22"/>
          <w:vertAlign w:val="superscript"/>
        </w:rPr>
        <w:t>139</w:t>
      </w:r>
      <w:r w:rsidRPr="00C37A4D">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little</w:t>
      </w:r>
      <w:r w:rsidRPr="00C37A4D">
        <w:rPr>
          <w:rFonts w:asciiTheme="minorHAnsi" w:hAnsiTheme="minorHAnsi" w:cstheme="minorHAnsi"/>
          <w:color w:val="000000" w:themeColor="text1"/>
          <w:sz w:val="22"/>
          <w:szCs w:val="22"/>
          <w:lang w:val="en-GB"/>
        </w:rPr>
        <w:t xml:space="preserve"> surveillance below tertiary care has been undertaken. The ABACUS project</w:t>
      </w:r>
      <w:r w:rsidRPr="00E00CFD">
        <w:rPr>
          <w:rFonts w:hAnsiTheme="minorHAnsi"/>
          <w:color w:val="000000"/>
          <w:sz w:val="22"/>
          <w:vertAlign w:val="superscript"/>
        </w:rPr>
        <w:t>140</w:t>
      </w:r>
      <w:r w:rsidRPr="00C37A4D">
        <w:rPr>
          <w:rFonts w:asciiTheme="minorHAnsi" w:hAnsiTheme="minorHAnsi" w:cstheme="minorHAnsi"/>
          <w:color w:val="000000" w:themeColor="text1"/>
          <w:sz w:val="22"/>
          <w:szCs w:val="22"/>
          <w:lang w:val="en-GB"/>
        </w:rPr>
        <w:t xml:space="preserve"> and </w:t>
      </w:r>
      <w:r w:rsidRPr="00C37A4D">
        <w:rPr>
          <w:rFonts w:asciiTheme="minorHAnsi" w:hAnsiTheme="minorHAnsi" w:cstheme="minorHAnsi"/>
          <w:color w:val="000000" w:themeColor="text1"/>
          <w:sz w:val="22"/>
          <w:szCs w:val="22"/>
          <w:lang w:val="en-GB"/>
        </w:rPr>
        <w:lastRenderedPageBreak/>
        <w:t>others</w:t>
      </w:r>
      <w:r w:rsidRPr="00E00CFD">
        <w:rPr>
          <w:rFonts w:hAnsiTheme="minorHAnsi"/>
          <w:color w:val="000000"/>
          <w:sz w:val="22"/>
          <w:vertAlign w:val="superscript"/>
        </w:rPr>
        <w:t>141–143</w:t>
      </w:r>
      <w:r w:rsidRPr="00C37A4D">
        <w:rPr>
          <w:rFonts w:asciiTheme="minorHAnsi" w:hAnsiTheme="minorHAnsi" w:cstheme="minorHAnsi"/>
          <w:color w:val="000000" w:themeColor="text1"/>
          <w:sz w:val="22"/>
          <w:szCs w:val="22"/>
          <w:lang w:val="en-GB"/>
        </w:rPr>
        <w:t xml:space="preserve"> have reported the wide variation in primary healthcare provision globally. </w:t>
      </w:r>
      <w:r>
        <w:rPr>
          <w:rFonts w:asciiTheme="minorHAnsi" w:hAnsiTheme="minorHAnsi" w:cstheme="minorHAnsi"/>
          <w:color w:val="000000" w:themeColor="text1"/>
          <w:sz w:val="22"/>
          <w:szCs w:val="22"/>
          <w:lang w:val="en-GB"/>
        </w:rPr>
        <w:t>A</w:t>
      </w:r>
      <w:r w:rsidRPr="00C37A4D">
        <w:rPr>
          <w:rFonts w:asciiTheme="minorHAnsi" w:hAnsiTheme="minorHAnsi" w:cstheme="minorHAnsi"/>
          <w:color w:val="000000" w:themeColor="text1"/>
          <w:sz w:val="22"/>
          <w:szCs w:val="22"/>
          <w:lang w:val="en-GB"/>
        </w:rPr>
        <w:t xml:space="preserve">ntibiotics in the community may </w:t>
      </w:r>
      <w:r>
        <w:rPr>
          <w:rFonts w:asciiTheme="minorHAnsi" w:hAnsiTheme="minorHAnsi" w:cstheme="minorHAnsi"/>
          <w:color w:val="000000" w:themeColor="text1"/>
          <w:sz w:val="22"/>
          <w:szCs w:val="22"/>
          <w:lang w:val="en-GB"/>
        </w:rPr>
        <w:t>be obtained from</w:t>
      </w:r>
      <w:r w:rsidRPr="00C37A4D">
        <w:rPr>
          <w:rFonts w:asciiTheme="minorHAnsi" w:hAnsiTheme="minorHAnsi" w:cstheme="minorHAnsi"/>
          <w:color w:val="000000" w:themeColor="text1"/>
          <w:sz w:val="22"/>
          <w:szCs w:val="22"/>
          <w:lang w:val="en-GB"/>
        </w:rPr>
        <w:t xml:space="preserve"> public facilities, pharmacies, private providers, and the informal sector. Other sources of data are facility and exit surveys from demographic and health surveys and service provision assessments. Electronic data systems are rarely available in most LMIC primary care facilities, so novel point prevalence survey tools are in development, including</w:t>
      </w:r>
      <w:r>
        <w:rPr>
          <w:rFonts w:asciiTheme="minorHAnsi" w:hAnsiTheme="minorHAnsi" w:cstheme="minorHAnsi"/>
          <w:color w:val="000000" w:themeColor="text1"/>
          <w:sz w:val="22"/>
          <w:szCs w:val="22"/>
          <w:lang w:val="en-GB"/>
        </w:rPr>
        <w:t xml:space="preserve"> the ADILA project</w:t>
      </w:r>
      <w:r w:rsidRPr="00C37A4D">
        <w:rPr>
          <w:rFonts w:asciiTheme="minorHAnsi" w:hAnsiTheme="minorHAnsi" w:cstheme="minorHAnsi"/>
          <w:color w:val="000000" w:themeColor="text1"/>
          <w:sz w:val="22"/>
          <w:szCs w:val="22"/>
          <w:lang w:val="en-GB"/>
        </w:rPr>
        <w:t xml:space="preserve"> Antibiotic Prescribing in Primary Healthcare PPS.</w:t>
      </w:r>
      <w:r w:rsidRPr="00E00CFD">
        <w:rPr>
          <w:rFonts w:hAnsiTheme="minorHAnsi"/>
          <w:color w:val="000000"/>
          <w:sz w:val="22"/>
          <w:vertAlign w:val="superscript"/>
        </w:rPr>
        <w:t>144</w:t>
      </w:r>
    </w:p>
    <w:p w14:paraId="190C3D25" w14:textId="77777777" w:rsidR="00F53A8B" w:rsidRDefault="00F53A8B" w:rsidP="00F53A8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lang w:val="en-GB"/>
        </w:rPr>
      </w:pPr>
    </w:p>
    <w:p w14:paraId="05926466" w14:textId="77777777" w:rsidR="00F53A8B" w:rsidRDefault="00F53A8B" w:rsidP="00F53A8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w:t>
      </w:r>
      <w:r w:rsidRPr="00C37A4D">
        <w:rPr>
          <w:rFonts w:asciiTheme="minorHAnsi" w:hAnsiTheme="minorHAnsi" w:cstheme="minorHAnsi"/>
          <w:color w:val="000000" w:themeColor="text1"/>
          <w:sz w:val="22"/>
          <w:szCs w:val="22"/>
          <w:lang w:val="en-GB"/>
        </w:rPr>
        <w:t xml:space="preserve">lobal AWaRe targets will likely </w:t>
      </w:r>
      <w:r>
        <w:rPr>
          <w:rFonts w:asciiTheme="minorHAnsi" w:hAnsiTheme="minorHAnsi" w:cstheme="minorHAnsi"/>
          <w:color w:val="000000" w:themeColor="text1"/>
          <w:sz w:val="22"/>
          <w:szCs w:val="22"/>
          <w:lang w:val="en-GB"/>
        </w:rPr>
        <w:t>encourage</w:t>
      </w:r>
      <w:r w:rsidRPr="00C37A4D">
        <w:rPr>
          <w:rFonts w:asciiTheme="minorHAnsi" w:hAnsiTheme="minorHAnsi" w:cstheme="minorHAnsi"/>
          <w:color w:val="000000" w:themeColor="text1"/>
          <w:sz w:val="22"/>
          <w:szCs w:val="22"/>
          <w:lang w:val="en-GB"/>
        </w:rPr>
        <w:t xml:space="preserve"> improved surveillance, but a comprehensive approach is required, given that countries’ data sources vary and will change over time. In the short term, models could use a wider range of existing data sources and impute or predict missing data to provide better estimates. A single, standard method of evaluating and monitoring country-level antibiotic use is needed. Because most antibiotics are used in primary care, a facility-sampling framework, with appropriate adjustments and integration of multiple data sources, should be developed to provide overall country estimates that can be used as SDG indicators. Future surveillance methods should include a wider, standardised assessment of costs across all levels of the supply and distribution sectors to guide target development and program</w:t>
      </w:r>
      <w:r>
        <w:rPr>
          <w:rFonts w:asciiTheme="minorHAnsi" w:hAnsiTheme="minorHAnsi" w:cstheme="minorHAnsi"/>
          <w:color w:val="000000" w:themeColor="text1"/>
          <w:sz w:val="22"/>
          <w:szCs w:val="22"/>
          <w:lang w:val="en-GB"/>
        </w:rPr>
        <w:t>me</w:t>
      </w:r>
      <w:r w:rsidRPr="00C37A4D">
        <w:rPr>
          <w:rFonts w:asciiTheme="minorHAnsi" w:hAnsiTheme="minorHAnsi" w:cstheme="minorHAnsi"/>
          <w:color w:val="000000" w:themeColor="text1"/>
          <w:sz w:val="22"/>
          <w:szCs w:val="22"/>
          <w:lang w:val="en-GB"/>
        </w:rPr>
        <w:t xml:space="preserve"> funding. Existing surveillance structures could be amended to align more closely </w:t>
      </w:r>
      <w:r>
        <w:rPr>
          <w:rFonts w:asciiTheme="minorHAnsi" w:hAnsiTheme="minorHAnsi" w:cstheme="minorHAnsi"/>
          <w:color w:val="000000" w:themeColor="text1"/>
          <w:sz w:val="22"/>
          <w:szCs w:val="22"/>
          <w:lang w:val="en-GB"/>
        </w:rPr>
        <w:t>with</w:t>
      </w:r>
      <w:r w:rsidRPr="00C37A4D">
        <w:rPr>
          <w:rFonts w:asciiTheme="minorHAnsi" w:hAnsiTheme="minorHAnsi" w:cstheme="minorHAnsi"/>
          <w:color w:val="000000" w:themeColor="text1"/>
          <w:sz w:val="22"/>
          <w:szCs w:val="22"/>
          <w:lang w:val="en-GB"/>
        </w:rPr>
        <w:t xml:space="preserve"> future targets. This could include extending current data fields collected in DHS Service Provision Assessments Sick Child Visits to AWaRe antibiotic use in both adults and children. </w:t>
      </w:r>
      <w:r>
        <w:rPr>
          <w:rFonts w:asciiTheme="minorHAnsi" w:hAnsiTheme="minorHAnsi" w:cstheme="minorHAnsi"/>
          <w:color w:val="000000" w:themeColor="text1"/>
          <w:sz w:val="22"/>
          <w:szCs w:val="22"/>
          <w:lang w:val="en-GB"/>
        </w:rPr>
        <w:t>D</w:t>
      </w:r>
      <w:r w:rsidRPr="00C37A4D">
        <w:rPr>
          <w:rFonts w:asciiTheme="minorHAnsi" w:hAnsiTheme="minorHAnsi" w:cstheme="minorHAnsi"/>
          <w:color w:val="000000" w:themeColor="text1"/>
          <w:sz w:val="22"/>
          <w:szCs w:val="22"/>
          <w:lang w:val="en-GB"/>
        </w:rPr>
        <w:t xml:space="preserve">ata on AWaRe antibiotic sales, manufacturing, and trade are required. Country-level commercial sales of older generic antibiotics should become an integral part of GLASS outputs, and aggregated data </w:t>
      </w:r>
      <w:r>
        <w:rPr>
          <w:rFonts w:asciiTheme="minorHAnsi" w:hAnsiTheme="minorHAnsi" w:cstheme="minorHAnsi"/>
          <w:color w:val="000000" w:themeColor="text1"/>
          <w:sz w:val="22"/>
          <w:szCs w:val="22"/>
          <w:lang w:val="en-GB"/>
        </w:rPr>
        <w:t>should be included in</w:t>
      </w:r>
      <w:r w:rsidRPr="00C37A4D">
        <w:rPr>
          <w:rFonts w:asciiTheme="minorHAnsi" w:hAnsiTheme="minorHAnsi" w:cstheme="minorHAnsi"/>
          <w:color w:val="000000" w:themeColor="text1"/>
          <w:sz w:val="22"/>
          <w:szCs w:val="22"/>
          <w:lang w:val="en-GB"/>
        </w:rPr>
        <w:t xml:space="preserve"> the global health observatory this information is already available open access</w:t>
      </w:r>
      <w:r>
        <w:rPr>
          <w:rFonts w:asciiTheme="minorHAnsi" w:hAnsiTheme="minorHAnsi" w:cstheme="minorHAnsi"/>
          <w:color w:val="000000" w:themeColor="text1"/>
          <w:sz w:val="22"/>
          <w:szCs w:val="22"/>
          <w:lang w:val="en-GB"/>
        </w:rPr>
        <w:t>,</w:t>
      </w:r>
      <w:r w:rsidRPr="00C37A4D">
        <w:rPr>
          <w:rFonts w:asciiTheme="minorHAnsi" w:hAnsiTheme="minorHAnsi" w:cstheme="minorHAnsi"/>
          <w:color w:val="000000" w:themeColor="text1"/>
          <w:sz w:val="22"/>
          <w:szCs w:val="22"/>
          <w:lang w:val="en-GB"/>
        </w:rPr>
        <w:t xml:space="preserve"> through GRAM and other sources.</w:t>
      </w:r>
    </w:p>
    <w:p w14:paraId="5C225A1F" w14:textId="77777777" w:rsidR="00F53A8B" w:rsidRPr="00C37A4D" w:rsidRDefault="00F53A8B" w:rsidP="00F53A8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lang w:val="en-GB"/>
        </w:rPr>
      </w:pPr>
    </w:p>
    <w:p w14:paraId="2CE83287" w14:textId="77777777" w:rsidR="00F53A8B" w:rsidRPr="00C37A4D" w:rsidRDefault="00F53A8B" w:rsidP="00F53A8B">
      <w:pPr>
        <w:pBdr>
          <w:top w:val="single" w:sz="4" w:space="1" w:color="auto"/>
          <w:left w:val="single" w:sz="4" w:space="4" w:color="auto"/>
          <w:bottom w:val="single" w:sz="4" w:space="1" w:color="auto"/>
          <w:right w:val="single" w:sz="4" w:space="4" w:color="auto"/>
        </w:pBdr>
        <w:rPr>
          <w:rFonts w:asciiTheme="minorHAnsi" w:eastAsia="Arial" w:hAnsiTheme="minorHAnsi" w:cstheme="minorHAnsi"/>
          <w:color w:val="000000" w:themeColor="text1"/>
          <w:sz w:val="22"/>
          <w:szCs w:val="22"/>
          <w:lang w:val="en-GB"/>
        </w:rPr>
      </w:pPr>
      <w:r w:rsidRPr="00C37A4D">
        <w:rPr>
          <w:rFonts w:asciiTheme="minorHAnsi" w:hAnsiTheme="minorHAnsi" w:cstheme="minorHAnsi"/>
          <w:color w:val="000000" w:themeColor="text1"/>
          <w:sz w:val="22"/>
          <w:szCs w:val="22"/>
          <w:lang w:val="en-GB"/>
        </w:rPr>
        <w:t>Country-level data on AWaRe antibiotic use will require a more detailed and transparent assessment of global trade flows. Current methods of bridging data between countries with varying data inputs (e.g., IQVIA MIDAS in GRAM) have considerable bias and uncertainty</w:t>
      </w:r>
      <w:r>
        <w:rPr>
          <w:rFonts w:asciiTheme="minorHAnsi" w:hAnsiTheme="minorHAnsi" w:cstheme="minorHAnsi"/>
          <w:color w:val="000000" w:themeColor="text1"/>
          <w:sz w:val="22"/>
          <w:szCs w:val="22"/>
          <w:lang w:val="en-GB"/>
        </w:rPr>
        <w:t xml:space="preserve">. Improved modelling approaches could provide more representative estimates of population-level antimicrobial exposure, making maximal use of multiple data sources. </w:t>
      </w:r>
    </w:p>
    <w:p w14:paraId="16ACBDE1" w14:textId="77777777" w:rsidR="00F915AF" w:rsidRDefault="00F915AF">
      <w:pPr>
        <w:rPr>
          <w:rFonts w:asciiTheme="minorHAnsi" w:eastAsia="Arial" w:hAnsiTheme="minorHAnsi" w:cstheme="minorHAnsi"/>
          <w:color w:val="000000" w:themeColor="text1"/>
          <w:sz w:val="22"/>
          <w:szCs w:val="22"/>
          <w:lang w:val="en-GB"/>
        </w:rPr>
      </w:pPr>
      <w:r>
        <w:rPr>
          <w:rFonts w:asciiTheme="minorHAnsi" w:eastAsia="Arial" w:hAnsiTheme="minorHAnsi" w:cstheme="minorHAnsi"/>
          <w:color w:val="000000" w:themeColor="text1"/>
          <w:sz w:val="22"/>
          <w:szCs w:val="22"/>
          <w:lang w:val="en-GB"/>
        </w:rPr>
        <w:br w:type="page"/>
      </w:r>
    </w:p>
    <w:p w14:paraId="7ACAED97" w14:textId="77777777" w:rsidR="005D751B" w:rsidRDefault="005D751B" w:rsidP="005D751B">
      <w:pPr>
        <w:pBdr>
          <w:top w:val="single" w:sz="4" w:space="1" w:color="auto"/>
          <w:left w:val="single" w:sz="4" w:space="4" w:color="auto"/>
          <w:bottom w:val="single" w:sz="4" w:space="1" w:color="auto"/>
          <w:right w:val="single" w:sz="4" w:space="4" w:color="auto"/>
        </w:pBdr>
        <w:rPr>
          <w:rFonts w:asciiTheme="minorHAnsi" w:eastAsia="Arial" w:hAnsiTheme="minorHAnsi" w:cstheme="minorHAnsi"/>
          <w:b/>
          <w:bCs/>
          <w:color w:val="000000" w:themeColor="text1"/>
          <w:sz w:val="22"/>
          <w:szCs w:val="22"/>
          <w:lang w:val="en-GB"/>
        </w:rPr>
      </w:pPr>
      <w:r w:rsidRPr="00C37A4D">
        <w:rPr>
          <w:rFonts w:asciiTheme="minorHAnsi" w:eastAsia="Arial" w:hAnsiTheme="minorHAnsi" w:cstheme="minorHAnsi"/>
          <w:b/>
          <w:bCs/>
          <w:color w:val="000000" w:themeColor="text1"/>
          <w:sz w:val="22"/>
          <w:szCs w:val="22"/>
          <w:lang w:val="en-GB"/>
        </w:rPr>
        <w:lastRenderedPageBreak/>
        <w:t xml:space="preserve">Panel </w:t>
      </w:r>
      <w:r>
        <w:rPr>
          <w:rFonts w:asciiTheme="minorHAnsi" w:eastAsia="Arial" w:hAnsiTheme="minorHAnsi" w:cstheme="minorHAnsi"/>
          <w:b/>
          <w:bCs/>
          <w:color w:val="000000" w:themeColor="text1"/>
          <w:sz w:val="22"/>
          <w:szCs w:val="22"/>
          <w:lang w:val="en-GB"/>
        </w:rPr>
        <w:t>4</w:t>
      </w:r>
      <w:r w:rsidRPr="00C37A4D">
        <w:rPr>
          <w:rFonts w:asciiTheme="minorHAnsi" w:eastAsia="Arial" w:hAnsiTheme="minorHAnsi" w:cstheme="minorHAnsi"/>
          <w:b/>
          <w:bCs/>
          <w:color w:val="000000" w:themeColor="text1"/>
          <w:sz w:val="22"/>
          <w:szCs w:val="22"/>
          <w:lang w:val="en-GB"/>
        </w:rPr>
        <w:t xml:space="preserve">. </w:t>
      </w:r>
      <w:r>
        <w:rPr>
          <w:rFonts w:asciiTheme="minorHAnsi" w:eastAsia="Arial" w:hAnsiTheme="minorHAnsi" w:cstheme="minorHAnsi"/>
          <w:b/>
          <w:bCs/>
          <w:color w:val="000000" w:themeColor="text1"/>
          <w:sz w:val="22"/>
          <w:szCs w:val="22"/>
          <w:lang w:val="en-GB"/>
        </w:rPr>
        <w:t>Pathways to more actionable AMR surveillance</w:t>
      </w:r>
    </w:p>
    <w:p w14:paraId="5609ABAC" w14:textId="77777777" w:rsidR="005D751B" w:rsidRPr="00C37A4D" w:rsidRDefault="005D751B" w:rsidP="005D751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lang w:val="en-GB"/>
        </w:rPr>
      </w:pPr>
      <w:r w:rsidRPr="00C37A4D">
        <w:rPr>
          <w:rFonts w:asciiTheme="minorHAnsi" w:eastAsia="Arial" w:hAnsiTheme="minorHAnsi" w:cstheme="minorHAnsi"/>
          <w:color w:val="000000" w:themeColor="text1"/>
          <w:sz w:val="22"/>
          <w:szCs w:val="22"/>
          <w:lang w:val="en-GB"/>
        </w:rPr>
        <w:t xml:space="preserve">Additional investment and innovation in surveillance of AMR </w:t>
      </w:r>
      <w:r>
        <w:rPr>
          <w:rFonts w:asciiTheme="minorHAnsi" w:eastAsia="Arial" w:hAnsiTheme="minorHAnsi" w:cstheme="minorHAnsi"/>
          <w:color w:val="000000" w:themeColor="text1"/>
          <w:sz w:val="22"/>
          <w:szCs w:val="22"/>
          <w:lang w:val="en-GB"/>
        </w:rPr>
        <w:t>is</w:t>
      </w:r>
      <w:r w:rsidRPr="00C37A4D">
        <w:rPr>
          <w:rFonts w:asciiTheme="minorHAnsi" w:eastAsia="Arial" w:hAnsiTheme="minorHAnsi" w:cstheme="minorHAnsi"/>
          <w:color w:val="000000" w:themeColor="text1"/>
          <w:sz w:val="22"/>
          <w:szCs w:val="22"/>
          <w:lang w:val="en-GB"/>
        </w:rPr>
        <w:t xml:space="preserve"> essential</w:t>
      </w:r>
      <w:r>
        <w:rPr>
          <w:rFonts w:asciiTheme="minorHAnsi" w:eastAsia="Arial" w:hAnsiTheme="minorHAnsi" w:cstheme="minorHAnsi"/>
          <w:color w:val="000000" w:themeColor="text1"/>
          <w:sz w:val="22"/>
          <w:szCs w:val="22"/>
          <w:lang w:val="en-GB"/>
        </w:rPr>
        <w:t xml:space="preserve">. </w:t>
      </w:r>
      <w:r w:rsidRPr="00C37A4D">
        <w:rPr>
          <w:rFonts w:asciiTheme="minorHAnsi" w:hAnsiTheme="minorHAnsi" w:cstheme="minorHAnsi"/>
          <w:color w:val="000000" w:themeColor="text1"/>
          <w:sz w:val="22"/>
          <w:szCs w:val="22"/>
          <w:lang w:val="en-GB"/>
        </w:rPr>
        <w:t xml:space="preserve">To investigate AMR prevalence in the community and avoid the clinical isolate bias, active sampling of healthy populations is required. </w:t>
      </w:r>
      <w:r>
        <w:rPr>
          <w:rFonts w:asciiTheme="minorHAnsi" w:hAnsiTheme="minorHAnsi" w:cstheme="minorHAnsi"/>
          <w:color w:val="000000" w:themeColor="text1"/>
          <w:sz w:val="22"/>
          <w:szCs w:val="22"/>
          <w:lang w:val="en-GB"/>
        </w:rPr>
        <w:t xml:space="preserve">Cost is a key consideration, particularly in LMICs. </w:t>
      </w:r>
      <w:r w:rsidRPr="00C37A4D">
        <w:rPr>
          <w:rFonts w:asciiTheme="minorHAnsi" w:hAnsiTheme="minorHAnsi" w:cstheme="minorHAnsi"/>
          <w:color w:val="000000" w:themeColor="text1"/>
          <w:sz w:val="22"/>
          <w:szCs w:val="22"/>
          <w:lang w:val="en-GB"/>
        </w:rPr>
        <w:t xml:space="preserve">An exemplary approach for community sampling </w:t>
      </w:r>
      <w:r>
        <w:rPr>
          <w:rFonts w:asciiTheme="minorHAnsi" w:hAnsiTheme="minorHAnsi" w:cstheme="minorHAnsi"/>
          <w:color w:val="000000" w:themeColor="text1"/>
          <w:sz w:val="22"/>
          <w:szCs w:val="22"/>
          <w:lang w:val="en-GB"/>
        </w:rPr>
        <w:t xml:space="preserve">that can be used with limited resources </w:t>
      </w:r>
      <w:r w:rsidRPr="00C37A4D">
        <w:rPr>
          <w:rFonts w:asciiTheme="minorHAnsi" w:hAnsiTheme="minorHAnsi" w:cstheme="minorHAnsi"/>
          <w:color w:val="000000" w:themeColor="text1"/>
          <w:sz w:val="22"/>
          <w:szCs w:val="22"/>
          <w:lang w:val="en-GB"/>
        </w:rPr>
        <w:t xml:space="preserve">is included in the WHO </w:t>
      </w:r>
      <w:proofErr w:type="spellStart"/>
      <w:r w:rsidRPr="00C37A4D">
        <w:rPr>
          <w:rFonts w:asciiTheme="minorHAnsi" w:hAnsiTheme="minorHAnsi" w:cstheme="minorHAnsi"/>
          <w:color w:val="000000" w:themeColor="text1"/>
          <w:sz w:val="22"/>
          <w:szCs w:val="22"/>
          <w:lang w:val="en-GB"/>
        </w:rPr>
        <w:t>Tri</w:t>
      </w:r>
      <w:r>
        <w:rPr>
          <w:rFonts w:asciiTheme="minorHAnsi" w:hAnsiTheme="minorHAnsi" w:cstheme="minorHAnsi"/>
          <w:color w:val="000000" w:themeColor="text1"/>
          <w:sz w:val="22"/>
          <w:szCs w:val="22"/>
          <w:lang w:val="en-GB"/>
        </w:rPr>
        <w:t>C</w:t>
      </w:r>
      <w:r w:rsidRPr="00C37A4D">
        <w:rPr>
          <w:rFonts w:asciiTheme="minorHAnsi" w:hAnsiTheme="minorHAnsi" w:cstheme="minorHAnsi"/>
          <w:color w:val="000000" w:themeColor="text1"/>
          <w:sz w:val="22"/>
          <w:szCs w:val="22"/>
          <w:lang w:val="en-GB"/>
        </w:rPr>
        <w:t>ycle</w:t>
      </w:r>
      <w:proofErr w:type="spellEnd"/>
      <w:r w:rsidRPr="00C37A4D">
        <w:rPr>
          <w:rFonts w:asciiTheme="minorHAnsi" w:hAnsiTheme="minorHAnsi" w:cstheme="minorHAnsi"/>
          <w:color w:val="000000" w:themeColor="text1"/>
          <w:sz w:val="22"/>
          <w:szCs w:val="22"/>
          <w:lang w:val="en-GB"/>
        </w:rPr>
        <w:t xml:space="preserve"> protocol on integrated AMR surveillance through analysis of the prevalence of ESBL-producing </w:t>
      </w:r>
      <w:r w:rsidRPr="00C37A4D">
        <w:rPr>
          <w:rFonts w:asciiTheme="minorHAnsi" w:hAnsiTheme="minorHAnsi" w:cstheme="minorHAnsi"/>
          <w:i/>
          <w:iCs/>
          <w:color w:val="000000" w:themeColor="text1"/>
          <w:sz w:val="22"/>
          <w:szCs w:val="22"/>
          <w:lang w:val="en-GB"/>
        </w:rPr>
        <w:t>E. coli</w:t>
      </w:r>
      <w:r w:rsidRPr="00C37A4D">
        <w:rPr>
          <w:rFonts w:asciiTheme="minorHAnsi" w:hAnsiTheme="minorHAnsi" w:cstheme="minorHAnsi"/>
          <w:color w:val="000000" w:themeColor="text1"/>
          <w:sz w:val="22"/>
          <w:szCs w:val="22"/>
          <w:lang w:val="en-GB"/>
        </w:rPr>
        <w:t xml:space="preserve"> in healthy pregnant women</w:t>
      </w:r>
      <w:r>
        <w:rPr>
          <w:rFonts w:asciiTheme="minorHAnsi" w:hAnsiTheme="minorHAnsi" w:cstheme="minorHAnsi"/>
          <w:color w:val="000000" w:themeColor="text1"/>
          <w:sz w:val="22"/>
          <w:szCs w:val="22"/>
          <w:lang w:val="en-GB"/>
        </w:rPr>
        <w:t>.</w:t>
      </w:r>
      <w:r w:rsidRPr="00E00CFD">
        <w:rPr>
          <w:rFonts w:hAnsiTheme="minorHAnsi"/>
          <w:color w:val="000000"/>
          <w:sz w:val="22"/>
          <w:vertAlign w:val="superscript"/>
        </w:rPr>
        <w:t>148</w:t>
      </w:r>
      <w:r>
        <w:rPr>
          <w:rFonts w:asciiTheme="minorHAnsi" w:hAnsiTheme="minorHAnsi" w:cstheme="minorHAnsi"/>
          <w:color w:val="000000" w:themeColor="text1"/>
          <w:sz w:val="22"/>
          <w:szCs w:val="22"/>
          <w:lang w:val="en-GB"/>
        </w:rPr>
        <w:t xml:space="preserve"> For </w:t>
      </w:r>
      <w:r w:rsidRPr="00C37A4D">
        <w:rPr>
          <w:rFonts w:asciiTheme="minorHAnsi" w:hAnsiTheme="minorHAnsi" w:cstheme="minorHAnsi"/>
          <w:color w:val="000000" w:themeColor="text1"/>
          <w:sz w:val="22"/>
          <w:szCs w:val="22"/>
          <w:lang w:val="en-GB"/>
        </w:rPr>
        <w:t>identif</w:t>
      </w:r>
      <w:r>
        <w:rPr>
          <w:rFonts w:asciiTheme="minorHAnsi" w:hAnsiTheme="minorHAnsi" w:cstheme="minorHAnsi"/>
          <w:color w:val="000000" w:themeColor="text1"/>
          <w:sz w:val="22"/>
          <w:szCs w:val="22"/>
          <w:lang w:val="en-GB"/>
        </w:rPr>
        <w:t>ication of</w:t>
      </w:r>
      <w:r w:rsidRPr="00C37A4D">
        <w:rPr>
          <w:rFonts w:asciiTheme="minorHAnsi" w:hAnsiTheme="minorHAnsi" w:cstheme="minorHAnsi"/>
          <w:color w:val="000000" w:themeColor="text1"/>
          <w:sz w:val="22"/>
          <w:szCs w:val="22"/>
          <w:lang w:val="en-GB"/>
        </w:rPr>
        <w:t xml:space="preserve"> emerging resistance of low community prevalence</w:t>
      </w:r>
      <w:r>
        <w:rPr>
          <w:rFonts w:asciiTheme="minorHAnsi" w:hAnsiTheme="minorHAnsi" w:cstheme="minorHAnsi"/>
          <w:color w:val="000000" w:themeColor="text1"/>
          <w:sz w:val="22"/>
          <w:szCs w:val="22"/>
          <w:lang w:val="en-GB"/>
        </w:rPr>
        <w:t>,</w:t>
      </w:r>
      <w:r w:rsidRPr="00D65A6D">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a</w:t>
      </w:r>
      <w:r w:rsidRPr="00C37A4D">
        <w:rPr>
          <w:rFonts w:asciiTheme="minorHAnsi" w:hAnsiTheme="minorHAnsi" w:cstheme="minorHAnsi"/>
          <w:color w:val="000000" w:themeColor="text1"/>
          <w:sz w:val="22"/>
          <w:szCs w:val="22"/>
          <w:lang w:val="en-GB"/>
        </w:rPr>
        <w:t xml:space="preserve">ctive sampling requires considerable resources. Wastewater analysis can complement human surveillance: resistance rates in isolates retrieved from wastewater have been shown to be highly correlated with those of the </w:t>
      </w:r>
      <w:r>
        <w:rPr>
          <w:rFonts w:asciiTheme="minorHAnsi" w:hAnsiTheme="minorHAnsi" w:cstheme="minorHAnsi"/>
          <w:color w:val="000000" w:themeColor="text1"/>
          <w:sz w:val="22"/>
          <w:szCs w:val="22"/>
          <w:lang w:val="en-GB"/>
        </w:rPr>
        <w:t>associated</w:t>
      </w:r>
      <w:r w:rsidRPr="00C37A4D">
        <w:rPr>
          <w:rFonts w:asciiTheme="minorHAnsi" w:hAnsiTheme="minorHAnsi" w:cstheme="minorHAnsi"/>
          <w:color w:val="000000" w:themeColor="text1"/>
          <w:sz w:val="22"/>
          <w:szCs w:val="22"/>
          <w:lang w:val="en-GB"/>
        </w:rPr>
        <w:t xml:space="preserve"> human communit</w:t>
      </w:r>
      <w:r>
        <w:rPr>
          <w:rFonts w:asciiTheme="minorHAnsi" w:hAnsiTheme="minorHAnsi" w:cstheme="minorHAnsi"/>
          <w:color w:val="000000" w:themeColor="text1"/>
          <w:sz w:val="22"/>
          <w:szCs w:val="22"/>
          <w:lang w:val="en-GB"/>
        </w:rPr>
        <w:t>y</w:t>
      </w:r>
      <w:r w:rsidRPr="00C37A4D">
        <w:rPr>
          <w:rFonts w:asciiTheme="minorHAnsi" w:hAnsiTheme="minorHAnsi" w:cstheme="minorHAnsi"/>
          <w:color w:val="000000" w:themeColor="text1"/>
          <w:sz w:val="22"/>
          <w:szCs w:val="22"/>
          <w:lang w:val="en-GB"/>
        </w:rPr>
        <w:t>.</w:t>
      </w:r>
      <w:r w:rsidRPr="00E00CFD">
        <w:rPr>
          <w:rFonts w:hAnsiTheme="minorHAnsi"/>
          <w:color w:val="000000"/>
          <w:sz w:val="22"/>
          <w:vertAlign w:val="superscript"/>
        </w:rPr>
        <w:t>149,150</w:t>
      </w:r>
      <w:r w:rsidRPr="00C37A4D">
        <w:rPr>
          <w:rFonts w:asciiTheme="minorHAnsi" w:hAnsiTheme="minorHAnsi" w:cstheme="minorHAnsi"/>
          <w:color w:val="000000" w:themeColor="text1"/>
          <w:sz w:val="22"/>
          <w:szCs w:val="22"/>
          <w:lang w:val="en-GB"/>
        </w:rPr>
        <w:t xml:space="preserve"> However, international validation of wastewater analysis of AMR, </w:t>
      </w:r>
      <w:r>
        <w:rPr>
          <w:rFonts w:asciiTheme="minorHAnsi" w:hAnsiTheme="minorHAnsi" w:cstheme="minorHAnsi"/>
          <w:color w:val="000000" w:themeColor="text1"/>
          <w:sz w:val="22"/>
          <w:szCs w:val="22"/>
          <w:lang w:val="en-GB"/>
        </w:rPr>
        <w:t xml:space="preserve">especially for </w:t>
      </w:r>
      <w:r w:rsidRPr="00C37A4D">
        <w:rPr>
          <w:rFonts w:asciiTheme="minorHAnsi" w:hAnsiTheme="minorHAnsi" w:cstheme="minorHAnsi"/>
          <w:color w:val="000000" w:themeColor="text1"/>
          <w:sz w:val="22"/>
          <w:szCs w:val="22"/>
          <w:lang w:val="en-GB"/>
        </w:rPr>
        <w:t>the quantitative relationship between wastewater outcomes and population carriage</w:t>
      </w:r>
      <w:r>
        <w:rPr>
          <w:rFonts w:asciiTheme="minorHAnsi" w:hAnsiTheme="minorHAnsi" w:cstheme="minorHAnsi"/>
          <w:color w:val="000000" w:themeColor="text1"/>
          <w:sz w:val="22"/>
          <w:szCs w:val="22"/>
          <w:lang w:val="en-GB"/>
        </w:rPr>
        <w:t xml:space="preserve"> and for non-sewered situations</w:t>
      </w:r>
      <w:r w:rsidRPr="00C37A4D">
        <w:rPr>
          <w:rFonts w:asciiTheme="minorHAnsi" w:hAnsiTheme="minorHAnsi" w:cstheme="minorHAnsi"/>
          <w:color w:val="000000" w:themeColor="text1"/>
          <w:sz w:val="22"/>
          <w:szCs w:val="22"/>
          <w:lang w:val="en-GB"/>
        </w:rPr>
        <w:t xml:space="preserve">, is required before wastewater sampling can be recommended for wide application. </w:t>
      </w:r>
    </w:p>
    <w:p w14:paraId="4C0BBC07" w14:textId="77777777" w:rsidR="005D751B" w:rsidRPr="00C37A4D" w:rsidRDefault="005D751B" w:rsidP="005D751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lang w:val="en-GB"/>
        </w:rPr>
      </w:pPr>
    </w:p>
    <w:p w14:paraId="79392A83" w14:textId="77777777" w:rsidR="005D751B" w:rsidRPr="00C37A4D" w:rsidRDefault="005D751B" w:rsidP="005D751B">
      <w:pPr>
        <w:pBdr>
          <w:top w:val="single" w:sz="4" w:space="1" w:color="auto"/>
          <w:left w:val="single" w:sz="4" w:space="4" w:color="auto"/>
          <w:bottom w:val="single" w:sz="4" w:space="1" w:color="auto"/>
          <w:right w:val="single" w:sz="4" w:space="4" w:color="auto"/>
        </w:pBdr>
        <w:rPr>
          <w:rFonts w:asciiTheme="minorHAnsi" w:eastAsia="Roboto" w:hAnsiTheme="minorHAnsi" w:cstheme="minorHAnsi"/>
          <w:color w:val="000000" w:themeColor="text1"/>
          <w:sz w:val="22"/>
          <w:szCs w:val="22"/>
          <w:lang w:val="en-GB"/>
        </w:rPr>
      </w:pPr>
      <w:r>
        <w:rPr>
          <w:rFonts w:asciiTheme="minorHAnsi" w:eastAsia="Roboto" w:hAnsiTheme="minorHAnsi" w:cstheme="minorHAnsi"/>
          <w:color w:val="000000" w:themeColor="text1"/>
          <w:sz w:val="22"/>
          <w:szCs w:val="22"/>
          <w:lang w:val="en-GB"/>
        </w:rPr>
        <w:t>A</w:t>
      </w:r>
      <w:r w:rsidRPr="00C37A4D">
        <w:rPr>
          <w:rFonts w:asciiTheme="minorHAnsi" w:eastAsia="Roboto" w:hAnsiTheme="minorHAnsi" w:cstheme="minorHAnsi"/>
          <w:color w:val="000000" w:themeColor="text1"/>
          <w:sz w:val="22"/>
          <w:szCs w:val="22"/>
          <w:lang w:val="en-GB"/>
        </w:rPr>
        <w:t>vailable clinical and microbiological information needs to be collated and conveyed to policymakers in easily interpretable forms</w:t>
      </w:r>
      <w:r>
        <w:rPr>
          <w:rFonts w:asciiTheme="minorHAnsi" w:eastAsia="Roboto" w:hAnsiTheme="minorHAnsi" w:cstheme="minorHAnsi"/>
          <w:color w:val="000000" w:themeColor="text1"/>
          <w:sz w:val="22"/>
          <w:szCs w:val="22"/>
          <w:lang w:val="en-GB"/>
        </w:rPr>
        <w:t xml:space="preserve"> so that it is used in decision-making</w:t>
      </w:r>
      <w:r w:rsidRPr="00C37A4D">
        <w:rPr>
          <w:rFonts w:asciiTheme="minorHAnsi" w:eastAsia="Roboto" w:hAnsiTheme="minorHAnsi" w:cstheme="minorHAnsi"/>
          <w:color w:val="000000" w:themeColor="text1"/>
          <w:sz w:val="22"/>
          <w:szCs w:val="22"/>
          <w:lang w:val="en-GB"/>
        </w:rPr>
        <w:t xml:space="preserve">. During the COVID-19 pandemic, </w:t>
      </w:r>
      <w:r>
        <w:rPr>
          <w:rFonts w:asciiTheme="minorHAnsi" w:eastAsia="Roboto" w:hAnsiTheme="minorHAnsi" w:cstheme="minorHAnsi"/>
          <w:color w:val="000000" w:themeColor="text1"/>
          <w:sz w:val="22"/>
          <w:szCs w:val="22"/>
          <w:lang w:val="en-GB"/>
        </w:rPr>
        <w:t xml:space="preserve">several </w:t>
      </w:r>
      <w:r w:rsidRPr="00C37A4D">
        <w:rPr>
          <w:rFonts w:asciiTheme="minorHAnsi" w:eastAsia="Roboto" w:hAnsiTheme="minorHAnsi" w:cstheme="minorHAnsi"/>
          <w:color w:val="000000" w:themeColor="text1"/>
          <w:sz w:val="22"/>
          <w:szCs w:val="22"/>
          <w:lang w:val="en-GB"/>
        </w:rPr>
        <w:t>platforms—some of them pre-existing—that distilled information about the epidemiological distribution and trajectory of genetic variants were used by policymakers.</w:t>
      </w:r>
      <w:r w:rsidRPr="00E00CFD">
        <w:rPr>
          <w:rFonts w:hAnsiTheme="minorHAnsi"/>
          <w:color w:val="000000"/>
          <w:sz w:val="22"/>
          <w:vertAlign w:val="superscript"/>
        </w:rPr>
        <w:t>151</w:t>
      </w:r>
      <w:r w:rsidRPr="00C37A4D">
        <w:rPr>
          <w:rFonts w:asciiTheme="minorHAnsi" w:eastAsia="Roboto" w:hAnsiTheme="minorHAnsi" w:cstheme="minorHAnsi"/>
          <w:color w:val="000000" w:themeColor="text1"/>
          <w:sz w:val="22"/>
          <w:szCs w:val="22"/>
          <w:lang w:val="en-GB"/>
        </w:rPr>
        <w:t xml:space="preserve"> Similar tools are emerging for AMR. They include pathogen-specific platforms, such as </w:t>
      </w:r>
      <w:proofErr w:type="spellStart"/>
      <w:r w:rsidRPr="00C37A4D">
        <w:rPr>
          <w:rFonts w:asciiTheme="minorHAnsi" w:eastAsia="Roboto" w:hAnsiTheme="minorHAnsi" w:cstheme="minorHAnsi"/>
          <w:color w:val="000000" w:themeColor="text1"/>
          <w:sz w:val="22"/>
          <w:szCs w:val="22"/>
          <w:lang w:val="en-GB"/>
        </w:rPr>
        <w:t>Typhinet</w:t>
      </w:r>
      <w:proofErr w:type="spellEnd"/>
      <w:r w:rsidRPr="00C37A4D">
        <w:rPr>
          <w:rFonts w:asciiTheme="minorHAnsi" w:eastAsia="Roboto" w:hAnsiTheme="minorHAnsi" w:cstheme="minorHAnsi"/>
          <w:color w:val="000000" w:themeColor="text1"/>
          <w:sz w:val="22"/>
          <w:szCs w:val="22"/>
          <w:lang w:val="en-GB"/>
        </w:rPr>
        <w:t xml:space="preserve"> and </w:t>
      </w:r>
      <w:proofErr w:type="spellStart"/>
      <w:r w:rsidRPr="00C37A4D">
        <w:rPr>
          <w:rFonts w:asciiTheme="minorHAnsi" w:eastAsia="Roboto" w:hAnsiTheme="minorHAnsi" w:cstheme="minorHAnsi"/>
          <w:color w:val="000000" w:themeColor="text1"/>
          <w:sz w:val="22"/>
          <w:szCs w:val="22"/>
          <w:lang w:val="en-GB"/>
        </w:rPr>
        <w:t>Klebnet</w:t>
      </w:r>
      <w:proofErr w:type="spellEnd"/>
      <w:r w:rsidRPr="00C37A4D">
        <w:rPr>
          <w:rFonts w:asciiTheme="minorHAnsi" w:eastAsia="Roboto" w:hAnsiTheme="minorHAnsi" w:cstheme="minorHAnsi"/>
          <w:color w:val="000000" w:themeColor="text1"/>
          <w:sz w:val="22"/>
          <w:szCs w:val="22"/>
          <w:lang w:val="en-GB"/>
        </w:rPr>
        <w:t xml:space="preserve">, as well as the </w:t>
      </w:r>
      <w:proofErr w:type="spellStart"/>
      <w:r w:rsidRPr="00C37A4D">
        <w:rPr>
          <w:rFonts w:asciiTheme="minorHAnsi" w:eastAsia="Roboto" w:hAnsiTheme="minorHAnsi" w:cstheme="minorHAnsi"/>
          <w:color w:val="000000" w:themeColor="text1"/>
          <w:sz w:val="22"/>
          <w:szCs w:val="22"/>
          <w:lang w:val="en-GB"/>
        </w:rPr>
        <w:t>ResistanceMap</w:t>
      </w:r>
      <w:proofErr w:type="spellEnd"/>
      <w:r w:rsidRPr="00C37A4D">
        <w:rPr>
          <w:rFonts w:asciiTheme="minorHAnsi" w:eastAsia="Roboto" w:hAnsiTheme="minorHAnsi" w:cstheme="minorHAnsi"/>
          <w:color w:val="000000" w:themeColor="text1"/>
          <w:sz w:val="22"/>
          <w:szCs w:val="22"/>
          <w:lang w:val="en-GB"/>
        </w:rPr>
        <w:t xml:space="preserve"> database and </w:t>
      </w:r>
      <w:proofErr w:type="spellStart"/>
      <w:proofErr w:type="gramStart"/>
      <w:r w:rsidRPr="00C37A4D">
        <w:rPr>
          <w:rFonts w:asciiTheme="minorHAnsi" w:eastAsia="Roboto" w:hAnsiTheme="minorHAnsi" w:cstheme="minorHAnsi"/>
          <w:color w:val="000000" w:themeColor="text1"/>
          <w:sz w:val="22"/>
          <w:szCs w:val="22"/>
          <w:lang w:val="en-GB"/>
        </w:rPr>
        <w:t>amr.watch</w:t>
      </w:r>
      <w:proofErr w:type="spellEnd"/>
      <w:proofErr w:type="gramEnd"/>
      <w:r w:rsidRPr="00C37A4D">
        <w:rPr>
          <w:rFonts w:asciiTheme="minorHAnsi" w:eastAsia="Roboto" w:hAnsiTheme="minorHAnsi" w:cstheme="minorHAnsi"/>
          <w:color w:val="000000" w:themeColor="text1"/>
          <w:sz w:val="22"/>
          <w:szCs w:val="22"/>
          <w:lang w:val="en-GB"/>
        </w:rPr>
        <w:t xml:space="preserve"> and </w:t>
      </w:r>
      <w:proofErr w:type="spellStart"/>
      <w:r w:rsidRPr="00C37A4D">
        <w:rPr>
          <w:rFonts w:asciiTheme="minorHAnsi" w:eastAsia="Roboto" w:hAnsiTheme="minorHAnsi" w:cstheme="minorHAnsi"/>
          <w:color w:val="000000" w:themeColor="text1"/>
          <w:sz w:val="22"/>
          <w:szCs w:val="22"/>
          <w:lang w:val="en-GB"/>
        </w:rPr>
        <w:t>amr</w:t>
      </w:r>
      <w:proofErr w:type="spellEnd"/>
      <w:r w:rsidRPr="00C37A4D">
        <w:rPr>
          <w:rFonts w:asciiTheme="minorHAnsi" w:eastAsia="Roboto" w:hAnsiTheme="minorHAnsi" w:cstheme="minorHAnsi"/>
          <w:color w:val="000000" w:themeColor="text1"/>
          <w:sz w:val="22"/>
          <w:szCs w:val="22"/>
          <w:lang w:val="en-GB"/>
        </w:rPr>
        <w:t xml:space="preserve"> net dashboards in development.</w:t>
      </w:r>
      <w:r w:rsidRPr="00E00CFD">
        <w:rPr>
          <w:rFonts w:hAnsiTheme="minorHAnsi"/>
          <w:color w:val="000000"/>
          <w:sz w:val="22"/>
          <w:vertAlign w:val="superscript"/>
        </w:rPr>
        <w:t>123</w:t>
      </w:r>
    </w:p>
    <w:p w14:paraId="2120D8DB" w14:textId="77777777" w:rsidR="005D751B" w:rsidRPr="00C37A4D" w:rsidRDefault="005D751B" w:rsidP="005D751B">
      <w:pPr>
        <w:pBdr>
          <w:top w:val="single" w:sz="4" w:space="1" w:color="auto"/>
          <w:left w:val="single" w:sz="4" w:space="4" w:color="auto"/>
          <w:bottom w:val="single" w:sz="4" w:space="1" w:color="auto"/>
          <w:right w:val="single" w:sz="4" w:space="4" w:color="auto"/>
        </w:pBdr>
        <w:rPr>
          <w:rFonts w:asciiTheme="minorHAnsi" w:eastAsia="Arial" w:hAnsiTheme="minorHAnsi" w:cstheme="minorHAnsi"/>
          <w:color w:val="000000" w:themeColor="text1"/>
          <w:sz w:val="22"/>
          <w:szCs w:val="22"/>
          <w:lang w:val="en-GB"/>
        </w:rPr>
      </w:pPr>
    </w:p>
    <w:p w14:paraId="042C0761" w14:textId="77777777" w:rsidR="005D751B" w:rsidRPr="00C37A4D" w:rsidRDefault="005D751B" w:rsidP="005D751B">
      <w:pPr>
        <w:pBdr>
          <w:top w:val="single" w:sz="4" w:space="1" w:color="auto"/>
          <w:left w:val="single" w:sz="4" w:space="4" w:color="auto"/>
          <w:bottom w:val="single" w:sz="4" w:space="1" w:color="auto"/>
          <w:right w:val="single" w:sz="4" w:space="4" w:color="auto"/>
        </w:pBdr>
        <w:rPr>
          <w:sz w:val="22"/>
          <w:szCs w:val="22"/>
        </w:rPr>
      </w:pPr>
      <w:r>
        <w:rPr>
          <w:sz w:val="22"/>
          <w:szCs w:val="22"/>
        </w:rPr>
        <w:t>E</w:t>
      </w:r>
      <w:r w:rsidRPr="00C37A4D">
        <w:rPr>
          <w:sz w:val="22"/>
          <w:szCs w:val="22"/>
        </w:rPr>
        <w:t xml:space="preserve">fforts linking surveillance activities </w:t>
      </w:r>
      <w:r>
        <w:rPr>
          <w:sz w:val="22"/>
          <w:szCs w:val="22"/>
        </w:rPr>
        <w:t>in the human and animal domains</w:t>
      </w:r>
      <w:r w:rsidRPr="00C37A4D">
        <w:rPr>
          <w:sz w:val="22"/>
          <w:szCs w:val="22"/>
        </w:rPr>
        <w:t xml:space="preserve"> are still in their infancy, and </w:t>
      </w:r>
      <w:r>
        <w:rPr>
          <w:sz w:val="22"/>
          <w:szCs w:val="22"/>
        </w:rPr>
        <w:t>even less developed for the intersection with</w:t>
      </w:r>
      <w:r w:rsidRPr="00C37A4D">
        <w:rPr>
          <w:sz w:val="22"/>
          <w:szCs w:val="22"/>
        </w:rPr>
        <w:t xml:space="preserve"> the environmental </w:t>
      </w:r>
      <w:r>
        <w:rPr>
          <w:sz w:val="22"/>
          <w:szCs w:val="22"/>
        </w:rPr>
        <w:t>and</w:t>
      </w:r>
      <w:r w:rsidRPr="00C37A4D">
        <w:rPr>
          <w:sz w:val="22"/>
          <w:szCs w:val="22"/>
        </w:rPr>
        <w:t xml:space="preserve"> plant domain. </w:t>
      </w:r>
      <w:r>
        <w:rPr>
          <w:sz w:val="22"/>
          <w:szCs w:val="22"/>
        </w:rPr>
        <w:t>T</w:t>
      </w:r>
      <w:r w:rsidRPr="00C37A4D">
        <w:rPr>
          <w:sz w:val="22"/>
          <w:szCs w:val="22"/>
        </w:rPr>
        <w:t>ransmission of AMR between domains does occur, underpinning the need for integrated</w:t>
      </w:r>
      <w:r>
        <w:rPr>
          <w:sz w:val="22"/>
          <w:szCs w:val="22"/>
        </w:rPr>
        <w:t>,</w:t>
      </w:r>
      <w:r w:rsidRPr="00C37A4D">
        <w:rPr>
          <w:sz w:val="22"/>
          <w:szCs w:val="22"/>
        </w:rPr>
        <w:t xml:space="preserve"> One Health AMR surveillance. For example, restricting the use of antibiotics in food animals </w:t>
      </w:r>
      <w:r>
        <w:rPr>
          <w:sz w:val="22"/>
          <w:szCs w:val="22"/>
        </w:rPr>
        <w:t>is</w:t>
      </w:r>
      <w:r w:rsidRPr="00C37A4D">
        <w:rPr>
          <w:sz w:val="22"/>
          <w:szCs w:val="22"/>
        </w:rPr>
        <w:t xml:space="preserve"> associated with a reduction in the presence of antibiotic</w:t>
      </w:r>
      <w:r>
        <w:rPr>
          <w:sz w:val="22"/>
          <w:szCs w:val="22"/>
        </w:rPr>
        <w:t>-</w:t>
      </w:r>
      <w:r w:rsidRPr="00C37A4D">
        <w:rPr>
          <w:sz w:val="22"/>
          <w:szCs w:val="22"/>
        </w:rPr>
        <w:t>resistant bacteria in humans, predominantly in those with close animal contact,</w:t>
      </w:r>
      <w:r w:rsidRPr="00E00CFD">
        <w:rPr>
          <w:sz w:val="22"/>
          <w:vertAlign w:val="superscript"/>
        </w:rPr>
        <w:t>152</w:t>
      </w:r>
      <w:r w:rsidRPr="00C37A4D">
        <w:rPr>
          <w:sz w:val="22"/>
          <w:szCs w:val="22"/>
        </w:rPr>
        <w:t xml:space="preserve"> probably mediated through transmission of resistant bacteria. Ecologically, resistance levels to specific antibiotics in food animal </w:t>
      </w:r>
      <w:r w:rsidRPr="00C37A4D">
        <w:rPr>
          <w:i/>
          <w:iCs/>
          <w:sz w:val="22"/>
          <w:szCs w:val="22"/>
        </w:rPr>
        <w:t>Campylobacter</w:t>
      </w:r>
      <w:r w:rsidRPr="00C37A4D">
        <w:rPr>
          <w:sz w:val="22"/>
          <w:szCs w:val="22"/>
        </w:rPr>
        <w:t xml:space="preserve"> isolates have been associated with those in humans across European countries,</w:t>
      </w:r>
      <w:r w:rsidRPr="00E00CFD">
        <w:rPr>
          <w:sz w:val="22"/>
          <w:vertAlign w:val="superscript"/>
        </w:rPr>
        <w:t>153</w:t>
      </w:r>
      <w:r w:rsidRPr="00C37A4D">
        <w:rPr>
          <w:sz w:val="22"/>
          <w:szCs w:val="22"/>
        </w:rPr>
        <w:t xml:space="preserve"> again pointing to animal-human transmission. </w:t>
      </w:r>
    </w:p>
    <w:p w14:paraId="2823C219" w14:textId="77777777" w:rsidR="005D751B" w:rsidRPr="00C37A4D" w:rsidRDefault="005D751B" w:rsidP="005D751B">
      <w:pPr>
        <w:pBdr>
          <w:top w:val="single" w:sz="4" w:space="1" w:color="auto"/>
          <w:left w:val="single" w:sz="4" w:space="4" w:color="auto"/>
          <w:bottom w:val="single" w:sz="4" w:space="1" w:color="auto"/>
          <w:right w:val="single" w:sz="4" w:space="4" w:color="auto"/>
        </w:pBdr>
        <w:rPr>
          <w:sz w:val="22"/>
          <w:szCs w:val="22"/>
        </w:rPr>
      </w:pPr>
    </w:p>
    <w:p w14:paraId="7ED9F2D9" w14:textId="77777777" w:rsidR="005D751B" w:rsidRPr="00C37A4D" w:rsidRDefault="005D751B" w:rsidP="005D751B">
      <w:pPr>
        <w:pBdr>
          <w:top w:val="single" w:sz="4" w:space="1" w:color="auto"/>
          <w:left w:val="single" w:sz="4" w:space="4" w:color="auto"/>
          <w:bottom w:val="single" w:sz="4" w:space="1" w:color="auto"/>
          <w:right w:val="single" w:sz="4" w:space="4" w:color="auto"/>
        </w:pBdr>
        <w:rPr>
          <w:sz w:val="22"/>
          <w:szCs w:val="22"/>
        </w:rPr>
      </w:pPr>
      <w:r>
        <w:rPr>
          <w:sz w:val="22"/>
          <w:szCs w:val="22"/>
        </w:rPr>
        <w:t>S</w:t>
      </w:r>
      <w:r w:rsidRPr="00C37A4D">
        <w:rPr>
          <w:sz w:val="22"/>
          <w:szCs w:val="22"/>
        </w:rPr>
        <w:t>tudies on the relevance of environmental exposures alone are mainly limited to recreational activities</w:t>
      </w:r>
      <w:r w:rsidRPr="00C37A4D">
        <w:rPr>
          <w:rStyle w:val="CommentReference"/>
          <w:sz w:val="22"/>
          <w:szCs w:val="22"/>
        </w:rPr>
        <w:t>.</w:t>
      </w:r>
      <w:r w:rsidRPr="00E00CFD">
        <w:rPr>
          <w:sz w:val="22"/>
          <w:vertAlign w:val="superscript"/>
        </w:rPr>
        <w:t>154</w:t>
      </w:r>
      <w:r w:rsidRPr="00C37A4D">
        <w:rPr>
          <w:rStyle w:val="CommentReference"/>
          <w:sz w:val="22"/>
          <w:szCs w:val="22"/>
        </w:rPr>
        <w:t xml:space="preserve"> </w:t>
      </w:r>
      <w:r w:rsidRPr="00C37A4D">
        <w:rPr>
          <w:sz w:val="22"/>
          <w:szCs w:val="22"/>
        </w:rPr>
        <w:t xml:space="preserve">In local studies in Malawi applying a One Health sampling approach, human </w:t>
      </w:r>
      <w:proofErr w:type="spellStart"/>
      <w:r w:rsidRPr="00C37A4D">
        <w:rPr>
          <w:sz w:val="22"/>
          <w:szCs w:val="22"/>
        </w:rPr>
        <w:t>colonisation</w:t>
      </w:r>
      <w:proofErr w:type="spellEnd"/>
      <w:r w:rsidRPr="00C37A4D">
        <w:rPr>
          <w:sz w:val="22"/>
          <w:szCs w:val="22"/>
        </w:rPr>
        <w:t xml:space="preserve"> with ESBL-producing </w:t>
      </w:r>
      <w:r w:rsidRPr="00C37A4D">
        <w:rPr>
          <w:i/>
          <w:iCs/>
          <w:sz w:val="22"/>
          <w:szCs w:val="22"/>
        </w:rPr>
        <w:t>E. coli</w:t>
      </w:r>
      <w:r w:rsidRPr="00C37A4D">
        <w:rPr>
          <w:sz w:val="22"/>
          <w:szCs w:val="22"/>
        </w:rPr>
        <w:t xml:space="preserve"> was found associated with the presence of animals in the household and the wet season, suggesting a major influence of exposure to animals and the environment for ESBL colonisation.</w:t>
      </w:r>
      <w:r w:rsidRPr="00E00CFD">
        <w:rPr>
          <w:sz w:val="22"/>
          <w:vertAlign w:val="superscript"/>
        </w:rPr>
        <w:t>155</w:t>
      </w:r>
      <w:r w:rsidRPr="00C37A4D">
        <w:rPr>
          <w:sz w:val="22"/>
          <w:szCs w:val="22"/>
        </w:rPr>
        <w:t xml:space="preserve"> Higher prevalence of ESBL</w:t>
      </w:r>
      <w:r>
        <w:rPr>
          <w:sz w:val="22"/>
          <w:szCs w:val="22"/>
        </w:rPr>
        <w:t>–</w:t>
      </w:r>
      <w:r w:rsidRPr="00C37A4D">
        <w:rPr>
          <w:i/>
          <w:iCs/>
          <w:sz w:val="22"/>
          <w:szCs w:val="22"/>
        </w:rPr>
        <w:t>E. coli</w:t>
      </w:r>
      <w:r w:rsidRPr="00C37A4D">
        <w:rPr>
          <w:sz w:val="22"/>
          <w:szCs w:val="22"/>
        </w:rPr>
        <w:t xml:space="preserve"> has also been found in pregnant women in Madagascar</w:t>
      </w:r>
      <w:r w:rsidRPr="00E00CFD">
        <w:rPr>
          <w:sz w:val="22"/>
          <w:vertAlign w:val="superscript"/>
        </w:rPr>
        <w:t>156</w:t>
      </w:r>
      <w:r w:rsidRPr="00C37A4D">
        <w:rPr>
          <w:sz w:val="22"/>
          <w:szCs w:val="22"/>
        </w:rPr>
        <w:t xml:space="preserve"> during the wet season and rainfall, probably related to higher fecal-oral dissemination through environmental transmission. Last, according to a systematic review of African studies, drinking water quality can also affect ESBL carriage. </w:t>
      </w:r>
      <w:r>
        <w:rPr>
          <w:sz w:val="22"/>
          <w:szCs w:val="22"/>
        </w:rPr>
        <w:t>Information</w:t>
      </w:r>
      <w:r w:rsidRPr="00C37A4D">
        <w:rPr>
          <w:sz w:val="22"/>
          <w:szCs w:val="22"/>
        </w:rPr>
        <w:t xml:space="preserve"> on the exact transmission routes of resistant bacteria in </w:t>
      </w:r>
      <w:r>
        <w:rPr>
          <w:sz w:val="22"/>
          <w:szCs w:val="22"/>
        </w:rPr>
        <w:t>LMIC</w:t>
      </w:r>
      <w:r w:rsidRPr="00C37A4D">
        <w:rPr>
          <w:sz w:val="22"/>
          <w:szCs w:val="22"/>
        </w:rPr>
        <w:t xml:space="preserve">s is needed to guide interventions. </w:t>
      </w:r>
      <w:r>
        <w:rPr>
          <w:sz w:val="22"/>
          <w:szCs w:val="22"/>
        </w:rPr>
        <w:t>S</w:t>
      </w:r>
      <w:r w:rsidRPr="00C37A4D">
        <w:rPr>
          <w:sz w:val="22"/>
          <w:szCs w:val="22"/>
        </w:rPr>
        <w:t>tudies</w:t>
      </w:r>
      <w:r>
        <w:rPr>
          <w:sz w:val="22"/>
          <w:szCs w:val="22"/>
        </w:rPr>
        <w:t xml:space="preserve"> in this field</w:t>
      </w:r>
      <w:r w:rsidRPr="00C37A4D">
        <w:rPr>
          <w:sz w:val="22"/>
          <w:szCs w:val="22"/>
        </w:rPr>
        <w:t xml:space="preserve"> require simultaneous</w:t>
      </w:r>
      <w:r>
        <w:rPr>
          <w:sz w:val="22"/>
          <w:szCs w:val="22"/>
        </w:rPr>
        <w:t>—</w:t>
      </w:r>
      <w:r w:rsidRPr="00C37A4D">
        <w:rPr>
          <w:sz w:val="22"/>
          <w:szCs w:val="22"/>
        </w:rPr>
        <w:t>and ideally longitudinal</w:t>
      </w:r>
      <w:r>
        <w:rPr>
          <w:sz w:val="22"/>
          <w:szCs w:val="22"/>
        </w:rPr>
        <w:t>—</w:t>
      </w:r>
      <w:r w:rsidRPr="00C37A4D">
        <w:rPr>
          <w:sz w:val="22"/>
          <w:szCs w:val="22"/>
        </w:rPr>
        <w:t>sampling of human populations and environmental matrices and can be informed by systematic environmental surveillance.</w:t>
      </w:r>
      <w:r w:rsidRPr="00E00CFD">
        <w:rPr>
          <w:sz w:val="22"/>
          <w:vertAlign w:val="superscript"/>
        </w:rPr>
        <w:t>157</w:t>
      </w:r>
    </w:p>
    <w:p w14:paraId="0A4670C3" w14:textId="77777777" w:rsidR="005D751B" w:rsidRPr="00C37A4D" w:rsidRDefault="005D751B" w:rsidP="005D751B">
      <w:pPr>
        <w:pBdr>
          <w:top w:val="single" w:sz="4" w:space="1" w:color="auto"/>
          <w:left w:val="single" w:sz="4" w:space="4" w:color="auto"/>
          <w:bottom w:val="single" w:sz="4" w:space="1" w:color="auto"/>
          <w:right w:val="single" w:sz="4" w:space="4" w:color="auto"/>
        </w:pBdr>
        <w:rPr>
          <w:sz w:val="22"/>
          <w:szCs w:val="22"/>
        </w:rPr>
      </w:pPr>
    </w:p>
    <w:p w14:paraId="4B609B1E" w14:textId="77777777" w:rsidR="005D751B" w:rsidRDefault="005D751B" w:rsidP="005D751B">
      <w:pPr>
        <w:pBdr>
          <w:top w:val="single" w:sz="4" w:space="1" w:color="auto"/>
          <w:left w:val="single" w:sz="4" w:space="4" w:color="auto"/>
          <w:bottom w:val="single" w:sz="4" w:space="1" w:color="auto"/>
          <w:right w:val="single" w:sz="4" w:space="4" w:color="auto"/>
        </w:pBdr>
        <w:rPr>
          <w:rFonts w:asciiTheme="minorHAnsi" w:eastAsia="Arial" w:hAnsiTheme="minorHAnsi" w:cstheme="minorHAnsi"/>
          <w:color w:val="000000" w:themeColor="text1"/>
          <w:sz w:val="22"/>
          <w:szCs w:val="22"/>
          <w:lang w:val="en-GB"/>
        </w:rPr>
      </w:pPr>
      <w:r>
        <w:rPr>
          <w:sz w:val="22"/>
          <w:szCs w:val="22"/>
        </w:rPr>
        <w:t>D</w:t>
      </w:r>
      <w:r w:rsidRPr="00C37A4D">
        <w:rPr>
          <w:sz w:val="22"/>
          <w:szCs w:val="22"/>
        </w:rPr>
        <w:t xml:space="preserve">ata on human exposure to AMR from different domains is one </w:t>
      </w:r>
      <w:r>
        <w:rPr>
          <w:sz w:val="22"/>
          <w:szCs w:val="22"/>
        </w:rPr>
        <w:t>output</w:t>
      </w:r>
      <w:r w:rsidRPr="00C37A4D">
        <w:rPr>
          <w:sz w:val="22"/>
          <w:szCs w:val="22"/>
        </w:rPr>
        <w:t xml:space="preserve"> of Integrated One Health surveillance. Other purposes </w:t>
      </w:r>
      <w:r>
        <w:rPr>
          <w:sz w:val="22"/>
          <w:szCs w:val="22"/>
        </w:rPr>
        <w:t>are</w:t>
      </w:r>
      <w:r w:rsidRPr="00C37A4D">
        <w:rPr>
          <w:sz w:val="22"/>
          <w:szCs w:val="22"/>
        </w:rPr>
        <w:t xml:space="preserve"> evaluating trends in AMR or AMU in several domains</w:t>
      </w:r>
      <w:r>
        <w:rPr>
          <w:sz w:val="22"/>
          <w:szCs w:val="22"/>
        </w:rPr>
        <w:t>,</w:t>
      </w:r>
      <w:r w:rsidRPr="00C37A4D">
        <w:rPr>
          <w:sz w:val="22"/>
          <w:szCs w:val="22"/>
        </w:rPr>
        <w:t xml:space="preserve"> monitoring new forms of antimicrobial resistance</w:t>
      </w:r>
      <w:r>
        <w:rPr>
          <w:sz w:val="22"/>
          <w:szCs w:val="22"/>
        </w:rPr>
        <w:t>,</w:t>
      </w:r>
      <w:r w:rsidRPr="00C37A4D">
        <w:rPr>
          <w:sz w:val="22"/>
          <w:szCs w:val="22"/>
        </w:rPr>
        <w:t xml:space="preserve"> </w:t>
      </w:r>
      <w:r>
        <w:rPr>
          <w:sz w:val="22"/>
          <w:szCs w:val="22"/>
        </w:rPr>
        <w:t>and</w:t>
      </w:r>
      <w:r w:rsidRPr="00C37A4D">
        <w:rPr>
          <w:sz w:val="22"/>
          <w:szCs w:val="22"/>
        </w:rPr>
        <w:t xml:space="preserve"> </w:t>
      </w:r>
      <w:proofErr w:type="spellStart"/>
      <w:r w:rsidRPr="00C37A4D">
        <w:rPr>
          <w:sz w:val="22"/>
          <w:szCs w:val="22"/>
        </w:rPr>
        <w:t>analysing</w:t>
      </w:r>
      <w:proofErr w:type="spellEnd"/>
      <w:r w:rsidRPr="00C37A4D">
        <w:rPr>
          <w:sz w:val="22"/>
          <w:szCs w:val="22"/>
        </w:rPr>
        <w:t xml:space="preserve"> the effectiveness of interventions. These goals require different sample sources</w:t>
      </w:r>
      <w:r>
        <w:rPr>
          <w:sz w:val="22"/>
          <w:szCs w:val="22"/>
        </w:rPr>
        <w:t xml:space="preserve"> and</w:t>
      </w:r>
      <w:r w:rsidRPr="00C37A4D">
        <w:rPr>
          <w:sz w:val="22"/>
          <w:szCs w:val="22"/>
        </w:rPr>
        <w:t xml:space="preserve"> analysis endpoints. </w:t>
      </w:r>
      <w:r>
        <w:rPr>
          <w:sz w:val="22"/>
          <w:szCs w:val="22"/>
        </w:rPr>
        <w:t>Among the e</w:t>
      </w:r>
      <w:r w:rsidRPr="00C37A4D">
        <w:rPr>
          <w:sz w:val="22"/>
          <w:szCs w:val="22"/>
        </w:rPr>
        <w:t>fforts to develop guidance on integrated surveillance</w:t>
      </w:r>
      <w:r>
        <w:rPr>
          <w:sz w:val="22"/>
          <w:szCs w:val="22"/>
        </w:rPr>
        <w:t xml:space="preserve"> are</w:t>
      </w:r>
      <w:r w:rsidRPr="00C37A4D">
        <w:rPr>
          <w:sz w:val="22"/>
          <w:szCs w:val="22"/>
        </w:rPr>
        <w:t xml:space="preserve"> Joint Actions within the European Union and the Quadripartite Technical Group on Integrated Surveillance.</w:t>
      </w:r>
      <w:r w:rsidRPr="00E00CFD">
        <w:rPr>
          <w:sz w:val="22"/>
          <w:vertAlign w:val="superscript"/>
        </w:rPr>
        <w:t>158</w:t>
      </w:r>
      <w:r w:rsidRPr="00C37A4D">
        <w:rPr>
          <w:sz w:val="22"/>
          <w:szCs w:val="22"/>
        </w:rPr>
        <w:t xml:space="preserve"> </w:t>
      </w:r>
      <w:r>
        <w:rPr>
          <w:sz w:val="22"/>
          <w:szCs w:val="22"/>
        </w:rPr>
        <w:t xml:space="preserve">A </w:t>
      </w:r>
      <w:r w:rsidRPr="00C37A4D">
        <w:rPr>
          <w:sz w:val="22"/>
          <w:szCs w:val="22"/>
        </w:rPr>
        <w:t xml:space="preserve">blueprint for a </w:t>
      </w:r>
      <w:proofErr w:type="spellStart"/>
      <w:r w:rsidRPr="00C37A4D">
        <w:rPr>
          <w:sz w:val="22"/>
          <w:szCs w:val="22"/>
        </w:rPr>
        <w:t>harmoni</w:t>
      </w:r>
      <w:r>
        <w:rPr>
          <w:sz w:val="22"/>
          <w:szCs w:val="22"/>
        </w:rPr>
        <w:t>s</w:t>
      </w:r>
      <w:r w:rsidRPr="00C37A4D">
        <w:rPr>
          <w:sz w:val="22"/>
          <w:szCs w:val="22"/>
        </w:rPr>
        <w:t>ed</w:t>
      </w:r>
      <w:proofErr w:type="spellEnd"/>
      <w:r w:rsidRPr="00C37A4D">
        <w:rPr>
          <w:sz w:val="22"/>
          <w:szCs w:val="22"/>
        </w:rPr>
        <w:t xml:space="preserve"> sampling effort with </w:t>
      </w:r>
      <w:r>
        <w:rPr>
          <w:sz w:val="22"/>
          <w:szCs w:val="22"/>
        </w:rPr>
        <w:t>ESBL–</w:t>
      </w:r>
      <w:r w:rsidRPr="0066136A">
        <w:rPr>
          <w:i/>
          <w:iCs/>
          <w:sz w:val="22"/>
          <w:szCs w:val="22"/>
        </w:rPr>
        <w:t>E. coli</w:t>
      </w:r>
      <w:r>
        <w:rPr>
          <w:sz w:val="22"/>
          <w:szCs w:val="22"/>
        </w:rPr>
        <w:t xml:space="preserve"> as </w:t>
      </w:r>
      <w:r w:rsidRPr="00C37A4D">
        <w:rPr>
          <w:sz w:val="22"/>
          <w:szCs w:val="22"/>
        </w:rPr>
        <w:t xml:space="preserve">one </w:t>
      </w:r>
      <w:r w:rsidRPr="00C37A4D">
        <w:rPr>
          <w:sz w:val="22"/>
          <w:szCs w:val="22"/>
        </w:rPr>
        <w:lastRenderedPageBreak/>
        <w:t>common indicator has been put forward by WHO</w:t>
      </w:r>
      <w:r>
        <w:rPr>
          <w:sz w:val="22"/>
          <w:szCs w:val="22"/>
        </w:rPr>
        <w:t>.</w:t>
      </w:r>
      <w:r w:rsidRPr="00E00CFD">
        <w:rPr>
          <w:sz w:val="22"/>
          <w:vertAlign w:val="superscript"/>
        </w:rPr>
        <w:t>31</w:t>
      </w:r>
      <w:r w:rsidRPr="00C37A4D">
        <w:rPr>
          <w:sz w:val="22"/>
          <w:szCs w:val="22"/>
        </w:rPr>
        <w:t xml:space="preserve"> </w:t>
      </w:r>
      <w:r>
        <w:rPr>
          <w:rFonts w:asciiTheme="minorHAnsi" w:hAnsiTheme="minorHAnsi" w:cstheme="minorHAnsi"/>
          <w:color w:val="000000" w:themeColor="text1"/>
          <w:sz w:val="22"/>
          <w:szCs w:val="22"/>
          <w:lang w:val="en-GB"/>
        </w:rPr>
        <w:t xml:space="preserve">This integrated </w:t>
      </w:r>
      <w:proofErr w:type="spellStart"/>
      <w:r>
        <w:rPr>
          <w:rFonts w:asciiTheme="minorHAnsi" w:hAnsiTheme="minorHAnsi" w:cstheme="minorHAnsi"/>
          <w:color w:val="000000" w:themeColor="text1"/>
          <w:sz w:val="22"/>
          <w:szCs w:val="22"/>
          <w:lang w:val="en-GB"/>
        </w:rPr>
        <w:t>TriCycle</w:t>
      </w:r>
      <w:proofErr w:type="spellEnd"/>
      <w:r>
        <w:rPr>
          <w:rFonts w:asciiTheme="minorHAnsi" w:hAnsiTheme="minorHAnsi" w:cstheme="minorHAnsi"/>
          <w:color w:val="000000" w:themeColor="text1"/>
          <w:sz w:val="22"/>
          <w:szCs w:val="22"/>
          <w:lang w:val="en-GB"/>
        </w:rPr>
        <w:t xml:space="preserve"> protocol includes resistance in bloodstream infections and in the community, poultry and poultry wet market or slaughterhouse wastewater, human wastewater, and river water</w:t>
      </w:r>
      <w:r w:rsidRPr="00C37A4D">
        <w:rPr>
          <w:rFonts w:asciiTheme="minorHAnsi" w:hAnsiTheme="minorHAnsi" w:cstheme="minorHAnsi"/>
          <w:color w:val="000000" w:themeColor="text1"/>
          <w:sz w:val="22"/>
          <w:szCs w:val="22"/>
          <w:lang w:val="en-GB"/>
        </w:rPr>
        <w:t>.</w:t>
      </w:r>
      <w:r w:rsidRPr="00E00CFD">
        <w:rPr>
          <w:rFonts w:hAnsiTheme="minorHAnsi"/>
          <w:color w:val="000000"/>
          <w:sz w:val="22"/>
          <w:vertAlign w:val="superscript"/>
        </w:rPr>
        <w:t>31</w:t>
      </w:r>
      <w:r w:rsidRPr="00C37A4D">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 xml:space="preserve">First </w:t>
      </w:r>
      <w:proofErr w:type="spellStart"/>
      <w:r>
        <w:rPr>
          <w:rFonts w:asciiTheme="minorHAnsi" w:hAnsiTheme="minorHAnsi" w:cstheme="minorHAnsi"/>
          <w:color w:val="000000" w:themeColor="text1"/>
          <w:sz w:val="22"/>
          <w:szCs w:val="22"/>
          <w:lang w:val="en-GB"/>
        </w:rPr>
        <w:t>TriCycle</w:t>
      </w:r>
      <w:proofErr w:type="spellEnd"/>
      <w:r>
        <w:rPr>
          <w:rFonts w:asciiTheme="minorHAnsi" w:hAnsiTheme="minorHAnsi" w:cstheme="minorHAnsi"/>
          <w:color w:val="000000" w:themeColor="text1"/>
          <w:sz w:val="22"/>
          <w:szCs w:val="22"/>
          <w:lang w:val="en-GB"/>
        </w:rPr>
        <w:t xml:space="preserve"> iterations have been completed in Indonesia,</w:t>
      </w:r>
      <w:r w:rsidRPr="00E00CFD">
        <w:rPr>
          <w:rFonts w:hAnsiTheme="minorHAnsi"/>
          <w:color w:val="000000"/>
          <w:sz w:val="22"/>
          <w:vertAlign w:val="superscript"/>
        </w:rPr>
        <w:t>159</w:t>
      </w:r>
      <w:r>
        <w:rPr>
          <w:rFonts w:asciiTheme="minorHAnsi" w:hAnsiTheme="minorHAnsi" w:cstheme="minorHAnsi"/>
          <w:color w:val="000000" w:themeColor="text1"/>
          <w:sz w:val="22"/>
          <w:szCs w:val="22"/>
          <w:lang w:val="en-GB"/>
        </w:rPr>
        <w:t xml:space="preserve"> Madagascar,</w:t>
      </w:r>
      <w:r w:rsidRPr="00E00CFD">
        <w:rPr>
          <w:rFonts w:hAnsiTheme="minorHAnsi"/>
          <w:color w:val="000000"/>
          <w:sz w:val="22"/>
          <w:vertAlign w:val="superscript"/>
        </w:rPr>
        <w:t>156</w:t>
      </w:r>
      <w:r>
        <w:rPr>
          <w:rFonts w:asciiTheme="minorHAnsi" w:hAnsiTheme="minorHAnsi" w:cstheme="minorHAnsi"/>
          <w:color w:val="000000" w:themeColor="text1"/>
          <w:sz w:val="22"/>
          <w:szCs w:val="22"/>
          <w:lang w:val="en-GB"/>
        </w:rPr>
        <w:t xml:space="preserve"> Ghana,</w:t>
      </w:r>
      <w:r w:rsidRPr="00E00CFD">
        <w:rPr>
          <w:rFonts w:hAnsiTheme="minorHAnsi"/>
          <w:color w:val="000000"/>
          <w:sz w:val="22"/>
          <w:vertAlign w:val="superscript"/>
        </w:rPr>
        <w:t>160</w:t>
      </w:r>
      <w:r>
        <w:rPr>
          <w:rFonts w:asciiTheme="minorHAnsi" w:hAnsiTheme="minorHAnsi" w:cstheme="minorHAnsi"/>
          <w:color w:val="000000" w:themeColor="text1"/>
          <w:sz w:val="22"/>
          <w:szCs w:val="22"/>
          <w:lang w:val="en-GB"/>
        </w:rPr>
        <w:t xml:space="preserve"> and Pakistan, and the protocol is being applied in several other countries.</w:t>
      </w:r>
    </w:p>
    <w:p w14:paraId="542BA32A" w14:textId="77777777" w:rsidR="005D751B" w:rsidRPr="00C37A4D" w:rsidRDefault="005D751B" w:rsidP="005D751B">
      <w:pPr>
        <w:pBdr>
          <w:top w:val="single" w:sz="4" w:space="1" w:color="auto"/>
          <w:left w:val="single" w:sz="4" w:space="4" w:color="auto"/>
          <w:bottom w:val="single" w:sz="4" w:space="1" w:color="auto"/>
          <w:right w:val="single" w:sz="4" w:space="4" w:color="auto"/>
        </w:pBdr>
        <w:rPr>
          <w:rFonts w:asciiTheme="minorHAnsi" w:eastAsia="Roboto" w:hAnsiTheme="minorHAnsi" w:cstheme="minorHAnsi"/>
          <w:color w:val="000000" w:themeColor="text1"/>
          <w:sz w:val="22"/>
          <w:szCs w:val="22"/>
          <w:lang w:val="en-GB"/>
        </w:rPr>
      </w:pPr>
    </w:p>
    <w:p w14:paraId="291F7739" w14:textId="77777777" w:rsidR="005D751B" w:rsidRPr="00C37A4D" w:rsidRDefault="005D751B" w:rsidP="005D751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lang w:val="en-GB"/>
        </w:rPr>
      </w:pPr>
      <w:r w:rsidRPr="00C37A4D">
        <w:rPr>
          <w:rFonts w:asciiTheme="minorHAnsi" w:hAnsiTheme="minorHAnsi" w:cstheme="minorHAnsi"/>
          <w:color w:val="000000" w:themeColor="text1"/>
          <w:sz w:val="22"/>
          <w:szCs w:val="22"/>
          <w:lang w:val="en-GB"/>
        </w:rPr>
        <w:t xml:space="preserve">Where surveillance data on resistance and </w:t>
      </w:r>
      <w:r>
        <w:rPr>
          <w:rFonts w:asciiTheme="minorHAnsi" w:hAnsiTheme="minorHAnsi" w:cstheme="minorHAnsi"/>
          <w:color w:val="000000" w:themeColor="text1"/>
          <w:sz w:val="22"/>
          <w:szCs w:val="22"/>
          <w:lang w:val="en-GB"/>
        </w:rPr>
        <w:t>use</w:t>
      </w:r>
      <w:r w:rsidRPr="00C37A4D">
        <w:rPr>
          <w:rFonts w:asciiTheme="minorHAnsi" w:hAnsiTheme="minorHAnsi" w:cstheme="minorHAnsi"/>
          <w:color w:val="000000" w:themeColor="text1"/>
          <w:sz w:val="22"/>
          <w:szCs w:val="22"/>
          <w:lang w:val="en-GB"/>
        </w:rPr>
        <w:t xml:space="preserve"> are lacking, how can we derive the evidence we need? Modelling is associated with uncertainty because it assumes that a relationship between AMR and risk factors is valid across similar geographies, which it often is not. Nevertheless, filling data gaps can help synthe</w:t>
      </w:r>
      <w:r>
        <w:rPr>
          <w:rFonts w:asciiTheme="minorHAnsi" w:hAnsiTheme="minorHAnsi" w:cstheme="minorHAnsi"/>
          <w:color w:val="000000" w:themeColor="text1"/>
          <w:sz w:val="22"/>
          <w:szCs w:val="22"/>
          <w:lang w:val="en-GB"/>
        </w:rPr>
        <w:t>s</w:t>
      </w:r>
      <w:r w:rsidRPr="00C37A4D">
        <w:rPr>
          <w:rFonts w:asciiTheme="minorHAnsi" w:hAnsiTheme="minorHAnsi" w:cstheme="minorHAnsi"/>
          <w:color w:val="000000" w:themeColor="text1"/>
          <w:sz w:val="22"/>
          <w:szCs w:val="22"/>
          <w:lang w:val="en-GB"/>
        </w:rPr>
        <w:t xml:space="preserve">ise evidence to estimate a burden for comparison across regions or diseases and can thus help set priorities. Filling gaps can also motivate surveillance by calling on doubters to challenge a model with data. Extrapolation has greater uncertainty than gap filling because it assumes that a relationship between AMR and risk factors will remain valid beyond the temporal or geographic domains used for training the model. Extrapolations can nevertheless serve a purpose </w:t>
      </w:r>
      <w:r>
        <w:rPr>
          <w:rFonts w:asciiTheme="minorHAnsi" w:hAnsiTheme="minorHAnsi" w:cstheme="minorHAnsi"/>
          <w:color w:val="000000" w:themeColor="text1"/>
          <w:sz w:val="22"/>
          <w:szCs w:val="22"/>
          <w:lang w:val="en-GB"/>
        </w:rPr>
        <w:t>for</w:t>
      </w:r>
      <w:r w:rsidRPr="00C37A4D">
        <w:rPr>
          <w:rFonts w:asciiTheme="minorHAnsi" w:hAnsiTheme="minorHAnsi" w:cstheme="minorHAnsi"/>
          <w:color w:val="000000" w:themeColor="text1"/>
          <w:sz w:val="22"/>
          <w:szCs w:val="22"/>
          <w:lang w:val="en-GB"/>
        </w:rPr>
        <w:t xml:space="preserve"> ‘what if’ scenarios. For example, what happens if the animal sector continues to grow</w:t>
      </w:r>
      <w:r>
        <w:rPr>
          <w:rFonts w:asciiTheme="minorHAnsi" w:hAnsiTheme="minorHAnsi" w:cstheme="minorHAnsi"/>
          <w:color w:val="000000" w:themeColor="text1"/>
          <w:sz w:val="22"/>
          <w:szCs w:val="22"/>
          <w:lang w:val="en-GB"/>
        </w:rPr>
        <w:t>,</w:t>
      </w:r>
      <w:r w:rsidRPr="00C37A4D">
        <w:rPr>
          <w:rFonts w:asciiTheme="minorHAnsi" w:hAnsiTheme="minorHAnsi" w:cstheme="minorHAnsi"/>
          <w:color w:val="000000" w:themeColor="text1"/>
          <w:sz w:val="22"/>
          <w:szCs w:val="22"/>
          <w:lang w:val="en-GB"/>
        </w:rPr>
        <w:t xml:space="preserve"> and antibiotics are used with the same intensity as today? It is crucial to </w:t>
      </w:r>
      <w:r>
        <w:rPr>
          <w:rFonts w:asciiTheme="minorHAnsi" w:hAnsiTheme="minorHAnsi" w:cstheme="minorHAnsi"/>
          <w:color w:val="000000" w:themeColor="text1"/>
          <w:sz w:val="22"/>
          <w:szCs w:val="22"/>
          <w:lang w:val="en-GB"/>
        </w:rPr>
        <w:t>differentiat</w:t>
      </w:r>
      <w:r w:rsidRPr="00C37A4D">
        <w:rPr>
          <w:rFonts w:asciiTheme="minorHAnsi" w:hAnsiTheme="minorHAnsi" w:cstheme="minorHAnsi"/>
          <w:color w:val="000000" w:themeColor="text1"/>
          <w:sz w:val="22"/>
          <w:szCs w:val="22"/>
          <w:lang w:val="en-GB"/>
        </w:rPr>
        <w:t>e scenarios (what could happen)</w:t>
      </w:r>
      <w:r>
        <w:rPr>
          <w:rFonts w:asciiTheme="minorHAnsi" w:hAnsiTheme="minorHAnsi" w:cstheme="minorHAnsi"/>
          <w:color w:val="000000" w:themeColor="text1"/>
          <w:sz w:val="22"/>
          <w:szCs w:val="22"/>
          <w:lang w:val="en-GB"/>
        </w:rPr>
        <w:t xml:space="preserve"> from</w:t>
      </w:r>
      <w:r w:rsidRPr="00C37A4D">
        <w:rPr>
          <w:rFonts w:asciiTheme="minorHAnsi" w:hAnsiTheme="minorHAnsi" w:cstheme="minorHAnsi"/>
          <w:color w:val="000000" w:themeColor="text1"/>
          <w:sz w:val="22"/>
          <w:szCs w:val="22"/>
          <w:lang w:val="en-GB"/>
        </w:rPr>
        <w:t xml:space="preserve"> projections (what will happen). </w:t>
      </w:r>
    </w:p>
    <w:p w14:paraId="352E0960" w14:textId="003BF182" w:rsidR="0063370A" w:rsidRPr="00C37A4D" w:rsidRDefault="00CC4A71" w:rsidP="00FF5E0B">
      <w:pPr>
        <w:rPr>
          <w:rFonts w:asciiTheme="minorHAnsi" w:eastAsia="Arial" w:hAnsiTheme="minorHAnsi" w:cstheme="minorHAnsi"/>
          <w:color w:val="000000" w:themeColor="text1"/>
          <w:sz w:val="22"/>
          <w:szCs w:val="22"/>
          <w:lang w:val="en-GB"/>
        </w:rPr>
      </w:pPr>
      <w:r>
        <w:rPr>
          <w:rFonts w:asciiTheme="minorHAnsi" w:eastAsia="Arial" w:hAnsiTheme="minorHAnsi" w:cstheme="minorHAnsi"/>
          <w:color w:val="000000" w:themeColor="text1"/>
          <w:sz w:val="22"/>
          <w:szCs w:val="22"/>
          <w:lang w:val="en-GB"/>
        </w:rPr>
        <w:br w:type="page"/>
      </w:r>
    </w:p>
    <w:p w14:paraId="5969C662" w14:textId="1D846F98" w:rsidR="004501B5" w:rsidRPr="00FF5E0B" w:rsidRDefault="004501B5" w:rsidP="00D05D20">
      <w:pPr>
        <w:pBdr>
          <w:top w:val="single" w:sz="4" w:space="1" w:color="auto"/>
          <w:left w:val="single" w:sz="4" w:space="4" w:color="auto"/>
          <w:bottom w:val="single" w:sz="4" w:space="1" w:color="auto"/>
          <w:right w:val="single" w:sz="4" w:space="4" w:color="auto"/>
        </w:pBdr>
        <w:rPr>
          <w:rFonts w:asciiTheme="minorHAnsi" w:eastAsia="Arial" w:hAnsiTheme="minorHAnsi" w:cstheme="minorHAnsi"/>
          <w:b/>
          <w:color w:val="000000" w:themeColor="text1"/>
          <w:sz w:val="22"/>
          <w:szCs w:val="22"/>
          <w:lang w:val="en-GB"/>
        </w:rPr>
      </w:pPr>
      <w:r w:rsidRPr="00FF5E0B">
        <w:rPr>
          <w:rFonts w:asciiTheme="minorHAnsi" w:eastAsia="Arial" w:hAnsiTheme="minorHAnsi" w:cstheme="minorHAnsi"/>
          <w:b/>
          <w:bCs/>
          <w:color w:val="000000" w:themeColor="text1"/>
          <w:sz w:val="22"/>
          <w:szCs w:val="22"/>
          <w:lang w:val="en-GB"/>
        </w:rPr>
        <w:lastRenderedPageBreak/>
        <w:t>P</w:t>
      </w:r>
      <w:r w:rsidR="0082368A" w:rsidRPr="00FF5E0B">
        <w:rPr>
          <w:rFonts w:asciiTheme="minorHAnsi" w:eastAsia="Arial" w:hAnsiTheme="minorHAnsi" w:cstheme="minorHAnsi"/>
          <w:b/>
          <w:bCs/>
          <w:color w:val="000000" w:themeColor="text1"/>
          <w:sz w:val="22"/>
          <w:szCs w:val="22"/>
          <w:lang w:val="en-GB"/>
        </w:rPr>
        <w:t>anel</w:t>
      </w:r>
      <w:r w:rsidRPr="00FF5E0B">
        <w:rPr>
          <w:rFonts w:asciiTheme="minorHAnsi" w:eastAsia="Arial" w:hAnsiTheme="minorHAnsi" w:cstheme="minorHAnsi"/>
          <w:b/>
          <w:bCs/>
          <w:color w:val="000000" w:themeColor="text1"/>
          <w:sz w:val="22"/>
          <w:szCs w:val="22"/>
          <w:lang w:val="en-GB"/>
        </w:rPr>
        <w:t xml:space="preserve"> </w:t>
      </w:r>
      <w:r w:rsidR="00B57102">
        <w:rPr>
          <w:rFonts w:asciiTheme="minorHAnsi" w:eastAsia="Arial" w:hAnsiTheme="minorHAnsi" w:cstheme="minorHAnsi"/>
          <w:b/>
          <w:bCs/>
          <w:color w:val="000000" w:themeColor="text1"/>
          <w:sz w:val="22"/>
          <w:szCs w:val="22"/>
          <w:lang w:val="en-GB"/>
        </w:rPr>
        <w:t>5</w:t>
      </w:r>
      <w:r w:rsidR="00A13E5F">
        <w:rPr>
          <w:rFonts w:asciiTheme="minorHAnsi" w:eastAsia="Arial" w:hAnsiTheme="minorHAnsi" w:cstheme="minorHAnsi"/>
          <w:b/>
          <w:bCs/>
          <w:color w:val="000000" w:themeColor="text1"/>
          <w:sz w:val="22"/>
          <w:szCs w:val="22"/>
          <w:lang w:val="en-GB"/>
        </w:rPr>
        <w:t>.</w:t>
      </w:r>
      <w:r w:rsidR="0066136A" w:rsidRPr="00FF5E0B">
        <w:rPr>
          <w:rFonts w:asciiTheme="minorHAnsi" w:eastAsia="Arial" w:hAnsiTheme="minorHAnsi" w:cstheme="minorHAnsi"/>
          <w:color w:val="000000" w:themeColor="text1"/>
          <w:sz w:val="22"/>
          <w:szCs w:val="22"/>
          <w:lang w:val="en-GB"/>
        </w:rPr>
        <w:t xml:space="preserve"> </w:t>
      </w:r>
      <w:r w:rsidR="0082368A" w:rsidRPr="00FF5E0B">
        <w:rPr>
          <w:rFonts w:asciiTheme="minorHAnsi" w:eastAsia="Arial" w:hAnsiTheme="minorHAnsi" w:cstheme="minorHAnsi"/>
          <w:b/>
          <w:color w:val="000000" w:themeColor="text1"/>
          <w:sz w:val="22"/>
          <w:szCs w:val="22"/>
          <w:lang w:val="en-GB"/>
        </w:rPr>
        <w:t xml:space="preserve">Bringing AMR surveillance into the 21st </w:t>
      </w:r>
      <w:r w:rsidR="00440580" w:rsidRPr="00FF5E0B">
        <w:rPr>
          <w:rFonts w:asciiTheme="minorHAnsi" w:eastAsia="Arial" w:hAnsiTheme="minorHAnsi" w:cstheme="minorHAnsi"/>
          <w:b/>
          <w:color w:val="000000" w:themeColor="text1"/>
          <w:sz w:val="22"/>
          <w:szCs w:val="22"/>
          <w:lang w:val="en-GB"/>
        </w:rPr>
        <w:t>century</w:t>
      </w:r>
      <w:r w:rsidR="0082368A" w:rsidRPr="00FF5E0B">
        <w:rPr>
          <w:rFonts w:asciiTheme="minorHAnsi" w:eastAsia="Arial" w:hAnsiTheme="minorHAnsi" w:cstheme="minorHAnsi"/>
          <w:b/>
          <w:color w:val="000000" w:themeColor="text1"/>
          <w:sz w:val="22"/>
          <w:szCs w:val="22"/>
          <w:lang w:val="en-GB"/>
        </w:rPr>
        <w:t>:</w:t>
      </w:r>
      <w:r w:rsidR="0066136A" w:rsidRPr="00FF5E0B">
        <w:rPr>
          <w:rFonts w:asciiTheme="minorHAnsi" w:eastAsia="Arial" w:hAnsiTheme="minorHAnsi" w:cstheme="minorHAnsi"/>
          <w:b/>
          <w:color w:val="000000" w:themeColor="text1"/>
          <w:sz w:val="22"/>
          <w:szCs w:val="22"/>
          <w:lang w:val="en-GB"/>
        </w:rPr>
        <w:t xml:space="preserve"> </w:t>
      </w:r>
      <w:r w:rsidR="00CC4FA4" w:rsidRPr="00FF5E0B">
        <w:rPr>
          <w:rFonts w:asciiTheme="minorHAnsi" w:eastAsia="Arial" w:hAnsiTheme="minorHAnsi" w:cstheme="minorHAnsi"/>
          <w:b/>
          <w:color w:val="000000" w:themeColor="text1"/>
          <w:sz w:val="22"/>
          <w:szCs w:val="22"/>
          <w:lang w:val="en-GB"/>
        </w:rPr>
        <w:t>R</w:t>
      </w:r>
      <w:r w:rsidR="0082368A" w:rsidRPr="00FF5E0B">
        <w:rPr>
          <w:rFonts w:asciiTheme="minorHAnsi" w:eastAsia="Arial" w:hAnsiTheme="minorHAnsi" w:cstheme="minorHAnsi"/>
          <w:b/>
          <w:color w:val="000000" w:themeColor="text1"/>
          <w:sz w:val="22"/>
          <w:szCs w:val="22"/>
          <w:lang w:val="en-GB"/>
        </w:rPr>
        <w:t>ecommendations</w:t>
      </w:r>
    </w:p>
    <w:p w14:paraId="20D77FD5" w14:textId="25340F4A" w:rsidR="003270DE" w:rsidRPr="00FF5E0B" w:rsidRDefault="003270DE" w:rsidP="00D05D20">
      <w:pPr>
        <w:pBdr>
          <w:top w:val="single" w:sz="4" w:space="1" w:color="auto"/>
          <w:left w:val="single" w:sz="4" w:space="4" w:color="auto"/>
          <w:bottom w:val="single" w:sz="4" w:space="1" w:color="auto"/>
          <w:right w:val="single" w:sz="4" w:space="4" w:color="auto"/>
        </w:pBdr>
        <w:rPr>
          <w:lang w:val="en-GB"/>
        </w:rPr>
      </w:pPr>
    </w:p>
    <w:p w14:paraId="6C34240E" w14:textId="55DED366" w:rsidR="0042750F" w:rsidRPr="00D05D20" w:rsidRDefault="0042750F" w:rsidP="00D05D20">
      <w:pPr>
        <w:pStyle w:val="ListParagraph"/>
        <w:numPr>
          <w:ilvl w:val="0"/>
          <w:numId w:val="23"/>
        </w:numPr>
        <w:pBdr>
          <w:top w:val="single" w:sz="4" w:space="1" w:color="auto"/>
          <w:left w:val="single" w:sz="4" w:space="4" w:color="auto"/>
          <w:bottom w:val="single" w:sz="4" w:space="1" w:color="auto"/>
          <w:right w:val="single" w:sz="4" w:space="4" w:color="auto"/>
        </w:pBdr>
        <w:ind w:left="0" w:firstLine="360"/>
        <w:rPr>
          <w:rFonts w:asciiTheme="minorHAnsi" w:eastAsia="Arial" w:hAnsiTheme="minorHAnsi" w:cstheme="minorHAnsi"/>
          <w:color w:val="000000" w:themeColor="text1"/>
          <w:sz w:val="22"/>
          <w:szCs w:val="22"/>
          <w:lang w:val="en-GB"/>
        </w:rPr>
      </w:pPr>
      <w:r w:rsidRPr="00D05D20">
        <w:rPr>
          <w:rFonts w:asciiTheme="minorHAnsi" w:eastAsia="Arial" w:hAnsiTheme="minorHAnsi" w:cstheme="minorHAnsi"/>
          <w:color w:val="000000" w:themeColor="text1"/>
          <w:sz w:val="22"/>
          <w:szCs w:val="22"/>
          <w:lang w:val="en-GB"/>
        </w:rPr>
        <w:t xml:space="preserve">Every country should have a national surveillance system that </w:t>
      </w:r>
      <w:r w:rsidR="00CC4FA4" w:rsidRPr="00D05D20">
        <w:rPr>
          <w:rFonts w:asciiTheme="minorHAnsi" w:eastAsia="Arial" w:hAnsiTheme="minorHAnsi" w:cstheme="minorHAnsi"/>
          <w:color w:val="000000" w:themeColor="text1"/>
          <w:sz w:val="22"/>
          <w:szCs w:val="22"/>
          <w:lang w:val="en-GB"/>
        </w:rPr>
        <w:t xml:space="preserve">tracks </w:t>
      </w:r>
      <w:r w:rsidRPr="00D05D20">
        <w:rPr>
          <w:rFonts w:asciiTheme="minorHAnsi" w:eastAsia="Arial" w:hAnsiTheme="minorHAnsi" w:cstheme="minorHAnsi"/>
          <w:color w:val="000000" w:themeColor="text1"/>
          <w:sz w:val="22"/>
          <w:szCs w:val="22"/>
          <w:lang w:val="en-GB"/>
        </w:rPr>
        <w:t>antimicrobial resistance and use, with in-country granularity, and can be used to evaluate program</w:t>
      </w:r>
      <w:r w:rsidR="00CC4FA4" w:rsidRPr="00D05D20">
        <w:rPr>
          <w:rFonts w:asciiTheme="minorHAnsi" w:eastAsia="Arial" w:hAnsiTheme="minorHAnsi" w:cstheme="minorHAnsi"/>
          <w:color w:val="000000" w:themeColor="text1"/>
          <w:sz w:val="22"/>
          <w:szCs w:val="22"/>
          <w:lang w:val="en-GB"/>
        </w:rPr>
        <w:t>me</w:t>
      </w:r>
      <w:r w:rsidRPr="00D05D20">
        <w:rPr>
          <w:rFonts w:asciiTheme="minorHAnsi" w:eastAsia="Arial" w:hAnsiTheme="minorHAnsi" w:cstheme="minorHAnsi"/>
          <w:color w:val="000000" w:themeColor="text1"/>
          <w:sz w:val="22"/>
          <w:szCs w:val="22"/>
          <w:lang w:val="en-GB"/>
        </w:rPr>
        <w:t xml:space="preserve">s to meet goals for </w:t>
      </w:r>
      <w:r w:rsidR="003D0C9A">
        <w:rPr>
          <w:rFonts w:asciiTheme="minorHAnsi" w:eastAsia="Arial" w:hAnsiTheme="minorHAnsi" w:cstheme="minorHAnsi"/>
          <w:color w:val="000000" w:themeColor="text1"/>
          <w:sz w:val="22"/>
          <w:szCs w:val="22"/>
          <w:lang w:val="en-GB"/>
        </w:rPr>
        <w:t>addressing</w:t>
      </w:r>
      <w:r w:rsidRPr="00D05D20">
        <w:rPr>
          <w:rFonts w:asciiTheme="minorHAnsi" w:eastAsia="Arial" w:hAnsiTheme="minorHAnsi" w:cstheme="minorHAnsi"/>
          <w:color w:val="000000" w:themeColor="text1"/>
          <w:sz w:val="22"/>
          <w:szCs w:val="22"/>
          <w:lang w:val="en-GB"/>
        </w:rPr>
        <w:t xml:space="preserve"> resistance.</w:t>
      </w:r>
    </w:p>
    <w:p w14:paraId="0D972CD8" w14:textId="5F587B1D" w:rsidR="0042750F" w:rsidRPr="00D05D20" w:rsidRDefault="0042750F" w:rsidP="00D05D20">
      <w:pPr>
        <w:pStyle w:val="ListParagraph"/>
        <w:numPr>
          <w:ilvl w:val="0"/>
          <w:numId w:val="23"/>
        </w:numPr>
        <w:pBdr>
          <w:top w:val="single" w:sz="4" w:space="1" w:color="auto"/>
          <w:left w:val="single" w:sz="4" w:space="4" w:color="auto"/>
          <w:bottom w:val="single" w:sz="4" w:space="1" w:color="auto"/>
          <w:right w:val="single" w:sz="4" w:space="4" w:color="auto"/>
        </w:pBdr>
        <w:ind w:left="0" w:firstLine="360"/>
        <w:rPr>
          <w:rFonts w:asciiTheme="minorHAnsi" w:eastAsia="Arial" w:hAnsiTheme="minorHAnsi" w:cstheme="minorHAnsi"/>
          <w:color w:val="000000" w:themeColor="text1"/>
          <w:sz w:val="22"/>
          <w:szCs w:val="22"/>
          <w:lang w:val="en-GB"/>
        </w:rPr>
      </w:pPr>
      <w:r w:rsidRPr="00D05D20">
        <w:rPr>
          <w:rFonts w:asciiTheme="minorHAnsi" w:eastAsia="Arial" w:hAnsiTheme="minorHAnsi" w:cstheme="minorHAnsi"/>
          <w:color w:val="000000" w:themeColor="text1"/>
          <w:sz w:val="22"/>
          <w:szCs w:val="22"/>
          <w:lang w:val="en-GB"/>
        </w:rPr>
        <w:t xml:space="preserve">Diagnostic testing for patients suspected </w:t>
      </w:r>
      <w:r w:rsidR="001C6AFF" w:rsidRPr="00D05D20">
        <w:rPr>
          <w:rFonts w:asciiTheme="minorHAnsi" w:eastAsia="Arial" w:hAnsiTheme="minorHAnsi" w:cstheme="minorHAnsi"/>
          <w:color w:val="000000" w:themeColor="text1"/>
          <w:sz w:val="22"/>
          <w:szCs w:val="22"/>
          <w:lang w:val="en-GB"/>
        </w:rPr>
        <w:t>of having</w:t>
      </w:r>
      <w:r w:rsidRPr="00D05D20">
        <w:rPr>
          <w:rFonts w:asciiTheme="minorHAnsi" w:eastAsia="Arial" w:hAnsiTheme="minorHAnsi" w:cstheme="minorHAnsi"/>
          <w:color w:val="000000" w:themeColor="text1"/>
          <w:sz w:val="22"/>
          <w:szCs w:val="22"/>
          <w:lang w:val="en-GB"/>
        </w:rPr>
        <w:t xml:space="preserve"> a bacterial or fungal infection should be supported at all levels of care</w:t>
      </w:r>
      <w:r w:rsidR="001C6AFF" w:rsidRPr="00D05D20">
        <w:rPr>
          <w:rFonts w:asciiTheme="minorHAnsi" w:eastAsia="Arial" w:hAnsiTheme="minorHAnsi" w:cstheme="minorHAnsi"/>
          <w:color w:val="000000" w:themeColor="text1"/>
          <w:sz w:val="22"/>
          <w:szCs w:val="22"/>
          <w:lang w:val="en-GB"/>
        </w:rPr>
        <w:t>,</w:t>
      </w:r>
      <w:r w:rsidRPr="00D05D20">
        <w:rPr>
          <w:rFonts w:asciiTheme="minorHAnsi" w:eastAsia="Arial" w:hAnsiTheme="minorHAnsi" w:cstheme="minorHAnsi"/>
          <w:color w:val="000000" w:themeColor="text1"/>
          <w:sz w:val="22"/>
          <w:szCs w:val="22"/>
          <w:lang w:val="en-GB"/>
        </w:rPr>
        <w:t xml:space="preserve"> </w:t>
      </w:r>
      <w:r w:rsidR="001C6AFF" w:rsidRPr="00D05D20">
        <w:rPr>
          <w:rFonts w:asciiTheme="minorHAnsi" w:eastAsia="Arial" w:hAnsiTheme="minorHAnsi" w:cstheme="minorHAnsi"/>
          <w:color w:val="000000" w:themeColor="text1"/>
          <w:sz w:val="22"/>
          <w:szCs w:val="22"/>
          <w:lang w:val="en-GB"/>
        </w:rPr>
        <w:t>to</w:t>
      </w:r>
      <w:r w:rsidRPr="00D05D20">
        <w:rPr>
          <w:rFonts w:asciiTheme="minorHAnsi" w:eastAsia="Arial" w:hAnsiTheme="minorHAnsi" w:cstheme="minorHAnsi"/>
          <w:color w:val="000000" w:themeColor="text1"/>
          <w:sz w:val="22"/>
          <w:szCs w:val="22"/>
          <w:lang w:val="en-GB"/>
        </w:rPr>
        <w:t xml:space="preserve"> promote rational antimicrobial use and enhance surveillance.</w:t>
      </w:r>
    </w:p>
    <w:p w14:paraId="34ECC6C1" w14:textId="755BC41C" w:rsidR="003270DE" w:rsidRPr="00D05D20" w:rsidRDefault="003270DE" w:rsidP="00D05D20">
      <w:pPr>
        <w:pStyle w:val="ListParagraph"/>
        <w:numPr>
          <w:ilvl w:val="0"/>
          <w:numId w:val="23"/>
        </w:numPr>
        <w:pBdr>
          <w:top w:val="single" w:sz="4" w:space="1" w:color="auto"/>
          <w:left w:val="single" w:sz="4" w:space="4" w:color="auto"/>
          <w:bottom w:val="single" w:sz="4" w:space="1" w:color="auto"/>
          <w:right w:val="single" w:sz="4" w:space="4" w:color="auto"/>
        </w:pBdr>
        <w:ind w:left="0" w:firstLine="360"/>
        <w:rPr>
          <w:rFonts w:asciiTheme="minorHAnsi" w:eastAsia="Arial" w:hAnsiTheme="minorHAnsi" w:cstheme="minorHAnsi"/>
          <w:color w:val="000000" w:themeColor="text1"/>
          <w:sz w:val="22"/>
          <w:szCs w:val="22"/>
          <w:lang w:val="en-GB"/>
        </w:rPr>
      </w:pPr>
      <w:r w:rsidRPr="00D05D20">
        <w:rPr>
          <w:rFonts w:asciiTheme="minorHAnsi" w:eastAsia="Arial" w:hAnsiTheme="minorHAnsi" w:cstheme="minorHAnsi"/>
          <w:color w:val="000000" w:themeColor="text1"/>
          <w:sz w:val="22"/>
          <w:szCs w:val="22"/>
          <w:lang w:val="en-GB"/>
        </w:rPr>
        <w:t xml:space="preserve">Data from routine clinical bacteriology laboratories can and should contribute to antimicrobial resistance surveillance but should form </w:t>
      </w:r>
      <w:r w:rsidR="001C6AFF" w:rsidRPr="00D05D20">
        <w:rPr>
          <w:rFonts w:asciiTheme="minorHAnsi" w:eastAsia="Arial" w:hAnsiTheme="minorHAnsi" w:cstheme="minorHAnsi"/>
          <w:color w:val="000000" w:themeColor="text1"/>
          <w:sz w:val="22"/>
          <w:szCs w:val="22"/>
          <w:lang w:val="en-GB"/>
        </w:rPr>
        <w:t xml:space="preserve">only </w:t>
      </w:r>
      <w:r w:rsidRPr="00D05D20">
        <w:rPr>
          <w:rFonts w:asciiTheme="minorHAnsi" w:eastAsia="Arial" w:hAnsiTheme="minorHAnsi" w:cstheme="minorHAnsi"/>
          <w:color w:val="000000" w:themeColor="text1"/>
          <w:sz w:val="22"/>
          <w:szCs w:val="22"/>
          <w:lang w:val="en-GB"/>
        </w:rPr>
        <w:t>part of the national surveillance picture. Countries should use available surveillance</w:t>
      </w:r>
      <w:r w:rsidR="0042750F" w:rsidRPr="00D05D20">
        <w:rPr>
          <w:rFonts w:asciiTheme="minorHAnsi" w:eastAsia="Arial" w:hAnsiTheme="minorHAnsi" w:cstheme="minorHAnsi"/>
          <w:color w:val="000000" w:themeColor="text1"/>
          <w:sz w:val="22"/>
          <w:szCs w:val="22"/>
          <w:lang w:val="en-GB"/>
        </w:rPr>
        <w:t xml:space="preserve"> modules</w:t>
      </w:r>
      <w:r w:rsidR="00AD2D96" w:rsidRPr="00D05D20">
        <w:rPr>
          <w:rFonts w:asciiTheme="minorHAnsi" w:eastAsia="Arial" w:hAnsiTheme="minorHAnsi" w:cstheme="minorHAnsi"/>
          <w:color w:val="000000" w:themeColor="text1"/>
          <w:sz w:val="22"/>
          <w:szCs w:val="22"/>
          <w:lang w:val="en-GB"/>
        </w:rPr>
        <w:t>. The</w:t>
      </w:r>
      <w:r w:rsidRPr="00D05D20">
        <w:rPr>
          <w:rFonts w:asciiTheme="minorHAnsi" w:eastAsia="Arial" w:hAnsiTheme="minorHAnsi" w:cstheme="minorHAnsi"/>
          <w:color w:val="000000" w:themeColor="text1"/>
          <w:sz w:val="22"/>
          <w:szCs w:val="22"/>
          <w:lang w:val="en-GB"/>
        </w:rPr>
        <w:t xml:space="preserve"> </w:t>
      </w:r>
      <w:proofErr w:type="spellStart"/>
      <w:r w:rsidRPr="00D05D20">
        <w:rPr>
          <w:rFonts w:asciiTheme="minorHAnsi" w:eastAsia="Arial" w:hAnsiTheme="minorHAnsi" w:cstheme="minorHAnsi"/>
          <w:color w:val="000000" w:themeColor="text1"/>
          <w:sz w:val="22"/>
          <w:szCs w:val="22"/>
          <w:lang w:val="en-GB"/>
        </w:rPr>
        <w:t>TriCycle</w:t>
      </w:r>
      <w:proofErr w:type="spellEnd"/>
      <w:r w:rsidRPr="00D05D20">
        <w:rPr>
          <w:rFonts w:asciiTheme="minorHAnsi" w:eastAsia="Arial" w:hAnsiTheme="minorHAnsi" w:cstheme="minorHAnsi"/>
          <w:color w:val="000000" w:themeColor="text1"/>
          <w:sz w:val="22"/>
          <w:szCs w:val="22"/>
          <w:lang w:val="en-GB"/>
        </w:rPr>
        <w:t xml:space="preserve"> protocol </w:t>
      </w:r>
      <w:r w:rsidR="001C6AFF" w:rsidRPr="00D05D20">
        <w:rPr>
          <w:rFonts w:asciiTheme="minorHAnsi" w:eastAsia="Arial" w:hAnsiTheme="minorHAnsi" w:cstheme="minorHAnsi"/>
          <w:color w:val="000000" w:themeColor="text1"/>
          <w:sz w:val="22"/>
          <w:szCs w:val="22"/>
          <w:lang w:val="en-GB"/>
        </w:rPr>
        <w:t>generates</w:t>
      </w:r>
      <w:r w:rsidR="00AD2D96" w:rsidRPr="00D05D20">
        <w:rPr>
          <w:rFonts w:asciiTheme="minorHAnsi" w:eastAsia="Arial" w:hAnsiTheme="minorHAnsi" w:cstheme="minorHAnsi"/>
          <w:color w:val="000000" w:themeColor="text1"/>
          <w:sz w:val="22"/>
          <w:szCs w:val="22"/>
          <w:lang w:val="en-GB"/>
        </w:rPr>
        <w:t xml:space="preserve"> information on resistance in the clinic, the community, the food chain</w:t>
      </w:r>
      <w:r w:rsidR="001C6AFF" w:rsidRPr="00D05D20">
        <w:rPr>
          <w:rFonts w:asciiTheme="minorHAnsi" w:eastAsia="Arial" w:hAnsiTheme="minorHAnsi" w:cstheme="minorHAnsi"/>
          <w:color w:val="000000" w:themeColor="text1"/>
          <w:sz w:val="22"/>
          <w:szCs w:val="22"/>
          <w:lang w:val="en-GB"/>
        </w:rPr>
        <w:t>,</w:t>
      </w:r>
      <w:r w:rsidR="00AD2D96" w:rsidRPr="00D05D20">
        <w:rPr>
          <w:rFonts w:asciiTheme="minorHAnsi" w:eastAsia="Arial" w:hAnsiTheme="minorHAnsi" w:cstheme="minorHAnsi"/>
          <w:color w:val="000000" w:themeColor="text1"/>
          <w:sz w:val="22"/>
          <w:szCs w:val="22"/>
          <w:lang w:val="en-GB"/>
        </w:rPr>
        <w:t xml:space="preserve"> and the </w:t>
      </w:r>
      <w:r w:rsidR="00440580" w:rsidRPr="00D05D20">
        <w:rPr>
          <w:rFonts w:asciiTheme="minorHAnsi" w:eastAsia="Arial" w:hAnsiTheme="minorHAnsi" w:cstheme="minorHAnsi"/>
          <w:color w:val="000000" w:themeColor="text1"/>
          <w:sz w:val="22"/>
          <w:szCs w:val="22"/>
          <w:lang w:val="en-GB"/>
        </w:rPr>
        <w:t>environment</w:t>
      </w:r>
      <w:r w:rsidR="00AD2D96" w:rsidRPr="00D05D20">
        <w:rPr>
          <w:rFonts w:asciiTheme="minorHAnsi" w:eastAsia="Arial" w:hAnsiTheme="minorHAnsi" w:cstheme="minorHAnsi"/>
          <w:color w:val="000000" w:themeColor="text1"/>
          <w:sz w:val="22"/>
          <w:szCs w:val="22"/>
          <w:lang w:val="en-GB"/>
        </w:rPr>
        <w:t xml:space="preserve"> at low cost.</w:t>
      </w:r>
      <w:r w:rsidR="0066136A" w:rsidRPr="00D05D20">
        <w:rPr>
          <w:rFonts w:asciiTheme="minorHAnsi" w:eastAsia="Arial" w:hAnsiTheme="minorHAnsi" w:cstheme="minorHAnsi"/>
          <w:color w:val="000000" w:themeColor="text1"/>
          <w:sz w:val="22"/>
          <w:szCs w:val="22"/>
          <w:lang w:val="en-GB"/>
        </w:rPr>
        <w:t xml:space="preserve"> </w:t>
      </w:r>
      <w:r w:rsidR="00AD2D96" w:rsidRPr="00D05D20">
        <w:rPr>
          <w:rFonts w:asciiTheme="minorHAnsi" w:eastAsia="Arial" w:hAnsiTheme="minorHAnsi" w:cstheme="minorHAnsi"/>
          <w:color w:val="000000" w:themeColor="text1"/>
          <w:sz w:val="22"/>
          <w:szCs w:val="22"/>
          <w:lang w:val="en-GB"/>
        </w:rPr>
        <w:t>P</w:t>
      </w:r>
      <w:r w:rsidRPr="00D05D20">
        <w:rPr>
          <w:rFonts w:asciiTheme="minorHAnsi" w:eastAsia="Arial" w:hAnsiTheme="minorHAnsi" w:cstheme="minorHAnsi"/>
          <w:color w:val="000000" w:themeColor="text1"/>
          <w:sz w:val="22"/>
          <w:szCs w:val="22"/>
          <w:lang w:val="en-GB"/>
        </w:rPr>
        <w:t>oint</w:t>
      </w:r>
      <w:r w:rsidR="001C6AFF" w:rsidRPr="00D05D20">
        <w:rPr>
          <w:rFonts w:asciiTheme="minorHAnsi" w:eastAsia="Arial" w:hAnsiTheme="minorHAnsi" w:cstheme="minorHAnsi"/>
          <w:color w:val="000000" w:themeColor="text1"/>
          <w:sz w:val="22"/>
          <w:szCs w:val="22"/>
          <w:lang w:val="en-GB"/>
        </w:rPr>
        <w:t xml:space="preserve"> </w:t>
      </w:r>
      <w:r w:rsidRPr="00D05D20">
        <w:rPr>
          <w:rFonts w:asciiTheme="minorHAnsi" w:eastAsia="Arial" w:hAnsiTheme="minorHAnsi" w:cstheme="minorHAnsi"/>
          <w:color w:val="000000" w:themeColor="text1"/>
          <w:sz w:val="22"/>
          <w:szCs w:val="22"/>
          <w:lang w:val="en-GB"/>
        </w:rPr>
        <w:t>prevalence surveys</w:t>
      </w:r>
      <w:r w:rsidR="00AD2D96" w:rsidRPr="00D05D20">
        <w:rPr>
          <w:rFonts w:asciiTheme="minorHAnsi" w:eastAsia="Arial" w:hAnsiTheme="minorHAnsi" w:cstheme="minorHAnsi"/>
          <w:color w:val="000000" w:themeColor="text1"/>
          <w:sz w:val="22"/>
          <w:szCs w:val="22"/>
          <w:lang w:val="en-GB"/>
        </w:rPr>
        <w:t xml:space="preserve"> can </w:t>
      </w:r>
      <w:r w:rsidRPr="00D05D20">
        <w:rPr>
          <w:rFonts w:asciiTheme="minorHAnsi" w:eastAsia="Arial" w:hAnsiTheme="minorHAnsi" w:cstheme="minorHAnsi"/>
          <w:color w:val="000000" w:themeColor="text1"/>
          <w:sz w:val="22"/>
          <w:szCs w:val="22"/>
          <w:lang w:val="en-GB"/>
        </w:rPr>
        <w:t xml:space="preserve">supplement laboratory-based surveillance </w:t>
      </w:r>
      <w:r w:rsidR="00AD2D96" w:rsidRPr="00D05D20">
        <w:rPr>
          <w:rFonts w:asciiTheme="minorHAnsi" w:eastAsia="Arial" w:hAnsiTheme="minorHAnsi" w:cstheme="minorHAnsi"/>
          <w:color w:val="000000" w:themeColor="text1"/>
          <w:sz w:val="22"/>
          <w:szCs w:val="22"/>
          <w:lang w:val="en-GB"/>
        </w:rPr>
        <w:t>that covers too few geographic are</w:t>
      </w:r>
      <w:r w:rsidR="00C57BCE" w:rsidRPr="00D05D20">
        <w:rPr>
          <w:rFonts w:asciiTheme="minorHAnsi" w:eastAsia="Arial" w:hAnsiTheme="minorHAnsi" w:cstheme="minorHAnsi"/>
          <w:color w:val="000000" w:themeColor="text1"/>
          <w:sz w:val="22"/>
          <w:szCs w:val="22"/>
          <w:lang w:val="en-GB"/>
        </w:rPr>
        <w:t>a</w:t>
      </w:r>
      <w:r w:rsidR="00AD2D96" w:rsidRPr="00D05D20">
        <w:rPr>
          <w:rFonts w:asciiTheme="minorHAnsi" w:eastAsia="Arial" w:hAnsiTheme="minorHAnsi" w:cstheme="minorHAnsi"/>
          <w:color w:val="000000" w:themeColor="text1"/>
          <w:sz w:val="22"/>
          <w:szCs w:val="22"/>
          <w:lang w:val="en-GB"/>
        </w:rPr>
        <w:t xml:space="preserve">s or only </w:t>
      </w:r>
      <w:r w:rsidR="001C6AFF" w:rsidRPr="00D05D20">
        <w:rPr>
          <w:rFonts w:asciiTheme="minorHAnsi" w:eastAsia="Arial" w:hAnsiTheme="minorHAnsi" w:cstheme="minorHAnsi"/>
          <w:color w:val="000000" w:themeColor="text1"/>
          <w:sz w:val="22"/>
          <w:szCs w:val="22"/>
          <w:lang w:val="en-GB"/>
        </w:rPr>
        <w:t>tertiary</w:t>
      </w:r>
      <w:r w:rsidR="00AD2D96" w:rsidRPr="00D05D20">
        <w:rPr>
          <w:rFonts w:asciiTheme="minorHAnsi" w:eastAsia="Arial" w:hAnsiTheme="minorHAnsi" w:cstheme="minorHAnsi"/>
          <w:color w:val="000000" w:themeColor="text1"/>
          <w:sz w:val="22"/>
          <w:szCs w:val="22"/>
          <w:lang w:val="en-GB"/>
        </w:rPr>
        <w:t xml:space="preserve"> care.</w:t>
      </w:r>
    </w:p>
    <w:p w14:paraId="18DB6F3B" w14:textId="2898EE13" w:rsidR="00DC302B" w:rsidRPr="00D05D20" w:rsidRDefault="00DC302B" w:rsidP="00D05D20">
      <w:pPr>
        <w:pStyle w:val="ListParagraph"/>
        <w:numPr>
          <w:ilvl w:val="0"/>
          <w:numId w:val="23"/>
        </w:numPr>
        <w:pBdr>
          <w:top w:val="single" w:sz="4" w:space="1" w:color="auto"/>
          <w:left w:val="single" w:sz="4" w:space="4" w:color="auto"/>
          <w:bottom w:val="single" w:sz="4" w:space="1" w:color="auto"/>
          <w:right w:val="single" w:sz="4" w:space="4" w:color="auto"/>
        </w:pBdr>
        <w:ind w:left="0" w:firstLine="360"/>
        <w:rPr>
          <w:rFonts w:asciiTheme="minorHAnsi" w:eastAsia="Arial" w:hAnsiTheme="minorHAnsi" w:cstheme="minorHAnsi"/>
          <w:color w:val="000000" w:themeColor="text1"/>
          <w:sz w:val="22"/>
          <w:szCs w:val="22"/>
          <w:lang w:val="en-GB"/>
        </w:rPr>
      </w:pPr>
      <w:r w:rsidRPr="00D05D20">
        <w:rPr>
          <w:rFonts w:asciiTheme="minorHAnsi" w:eastAsia="Arial" w:hAnsiTheme="minorHAnsi" w:cstheme="minorHAnsi"/>
          <w:color w:val="000000" w:themeColor="text1"/>
          <w:sz w:val="22"/>
          <w:szCs w:val="22"/>
          <w:lang w:val="en-GB"/>
        </w:rPr>
        <w:t>Efforts should link resistance rates in pathogen</w:t>
      </w:r>
      <w:r w:rsidR="00BB2A0F" w:rsidRPr="00D05D20">
        <w:rPr>
          <w:rFonts w:asciiTheme="minorHAnsi" w:eastAsia="Arial" w:hAnsiTheme="minorHAnsi" w:cstheme="minorHAnsi"/>
          <w:color w:val="000000" w:themeColor="text1"/>
          <w:sz w:val="22"/>
          <w:szCs w:val="22"/>
          <w:lang w:val="en-GB"/>
        </w:rPr>
        <w:t xml:space="preserve">s </w:t>
      </w:r>
      <w:r w:rsidRPr="00D05D20">
        <w:rPr>
          <w:rFonts w:asciiTheme="minorHAnsi" w:eastAsia="Arial" w:hAnsiTheme="minorHAnsi" w:cstheme="minorHAnsi"/>
          <w:color w:val="000000" w:themeColor="text1"/>
          <w:sz w:val="22"/>
          <w:szCs w:val="22"/>
          <w:lang w:val="en-GB"/>
        </w:rPr>
        <w:t>to disease outcomes</w:t>
      </w:r>
      <w:r w:rsidR="00BB2A0F" w:rsidRPr="00D05D20">
        <w:rPr>
          <w:rFonts w:asciiTheme="minorHAnsi" w:eastAsia="Arial" w:hAnsiTheme="minorHAnsi" w:cstheme="minorHAnsi"/>
          <w:color w:val="000000" w:themeColor="text1"/>
          <w:sz w:val="22"/>
          <w:szCs w:val="22"/>
          <w:lang w:val="en-GB"/>
        </w:rPr>
        <w:t>,</w:t>
      </w:r>
      <w:r w:rsidRPr="00D05D20">
        <w:rPr>
          <w:rFonts w:asciiTheme="minorHAnsi" w:eastAsia="Arial" w:hAnsiTheme="minorHAnsi" w:cstheme="minorHAnsi"/>
          <w:color w:val="000000" w:themeColor="text1"/>
          <w:sz w:val="22"/>
          <w:szCs w:val="22"/>
          <w:lang w:val="en-GB"/>
        </w:rPr>
        <w:t xml:space="preserve"> to measure the actual burden of AMR</w:t>
      </w:r>
      <w:r w:rsidRPr="00CB266F">
        <w:rPr>
          <w:rFonts w:asciiTheme="minorHAnsi" w:eastAsia="Arial" w:hAnsiTheme="minorHAnsi" w:cstheme="minorHAnsi"/>
          <w:color w:val="000000" w:themeColor="text1"/>
          <w:sz w:val="22"/>
          <w:szCs w:val="22"/>
          <w:lang w:val="en-GB"/>
        </w:rPr>
        <w:t>.</w:t>
      </w:r>
      <w:r w:rsidR="0066136A" w:rsidRPr="00CB266F">
        <w:rPr>
          <w:rFonts w:asciiTheme="minorHAnsi" w:eastAsia="Arial" w:hAnsiTheme="minorHAnsi" w:cstheme="minorHAnsi"/>
          <w:color w:val="000000" w:themeColor="text1"/>
          <w:sz w:val="22"/>
          <w:szCs w:val="22"/>
          <w:lang w:val="en-GB"/>
        </w:rPr>
        <w:t xml:space="preserve"> </w:t>
      </w:r>
      <w:r w:rsidRPr="00CB266F">
        <w:rPr>
          <w:rFonts w:asciiTheme="minorHAnsi" w:eastAsia="Arial" w:hAnsiTheme="minorHAnsi" w:cstheme="minorHAnsi"/>
          <w:color w:val="000000" w:themeColor="text1"/>
          <w:sz w:val="22"/>
          <w:szCs w:val="22"/>
          <w:lang w:val="en-GB"/>
        </w:rPr>
        <w:t>ACORN</w:t>
      </w:r>
      <w:r w:rsidR="00EC48D7" w:rsidRPr="00CB266F">
        <w:rPr>
          <w:rFonts w:hAnsiTheme="minorHAnsi"/>
          <w:color w:val="000000"/>
          <w:sz w:val="22"/>
          <w:vertAlign w:val="superscript"/>
        </w:rPr>
        <w:t>9,145</w:t>
      </w:r>
      <w:r w:rsidRPr="00D05D20">
        <w:rPr>
          <w:rFonts w:asciiTheme="minorHAnsi" w:eastAsia="Arial" w:hAnsiTheme="minorHAnsi" w:cstheme="minorHAnsi"/>
          <w:color w:val="000000" w:themeColor="text1"/>
          <w:sz w:val="22"/>
          <w:szCs w:val="22"/>
          <w:lang w:val="en-GB"/>
        </w:rPr>
        <w:t xml:space="preserve"> offers one model that has been piloted in resource-limited settings.</w:t>
      </w:r>
    </w:p>
    <w:p w14:paraId="4BED0856" w14:textId="2A8C5308" w:rsidR="003270DE" w:rsidRPr="00D05D20" w:rsidRDefault="003270DE" w:rsidP="00D05D20">
      <w:pPr>
        <w:pStyle w:val="ListParagraph"/>
        <w:numPr>
          <w:ilvl w:val="0"/>
          <w:numId w:val="23"/>
        </w:numPr>
        <w:pBdr>
          <w:top w:val="single" w:sz="4" w:space="1" w:color="auto"/>
          <w:left w:val="single" w:sz="4" w:space="4" w:color="auto"/>
          <w:bottom w:val="single" w:sz="4" w:space="1" w:color="auto"/>
          <w:right w:val="single" w:sz="4" w:space="4" w:color="auto"/>
        </w:pBdr>
        <w:ind w:left="0" w:firstLine="360"/>
        <w:rPr>
          <w:rFonts w:asciiTheme="minorHAnsi" w:eastAsia="Arial" w:hAnsiTheme="minorHAnsi" w:cstheme="minorHAnsi"/>
          <w:color w:val="000000" w:themeColor="text1"/>
          <w:sz w:val="22"/>
          <w:szCs w:val="22"/>
          <w:lang w:val="en-GB"/>
        </w:rPr>
      </w:pPr>
      <w:r w:rsidRPr="00D05D20">
        <w:rPr>
          <w:rFonts w:asciiTheme="minorHAnsi" w:eastAsia="Arial" w:hAnsiTheme="minorHAnsi" w:cstheme="minorHAnsi"/>
          <w:color w:val="000000" w:themeColor="text1"/>
          <w:sz w:val="22"/>
          <w:szCs w:val="22"/>
          <w:lang w:val="en-GB"/>
        </w:rPr>
        <w:t xml:space="preserve">Surveillance </w:t>
      </w:r>
      <w:r w:rsidR="0042750F" w:rsidRPr="00D05D20">
        <w:rPr>
          <w:rFonts w:asciiTheme="minorHAnsi" w:eastAsia="Arial" w:hAnsiTheme="minorHAnsi" w:cstheme="minorHAnsi"/>
          <w:color w:val="000000" w:themeColor="text1"/>
          <w:sz w:val="22"/>
          <w:szCs w:val="22"/>
          <w:lang w:val="en-GB"/>
        </w:rPr>
        <w:t>that incorporates information from</w:t>
      </w:r>
      <w:r w:rsidRPr="00D05D20">
        <w:rPr>
          <w:rFonts w:asciiTheme="minorHAnsi" w:eastAsia="Arial" w:hAnsiTheme="minorHAnsi" w:cstheme="minorHAnsi"/>
          <w:color w:val="000000" w:themeColor="text1"/>
          <w:sz w:val="22"/>
          <w:szCs w:val="22"/>
          <w:lang w:val="en-GB"/>
        </w:rPr>
        <w:t xml:space="preserve"> isolates from </w:t>
      </w:r>
      <w:r w:rsidR="00E12CB2" w:rsidRPr="00D05D20">
        <w:rPr>
          <w:rFonts w:asciiTheme="minorHAnsi" w:eastAsia="Arial" w:hAnsiTheme="minorHAnsi" w:cstheme="minorHAnsi"/>
          <w:color w:val="000000" w:themeColor="text1"/>
          <w:sz w:val="22"/>
          <w:szCs w:val="22"/>
          <w:lang w:val="en-GB"/>
        </w:rPr>
        <w:t>animals</w:t>
      </w:r>
      <w:r w:rsidR="00BB2A0F" w:rsidRPr="00D05D20">
        <w:rPr>
          <w:rFonts w:asciiTheme="minorHAnsi" w:eastAsia="Arial" w:hAnsiTheme="minorHAnsi" w:cstheme="minorHAnsi"/>
          <w:color w:val="000000" w:themeColor="text1"/>
          <w:sz w:val="22"/>
          <w:szCs w:val="22"/>
          <w:lang w:val="en-GB"/>
        </w:rPr>
        <w:t>,</w:t>
      </w:r>
      <w:r w:rsidRPr="00D05D20">
        <w:rPr>
          <w:rFonts w:asciiTheme="minorHAnsi" w:eastAsia="Arial" w:hAnsiTheme="minorHAnsi" w:cstheme="minorHAnsi"/>
          <w:color w:val="000000" w:themeColor="text1"/>
          <w:sz w:val="22"/>
          <w:szCs w:val="22"/>
          <w:lang w:val="en-GB"/>
        </w:rPr>
        <w:t xml:space="preserve"> the environment</w:t>
      </w:r>
      <w:r w:rsidR="00BB2A0F" w:rsidRPr="00D05D20">
        <w:rPr>
          <w:rFonts w:asciiTheme="minorHAnsi" w:eastAsia="Arial" w:hAnsiTheme="minorHAnsi" w:cstheme="minorHAnsi"/>
          <w:color w:val="000000" w:themeColor="text1"/>
          <w:sz w:val="22"/>
          <w:szCs w:val="22"/>
          <w:lang w:val="en-GB"/>
        </w:rPr>
        <w:t>, and healthy people</w:t>
      </w:r>
      <w:r w:rsidRPr="00D05D20">
        <w:rPr>
          <w:rFonts w:asciiTheme="minorHAnsi" w:eastAsia="Arial" w:hAnsiTheme="minorHAnsi" w:cstheme="minorHAnsi"/>
          <w:color w:val="000000" w:themeColor="text1"/>
          <w:sz w:val="22"/>
          <w:szCs w:val="22"/>
          <w:lang w:val="en-GB"/>
        </w:rPr>
        <w:t xml:space="preserve"> is critical to provide a One Health picture of antimicrobial resistance.</w:t>
      </w:r>
    </w:p>
    <w:p w14:paraId="26A7126B" w14:textId="0D49908B" w:rsidR="0042750F" w:rsidRPr="00D05D20" w:rsidRDefault="00BB2A0F" w:rsidP="00D05D20">
      <w:pPr>
        <w:pStyle w:val="ListParagraph"/>
        <w:numPr>
          <w:ilvl w:val="0"/>
          <w:numId w:val="23"/>
        </w:numPr>
        <w:pBdr>
          <w:top w:val="single" w:sz="4" w:space="1" w:color="auto"/>
          <w:left w:val="single" w:sz="4" w:space="4" w:color="auto"/>
          <w:bottom w:val="single" w:sz="4" w:space="1" w:color="auto"/>
          <w:right w:val="single" w:sz="4" w:space="4" w:color="auto"/>
        </w:pBdr>
        <w:ind w:left="0" w:firstLine="360"/>
        <w:rPr>
          <w:rFonts w:asciiTheme="minorHAnsi" w:eastAsia="Arial" w:hAnsiTheme="minorHAnsi" w:cstheme="minorHAnsi"/>
          <w:color w:val="000000" w:themeColor="text1"/>
          <w:sz w:val="22"/>
          <w:szCs w:val="22"/>
          <w:lang w:val="en-GB"/>
        </w:rPr>
      </w:pPr>
      <w:r w:rsidRPr="00D05D20">
        <w:rPr>
          <w:rFonts w:asciiTheme="minorHAnsi" w:eastAsia="Arial" w:hAnsiTheme="minorHAnsi" w:cstheme="minorHAnsi"/>
          <w:color w:val="000000" w:themeColor="text1"/>
          <w:sz w:val="22"/>
          <w:szCs w:val="22"/>
          <w:lang w:val="en-GB"/>
        </w:rPr>
        <w:t>R</w:t>
      </w:r>
      <w:r w:rsidR="0042750F" w:rsidRPr="00D05D20">
        <w:rPr>
          <w:rFonts w:asciiTheme="minorHAnsi" w:eastAsia="Arial" w:hAnsiTheme="minorHAnsi" w:cstheme="minorHAnsi"/>
          <w:color w:val="000000" w:themeColor="text1"/>
          <w:sz w:val="22"/>
          <w:szCs w:val="22"/>
          <w:lang w:val="en-GB"/>
        </w:rPr>
        <w:t>egulation</w:t>
      </w:r>
      <w:r w:rsidRPr="00D05D20">
        <w:rPr>
          <w:rFonts w:asciiTheme="minorHAnsi" w:eastAsia="Arial" w:hAnsiTheme="minorHAnsi" w:cstheme="minorHAnsi"/>
          <w:color w:val="000000" w:themeColor="text1"/>
          <w:sz w:val="22"/>
          <w:szCs w:val="22"/>
          <w:lang w:val="en-GB"/>
        </w:rPr>
        <w:t>s</w:t>
      </w:r>
      <w:r w:rsidR="0042750F" w:rsidRPr="00D05D20">
        <w:rPr>
          <w:rFonts w:asciiTheme="minorHAnsi" w:eastAsia="Arial" w:hAnsiTheme="minorHAnsi" w:cstheme="minorHAnsi"/>
          <w:color w:val="000000" w:themeColor="text1"/>
          <w:sz w:val="22"/>
          <w:szCs w:val="22"/>
          <w:lang w:val="en-GB"/>
        </w:rPr>
        <w:t xml:space="preserve"> on antimicrobial distribution must be strengthened to </w:t>
      </w:r>
      <w:r w:rsidR="00E12CB2" w:rsidRPr="00D05D20">
        <w:rPr>
          <w:rFonts w:asciiTheme="minorHAnsi" w:eastAsia="Arial" w:hAnsiTheme="minorHAnsi" w:cstheme="minorHAnsi"/>
          <w:color w:val="000000" w:themeColor="text1"/>
          <w:sz w:val="22"/>
          <w:szCs w:val="22"/>
          <w:lang w:val="en-GB"/>
        </w:rPr>
        <w:t xml:space="preserve">reduce </w:t>
      </w:r>
      <w:r w:rsidR="0042750F" w:rsidRPr="00D05D20">
        <w:rPr>
          <w:rFonts w:asciiTheme="minorHAnsi" w:eastAsia="Arial" w:hAnsiTheme="minorHAnsi" w:cstheme="minorHAnsi"/>
          <w:color w:val="000000" w:themeColor="text1"/>
          <w:sz w:val="22"/>
          <w:szCs w:val="22"/>
          <w:lang w:val="en-GB"/>
        </w:rPr>
        <w:t>selection for resistance, improve access</w:t>
      </w:r>
      <w:r w:rsidR="00E12CB2" w:rsidRPr="00D05D20">
        <w:rPr>
          <w:rFonts w:asciiTheme="minorHAnsi" w:eastAsia="Arial" w:hAnsiTheme="minorHAnsi" w:cstheme="minorHAnsi"/>
          <w:color w:val="000000" w:themeColor="text1"/>
          <w:sz w:val="22"/>
          <w:szCs w:val="22"/>
          <w:lang w:val="en-GB"/>
        </w:rPr>
        <w:t xml:space="preserve"> for patients for </w:t>
      </w:r>
      <w:r w:rsidRPr="00D05D20">
        <w:rPr>
          <w:rFonts w:asciiTheme="minorHAnsi" w:eastAsia="Arial" w:hAnsiTheme="minorHAnsi" w:cstheme="minorHAnsi"/>
          <w:color w:val="000000" w:themeColor="text1"/>
          <w:sz w:val="22"/>
          <w:szCs w:val="22"/>
          <w:lang w:val="en-GB"/>
        </w:rPr>
        <w:t xml:space="preserve">need </w:t>
      </w:r>
      <w:r w:rsidR="00E12CB2" w:rsidRPr="00D05D20">
        <w:rPr>
          <w:rFonts w:asciiTheme="minorHAnsi" w:eastAsia="Arial" w:hAnsiTheme="minorHAnsi" w:cstheme="minorHAnsi"/>
          <w:color w:val="000000" w:themeColor="text1"/>
          <w:sz w:val="22"/>
          <w:szCs w:val="22"/>
          <w:lang w:val="en-GB"/>
        </w:rPr>
        <w:t>antimicrobials</w:t>
      </w:r>
      <w:r w:rsidR="00C57BCE" w:rsidRPr="00D05D20">
        <w:rPr>
          <w:rFonts w:asciiTheme="minorHAnsi" w:eastAsia="Arial" w:hAnsiTheme="minorHAnsi" w:cstheme="minorHAnsi"/>
          <w:color w:val="000000" w:themeColor="text1"/>
          <w:sz w:val="22"/>
          <w:szCs w:val="22"/>
          <w:lang w:val="en-GB"/>
        </w:rPr>
        <w:t>,</w:t>
      </w:r>
      <w:r w:rsidR="0042750F" w:rsidRPr="00D05D20">
        <w:rPr>
          <w:rFonts w:asciiTheme="minorHAnsi" w:eastAsia="Arial" w:hAnsiTheme="minorHAnsi" w:cstheme="minorHAnsi"/>
          <w:color w:val="000000" w:themeColor="text1"/>
          <w:sz w:val="22"/>
          <w:szCs w:val="22"/>
          <w:lang w:val="en-GB"/>
        </w:rPr>
        <w:t xml:space="preserve"> and permit antimicrobial use surveillance.</w:t>
      </w:r>
    </w:p>
    <w:p w14:paraId="7DE8C8EC" w14:textId="0700214C" w:rsidR="003270DE" w:rsidRPr="00D05D20" w:rsidRDefault="003270DE" w:rsidP="00D05D20">
      <w:pPr>
        <w:pStyle w:val="ListParagraph"/>
        <w:numPr>
          <w:ilvl w:val="0"/>
          <w:numId w:val="23"/>
        </w:numPr>
        <w:pBdr>
          <w:top w:val="single" w:sz="4" w:space="1" w:color="auto"/>
          <w:left w:val="single" w:sz="4" w:space="4" w:color="auto"/>
          <w:bottom w:val="single" w:sz="4" w:space="1" w:color="auto"/>
          <w:right w:val="single" w:sz="4" w:space="4" w:color="auto"/>
        </w:pBdr>
        <w:ind w:left="0" w:firstLine="360"/>
        <w:rPr>
          <w:rFonts w:asciiTheme="minorHAnsi" w:eastAsia="Arial" w:hAnsiTheme="minorHAnsi" w:cstheme="minorHAnsi"/>
          <w:color w:val="000000" w:themeColor="text1"/>
          <w:sz w:val="22"/>
          <w:szCs w:val="22"/>
          <w:lang w:val="en-GB"/>
        </w:rPr>
      </w:pPr>
      <w:r w:rsidRPr="00D05D20">
        <w:rPr>
          <w:rFonts w:asciiTheme="minorHAnsi" w:eastAsia="Arial" w:hAnsiTheme="minorHAnsi" w:cstheme="minorHAnsi"/>
          <w:color w:val="000000" w:themeColor="text1"/>
          <w:sz w:val="22"/>
          <w:szCs w:val="22"/>
          <w:lang w:val="en-GB"/>
        </w:rPr>
        <w:t>Electronic data capture is essential for collating and sharing surveillance information</w:t>
      </w:r>
      <w:r w:rsidR="00BB2A0F" w:rsidRPr="00D05D20">
        <w:rPr>
          <w:rFonts w:asciiTheme="minorHAnsi" w:eastAsia="Arial" w:hAnsiTheme="minorHAnsi" w:cstheme="minorHAnsi"/>
          <w:color w:val="000000" w:themeColor="text1"/>
          <w:sz w:val="22"/>
          <w:szCs w:val="22"/>
          <w:lang w:val="en-GB"/>
        </w:rPr>
        <w:t xml:space="preserve"> and making it available, </w:t>
      </w:r>
      <w:r w:rsidR="00940707" w:rsidRPr="00D05D20">
        <w:rPr>
          <w:rFonts w:asciiTheme="minorHAnsi" w:eastAsia="Arial" w:hAnsiTheme="minorHAnsi" w:cstheme="minorHAnsi"/>
          <w:color w:val="000000" w:themeColor="text1"/>
          <w:sz w:val="22"/>
          <w:szCs w:val="22"/>
          <w:lang w:val="en-GB"/>
        </w:rPr>
        <w:t>in a timely manner and in easily used formats,</w:t>
      </w:r>
      <w:r w:rsidR="00BB2A0F" w:rsidRPr="00D05D20">
        <w:rPr>
          <w:rFonts w:asciiTheme="minorHAnsi" w:eastAsia="Arial" w:hAnsiTheme="minorHAnsi" w:cstheme="minorHAnsi"/>
          <w:color w:val="000000" w:themeColor="text1"/>
          <w:sz w:val="22"/>
          <w:szCs w:val="22"/>
          <w:lang w:val="en-GB"/>
        </w:rPr>
        <w:t xml:space="preserve"> to</w:t>
      </w:r>
      <w:r w:rsidRPr="00D05D20">
        <w:rPr>
          <w:rFonts w:asciiTheme="minorHAnsi" w:eastAsia="Arial" w:hAnsiTheme="minorHAnsi" w:cstheme="minorHAnsi"/>
          <w:color w:val="000000" w:themeColor="text1"/>
          <w:sz w:val="22"/>
          <w:szCs w:val="22"/>
          <w:lang w:val="en-GB"/>
        </w:rPr>
        <w:t xml:space="preserve"> clinical, antimicrobial stewardship</w:t>
      </w:r>
      <w:r w:rsidR="00C57BCE" w:rsidRPr="00D05D20">
        <w:rPr>
          <w:rFonts w:asciiTheme="minorHAnsi" w:eastAsia="Arial" w:hAnsiTheme="minorHAnsi" w:cstheme="minorHAnsi"/>
          <w:color w:val="000000" w:themeColor="text1"/>
          <w:sz w:val="22"/>
          <w:szCs w:val="22"/>
          <w:lang w:val="en-GB"/>
        </w:rPr>
        <w:t>,</w:t>
      </w:r>
      <w:r w:rsidRPr="00D05D20">
        <w:rPr>
          <w:rFonts w:asciiTheme="minorHAnsi" w:eastAsia="Arial" w:hAnsiTheme="minorHAnsi" w:cstheme="minorHAnsi"/>
          <w:color w:val="000000" w:themeColor="text1"/>
          <w:sz w:val="22"/>
          <w:szCs w:val="22"/>
          <w:lang w:val="en-GB"/>
        </w:rPr>
        <w:t xml:space="preserve"> and public health decision</w:t>
      </w:r>
      <w:r w:rsidR="00BB2A0F" w:rsidRPr="00D05D20">
        <w:rPr>
          <w:rFonts w:asciiTheme="minorHAnsi" w:eastAsia="Arial" w:hAnsiTheme="minorHAnsi" w:cstheme="minorHAnsi"/>
          <w:color w:val="000000" w:themeColor="text1"/>
          <w:sz w:val="22"/>
          <w:szCs w:val="22"/>
          <w:lang w:val="en-GB"/>
        </w:rPr>
        <w:t>-maker</w:t>
      </w:r>
      <w:r w:rsidRPr="00D05D20">
        <w:rPr>
          <w:rFonts w:asciiTheme="minorHAnsi" w:eastAsia="Arial" w:hAnsiTheme="minorHAnsi" w:cstheme="minorHAnsi"/>
          <w:color w:val="000000" w:themeColor="text1"/>
          <w:sz w:val="22"/>
          <w:szCs w:val="22"/>
          <w:lang w:val="en-GB"/>
        </w:rPr>
        <w:t>s.</w:t>
      </w:r>
    </w:p>
    <w:p w14:paraId="1C639973" w14:textId="77D00982" w:rsidR="003270DE" w:rsidRPr="00D05D20" w:rsidRDefault="003270DE" w:rsidP="00D05D20">
      <w:pPr>
        <w:pStyle w:val="ListParagraph"/>
        <w:numPr>
          <w:ilvl w:val="0"/>
          <w:numId w:val="23"/>
        </w:numPr>
        <w:pBdr>
          <w:top w:val="single" w:sz="4" w:space="1" w:color="auto"/>
          <w:left w:val="single" w:sz="4" w:space="4" w:color="auto"/>
          <w:bottom w:val="single" w:sz="4" w:space="1" w:color="auto"/>
          <w:right w:val="single" w:sz="4" w:space="4" w:color="auto"/>
        </w:pBdr>
        <w:ind w:left="0" w:firstLine="360"/>
        <w:rPr>
          <w:rFonts w:asciiTheme="minorHAnsi" w:eastAsia="Arial" w:hAnsiTheme="minorHAnsi" w:cstheme="minorHAnsi"/>
          <w:color w:val="000000" w:themeColor="text1"/>
          <w:sz w:val="22"/>
          <w:szCs w:val="22"/>
          <w:lang w:val="en-GB"/>
        </w:rPr>
      </w:pPr>
      <w:r w:rsidRPr="00D05D20">
        <w:rPr>
          <w:rFonts w:asciiTheme="minorHAnsi" w:eastAsia="Arial" w:hAnsiTheme="minorHAnsi" w:cstheme="minorHAnsi"/>
          <w:color w:val="000000" w:themeColor="text1"/>
          <w:sz w:val="22"/>
          <w:szCs w:val="22"/>
          <w:lang w:val="en-GB"/>
        </w:rPr>
        <w:t xml:space="preserve">The value of </w:t>
      </w:r>
      <w:r w:rsidR="0042750F" w:rsidRPr="00D05D20">
        <w:rPr>
          <w:rFonts w:asciiTheme="minorHAnsi" w:eastAsia="Arial" w:hAnsiTheme="minorHAnsi" w:cstheme="minorHAnsi"/>
          <w:color w:val="000000" w:themeColor="text1"/>
          <w:sz w:val="22"/>
          <w:szCs w:val="22"/>
          <w:lang w:val="en-GB"/>
        </w:rPr>
        <w:t>existing</w:t>
      </w:r>
      <w:r w:rsidRPr="00D05D20">
        <w:rPr>
          <w:rFonts w:asciiTheme="minorHAnsi" w:eastAsia="Arial" w:hAnsiTheme="minorHAnsi" w:cstheme="minorHAnsi"/>
          <w:color w:val="000000" w:themeColor="text1"/>
          <w:sz w:val="22"/>
          <w:szCs w:val="22"/>
          <w:lang w:val="en-GB"/>
        </w:rPr>
        <w:t xml:space="preserve"> surveillance systems should be evaluated</w:t>
      </w:r>
      <w:r w:rsidR="004301D8">
        <w:rPr>
          <w:rFonts w:asciiTheme="minorHAnsi" w:eastAsia="Arial" w:hAnsiTheme="minorHAnsi" w:cstheme="minorHAnsi"/>
          <w:color w:val="000000" w:themeColor="text1"/>
          <w:sz w:val="22"/>
          <w:szCs w:val="22"/>
          <w:lang w:val="en-GB"/>
        </w:rPr>
        <w:t>,</w:t>
      </w:r>
      <w:r w:rsidRPr="00D05D20">
        <w:rPr>
          <w:rFonts w:asciiTheme="minorHAnsi" w:eastAsia="Arial" w:hAnsiTheme="minorHAnsi" w:cstheme="minorHAnsi"/>
          <w:color w:val="000000" w:themeColor="text1"/>
          <w:sz w:val="22"/>
          <w:szCs w:val="22"/>
          <w:lang w:val="en-GB"/>
        </w:rPr>
        <w:t xml:space="preserve"> and </w:t>
      </w:r>
      <w:r w:rsidR="00940707" w:rsidRPr="00D05D20">
        <w:rPr>
          <w:rFonts w:asciiTheme="minorHAnsi" w:eastAsia="Arial" w:hAnsiTheme="minorHAnsi" w:cstheme="minorHAnsi"/>
          <w:color w:val="000000" w:themeColor="text1"/>
          <w:sz w:val="22"/>
          <w:szCs w:val="22"/>
          <w:lang w:val="en-GB"/>
        </w:rPr>
        <w:t xml:space="preserve">the methods </w:t>
      </w:r>
      <w:r w:rsidRPr="00D05D20">
        <w:rPr>
          <w:rFonts w:asciiTheme="minorHAnsi" w:eastAsia="Arial" w:hAnsiTheme="minorHAnsi" w:cstheme="minorHAnsi"/>
          <w:color w:val="000000" w:themeColor="text1"/>
          <w:sz w:val="22"/>
          <w:szCs w:val="22"/>
          <w:lang w:val="en-GB"/>
        </w:rPr>
        <w:t>honed to</w:t>
      </w:r>
      <w:r w:rsidR="00940707" w:rsidRPr="00D05D20">
        <w:rPr>
          <w:rFonts w:asciiTheme="minorHAnsi" w:eastAsia="Arial" w:hAnsiTheme="minorHAnsi" w:cstheme="minorHAnsi"/>
          <w:color w:val="000000" w:themeColor="text1"/>
          <w:sz w:val="22"/>
          <w:szCs w:val="22"/>
          <w:lang w:val="en-GB"/>
        </w:rPr>
        <w:t xml:space="preserve"> </w:t>
      </w:r>
      <w:r w:rsidRPr="00D05D20">
        <w:rPr>
          <w:rFonts w:asciiTheme="minorHAnsi" w:eastAsia="Arial" w:hAnsiTheme="minorHAnsi" w:cstheme="minorHAnsi"/>
          <w:color w:val="000000" w:themeColor="text1"/>
          <w:sz w:val="22"/>
          <w:szCs w:val="22"/>
          <w:lang w:val="en-GB"/>
        </w:rPr>
        <w:t>increas</w:t>
      </w:r>
      <w:r w:rsidR="00940707" w:rsidRPr="00D05D20">
        <w:rPr>
          <w:rFonts w:asciiTheme="minorHAnsi" w:eastAsia="Arial" w:hAnsiTheme="minorHAnsi" w:cstheme="minorHAnsi"/>
          <w:color w:val="000000" w:themeColor="text1"/>
          <w:sz w:val="22"/>
          <w:szCs w:val="22"/>
          <w:lang w:val="en-GB"/>
        </w:rPr>
        <w:t>e</w:t>
      </w:r>
      <w:r w:rsidRPr="00D05D20">
        <w:rPr>
          <w:rFonts w:asciiTheme="minorHAnsi" w:eastAsia="Arial" w:hAnsiTheme="minorHAnsi" w:cstheme="minorHAnsi"/>
          <w:color w:val="000000" w:themeColor="text1"/>
          <w:sz w:val="22"/>
          <w:szCs w:val="22"/>
          <w:lang w:val="en-GB"/>
        </w:rPr>
        <w:t xml:space="preserve"> </w:t>
      </w:r>
      <w:r w:rsidR="00940707" w:rsidRPr="00D05D20">
        <w:rPr>
          <w:rFonts w:asciiTheme="minorHAnsi" w:eastAsia="Arial" w:hAnsiTheme="minorHAnsi" w:cstheme="minorHAnsi"/>
          <w:color w:val="000000" w:themeColor="text1"/>
          <w:sz w:val="22"/>
          <w:szCs w:val="22"/>
          <w:lang w:val="en-GB"/>
        </w:rPr>
        <w:t>cost-effectiveness and the</w:t>
      </w:r>
      <w:r w:rsidRPr="00D05D20">
        <w:rPr>
          <w:rFonts w:asciiTheme="minorHAnsi" w:eastAsia="Arial" w:hAnsiTheme="minorHAnsi" w:cstheme="minorHAnsi"/>
          <w:color w:val="000000" w:themeColor="text1"/>
          <w:sz w:val="22"/>
          <w:szCs w:val="22"/>
          <w:lang w:val="en-GB"/>
        </w:rPr>
        <w:t xml:space="preserve"> quality and actionability of </w:t>
      </w:r>
      <w:r w:rsidR="00940707" w:rsidRPr="00D05D20">
        <w:rPr>
          <w:rFonts w:asciiTheme="minorHAnsi" w:eastAsia="Arial" w:hAnsiTheme="minorHAnsi" w:cstheme="minorHAnsi"/>
          <w:color w:val="000000" w:themeColor="text1"/>
          <w:sz w:val="22"/>
          <w:szCs w:val="22"/>
          <w:lang w:val="en-GB"/>
        </w:rPr>
        <w:t xml:space="preserve">the </w:t>
      </w:r>
      <w:r w:rsidRPr="00D05D20">
        <w:rPr>
          <w:rFonts w:asciiTheme="minorHAnsi" w:eastAsia="Arial" w:hAnsiTheme="minorHAnsi" w:cstheme="minorHAnsi"/>
          <w:color w:val="000000" w:themeColor="text1"/>
          <w:sz w:val="22"/>
          <w:szCs w:val="22"/>
          <w:lang w:val="en-GB"/>
        </w:rPr>
        <w:t>information gleaned</w:t>
      </w:r>
      <w:r w:rsidR="0042750F" w:rsidRPr="00D05D20">
        <w:rPr>
          <w:rFonts w:asciiTheme="minorHAnsi" w:eastAsia="Arial" w:hAnsiTheme="minorHAnsi" w:cstheme="minorHAnsi"/>
          <w:color w:val="000000" w:themeColor="text1"/>
          <w:sz w:val="22"/>
          <w:szCs w:val="22"/>
          <w:lang w:val="en-GB"/>
        </w:rPr>
        <w:t>.</w:t>
      </w:r>
      <w:r w:rsidRPr="00D05D20">
        <w:rPr>
          <w:rFonts w:asciiTheme="minorHAnsi" w:eastAsia="Arial" w:hAnsiTheme="minorHAnsi" w:cstheme="minorHAnsi"/>
          <w:color w:val="000000" w:themeColor="text1"/>
          <w:sz w:val="22"/>
          <w:szCs w:val="22"/>
          <w:lang w:val="en-GB"/>
        </w:rPr>
        <w:t xml:space="preserve"> </w:t>
      </w:r>
    </w:p>
    <w:p w14:paraId="403AD283" w14:textId="77777777" w:rsidR="003270DE" w:rsidRDefault="003270DE" w:rsidP="00FF5E0B">
      <w:pPr>
        <w:rPr>
          <w:rFonts w:asciiTheme="minorHAnsi" w:eastAsia="Arial" w:hAnsiTheme="minorHAnsi" w:cstheme="minorHAnsi"/>
          <w:color w:val="000000" w:themeColor="text1"/>
          <w:sz w:val="22"/>
          <w:szCs w:val="22"/>
          <w:lang w:val="en-GB"/>
        </w:rPr>
      </w:pPr>
    </w:p>
    <w:p w14:paraId="2CA3D4D1" w14:textId="77777777" w:rsidR="003270DE" w:rsidRPr="00C37A4D" w:rsidRDefault="003270DE" w:rsidP="00FF5E0B">
      <w:pPr>
        <w:rPr>
          <w:rFonts w:asciiTheme="minorHAnsi" w:eastAsia="Arial" w:hAnsiTheme="minorHAnsi" w:cstheme="minorHAnsi"/>
          <w:color w:val="000000" w:themeColor="text1"/>
          <w:sz w:val="22"/>
          <w:szCs w:val="22"/>
          <w:lang w:val="en-GB"/>
        </w:rPr>
      </w:pPr>
    </w:p>
    <w:p w14:paraId="378CA971" w14:textId="588711BD" w:rsidR="00C37A4D" w:rsidRPr="00C37A4D" w:rsidRDefault="00C37A4D">
      <w:pPr>
        <w:rPr>
          <w:rFonts w:asciiTheme="minorHAnsi" w:eastAsia="Arial" w:hAnsiTheme="minorHAnsi" w:cstheme="minorHAnsi"/>
          <w:b/>
          <w:bCs/>
          <w:color w:val="000000" w:themeColor="text1"/>
          <w:sz w:val="22"/>
          <w:szCs w:val="22"/>
          <w:lang w:val="en-GB"/>
        </w:rPr>
      </w:pPr>
    </w:p>
    <w:p w14:paraId="6B87C65A" w14:textId="77777777" w:rsidR="00B84278" w:rsidRDefault="00B84278">
      <w:pPr>
        <w:rPr>
          <w:rFonts w:asciiTheme="minorHAnsi" w:eastAsia="Arial" w:hAnsiTheme="minorHAnsi" w:cstheme="minorHAnsi"/>
          <w:b/>
          <w:bCs/>
          <w:color w:val="000000" w:themeColor="text1"/>
          <w:sz w:val="22"/>
          <w:szCs w:val="22"/>
          <w:lang w:val="en-GB"/>
        </w:rPr>
      </w:pPr>
      <w:r>
        <w:rPr>
          <w:rFonts w:asciiTheme="minorHAnsi" w:eastAsia="Arial" w:hAnsiTheme="minorHAnsi" w:cstheme="minorHAnsi"/>
          <w:b/>
          <w:bCs/>
          <w:color w:val="000000" w:themeColor="text1"/>
          <w:sz w:val="22"/>
          <w:szCs w:val="22"/>
          <w:lang w:val="en-GB"/>
        </w:rPr>
        <w:br w:type="page"/>
      </w:r>
    </w:p>
    <w:p w14:paraId="6E0021A5" w14:textId="0EABFED2" w:rsidR="003A6887" w:rsidRPr="00C37A4D" w:rsidRDefault="00071D49" w:rsidP="00BD339B">
      <w:pPr>
        <w:tabs>
          <w:tab w:val="left" w:pos="450"/>
        </w:tabs>
        <w:ind w:left="450" w:hanging="450"/>
        <w:rPr>
          <w:rFonts w:asciiTheme="minorHAnsi" w:eastAsia="Arial" w:hAnsiTheme="minorHAnsi" w:cstheme="minorHAnsi"/>
          <w:b/>
          <w:color w:val="000000" w:themeColor="text1"/>
          <w:sz w:val="22"/>
          <w:szCs w:val="22"/>
          <w:lang w:val="en-GB"/>
        </w:rPr>
      </w:pPr>
      <w:r>
        <w:rPr>
          <w:rFonts w:asciiTheme="minorHAnsi" w:eastAsia="Arial" w:hAnsiTheme="minorHAnsi" w:cstheme="minorHAnsi"/>
          <w:b/>
          <w:color w:val="000000" w:themeColor="text1"/>
          <w:sz w:val="22"/>
          <w:szCs w:val="22"/>
          <w:lang w:val="en-GB"/>
        </w:rPr>
        <w:lastRenderedPageBreak/>
        <w:t>References</w:t>
      </w:r>
    </w:p>
    <w:p w14:paraId="0F0B16ED" w14:textId="43CDA9B1"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w:t>
      </w:r>
      <w:r w:rsidRPr="00894F4E">
        <w:rPr>
          <w:sz w:val="22"/>
          <w:szCs w:val="22"/>
        </w:rPr>
        <w:tab/>
        <w:t xml:space="preserve">Murray CJ, Ikuta KS, </w:t>
      </w:r>
      <w:proofErr w:type="spellStart"/>
      <w:r w:rsidRPr="00894F4E">
        <w:rPr>
          <w:sz w:val="22"/>
          <w:szCs w:val="22"/>
        </w:rPr>
        <w:t>Sharara</w:t>
      </w:r>
      <w:proofErr w:type="spellEnd"/>
      <w:r w:rsidRPr="00894F4E">
        <w:rPr>
          <w:sz w:val="22"/>
          <w:szCs w:val="22"/>
        </w:rPr>
        <w:t xml:space="preserve"> F, </w:t>
      </w:r>
      <w:r w:rsidRPr="00894F4E">
        <w:rPr>
          <w:i/>
          <w:iCs/>
          <w:sz w:val="22"/>
          <w:szCs w:val="22"/>
        </w:rPr>
        <w:t>et al.</w:t>
      </w:r>
      <w:r w:rsidRPr="00894F4E">
        <w:rPr>
          <w:sz w:val="22"/>
          <w:szCs w:val="22"/>
        </w:rPr>
        <w:t xml:space="preserve"> Global burden of bacterial antimicrobial resistance in 2019: a systematic analysis. </w:t>
      </w:r>
      <w:r w:rsidRPr="00894F4E">
        <w:rPr>
          <w:i/>
          <w:iCs/>
          <w:sz w:val="22"/>
          <w:szCs w:val="22"/>
        </w:rPr>
        <w:t>The Lancet</w:t>
      </w:r>
      <w:r w:rsidRPr="00894F4E">
        <w:rPr>
          <w:sz w:val="22"/>
          <w:szCs w:val="22"/>
        </w:rPr>
        <w:t xml:space="preserve"> 2022; </w:t>
      </w:r>
      <w:r w:rsidRPr="00894F4E">
        <w:rPr>
          <w:b/>
          <w:bCs/>
          <w:sz w:val="22"/>
          <w:szCs w:val="22"/>
        </w:rPr>
        <w:t>399</w:t>
      </w:r>
      <w:r w:rsidRPr="00894F4E">
        <w:rPr>
          <w:sz w:val="22"/>
          <w:szCs w:val="22"/>
        </w:rPr>
        <w:t>: 629–55.</w:t>
      </w:r>
    </w:p>
    <w:p w14:paraId="377B33DA"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2</w:t>
      </w:r>
      <w:r w:rsidRPr="00894F4E">
        <w:rPr>
          <w:sz w:val="22"/>
          <w:szCs w:val="22"/>
        </w:rPr>
        <w:tab/>
        <w:t>World Health Organization. Global antimicrobial resistance and use surveillance system (GLASS) report: 2022. 2022. https://www.who.int/publications/i/item/9789240062702 (accessed Nov 24, 2023).</w:t>
      </w:r>
    </w:p>
    <w:p w14:paraId="0C80FD0D"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3</w:t>
      </w:r>
      <w:r w:rsidRPr="00894F4E">
        <w:rPr>
          <w:sz w:val="22"/>
          <w:szCs w:val="22"/>
        </w:rPr>
        <w:tab/>
        <w:t xml:space="preserve">Langford BJ, So M, </w:t>
      </w:r>
      <w:proofErr w:type="spellStart"/>
      <w:r w:rsidRPr="00894F4E">
        <w:rPr>
          <w:sz w:val="22"/>
          <w:szCs w:val="22"/>
        </w:rPr>
        <w:t>Simeonova</w:t>
      </w:r>
      <w:proofErr w:type="spellEnd"/>
      <w:r w:rsidRPr="00894F4E">
        <w:rPr>
          <w:sz w:val="22"/>
          <w:szCs w:val="22"/>
        </w:rPr>
        <w:t xml:space="preserve"> M, </w:t>
      </w:r>
      <w:r w:rsidRPr="00894F4E">
        <w:rPr>
          <w:i/>
          <w:iCs/>
          <w:sz w:val="22"/>
          <w:szCs w:val="22"/>
        </w:rPr>
        <w:t>et al.</w:t>
      </w:r>
      <w:r w:rsidRPr="00894F4E">
        <w:rPr>
          <w:sz w:val="22"/>
          <w:szCs w:val="22"/>
        </w:rPr>
        <w:t xml:space="preserve"> </w:t>
      </w:r>
      <w:proofErr w:type="gramStart"/>
      <w:r w:rsidRPr="00894F4E">
        <w:rPr>
          <w:sz w:val="22"/>
          <w:szCs w:val="22"/>
        </w:rPr>
        <w:t>Antimicrobial</w:t>
      </w:r>
      <w:proofErr w:type="gramEnd"/>
      <w:r w:rsidRPr="00894F4E">
        <w:rPr>
          <w:sz w:val="22"/>
          <w:szCs w:val="22"/>
        </w:rPr>
        <w:t xml:space="preserve"> resistance in patients with COVID-19: a systematic review and meta-analysis. </w:t>
      </w:r>
      <w:r w:rsidRPr="00894F4E">
        <w:rPr>
          <w:i/>
          <w:iCs/>
          <w:sz w:val="22"/>
          <w:szCs w:val="22"/>
        </w:rPr>
        <w:t>The Lancet Microbe</w:t>
      </w:r>
      <w:r w:rsidRPr="00894F4E">
        <w:rPr>
          <w:sz w:val="22"/>
          <w:szCs w:val="22"/>
        </w:rPr>
        <w:t xml:space="preserve"> 2023.</w:t>
      </w:r>
    </w:p>
    <w:p w14:paraId="4B78A0CE"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4</w:t>
      </w:r>
      <w:r w:rsidRPr="00894F4E">
        <w:rPr>
          <w:sz w:val="22"/>
          <w:szCs w:val="22"/>
        </w:rPr>
        <w:tab/>
        <w:t xml:space="preserve">Kinross P, </w:t>
      </w:r>
      <w:proofErr w:type="spellStart"/>
      <w:r w:rsidRPr="00894F4E">
        <w:rPr>
          <w:sz w:val="22"/>
          <w:szCs w:val="22"/>
        </w:rPr>
        <w:t>Gagliotti</w:t>
      </w:r>
      <w:proofErr w:type="spellEnd"/>
      <w:r w:rsidRPr="00894F4E">
        <w:rPr>
          <w:sz w:val="22"/>
          <w:szCs w:val="22"/>
        </w:rPr>
        <w:t xml:space="preserve"> C, Merk H, </w:t>
      </w:r>
      <w:r w:rsidRPr="00894F4E">
        <w:rPr>
          <w:i/>
          <w:iCs/>
          <w:sz w:val="22"/>
          <w:szCs w:val="22"/>
        </w:rPr>
        <w:t>et al.</w:t>
      </w:r>
      <w:r w:rsidRPr="00894F4E">
        <w:rPr>
          <w:sz w:val="22"/>
          <w:szCs w:val="22"/>
        </w:rPr>
        <w:t xml:space="preserve"> </w:t>
      </w:r>
      <w:proofErr w:type="gramStart"/>
      <w:r w:rsidRPr="00894F4E">
        <w:rPr>
          <w:sz w:val="22"/>
          <w:szCs w:val="22"/>
        </w:rPr>
        <w:t>Large</w:t>
      </w:r>
      <w:proofErr w:type="gramEnd"/>
      <w:r w:rsidRPr="00894F4E">
        <w:rPr>
          <w:sz w:val="22"/>
          <w:szCs w:val="22"/>
        </w:rPr>
        <w:t xml:space="preserve"> increase in bloodstream infections with carbapenem-resistant Acinetobacter species during the first 2 years of the COVID-19 pandemic, EU/EEA, 2020 and 2021. </w:t>
      </w:r>
      <w:proofErr w:type="spellStart"/>
      <w:r w:rsidRPr="00894F4E">
        <w:rPr>
          <w:i/>
          <w:iCs/>
          <w:sz w:val="22"/>
          <w:szCs w:val="22"/>
        </w:rPr>
        <w:t>Eurosurveillance</w:t>
      </w:r>
      <w:proofErr w:type="spellEnd"/>
      <w:r w:rsidRPr="00894F4E">
        <w:rPr>
          <w:sz w:val="22"/>
          <w:szCs w:val="22"/>
        </w:rPr>
        <w:t xml:space="preserve"> 2022; </w:t>
      </w:r>
      <w:r w:rsidRPr="00894F4E">
        <w:rPr>
          <w:b/>
          <w:bCs/>
          <w:sz w:val="22"/>
          <w:szCs w:val="22"/>
        </w:rPr>
        <w:t>27</w:t>
      </w:r>
      <w:r w:rsidRPr="00894F4E">
        <w:rPr>
          <w:sz w:val="22"/>
          <w:szCs w:val="22"/>
        </w:rPr>
        <w:t>: 2200845.</w:t>
      </w:r>
    </w:p>
    <w:p w14:paraId="6DBDEACE"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5</w:t>
      </w:r>
      <w:r w:rsidRPr="00894F4E">
        <w:rPr>
          <w:sz w:val="22"/>
          <w:szCs w:val="22"/>
        </w:rPr>
        <w:tab/>
        <w:t xml:space="preserve">Cassini A, </w:t>
      </w:r>
      <w:proofErr w:type="spellStart"/>
      <w:r w:rsidRPr="00894F4E">
        <w:rPr>
          <w:sz w:val="22"/>
          <w:szCs w:val="22"/>
        </w:rPr>
        <w:t>Högberg</w:t>
      </w:r>
      <w:proofErr w:type="spellEnd"/>
      <w:r w:rsidRPr="00894F4E">
        <w:rPr>
          <w:sz w:val="22"/>
          <w:szCs w:val="22"/>
        </w:rPr>
        <w:t xml:space="preserve"> LD, </w:t>
      </w:r>
      <w:proofErr w:type="spellStart"/>
      <w:r w:rsidRPr="00894F4E">
        <w:rPr>
          <w:sz w:val="22"/>
          <w:szCs w:val="22"/>
        </w:rPr>
        <w:t>Plachouras</w:t>
      </w:r>
      <w:proofErr w:type="spellEnd"/>
      <w:r w:rsidRPr="00894F4E">
        <w:rPr>
          <w:sz w:val="22"/>
          <w:szCs w:val="22"/>
        </w:rPr>
        <w:t xml:space="preserve"> D, </w:t>
      </w:r>
      <w:r w:rsidRPr="00894F4E">
        <w:rPr>
          <w:i/>
          <w:iCs/>
          <w:sz w:val="22"/>
          <w:szCs w:val="22"/>
        </w:rPr>
        <w:t>et al.</w:t>
      </w:r>
      <w:r w:rsidRPr="00894F4E">
        <w:rPr>
          <w:sz w:val="22"/>
          <w:szCs w:val="22"/>
        </w:rPr>
        <w:t xml:space="preserve"> Attributable </w:t>
      </w:r>
      <w:proofErr w:type="gramStart"/>
      <w:r w:rsidRPr="00894F4E">
        <w:rPr>
          <w:sz w:val="22"/>
          <w:szCs w:val="22"/>
        </w:rPr>
        <w:t>deaths</w:t>
      </w:r>
      <w:proofErr w:type="gramEnd"/>
      <w:r w:rsidRPr="00894F4E">
        <w:rPr>
          <w:sz w:val="22"/>
          <w:szCs w:val="22"/>
        </w:rPr>
        <w:t xml:space="preserve"> and disability-adjusted life-years caused by infections with antibiotic-resistant bacteria in the EU and the European Economic Area in 2015: a population-level modelling analysis. </w:t>
      </w:r>
      <w:r w:rsidRPr="00894F4E">
        <w:rPr>
          <w:i/>
          <w:iCs/>
          <w:sz w:val="22"/>
          <w:szCs w:val="22"/>
        </w:rPr>
        <w:t>The Lancet infectious diseases</w:t>
      </w:r>
      <w:r w:rsidRPr="00894F4E">
        <w:rPr>
          <w:sz w:val="22"/>
          <w:szCs w:val="22"/>
        </w:rPr>
        <w:t xml:space="preserve"> 2019; </w:t>
      </w:r>
      <w:r w:rsidRPr="00894F4E">
        <w:rPr>
          <w:b/>
          <w:bCs/>
          <w:sz w:val="22"/>
          <w:szCs w:val="22"/>
        </w:rPr>
        <w:t>19</w:t>
      </w:r>
      <w:r w:rsidRPr="00894F4E">
        <w:rPr>
          <w:sz w:val="22"/>
          <w:szCs w:val="22"/>
        </w:rPr>
        <w:t>: 56–66.</w:t>
      </w:r>
    </w:p>
    <w:p w14:paraId="29E5D739"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6</w:t>
      </w:r>
      <w:r w:rsidRPr="00894F4E">
        <w:rPr>
          <w:sz w:val="22"/>
          <w:szCs w:val="22"/>
        </w:rPr>
        <w:tab/>
        <w:t xml:space="preserve">Stewardson AJ, </w:t>
      </w:r>
      <w:proofErr w:type="spellStart"/>
      <w:r w:rsidRPr="00894F4E">
        <w:rPr>
          <w:sz w:val="22"/>
          <w:szCs w:val="22"/>
        </w:rPr>
        <w:t>Marimuthu</w:t>
      </w:r>
      <w:proofErr w:type="spellEnd"/>
      <w:r w:rsidRPr="00894F4E">
        <w:rPr>
          <w:sz w:val="22"/>
          <w:szCs w:val="22"/>
        </w:rPr>
        <w:t xml:space="preserve"> K, Sengupta S, </w:t>
      </w:r>
      <w:r w:rsidRPr="00894F4E">
        <w:rPr>
          <w:i/>
          <w:iCs/>
          <w:sz w:val="22"/>
          <w:szCs w:val="22"/>
        </w:rPr>
        <w:t>et al.</w:t>
      </w:r>
      <w:r w:rsidRPr="00894F4E">
        <w:rPr>
          <w:sz w:val="22"/>
          <w:szCs w:val="22"/>
        </w:rPr>
        <w:t xml:space="preserve"> Effect of carbapenem resistance on outcomes of bloodstream infection caused by Enterobacteriaceae in low-income and middle-income countries (PANORAMA): a multinational prospective cohort study. </w:t>
      </w:r>
      <w:r w:rsidRPr="00894F4E">
        <w:rPr>
          <w:i/>
          <w:iCs/>
          <w:sz w:val="22"/>
          <w:szCs w:val="22"/>
        </w:rPr>
        <w:t>The Lancet Infectious Diseases</w:t>
      </w:r>
      <w:r w:rsidRPr="00894F4E">
        <w:rPr>
          <w:sz w:val="22"/>
          <w:szCs w:val="22"/>
        </w:rPr>
        <w:t xml:space="preserve"> 2019; </w:t>
      </w:r>
      <w:r w:rsidRPr="00894F4E">
        <w:rPr>
          <w:b/>
          <w:bCs/>
          <w:sz w:val="22"/>
          <w:szCs w:val="22"/>
        </w:rPr>
        <w:t>19</w:t>
      </w:r>
      <w:r w:rsidRPr="00894F4E">
        <w:rPr>
          <w:sz w:val="22"/>
          <w:szCs w:val="22"/>
        </w:rPr>
        <w:t>: 601–10.</w:t>
      </w:r>
    </w:p>
    <w:p w14:paraId="717E7F3E"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7</w:t>
      </w:r>
      <w:r w:rsidRPr="00894F4E">
        <w:rPr>
          <w:sz w:val="22"/>
          <w:szCs w:val="22"/>
        </w:rPr>
        <w:tab/>
      </w:r>
      <w:proofErr w:type="spellStart"/>
      <w:r w:rsidRPr="00894F4E">
        <w:rPr>
          <w:sz w:val="22"/>
          <w:szCs w:val="22"/>
        </w:rPr>
        <w:t>Allel</w:t>
      </w:r>
      <w:proofErr w:type="spellEnd"/>
      <w:r w:rsidRPr="00894F4E">
        <w:rPr>
          <w:sz w:val="22"/>
          <w:szCs w:val="22"/>
        </w:rPr>
        <w:t xml:space="preserve"> K, Stone J, </w:t>
      </w:r>
      <w:proofErr w:type="spellStart"/>
      <w:r w:rsidRPr="00894F4E">
        <w:rPr>
          <w:sz w:val="22"/>
          <w:szCs w:val="22"/>
        </w:rPr>
        <w:t>Undurraga</w:t>
      </w:r>
      <w:proofErr w:type="spellEnd"/>
      <w:r w:rsidRPr="00894F4E">
        <w:rPr>
          <w:sz w:val="22"/>
          <w:szCs w:val="22"/>
        </w:rPr>
        <w:t xml:space="preserve"> EA, </w:t>
      </w:r>
      <w:r w:rsidRPr="00894F4E">
        <w:rPr>
          <w:i/>
          <w:iCs/>
          <w:sz w:val="22"/>
          <w:szCs w:val="22"/>
        </w:rPr>
        <w:t>et al.</w:t>
      </w:r>
      <w:r w:rsidRPr="00894F4E">
        <w:rPr>
          <w:sz w:val="22"/>
          <w:szCs w:val="22"/>
        </w:rPr>
        <w:t xml:space="preserve"> The impact of inpatient bloodstream infections caused by antibiotic-resistant bacteria in low-and middle-income countries: A systematic review and meta-analysis. </w:t>
      </w:r>
      <w:proofErr w:type="spellStart"/>
      <w:r w:rsidRPr="00894F4E">
        <w:rPr>
          <w:i/>
          <w:iCs/>
          <w:sz w:val="22"/>
          <w:szCs w:val="22"/>
        </w:rPr>
        <w:t>Plos</w:t>
      </w:r>
      <w:proofErr w:type="spellEnd"/>
      <w:r w:rsidRPr="00894F4E">
        <w:rPr>
          <w:i/>
          <w:iCs/>
          <w:sz w:val="22"/>
          <w:szCs w:val="22"/>
        </w:rPr>
        <w:t xml:space="preserve"> Medicine</w:t>
      </w:r>
      <w:r w:rsidRPr="00894F4E">
        <w:rPr>
          <w:sz w:val="22"/>
          <w:szCs w:val="22"/>
        </w:rPr>
        <w:t xml:space="preserve"> 2023; </w:t>
      </w:r>
      <w:r w:rsidRPr="00894F4E">
        <w:rPr>
          <w:b/>
          <w:bCs/>
          <w:sz w:val="22"/>
          <w:szCs w:val="22"/>
        </w:rPr>
        <w:t>20</w:t>
      </w:r>
      <w:r w:rsidRPr="00894F4E">
        <w:rPr>
          <w:sz w:val="22"/>
          <w:szCs w:val="22"/>
        </w:rPr>
        <w:t>: e1004199.</w:t>
      </w:r>
    </w:p>
    <w:p w14:paraId="1CE4700D"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8</w:t>
      </w:r>
      <w:r w:rsidRPr="00894F4E">
        <w:rPr>
          <w:sz w:val="22"/>
          <w:szCs w:val="22"/>
        </w:rPr>
        <w:tab/>
        <w:t xml:space="preserve">Aiken AM, Rehman AM, de Kraker ME, </w:t>
      </w:r>
      <w:r w:rsidRPr="00894F4E">
        <w:rPr>
          <w:i/>
          <w:iCs/>
          <w:sz w:val="22"/>
          <w:szCs w:val="22"/>
        </w:rPr>
        <w:t>et al.</w:t>
      </w:r>
      <w:r w:rsidRPr="00894F4E">
        <w:rPr>
          <w:sz w:val="22"/>
          <w:szCs w:val="22"/>
        </w:rPr>
        <w:t xml:space="preserve"> Mortality associated with third-generation cephalosporin resistance in </w:t>
      </w:r>
      <w:proofErr w:type="spellStart"/>
      <w:r w:rsidRPr="00894F4E">
        <w:rPr>
          <w:sz w:val="22"/>
          <w:szCs w:val="22"/>
        </w:rPr>
        <w:t>Enterobacterales</w:t>
      </w:r>
      <w:proofErr w:type="spellEnd"/>
      <w:r w:rsidRPr="00894F4E">
        <w:rPr>
          <w:sz w:val="22"/>
          <w:szCs w:val="22"/>
        </w:rPr>
        <w:t xml:space="preserve"> bloodstream infections at eight sub-Saharan African hospitals (MBIRA): a prospective cohort study. </w:t>
      </w:r>
      <w:r w:rsidRPr="00894F4E">
        <w:rPr>
          <w:i/>
          <w:iCs/>
          <w:sz w:val="22"/>
          <w:szCs w:val="22"/>
        </w:rPr>
        <w:t>The Lancet Infectious Diseases</w:t>
      </w:r>
      <w:r w:rsidRPr="00894F4E">
        <w:rPr>
          <w:sz w:val="22"/>
          <w:szCs w:val="22"/>
        </w:rPr>
        <w:t xml:space="preserve"> 2023; </w:t>
      </w:r>
      <w:r w:rsidRPr="00894F4E">
        <w:rPr>
          <w:b/>
          <w:bCs/>
          <w:sz w:val="22"/>
          <w:szCs w:val="22"/>
        </w:rPr>
        <w:t>23</w:t>
      </w:r>
      <w:r w:rsidRPr="00894F4E">
        <w:rPr>
          <w:sz w:val="22"/>
          <w:szCs w:val="22"/>
        </w:rPr>
        <w:t>: 1280–90.</w:t>
      </w:r>
    </w:p>
    <w:p w14:paraId="02AB6663"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9</w:t>
      </w:r>
      <w:r w:rsidRPr="00894F4E">
        <w:rPr>
          <w:sz w:val="22"/>
          <w:szCs w:val="22"/>
        </w:rPr>
        <w:tab/>
        <w:t xml:space="preserve">Turner P, Ashley EA, </w:t>
      </w:r>
      <w:proofErr w:type="spellStart"/>
      <w:r w:rsidRPr="00894F4E">
        <w:rPr>
          <w:sz w:val="22"/>
          <w:szCs w:val="22"/>
        </w:rPr>
        <w:t>Celhay</w:t>
      </w:r>
      <w:proofErr w:type="spellEnd"/>
      <w:r w:rsidRPr="00894F4E">
        <w:rPr>
          <w:sz w:val="22"/>
          <w:szCs w:val="22"/>
        </w:rPr>
        <w:t xml:space="preserve"> OJ, </w:t>
      </w:r>
      <w:r w:rsidRPr="00894F4E">
        <w:rPr>
          <w:i/>
          <w:iCs/>
          <w:sz w:val="22"/>
          <w:szCs w:val="22"/>
        </w:rPr>
        <w:t>et al.</w:t>
      </w:r>
      <w:r w:rsidRPr="00894F4E">
        <w:rPr>
          <w:sz w:val="22"/>
          <w:szCs w:val="22"/>
        </w:rPr>
        <w:t xml:space="preserve"> ACORN (A </w:t>
      </w:r>
      <w:proofErr w:type="gramStart"/>
      <w:r w:rsidRPr="00894F4E">
        <w:rPr>
          <w:sz w:val="22"/>
          <w:szCs w:val="22"/>
        </w:rPr>
        <w:t>Clinically-Oriented</w:t>
      </w:r>
      <w:proofErr w:type="gramEnd"/>
      <w:r w:rsidRPr="00894F4E">
        <w:rPr>
          <w:sz w:val="22"/>
          <w:szCs w:val="22"/>
        </w:rPr>
        <w:t xml:space="preserve"> Antimicrobial Resistance Surveillance Network): a pilot protocol for case based antimicrobial resistance surveillance. </w:t>
      </w:r>
      <w:proofErr w:type="spellStart"/>
      <w:r w:rsidRPr="00894F4E">
        <w:rPr>
          <w:i/>
          <w:iCs/>
          <w:sz w:val="22"/>
          <w:szCs w:val="22"/>
        </w:rPr>
        <w:t>Wellcome</w:t>
      </w:r>
      <w:proofErr w:type="spellEnd"/>
      <w:r w:rsidRPr="00894F4E">
        <w:rPr>
          <w:i/>
          <w:iCs/>
          <w:sz w:val="22"/>
          <w:szCs w:val="22"/>
        </w:rPr>
        <w:t xml:space="preserve"> Open Research</w:t>
      </w:r>
      <w:r w:rsidRPr="00894F4E">
        <w:rPr>
          <w:sz w:val="22"/>
          <w:szCs w:val="22"/>
        </w:rPr>
        <w:t xml:space="preserve"> 2020; </w:t>
      </w:r>
      <w:r w:rsidRPr="00894F4E">
        <w:rPr>
          <w:b/>
          <w:bCs/>
          <w:sz w:val="22"/>
          <w:szCs w:val="22"/>
        </w:rPr>
        <w:t>5</w:t>
      </w:r>
      <w:r w:rsidRPr="00894F4E">
        <w:rPr>
          <w:sz w:val="22"/>
          <w:szCs w:val="22"/>
        </w:rPr>
        <w:t>.</w:t>
      </w:r>
    </w:p>
    <w:p w14:paraId="04839845"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10</w:t>
      </w:r>
      <w:r w:rsidRPr="00894F4E">
        <w:rPr>
          <w:sz w:val="22"/>
          <w:szCs w:val="22"/>
        </w:rPr>
        <w:tab/>
        <w:t>World Health Organization. GLASS method for estimating attributable mortality of antimicrobial resistant bloodstream infections. 2020.</w:t>
      </w:r>
    </w:p>
    <w:p w14:paraId="47753A4D"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11</w:t>
      </w:r>
      <w:r w:rsidRPr="00894F4E">
        <w:rPr>
          <w:sz w:val="22"/>
          <w:szCs w:val="22"/>
        </w:rPr>
        <w:tab/>
        <w:t xml:space="preserve">Burden of AMR and treatment failure in low-, middle- and high-income countries. BALANCE. </w:t>
      </w:r>
      <w:proofErr w:type="spellStart"/>
      <w:r w:rsidRPr="00894F4E">
        <w:rPr>
          <w:sz w:val="22"/>
          <w:szCs w:val="22"/>
        </w:rPr>
        <w:t>Ineos</w:t>
      </w:r>
      <w:proofErr w:type="spellEnd"/>
      <w:r w:rsidRPr="00894F4E">
        <w:rPr>
          <w:sz w:val="22"/>
          <w:szCs w:val="22"/>
        </w:rPr>
        <w:t xml:space="preserve"> Oxford Institute for Antimicrobial Research. https://www.ineosoxford.ox.ac.uk/balance (accessed Nov 18, 2023).</w:t>
      </w:r>
    </w:p>
    <w:p w14:paraId="774A8562"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12</w:t>
      </w:r>
      <w:r w:rsidRPr="00894F4E">
        <w:rPr>
          <w:sz w:val="22"/>
          <w:szCs w:val="22"/>
        </w:rPr>
        <w:tab/>
      </w:r>
      <w:proofErr w:type="spellStart"/>
      <w:r w:rsidRPr="00894F4E">
        <w:rPr>
          <w:sz w:val="22"/>
          <w:szCs w:val="22"/>
        </w:rPr>
        <w:t>Mölstad</w:t>
      </w:r>
      <w:proofErr w:type="spellEnd"/>
      <w:r w:rsidRPr="00894F4E">
        <w:rPr>
          <w:sz w:val="22"/>
          <w:szCs w:val="22"/>
        </w:rPr>
        <w:t xml:space="preserve"> S, </w:t>
      </w:r>
      <w:proofErr w:type="spellStart"/>
      <w:r w:rsidRPr="00894F4E">
        <w:rPr>
          <w:sz w:val="22"/>
          <w:szCs w:val="22"/>
        </w:rPr>
        <w:t>Löfmark</w:t>
      </w:r>
      <w:proofErr w:type="spellEnd"/>
      <w:r w:rsidRPr="00894F4E">
        <w:rPr>
          <w:sz w:val="22"/>
          <w:szCs w:val="22"/>
        </w:rPr>
        <w:t xml:space="preserve"> S, Carlin K, </w:t>
      </w:r>
      <w:r w:rsidRPr="00894F4E">
        <w:rPr>
          <w:i/>
          <w:iCs/>
          <w:sz w:val="22"/>
          <w:szCs w:val="22"/>
        </w:rPr>
        <w:t>et al.</w:t>
      </w:r>
      <w:r w:rsidRPr="00894F4E">
        <w:rPr>
          <w:sz w:val="22"/>
          <w:szCs w:val="22"/>
        </w:rPr>
        <w:t xml:space="preserve"> Lessons learnt during 20 years of the Swedish strategic </w:t>
      </w:r>
      <w:proofErr w:type="spellStart"/>
      <w:r w:rsidRPr="00894F4E">
        <w:rPr>
          <w:sz w:val="22"/>
          <w:szCs w:val="22"/>
        </w:rPr>
        <w:t>programme</w:t>
      </w:r>
      <w:proofErr w:type="spellEnd"/>
      <w:r w:rsidRPr="00894F4E">
        <w:rPr>
          <w:sz w:val="22"/>
          <w:szCs w:val="22"/>
        </w:rPr>
        <w:t xml:space="preserve"> against antibiotic resistance. </w:t>
      </w:r>
      <w:r w:rsidRPr="00894F4E">
        <w:rPr>
          <w:i/>
          <w:iCs/>
          <w:sz w:val="22"/>
          <w:szCs w:val="22"/>
        </w:rPr>
        <w:t>Bulletin of the World Health Organization</w:t>
      </w:r>
      <w:r w:rsidRPr="00894F4E">
        <w:rPr>
          <w:sz w:val="22"/>
          <w:szCs w:val="22"/>
        </w:rPr>
        <w:t xml:space="preserve"> 2017; </w:t>
      </w:r>
      <w:r w:rsidRPr="00894F4E">
        <w:rPr>
          <w:b/>
          <w:bCs/>
          <w:sz w:val="22"/>
          <w:szCs w:val="22"/>
        </w:rPr>
        <w:t>95</w:t>
      </w:r>
      <w:r w:rsidRPr="00894F4E">
        <w:rPr>
          <w:sz w:val="22"/>
          <w:szCs w:val="22"/>
        </w:rPr>
        <w:t>: 764.</w:t>
      </w:r>
    </w:p>
    <w:p w14:paraId="00EC0754"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13</w:t>
      </w:r>
      <w:r w:rsidRPr="00894F4E">
        <w:rPr>
          <w:sz w:val="22"/>
          <w:szCs w:val="22"/>
        </w:rPr>
        <w:tab/>
        <w:t xml:space="preserve">Food and Drug Administration. National Antimicrobial Resistance Monitoring System—Enteric bacteria (NARMS): 2007. Executive Report. US Department of Health and Human Services. </w:t>
      </w:r>
      <w:r w:rsidRPr="00894F4E">
        <w:rPr>
          <w:i/>
          <w:iCs/>
          <w:sz w:val="22"/>
          <w:szCs w:val="22"/>
        </w:rPr>
        <w:t>FDA, Rockville, MD</w:t>
      </w:r>
      <w:r w:rsidRPr="00894F4E">
        <w:rPr>
          <w:sz w:val="22"/>
          <w:szCs w:val="22"/>
        </w:rPr>
        <w:t xml:space="preserve"> 2010.</w:t>
      </w:r>
    </w:p>
    <w:p w14:paraId="79E1C567"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14</w:t>
      </w:r>
      <w:r w:rsidRPr="00894F4E">
        <w:rPr>
          <w:sz w:val="22"/>
          <w:szCs w:val="22"/>
        </w:rPr>
        <w:tab/>
        <w:t xml:space="preserve">European Food Safety Authority, European Centre for Disease Prevention and Control. The European Union summary report on antimicrobial resistance in zoonotic and indicator bacteria from humans, </w:t>
      </w:r>
      <w:proofErr w:type="gramStart"/>
      <w:r w:rsidRPr="00894F4E">
        <w:rPr>
          <w:sz w:val="22"/>
          <w:szCs w:val="22"/>
        </w:rPr>
        <w:t>animals</w:t>
      </w:r>
      <w:proofErr w:type="gramEnd"/>
      <w:r w:rsidRPr="00894F4E">
        <w:rPr>
          <w:sz w:val="22"/>
          <w:szCs w:val="22"/>
        </w:rPr>
        <w:t xml:space="preserve"> and food in 2016. </w:t>
      </w:r>
      <w:r w:rsidRPr="00894F4E">
        <w:rPr>
          <w:i/>
          <w:iCs/>
          <w:sz w:val="22"/>
          <w:szCs w:val="22"/>
        </w:rPr>
        <w:t>EFSA Journal</w:t>
      </w:r>
      <w:r w:rsidRPr="00894F4E">
        <w:rPr>
          <w:sz w:val="22"/>
          <w:szCs w:val="22"/>
        </w:rPr>
        <w:t xml:space="preserve"> 2018; </w:t>
      </w:r>
      <w:r w:rsidRPr="00894F4E">
        <w:rPr>
          <w:b/>
          <w:bCs/>
          <w:sz w:val="22"/>
          <w:szCs w:val="22"/>
        </w:rPr>
        <w:t>16</w:t>
      </w:r>
      <w:r w:rsidRPr="00894F4E">
        <w:rPr>
          <w:sz w:val="22"/>
          <w:szCs w:val="22"/>
        </w:rPr>
        <w:t>: e05182.</w:t>
      </w:r>
    </w:p>
    <w:p w14:paraId="655F00D8"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15</w:t>
      </w:r>
      <w:r w:rsidRPr="00894F4E">
        <w:rPr>
          <w:sz w:val="22"/>
          <w:szCs w:val="22"/>
        </w:rPr>
        <w:tab/>
        <w:t xml:space="preserve">US Food and Drug Administration. </w:t>
      </w:r>
      <w:proofErr w:type="spellStart"/>
      <w:r w:rsidRPr="00894F4E">
        <w:rPr>
          <w:sz w:val="22"/>
          <w:szCs w:val="22"/>
        </w:rPr>
        <w:t>Enrofoxacin</w:t>
      </w:r>
      <w:proofErr w:type="spellEnd"/>
      <w:r w:rsidRPr="00894F4E">
        <w:rPr>
          <w:sz w:val="22"/>
          <w:szCs w:val="22"/>
        </w:rPr>
        <w:t xml:space="preserve"> for poultry; final decision on withdrawal of new animal drug application following formal evidentiary public hearing; availability. </w:t>
      </w:r>
      <w:r w:rsidRPr="00894F4E">
        <w:rPr>
          <w:i/>
          <w:iCs/>
          <w:sz w:val="22"/>
          <w:szCs w:val="22"/>
        </w:rPr>
        <w:t>FR Doc</w:t>
      </w:r>
      <w:r w:rsidRPr="00894F4E">
        <w:rPr>
          <w:sz w:val="22"/>
          <w:szCs w:val="22"/>
        </w:rPr>
        <w:t xml:space="preserve"> 2005; : 05–15224.</w:t>
      </w:r>
    </w:p>
    <w:p w14:paraId="08B05097"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16</w:t>
      </w:r>
      <w:r w:rsidRPr="00894F4E">
        <w:rPr>
          <w:sz w:val="22"/>
          <w:szCs w:val="22"/>
        </w:rPr>
        <w:tab/>
        <w:t>US Food and Drug Administration. FDA’s Strategy on Antimicrobial Resistance - Questions and Answers. http://www.fda.gov/animalveterinary/guidancecomplianceenforcement/guidanceforindustry/ucm216939.htm (accessed Sept 30, 2023).</w:t>
      </w:r>
    </w:p>
    <w:p w14:paraId="6F105678"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lastRenderedPageBreak/>
        <w:t>17</w:t>
      </w:r>
      <w:r w:rsidRPr="00894F4E">
        <w:rPr>
          <w:sz w:val="22"/>
          <w:szCs w:val="22"/>
        </w:rPr>
        <w:tab/>
        <w:t xml:space="preserve">Millet S, </w:t>
      </w:r>
      <w:proofErr w:type="spellStart"/>
      <w:r w:rsidRPr="00894F4E">
        <w:rPr>
          <w:sz w:val="22"/>
          <w:szCs w:val="22"/>
        </w:rPr>
        <w:t>Maertens</w:t>
      </w:r>
      <w:proofErr w:type="spellEnd"/>
      <w:r w:rsidRPr="00894F4E">
        <w:rPr>
          <w:sz w:val="22"/>
          <w:szCs w:val="22"/>
        </w:rPr>
        <w:t xml:space="preserve"> L. The European ban on antibiotic growth promoters in animal feed: from challenges to opportunities. </w:t>
      </w:r>
      <w:r w:rsidRPr="00894F4E">
        <w:rPr>
          <w:i/>
          <w:iCs/>
          <w:sz w:val="22"/>
          <w:szCs w:val="22"/>
        </w:rPr>
        <w:t>Veterinary Journal</w:t>
      </w:r>
      <w:r w:rsidRPr="00894F4E">
        <w:rPr>
          <w:sz w:val="22"/>
          <w:szCs w:val="22"/>
        </w:rPr>
        <w:t xml:space="preserve"> 2011; </w:t>
      </w:r>
      <w:r w:rsidRPr="00894F4E">
        <w:rPr>
          <w:b/>
          <w:bCs/>
          <w:sz w:val="22"/>
          <w:szCs w:val="22"/>
        </w:rPr>
        <w:t>187</w:t>
      </w:r>
      <w:r w:rsidRPr="00894F4E">
        <w:rPr>
          <w:sz w:val="22"/>
          <w:szCs w:val="22"/>
        </w:rPr>
        <w:t>: 143–4.</w:t>
      </w:r>
    </w:p>
    <w:p w14:paraId="60D21A79"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18</w:t>
      </w:r>
      <w:r w:rsidRPr="00894F4E">
        <w:rPr>
          <w:sz w:val="22"/>
          <w:szCs w:val="22"/>
        </w:rPr>
        <w:tab/>
        <w:t xml:space="preserve">Rushton J, Huntington B, Gilbert W, </w:t>
      </w:r>
      <w:r w:rsidRPr="00894F4E">
        <w:rPr>
          <w:i/>
          <w:iCs/>
          <w:sz w:val="22"/>
          <w:szCs w:val="22"/>
        </w:rPr>
        <w:t>et al.</w:t>
      </w:r>
      <w:r w:rsidRPr="00894F4E">
        <w:rPr>
          <w:sz w:val="22"/>
          <w:szCs w:val="22"/>
        </w:rPr>
        <w:t xml:space="preserve"> Roll-out of the Global Burden of Animal Diseases </w:t>
      </w:r>
      <w:proofErr w:type="spellStart"/>
      <w:r w:rsidRPr="00894F4E">
        <w:rPr>
          <w:sz w:val="22"/>
          <w:szCs w:val="22"/>
        </w:rPr>
        <w:t>programme</w:t>
      </w:r>
      <w:proofErr w:type="spellEnd"/>
      <w:r w:rsidRPr="00894F4E">
        <w:rPr>
          <w:sz w:val="22"/>
          <w:szCs w:val="22"/>
        </w:rPr>
        <w:t xml:space="preserve">. </w:t>
      </w:r>
      <w:r w:rsidRPr="00894F4E">
        <w:rPr>
          <w:i/>
          <w:iCs/>
          <w:sz w:val="22"/>
          <w:szCs w:val="22"/>
        </w:rPr>
        <w:t>The Lancet</w:t>
      </w:r>
      <w:r w:rsidRPr="00894F4E">
        <w:rPr>
          <w:sz w:val="22"/>
          <w:szCs w:val="22"/>
        </w:rPr>
        <w:t xml:space="preserve"> 2021; </w:t>
      </w:r>
      <w:r w:rsidRPr="00894F4E">
        <w:rPr>
          <w:b/>
          <w:bCs/>
          <w:sz w:val="22"/>
          <w:szCs w:val="22"/>
        </w:rPr>
        <w:t>397</w:t>
      </w:r>
      <w:r w:rsidRPr="00894F4E">
        <w:rPr>
          <w:sz w:val="22"/>
          <w:szCs w:val="22"/>
        </w:rPr>
        <w:t>: 1045–6.</w:t>
      </w:r>
    </w:p>
    <w:p w14:paraId="774E8EE9"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19</w:t>
      </w:r>
      <w:r w:rsidRPr="00894F4E">
        <w:rPr>
          <w:sz w:val="22"/>
          <w:szCs w:val="22"/>
        </w:rPr>
        <w:tab/>
        <w:t xml:space="preserve">Laxminarayan R, </w:t>
      </w:r>
      <w:proofErr w:type="spellStart"/>
      <w:r w:rsidRPr="00894F4E">
        <w:rPr>
          <w:sz w:val="22"/>
          <w:szCs w:val="22"/>
        </w:rPr>
        <w:t>Matsoso</w:t>
      </w:r>
      <w:proofErr w:type="spellEnd"/>
      <w:r w:rsidRPr="00894F4E">
        <w:rPr>
          <w:sz w:val="22"/>
          <w:szCs w:val="22"/>
        </w:rPr>
        <w:t xml:space="preserve"> P, Pant S, </w:t>
      </w:r>
      <w:r w:rsidRPr="00894F4E">
        <w:rPr>
          <w:i/>
          <w:iCs/>
          <w:sz w:val="22"/>
          <w:szCs w:val="22"/>
        </w:rPr>
        <w:t>et al.</w:t>
      </w:r>
      <w:r w:rsidRPr="00894F4E">
        <w:rPr>
          <w:sz w:val="22"/>
          <w:szCs w:val="22"/>
        </w:rPr>
        <w:t xml:space="preserve"> Access to effective antimicrobials: a worldwide challenge. </w:t>
      </w:r>
      <w:r w:rsidRPr="00894F4E">
        <w:rPr>
          <w:i/>
          <w:iCs/>
          <w:sz w:val="22"/>
          <w:szCs w:val="22"/>
        </w:rPr>
        <w:t>The Lancet</w:t>
      </w:r>
      <w:r w:rsidRPr="00894F4E">
        <w:rPr>
          <w:sz w:val="22"/>
          <w:szCs w:val="22"/>
        </w:rPr>
        <w:t xml:space="preserve"> 2016; </w:t>
      </w:r>
      <w:r w:rsidRPr="00894F4E">
        <w:rPr>
          <w:b/>
          <w:bCs/>
          <w:sz w:val="22"/>
          <w:szCs w:val="22"/>
        </w:rPr>
        <w:t>387</w:t>
      </w:r>
      <w:r w:rsidRPr="00894F4E">
        <w:rPr>
          <w:sz w:val="22"/>
          <w:szCs w:val="22"/>
        </w:rPr>
        <w:t>: 168–75.</w:t>
      </w:r>
    </w:p>
    <w:p w14:paraId="1BCD839F"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20</w:t>
      </w:r>
      <w:r w:rsidRPr="00894F4E">
        <w:rPr>
          <w:sz w:val="22"/>
          <w:szCs w:val="22"/>
        </w:rPr>
        <w:tab/>
        <w:t xml:space="preserve">DGCCRF. Plan de surveillance des </w:t>
      </w:r>
      <w:proofErr w:type="spellStart"/>
      <w:r w:rsidRPr="00894F4E">
        <w:rPr>
          <w:sz w:val="22"/>
          <w:szCs w:val="22"/>
        </w:rPr>
        <w:t>salmonelles</w:t>
      </w:r>
      <w:proofErr w:type="spellEnd"/>
      <w:r w:rsidRPr="00894F4E">
        <w:rPr>
          <w:sz w:val="22"/>
          <w:szCs w:val="22"/>
        </w:rPr>
        <w:t xml:space="preserve"> dans les matières premières et les aliments pour </w:t>
      </w:r>
      <w:proofErr w:type="spellStart"/>
      <w:r w:rsidRPr="00894F4E">
        <w:rPr>
          <w:sz w:val="22"/>
          <w:szCs w:val="22"/>
        </w:rPr>
        <w:t>volailles</w:t>
      </w:r>
      <w:proofErr w:type="spellEnd"/>
      <w:r w:rsidRPr="00894F4E">
        <w:rPr>
          <w:sz w:val="22"/>
          <w:szCs w:val="22"/>
        </w:rPr>
        <w:t xml:space="preserve">. Direction </w:t>
      </w:r>
      <w:proofErr w:type="spellStart"/>
      <w:r w:rsidRPr="00894F4E">
        <w:rPr>
          <w:sz w:val="22"/>
          <w:szCs w:val="22"/>
        </w:rPr>
        <w:t>générale</w:t>
      </w:r>
      <w:proofErr w:type="spellEnd"/>
      <w:r w:rsidRPr="00894F4E">
        <w:rPr>
          <w:sz w:val="22"/>
          <w:szCs w:val="22"/>
        </w:rPr>
        <w:t xml:space="preserve"> de la concurrence, de la </w:t>
      </w:r>
      <w:proofErr w:type="spellStart"/>
      <w:r w:rsidRPr="00894F4E">
        <w:rPr>
          <w:sz w:val="22"/>
          <w:szCs w:val="22"/>
        </w:rPr>
        <w:t>consommation</w:t>
      </w:r>
      <w:proofErr w:type="spellEnd"/>
      <w:r w:rsidRPr="00894F4E">
        <w:rPr>
          <w:sz w:val="22"/>
          <w:szCs w:val="22"/>
        </w:rPr>
        <w:t xml:space="preserve"> et de la </w:t>
      </w:r>
      <w:proofErr w:type="spellStart"/>
      <w:r w:rsidRPr="00894F4E">
        <w:rPr>
          <w:sz w:val="22"/>
          <w:szCs w:val="22"/>
        </w:rPr>
        <w:t>répression</w:t>
      </w:r>
      <w:proofErr w:type="spellEnd"/>
      <w:r w:rsidRPr="00894F4E">
        <w:rPr>
          <w:sz w:val="22"/>
          <w:szCs w:val="22"/>
        </w:rPr>
        <w:t xml:space="preserve"> des </w:t>
      </w:r>
      <w:proofErr w:type="spellStart"/>
      <w:r w:rsidRPr="00894F4E">
        <w:rPr>
          <w:sz w:val="22"/>
          <w:szCs w:val="22"/>
        </w:rPr>
        <w:t>fraudes</w:t>
      </w:r>
      <w:proofErr w:type="spellEnd"/>
      <w:r w:rsidRPr="00894F4E">
        <w:rPr>
          <w:sz w:val="22"/>
          <w:szCs w:val="22"/>
        </w:rPr>
        <w:t>, 2018. https://www.economie.gouv.fr/dgccrf/plan-surveillance-et-controle-des-antibiotiques-coccidiostatiques-et-additifs-en-alimentation.</w:t>
      </w:r>
    </w:p>
    <w:p w14:paraId="363F31B8"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21</w:t>
      </w:r>
      <w:r w:rsidRPr="00894F4E">
        <w:rPr>
          <w:sz w:val="22"/>
          <w:szCs w:val="22"/>
        </w:rPr>
        <w:tab/>
        <w:t>Food Safety and Inspection Service, UDSA. Pilot Projects: Salmonella Control Strategies. http://www.fsis.usda.gov/inspection/inspection-programs/inspection-poultry-products/reducing-salmonella-poultry/pilot.</w:t>
      </w:r>
    </w:p>
    <w:p w14:paraId="31633A35"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22</w:t>
      </w:r>
      <w:r w:rsidRPr="00894F4E">
        <w:rPr>
          <w:sz w:val="22"/>
          <w:szCs w:val="22"/>
        </w:rPr>
        <w:tab/>
        <w:t xml:space="preserve">Van Boeckel TP, Brower C, Gilbert M, </w:t>
      </w:r>
      <w:r w:rsidRPr="00894F4E">
        <w:rPr>
          <w:i/>
          <w:iCs/>
          <w:sz w:val="22"/>
          <w:szCs w:val="22"/>
        </w:rPr>
        <w:t>et al.</w:t>
      </w:r>
      <w:r w:rsidRPr="00894F4E">
        <w:rPr>
          <w:sz w:val="22"/>
          <w:szCs w:val="22"/>
        </w:rPr>
        <w:t xml:space="preserve"> Global trends in antimicrobial use in food animals. </w:t>
      </w:r>
      <w:r w:rsidRPr="00894F4E">
        <w:rPr>
          <w:i/>
          <w:iCs/>
          <w:sz w:val="22"/>
          <w:szCs w:val="22"/>
        </w:rPr>
        <w:t>Proceedings of the National Academy of Sciences</w:t>
      </w:r>
      <w:r w:rsidRPr="00894F4E">
        <w:rPr>
          <w:sz w:val="22"/>
          <w:szCs w:val="22"/>
        </w:rPr>
        <w:t xml:space="preserve"> 2015; </w:t>
      </w:r>
      <w:r w:rsidRPr="00894F4E">
        <w:rPr>
          <w:b/>
          <w:bCs/>
          <w:sz w:val="22"/>
          <w:szCs w:val="22"/>
        </w:rPr>
        <w:t>112</w:t>
      </w:r>
      <w:r w:rsidRPr="00894F4E">
        <w:rPr>
          <w:sz w:val="22"/>
          <w:szCs w:val="22"/>
        </w:rPr>
        <w:t>: 5649–54.</w:t>
      </w:r>
    </w:p>
    <w:p w14:paraId="46BCDF57"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23</w:t>
      </w:r>
      <w:r w:rsidRPr="00894F4E">
        <w:rPr>
          <w:sz w:val="22"/>
          <w:szCs w:val="22"/>
        </w:rPr>
        <w:tab/>
        <w:t xml:space="preserve">Okpara EO, </w:t>
      </w:r>
      <w:proofErr w:type="spellStart"/>
      <w:r w:rsidRPr="00894F4E">
        <w:rPr>
          <w:sz w:val="22"/>
          <w:szCs w:val="22"/>
        </w:rPr>
        <w:t>Ojo</w:t>
      </w:r>
      <w:proofErr w:type="spellEnd"/>
      <w:r w:rsidRPr="00894F4E">
        <w:rPr>
          <w:sz w:val="22"/>
          <w:szCs w:val="22"/>
        </w:rPr>
        <w:t xml:space="preserve"> OE, </w:t>
      </w:r>
      <w:proofErr w:type="spellStart"/>
      <w:r w:rsidRPr="00894F4E">
        <w:rPr>
          <w:sz w:val="22"/>
          <w:szCs w:val="22"/>
        </w:rPr>
        <w:t>Awoyomi</w:t>
      </w:r>
      <w:proofErr w:type="spellEnd"/>
      <w:r w:rsidRPr="00894F4E">
        <w:rPr>
          <w:sz w:val="22"/>
          <w:szCs w:val="22"/>
        </w:rPr>
        <w:t xml:space="preserve"> OJ, </w:t>
      </w:r>
      <w:proofErr w:type="spellStart"/>
      <w:r w:rsidRPr="00894F4E">
        <w:rPr>
          <w:sz w:val="22"/>
          <w:szCs w:val="22"/>
        </w:rPr>
        <w:t>Dipeolu</w:t>
      </w:r>
      <w:proofErr w:type="spellEnd"/>
      <w:r w:rsidRPr="00894F4E">
        <w:rPr>
          <w:sz w:val="22"/>
          <w:szCs w:val="22"/>
        </w:rPr>
        <w:t xml:space="preserve"> MA, </w:t>
      </w:r>
      <w:proofErr w:type="spellStart"/>
      <w:r w:rsidRPr="00894F4E">
        <w:rPr>
          <w:sz w:val="22"/>
          <w:szCs w:val="22"/>
        </w:rPr>
        <w:t>Oyekunle</w:t>
      </w:r>
      <w:proofErr w:type="spellEnd"/>
      <w:r w:rsidRPr="00894F4E">
        <w:rPr>
          <w:sz w:val="22"/>
          <w:szCs w:val="22"/>
        </w:rPr>
        <w:t xml:space="preserve"> MA, Schwarz S. Antimicrobial usage and presence of extended-spectrum β-lactamase-producing Enterobacteriaceae in animal-rearing households of selected rural and peri-urban communities. </w:t>
      </w:r>
      <w:r w:rsidRPr="00894F4E">
        <w:rPr>
          <w:i/>
          <w:iCs/>
          <w:sz w:val="22"/>
          <w:szCs w:val="22"/>
        </w:rPr>
        <w:t>Veterinary microbiology</w:t>
      </w:r>
      <w:r w:rsidRPr="00894F4E">
        <w:rPr>
          <w:sz w:val="22"/>
          <w:szCs w:val="22"/>
        </w:rPr>
        <w:t xml:space="preserve"> 2018; </w:t>
      </w:r>
      <w:r w:rsidRPr="00894F4E">
        <w:rPr>
          <w:b/>
          <w:bCs/>
          <w:sz w:val="22"/>
          <w:szCs w:val="22"/>
        </w:rPr>
        <w:t>218</w:t>
      </w:r>
      <w:r w:rsidRPr="00894F4E">
        <w:rPr>
          <w:sz w:val="22"/>
          <w:szCs w:val="22"/>
        </w:rPr>
        <w:t>: 31–9.</w:t>
      </w:r>
    </w:p>
    <w:p w14:paraId="56D0EF82"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24</w:t>
      </w:r>
      <w:r w:rsidRPr="00894F4E">
        <w:rPr>
          <w:sz w:val="22"/>
          <w:szCs w:val="22"/>
        </w:rPr>
        <w:tab/>
      </w:r>
      <w:proofErr w:type="spellStart"/>
      <w:r w:rsidRPr="00894F4E">
        <w:rPr>
          <w:sz w:val="22"/>
          <w:szCs w:val="22"/>
        </w:rPr>
        <w:t>Muloi</w:t>
      </w:r>
      <w:proofErr w:type="spellEnd"/>
      <w:r w:rsidRPr="00894F4E">
        <w:rPr>
          <w:sz w:val="22"/>
          <w:szCs w:val="22"/>
        </w:rPr>
        <w:t xml:space="preserve"> DM, Wee BA, McClean DM, </w:t>
      </w:r>
      <w:r w:rsidRPr="00894F4E">
        <w:rPr>
          <w:i/>
          <w:iCs/>
          <w:sz w:val="22"/>
          <w:szCs w:val="22"/>
        </w:rPr>
        <w:t>et al.</w:t>
      </w:r>
      <w:r w:rsidRPr="00894F4E">
        <w:rPr>
          <w:sz w:val="22"/>
          <w:szCs w:val="22"/>
        </w:rPr>
        <w:t xml:space="preserve"> Population genomics of Escherichia coli in livestock-keeping households across a rapidly developing urban landscape. </w:t>
      </w:r>
      <w:r w:rsidRPr="00894F4E">
        <w:rPr>
          <w:i/>
          <w:iCs/>
          <w:sz w:val="22"/>
          <w:szCs w:val="22"/>
        </w:rPr>
        <w:t>Nature microbiology</w:t>
      </w:r>
      <w:r w:rsidRPr="00894F4E">
        <w:rPr>
          <w:sz w:val="22"/>
          <w:szCs w:val="22"/>
        </w:rPr>
        <w:t xml:space="preserve"> 2022; </w:t>
      </w:r>
      <w:r w:rsidRPr="00894F4E">
        <w:rPr>
          <w:b/>
          <w:bCs/>
          <w:sz w:val="22"/>
          <w:szCs w:val="22"/>
        </w:rPr>
        <w:t>7</w:t>
      </w:r>
      <w:r w:rsidRPr="00894F4E">
        <w:rPr>
          <w:sz w:val="22"/>
          <w:szCs w:val="22"/>
        </w:rPr>
        <w:t>: 581–9.</w:t>
      </w:r>
    </w:p>
    <w:p w14:paraId="28814570"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25</w:t>
      </w:r>
      <w:r w:rsidRPr="00894F4E">
        <w:rPr>
          <w:sz w:val="22"/>
          <w:szCs w:val="22"/>
        </w:rPr>
        <w:tab/>
        <w:t xml:space="preserve">Azam M, Mohsin M, </w:t>
      </w:r>
      <w:proofErr w:type="spellStart"/>
      <w:r w:rsidRPr="00894F4E">
        <w:rPr>
          <w:sz w:val="22"/>
          <w:szCs w:val="22"/>
        </w:rPr>
        <w:t>Saleemi</w:t>
      </w:r>
      <w:proofErr w:type="spellEnd"/>
      <w:r w:rsidRPr="00894F4E">
        <w:rPr>
          <w:sz w:val="22"/>
          <w:szCs w:val="22"/>
        </w:rPr>
        <w:t xml:space="preserve"> MK. Virulence-associated </w:t>
      </w:r>
      <w:proofErr w:type="gramStart"/>
      <w:r w:rsidRPr="00894F4E">
        <w:rPr>
          <w:sz w:val="22"/>
          <w:szCs w:val="22"/>
        </w:rPr>
        <w:t>genes</w:t>
      </w:r>
      <w:proofErr w:type="gramEnd"/>
      <w:r w:rsidRPr="00894F4E">
        <w:rPr>
          <w:sz w:val="22"/>
          <w:szCs w:val="22"/>
        </w:rPr>
        <w:t xml:space="preserve"> and antimicrobial resistance among avian pathogenic Escherichia coli from colibacillosis affected broilers in Pakistan. </w:t>
      </w:r>
      <w:r w:rsidRPr="00894F4E">
        <w:rPr>
          <w:i/>
          <w:iCs/>
          <w:sz w:val="22"/>
          <w:szCs w:val="22"/>
        </w:rPr>
        <w:t>Tropical animal health and production</w:t>
      </w:r>
      <w:r w:rsidRPr="00894F4E">
        <w:rPr>
          <w:sz w:val="22"/>
          <w:szCs w:val="22"/>
        </w:rPr>
        <w:t xml:space="preserve"> 2019; </w:t>
      </w:r>
      <w:r w:rsidRPr="00894F4E">
        <w:rPr>
          <w:b/>
          <w:bCs/>
          <w:sz w:val="22"/>
          <w:szCs w:val="22"/>
        </w:rPr>
        <w:t>51</w:t>
      </w:r>
      <w:r w:rsidRPr="00894F4E">
        <w:rPr>
          <w:sz w:val="22"/>
          <w:szCs w:val="22"/>
        </w:rPr>
        <w:t>: 1259–65.</w:t>
      </w:r>
    </w:p>
    <w:p w14:paraId="0251B328"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26</w:t>
      </w:r>
      <w:r w:rsidRPr="00894F4E">
        <w:rPr>
          <w:sz w:val="22"/>
          <w:szCs w:val="22"/>
        </w:rPr>
        <w:tab/>
        <w:t xml:space="preserve">Shah SQ, Cabello FC, </w:t>
      </w:r>
      <w:proofErr w:type="spellStart"/>
      <w:r w:rsidRPr="00894F4E">
        <w:rPr>
          <w:sz w:val="22"/>
          <w:szCs w:val="22"/>
        </w:rPr>
        <w:t>L’Abée</w:t>
      </w:r>
      <w:proofErr w:type="spellEnd"/>
      <w:r w:rsidRPr="00894F4E">
        <w:rPr>
          <w:sz w:val="22"/>
          <w:szCs w:val="22"/>
        </w:rPr>
        <w:t xml:space="preserve">‐Lund TM, </w:t>
      </w:r>
      <w:r w:rsidRPr="00894F4E">
        <w:rPr>
          <w:i/>
          <w:iCs/>
          <w:sz w:val="22"/>
          <w:szCs w:val="22"/>
        </w:rPr>
        <w:t>et al.</w:t>
      </w:r>
      <w:r w:rsidRPr="00894F4E">
        <w:rPr>
          <w:sz w:val="22"/>
          <w:szCs w:val="22"/>
        </w:rPr>
        <w:t xml:space="preserve"> </w:t>
      </w:r>
      <w:proofErr w:type="gramStart"/>
      <w:r w:rsidRPr="00894F4E">
        <w:rPr>
          <w:sz w:val="22"/>
          <w:szCs w:val="22"/>
        </w:rPr>
        <w:t>Antimicrobial</w:t>
      </w:r>
      <w:proofErr w:type="gramEnd"/>
      <w:r w:rsidRPr="00894F4E">
        <w:rPr>
          <w:sz w:val="22"/>
          <w:szCs w:val="22"/>
        </w:rPr>
        <w:t xml:space="preserve"> resistance and antimicrobial resistance genes in marine bacteria from salmon aquaculture and non‐aquaculture sites. </w:t>
      </w:r>
      <w:r w:rsidRPr="00894F4E">
        <w:rPr>
          <w:i/>
          <w:iCs/>
          <w:sz w:val="22"/>
          <w:szCs w:val="22"/>
        </w:rPr>
        <w:t>Environmental microbiology</w:t>
      </w:r>
      <w:r w:rsidRPr="00894F4E">
        <w:rPr>
          <w:sz w:val="22"/>
          <w:szCs w:val="22"/>
        </w:rPr>
        <w:t xml:space="preserve"> 2014; </w:t>
      </w:r>
      <w:r w:rsidRPr="00894F4E">
        <w:rPr>
          <w:b/>
          <w:bCs/>
          <w:sz w:val="22"/>
          <w:szCs w:val="22"/>
        </w:rPr>
        <w:t>16</w:t>
      </w:r>
      <w:r w:rsidRPr="00894F4E">
        <w:rPr>
          <w:sz w:val="22"/>
          <w:szCs w:val="22"/>
        </w:rPr>
        <w:t>: 1310–20.</w:t>
      </w:r>
    </w:p>
    <w:p w14:paraId="1352B45D"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27</w:t>
      </w:r>
      <w:r w:rsidRPr="00894F4E">
        <w:rPr>
          <w:sz w:val="22"/>
          <w:szCs w:val="22"/>
        </w:rPr>
        <w:tab/>
        <w:t xml:space="preserve">Zhao C, Wang Y, </w:t>
      </w:r>
      <w:proofErr w:type="spellStart"/>
      <w:r w:rsidRPr="00894F4E">
        <w:rPr>
          <w:sz w:val="22"/>
          <w:szCs w:val="22"/>
        </w:rPr>
        <w:t>Tiseo</w:t>
      </w:r>
      <w:proofErr w:type="spellEnd"/>
      <w:r w:rsidRPr="00894F4E">
        <w:rPr>
          <w:sz w:val="22"/>
          <w:szCs w:val="22"/>
        </w:rPr>
        <w:t xml:space="preserve"> K, Pires J, </w:t>
      </w:r>
      <w:proofErr w:type="spellStart"/>
      <w:r w:rsidRPr="00894F4E">
        <w:rPr>
          <w:sz w:val="22"/>
          <w:szCs w:val="22"/>
        </w:rPr>
        <w:t>Criscuolo</w:t>
      </w:r>
      <w:proofErr w:type="spellEnd"/>
      <w:r w:rsidRPr="00894F4E">
        <w:rPr>
          <w:sz w:val="22"/>
          <w:szCs w:val="22"/>
        </w:rPr>
        <w:t xml:space="preserve"> NG, Van Boeckel TP. Geographically targeted surveillance of livestock could help prioritize intervention against antimicrobial resistance in China. </w:t>
      </w:r>
      <w:r w:rsidRPr="00894F4E">
        <w:rPr>
          <w:i/>
          <w:iCs/>
          <w:sz w:val="22"/>
          <w:szCs w:val="22"/>
        </w:rPr>
        <w:t>Nature Food</w:t>
      </w:r>
      <w:r w:rsidRPr="00894F4E">
        <w:rPr>
          <w:sz w:val="22"/>
          <w:szCs w:val="22"/>
        </w:rPr>
        <w:t xml:space="preserve"> 2021; </w:t>
      </w:r>
      <w:r w:rsidRPr="00894F4E">
        <w:rPr>
          <w:b/>
          <w:bCs/>
          <w:sz w:val="22"/>
          <w:szCs w:val="22"/>
        </w:rPr>
        <w:t>2</w:t>
      </w:r>
      <w:r w:rsidRPr="00894F4E">
        <w:rPr>
          <w:sz w:val="22"/>
          <w:szCs w:val="22"/>
        </w:rPr>
        <w:t>: 596–602.</w:t>
      </w:r>
    </w:p>
    <w:p w14:paraId="66DE1B6B"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28</w:t>
      </w:r>
      <w:r w:rsidRPr="00894F4E">
        <w:rPr>
          <w:sz w:val="22"/>
          <w:szCs w:val="22"/>
        </w:rPr>
        <w:tab/>
      </w:r>
      <w:proofErr w:type="spellStart"/>
      <w:r w:rsidRPr="00894F4E">
        <w:rPr>
          <w:sz w:val="22"/>
          <w:szCs w:val="22"/>
        </w:rPr>
        <w:t>ResistanceBank</w:t>
      </w:r>
      <w:proofErr w:type="spellEnd"/>
      <w:r w:rsidRPr="00894F4E">
        <w:rPr>
          <w:sz w:val="22"/>
          <w:szCs w:val="22"/>
        </w:rPr>
        <w:t>. https://resistancebank.org (accessed Nov 24, 2023).</w:t>
      </w:r>
    </w:p>
    <w:p w14:paraId="71CEBB39"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29</w:t>
      </w:r>
      <w:r w:rsidRPr="00894F4E">
        <w:rPr>
          <w:sz w:val="22"/>
          <w:szCs w:val="22"/>
        </w:rPr>
        <w:tab/>
        <w:t>National Steering Committee on Antimicrobial Resistance of Thailand. Thailand’s First One Health Report on Antimicrobial Consumption and Antimicrobial Resistance in 2017. 2020 https://rr-asia.woah.org/wp-content/uploads/2020/10/thailand_s-one-health-report-in-2017.pdf.</w:t>
      </w:r>
    </w:p>
    <w:p w14:paraId="22F1745E"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30</w:t>
      </w:r>
      <w:r w:rsidRPr="00894F4E">
        <w:rPr>
          <w:sz w:val="22"/>
          <w:szCs w:val="22"/>
        </w:rPr>
        <w:tab/>
        <w:t>The Fleming Fund. The Fleming Fund Phase I: A Summary. 2022 https://www.flemingfund.org/publications/the-fleming-fund-phase-i-a-summary/ (accessed Nov 13, 2023).</w:t>
      </w:r>
    </w:p>
    <w:p w14:paraId="2409FAF7"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31</w:t>
      </w:r>
      <w:r w:rsidRPr="00894F4E">
        <w:rPr>
          <w:sz w:val="22"/>
          <w:szCs w:val="22"/>
        </w:rPr>
        <w:tab/>
        <w:t>World Health Organization. WHO integrated global surveillance on ESBL-producing E. coli using a “One Health” approach: implementation and opportunities. 2021.</w:t>
      </w:r>
    </w:p>
    <w:p w14:paraId="2DED8DC7"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32</w:t>
      </w:r>
      <w:r w:rsidRPr="00894F4E">
        <w:rPr>
          <w:sz w:val="22"/>
          <w:szCs w:val="22"/>
        </w:rPr>
        <w:tab/>
        <w:t xml:space="preserve">Liu L, </w:t>
      </w:r>
      <w:proofErr w:type="spellStart"/>
      <w:r w:rsidRPr="00894F4E">
        <w:rPr>
          <w:sz w:val="22"/>
          <w:szCs w:val="22"/>
        </w:rPr>
        <w:t>Oza</w:t>
      </w:r>
      <w:proofErr w:type="spellEnd"/>
      <w:r w:rsidRPr="00894F4E">
        <w:rPr>
          <w:sz w:val="22"/>
          <w:szCs w:val="22"/>
        </w:rPr>
        <w:t xml:space="preserve"> S, Hogan D, </w:t>
      </w:r>
      <w:r w:rsidRPr="00894F4E">
        <w:rPr>
          <w:i/>
          <w:iCs/>
          <w:sz w:val="22"/>
          <w:szCs w:val="22"/>
        </w:rPr>
        <w:t>et al.</w:t>
      </w:r>
      <w:r w:rsidRPr="00894F4E">
        <w:rPr>
          <w:sz w:val="22"/>
          <w:szCs w:val="22"/>
        </w:rPr>
        <w:t xml:space="preserve"> Global, regional, and national causes of child mortality in 2000–13, with projections to inform post-2015 priorities: an updated systematic analysis. </w:t>
      </w:r>
      <w:r w:rsidRPr="00894F4E">
        <w:rPr>
          <w:i/>
          <w:iCs/>
          <w:sz w:val="22"/>
          <w:szCs w:val="22"/>
        </w:rPr>
        <w:t>The lancet</w:t>
      </w:r>
      <w:r w:rsidRPr="00894F4E">
        <w:rPr>
          <w:sz w:val="22"/>
          <w:szCs w:val="22"/>
        </w:rPr>
        <w:t xml:space="preserve"> 2015; </w:t>
      </w:r>
      <w:r w:rsidRPr="00894F4E">
        <w:rPr>
          <w:b/>
          <w:bCs/>
          <w:sz w:val="22"/>
          <w:szCs w:val="22"/>
        </w:rPr>
        <w:t>385</w:t>
      </w:r>
      <w:r w:rsidRPr="00894F4E">
        <w:rPr>
          <w:sz w:val="22"/>
          <w:szCs w:val="22"/>
        </w:rPr>
        <w:t>: 430–40.</w:t>
      </w:r>
    </w:p>
    <w:p w14:paraId="0D64E00A"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33</w:t>
      </w:r>
      <w:r w:rsidRPr="00894F4E">
        <w:rPr>
          <w:sz w:val="22"/>
          <w:szCs w:val="22"/>
        </w:rPr>
        <w:tab/>
      </w:r>
      <w:proofErr w:type="spellStart"/>
      <w:r w:rsidRPr="00894F4E">
        <w:rPr>
          <w:sz w:val="22"/>
          <w:szCs w:val="22"/>
        </w:rPr>
        <w:t>Mahtab</w:t>
      </w:r>
      <w:proofErr w:type="spellEnd"/>
      <w:r w:rsidRPr="00894F4E">
        <w:rPr>
          <w:sz w:val="22"/>
          <w:szCs w:val="22"/>
        </w:rPr>
        <w:t xml:space="preserve"> S, </w:t>
      </w:r>
      <w:proofErr w:type="spellStart"/>
      <w:r w:rsidRPr="00894F4E">
        <w:rPr>
          <w:sz w:val="22"/>
          <w:szCs w:val="22"/>
        </w:rPr>
        <w:t>Madhi</w:t>
      </w:r>
      <w:proofErr w:type="spellEnd"/>
      <w:r w:rsidRPr="00894F4E">
        <w:rPr>
          <w:sz w:val="22"/>
          <w:szCs w:val="22"/>
        </w:rPr>
        <w:t xml:space="preserve"> SA, Baillie VL, </w:t>
      </w:r>
      <w:r w:rsidRPr="00894F4E">
        <w:rPr>
          <w:i/>
          <w:iCs/>
          <w:sz w:val="22"/>
          <w:szCs w:val="22"/>
        </w:rPr>
        <w:t>et al.</w:t>
      </w:r>
      <w:r w:rsidRPr="00894F4E">
        <w:rPr>
          <w:sz w:val="22"/>
          <w:szCs w:val="22"/>
        </w:rPr>
        <w:t xml:space="preserve"> Causes of death identified in neonates enrolled through Child Health and Mortality Prevention Surveillance (CHAMPS), December 2016–December 2021. </w:t>
      </w:r>
      <w:r w:rsidRPr="00894F4E">
        <w:rPr>
          <w:i/>
          <w:iCs/>
          <w:sz w:val="22"/>
          <w:szCs w:val="22"/>
        </w:rPr>
        <w:t>PLOS Global Public Health</w:t>
      </w:r>
      <w:r w:rsidRPr="00894F4E">
        <w:rPr>
          <w:sz w:val="22"/>
          <w:szCs w:val="22"/>
        </w:rPr>
        <w:t xml:space="preserve"> 2023; </w:t>
      </w:r>
      <w:r w:rsidRPr="00894F4E">
        <w:rPr>
          <w:b/>
          <w:bCs/>
          <w:sz w:val="22"/>
          <w:szCs w:val="22"/>
        </w:rPr>
        <w:t>3</w:t>
      </w:r>
      <w:r w:rsidRPr="00894F4E">
        <w:rPr>
          <w:sz w:val="22"/>
          <w:szCs w:val="22"/>
        </w:rPr>
        <w:t>: e0001612.</w:t>
      </w:r>
    </w:p>
    <w:p w14:paraId="71F3A3D1"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34</w:t>
      </w:r>
      <w:r w:rsidRPr="00894F4E">
        <w:rPr>
          <w:sz w:val="22"/>
          <w:szCs w:val="22"/>
        </w:rPr>
        <w:tab/>
      </w:r>
      <w:proofErr w:type="spellStart"/>
      <w:r w:rsidRPr="00894F4E">
        <w:rPr>
          <w:sz w:val="22"/>
          <w:szCs w:val="22"/>
        </w:rPr>
        <w:t>Chaurasia</w:t>
      </w:r>
      <w:proofErr w:type="spellEnd"/>
      <w:r w:rsidRPr="00894F4E">
        <w:rPr>
          <w:sz w:val="22"/>
          <w:szCs w:val="22"/>
        </w:rPr>
        <w:t xml:space="preserve"> S, Jeeva Sankar M, Agarwal R, </w:t>
      </w:r>
      <w:r w:rsidRPr="00894F4E">
        <w:rPr>
          <w:i/>
          <w:iCs/>
          <w:sz w:val="22"/>
          <w:szCs w:val="22"/>
        </w:rPr>
        <w:t>et al.</w:t>
      </w:r>
      <w:r w:rsidRPr="00894F4E">
        <w:rPr>
          <w:sz w:val="22"/>
          <w:szCs w:val="22"/>
        </w:rPr>
        <w:t xml:space="preserve"> </w:t>
      </w:r>
      <w:proofErr w:type="spellStart"/>
      <w:r w:rsidRPr="00894F4E">
        <w:rPr>
          <w:sz w:val="22"/>
          <w:szCs w:val="22"/>
        </w:rPr>
        <w:t>Characterisation</w:t>
      </w:r>
      <w:proofErr w:type="spellEnd"/>
      <w:r w:rsidRPr="00894F4E">
        <w:rPr>
          <w:sz w:val="22"/>
          <w:szCs w:val="22"/>
        </w:rPr>
        <w:t xml:space="preserve"> and antimicrobial resistance of sepsis pathogens in neonates born in tertiary care </w:t>
      </w:r>
      <w:proofErr w:type="spellStart"/>
      <w:r w:rsidRPr="00894F4E">
        <w:rPr>
          <w:sz w:val="22"/>
          <w:szCs w:val="22"/>
        </w:rPr>
        <w:t>centres</w:t>
      </w:r>
      <w:proofErr w:type="spellEnd"/>
      <w:r w:rsidRPr="00894F4E">
        <w:rPr>
          <w:sz w:val="22"/>
          <w:szCs w:val="22"/>
        </w:rPr>
        <w:t xml:space="preserve"> in Delhi, India: a cohort study. </w:t>
      </w:r>
      <w:r w:rsidRPr="00894F4E">
        <w:rPr>
          <w:i/>
          <w:iCs/>
          <w:sz w:val="22"/>
          <w:szCs w:val="22"/>
        </w:rPr>
        <w:t>Lancet</w:t>
      </w:r>
      <w:r w:rsidRPr="00894F4E">
        <w:rPr>
          <w:sz w:val="22"/>
          <w:szCs w:val="22"/>
        </w:rPr>
        <w:t xml:space="preserve"> 2016; </w:t>
      </w:r>
      <w:r w:rsidRPr="00894F4E">
        <w:rPr>
          <w:b/>
          <w:bCs/>
          <w:sz w:val="22"/>
          <w:szCs w:val="22"/>
        </w:rPr>
        <w:t>4</w:t>
      </w:r>
      <w:r w:rsidRPr="00894F4E">
        <w:rPr>
          <w:sz w:val="22"/>
          <w:szCs w:val="22"/>
        </w:rPr>
        <w:t>: e752–60.</w:t>
      </w:r>
    </w:p>
    <w:p w14:paraId="2AE06E01"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lastRenderedPageBreak/>
        <w:t>35</w:t>
      </w:r>
      <w:r w:rsidRPr="00894F4E">
        <w:rPr>
          <w:sz w:val="22"/>
          <w:szCs w:val="22"/>
        </w:rPr>
        <w:tab/>
        <w:t xml:space="preserve">Sands K, Carvalho MJ, Portal E, </w:t>
      </w:r>
      <w:r w:rsidRPr="00894F4E">
        <w:rPr>
          <w:i/>
          <w:iCs/>
          <w:sz w:val="22"/>
          <w:szCs w:val="22"/>
        </w:rPr>
        <w:t>et al.</w:t>
      </w:r>
      <w:r w:rsidRPr="00894F4E">
        <w:rPr>
          <w:sz w:val="22"/>
          <w:szCs w:val="22"/>
        </w:rPr>
        <w:t xml:space="preserve"> Characterization of antimicrobial-resistant Gram-negative bacteria that cause neonatal sepsis in seven low-and middle-income countries. </w:t>
      </w:r>
      <w:r w:rsidRPr="00894F4E">
        <w:rPr>
          <w:i/>
          <w:iCs/>
          <w:sz w:val="22"/>
          <w:szCs w:val="22"/>
        </w:rPr>
        <w:t>Nature microbiology</w:t>
      </w:r>
      <w:r w:rsidRPr="00894F4E">
        <w:rPr>
          <w:sz w:val="22"/>
          <w:szCs w:val="22"/>
        </w:rPr>
        <w:t xml:space="preserve"> 2021; </w:t>
      </w:r>
      <w:r w:rsidRPr="00894F4E">
        <w:rPr>
          <w:b/>
          <w:bCs/>
          <w:sz w:val="22"/>
          <w:szCs w:val="22"/>
        </w:rPr>
        <w:t>6</w:t>
      </w:r>
      <w:r w:rsidRPr="00894F4E">
        <w:rPr>
          <w:sz w:val="22"/>
          <w:szCs w:val="22"/>
        </w:rPr>
        <w:t>: 512–23.</w:t>
      </w:r>
    </w:p>
    <w:p w14:paraId="7EE8F78C"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36</w:t>
      </w:r>
      <w:r w:rsidRPr="00894F4E">
        <w:rPr>
          <w:sz w:val="22"/>
          <w:szCs w:val="22"/>
        </w:rPr>
        <w:tab/>
        <w:t xml:space="preserve">Ingle DJ, Levine MM, </w:t>
      </w:r>
      <w:proofErr w:type="spellStart"/>
      <w:r w:rsidRPr="00894F4E">
        <w:rPr>
          <w:sz w:val="22"/>
          <w:szCs w:val="22"/>
        </w:rPr>
        <w:t>Kotloff</w:t>
      </w:r>
      <w:proofErr w:type="spellEnd"/>
      <w:r w:rsidRPr="00894F4E">
        <w:rPr>
          <w:sz w:val="22"/>
          <w:szCs w:val="22"/>
        </w:rPr>
        <w:t xml:space="preserve"> KL, Holt KE, Robins-Browne RM. Dynamics of antimicrobial resistance in intestinal Escherichia coli from children in community settings in South Asia and sub-Saharan Africa. </w:t>
      </w:r>
      <w:r w:rsidRPr="00894F4E">
        <w:rPr>
          <w:i/>
          <w:iCs/>
          <w:sz w:val="22"/>
          <w:szCs w:val="22"/>
        </w:rPr>
        <w:t>Nature microbiology</w:t>
      </w:r>
      <w:r w:rsidRPr="00894F4E">
        <w:rPr>
          <w:sz w:val="22"/>
          <w:szCs w:val="22"/>
        </w:rPr>
        <w:t xml:space="preserve"> 2018; </w:t>
      </w:r>
      <w:r w:rsidRPr="00894F4E">
        <w:rPr>
          <w:b/>
          <w:bCs/>
          <w:sz w:val="22"/>
          <w:szCs w:val="22"/>
        </w:rPr>
        <w:t>3</w:t>
      </w:r>
      <w:r w:rsidRPr="00894F4E">
        <w:rPr>
          <w:sz w:val="22"/>
          <w:szCs w:val="22"/>
        </w:rPr>
        <w:t>: 1063–73.</w:t>
      </w:r>
    </w:p>
    <w:p w14:paraId="4A6DB83C"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37</w:t>
      </w:r>
      <w:r w:rsidRPr="00894F4E">
        <w:rPr>
          <w:sz w:val="22"/>
          <w:szCs w:val="22"/>
        </w:rPr>
        <w:tab/>
        <w:t xml:space="preserve">Sievert DM, Ricks P, Edwards JR, </w:t>
      </w:r>
      <w:r w:rsidRPr="00894F4E">
        <w:rPr>
          <w:i/>
          <w:iCs/>
          <w:sz w:val="22"/>
          <w:szCs w:val="22"/>
        </w:rPr>
        <w:t>et al.</w:t>
      </w:r>
      <w:r w:rsidRPr="00894F4E">
        <w:rPr>
          <w:sz w:val="22"/>
          <w:szCs w:val="22"/>
        </w:rPr>
        <w:t xml:space="preserve"> Antimicrobial-resistant pathogens associated with healthcare-associated infections summary of data reported to the National Healthcare Safety Network at the Centers for Disease Control and Prevention, 2009–2010. </w:t>
      </w:r>
      <w:r w:rsidRPr="00894F4E">
        <w:rPr>
          <w:i/>
          <w:iCs/>
          <w:sz w:val="22"/>
          <w:szCs w:val="22"/>
        </w:rPr>
        <w:t>Infection Control &amp; Hospital Epidemiology</w:t>
      </w:r>
      <w:r w:rsidRPr="00894F4E">
        <w:rPr>
          <w:sz w:val="22"/>
          <w:szCs w:val="22"/>
        </w:rPr>
        <w:t xml:space="preserve"> 2013; </w:t>
      </w:r>
      <w:r w:rsidRPr="00894F4E">
        <w:rPr>
          <w:b/>
          <w:bCs/>
          <w:sz w:val="22"/>
          <w:szCs w:val="22"/>
        </w:rPr>
        <w:t>34</w:t>
      </w:r>
      <w:r w:rsidRPr="00894F4E">
        <w:rPr>
          <w:sz w:val="22"/>
          <w:szCs w:val="22"/>
        </w:rPr>
        <w:t>: 1–14.</w:t>
      </w:r>
    </w:p>
    <w:p w14:paraId="6E41B1BB"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38</w:t>
      </w:r>
      <w:r w:rsidRPr="00894F4E">
        <w:rPr>
          <w:sz w:val="22"/>
          <w:szCs w:val="22"/>
        </w:rPr>
        <w:tab/>
        <w:t>Statista Research Department. Proportion of selected age groups of world population and in regions in 2022. Statista. 2023; published online Oct 5. https://www.statista.com/statistics/265759/world-population-by-age-and-region/#:~:text=Globally%2C%20about%2025%20percent%20of,over%2065%20years%20of%20age.</w:t>
      </w:r>
    </w:p>
    <w:p w14:paraId="694C4E43"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39</w:t>
      </w:r>
      <w:r w:rsidRPr="00894F4E">
        <w:rPr>
          <w:sz w:val="22"/>
          <w:szCs w:val="22"/>
        </w:rPr>
        <w:tab/>
        <w:t xml:space="preserve">Murray CJ, </w:t>
      </w:r>
      <w:proofErr w:type="spellStart"/>
      <w:r w:rsidRPr="00894F4E">
        <w:rPr>
          <w:sz w:val="22"/>
          <w:szCs w:val="22"/>
        </w:rPr>
        <w:t>Aravkin</w:t>
      </w:r>
      <w:proofErr w:type="spellEnd"/>
      <w:r w:rsidRPr="00894F4E">
        <w:rPr>
          <w:sz w:val="22"/>
          <w:szCs w:val="22"/>
        </w:rPr>
        <w:t xml:space="preserve"> AY, Zheng P, </w:t>
      </w:r>
      <w:r w:rsidRPr="00894F4E">
        <w:rPr>
          <w:i/>
          <w:iCs/>
          <w:sz w:val="22"/>
          <w:szCs w:val="22"/>
        </w:rPr>
        <w:t>et al.</w:t>
      </w:r>
      <w:r w:rsidRPr="00894F4E">
        <w:rPr>
          <w:sz w:val="22"/>
          <w:szCs w:val="22"/>
        </w:rPr>
        <w:t xml:space="preserve"> Global burden of 87 risk factors in 204 countries and territories, 1990–2019: a systematic analysis for the Global Burden of Disease Study 2019. </w:t>
      </w:r>
      <w:r w:rsidRPr="00894F4E">
        <w:rPr>
          <w:i/>
          <w:iCs/>
          <w:sz w:val="22"/>
          <w:szCs w:val="22"/>
        </w:rPr>
        <w:t>The lancet</w:t>
      </w:r>
      <w:r w:rsidRPr="00894F4E">
        <w:rPr>
          <w:sz w:val="22"/>
          <w:szCs w:val="22"/>
        </w:rPr>
        <w:t xml:space="preserve"> 2020; </w:t>
      </w:r>
      <w:r w:rsidRPr="00894F4E">
        <w:rPr>
          <w:b/>
          <w:bCs/>
          <w:sz w:val="22"/>
          <w:szCs w:val="22"/>
        </w:rPr>
        <w:t>396</w:t>
      </w:r>
      <w:r w:rsidRPr="00894F4E">
        <w:rPr>
          <w:sz w:val="22"/>
          <w:szCs w:val="22"/>
        </w:rPr>
        <w:t>: 1223–49.</w:t>
      </w:r>
    </w:p>
    <w:p w14:paraId="2F635FF2"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40</w:t>
      </w:r>
      <w:r w:rsidRPr="00894F4E">
        <w:rPr>
          <w:sz w:val="22"/>
          <w:szCs w:val="22"/>
        </w:rPr>
        <w:tab/>
      </w:r>
      <w:proofErr w:type="spellStart"/>
      <w:r w:rsidRPr="00894F4E">
        <w:rPr>
          <w:sz w:val="22"/>
          <w:szCs w:val="22"/>
        </w:rPr>
        <w:t>Ikhimiukor</w:t>
      </w:r>
      <w:proofErr w:type="spellEnd"/>
      <w:r w:rsidRPr="00894F4E">
        <w:rPr>
          <w:sz w:val="22"/>
          <w:szCs w:val="22"/>
        </w:rPr>
        <w:t xml:space="preserve"> OO, </w:t>
      </w:r>
      <w:proofErr w:type="spellStart"/>
      <w:r w:rsidRPr="00894F4E">
        <w:rPr>
          <w:sz w:val="22"/>
          <w:szCs w:val="22"/>
        </w:rPr>
        <w:t>Odih</w:t>
      </w:r>
      <w:proofErr w:type="spellEnd"/>
      <w:r w:rsidRPr="00894F4E">
        <w:rPr>
          <w:sz w:val="22"/>
          <w:szCs w:val="22"/>
        </w:rPr>
        <w:t xml:space="preserve"> EE, Donado-Godoy P, Okeke IN. A bottom-up view of antimicrobial resistance transmission in developing countries. </w:t>
      </w:r>
      <w:r w:rsidRPr="00894F4E">
        <w:rPr>
          <w:i/>
          <w:iCs/>
          <w:sz w:val="22"/>
          <w:szCs w:val="22"/>
        </w:rPr>
        <w:t>Nature Microbiology</w:t>
      </w:r>
      <w:r w:rsidRPr="00894F4E">
        <w:rPr>
          <w:sz w:val="22"/>
          <w:szCs w:val="22"/>
        </w:rPr>
        <w:t xml:space="preserve"> 2022; </w:t>
      </w:r>
      <w:r w:rsidRPr="00894F4E">
        <w:rPr>
          <w:b/>
          <w:bCs/>
          <w:sz w:val="22"/>
          <w:szCs w:val="22"/>
        </w:rPr>
        <w:t>7</w:t>
      </w:r>
      <w:r w:rsidRPr="00894F4E">
        <w:rPr>
          <w:sz w:val="22"/>
          <w:szCs w:val="22"/>
        </w:rPr>
        <w:t>: 757–65.</w:t>
      </w:r>
    </w:p>
    <w:p w14:paraId="12648735"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41</w:t>
      </w:r>
      <w:r w:rsidRPr="00894F4E">
        <w:rPr>
          <w:sz w:val="22"/>
          <w:szCs w:val="22"/>
        </w:rPr>
        <w:tab/>
      </w:r>
      <w:proofErr w:type="spellStart"/>
      <w:r w:rsidRPr="00894F4E">
        <w:rPr>
          <w:sz w:val="22"/>
          <w:szCs w:val="22"/>
        </w:rPr>
        <w:t>Bouiller</w:t>
      </w:r>
      <w:proofErr w:type="spellEnd"/>
      <w:r w:rsidRPr="00894F4E">
        <w:rPr>
          <w:sz w:val="22"/>
          <w:szCs w:val="22"/>
        </w:rPr>
        <w:t xml:space="preserve"> K, Bertrand X, </w:t>
      </w:r>
      <w:proofErr w:type="spellStart"/>
      <w:r w:rsidRPr="00894F4E">
        <w:rPr>
          <w:sz w:val="22"/>
          <w:szCs w:val="22"/>
        </w:rPr>
        <w:t>Hocquet</w:t>
      </w:r>
      <w:proofErr w:type="spellEnd"/>
      <w:r w:rsidRPr="00894F4E">
        <w:rPr>
          <w:sz w:val="22"/>
          <w:szCs w:val="22"/>
        </w:rPr>
        <w:t xml:space="preserve"> D, </w:t>
      </w:r>
      <w:proofErr w:type="spellStart"/>
      <w:r w:rsidRPr="00894F4E">
        <w:rPr>
          <w:sz w:val="22"/>
          <w:szCs w:val="22"/>
        </w:rPr>
        <w:t>Chirouze</w:t>
      </w:r>
      <w:proofErr w:type="spellEnd"/>
      <w:r w:rsidRPr="00894F4E">
        <w:rPr>
          <w:sz w:val="22"/>
          <w:szCs w:val="22"/>
        </w:rPr>
        <w:t xml:space="preserve"> C. Human infection of methicillin-susceptible Staphylococcus aureus CC398: a review. </w:t>
      </w:r>
      <w:r w:rsidRPr="00894F4E">
        <w:rPr>
          <w:i/>
          <w:iCs/>
          <w:sz w:val="22"/>
          <w:szCs w:val="22"/>
        </w:rPr>
        <w:t>Microorganisms</w:t>
      </w:r>
      <w:r w:rsidRPr="00894F4E">
        <w:rPr>
          <w:sz w:val="22"/>
          <w:szCs w:val="22"/>
        </w:rPr>
        <w:t xml:space="preserve"> 2020; </w:t>
      </w:r>
      <w:r w:rsidRPr="00894F4E">
        <w:rPr>
          <w:b/>
          <w:bCs/>
          <w:sz w:val="22"/>
          <w:szCs w:val="22"/>
        </w:rPr>
        <w:t>8</w:t>
      </w:r>
      <w:r w:rsidRPr="00894F4E">
        <w:rPr>
          <w:sz w:val="22"/>
          <w:szCs w:val="22"/>
        </w:rPr>
        <w:t>: 1737.</w:t>
      </w:r>
    </w:p>
    <w:p w14:paraId="35A3A9E3"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42</w:t>
      </w:r>
      <w:r w:rsidRPr="00894F4E">
        <w:rPr>
          <w:sz w:val="22"/>
          <w:szCs w:val="22"/>
        </w:rPr>
        <w:tab/>
        <w:t>World Health Organization. Global action plan on antimicrobial resistance. 2016 https://www.who.int/publications/i/item/9789241509763 (accessed Feb 11, 2024).</w:t>
      </w:r>
    </w:p>
    <w:p w14:paraId="62B934B1"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43</w:t>
      </w:r>
      <w:r w:rsidRPr="00894F4E">
        <w:rPr>
          <w:sz w:val="22"/>
          <w:szCs w:val="22"/>
        </w:rPr>
        <w:tab/>
        <w:t xml:space="preserve">Lewnard JA, Gleason A, Hsu LY, </w:t>
      </w:r>
      <w:r w:rsidRPr="00894F4E">
        <w:rPr>
          <w:i/>
          <w:iCs/>
          <w:sz w:val="22"/>
          <w:szCs w:val="22"/>
        </w:rPr>
        <w:t>et al.</w:t>
      </w:r>
      <w:r w:rsidRPr="00894F4E">
        <w:rPr>
          <w:sz w:val="22"/>
          <w:szCs w:val="22"/>
        </w:rPr>
        <w:t xml:space="preserve"> Burden of bacterial antimicrobial resistance in low- and middle-income countries avertible by existing interventions: an evidence review and modeling analysis. </w:t>
      </w:r>
      <w:r w:rsidRPr="00894F4E">
        <w:rPr>
          <w:i/>
          <w:iCs/>
          <w:sz w:val="22"/>
          <w:szCs w:val="22"/>
        </w:rPr>
        <w:t>Lancet</w:t>
      </w:r>
      <w:r w:rsidRPr="00894F4E">
        <w:rPr>
          <w:sz w:val="22"/>
          <w:szCs w:val="22"/>
        </w:rPr>
        <w:t xml:space="preserve"> Forthcoming.</w:t>
      </w:r>
    </w:p>
    <w:p w14:paraId="76275239"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44</w:t>
      </w:r>
      <w:r w:rsidRPr="00894F4E">
        <w:rPr>
          <w:sz w:val="22"/>
          <w:szCs w:val="22"/>
        </w:rPr>
        <w:tab/>
        <w:t xml:space="preserve">Laxminarayan R, Impalli I, Rangarajan R, </w:t>
      </w:r>
      <w:r w:rsidRPr="00894F4E">
        <w:rPr>
          <w:i/>
          <w:iCs/>
          <w:sz w:val="22"/>
          <w:szCs w:val="22"/>
        </w:rPr>
        <w:t>et al.</w:t>
      </w:r>
      <w:r w:rsidRPr="00894F4E">
        <w:rPr>
          <w:sz w:val="22"/>
          <w:szCs w:val="22"/>
        </w:rPr>
        <w:t xml:space="preserve"> Expanding Antibiotic, Vaccine, and Diagnostics Development and Access to Tackle Antimicrobial Resistance. </w:t>
      </w:r>
      <w:r w:rsidRPr="00894F4E">
        <w:rPr>
          <w:i/>
          <w:iCs/>
          <w:sz w:val="22"/>
          <w:szCs w:val="22"/>
        </w:rPr>
        <w:t>Lancet</w:t>
      </w:r>
      <w:r w:rsidRPr="00894F4E">
        <w:rPr>
          <w:sz w:val="22"/>
          <w:szCs w:val="22"/>
        </w:rPr>
        <w:t xml:space="preserve"> Forthcoming.</w:t>
      </w:r>
    </w:p>
    <w:p w14:paraId="5D8A526F"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45</w:t>
      </w:r>
      <w:r w:rsidRPr="00894F4E">
        <w:rPr>
          <w:sz w:val="22"/>
          <w:szCs w:val="22"/>
        </w:rPr>
        <w:tab/>
        <w:t xml:space="preserve">Mendelson M, Lewnard JA, Sharland M, </w:t>
      </w:r>
      <w:r w:rsidRPr="00894F4E">
        <w:rPr>
          <w:i/>
          <w:iCs/>
          <w:sz w:val="22"/>
          <w:szCs w:val="22"/>
        </w:rPr>
        <w:t>et al.</w:t>
      </w:r>
      <w:r w:rsidRPr="00894F4E">
        <w:rPr>
          <w:sz w:val="22"/>
          <w:szCs w:val="22"/>
        </w:rPr>
        <w:t xml:space="preserve"> Ensuring Progress on Sustainable Access to Effective Antibiotics at UNGA 2024: A Target-Based Approach. </w:t>
      </w:r>
      <w:r w:rsidRPr="00894F4E">
        <w:rPr>
          <w:i/>
          <w:iCs/>
          <w:sz w:val="22"/>
          <w:szCs w:val="22"/>
        </w:rPr>
        <w:t>Lancet</w:t>
      </w:r>
      <w:r w:rsidRPr="00894F4E">
        <w:rPr>
          <w:sz w:val="22"/>
          <w:szCs w:val="22"/>
        </w:rPr>
        <w:t xml:space="preserve"> Forthcoming.</w:t>
      </w:r>
    </w:p>
    <w:p w14:paraId="1E8964BD"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46</w:t>
      </w:r>
      <w:r w:rsidRPr="00894F4E">
        <w:rPr>
          <w:sz w:val="22"/>
          <w:szCs w:val="22"/>
        </w:rPr>
        <w:tab/>
        <w:t>Global Research on Antimicrobial Resistance (GRAM). https://www.tropicalmedicine.ox.ac.uk/gram (accessed Dec 7, 2023).</w:t>
      </w:r>
    </w:p>
    <w:p w14:paraId="17EA562B"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47</w:t>
      </w:r>
      <w:r w:rsidRPr="00894F4E">
        <w:rPr>
          <w:sz w:val="22"/>
          <w:szCs w:val="22"/>
        </w:rPr>
        <w:tab/>
      </w:r>
      <w:proofErr w:type="spellStart"/>
      <w:r w:rsidRPr="00894F4E">
        <w:rPr>
          <w:sz w:val="22"/>
          <w:szCs w:val="22"/>
        </w:rPr>
        <w:t>NeoOBS</w:t>
      </w:r>
      <w:proofErr w:type="spellEnd"/>
      <w:r w:rsidRPr="00894F4E">
        <w:rPr>
          <w:sz w:val="22"/>
          <w:szCs w:val="22"/>
        </w:rPr>
        <w:t>. Penta. https://penta-id.org/severe-infections-and-antimicrobial-resistance/neoobs/ (accessed March 19, 2024).</w:t>
      </w:r>
    </w:p>
    <w:p w14:paraId="13F8693E"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48</w:t>
      </w:r>
      <w:r w:rsidRPr="00894F4E">
        <w:rPr>
          <w:sz w:val="22"/>
          <w:szCs w:val="22"/>
        </w:rPr>
        <w:tab/>
        <w:t>Burden of Antibiotic Resistance in Neonates from Developing Societies (BARNARDS). Cardiff University. https://www.cardiff.ac.uk/research/explore/research-units/burden-of-antibiotic-resistance-in-neonates-from-developing-societies-barnards (accessed March 19, 2024).</w:t>
      </w:r>
    </w:p>
    <w:p w14:paraId="3BEA3D26"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49</w:t>
      </w:r>
      <w:r w:rsidRPr="00894F4E">
        <w:rPr>
          <w:sz w:val="22"/>
          <w:szCs w:val="22"/>
        </w:rPr>
        <w:tab/>
        <w:t xml:space="preserve">One Health Trust. </w:t>
      </w:r>
      <w:proofErr w:type="spellStart"/>
      <w:r w:rsidRPr="00894F4E">
        <w:rPr>
          <w:sz w:val="22"/>
          <w:szCs w:val="22"/>
        </w:rPr>
        <w:t>ResistanceMap</w:t>
      </w:r>
      <w:proofErr w:type="spellEnd"/>
      <w:r w:rsidRPr="00894F4E">
        <w:rPr>
          <w:sz w:val="22"/>
          <w:szCs w:val="22"/>
        </w:rPr>
        <w:t>. https://resistancemap.onehealthtrust.org (accessed Dec 7, 2023).</w:t>
      </w:r>
    </w:p>
    <w:p w14:paraId="2438BB8A"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50</w:t>
      </w:r>
      <w:r w:rsidRPr="00894F4E">
        <w:rPr>
          <w:sz w:val="22"/>
          <w:szCs w:val="22"/>
        </w:rPr>
        <w:tab/>
      </w:r>
      <w:proofErr w:type="spellStart"/>
      <w:r w:rsidRPr="00894F4E">
        <w:rPr>
          <w:sz w:val="22"/>
          <w:szCs w:val="22"/>
        </w:rPr>
        <w:t>Pathogenwatch</w:t>
      </w:r>
      <w:proofErr w:type="spellEnd"/>
      <w:r w:rsidRPr="00894F4E">
        <w:rPr>
          <w:sz w:val="22"/>
          <w:szCs w:val="22"/>
        </w:rPr>
        <w:t>. https://pathogen.watch (accessed Nov 24, 2023).</w:t>
      </w:r>
    </w:p>
    <w:p w14:paraId="2F7F63B7"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51</w:t>
      </w:r>
      <w:r w:rsidRPr="00894F4E">
        <w:rPr>
          <w:sz w:val="22"/>
          <w:szCs w:val="22"/>
        </w:rPr>
        <w:tab/>
        <w:t>Global Overview of Salmonella Typhi. https://www.typhi.net (accessed Nov 24, 2023).</w:t>
      </w:r>
    </w:p>
    <w:p w14:paraId="4521415E"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52</w:t>
      </w:r>
      <w:r w:rsidRPr="00894F4E">
        <w:rPr>
          <w:sz w:val="22"/>
          <w:szCs w:val="22"/>
        </w:rPr>
        <w:tab/>
        <w:t>Infectious Diseases Data Observatory. Medicine Quality Scientific Literature Surveyor. https://www.iddo.org/mqsurveyor/ (accessed Nov 24, 2023).</w:t>
      </w:r>
    </w:p>
    <w:p w14:paraId="27D57D7B"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53</w:t>
      </w:r>
      <w:r w:rsidRPr="00894F4E">
        <w:rPr>
          <w:sz w:val="22"/>
          <w:szCs w:val="22"/>
        </w:rPr>
        <w:tab/>
        <w:t xml:space="preserve">Stoll BJ, Puopolo KM, Hansen NI, </w:t>
      </w:r>
      <w:r w:rsidRPr="00894F4E">
        <w:rPr>
          <w:i/>
          <w:iCs/>
          <w:sz w:val="22"/>
          <w:szCs w:val="22"/>
        </w:rPr>
        <w:t>et al.</w:t>
      </w:r>
      <w:r w:rsidRPr="00894F4E">
        <w:rPr>
          <w:sz w:val="22"/>
          <w:szCs w:val="22"/>
        </w:rPr>
        <w:t xml:space="preserve"> Early-onset neonatal sepsis 2015 to 2017, the rise of Escherichia coli, and the need for novel prevention strategies. </w:t>
      </w:r>
      <w:r w:rsidRPr="00894F4E">
        <w:rPr>
          <w:i/>
          <w:iCs/>
          <w:sz w:val="22"/>
          <w:szCs w:val="22"/>
        </w:rPr>
        <w:t>JAMA pediatrics</w:t>
      </w:r>
      <w:r w:rsidRPr="00894F4E">
        <w:rPr>
          <w:sz w:val="22"/>
          <w:szCs w:val="22"/>
        </w:rPr>
        <w:t xml:space="preserve"> 2020; </w:t>
      </w:r>
      <w:r w:rsidRPr="00894F4E">
        <w:rPr>
          <w:b/>
          <w:bCs/>
          <w:sz w:val="22"/>
          <w:szCs w:val="22"/>
        </w:rPr>
        <w:t>174</w:t>
      </w:r>
      <w:r w:rsidRPr="00894F4E">
        <w:rPr>
          <w:sz w:val="22"/>
          <w:szCs w:val="22"/>
        </w:rPr>
        <w:t>: e200593–e200593.</w:t>
      </w:r>
    </w:p>
    <w:p w14:paraId="443B925A"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lastRenderedPageBreak/>
        <w:t>54</w:t>
      </w:r>
      <w:r w:rsidRPr="00894F4E">
        <w:rPr>
          <w:sz w:val="22"/>
          <w:szCs w:val="22"/>
        </w:rPr>
        <w:tab/>
        <w:t>UNICEF. Levels and trends in child mortality 2023. 2024 https://data.unicef.org/resources/levels-and-trends-in-child-mortality-2024/ (accessed March 19, 2024).</w:t>
      </w:r>
    </w:p>
    <w:p w14:paraId="3C6A6927"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55</w:t>
      </w:r>
      <w:r w:rsidRPr="00894F4E">
        <w:rPr>
          <w:sz w:val="22"/>
          <w:szCs w:val="22"/>
        </w:rPr>
        <w:tab/>
        <w:t xml:space="preserve">Russell NJ, </w:t>
      </w:r>
      <w:proofErr w:type="spellStart"/>
      <w:r w:rsidRPr="00894F4E">
        <w:rPr>
          <w:sz w:val="22"/>
          <w:szCs w:val="22"/>
        </w:rPr>
        <w:t>Stöhr</w:t>
      </w:r>
      <w:proofErr w:type="spellEnd"/>
      <w:r w:rsidRPr="00894F4E">
        <w:rPr>
          <w:sz w:val="22"/>
          <w:szCs w:val="22"/>
        </w:rPr>
        <w:t xml:space="preserve"> W, </w:t>
      </w:r>
      <w:proofErr w:type="spellStart"/>
      <w:r w:rsidRPr="00894F4E">
        <w:rPr>
          <w:sz w:val="22"/>
          <w:szCs w:val="22"/>
        </w:rPr>
        <w:t>Plakkal</w:t>
      </w:r>
      <w:proofErr w:type="spellEnd"/>
      <w:r w:rsidRPr="00894F4E">
        <w:rPr>
          <w:sz w:val="22"/>
          <w:szCs w:val="22"/>
        </w:rPr>
        <w:t xml:space="preserve"> N, </w:t>
      </w:r>
      <w:r w:rsidRPr="00894F4E">
        <w:rPr>
          <w:i/>
          <w:iCs/>
          <w:sz w:val="22"/>
          <w:szCs w:val="22"/>
        </w:rPr>
        <w:t>et al.</w:t>
      </w:r>
      <w:r w:rsidRPr="00894F4E">
        <w:rPr>
          <w:sz w:val="22"/>
          <w:szCs w:val="22"/>
        </w:rPr>
        <w:t xml:space="preserve"> Patterns of antibiotic use, pathogens, and prediction of mortality in hospitalized neonates and young infants with sepsis: A global neonatal sepsis observational cohort study (</w:t>
      </w:r>
      <w:proofErr w:type="spellStart"/>
      <w:r w:rsidRPr="00894F4E">
        <w:rPr>
          <w:sz w:val="22"/>
          <w:szCs w:val="22"/>
        </w:rPr>
        <w:t>NeoOBS</w:t>
      </w:r>
      <w:proofErr w:type="spellEnd"/>
      <w:r w:rsidRPr="00894F4E">
        <w:rPr>
          <w:sz w:val="22"/>
          <w:szCs w:val="22"/>
        </w:rPr>
        <w:t xml:space="preserve">). </w:t>
      </w:r>
      <w:proofErr w:type="spellStart"/>
      <w:r w:rsidRPr="00894F4E">
        <w:rPr>
          <w:i/>
          <w:iCs/>
          <w:sz w:val="22"/>
          <w:szCs w:val="22"/>
        </w:rPr>
        <w:t>PLoS</w:t>
      </w:r>
      <w:proofErr w:type="spellEnd"/>
      <w:r w:rsidRPr="00894F4E">
        <w:rPr>
          <w:i/>
          <w:iCs/>
          <w:sz w:val="22"/>
          <w:szCs w:val="22"/>
        </w:rPr>
        <w:t xml:space="preserve"> Medicine</w:t>
      </w:r>
      <w:r w:rsidRPr="00894F4E">
        <w:rPr>
          <w:sz w:val="22"/>
          <w:szCs w:val="22"/>
        </w:rPr>
        <w:t xml:space="preserve"> 2023; </w:t>
      </w:r>
      <w:r w:rsidRPr="00894F4E">
        <w:rPr>
          <w:b/>
          <w:bCs/>
          <w:sz w:val="22"/>
          <w:szCs w:val="22"/>
        </w:rPr>
        <w:t>20</w:t>
      </w:r>
      <w:r w:rsidRPr="00894F4E">
        <w:rPr>
          <w:sz w:val="22"/>
          <w:szCs w:val="22"/>
        </w:rPr>
        <w:t>: e1004179.</w:t>
      </w:r>
    </w:p>
    <w:p w14:paraId="5950CA91"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56</w:t>
      </w:r>
      <w:r w:rsidRPr="00894F4E">
        <w:rPr>
          <w:sz w:val="22"/>
          <w:szCs w:val="22"/>
        </w:rPr>
        <w:tab/>
      </w:r>
      <w:proofErr w:type="spellStart"/>
      <w:r w:rsidRPr="00894F4E">
        <w:rPr>
          <w:sz w:val="22"/>
          <w:szCs w:val="22"/>
        </w:rPr>
        <w:t>Saha</w:t>
      </w:r>
      <w:proofErr w:type="spellEnd"/>
      <w:r w:rsidRPr="00894F4E">
        <w:rPr>
          <w:sz w:val="22"/>
          <w:szCs w:val="22"/>
        </w:rPr>
        <w:t xml:space="preserve"> SK, </w:t>
      </w:r>
      <w:proofErr w:type="spellStart"/>
      <w:r w:rsidRPr="00894F4E">
        <w:rPr>
          <w:sz w:val="22"/>
          <w:szCs w:val="22"/>
        </w:rPr>
        <w:t>Schrag</w:t>
      </w:r>
      <w:proofErr w:type="spellEnd"/>
      <w:r w:rsidRPr="00894F4E">
        <w:rPr>
          <w:sz w:val="22"/>
          <w:szCs w:val="22"/>
        </w:rPr>
        <w:t xml:space="preserve"> SJ, El </w:t>
      </w:r>
      <w:proofErr w:type="spellStart"/>
      <w:r w:rsidRPr="00894F4E">
        <w:rPr>
          <w:sz w:val="22"/>
          <w:szCs w:val="22"/>
        </w:rPr>
        <w:t>Arifeen</w:t>
      </w:r>
      <w:proofErr w:type="spellEnd"/>
      <w:r w:rsidRPr="00894F4E">
        <w:rPr>
          <w:sz w:val="22"/>
          <w:szCs w:val="22"/>
        </w:rPr>
        <w:t xml:space="preserve"> S, </w:t>
      </w:r>
      <w:r w:rsidRPr="00894F4E">
        <w:rPr>
          <w:i/>
          <w:iCs/>
          <w:sz w:val="22"/>
          <w:szCs w:val="22"/>
        </w:rPr>
        <w:t>et al.</w:t>
      </w:r>
      <w:r w:rsidRPr="00894F4E">
        <w:rPr>
          <w:sz w:val="22"/>
          <w:szCs w:val="22"/>
        </w:rPr>
        <w:t xml:space="preserve"> Causes and incidence of community-acquired serious infections among young children in south Asia (ANISA): an observational cohort study. </w:t>
      </w:r>
      <w:r w:rsidRPr="00894F4E">
        <w:rPr>
          <w:i/>
          <w:iCs/>
          <w:sz w:val="22"/>
          <w:szCs w:val="22"/>
        </w:rPr>
        <w:t>The Lancet</w:t>
      </w:r>
      <w:r w:rsidRPr="00894F4E">
        <w:rPr>
          <w:sz w:val="22"/>
          <w:szCs w:val="22"/>
        </w:rPr>
        <w:t xml:space="preserve"> 2018; </w:t>
      </w:r>
      <w:r w:rsidRPr="00894F4E">
        <w:rPr>
          <w:b/>
          <w:bCs/>
          <w:sz w:val="22"/>
          <w:szCs w:val="22"/>
        </w:rPr>
        <w:t>392</w:t>
      </w:r>
      <w:r w:rsidRPr="00894F4E">
        <w:rPr>
          <w:sz w:val="22"/>
          <w:szCs w:val="22"/>
        </w:rPr>
        <w:t>: 145–59.</w:t>
      </w:r>
    </w:p>
    <w:p w14:paraId="0B780EDF"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57</w:t>
      </w:r>
      <w:r w:rsidRPr="00894F4E">
        <w:rPr>
          <w:sz w:val="22"/>
          <w:szCs w:val="22"/>
        </w:rPr>
        <w:tab/>
      </w:r>
      <w:proofErr w:type="spellStart"/>
      <w:r w:rsidRPr="00894F4E">
        <w:rPr>
          <w:sz w:val="22"/>
          <w:szCs w:val="22"/>
        </w:rPr>
        <w:t>Breiman</w:t>
      </w:r>
      <w:proofErr w:type="spellEnd"/>
      <w:r w:rsidRPr="00894F4E">
        <w:rPr>
          <w:sz w:val="22"/>
          <w:szCs w:val="22"/>
        </w:rPr>
        <w:t xml:space="preserve"> RF, </w:t>
      </w:r>
      <w:proofErr w:type="spellStart"/>
      <w:r w:rsidRPr="00894F4E">
        <w:rPr>
          <w:sz w:val="22"/>
          <w:szCs w:val="22"/>
        </w:rPr>
        <w:t>Blau</w:t>
      </w:r>
      <w:proofErr w:type="spellEnd"/>
      <w:r w:rsidRPr="00894F4E">
        <w:rPr>
          <w:sz w:val="22"/>
          <w:szCs w:val="22"/>
        </w:rPr>
        <w:t xml:space="preserve"> DM, </w:t>
      </w:r>
      <w:proofErr w:type="spellStart"/>
      <w:r w:rsidRPr="00894F4E">
        <w:rPr>
          <w:sz w:val="22"/>
          <w:szCs w:val="22"/>
        </w:rPr>
        <w:t>Mutevedzi</w:t>
      </w:r>
      <w:proofErr w:type="spellEnd"/>
      <w:r w:rsidRPr="00894F4E">
        <w:rPr>
          <w:sz w:val="22"/>
          <w:szCs w:val="22"/>
        </w:rPr>
        <w:t xml:space="preserve"> P, </w:t>
      </w:r>
      <w:r w:rsidRPr="00894F4E">
        <w:rPr>
          <w:i/>
          <w:iCs/>
          <w:sz w:val="22"/>
          <w:szCs w:val="22"/>
        </w:rPr>
        <w:t>et al.</w:t>
      </w:r>
      <w:r w:rsidRPr="00894F4E">
        <w:rPr>
          <w:sz w:val="22"/>
          <w:szCs w:val="22"/>
        </w:rPr>
        <w:t xml:space="preserve"> Postmortem </w:t>
      </w:r>
      <w:proofErr w:type="gramStart"/>
      <w:r w:rsidRPr="00894F4E">
        <w:rPr>
          <w:sz w:val="22"/>
          <w:szCs w:val="22"/>
        </w:rPr>
        <w:t>investigations</w:t>
      </w:r>
      <w:proofErr w:type="gramEnd"/>
      <w:r w:rsidRPr="00894F4E">
        <w:rPr>
          <w:sz w:val="22"/>
          <w:szCs w:val="22"/>
        </w:rPr>
        <w:t xml:space="preserve"> and identification of multiple causes of child deaths: An analysis of findings from the Child Health and Mortality Prevention Surveillance (CHAMPS) network. </w:t>
      </w:r>
      <w:proofErr w:type="spellStart"/>
      <w:r w:rsidRPr="00894F4E">
        <w:rPr>
          <w:i/>
          <w:iCs/>
          <w:sz w:val="22"/>
          <w:szCs w:val="22"/>
        </w:rPr>
        <w:t>PLoS</w:t>
      </w:r>
      <w:proofErr w:type="spellEnd"/>
      <w:r w:rsidRPr="00894F4E">
        <w:rPr>
          <w:i/>
          <w:iCs/>
          <w:sz w:val="22"/>
          <w:szCs w:val="22"/>
        </w:rPr>
        <w:t xml:space="preserve"> medicine</w:t>
      </w:r>
      <w:r w:rsidRPr="00894F4E">
        <w:rPr>
          <w:sz w:val="22"/>
          <w:szCs w:val="22"/>
        </w:rPr>
        <w:t xml:space="preserve"> 2021; </w:t>
      </w:r>
      <w:r w:rsidRPr="00894F4E">
        <w:rPr>
          <w:b/>
          <w:bCs/>
          <w:sz w:val="22"/>
          <w:szCs w:val="22"/>
        </w:rPr>
        <w:t>18</w:t>
      </w:r>
      <w:r w:rsidRPr="00894F4E">
        <w:rPr>
          <w:sz w:val="22"/>
          <w:szCs w:val="22"/>
        </w:rPr>
        <w:t>: e1003814.</w:t>
      </w:r>
    </w:p>
    <w:p w14:paraId="17DF2D99"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58</w:t>
      </w:r>
      <w:r w:rsidRPr="00894F4E">
        <w:rPr>
          <w:sz w:val="22"/>
          <w:szCs w:val="22"/>
        </w:rPr>
        <w:tab/>
      </w:r>
      <w:proofErr w:type="spellStart"/>
      <w:r w:rsidRPr="00894F4E">
        <w:rPr>
          <w:sz w:val="22"/>
          <w:szCs w:val="22"/>
        </w:rPr>
        <w:t>Mduma</w:t>
      </w:r>
      <w:proofErr w:type="spellEnd"/>
      <w:r w:rsidRPr="00894F4E">
        <w:rPr>
          <w:sz w:val="22"/>
          <w:szCs w:val="22"/>
        </w:rPr>
        <w:t xml:space="preserve"> E, </w:t>
      </w:r>
      <w:proofErr w:type="spellStart"/>
      <w:r w:rsidRPr="00894F4E">
        <w:rPr>
          <w:sz w:val="22"/>
          <w:szCs w:val="22"/>
        </w:rPr>
        <w:t>Halidou</w:t>
      </w:r>
      <w:proofErr w:type="spellEnd"/>
      <w:r w:rsidRPr="00894F4E">
        <w:rPr>
          <w:sz w:val="22"/>
          <w:szCs w:val="22"/>
        </w:rPr>
        <w:t xml:space="preserve"> T, </w:t>
      </w:r>
      <w:proofErr w:type="spellStart"/>
      <w:r w:rsidRPr="00894F4E">
        <w:rPr>
          <w:sz w:val="22"/>
          <w:szCs w:val="22"/>
        </w:rPr>
        <w:t>Kaboré</w:t>
      </w:r>
      <w:proofErr w:type="spellEnd"/>
      <w:r w:rsidRPr="00894F4E">
        <w:rPr>
          <w:sz w:val="22"/>
          <w:szCs w:val="22"/>
        </w:rPr>
        <w:t xml:space="preserve"> B, </w:t>
      </w:r>
      <w:r w:rsidRPr="00894F4E">
        <w:rPr>
          <w:i/>
          <w:iCs/>
          <w:sz w:val="22"/>
          <w:szCs w:val="22"/>
        </w:rPr>
        <w:t>et al.</w:t>
      </w:r>
      <w:r w:rsidRPr="00894F4E">
        <w:rPr>
          <w:sz w:val="22"/>
          <w:szCs w:val="22"/>
        </w:rPr>
        <w:t xml:space="preserve"> Etiology of severe invasive infections in young infants in rural settings in sub-Saharan Africa. </w:t>
      </w:r>
      <w:proofErr w:type="spellStart"/>
      <w:r w:rsidRPr="00894F4E">
        <w:rPr>
          <w:i/>
          <w:iCs/>
          <w:sz w:val="22"/>
          <w:szCs w:val="22"/>
        </w:rPr>
        <w:t>PloS</w:t>
      </w:r>
      <w:proofErr w:type="spellEnd"/>
      <w:r w:rsidRPr="00894F4E">
        <w:rPr>
          <w:i/>
          <w:iCs/>
          <w:sz w:val="22"/>
          <w:szCs w:val="22"/>
        </w:rPr>
        <w:t xml:space="preserve"> one</w:t>
      </w:r>
      <w:r w:rsidRPr="00894F4E">
        <w:rPr>
          <w:sz w:val="22"/>
          <w:szCs w:val="22"/>
        </w:rPr>
        <w:t xml:space="preserve"> 2022; </w:t>
      </w:r>
      <w:r w:rsidRPr="00894F4E">
        <w:rPr>
          <w:b/>
          <w:bCs/>
          <w:sz w:val="22"/>
          <w:szCs w:val="22"/>
        </w:rPr>
        <w:t>17</w:t>
      </w:r>
      <w:r w:rsidRPr="00894F4E">
        <w:rPr>
          <w:sz w:val="22"/>
          <w:szCs w:val="22"/>
        </w:rPr>
        <w:t>: e0264322.</w:t>
      </w:r>
    </w:p>
    <w:p w14:paraId="67E4FCFA"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59</w:t>
      </w:r>
      <w:r w:rsidRPr="00894F4E">
        <w:rPr>
          <w:sz w:val="22"/>
          <w:szCs w:val="22"/>
        </w:rPr>
        <w:tab/>
      </w:r>
      <w:proofErr w:type="spellStart"/>
      <w:r w:rsidRPr="00894F4E">
        <w:rPr>
          <w:sz w:val="22"/>
          <w:szCs w:val="22"/>
        </w:rPr>
        <w:t>Mashau</w:t>
      </w:r>
      <w:proofErr w:type="spellEnd"/>
      <w:r w:rsidRPr="00894F4E">
        <w:rPr>
          <w:sz w:val="22"/>
          <w:szCs w:val="22"/>
        </w:rPr>
        <w:t xml:space="preserve"> RC, Meiring ST, </w:t>
      </w:r>
      <w:proofErr w:type="spellStart"/>
      <w:r w:rsidRPr="00894F4E">
        <w:rPr>
          <w:sz w:val="22"/>
          <w:szCs w:val="22"/>
        </w:rPr>
        <w:t>Dramowski</w:t>
      </w:r>
      <w:proofErr w:type="spellEnd"/>
      <w:r w:rsidRPr="00894F4E">
        <w:rPr>
          <w:sz w:val="22"/>
          <w:szCs w:val="22"/>
        </w:rPr>
        <w:t xml:space="preserve"> A, </w:t>
      </w:r>
      <w:r w:rsidRPr="00894F4E">
        <w:rPr>
          <w:i/>
          <w:iCs/>
          <w:sz w:val="22"/>
          <w:szCs w:val="22"/>
        </w:rPr>
        <w:t>et al.</w:t>
      </w:r>
      <w:r w:rsidRPr="00894F4E">
        <w:rPr>
          <w:sz w:val="22"/>
          <w:szCs w:val="22"/>
        </w:rPr>
        <w:t xml:space="preserve"> Culture-confirmed neonatal bloodstream infections and meningitis in South Africa, 2014–19: a cross-sectional study. </w:t>
      </w:r>
      <w:r w:rsidRPr="00894F4E">
        <w:rPr>
          <w:i/>
          <w:iCs/>
          <w:sz w:val="22"/>
          <w:szCs w:val="22"/>
        </w:rPr>
        <w:t>The Lancet Global Health</w:t>
      </w:r>
      <w:r w:rsidRPr="00894F4E">
        <w:rPr>
          <w:sz w:val="22"/>
          <w:szCs w:val="22"/>
        </w:rPr>
        <w:t xml:space="preserve"> 2022; </w:t>
      </w:r>
      <w:r w:rsidRPr="00894F4E">
        <w:rPr>
          <w:b/>
          <w:bCs/>
          <w:sz w:val="22"/>
          <w:szCs w:val="22"/>
        </w:rPr>
        <w:t>10</w:t>
      </w:r>
      <w:r w:rsidRPr="00894F4E">
        <w:rPr>
          <w:sz w:val="22"/>
          <w:szCs w:val="22"/>
        </w:rPr>
        <w:t>: e1170–8.</w:t>
      </w:r>
    </w:p>
    <w:p w14:paraId="56C9FE14"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60</w:t>
      </w:r>
      <w:r w:rsidRPr="00894F4E">
        <w:rPr>
          <w:sz w:val="22"/>
          <w:szCs w:val="22"/>
        </w:rPr>
        <w:tab/>
        <w:t xml:space="preserve">Cook A, </w:t>
      </w:r>
      <w:proofErr w:type="spellStart"/>
      <w:r w:rsidRPr="00894F4E">
        <w:rPr>
          <w:sz w:val="22"/>
          <w:szCs w:val="22"/>
        </w:rPr>
        <w:t>Ferreras</w:t>
      </w:r>
      <w:proofErr w:type="spellEnd"/>
      <w:r w:rsidRPr="00894F4E">
        <w:rPr>
          <w:sz w:val="22"/>
          <w:szCs w:val="22"/>
        </w:rPr>
        <w:t xml:space="preserve">-Antolin L, </w:t>
      </w:r>
      <w:proofErr w:type="spellStart"/>
      <w:r w:rsidRPr="00894F4E">
        <w:rPr>
          <w:sz w:val="22"/>
          <w:szCs w:val="22"/>
        </w:rPr>
        <w:t>Adhisivam</w:t>
      </w:r>
      <w:proofErr w:type="spellEnd"/>
      <w:r w:rsidRPr="00894F4E">
        <w:rPr>
          <w:sz w:val="22"/>
          <w:szCs w:val="22"/>
        </w:rPr>
        <w:t xml:space="preserve"> B, </w:t>
      </w:r>
      <w:r w:rsidRPr="00894F4E">
        <w:rPr>
          <w:i/>
          <w:iCs/>
          <w:sz w:val="22"/>
          <w:szCs w:val="22"/>
        </w:rPr>
        <w:t>et al.</w:t>
      </w:r>
      <w:r w:rsidRPr="00894F4E">
        <w:rPr>
          <w:sz w:val="22"/>
          <w:szCs w:val="22"/>
        </w:rPr>
        <w:t xml:space="preserve"> Neonatal invasive candidiasis in low-and middle-income countries: data from the </w:t>
      </w:r>
      <w:proofErr w:type="spellStart"/>
      <w:r w:rsidRPr="00894F4E">
        <w:rPr>
          <w:sz w:val="22"/>
          <w:szCs w:val="22"/>
        </w:rPr>
        <w:t>NeoOBS</w:t>
      </w:r>
      <w:proofErr w:type="spellEnd"/>
      <w:r w:rsidRPr="00894F4E">
        <w:rPr>
          <w:sz w:val="22"/>
          <w:szCs w:val="22"/>
        </w:rPr>
        <w:t xml:space="preserve"> study. </w:t>
      </w:r>
      <w:r w:rsidRPr="00894F4E">
        <w:rPr>
          <w:i/>
          <w:iCs/>
          <w:sz w:val="22"/>
          <w:szCs w:val="22"/>
        </w:rPr>
        <w:t>Medical Mycology</w:t>
      </w:r>
      <w:r w:rsidRPr="00894F4E">
        <w:rPr>
          <w:sz w:val="22"/>
          <w:szCs w:val="22"/>
        </w:rPr>
        <w:t xml:space="preserve"> 2023; </w:t>
      </w:r>
      <w:r w:rsidRPr="00894F4E">
        <w:rPr>
          <w:b/>
          <w:bCs/>
          <w:sz w:val="22"/>
          <w:szCs w:val="22"/>
        </w:rPr>
        <w:t>61</w:t>
      </w:r>
      <w:r w:rsidRPr="00894F4E">
        <w:rPr>
          <w:sz w:val="22"/>
          <w:szCs w:val="22"/>
        </w:rPr>
        <w:t>: myad010.</w:t>
      </w:r>
    </w:p>
    <w:p w14:paraId="1E251764"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61</w:t>
      </w:r>
      <w:r w:rsidRPr="00894F4E">
        <w:rPr>
          <w:sz w:val="22"/>
          <w:szCs w:val="22"/>
        </w:rPr>
        <w:tab/>
        <w:t xml:space="preserve">Lockhart SR, Etienne KA, </w:t>
      </w:r>
      <w:proofErr w:type="spellStart"/>
      <w:r w:rsidRPr="00894F4E">
        <w:rPr>
          <w:sz w:val="22"/>
          <w:szCs w:val="22"/>
        </w:rPr>
        <w:t>Vallabhaneni</w:t>
      </w:r>
      <w:proofErr w:type="spellEnd"/>
      <w:r w:rsidRPr="00894F4E">
        <w:rPr>
          <w:sz w:val="22"/>
          <w:szCs w:val="22"/>
        </w:rPr>
        <w:t xml:space="preserve"> S, </w:t>
      </w:r>
      <w:r w:rsidRPr="00894F4E">
        <w:rPr>
          <w:i/>
          <w:iCs/>
          <w:sz w:val="22"/>
          <w:szCs w:val="22"/>
        </w:rPr>
        <w:t>et al.</w:t>
      </w:r>
      <w:r w:rsidRPr="00894F4E">
        <w:rPr>
          <w:sz w:val="22"/>
          <w:szCs w:val="22"/>
        </w:rPr>
        <w:t xml:space="preserve"> Simultaneous emergence of multidrug-resistant Candida auris on 3 continents confirmed by whole-genome sequencing and epidemiological analyses. </w:t>
      </w:r>
      <w:r w:rsidRPr="00894F4E">
        <w:rPr>
          <w:i/>
          <w:iCs/>
          <w:sz w:val="22"/>
          <w:szCs w:val="22"/>
        </w:rPr>
        <w:t>Clinical Infectious Diseases</w:t>
      </w:r>
      <w:r w:rsidRPr="00894F4E">
        <w:rPr>
          <w:sz w:val="22"/>
          <w:szCs w:val="22"/>
        </w:rPr>
        <w:t xml:space="preserve"> 2017; </w:t>
      </w:r>
      <w:r w:rsidRPr="00894F4E">
        <w:rPr>
          <w:b/>
          <w:bCs/>
          <w:sz w:val="22"/>
          <w:szCs w:val="22"/>
        </w:rPr>
        <w:t>64</w:t>
      </w:r>
      <w:r w:rsidRPr="00894F4E">
        <w:rPr>
          <w:sz w:val="22"/>
          <w:szCs w:val="22"/>
        </w:rPr>
        <w:t>: 134–40.</w:t>
      </w:r>
    </w:p>
    <w:p w14:paraId="0FFF0DCE"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62</w:t>
      </w:r>
      <w:r w:rsidRPr="00894F4E">
        <w:rPr>
          <w:sz w:val="22"/>
          <w:szCs w:val="22"/>
        </w:rPr>
        <w:tab/>
        <w:t xml:space="preserve">World Health Organization. WHO fungal priority pathogens list to guide research, </w:t>
      </w:r>
      <w:proofErr w:type="gramStart"/>
      <w:r w:rsidRPr="00894F4E">
        <w:rPr>
          <w:sz w:val="22"/>
          <w:szCs w:val="22"/>
        </w:rPr>
        <w:t>development</w:t>
      </w:r>
      <w:proofErr w:type="gramEnd"/>
      <w:r w:rsidRPr="00894F4E">
        <w:rPr>
          <w:sz w:val="22"/>
          <w:szCs w:val="22"/>
        </w:rPr>
        <w:t xml:space="preserve"> and public health action. 2022 https://www.who.int/publications/i/item/9789240060241 (accessed Sept 29, 2023).</w:t>
      </w:r>
    </w:p>
    <w:p w14:paraId="46C14D56"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63</w:t>
      </w:r>
      <w:r w:rsidRPr="00894F4E">
        <w:rPr>
          <w:sz w:val="22"/>
          <w:szCs w:val="22"/>
        </w:rPr>
        <w:tab/>
        <w:t xml:space="preserve">Kekana D, Naicker SD, Shuping L, </w:t>
      </w:r>
      <w:r w:rsidRPr="00894F4E">
        <w:rPr>
          <w:i/>
          <w:iCs/>
          <w:sz w:val="22"/>
          <w:szCs w:val="22"/>
        </w:rPr>
        <w:t>et al.</w:t>
      </w:r>
      <w:r w:rsidRPr="00894F4E">
        <w:rPr>
          <w:sz w:val="22"/>
          <w:szCs w:val="22"/>
        </w:rPr>
        <w:t xml:space="preserve"> Candida auris Clinical Isolates Associated with Outbreak in Neonatal Unit of Tertiary Academic Hospital, South Africa. </w:t>
      </w:r>
      <w:r w:rsidRPr="00894F4E">
        <w:rPr>
          <w:i/>
          <w:iCs/>
          <w:sz w:val="22"/>
          <w:szCs w:val="22"/>
        </w:rPr>
        <w:t>Emerging Infectious Diseases</w:t>
      </w:r>
      <w:r w:rsidRPr="00894F4E">
        <w:rPr>
          <w:sz w:val="22"/>
          <w:szCs w:val="22"/>
        </w:rPr>
        <w:t xml:space="preserve"> 2023; </w:t>
      </w:r>
      <w:r w:rsidRPr="00894F4E">
        <w:rPr>
          <w:b/>
          <w:bCs/>
          <w:sz w:val="22"/>
          <w:szCs w:val="22"/>
        </w:rPr>
        <w:t>29</w:t>
      </w:r>
      <w:r w:rsidRPr="00894F4E">
        <w:rPr>
          <w:sz w:val="22"/>
          <w:szCs w:val="22"/>
        </w:rPr>
        <w:t>: 2044.</w:t>
      </w:r>
    </w:p>
    <w:p w14:paraId="00C0AA3F"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64</w:t>
      </w:r>
      <w:r w:rsidRPr="00894F4E">
        <w:rPr>
          <w:sz w:val="22"/>
          <w:szCs w:val="22"/>
        </w:rPr>
        <w:tab/>
        <w:t xml:space="preserve">Obeng-Nkrumah N, </w:t>
      </w:r>
      <w:proofErr w:type="spellStart"/>
      <w:r w:rsidRPr="00894F4E">
        <w:rPr>
          <w:sz w:val="22"/>
          <w:szCs w:val="22"/>
        </w:rPr>
        <w:t>Labi</w:t>
      </w:r>
      <w:proofErr w:type="spellEnd"/>
      <w:r w:rsidRPr="00894F4E">
        <w:rPr>
          <w:sz w:val="22"/>
          <w:szCs w:val="22"/>
        </w:rPr>
        <w:t xml:space="preserve"> A-K, Addison NO, </w:t>
      </w:r>
      <w:proofErr w:type="spellStart"/>
      <w:r w:rsidRPr="00894F4E">
        <w:rPr>
          <w:sz w:val="22"/>
          <w:szCs w:val="22"/>
        </w:rPr>
        <w:t>Labi</w:t>
      </w:r>
      <w:proofErr w:type="spellEnd"/>
      <w:r w:rsidRPr="00894F4E">
        <w:rPr>
          <w:sz w:val="22"/>
          <w:szCs w:val="22"/>
        </w:rPr>
        <w:t xml:space="preserve"> JEM, Awuah-Mensah G. Trends in </w:t>
      </w:r>
      <w:proofErr w:type="spellStart"/>
      <w:r w:rsidRPr="00894F4E">
        <w:rPr>
          <w:sz w:val="22"/>
          <w:szCs w:val="22"/>
        </w:rPr>
        <w:t>paediatric</w:t>
      </w:r>
      <w:proofErr w:type="spellEnd"/>
      <w:r w:rsidRPr="00894F4E">
        <w:rPr>
          <w:sz w:val="22"/>
          <w:szCs w:val="22"/>
        </w:rPr>
        <w:t xml:space="preserve"> and adult bloodstream infections at a Ghanaian referral hospital: a retrospective study. </w:t>
      </w:r>
      <w:r w:rsidRPr="00894F4E">
        <w:rPr>
          <w:i/>
          <w:iCs/>
          <w:sz w:val="22"/>
          <w:szCs w:val="22"/>
        </w:rPr>
        <w:t>Annals of clinical microbiology and antimicrobials</w:t>
      </w:r>
      <w:r w:rsidRPr="00894F4E">
        <w:rPr>
          <w:sz w:val="22"/>
          <w:szCs w:val="22"/>
        </w:rPr>
        <w:t xml:space="preserve"> 2016; </w:t>
      </w:r>
      <w:r w:rsidRPr="00894F4E">
        <w:rPr>
          <w:b/>
          <w:bCs/>
          <w:sz w:val="22"/>
          <w:szCs w:val="22"/>
        </w:rPr>
        <w:t>15</w:t>
      </w:r>
      <w:r w:rsidRPr="00894F4E">
        <w:rPr>
          <w:sz w:val="22"/>
          <w:szCs w:val="22"/>
        </w:rPr>
        <w:t>: 1–10.</w:t>
      </w:r>
    </w:p>
    <w:p w14:paraId="7A4FE9BB"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65</w:t>
      </w:r>
      <w:r w:rsidRPr="00894F4E">
        <w:rPr>
          <w:sz w:val="22"/>
          <w:szCs w:val="22"/>
        </w:rPr>
        <w:tab/>
        <w:t xml:space="preserve">Fleming KA, Horton S, Wilson ML, </w:t>
      </w:r>
      <w:r w:rsidRPr="00894F4E">
        <w:rPr>
          <w:i/>
          <w:iCs/>
          <w:sz w:val="22"/>
          <w:szCs w:val="22"/>
        </w:rPr>
        <w:t>et al.</w:t>
      </w:r>
      <w:r w:rsidRPr="00894F4E">
        <w:rPr>
          <w:sz w:val="22"/>
          <w:szCs w:val="22"/>
        </w:rPr>
        <w:t xml:space="preserve"> The Lancet Commission on diagnostics: transforming access to diagnostics. </w:t>
      </w:r>
      <w:r w:rsidRPr="00894F4E">
        <w:rPr>
          <w:i/>
          <w:iCs/>
          <w:sz w:val="22"/>
          <w:szCs w:val="22"/>
        </w:rPr>
        <w:t>The Lancet</w:t>
      </w:r>
      <w:r w:rsidRPr="00894F4E">
        <w:rPr>
          <w:sz w:val="22"/>
          <w:szCs w:val="22"/>
        </w:rPr>
        <w:t xml:space="preserve"> 2021; </w:t>
      </w:r>
      <w:r w:rsidRPr="00894F4E">
        <w:rPr>
          <w:b/>
          <w:bCs/>
          <w:sz w:val="22"/>
          <w:szCs w:val="22"/>
        </w:rPr>
        <w:t>398</w:t>
      </w:r>
      <w:r w:rsidRPr="00894F4E">
        <w:rPr>
          <w:sz w:val="22"/>
          <w:szCs w:val="22"/>
        </w:rPr>
        <w:t>: 1997–2050.</w:t>
      </w:r>
    </w:p>
    <w:p w14:paraId="66C6A9A3"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66</w:t>
      </w:r>
      <w:r w:rsidRPr="00894F4E">
        <w:rPr>
          <w:sz w:val="22"/>
          <w:szCs w:val="22"/>
        </w:rPr>
        <w:tab/>
        <w:t>Okeke IN. Divining without seeds: the case for strengthening laboratory medicine in Africa. Cornell University Press, 2011 https://books.google.com/books?hl=en&amp;lr=&amp;id=m6ZX-iwg3VQC&amp;oi=fnd&amp;pg=PR1&amp;dq=Divining+without+seeds+:+the+case+for+strengthening+laboratory+medicine+in+Africa&amp;ots=tl5EM7ofaX&amp;sig=tx-0JgcHQb8o5gG2nZKbI3tdj4c (accessed March 29, 2016).</w:t>
      </w:r>
    </w:p>
    <w:p w14:paraId="6E66BD96"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67</w:t>
      </w:r>
      <w:r w:rsidRPr="00894F4E">
        <w:rPr>
          <w:sz w:val="22"/>
          <w:szCs w:val="22"/>
        </w:rPr>
        <w:tab/>
      </w:r>
      <w:proofErr w:type="spellStart"/>
      <w:r w:rsidRPr="00894F4E">
        <w:rPr>
          <w:sz w:val="22"/>
          <w:szCs w:val="22"/>
        </w:rPr>
        <w:t>Köser</w:t>
      </w:r>
      <w:proofErr w:type="spellEnd"/>
      <w:r w:rsidRPr="00894F4E">
        <w:rPr>
          <w:sz w:val="22"/>
          <w:szCs w:val="22"/>
        </w:rPr>
        <w:t xml:space="preserve"> CU, Holden MT, Ellington MJ, </w:t>
      </w:r>
      <w:r w:rsidRPr="00894F4E">
        <w:rPr>
          <w:i/>
          <w:iCs/>
          <w:sz w:val="22"/>
          <w:szCs w:val="22"/>
        </w:rPr>
        <w:t>et al.</w:t>
      </w:r>
      <w:r w:rsidRPr="00894F4E">
        <w:rPr>
          <w:sz w:val="22"/>
          <w:szCs w:val="22"/>
        </w:rPr>
        <w:t xml:space="preserve"> Rapid whole-genome sequencing for investigation of a neonatal MRSA outbreak. </w:t>
      </w:r>
      <w:r w:rsidRPr="00894F4E">
        <w:rPr>
          <w:i/>
          <w:iCs/>
          <w:sz w:val="22"/>
          <w:szCs w:val="22"/>
        </w:rPr>
        <w:t>New England Journal of Medicine</w:t>
      </w:r>
      <w:r w:rsidRPr="00894F4E">
        <w:rPr>
          <w:sz w:val="22"/>
          <w:szCs w:val="22"/>
        </w:rPr>
        <w:t xml:space="preserve"> 2012; </w:t>
      </w:r>
      <w:r w:rsidRPr="00894F4E">
        <w:rPr>
          <w:b/>
          <w:bCs/>
          <w:sz w:val="22"/>
          <w:szCs w:val="22"/>
        </w:rPr>
        <w:t>366</w:t>
      </w:r>
      <w:r w:rsidRPr="00894F4E">
        <w:rPr>
          <w:sz w:val="22"/>
          <w:szCs w:val="22"/>
        </w:rPr>
        <w:t>: 2267–75.</w:t>
      </w:r>
    </w:p>
    <w:p w14:paraId="7684087E"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68</w:t>
      </w:r>
      <w:r w:rsidRPr="00894F4E">
        <w:rPr>
          <w:sz w:val="22"/>
          <w:szCs w:val="22"/>
        </w:rPr>
        <w:tab/>
      </w:r>
      <w:proofErr w:type="spellStart"/>
      <w:r w:rsidRPr="00894F4E">
        <w:rPr>
          <w:sz w:val="22"/>
          <w:szCs w:val="22"/>
        </w:rPr>
        <w:t>Okomo</w:t>
      </w:r>
      <w:proofErr w:type="spellEnd"/>
      <w:r w:rsidRPr="00894F4E">
        <w:rPr>
          <w:sz w:val="22"/>
          <w:szCs w:val="22"/>
        </w:rPr>
        <w:t xml:space="preserve"> U, </w:t>
      </w:r>
      <w:proofErr w:type="spellStart"/>
      <w:r w:rsidRPr="00894F4E">
        <w:rPr>
          <w:sz w:val="22"/>
          <w:szCs w:val="22"/>
        </w:rPr>
        <w:t>Senghore</w:t>
      </w:r>
      <w:proofErr w:type="spellEnd"/>
      <w:r w:rsidRPr="00894F4E">
        <w:rPr>
          <w:sz w:val="22"/>
          <w:szCs w:val="22"/>
        </w:rPr>
        <w:t xml:space="preserve"> M, Darboe S, </w:t>
      </w:r>
      <w:r w:rsidRPr="00894F4E">
        <w:rPr>
          <w:i/>
          <w:iCs/>
          <w:sz w:val="22"/>
          <w:szCs w:val="22"/>
        </w:rPr>
        <w:t>et al.</w:t>
      </w:r>
      <w:r w:rsidRPr="00894F4E">
        <w:rPr>
          <w:sz w:val="22"/>
          <w:szCs w:val="22"/>
        </w:rPr>
        <w:t xml:space="preserve"> Investigation of sequential outbreaks of </w:t>
      </w:r>
      <w:proofErr w:type="spellStart"/>
      <w:r w:rsidRPr="00894F4E">
        <w:rPr>
          <w:sz w:val="22"/>
          <w:szCs w:val="22"/>
        </w:rPr>
        <w:t>Burkholderia</w:t>
      </w:r>
      <w:proofErr w:type="spellEnd"/>
      <w:r w:rsidRPr="00894F4E">
        <w:rPr>
          <w:sz w:val="22"/>
          <w:szCs w:val="22"/>
        </w:rPr>
        <w:t xml:space="preserve"> </w:t>
      </w:r>
      <w:proofErr w:type="spellStart"/>
      <w:r w:rsidRPr="00894F4E">
        <w:rPr>
          <w:sz w:val="22"/>
          <w:szCs w:val="22"/>
        </w:rPr>
        <w:t>cepacia</w:t>
      </w:r>
      <w:proofErr w:type="spellEnd"/>
      <w:r w:rsidRPr="00894F4E">
        <w:rPr>
          <w:sz w:val="22"/>
          <w:szCs w:val="22"/>
        </w:rPr>
        <w:t xml:space="preserve"> and multidrug-resistant extended spectrum β-lactamase producing Klebsiella species in a West African tertiary hospital neonatal unit: a retrospective genomic analysis. </w:t>
      </w:r>
      <w:r w:rsidRPr="00894F4E">
        <w:rPr>
          <w:i/>
          <w:iCs/>
          <w:sz w:val="22"/>
          <w:szCs w:val="22"/>
        </w:rPr>
        <w:t>The Lancet Microbe</w:t>
      </w:r>
      <w:r w:rsidRPr="00894F4E">
        <w:rPr>
          <w:sz w:val="22"/>
          <w:szCs w:val="22"/>
        </w:rPr>
        <w:t xml:space="preserve"> 2020; </w:t>
      </w:r>
      <w:r w:rsidRPr="00894F4E">
        <w:rPr>
          <w:b/>
          <w:bCs/>
          <w:sz w:val="22"/>
          <w:szCs w:val="22"/>
        </w:rPr>
        <w:t>1</w:t>
      </w:r>
      <w:r w:rsidRPr="00894F4E">
        <w:rPr>
          <w:sz w:val="22"/>
          <w:szCs w:val="22"/>
        </w:rPr>
        <w:t>: e119–29.</w:t>
      </w:r>
    </w:p>
    <w:p w14:paraId="4246C448"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69</w:t>
      </w:r>
      <w:r w:rsidRPr="00894F4E">
        <w:rPr>
          <w:sz w:val="22"/>
          <w:szCs w:val="22"/>
        </w:rPr>
        <w:tab/>
        <w:t xml:space="preserve">Harris SR, Cartwright EJ, </w:t>
      </w:r>
      <w:proofErr w:type="spellStart"/>
      <w:r w:rsidRPr="00894F4E">
        <w:rPr>
          <w:sz w:val="22"/>
          <w:szCs w:val="22"/>
        </w:rPr>
        <w:t>Török</w:t>
      </w:r>
      <w:proofErr w:type="spellEnd"/>
      <w:r w:rsidRPr="00894F4E">
        <w:rPr>
          <w:sz w:val="22"/>
          <w:szCs w:val="22"/>
        </w:rPr>
        <w:t xml:space="preserve"> ME, </w:t>
      </w:r>
      <w:r w:rsidRPr="00894F4E">
        <w:rPr>
          <w:i/>
          <w:iCs/>
          <w:sz w:val="22"/>
          <w:szCs w:val="22"/>
        </w:rPr>
        <w:t>et al.</w:t>
      </w:r>
      <w:r w:rsidRPr="00894F4E">
        <w:rPr>
          <w:sz w:val="22"/>
          <w:szCs w:val="22"/>
        </w:rPr>
        <w:t xml:space="preserve"> Whole-genome sequencing for analysis of an outbreak of </w:t>
      </w:r>
      <w:proofErr w:type="spellStart"/>
      <w:r w:rsidRPr="00894F4E">
        <w:rPr>
          <w:sz w:val="22"/>
          <w:szCs w:val="22"/>
        </w:rPr>
        <w:t>meticillin</w:t>
      </w:r>
      <w:proofErr w:type="spellEnd"/>
      <w:r w:rsidRPr="00894F4E">
        <w:rPr>
          <w:sz w:val="22"/>
          <w:szCs w:val="22"/>
        </w:rPr>
        <w:t xml:space="preserve">-resistant Staphylococcus aureus: a descriptive study. </w:t>
      </w:r>
      <w:r w:rsidRPr="00894F4E">
        <w:rPr>
          <w:i/>
          <w:iCs/>
          <w:sz w:val="22"/>
          <w:szCs w:val="22"/>
        </w:rPr>
        <w:t>The Lancet infectious diseases</w:t>
      </w:r>
      <w:r w:rsidRPr="00894F4E">
        <w:rPr>
          <w:sz w:val="22"/>
          <w:szCs w:val="22"/>
        </w:rPr>
        <w:t xml:space="preserve"> 2013; </w:t>
      </w:r>
      <w:r w:rsidRPr="00894F4E">
        <w:rPr>
          <w:b/>
          <w:bCs/>
          <w:sz w:val="22"/>
          <w:szCs w:val="22"/>
        </w:rPr>
        <w:t>13</w:t>
      </w:r>
      <w:r w:rsidRPr="00894F4E">
        <w:rPr>
          <w:sz w:val="22"/>
          <w:szCs w:val="22"/>
        </w:rPr>
        <w:t>: 130–6.</w:t>
      </w:r>
    </w:p>
    <w:p w14:paraId="2FE4D766"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lastRenderedPageBreak/>
        <w:t>70</w:t>
      </w:r>
      <w:r w:rsidRPr="00894F4E">
        <w:rPr>
          <w:sz w:val="22"/>
          <w:szCs w:val="22"/>
        </w:rPr>
        <w:tab/>
      </w:r>
      <w:proofErr w:type="spellStart"/>
      <w:r w:rsidRPr="00894F4E">
        <w:rPr>
          <w:sz w:val="22"/>
          <w:szCs w:val="22"/>
        </w:rPr>
        <w:t>Jauneikaite</w:t>
      </w:r>
      <w:proofErr w:type="spellEnd"/>
      <w:r w:rsidRPr="00894F4E">
        <w:rPr>
          <w:sz w:val="22"/>
          <w:szCs w:val="22"/>
        </w:rPr>
        <w:t xml:space="preserve"> E, Baker KS, Nunn JG, </w:t>
      </w:r>
      <w:r w:rsidRPr="00894F4E">
        <w:rPr>
          <w:i/>
          <w:iCs/>
          <w:sz w:val="22"/>
          <w:szCs w:val="22"/>
        </w:rPr>
        <w:t>et al.</w:t>
      </w:r>
      <w:r w:rsidRPr="00894F4E">
        <w:rPr>
          <w:sz w:val="22"/>
          <w:szCs w:val="22"/>
        </w:rPr>
        <w:t xml:space="preserve"> Genomics for antimicrobial resistance surveillance to support infection prevention and control in health-care facilities. </w:t>
      </w:r>
      <w:r w:rsidRPr="00894F4E">
        <w:rPr>
          <w:i/>
          <w:iCs/>
          <w:sz w:val="22"/>
          <w:szCs w:val="22"/>
        </w:rPr>
        <w:t>The Lancet Microbe</w:t>
      </w:r>
      <w:r w:rsidRPr="00894F4E">
        <w:rPr>
          <w:sz w:val="22"/>
          <w:szCs w:val="22"/>
        </w:rPr>
        <w:t xml:space="preserve"> 2023; </w:t>
      </w:r>
      <w:r w:rsidRPr="00894F4E">
        <w:rPr>
          <w:b/>
          <w:bCs/>
          <w:sz w:val="22"/>
          <w:szCs w:val="22"/>
        </w:rPr>
        <w:t>4</w:t>
      </w:r>
      <w:r w:rsidRPr="00894F4E">
        <w:rPr>
          <w:sz w:val="22"/>
          <w:szCs w:val="22"/>
        </w:rPr>
        <w:t>: e1040–6.</w:t>
      </w:r>
    </w:p>
    <w:p w14:paraId="79282457"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71</w:t>
      </w:r>
      <w:r w:rsidRPr="00894F4E">
        <w:rPr>
          <w:sz w:val="22"/>
          <w:szCs w:val="22"/>
        </w:rPr>
        <w:tab/>
        <w:t xml:space="preserve">Hu Y, Yang Y, Feng Y, </w:t>
      </w:r>
      <w:r w:rsidRPr="00894F4E">
        <w:rPr>
          <w:i/>
          <w:iCs/>
          <w:sz w:val="22"/>
          <w:szCs w:val="22"/>
        </w:rPr>
        <w:t>et al.</w:t>
      </w:r>
      <w:r w:rsidRPr="00894F4E">
        <w:rPr>
          <w:sz w:val="22"/>
          <w:szCs w:val="22"/>
        </w:rPr>
        <w:t xml:space="preserve"> Prevalence and clonal diversity of carbapenem-resistant Klebsiella pneumoniae causing neonatal infections: A systematic review of 128 articles across 30 countries. </w:t>
      </w:r>
      <w:proofErr w:type="spellStart"/>
      <w:r w:rsidRPr="00894F4E">
        <w:rPr>
          <w:i/>
          <w:iCs/>
          <w:sz w:val="22"/>
          <w:szCs w:val="22"/>
        </w:rPr>
        <w:t>PLoS</w:t>
      </w:r>
      <w:proofErr w:type="spellEnd"/>
      <w:r w:rsidRPr="00894F4E">
        <w:rPr>
          <w:i/>
          <w:iCs/>
          <w:sz w:val="22"/>
          <w:szCs w:val="22"/>
        </w:rPr>
        <w:t xml:space="preserve"> Medicine</w:t>
      </w:r>
      <w:r w:rsidRPr="00894F4E">
        <w:rPr>
          <w:sz w:val="22"/>
          <w:szCs w:val="22"/>
        </w:rPr>
        <w:t xml:space="preserve"> 2023; </w:t>
      </w:r>
      <w:r w:rsidRPr="00894F4E">
        <w:rPr>
          <w:b/>
          <w:bCs/>
          <w:sz w:val="22"/>
          <w:szCs w:val="22"/>
        </w:rPr>
        <w:t>20</w:t>
      </w:r>
      <w:r w:rsidRPr="00894F4E">
        <w:rPr>
          <w:sz w:val="22"/>
          <w:szCs w:val="22"/>
        </w:rPr>
        <w:t>: e1004233.</w:t>
      </w:r>
    </w:p>
    <w:p w14:paraId="140717F7"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72</w:t>
      </w:r>
      <w:r w:rsidRPr="00894F4E">
        <w:rPr>
          <w:sz w:val="22"/>
          <w:szCs w:val="22"/>
        </w:rPr>
        <w:tab/>
      </w:r>
      <w:proofErr w:type="spellStart"/>
      <w:r w:rsidRPr="00894F4E">
        <w:rPr>
          <w:sz w:val="22"/>
          <w:szCs w:val="22"/>
        </w:rPr>
        <w:t>Hetland</w:t>
      </w:r>
      <w:proofErr w:type="spellEnd"/>
      <w:r w:rsidRPr="00894F4E">
        <w:rPr>
          <w:sz w:val="22"/>
          <w:szCs w:val="22"/>
        </w:rPr>
        <w:t xml:space="preserve"> MA, </w:t>
      </w:r>
      <w:proofErr w:type="spellStart"/>
      <w:r w:rsidRPr="00894F4E">
        <w:rPr>
          <w:sz w:val="22"/>
          <w:szCs w:val="22"/>
        </w:rPr>
        <w:t>Hawkey</w:t>
      </w:r>
      <w:proofErr w:type="spellEnd"/>
      <w:r w:rsidRPr="00894F4E">
        <w:rPr>
          <w:sz w:val="22"/>
          <w:szCs w:val="22"/>
        </w:rPr>
        <w:t xml:space="preserve"> J, </w:t>
      </w:r>
      <w:proofErr w:type="spellStart"/>
      <w:r w:rsidRPr="00894F4E">
        <w:rPr>
          <w:sz w:val="22"/>
          <w:szCs w:val="22"/>
        </w:rPr>
        <w:t>Bernhoff</w:t>
      </w:r>
      <w:proofErr w:type="spellEnd"/>
      <w:r w:rsidRPr="00894F4E">
        <w:rPr>
          <w:sz w:val="22"/>
          <w:szCs w:val="22"/>
        </w:rPr>
        <w:t xml:space="preserve"> E, </w:t>
      </w:r>
      <w:r w:rsidRPr="00894F4E">
        <w:rPr>
          <w:i/>
          <w:iCs/>
          <w:sz w:val="22"/>
          <w:szCs w:val="22"/>
        </w:rPr>
        <w:t>et al.</w:t>
      </w:r>
      <w:r w:rsidRPr="00894F4E">
        <w:rPr>
          <w:sz w:val="22"/>
          <w:szCs w:val="22"/>
        </w:rPr>
        <w:t xml:space="preserve"> Within–patient and global evolutionary dynamics of Klebsiella pneumoniae ST17. </w:t>
      </w:r>
      <w:r w:rsidRPr="00894F4E">
        <w:rPr>
          <w:i/>
          <w:iCs/>
          <w:sz w:val="22"/>
          <w:szCs w:val="22"/>
        </w:rPr>
        <w:t>Microbial genomics</w:t>
      </w:r>
      <w:r w:rsidRPr="00894F4E">
        <w:rPr>
          <w:sz w:val="22"/>
          <w:szCs w:val="22"/>
        </w:rPr>
        <w:t xml:space="preserve"> 2023; </w:t>
      </w:r>
      <w:r w:rsidRPr="00894F4E">
        <w:rPr>
          <w:b/>
          <w:bCs/>
          <w:sz w:val="22"/>
          <w:szCs w:val="22"/>
        </w:rPr>
        <w:t>9</w:t>
      </w:r>
      <w:r w:rsidRPr="00894F4E">
        <w:rPr>
          <w:sz w:val="22"/>
          <w:szCs w:val="22"/>
        </w:rPr>
        <w:t>: 001005.</w:t>
      </w:r>
    </w:p>
    <w:p w14:paraId="6F2F2A08"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73</w:t>
      </w:r>
      <w:r w:rsidRPr="00894F4E">
        <w:rPr>
          <w:sz w:val="22"/>
          <w:szCs w:val="22"/>
        </w:rPr>
        <w:tab/>
      </w:r>
      <w:proofErr w:type="spellStart"/>
      <w:r w:rsidRPr="00894F4E">
        <w:rPr>
          <w:sz w:val="22"/>
          <w:szCs w:val="22"/>
        </w:rPr>
        <w:t>Lipworth</w:t>
      </w:r>
      <w:proofErr w:type="spellEnd"/>
      <w:r w:rsidRPr="00894F4E">
        <w:rPr>
          <w:sz w:val="22"/>
          <w:szCs w:val="22"/>
        </w:rPr>
        <w:t xml:space="preserve"> S, </w:t>
      </w:r>
      <w:proofErr w:type="spellStart"/>
      <w:r w:rsidRPr="00894F4E">
        <w:rPr>
          <w:sz w:val="22"/>
          <w:szCs w:val="22"/>
        </w:rPr>
        <w:t>Vihta</w:t>
      </w:r>
      <w:proofErr w:type="spellEnd"/>
      <w:r w:rsidRPr="00894F4E">
        <w:rPr>
          <w:sz w:val="22"/>
          <w:szCs w:val="22"/>
        </w:rPr>
        <w:t xml:space="preserve"> K-D, Davies T, </w:t>
      </w:r>
      <w:r w:rsidRPr="00894F4E">
        <w:rPr>
          <w:i/>
          <w:iCs/>
          <w:sz w:val="22"/>
          <w:szCs w:val="22"/>
        </w:rPr>
        <w:t>et al.</w:t>
      </w:r>
      <w:r w:rsidRPr="00894F4E">
        <w:rPr>
          <w:sz w:val="22"/>
          <w:szCs w:val="22"/>
        </w:rPr>
        <w:t xml:space="preserve"> Molecular </w:t>
      </w:r>
      <w:proofErr w:type="gramStart"/>
      <w:r w:rsidRPr="00894F4E">
        <w:rPr>
          <w:sz w:val="22"/>
          <w:szCs w:val="22"/>
        </w:rPr>
        <w:t>epidemiology</w:t>
      </w:r>
      <w:proofErr w:type="gramEnd"/>
      <w:r w:rsidRPr="00894F4E">
        <w:rPr>
          <w:sz w:val="22"/>
          <w:szCs w:val="22"/>
        </w:rPr>
        <w:t xml:space="preserve"> and antimicrobial resistance phenotype of </w:t>
      </w:r>
      <w:proofErr w:type="spellStart"/>
      <w:r w:rsidRPr="00894F4E">
        <w:rPr>
          <w:sz w:val="22"/>
          <w:szCs w:val="22"/>
        </w:rPr>
        <w:t>paediatric</w:t>
      </w:r>
      <w:proofErr w:type="spellEnd"/>
      <w:r w:rsidRPr="00894F4E">
        <w:rPr>
          <w:sz w:val="22"/>
          <w:szCs w:val="22"/>
        </w:rPr>
        <w:t xml:space="preserve"> bloodstream infections caused by Gram-negative bacteria. </w:t>
      </w:r>
      <w:r w:rsidRPr="00894F4E">
        <w:rPr>
          <w:i/>
          <w:iCs/>
          <w:sz w:val="22"/>
          <w:szCs w:val="22"/>
        </w:rPr>
        <w:t>Communications Medicine</w:t>
      </w:r>
      <w:r w:rsidRPr="00894F4E">
        <w:rPr>
          <w:sz w:val="22"/>
          <w:szCs w:val="22"/>
        </w:rPr>
        <w:t xml:space="preserve"> 2022; </w:t>
      </w:r>
      <w:r w:rsidRPr="00894F4E">
        <w:rPr>
          <w:b/>
          <w:bCs/>
          <w:sz w:val="22"/>
          <w:szCs w:val="22"/>
        </w:rPr>
        <w:t>2</w:t>
      </w:r>
      <w:r w:rsidRPr="00894F4E">
        <w:rPr>
          <w:sz w:val="22"/>
          <w:szCs w:val="22"/>
        </w:rPr>
        <w:t>: 101.</w:t>
      </w:r>
    </w:p>
    <w:p w14:paraId="7F6C63CC"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74</w:t>
      </w:r>
      <w:r w:rsidRPr="00894F4E">
        <w:rPr>
          <w:sz w:val="22"/>
          <w:szCs w:val="22"/>
        </w:rPr>
        <w:tab/>
        <w:t xml:space="preserve">Kumar CK, Sands K, Walsh TR, </w:t>
      </w:r>
      <w:r w:rsidRPr="00894F4E">
        <w:rPr>
          <w:i/>
          <w:iCs/>
          <w:sz w:val="22"/>
          <w:szCs w:val="22"/>
        </w:rPr>
        <w:t>et al.</w:t>
      </w:r>
      <w:r w:rsidRPr="00894F4E">
        <w:rPr>
          <w:sz w:val="22"/>
          <w:szCs w:val="22"/>
        </w:rPr>
        <w:t xml:space="preserve"> Global, regional, and national estimates of the impact of a maternal Klebsiella pneumoniae vaccine: A Bayesian modeling analysis. </w:t>
      </w:r>
      <w:proofErr w:type="spellStart"/>
      <w:r w:rsidRPr="00894F4E">
        <w:rPr>
          <w:i/>
          <w:iCs/>
          <w:sz w:val="22"/>
          <w:szCs w:val="22"/>
        </w:rPr>
        <w:t>Plos</w:t>
      </w:r>
      <w:proofErr w:type="spellEnd"/>
      <w:r w:rsidRPr="00894F4E">
        <w:rPr>
          <w:i/>
          <w:iCs/>
          <w:sz w:val="22"/>
          <w:szCs w:val="22"/>
        </w:rPr>
        <w:t xml:space="preserve"> Medicine</w:t>
      </w:r>
      <w:r w:rsidRPr="00894F4E">
        <w:rPr>
          <w:sz w:val="22"/>
          <w:szCs w:val="22"/>
        </w:rPr>
        <w:t xml:space="preserve"> 2023; </w:t>
      </w:r>
      <w:r w:rsidRPr="00894F4E">
        <w:rPr>
          <w:b/>
          <w:bCs/>
          <w:sz w:val="22"/>
          <w:szCs w:val="22"/>
        </w:rPr>
        <w:t>20</w:t>
      </w:r>
      <w:r w:rsidRPr="00894F4E">
        <w:rPr>
          <w:sz w:val="22"/>
          <w:szCs w:val="22"/>
        </w:rPr>
        <w:t>: e1004239.</w:t>
      </w:r>
    </w:p>
    <w:p w14:paraId="7C3D82B7"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75</w:t>
      </w:r>
      <w:r w:rsidRPr="00894F4E">
        <w:rPr>
          <w:sz w:val="22"/>
          <w:szCs w:val="22"/>
        </w:rPr>
        <w:tab/>
        <w:t xml:space="preserve">Guest JF, Keating T, Gould D, Wigglesworth N. Modelling the annual NHS costs and outcomes attributable to healthcare-associated infections in England. </w:t>
      </w:r>
      <w:r w:rsidRPr="00894F4E">
        <w:rPr>
          <w:i/>
          <w:iCs/>
          <w:sz w:val="22"/>
          <w:szCs w:val="22"/>
        </w:rPr>
        <w:t>BMJ open</w:t>
      </w:r>
      <w:r w:rsidRPr="00894F4E">
        <w:rPr>
          <w:sz w:val="22"/>
          <w:szCs w:val="22"/>
        </w:rPr>
        <w:t xml:space="preserve"> 2020; </w:t>
      </w:r>
      <w:r w:rsidRPr="00894F4E">
        <w:rPr>
          <w:b/>
          <w:bCs/>
          <w:sz w:val="22"/>
          <w:szCs w:val="22"/>
        </w:rPr>
        <w:t>10</w:t>
      </w:r>
      <w:r w:rsidRPr="00894F4E">
        <w:rPr>
          <w:sz w:val="22"/>
          <w:szCs w:val="22"/>
        </w:rPr>
        <w:t>: e033367.</w:t>
      </w:r>
    </w:p>
    <w:p w14:paraId="5ECC9F30"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76</w:t>
      </w:r>
      <w:r w:rsidRPr="00894F4E">
        <w:rPr>
          <w:sz w:val="22"/>
          <w:szCs w:val="22"/>
        </w:rPr>
        <w:tab/>
        <w:t>Serra-</w:t>
      </w:r>
      <w:proofErr w:type="spellStart"/>
      <w:r w:rsidRPr="00894F4E">
        <w:rPr>
          <w:sz w:val="22"/>
          <w:szCs w:val="22"/>
        </w:rPr>
        <w:t>Burriel</w:t>
      </w:r>
      <w:proofErr w:type="spellEnd"/>
      <w:r w:rsidRPr="00894F4E">
        <w:rPr>
          <w:sz w:val="22"/>
          <w:szCs w:val="22"/>
        </w:rPr>
        <w:t xml:space="preserve"> M, Keys M, </w:t>
      </w:r>
      <w:proofErr w:type="spellStart"/>
      <w:r w:rsidRPr="00894F4E">
        <w:rPr>
          <w:sz w:val="22"/>
          <w:szCs w:val="22"/>
        </w:rPr>
        <w:t>Campillo-Artero</w:t>
      </w:r>
      <w:proofErr w:type="spellEnd"/>
      <w:r w:rsidRPr="00894F4E">
        <w:rPr>
          <w:sz w:val="22"/>
          <w:szCs w:val="22"/>
        </w:rPr>
        <w:t xml:space="preserve"> C, </w:t>
      </w:r>
      <w:r w:rsidRPr="00894F4E">
        <w:rPr>
          <w:i/>
          <w:iCs/>
          <w:sz w:val="22"/>
          <w:szCs w:val="22"/>
        </w:rPr>
        <w:t>et al.</w:t>
      </w:r>
      <w:r w:rsidRPr="00894F4E">
        <w:rPr>
          <w:sz w:val="22"/>
          <w:szCs w:val="22"/>
        </w:rPr>
        <w:t xml:space="preserve"> Impact of multi-drug resistant bacteria on economic and clinical outcomes of healthcare-associated infections in adults: Systematic review and meta-analysis. </w:t>
      </w:r>
      <w:proofErr w:type="spellStart"/>
      <w:r w:rsidRPr="00894F4E">
        <w:rPr>
          <w:i/>
          <w:iCs/>
          <w:sz w:val="22"/>
          <w:szCs w:val="22"/>
        </w:rPr>
        <w:t>PloS</w:t>
      </w:r>
      <w:proofErr w:type="spellEnd"/>
      <w:r w:rsidRPr="00894F4E">
        <w:rPr>
          <w:i/>
          <w:iCs/>
          <w:sz w:val="22"/>
          <w:szCs w:val="22"/>
        </w:rPr>
        <w:t xml:space="preserve"> one</w:t>
      </w:r>
      <w:r w:rsidRPr="00894F4E">
        <w:rPr>
          <w:sz w:val="22"/>
          <w:szCs w:val="22"/>
        </w:rPr>
        <w:t xml:space="preserve"> 2020; </w:t>
      </w:r>
      <w:r w:rsidRPr="00894F4E">
        <w:rPr>
          <w:b/>
          <w:bCs/>
          <w:sz w:val="22"/>
          <w:szCs w:val="22"/>
        </w:rPr>
        <w:t>15</w:t>
      </w:r>
      <w:r w:rsidRPr="00894F4E">
        <w:rPr>
          <w:sz w:val="22"/>
          <w:szCs w:val="22"/>
        </w:rPr>
        <w:t>: e0227139.</w:t>
      </w:r>
    </w:p>
    <w:p w14:paraId="6B03E640"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77</w:t>
      </w:r>
      <w:r w:rsidRPr="00894F4E">
        <w:rPr>
          <w:sz w:val="22"/>
          <w:szCs w:val="22"/>
        </w:rPr>
        <w:tab/>
        <w:t xml:space="preserve">The Institute for Health Metrics and Evaluation. </w:t>
      </w:r>
      <w:proofErr w:type="spellStart"/>
      <w:r w:rsidRPr="00894F4E">
        <w:rPr>
          <w:sz w:val="22"/>
          <w:szCs w:val="22"/>
        </w:rPr>
        <w:t>VizHub</w:t>
      </w:r>
      <w:proofErr w:type="spellEnd"/>
      <w:r w:rsidRPr="00894F4E">
        <w:rPr>
          <w:sz w:val="22"/>
          <w:szCs w:val="22"/>
        </w:rPr>
        <w:t xml:space="preserve"> - GBD Compare. https://vizhub.healthdata.org/gbd-compare/.</w:t>
      </w:r>
    </w:p>
    <w:p w14:paraId="0FA52215"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78</w:t>
      </w:r>
      <w:r w:rsidRPr="00894F4E">
        <w:rPr>
          <w:sz w:val="22"/>
          <w:szCs w:val="22"/>
        </w:rPr>
        <w:tab/>
        <w:t xml:space="preserve">Hocking L, Ali G-C, </w:t>
      </w:r>
      <w:proofErr w:type="spellStart"/>
      <w:r w:rsidRPr="00894F4E">
        <w:rPr>
          <w:sz w:val="22"/>
          <w:szCs w:val="22"/>
        </w:rPr>
        <w:t>d’Angelo</w:t>
      </w:r>
      <w:proofErr w:type="spellEnd"/>
      <w:r w:rsidRPr="00894F4E">
        <w:rPr>
          <w:sz w:val="22"/>
          <w:szCs w:val="22"/>
        </w:rPr>
        <w:t xml:space="preserve"> C, </w:t>
      </w:r>
      <w:r w:rsidRPr="00894F4E">
        <w:rPr>
          <w:i/>
          <w:iCs/>
          <w:sz w:val="22"/>
          <w:szCs w:val="22"/>
        </w:rPr>
        <w:t>et al.</w:t>
      </w:r>
      <w:r w:rsidRPr="00894F4E">
        <w:rPr>
          <w:sz w:val="22"/>
          <w:szCs w:val="22"/>
        </w:rPr>
        <w:t xml:space="preserve"> A rapid evidence assessment exploring whether antimicrobial resistance complicates non-infectious health conditions and healthcare services, 2010-20. </w:t>
      </w:r>
      <w:r w:rsidRPr="00894F4E">
        <w:rPr>
          <w:i/>
          <w:iCs/>
          <w:sz w:val="22"/>
          <w:szCs w:val="22"/>
        </w:rPr>
        <w:t xml:space="preserve">JAC </w:t>
      </w:r>
      <w:proofErr w:type="spellStart"/>
      <w:r w:rsidRPr="00894F4E">
        <w:rPr>
          <w:i/>
          <w:iCs/>
          <w:sz w:val="22"/>
          <w:szCs w:val="22"/>
        </w:rPr>
        <w:t>Antimicrob</w:t>
      </w:r>
      <w:proofErr w:type="spellEnd"/>
      <w:r w:rsidRPr="00894F4E">
        <w:rPr>
          <w:i/>
          <w:iCs/>
          <w:sz w:val="22"/>
          <w:szCs w:val="22"/>
        </w:rPr>
        <w:t xml:space="preserve"> Resist</w:t>
      </w:r>
      <w:r w:rsidRPr="00894F4E">
        <w:rPr>
          <w:sz w:val="22"/>
          <w:szCs w:val="22"/>
        </w:rPr>
        <w:t xml:space="preserve"> 2021; </w:t>
      </w:r>
      <w:r w:rsidRPr="00894F4E">
        <w:rPr>
          <w:b/>
          <w:bCs/>
          <w:sz w:val="22"/>
          <w:szCs w:val="22"/>
        </w:rPr>
        <w:t>3</w:t>
      </w:r>
      <w:r w:rsidRPr="00894F4E">
        <w:rPr>
          <w:sz w:val="22"/>
          <w:szCs w:val="22"/>
        </w:rPr>
        <w:t>: dlab171.</w:t>
      </w:r>
    </w:p>
    <w:p w14:paraId="4D194AC8"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79</w:t>
      </w:r>
      <w:r w:rsidRPr="00894F4E">
        <w:rPr>
          <w:sz w:val="22"/>
          <w:szCs w:val="22"/>
        </w:rPr>
        <w:tab/>
        <w:t xml:space="preserve">Miranda MV, González FC, Paredes-Godoy OS, </w:t>
      </w:r>
      <w:proofErr w:type="spellStart"/>
      <w:r w:rsidRPr="00894F4E">
        <w:rPr>
          <w:sz w:val="22"/>
          <w:szCs w:val="22"/>
        </w:rPr>
        <w:t>Maulén</w:t>
      </w:r>
      <w:proofErr w:type="spellEnd"/>
      <w:r w:rsidRPr="00894F4E">
        <w:rPr>
          <w:sz w:val="22"/>
          <w:szCs w:val="22"/>
        </w:rPr>
        <w:t xml:space="preserve"> MA, Vásquez CC, Díaz-Vásquez WA. Characterization of metal(loid)s and antibiotic resistance in bacteria of human gut microbiota from chronic kidney disease subjects. </w:t>
      </w:r>
      <w:r w:rsidRPr="00894F4E">
        <w:rPr>
          <w:i/>
          <w:iCs/>
          <w:sz w:val="22"/>
          <w:szCs w:val="22"/>
        </w:rPr>
        <w:t>Biol Res</w:t>
      </w:r>
      <w:r w:rsidRPr="00894F4E">
        <w:rPr>
          <w:sz w:val="22"/>
          <w:szCs w:val="22"/>
        </w:rPr>
        <w:t xml:space="preserve"> 2022; </w:t>
      </w:r>
      <w:r w:rsidRPr="00894F4E">
        <w:rPr>
          <w:b/>
          <w:bCs/>
          <w:sz w:val="22"/>
          <w:szCs w:val="22"/>
        </w:rPr>
        <w:t>55</w:t>
      </w:r>
      <w:r w:rsidRPr="00894F4E">
        <w:rPr>
          <w:sz w:val="22"/>
          <w:szCs w:val="22"/>
        </w:rPr>
        <w:t>: 23.</w:t>
      </w:r>
    </w:p>
    <w:p w14:paraId="5E56BB9D"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80</w:t>
      </w:r>
      <w:r w:rsidRPr="00894F4E">
        <w:rPr>
          <w:sz w:val="22"/>
          <w:szCs w:val="22"/>
        </w:rPr>
        <w:tab/>
        <w:t xml:space="preserve">Signing AT, </w:t>
      </w:r>
      <w:proofErr w:type="spellStart"/>
      <w:r w:rsidRPr="00894F4E">
        <w:rPr>
          <w:sz w:val="22"/>
          <w:szCs w:val="22"/>
        </w:rPr>
        <w:t>Marbou</w:t>
      </w:r>
      <w:proofErr w:type="spellEnd"/>
      <w:r w:rsidRPr="00894F4E">
        <w:rPr>
          <w:sz w:val="22"/>
          <w:szCs w:val="22"/>
        </w:rPr>
        <w:t xml:space="preserve"> WJT, </w:t>
      </w:r>
      <w:proofErr w:type="spellStart"/>
      <w:r w:rsidRPr="00894F4E">
        <w:rPr>
          <w:sz w:val="22"/>
          <w:szCs w:val="22"/>
        </w:rPr>
        <w:t>Penlap</w:t>
      </w:r>
      <w:proofErr w:type="spellEnd"/>
      <w:r w:rsidRPr="00894F4E">
        <w:rPr>
          <w:sz w:val="22"/>
          <w:szCs w:val="22"/>
        </w:rPr>
        <w:t xml:space="preserve"> </w:t>
      </w:r>
      <w:proofErr w:type="spellStart"/>
      <w:r w:rsidRPr="00894F4E">
        <w:rPr>
          <w:sz w:val="22"/>
          <w:szCs w:val="22"/>
        </w:rPr>
        <w:t>Beng</w:t>
      </w:r>
      <w:proofErr w:type="spellEnd"/>
      <w:r w:rsidRPr="00894F4E">
        <w:rPr>
          <w:sz w:val="22"/>
          <w:szCs w:val="22"/>
        </w:rPr>
        <w:t xml:space="preserve"> V, </w:t>
      </w:r>
      <w:proofErr w:type="spellStart"/>
      <w:r w:rsidRPr="00894F4E">
        <w:rPr>
          <w:sz w:val="22"/>
          <w:szCs w:val="22"/>
        </w:rPr>
        <w:t>Kuete</w:t>
      </w:r>
      <w:proofErr w:type="spellEnd"/>
      <w:r w:rsidRPr="00894F4E">
        <w:rPr>
          <w:sz w:val="22"/>
          <w:szCs w:val="22"/>
        </w:rPr>
        <w:t xml:space="preserve"> V. Antibiotic Resistance Profile of </w:t>
      </w:r>
      <w:proofErr w:type="spellStart"/>
      <w:r w:rsidRPr="00894F4E">
        <w:rPr>
          <w:sz w:val="22"/>
          <w:szCs w:val="22"/>
        </w:rPr>
        <w:t>Uropathogenic</w:t>
      </w:r>
      <w:proofErr w:type="spellEnd"/>
      <w:r w:rsidRPr="00894F4E">
        <w:rPr>
          <w:sz w:val="22"/>
          <w:szCs w:val="22"/>
        </w:rPr>
        <w:t xml:space="preserve"> Bacteria in Diabetic Patients at the </w:t>
      </w:r>
      <w:proofErr w:type="spellStart"/>
      <w:r w:rsidRPr="00894F4E">
        <w:rPr>
          <w:sz w:val="22"/>
          <w:szCs w:val="22"/>
        </w:rPr>
        <w:t>Bafoussam</w:t>
      </w:r>
      <w:proofErr w:type="spellEnd"/>
      <w:r w:rsidRPr="00894F4E">
        <w:rPr>
          <w:sz w:val="22"/>
          <w:szCs w:val="22"/>
        </w:rPr>
        <w:t xml:space="preserve"> Regional Hospital, West Cameroon Region. </w:t>
      </w:r>
      <w:proofErr w:type="spellStart"/>
      <w:r w:rsidRPr="00894F4E">
        <w:rPr>
          <w:i/>
          <w:iCs/>
          <w:sz w:val="22"/>
          <w:szCs w:val="22"/>
        </w:rPr>
        <w:t>Cureus</w:t>
      </w:r>
      <w:proofErr w:type="spellEnd"/>
      <w:r w:rsidRPr="00894F4E">
        <w:rPr>
          <w:sz w:val="22"/>
          <w:szCs w:val="22"/>
        </w:rPr>
        <w:t xml:space="preserve"> 2020; </w:t>
      </w:r>
      <w:r w:rsidRPr="00894F4E">
        <w:rPr>
          <w:b/>
          <w:bCs/>
          <w:sz w:val="22"/>
          <w:szCs w:val="22"/>
        </w:rPr>
        <w:t>12</w:t>
      </w:r>
      <w:r w:rsidRPr="00894F4E">
        <w:rPr>
          <w:sz w:val="22"/>
          <w:szCs w:val="22"/>
        </w:rPr>
        <w:t>: e9345.</w:t>
      </w:r>
    </w:p>
    <w:p w14:paraId="40685186"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81</w:t>
      </w:r>
      <w:r w:rsidRPr="00894F4E">
        <w:rPr>
          <w:sz w:val="22"/>
          <w:szCs w:val="22"/>
        </w:rPr>
        <w:tab/>
      </w:r>
      <w:proofErr w:type="spellStart"/>
      <w:r w:rsidRPr="00894F4E">
        <w:rPr>
          <w:sz w:val="22"/>
          <w:szCs w:val="22"/>
        </w:rPr>
        <w:t>Ronconi</w:t>
      </w:r>
      <w:proofErr w:type="spellEnd"/>
      <w:r w:rsidRPr="00894F4E">
        <w:rPr>
          <w:sz w:val="22"/>
          <w:szCs w:val="22"/>
        </w:rPr>
        <w:t xml:space="preserve"> G, </w:t>
      </w:r>
      <w:proofErr w:type="spellStart"/>
      <w:r w:rsidRPr="00894F4E">
        <w:rPr>
          <w:sz w:val="22"/>
          <w:szCs w:val="22"/>
        </w:rPr>
        <w:t>Dondi</w:t>
      </w:r>
      <w:proofErr w:type="spellEnd"/>
      <w:r w:rsidRPr="00894F4E">
        <w:rPr>
          <w:sz w:val="22"/>
          <w:szCs w:val="22"/>
        </w:rPr>
        <w:t xml:space="preserve"> L, Calabria S, </w:t>
      </w:r>
      <w:r w:rsidRPr="00894F4E">
        <w:rPr>
          <w:i/>
          <w:iCs/>
          <w:sz w:val="22"/>
          <w:szCs w:val="22"/>
        </w:rPr>
        <w:t>et al.</w:t>
      </w:r>
      <w:r w:rsidRPr="00894F4E">
        <w:rPr>
          <w:sz w:val="22"/>
          <w:szCs w:val="22"/>
        </w:rPr>
        <w:t xml:space="preserve"> [Community acquired pneumoniae and chronic obstructive pulmonary disease: the RWE analysis of events that required hospitalizations, and healthcare integrated  costs.]. </w:t>
      </w:r>
      <w:proofErr w:type="spellStart"/>
      <w:r w:rsidRPr="00894F4E">
        <w:rPr>
          <w:i/>
          <w:iCs/>
          <w:sz w:val="22"/>
          <w:szCs w:val="22"/>
        </w:rPr>
        <w:t>Recenti</w:t>
      </w:r>
      <w:proofErr w:type="spellEnd"/>
      <w:r w:rsidRPr="00894F4E">
        <w:rPr>
          <w:i/>
          <w:iCs/>
          <w:sz w:val="22"/>
          <w:szCs w:val="22"/>
        </w:rPr>
        <w:t xml:space="preserve"> Prog Med</w:t>
      </w:r>
      <w:r w:rsidRPr="00894F4E">
        <w:rPr>
          <w:sz w:val="22"/>
          <w:szCs w:val="22"/>
        </w:rPr>
        <w:t xml:space="preserve"> 2023; </w:t>
      </w:r>
      <w:r w:rsidRPr="00894F4E">
        <w:rPr>
          <w:b/>
          <w:bCs/>
          <w:sz w:val="22"/>
          <w:szCs w:val="22"/>
        </w:rPr>
        <w:t>118</w:t>
      </w:r>
      <w:r w:rsidRPr="00894F4E">
        <w:rPr>
          <w:sz w:val="22"/>
          <w:szCs w:val="22"/>
        </w:rPr>
        <w:t>: 204–21.</w:t>
      </w:r>
    </w:p>
    <w:p w14:paraId="7D0C5333"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82</w:t>
      </w:r>
      <w:r w:rsidRPr="00894F4E">
        <w:rPr>
          <w:sz w:val="22"/>
          <w:szCs w:val="22"/>
        </w:rPr>
        <w:tab/>
      </w:r>
      <w:proofErr w:type="spellStart"/>
      <w:r w:rsidRPr="00894F4E">
        <w:rPr>
          <w:sz w:val="22"/>
          <w:szCs w:val="22"/>
        </w:rPr>
        <w:t>Sonkoue</w:t>
      </w:r>
      <w:proofErr w:type="spellEnd"/>
      <w:r w:rsidRPr="00894F4E">
        <w:rPr>
          <w:sz w:val="22"/>
          <w:szCs w:val="22"/>
        </w:rPr>
        <w:t xml:space="preserve"> </w:t>
      </w:r>
      <w:proofErr w:type="spellStart"/>
      <w:r w:rsidRPr="00894F4E">
        <w:rPr>
          <w:sz w:val="22"/>
          <w:szCs w:val="22"/>
        </w:rPr>
        <w:t>Lambou</w:t>
      </w:r>
      <w:proofErr w:type="spellEnd"/>
      <w:r w:rsidRPr="00894F4E">
        <w:rPr>
          <w:sz w:val="22"/>
          <w:szCs w:val="22"/>
        </w:rPr>
        <w:t xml:space="preserve"> JC, </w:t>
      </w:r>
      <w:proofErr w:type="spellStart"/>
      <w:r w:rsidRPr="00894F4E">
        <w:rPr>
          <w:sz w:val="22"/>
          <w:szCs w:val="22"/>
        </w:rPr>
        <w:t>Noubom</w:t>
      </w:r>
      <w:proofErr w:type="spellEnd"/>
      <w:r w:rsidRPr="00894F4E">
        <w:rPr>
          <w:sz w:val="22"/>
          <w:szCs w:val="22"/>
        </w:rPr>
        <w:t xml:space="preserve"> M, </w:t>
      </w:r>
      <w:proofErr w:type="spellStart"/>
      <w:r w:rsidRPr="00894F4E">
        <w:rPr>
          <w:sz w:val="22"/>
          <w:szCs w:val="22"/>
        </w:rPr>
        <w:t>Djoumsie</w:t>
      </w:r>
      <w:proofErr w:type="spellEnd"/>
      <w:r w:rsidRPr="00894F4E">
        <w:rPr>
          <w:sz w:val="22"/>
          <w:szCs w:val="22"/>
        </w:rPr>
        <w:t xml:space="preserve"> </w:t>
      </w:r>
      <w:proofErr w:type="spellStart"/>
      <w:r w:rsidRPr="00894F4E">
        <w:rPr>
          <w:sz w:val="22"/>
          <w:szCs w:val="22"/>
        </w:rPr>
        <w:t>Gomseu</w:t>
      </w:r>
      <w:proofErr w:type="spellEnd"/>
      <w:r w:rsidRPr="00894F4E">
        <w:rPr>
          <w:sz w:val="22"/>
          <w:szCs w:val="22"/>
        </w:rPr>
        <w:t xml:space="preserve"> BE, </w:t>
      </w:r>
      <w:proofErr w:type="spellStart"/>
      <w:r w:rsidRPr="00894F4E">
        <w:rPr>
          <w:sz w:val="22"/>
          <w:szCs w:val="22"/>
        </w:rPr>
        <w:t>Takougoum</w:t>
      </w:r>
      <w:proofErr w:type="spellEnd"/>
      <w:r w:rsidRPr="00894F4E">
        <w:rPr>
          <w:sz w:val="22"/>
          <w:szCs w:val="22"/>
        </w:rPr>
        <w:t xml:space="preserve"> </w:t>
      </w:r>
      <w:proofErr w:type="spellStart"/>
      <w:r w:rsidRPr="00894F4E">
        <w:rPr>
          <w:sz w:val="22"/>
          <w:szCs w:val="22"/>
        </w:rPr>
        <w:t>Marbou</w:t>
      </w:r>
      <w:proofErr w:type="spellEnd"/>
      <w:r w:rsidRPr="00894F4E">
        <w:rPr>
          <w:sz w:val="22"/>
          <w:szCs w:val="22"/>
        </w:rPr>
        <w:t xml:space="preserve"> WJ, </w:t>
      </w:r>
      <w:proofErr w:type="spellStart"/>
      <w:r w:rsidRPr="00894F4E">
        <w:rPr>
          <w:sz w:val="22"/>
          <w:szCs w:val="22"/>
        </w:rPr>
        <w:t>Tamokou</w:t>
      </w:r>
      <w:proofErr w:type="spellEnd"/>
      <w:r w:rsidRPr="00894F4E">
        <w:rPr>
          <w:sz w:val="22"/>
          <w:szCs w:val="22"/>
        </w:rPr>
        <w:t xml:space="preserve"> J-D-D, </w:t>
      </w:r>
      <w:proofErr w:type="spellStart"/>
      <w:r w:rsidRPr="00894F4E">
        <w:rPr>
          <w:sz w:val="22"/>
          <w:szCs w:val="22"/>
        </w:rPr>
        <w:t>Gatsing</w:t>
      </w:r>
      <w:proofErr w:type="spellEnd"/>
      <w:r w:rsidRPr="00894F4E">
        <w:rPr>
          <w:sz w:val="22"/>
          <w:szCs w:val="22"/>
        </w:rPr>
        <w:t xml:space="preserve"> D. Multidrug-Resistant Escherichia coli Causing Urinary Tract Infections among Controlled and Uncontrolled Type 2 Diabetic Patients at </w:t>
      </w:r>
      <w:proofErr w:type="spellStart"/>
      <w:r w:rsidRPr="00894F4E">
        <w:rPr>
          <w:sz w:val="22"/>
          <w:szCs w:val="22"/>
        </w:rPr>
        <w:t>Laquintinie</w:t>
      </w:r>
      <w:proofErr w:type="spellEnd"/>
      <w:r w:rsidRPr="00894F4E">
        <w:rPr>
          <w:sz w:val="22"/>
          <w:szCs w:val="22"/>
        </w:rPr>
        <w:t xml:space="preserve"> Hospital in  Douala, Cameroon. </w:t>
      </w:r>
      <w:r w:rsidRPr="00894F4E">
        <w:rPr>
          <w:i/>
          <w:iCs/>
          <w:sz w:val="22"/>
          <w:szCs w:val="22"/>
        </w:rPr>
        <w:t xml:space="preserve">Can J Infect Dis Med </w:t>
      </w:r>
      <w:proofErr w:type="spellStart"/>
      <w:r w:rsidRPr="00894F4E">
        <w:rPr>
          <w:i/>
          <w:iCs/>
          <w:sz w:val="22"/>
          <w:szCs w:val="22"/>
        </w:rPr>
        <w:t>Microbiol</w:t>
      </w:r>
      <w:proofErr w:type="spellEnd"/>
      <w:r w:rsidRPr="00894F4E">
        <w:rPr>
          <w:sz w:val="22"/>
          <w:szCs w:val="22"/>
        </w:rPr>
        <w:t xml:space="preserve"> 2022; </w:t>
      </w:r>
      <w:r w:rsidRPr="00894F4E">
        <w:rPr>
          <w:b/>
          <w:bCs/>
          <w:sz w:val="22"/>
          <w:szCs w:val="22"/>
        </w:rPr>
        <w:t>2022</w:t>
      </w:r>
      <w:r w:rsidRPr="00894F4E">
        <w:rPr>
          <w:sz w:val="22"/>
          <w:szCs w:val="22"/>
        </w:rPr>
        <w:t>: 1250264.</w:t>
      </w:r>
    </w:p>
    <w:p w14:paraId="5CE0BD58"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83</w:t>
      </w:r>
      <w:r w:rsidRPr="00894F4E">
        <w:rPr>
          <w:sz w:val="22"/>
          <w:szCs w:val="22"/>
        </w:rPr>
        <w:tab/>
      </w:r>
      <w:proofErr w:type="spellStart"/>
      <w:r w:rsidRPr="00894F4E">
        <w:rPr>
          <w:sz w:val="22"/>
          <w:szCs w:val="22"/>
        </w:rPr>
        <w:t>Nanayakkara</w:t>
      </w:r>
      <w:proofErr w:type="spellEnd"/>
      <w:r w:rsidRPr="00894F4E">
        <w:rPr>
          <w:sz w:val="22"/>
          <w:szCs w:val="22"/>
        </w:rPr>
        <w:t xml:space="preserve"> AK, Boucher HW, Fowler VGJ, </w:t>
      </w:r>
      <w:proofErr w:type="spellStart"/>
      <w:r w:rsidRPr="00894F4E">
        <w:rPr>
          <w:sz w:val="22"/>
          <w:szCs w:val="22"/>
        </w:rPr>
        <w:t>Jezek</w:t>
      </w:r>
      <w:proofErr w:type="spellEnd"/>
      <w:r w:rsidRPr="00894F4E">
        <w:rPr>
          <w:sz w:val="22"/>
          <w:szCs w:val="22"/>
        </w:rPr>
        <w:t xml:space="preserve"> A, Outterson K, Greenberg DE. Antibiotic resistance in the patient with cancer: Escalating challenges and paths forward. </w:t>
      </w:r>
      <w:r w:rsidRPr="00894F4E">
        <w:rPr>
          <w:i/>
          <w:iCs/>
          <w:sz w:val="22"/>
          <w:szCs w:val="22"/>
        </w:rPr>
        <w:t>CA Cancer J Clin</w:t>
      </w:r>
      <w:r w:rsidRPr="00894F4E">
        <w:rPr>
          <w:sz w:val="22"/>
          <w:szCs w:val="22"/>
        </w:rPr>
        <w:t xml:space="preserve"> 2021; </w:t>
      </w:r>
      <w:r w:rsidRPr="00894F4E">
        <w:rPr>
          <w:b/>
          <w:bCs/>
          <w:sz w:val="22"/>
          <w:szCs w:val="22"/>
        </w:rPr>
        <w:t>71</w:t>
      </w:r>
      <w:r w:rsidRPr="00894F4E">
        <w:rPr>
          <w:sz w:val="22"/>
          <w:szCs w:val="22"/>
        </w:rPr>
        <w:t>: 488–504.</w:t>
      </w:r>
    </w:p>
    <w:p w14:paraId="34CCAF83"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84</w:t>
      </w:r>
      <w:r w:rsidRPr="00894F4E">
        <w:rPr>
          <w:sz w:val="22"/>
          <w:szCs w:val="22"/>
        </w:rPr>
        <w:tab/>
        <w:t>AMR Control. AMR Control Supplement: The Challenge for the Cancer Community. 2022 http://resistancecontrol.info/amr2022/ (accessed Nov 24, 2023).</w:t>
      </w:r>
    </w:p>
    <w:p w14:paraId="2B760690"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85</w:t>
      </w:r>
      <w:r w:rsidRPr="00894F4E">
        <w:rPr>
          <w:sz w:val="22"/>
          <w:szCs w:val="22"/>
        </w:rPr>
        <w:tab/>
        <w:t xml:space="preserve">Zheng Y, Chen Y, Yu K, </w:t>
      </w:r>
      <w:r w:rsidRPr="00894F4E">
        <w:rPr>
          <w:i/>
          <w:iCs/>
          <w:sz w:val="22"/>
          <w:szCs w:val="22"/>
        </w:rPr>
        <w:t>et al.</w:t>
      </w:r>
      <w:r w:rsidRPr="00894F4E">
        <w:rPr>
          <w:sz w:val="22"/>
          <w:szCs w:val="22"/>
        </w:rPr>
        <w:t xml:space="preserve"> Fatal infections among cancer patients: a population-based study in the United States. </w:t>
      </w:r>
      <w:r w:rsidRPr="00894F4E">
        <w:rPr>
          <w:i/>
          <w:iCs/>
          <w:sz w:val="22"/>
          <w:szCs w:val="22"/>
        </w:rPr>
        <w:t>Infectious diseases and therapy</w:t>
      </w:r>
      <w:r w:rsidRPr="00894F4E">
        <w:rPr>
          <w:sz w:val="22"/>
          <w:szCs w:val="22"/>
        </w:rPr>
        <w:t xml:space="preserve"> 2021; </w:t>
      </w:r>
      <w:r w:rsidRPr="00894F4E">
        <w:rPr>
          <w:b/>
          <w:bCs/>
          <w:sz w:val="22"/>
          <w:szCs w:val="22"/>
        </w:rPr>
        <w:t>10</w:t>
      </w:r>
      <w:r w:rsidRPr="00894F4E">
        <w:rPr>
          <w:sz w:val="22"/>
          <w:szCs w:val="22"/>
        </w:rPr>
        <w:t>: 871–95.</w:t>
      </w:r>
    </w:p>
    <w:p w14:paraId="69E69136"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86</w:t>
      </w:r>
      <w:r w:rsidRPr="00894F4E">
        <w:rPr>
          <w:sz w:val="22"/>
          <w:szCs w:val="22"/>
        </w:rPr>
        <w:tab/>
        <w:t xml:space="preserve">Barrios CH. Global challenges in breast cancer detection and treatment. </w:t>
      </w:r>
      <w:r w:rsidRPr="00894F4E">
        <w:rPr>
          <w:i/>
          <w:iCs/>
          <w:sz w:val="22"/>
          <w:szCs w:val="22"/>
        </w:rPr>
        <w:t>The Breast</w:t>
      </w:r>
      <w:r w:rsidRPr="00894F4E">
        <w:rPr>
          <w:sz w:val="22"/>
          <w:szCs w:val="22"/>
        </w:rPr>
        <w:t xml:space="preserve"> 2022; </w:t>
      </w:r>
      <w:r w:rsidRPr="00894F4E">
        <w:rPr>
          <w:b/>
          <w:bCs/>
          <w:sz w:val="22"/>
          <w:szCs w:val="22"/>
        </w:rPr>
        <w:t>62</w:t>
      </w:r>
      <w:r w:rsidRPr="00894F4E">
        <w:rPr>
          <w:sz w:val="22"/>
          <w:szCs w:val="22"/>
        </w:rPr>
        <w:t>: S3–6.</w:t>
      </w:r>
    </w:p>
    <w:p w14:paraId="4D5DA8B9"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87</w:t>
      </w:r>
      <w:r w:rsidRPr="00894F4E">
        <w:rPr>
          <w:sz w:val="22"/>
          <w:szCs w:val="22"/>
        </w:rPr>
        <w:tab/>
        <w:t xml:space="preserve">Cornejo-Juárez P, </w:t>
      </w:r>
      <w:proofErr w:type="spellStart"/>
      <w:r w:rsidRPr="00894F4E">
        <w:rPr>
          <w:sz w:val="22"/>
          <w:szCs w:val="22"/>
        </w:rPr>
        <w:t>Vilar-Compte</w:t>
      </w:r>
      <w:proofErr w:type="spellEnd"/>
      <w:r w:rsidRPr="00894F4E">
        <w:rPr>
          <w:sz w:val="22"/>
          <w:szCs w:val="22"/>
        </w:rPr>
        <w:t xml:space="preserve"> D, Pérez-Jiménez C, </w:t>
      </w:r>
      <w:proofErr w:type="spellStart"/>
      <w:r w:rsidRPr="00894F4E">
        <w:rPr>
          <w:sz w:val="22"/>
          <w:szCs w:val="22"/>
        </w:rPr>
        <w:t>Ñamendys</w:t>
      </w:r>
      <w:proofErr w:type="spellEnd"/>
      <w:r w:rsidRPr="00894F4E">
        <w:rPr>
          <w:sz w:val="22"/>
          <w:szCs w:val="22"/>
        </w:rPr>
        <w:t xml:space="preserve">-Silva S, Sandoval-Hernández S, Volkow-Fernández P. The impact of hospital-acquired infections with multidrug-resistant bacteria in an oncology intensive care unit. </w:t>
      </w:r>
      <w:r w:rsidRPr="00894F4E">
        <w:rPr>
          <w:i/>
          <w:iCs/>
          <w:sz w:val="22"/>
          <w:szCs w:val="22"/>
        </w:rPr>
        <w:t>International Journal of Infectious Diseases</w:t>
      </w:r>
      <w:r w:rsidRPr="00894F4E">
        <w:rPr>
          <w:sz w:val="22"/>
          <w:szCs w:val="22"/>
        </w:rPr>
        <w:t xml:space="preserve"> 2015; </w:t>
      </w:r>
      <w:r w:rsidRPr="00894F4E">
        <w:rPr>
          <w:b/>
          <w:bCs/>
          <w:sz w:val="22"/>
          <w:szCs w:val="22"/>
        </w:rPr>
        <w:t>31</w:t>
      </w:r>
      <w:r w:rsidRPr="00894F4E">
        <w:rPr>
          <w:sz w:val="22"/>
          <w:szCs w:val="22"/>
        </w:rPr>
        <w:t>: 31–4.</w:t>
      </w:r>
    </w:p>
    <w:p w14:paraId="1D1E8E76"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lastRenderedPageBreak/>
        <w:t>88</w:t>
      </w:r>
      <w:r w:rsidRPr="00894F4E">
        <w:rPr>
          <w:sz w:val="22"/>
          <w:szCs w:val="22"/>
        </w:rPr>
        <w:tab/>
      </w:r>
      <w:proofErr w:type="spellStart"/>
      <w:r w:rsidRPr="00894F4E">
        <w:rPr>
          <w:sz w:val="22"/>
          <w:szCs w:val="22"/>
        </w:rPr>
        <w:t>Bodro</w:t>
      </w:r>
      <w:proofErr w:type="spellEnd"/>
      <w:r w:rsidRPr="00894F4E">
        <w:rPr>
          <w:sz w:val="22"/>
          <w:szCs w:val="22"/>
        </w:rPr>
        <w:t xml:space="preserve"> M, </w:t>
      </w:r>
      <w:proofErr w:type="spellStart"/>
      <w:r w:rsidRPr="00894F4E">
        <w:rPr>
          <w:sz w:val="22"/>
          <w:szCs w:val="22"/>
        </w:rPr>
        <w:t>Gudiol</w:t>
      </w:r>
      <w:proofErr w:type="spellEnd"/>
      <w:r w:rsidRPr="00894F4E">
        <w:rPr>
          <w:sz w:val="22"/>
          <w:szCs w:val="22"/>
        </w:rPr>
        <w:t xml:space="preserve"> C, Garcia-Vidal C, </w:t>
      </w:r>
      <w:r w:rsidRPr="00894F4E">
        <w:rPr>
          <w:i/>
          <w:iCs/>
          <w:sz w:val="22"/>
          <w:szCs w:val="22"/>
        </w:rPr>
        <w:t>et al.</w:t>
      </w:r>
      <w:r w:rsidRPr="00894F4E">
        <w:rPr>
          <w:sz w:val="22"/>
          <w:szCs w:val="22"/>
        </w:rPr>
        <w:t xml:space="preserve"> Epidemiology, antibiotic therapy and outcomes of bacteremia caused by drug-resistant ESKAPE pathogens in cancer patients. </w:t>
      </w:r>
      <w:r w:rsidRPr="00894F4E">
        <w:rPr>
          <w:i/>
          <w:iCs/>
          <w:sz w:val="22"/>
          <w:szCs w:val="22"/>
        </w:rPr>
        <w:t>Supportive Care in Cancer</w:t>
      </w:r>
      <w:r w:rsidRPr="00894F4E">
        <w:rPr>
          <w:sz w:val="22"/>
          <w:szCs w:val="22"/>
        </w:rPr>
        <w:t xml:space="preserve"> 2014; </w:t>
      </w:r>
      <w:r w:rsidRPr="00894F4E">
        <w:rPr>
          <w:b/>
          <w:bCs/>
          <w:sz w:val="22"/>
          <w:szCs w:val="22"/>
        </w:rPr>
        <w:t>22</w:t>
      </w:r>
      <w:r w:rsidRPr="00894F4E">
        <w:rPr>
          <w:sz w:val="22"/>
          <w:szCs w:val="22"/>
        </w:rPr>
        <w:t>: 603–10.</w:t>
      </w:r>
    </w:p>
    <w:p w14:paraId="384C02C2"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89</w:t>
      </w:r>
      <w:r w:rsidRPr="00894F4E">
        <w:rPr>
          <w:sz w:val="22"/>
          <w:szCs w:val="22"/>
        </w:rPr>
        <w:tab/>
      </w:r>
      <w:proofErr w:type="spellStart"/>
      <w:r w:rsidRPr="00894F4E">
        <w:rPr>
          <w:sz w:val="22"/>
          <w:szCs w:val="22"/>
        </w:rPr>
        <w:t>Scheich</w:t>
      </w:r>
      <w:proofErr w:type="spellEnd"/>
      <w:r w:rsidRPr="00894F4E">
        <w:rPr>
          <w:sz w:val="22"/>
          <w:szCs w:val="22"/>
        </w:rPr>
        <w:t xml:space="preserve"> S, Weber S, </w:t>
      </w:r>
      <w:proofErr w:type="spellStart"/>
      <w:r w:rsidRPr="00894F4E">
        <w:rPr>
          <w:sz w:val="22"/>
          <w:szCs w:val="22"/>
        </w:rPr>
        <w:t>Reinheimer</w:t>
      </w:r>
      <w:proofErr w:type="spellEnd"/>
      <w:r w:rsidRPr="00894F4E">
        <w:rPr>
          <w:sz w:val="22"/>
          <w:szCs w:val="22"/>
        </w:rPr>
        <w:t xml:space="preserve"> C, </w:t>
      </w:r>
      <w:r w:rsidRPr="00894F4E">
        <w:rPr>
          <w:i/>
          <w:iCs/>
          <w:sz w:val="22"/>
          <w:szCs w:val="22"/>
        </w:rPr>
        <w:t>et al.</w:t>
      </w:r>
      <w:r w:rsidRPr="00894F4E">
        <w:rPr>
          <w:sz w:val="22"/>
          <w:szCs w:val="22"/>
        </w:rPr>
        <w:t xml:space="preserve"> Bloodstream infections with gram-negative organisms and the impact of multidrug resistance in patients with hematological malignancies. </w:t>
      </w:r>
      <w:r w:rsidRPr="00894F4E">
        <w:rPr>
          <w:i/>
          <w:iCs/>
          <w:sz w:val="22"/>
          <w:szCs w:val="22"/>
        </w:rPr>
        <w:t>Annals of hematology</w:t>
      </w:r>
      <w:r w:rsidRPr="00894F4E">
        <w:rPr>
          <w:sz w:val="22"/>
          <w:szCs w:val="22"/>
        </w:rPr>
        <w:t xml:space="preserve"> 2018; </w:t>
      </w:r>
      <w:r w:rsidRPr="00894F4E">
        <w:rPr>
          <w:b/>
          <w:bCs/>
          <w:sz w:val="22"/>
          <w:szCs w:val="22"/>
        </w:rPr>
        <w:t>97</w:t>
      </w:r>
      <w:r w:rsidRPr="00894F4E">
        <w:rPr>
          <w:sz w:val="22"/>
          <w:szCs w:val="22"/>
        </w:rPr>
        <w:t>: 2225–34.</w:t>
      </w:r>
    </w:p>
    <w:p w14:paraId="5712A7AA"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90</w:t>
      </w:r>
      <w:r w:rsidRPr="00894F4E">
        <w:rPr>
          <w:sz w:val="22"/>
          <w:szCs w:val="22"/>
        </w:rPr>
        <w:tab/>
        <w:t xml:space="preserve">Tang Y, Xu C, Xiao H, Wang L, Cheng Q, Li X. Gram-negative bacteria bloodstream infections in patients with hematological malignancies–the impact of pathogen type and patterns of antibiotic resistance: a Retrospective Cohort Study. </w:t>
      </w:r>
      <w:r w:rsidRPr="00894F4E">
        <w:rPr>
          <w:i/>
          <w:iCs/>
          <w:sz w:val="22"/>
          <w:szCs w:val="22"/>
        </w:rPr>
        <w:t>Infection and Drug Resistance</w:t>
      </w:r>
      <w:r w:rsidRPr="00894F4E">
        <w:rPr>
          <w:sz w:val="22"/>
          <w:szCs w:val="22"/>
        </w:rPr>
        <w:t xml:space="preserve"> 2021; : 3115–24.</w:t>
      </w:r>
    </w:p>
    <w:p w14:paraId="01B700C6"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91</w:t>
      </w:r>
      <w:r w:rsidRPr="00894F4E">
        <w:rPr>
          <w:sz w:val="22"/>
          <w:szCs w:val="22"/>
        </w:rPr>
        <w:tab/>
      </w:r>
      <w:proofErr w:type="spellStart"/>
      <w:r w:rsidRPr="00894F4E">
        <w:rPr>
          <w:sz w:val="22"/>
          <w:szCs w:val="22"/>
        </w:rPr>
        <w:t>Teillant</w:t>
      </w:r>
      <w:proofErr w:type="spellEnd"/>
      <w:r w:rsidRPr="00894F4E">
        <w:rPr>
          <w:sz w:val="22"/>
          <w:szCs w:val="22"/>
        </w:rPr>
        <w:t xml:space="preserve"> A, </w:t>
      </w:r>
      <w:proofErr w:type="spellStart"/>
      <w:r w:rsidRPr="00894F4E">
        <w:rPr>
          <w:sz w:val="22"/>
          <w:szCs w:val="22"/>
        </w:rPr>
        <w:t>Gandra</w:t>
      </w:r>
      <w:proofErr w:type="spellEnd"/>
      <w:r w:rsidRPr="00894F4E">
        <w:rPr>
          <w:sz w:val="22"/>
          <w:szCs w:val="22"/>
        </w:rPr>
        <w:t xml:space="preserve"> S, Barter D, Morgan D, Laxminarayan R. Potential burden of antibiotic resistance on surgery and cancer chemotherapy antibiotic prophylaxis in the USA: a literature review and modelling study. </w:t>
      </w:r>
      <w:r w:rsidRPr="00894F4E">
        <w:rPr>
          <w:i/>
          <w:iCs/>
          <w:sz w:val="22"/>
          <w:szCs w:val="22"/>
        </w:rPr>
        <w:t>Lancet Infectious Diseases</w:t>
      </w:r>
      <w:r w:rsidRPr="00894F4E">
        <w:rPr>
          <w:sz w:val="22"/>
          <w:szCs w:val="22"/>
        </w:rPr>
        <w:t xml:space="preserve"> 2015; </w:t>
      </w:r>
      <w:r w:rsidRPr="00894F4E">
        <w:rPr>
          <w:b/>
          <w:bCs/>
          <w:sz w:val="22"/>
          <w:szCs w:val="22"/>
        </w:rPr>
        <w:t>15</w:t>
      </w:r>
      <w:r w:rsidRPr="00894F4E">
        <w:rPr>
          <w:sz w:val="22"/>
          <w:szCs w:val="22"/>
        </w:rPr>
        <w:t>: 1429–37.</w:t>
      </w:r>
    </w:p>
    <w:p w14:paraId="64A56180"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92</w:t>
      </w:r>
      <w:r w:rsidRPr="00894F4E">
        <w:rPr>
          <w:sz w:val="22"/>
          <w:szCs w:val="22"/>
        </w:rPr>
        <w:tab/>
      </w:r>
      <w:proofErr w:type="spellStart"/>
      <w:r w:rsidRPr="00894F4E">
        <w:rPr>
          <w:sz w:val="22"/>
          <w:szCs w:val="22"/>
        </w:rPr>
        <w:t>Gandra</w:t>
      </w:r>
      <w:proofErr w:type="spellEnd"/>
      <w:r w:rsidRPr="00894F4E">
        <w:rPr>
          <w:sz w:val="22"/>
          <w:szCs w:val="22"/>
        </w:rPr>
        <w:t xml:space="preserve"> S, </w:t>
      </w:r>
      <w:proofErr w:type="spellStart"/>
      <w:r w:rsidRPr="00894F4E">
        <w:rPr>
          <w:sz w:val="22"/>
          <w:szCs w:val="22"/>
        </w:rPr>
        <w:t>Trett</w:t>
      </w:r>
      <w:proofErr w:type="spellEnd"/>
      <w:r w:rsidRPr="00894F4E">
        <w:rPr>
          <w:sz w:val="22"/>
          <w:szCs w:val="22"/>
        </w:rPr>
        <w:t xml:space="preserve"> A, Alvarez-Uria G, </w:t>
      </w:r>
      <w:proofErr w:type="spellStart"/>
      <w:r w:rsidRPr="00894F4E">
        <w:rPr>
          <w:sz w:val="22"/>
          <w:szCs w:val="22"/>
        </w:rPr>
        <w:t>Solomkin</w:t>
      </w:r>
      <w:proofErr w:type="spellEnd"/>
      <w:r w:rsidRPr="00894F4E">
        <w:rPr>
          <w:sz w:val="22"/>
          <w:szCs w:val="22"/>
        </w:rPr>
        <w:t xml:space="preserve"> JS, Laxminarayan R. Is the efficacy of antibiotic prophylaxis for surgical procedures decreasing? Systematic review and meta-analysis of randomized control trials. </w:t>
      </w:r>
      <w:r w:rsidRPr="00894F4E">
        <w:rPr>
          <w:i/>
          <w:iCs/>
          <w:sz w:val="22"/>
          <w:szCs w:val="22"/>
        </w:rPr>
        <w:t>Infection Control &amp; Hospital Epidemiology</w:t>
      </w:r>
      <w:r w:rsidRPr="00894F4E">
        <w:rPr>
          <w:sz w:val="22"/>
          <w:szCs w:val="22"/>
        </w:rPr>
        <w:t xml:space="preserve"> 2019; </w:t>
      </w:r>
      <w:r w:rsidRPr="00894F4E">
        <w:rPr>
          <w:b/>
          <w:bCs/>
          <w:sz w:val="22"/>
          <w:szCs w:val="22"/>
        </w:rPr>
        <w:t>40</w:t>
      </w:r>
      <w:r w:rsidRPr="00894F4E">
        <w:rPr>
          <w:sz w:val="22"/>
          <w:szCs w:val="22"/>
        </w:rPr>
        <w:t>: 133–41.</w:t>
      </w:r>
    </w:p>
    <w:p w14:paraId="379A66D6"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93</w:t>
      </w:r>
      <w:r w:rsidRPr="00894F4E">
        <w:rPr>
          <w:sz w:val="22"/>
          <w:szCs w:val="22"/>
        </w:rPr>
        <w:tab/>
        <w:t xml:space="preserve">Yang X, Chen H, Zheng Y, Qu S, Wang H, Yi F. Disease burden and long-term trends of urinary tract infections: A worldwide report. </w:t>
      </w:r>
      <w:r w:rsidRPr="00894F4E">
        <w:rPr>
          <w:i/>
          <w:iCs/>
          <w:sz w:val="22"/>
          <w:szCs w:val="22"/>
        </w:rPr>
        <w:t>Frontiers in Public Health</w:t>
      </w:r>
      <w:r w:rsidRPr="00894F4E">
        <w:rPr>
          <w:sz w:val="22"/>
          <w:szCs w:val="22"/>
        </w:rPr>
        <w:t xml:space="preserve"> 2022; </w:t>
      </w:r>
      <w:r w:rsidRPr="00894F4E">
        <w:rPr>
          <w:b/>
          <w:bCs/>
          <w:sz w:val="22"/>
          <w:szCs w:val="22"/>
        </w:rPr>
        <w:t>10</w:t>
      </w:r>
      <w:r w:rsidRPr="00894F4E">
        <w:rPr>
          <w:sz w:val="22"/>
          <w:szCs w:val="22"/>
        </w:rPr>
        <w:t>: 888205.</w:t>
      </w:r>
    </w:p>
    <w:p w14:paraId="3967E979"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94</w:t>
      </w:r>
      <w:r w:rsidRPr="00894F4E">
        <w:rPr>
          <w:sz w:val="22"/>
          <w:szCs w:val="22"/>
        </w:rPr>
        <w:tab/>
      </w:r>
      <w:proofErr w:type="spellStart"/>
      <w:r w:rsidRPr="00894F4E">
        <w:rPr>
          <w:sz w:val="22"/>
          <w:szCs w:val="22"/>
        </w:rPr>
        <w:t>Ansaldi</w:t>
      </w:r>
      <w:proofErr w:type="spellEnd"/>
      <w:r w:rsidRPr="00894F4E">
        <w:rPr>
          <w:sz w:val="22"/>
          <w:szCs w:val="22"/>
        </w:rPr>
        <w:t xml:space="preserve"> Y, de Tejada Weber BM. Urinary tract infections in pregnancy. </w:t>
      </w:r>
      <w:r w:rsidRPr="00894F4E">
        <w:rPr>
          <w:i/>
          <w:iCs/>
          <w:sz w:val="22"/>
          <w:szCs w:val="22"/>
        </w:rPr>
        <w:t>Clinical microbiology and infection</w:t>
      </w:r>
      <w:r w:rsidRPr="00894F4E">
        <w:rPr>
          <w:sz w:val="22"/>
          <w:szCs w:val="22"/>
        </w:rPr>
        <w:t xml:space="preserve"> 2022.</w:t>
      </w:r>
    </w:p>
    <w:p w14:paraId="6274969B"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95</w:t>
      </w:r>
      <w:r w:rsidRPr="00894F4E">
        <w:rPr>
          <w:sz w:val="22"/>
          <w:szCs w:val="22"/>
        </w:rPr>
        <w:tab/>
        <w:t xml:space="preserve">Foxman B, Manning SD, Tallman P, </w:t>
      </w:r>
      <w:r w:rsidRPr="00894F4E">
        <w:rPr>
          <w:i/>
          <w:iCs/>
          <w:sz w:val="22"/>
          <w:szCs w:val="22"/>
        </w:rPr>
        <w:t>et al.</w:t>
      </w:r>
      <w:r w:rsidRPr="00894F4E">
        <w:rPr>
          <w:sz w:val="22"/>
          <w:szCs w:val="22"/>
        </w:rPr>
        <w:t xml:space="preserve"> </w:t>
      </w:r>
      <w:proofErr w:type="spellStart"/>
      <w:r w:rsidRPr="00894F4E">
        <w:rPr>
          <w:sz w:val="22"/>
          <w:szCs w:val="22"/>
        </w:rPr>
        <w:t>Uropathogenic</w:t>
      </w:r>
      <w:proofErr w:type="spellEnd"/>
      <w:r w:rsidRPr="00894F4E">
        <w:rPr>
          <w:sz w:val="22"/>
          <w:szCs w:val="22"/>
        </w:rPr>
        <w:t xml:space="preserve"> Escherichia coli are more likely than commensal E. coli to be shared between heterosexual sex partners. </w:t>
      </w:r>
      <w:r w:rsidRPr="00894F4E">
        <w:rPr>
          <w:i/>
          <w:iCs/>
          <w:sz w:val="22"/>
          <w:szCs w:val="22"/>
        </w:rPr>
        <w:t>American journal of epidemiology</w:t>
      </w:r>
      <w:r w:rsidRPr="00894F4E">
        <w:rPr>
          <w:sz w:val="22"/>
          <w:szCs w:val="22"/>
        </w:rPr>
        <w:t xml:space="preserve"> 2002; </w:t>
      </w:r>
      <w:r w:rsidRPr="00894F4E">
        <w:rPr>
          <w:b/>
          <w:bCs/>
          <w:sz w:val="22"/>
          <w:szCs w:val="22"/>
        </w:rPr>
        <w:t>156</w:t>
      </w:r>
      <w:r w:rsidRPr="00894F4E">
        <w:rPr>
          <w:sz w:val="22"/>
          <w:szCs w:val="22"/>
        </w:rPr>
        <w:t>: 1133–40.</w:t>
      </w:r>
    </w:p>
    <w:p w14:paraId="2DC2955F"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96</w:t>
      </w:r>
      <w:r w:rsidRPr="00894F4E">
        <w:rPr>
          <w:sz w:val="22"/>
          <w:szCs w:val="22"/>
        </w:rPr>
        <w:tab/>
        <w:t xml:space="preserve">Flores-Mireles AL, Walker JN, </w:t>
      </w:r>
      <w:proofErr w:type="spellStart"/>
      <w:r w:rsidRPr="00894F4E">
        <w:rPr>
          <w:sz w:val="22"/>
          <w:szCs w:val="22"/>
        </w:rPr>
        <w:t>Caparon</w:t>
      </w:r>
      <w:proofErr w:type="spellEnd"/>
      <w:r w:rsidRPr="00894F4E">
        <w:rPr>
          <w:sz w:val="22"/>
          <w:szCs w:val="22"/>
        </w:rPr>
        <w:t xml:space="preserve"> M, Hultgren SJ. Urinary tract infections: epidemiology, mechanisms of infection and treatment options. </w:t>
      </w:r>
      <w:r w:rsidRPr="00894F4E">
        <w:rPr>
          <w:i/>
          <w:iCs/>
          <w:sz w:val="22"/>
          <w:szCs w:val="22"/>
        </w:rPr>
        <w:t>Nature reviews microbiology</w:t>
      </w:r>
      <w:r w:rsidRPr="00894F4E">
        <w:rPr>
          <w:sz w:val="22"/>
          <w:szCs w:val="22"/>
        </w:rPr>
        <w:t xml:space="preserve"> 2015; </w:t>
      </w:r>
      <w:r w:rsidRPr="00894F4E">
        <w:rPr>
          <w:b/>
          <w:bCs/>
          <w:sz w:val="22"/>
          <w:szCs w:val="22"/>
        </w:rPr>
        <w:t>13</w:t>
      </w:r>
      <w:r w:rsidRPr="00894F4E">
        <w:rPr>
          <w:sz w:val="22"/>
          <w:szCs w:val="22"/>
        </w:rPr>
        <w:t>: 269–84.</w:t>
      </w:r>
    </w:p>
    <w:p w14:paraId="1CE927EB"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97</w:t>
      </w:r>
      <w:r w:rsidRPr="00894F4E">
        <w:rPr>
          <w:sz w:val="22"/>
          <w:szCs w:val="22"/>
        </w:rPr>
        <w:tab/>
      </w:r>
      <w:proofErr w:type="spellStart"/>
      <w:r w:rsidRPr="00894F4E">
        <w:rPr>
          <w:sz w:val="22"/>
          <w:szCs w:val="22"/>
        </w:rPr>
        <w:t>Gibreel</w:t>
      </w:r>
      <w:proofErr w:type="spellEnd"/>
      <w:r w:rsidRPr="00894F4E">
        <w:rPr>
          <w:sz w:val="22"/>
          <w:szCs w:val="22"/>
        </w:rPr>
        <w:t xml:space="preserve"> TM, Dodgson AR, </w:t>
      </w:r>
      <w:proofErr w:type="spellStart"/>
      <w:r w:rsidRPr="00894F4E">
        <w:rPr>
          <w:sz w:val="22"/>
          <w:szCs w:val="22"/>
        </w:rPr>
        <w:t>Cheesbrough</w:t>
      </w:r>
      <w:proofErr w:type="spellEnd"/>
      <w:r w:rsidRPr="00894F4E">
        <w:rPr>
          <w:sz w:val="22"/>
          <w:szCs w:val="22"/>
        </w:rPr>
        <w:t xml:space="preserve"> J, Fox AJ, Bolton FJ, Upton M. Population structure, virulence potential and antibiotic susceptibility of </w:t>
      </w:r>
      <w:proofErr w:type="spellStart"/>
      <w:r w:rsidRPr="00894F4E">
        <w:rPr>
          <w:sz w:val="22"/>
          <w:szCs w:val="22"/>
        </w:rPr>
        <w:t>uropathogenic</w:t>
      </w:r>
      <w:proofErr w:type="spellEnd"/>
      <w:r w:rsidRPr="00894F4E">
        <w:rPr>
          <w:sz w:val="22"/>
          <w:szCs w:val="22"/>
        </w:rPr>
        <w:t xml:space="preserve"> Escherichia coli from Northwest England. </w:t>
      </w:r>
      <w:r w:rsidRPr="00894F4E">
        <w:rPr>
          <w:i/>
          <w:iCs/>
          <w:sz w:val="22"/>
          <w:szCs w:val="22"/>
        </w:rPr>
        <w:t>Journal of Antimicrobial Chemotherapy</w:t>
      </w:r>
      <w:r w:rsidRPr="00894F4E">
        <w:rPr>
          <w:sz w:val="22"/>
          <w:szCs w:val="22"/>
        </w:rPr>
        <w:t xml:space="preserve"> 2012; </w:t>
      </w:r>
      <w:r w:rsidRPr="00894F4E">
        <w:rPr>
          <w:b/>
          <w:bCs/>
          <w:sz w:val="22"/>
          <w:szCs w:val="22"/>
        </w:rPr>
        <w:t>67</w:t>
      </w:r>
      <w:r w:rsidRPr="00894F4E">
        <w:rPr>
          <w:sz w:val="22"/>
          <w:szCs w:val="22"/>
        </w:rPr>
        <w:t>: 346–56.</w:t>
      </w:r>
    </w:p>
    <w:p w14:paraId="37AD2402"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98</w:t>
      </w:r>
      <w:r w:rsidRPr="00894F4E">
        <w:rPr>
          <w:sz w:val="22"/>
          <w:szCs w:val="22"/>
        </w:rPr>
        <w:tab/>
        <w:t>Nicolas-</w:t>
      </w:r>
      <w:proofErr w:type="spellStart"/>
      <w:r w:rsidRPr="00894F4E">
        <w:rPr>
          <w:sz w:val="22"/>
          <w:szCs w:val="22"/>
        </w:rPr>
        <w:t>Chanoine</w:t>
      </w:r>
      <w:proofErr w:type="spellEnd"/>
      <w:r w:rsidRPr="00894F4E">
        <w:rPr>
          <w:sz w:val="22"/>
          <w:szCs w:val="22"/>
        </w:rPr>
        <w:t xml:space="preserve"> M-H, Bertrand X, </w:t>
      </w:r>
      <w:proofErr w:type="spellStart"/>
      <w:r w:rsidRPr="00894F4E">
        <w:rPr>
          <w:sz w:val="22"/>
          <w:szCs w:val="22"/>
        </w:rPr>
        <w:t>Madec</w:t>
      </w:r>
      <w:proofErr w:type="spellEnd"/>
      <w:r w:rsidRPr="00894F4E">
        <w:rPr>
          <w:sz w:val="22"/>
          <w:szCs w:val="22"/>
        </w:rPr>
        <w:t xml:space="preserve"> J-Y. Escherichia coli ST131, an intriguing clonal group. </w:t>
      </w:r>
      <w:r w:rsidRPr="00894F4E">
        <w:rPr>
          <w:i/>
          <w:iCs/>
          <w:sz w:val="22"/>
          <w:szCs w:val="22"/>
        </w:rPr>
        <w:t>Clinical microbiology reviews</w:t>
      </w:r>
      <w:r w:rsidRPr="00894F4E">
        <w:rPr>
          <w:sz w:val="22"/>
          <w:szCs w:val="22"/>
        </w:rPr>
        <w:t xml:space="preserve"> 2014; </w:t>
      </w:r>
      <w:r w:rsidRPr="00894F4E">
        <w:rPr>
          <w:b/>
          <w:bCs/>
          <w:sz w:val="22"/>
          <w:szCs w:val="22"/>
        </w:rPr>
        <w:t>27</w:t>
      </w:r>
      <w:r w:rsidRPr="00894F4E">
        <w:rPr>
          <w:sz w:val="22"/>
          <w:szCs w:val="22"/>
        </w:rPr>
        <w:t>: 543–74.</w:t>
      </w:r>
    </w:p>
    <w:p w14:paraId="084B3F11"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99</w:t>
      </w:r>
      <w:r w:rsidRPr="00894F4E">
        <w:rPr>
          <w:sz w:val="22"/>
          <w:szCs w:val="22"/>
        </w:rPr>
        <w:tab/>
      </w:r>
      <w:proofErr w:type="spellStart"/>
      <w:r w:rsidRPr="00894F4E">
        <w:rPr>
          <w:sz w:val="22"/>
          <w:szCs w:val="22"/>
        </w:rPr>
        <w:t>Kumarasamy</w:t>
      </w:r>
      <w:proofErr w:type="spellEnd"/>
      <w:r w:rsidRPr="00894F4E">
        <w:rPr>
          <w:sz w:val="22"/>
          <w:szCs w:val="22"/>
        </w:rPr>
        <w:t xml:space="preserve"> KK, </w:t>
      </w:r>
      <w:proofErr w:type="spellStart"/>
      <w:r w:rsidRPr="00894F4E">
        <w:rPr>
          <w:sz w:val="22"/>
          <w:szCs w:val="22"/>
        </w:rPr>
        <w:t>Toleman</w:t>
      </w:r>
      <w:proofErr w:type="spellEnd"/>
      <w:r w:rsidRPr="00894F4E">
        <w:rPr>
          <w:sz w:val="22"/>
          <w:szCs w:val="22"/>
        </w:rPr>
        <w:t xml:space="preserve"> MA, Walsh TR, </w:t>
      </w:r>
      <w:r w:rsidRPr="00894F4E">
        <w:rPr>
          <w:i/>
          <w:iCs/>
          <w:sz w:val="22"/>
          <w:szCs w:val="22"/>
        </w:rPr>
        <w:t>et al.</w:t>
      </w:r>
      <w:r w:rsidRPr="00894F4E">
        <w:rPr>
          <w:sz w:val="22"/>
          <w:szCs w:val="22"/>
        </w:rPr>
        <w:t xml:space="preserve"> Emergence of a new antibiotic resistance mechanism in India, Pakistan, and the UK: a molecular, biological, and epidemiological study. </w:t>
      </w:r>
      <w:r w:rsidRPr="00894F4E">
        <w:rPr>
          <w:i/>
          <w:iCs/>
          <w:sz w:val="22"/>
          <w:szCs w:val="22"/>
        </w:rPr>
        <w:t>The Lancet infectious diseases</w:t>
      </w:r>
      <w:r w:rsidRPr="00894F4E">
        <w:rPr>
          <w:sz w:val="22"/>
          <w:szCs w:val="22"/>
        </w:rPr>
        <w:t xml:space="preserve"> 2010; </w:t>
      </w:r>
      <w:r w:rsidRPr="00894F4E">
        <w:rPr>
          <w:b/>
          <w:bCs/>
          <w:sz w:val="22"/>
          <w:szCs w:val="22"/>
        </w:rPr>
        <w:t>10</w:t>
      </w:r>
      <w:r w:rsidRPr="00894F4E">
        <w:rPr>
          <w:sz w:val="22"/>
          <w:szCs w:val="22"/>
        </w:rPr>
        <w:t>: 597–602.</w:t>
      </w:r>
    </w:p>
    <w:p w14:paraId="49BF1696"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100</w:t>
      </w:r>
      <w:r w:rsidRPr="00894F4E">
        <w:rPr>
          <w:sz w:val="22"/>
          <w:szCs w:val="22"/>
        </w:rPr>
        <w:tab/>
        <w:t xml:space="preserve">Lee J, Sunny S, Nazarian E, </w:t>
      </w:r>
      <w:r w:rsidRPr="00894F4E">
        <w:rPr>
          <w:i/>
          <w:iCs/>
          <w:sz w:val="22"/>
          <w:szCs w:val="22"/>
        </w:rPr>
        <w:t>et al.</w:t>
      </w:r>
      <w:r w:rsidRPr="00894F4E">
        <w:rPr>
          <w:sz w:val="22"/>
          <w:szCs w:val="22"/>
        </w:rPr>
        <w:t xml:space="preserve"> Carbapenem-Resistant Klebsiella pneumoniae in Large Public Acute-Care Healthcare System, New York, New York, USA, 2016–2022. </w:t>
      </w:r>
      <w:r w:rsidRPr="00894F4E">
        <w:rPr>
          <w:i/>
          <w:iCs/>
          <w:sz w:val="22"/>
          <w:szCs w:val="22"/>
        </w:rPr>
        <w:t>Emerging Infectious Diseases</w:t>
      </w:r>
      <w:r w:rsidRPr="00894F4E">
        <w:rPr>
          <w:sz w:val="22"/>
          <w:szCs w:val="22"/>
        </w:rPr>
        <w:t xml:space="preserve"> 2023; </w:t>
      </w:r>
      <w:r w:rsidRPr="00894F4E">
        <w:rPr>
          <w:b/>
          <w:bCs/>
          <w:sz w:val="22"/>
          <w:szCs w:val="22"/>
        </w:rPr>
        <w:t>29</w:t>
      </w:r>
      <w:r w:rsidRPr="00894F4E">
        <w:rPr>
          <w:sz w:val="22"/>
          <w:szCs w:val="22"/>
        </w:rPr>
        <w:t>: 1973.</w:t>
      </w:r>
    </w:p>
    <w:p w14:paraId="42D26729"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101</w:t>
      </w:r>
      <w:r w:rsidRPr="00894F4E">
        <w:rPr>
          <w:sz w:val="22"/>
          <w:szCs w:val="22"/>
        </w:rPr>
        <w:tab/>
        <w:t xml:space="preserve">World Health Organization. Global progress report on HIV, viral </w:t>
      </w:r>
      <w:proofErr w:type="gramStart"/>
      <w:r w:rsidRPr="00894F4E">
        <w:rPr>
          <w:sz w:val="22"/>
          <w:szCs w:val="22"/>
        </w:rPr>
        <w:t>hepatitis</w:t>
      </w:r>
      <w:proofErr w:type="gramEnd"/>
      <w:r w:rsidRPr="00894F4E">
        <w:rPr>
          <w:sz w:val="22"/>
          <w:szCs w:val="22"/>
        </w:rPr>
        <w:t xml:space="preserve"> and sexually transmitted infections, 2021. 2021 https://www.who.int/publications/i/item/9789240027077 (accessed Feb 11, 2024).</w:t>
      </w:r>
    </w:p>
    <w:p w14:paraId="1CCC749A"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102</w:t>
      </w:r>
      <w:r w:rsidRPr="00894F4E">
        <w:rPr>
          <w:sz w:val="22"/>
          <w:szCs w:val="22"/>
        </w:rPr>
        <w:tab/>
        <w:t xml:space="preserve">Rowley J, Vander Hoorn S, </w:t>
      </w:r>
      <w:proofErr w:type="spellStart"/>
      <w:r w:rsidRPr="00894F4E">
        <w:rPr>
          <w:sz w:val="22"/>
          <w:szCs w:val="22"/>
        </w:rPr>
        <w:t>Korenromp</w:t>
      </w:r>
      <w:proofErr w:type="spellEnd"/>
      <w:r w:rsidRPr="00894F4E">
        <w:rPr>
          <w:sz w:val="22"/>
          <w:szCs w:val="22"/>
        </w:rPr>
        <w:t xml:space="preserve"> E, </w:t>
      </w:r>
      <w:r w:rsidRPr="00894F4E">
        <w:rPr>
          <w:i/>
          <w:iCs/>
          <w:sz w:val="22"/>
          <w:szCs w:val="22"/>
        </w:rPr>
        <w:t>et al.</w:t>
      </w:r>
      <w:r w:rsidRPr="00894F4E">
        <w:rPr>
          <w:sz w:val="22"/>
          <w:szCs w:val="22"/>
        </w:rPr>
        <w:t xml:space="preserve"> Chlamydia, </w:t>
      </w:r>
      <w:proofErr w:type="spellStart"/>
      <w:r w:rsidRPr="00894F4E">
        <w:rPr>
          <w:sz w:val="22"/>
          <w:szCs w:val="22"/>
        </w:rPr>
        <w:t>gonorrhoea</w:t>
      </w:r>
      <w:proofErr w:type="spellEnd"/>
      <w:r w:rsidRPr="00894F4E">
        <w:rPr>
          <w:sz w:val="22"/>
          <w:szCs w:val="22"/>
        </w:rPr>
        <w:t xml:space="preserve">, trichomoniasis and syphilis: global prevalence and incidence estimates, 2016. </w:t>
      </w:r>
      <w:r w:rsidRPr="00894F4E">
        <w:rPr>
          <w:i/>
          <w:iCs/>
          <w:sz w:val="22"/>
          <w:szCs w:val="22"/>
        </w:rPr>
        <w:t>Bulletin of the World Health Organization</w:t>
      </w:r>
      <w:r w:rsidRPr="00894F4E">
        <w:rPr>
          <w:sz w:val="22"/>
          <w:szCs w:val="22"/>
        </w:rPr>
        <w:t xml:space="preserve"> 2019; </w:t>
      </w:r>
      <w:r w:rsidRPr="00894F4E">
        <w:rPr>
          <w:b/>
          <w:bCs/>
          <w:sz w:val="22"/>
          <w:szCs w:val="22"/>
        </w:rPr>
        <w:t>97</w:t>
      </w:r>
      <w:r w:rsidRPr="00894F4E">
        <w:rPr>
          <w:sz w:val="22"/>
          <w:szCs w:val="22"/>
        </w:rPr>
        <w:t>: 548.</w:t>
      </w:r>
    </w:p>
    <w:p w14:paraId="6AA1F037"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103</w:t>
      </w:r>
      <w:r w:rsidRPr="00894F4E">
        <w:rPr>
          <w:sz w:val="22"/>
          <w:szCs w:val="22"/>
        </w:rPr>
        <w:tab/>
        <w:t xml:space="preserve">Mortimer TD, </w:t>
      </w:r>
      <w:proofErr w:type="spellStart"/>
      <w:r w:rsidRPr="00894F4E">
        <w:rPr>
          <w:sz w:val="22"/>
          <w:szCs w:val="22"/>
        </w:rPr>
        <w:t>Pathela</w:t>
      </w:r>
      <w:proofErr w:type="spellEnd"/>
      <w:r w:rsidRPr="00894F4E">
        <w:rPr>
          <w:sz w:val="22"/>
          <w:szCs w:val="22"/>
        </w:rPr>
        <w:t xml:space="preserve"> P, Crawley A, </w:t>
      </w:r>
      <w:r w:rsidRPr="00894F4E">
        <w:rPr>
          <w:i/>
          <w:iCs/>
          <w:sz w:val="22"/>
          <w:szCs w:val="22"/>
        </w:rPr>
        <w:t>et al.</w:t>
      </w:r>
      <w:r w:rsidRPr="00894F4E">
        <w:rPr>
          <w:sz w:val="22"/>
          <w:szCs w:val="22"/>
        </w:rPr>
        <w:t xml:space="preserve"> The distribution and spread of susceptible and resistant Neisseria gonorrhoeae across demographic groups in a major metropolitan center. </w:t>
      </w:r>
      <w:r w:rsidRPr="00894F4E">
        <w:rPr>
          <w:i/>
          <w:iCs/>
          <w:sz w:val="22"/>
          <w:szCs w:val="22"/>
        </w:rPr>
        <w:t>Clinical Infectious Diseases</w:t>
      </w:r>
      <w:r w:rsidRPr="00894F4E">
        <w:rPr>
          <w:sz w:val="22"/>
          <w:szCs w:val="22"/>
        </w:rPr>
        <w:t xml:space="preserve"> 2021; </w:t>
      </w:r>
      <w:r w:rsidRPr="00894F4E">
        <w:rPr>
          <w:b/>
          <w:bCs/>
          <w:sz w:val="22"/>
          <w:szCs w:val="22"/>
        </w:rPr>
        <w:t>73</w:t>
      </w:r>
      <w:r w:rsidRPr="00894F4E">
        <w:rPr>
          <w:sz w:val="22"/>
          <w:szCs w:val="22"/>
        </w:rPr>
        <w:t>: e3146–55.</w:t>
      </w:r>
    </w:p>
    <w:p w14:paraId="618957A1"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104</w:t>
      </w:r>
      <w:r w:rsidRPr="00894F4E">
        <w:rPr>
          <w:sz w:val="22"/>
          <w:szCs w:val="22"/>
        </w:rPr>
        <w:tab/>
        <w:t>Centers for Disease Control and Prevention. Sexually Transmitted Disease Surveillance 2018. 2019 https://www.cdc.gov/std/stats18/STDSurveillance2018-full-report.pdf (accessed Feb 11, 2024).</w:t>
      </w:r>
    </w:p>
    <w:p w14:paraId="6CF399AC"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lastRenderedPageBreak/>
        <w:t>105</w:t>
      </w:r>
      <w:r w:rsidRPr="00894F4E">
        <w:rPr>
          <w:sz w:val="22"/>
          <w:szCs w:val="22"/>
        </w:rPr>
        <w:tab/>
      </w:r>
      <w:proofErr w:type="spellStart"/>
      <w:r w:rsidRPr="00894F4E">
        <w:rPr>
          <w:sz w:val="22"/>
          <w:szCs w:val="22"/>
        </w:rPr>
        <w:t>Kakooza</w:t>
      </w:r>
      <w:proofErr w:type="spellEnd"/>
      <w:r w:rsidRPr="00894F4E">
        <w:rPr>
          <w:sz w:val="22"/>
          <w:szCs w:val="22"/>
        </w:rPr>
        <w:t xml:space="preserve"> F, </w:t>
      </w:r>
      <w:proofErr w:type="spellStart"/>
      <w:r w:rsidRPr="00894F4E">
        <w:rPr>
          <w:sz w:val="22"/>
          <w:szCs w:val="22"/>
        </w:rPr>
        <w:t>Golparian</w:t>
      </w:r>
      <w:proofErr w:type="spellEnd"/>
      <w:r w:rsidRPr="00894F4E">
        <w:rPr>
          <w:sz w:val="22"/>
          <w:szCs w:val="22"/>
        </w:rPr>
        <w:t xml:space="preserve"> D, </w:t>
      </w:r>
      <w:proofErr w:type="spellStart"/>
      <w:r w:rsidRPr="00894F4E">
        <w:rPr>
          <w:sz w:val="22"/>
          <w:szCs w:val="22"/>
        </w:rPr>
        <w:t>Matoga</w:t>
      </w:r>
      <w:proofErr w:type="spellEnd"/>
      <w:r w:rsidRPr="00894F4E">
        <w:rPr>
          <w:sz w:val="22"/>
          <w:szCs w:val="22"/>
        </w:rPr>
        <w:t xml:space="preserve"> M, </w:t>
      </w:r>
      <w:r w:rsidRPr="00894F4E">
        <w:rPr>
          <w:i/>
          <w:iCs/>
          <w:sz w:val="22"/>
          <w:szCs w:val="22"/>
        </w:rPr>
        <w:t>et al.</w:t>
      </w:r>
      <w:r w:rsidRPr="00894F4E">
        <w:rPr>
          <w:sz w:val="22"/>
          <w:szCs w:val="22"/>
        </w:rPr>
        <w:t xml:space="preserve"> Genomic </w:t>
      </w:r>
      <w:proofErr w:type="gramStart"/>
      <w:r w:rsidRPr="00894F4E">
        <w:rPr>
          <w:sz w:val="22"/>
          <w:szCs w:val="22"/>
        </w:rPr>
        <w:t>surveillance</w:t>
      </w:r>
      <w:proofErr w:type="gramEnd"/>
      <w:r w:rsidRPr="00894F4E">
        <w:rPr>
          <w:sz w:val="22"/>
          <w:szCs w:val="22"/>
        </w:rPr>
        <w:t xml:space="preserve"> and antimicrobial resistance determinants in Neisseria gonorrhoeae isolates from Uganda, Malawi and South Africa, 2015–20. </w:t>
      </w:r>
      <w:r w:rsidRPr="00894F4E">
        <w:rPr>
          <w:i/>
          <w:iCs/>
          <w:sz w:val="22"/>
          <w:szCs w:val="22"/>
        </w:rPr>
        <w:t>Journal of Antimicrobial Chemotherapy</w:t>
      </w:r>
      <w:r w:rsidRPr="00894F4E">
        <w:rPr>
          <w:sz w:val="22"/>
          <w:szCs w:val="22"/>
        </w:rPr>
        <w:t xml:space="preserve"> 2023; </w:t>
      </w:r>
      <w:r w:rsidRPr="00894F4E">
        <w:rPr>
          <w:b/>
          <w:bCs/>
          <w:sz w:val="22"/>
          <w:szCs w:val="22"/>
        </w:rPr>
        <w:t>78</w:t>
      </w:r>
      <w:r w:rsidRPr="00894F4E">
        <w:rPr>
          <w:sz w:val="22"/>
          <w:szCs w:val="22"/>
        </w:rPr>
        <w:t>: 1982–91.</w:t>
      </w:r>
    </w:p>
    <w:p w14:paraId="585B41AF"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106</w:t>
      </w:r>
      <w:r w:rsidRPr="00894F4E">
        <w:rPr>
          <w:sz w:val="22"/>
          <w:szCs w:val="22"/>
        </w:rPr>
        <w:tab/>
      </w:r>
      <w:proofErr w:type="spellStart"/>
      <w:r w:rsidRPr="00894F4E">
        <w:rPr>
          <w:sz w:val="22"/>
          <w:szCs w:val="22"/>
        </w:rPr>
        <w:t>Yahara</w:t>
      </w:r>
      <w:proofErr w:type="spellEnd"/>
      <w:r w:rsidRPr="00894F4E">
        <w:rPr>
          <w:sz w:val="22"/>
          <w:szCs w:val="22"/>
        </w:rPr>
        <w:t xml:space="preserve"> K, Ma KC, Mortimer TD, </w:t>
      </w:r>
      <w:r w:rsidRPr="00894F4E">
        <w:rPr>
          <w:i/>
          <w:iCs/>
          <w:sz w:val="22"/>
          <w:szCs w:val="22"/>
        </w:rPr>
        <w:t>et al.</w:t>
      </w:r>
      <w:r w:rsidRPr="00894F4E">
        <w:rPr>
          <w:sz w:val="22"/>
          <w:szCs w:val="22"/>
        </w:rPr>
        <w:t xml:space="preserve"> Emergence and evolution of antimicrobial resistance genes and mutations in Neisseria gonorrhoeae. </w:t>
      </w:r>
      <w:r w:rsidRPr="00894F4E">
        <w:rPr>
          <w:i/>
          <w:iCs/>
          <w:sz w:val="22"/>
          <w:szCs w:val="22"/>
        </w:rPr>
        <w:t>Genome medicine</w:t>
      </w:r>
      <w:r w:rsidRPr="00894F4E">
        <w:rPr>
          <w:sz w:val="22"/>
          <w:szCs w:val="22"/>
        </w:rPr>
        <w:t xml:space="preserve"> 2021; </w:t>
      </w:r>
      <w:r w:rsidRPr="00894F4E">
        <w:rPr>
          <w:b/>
          <w:bCs/>
          <w:sz w:val="22"/>
          <w:szCs w:val="22"/>
        </w:rPr>
        <w:t>13</w:t>
      </w:r>
      <w:r w:rsidRPr="00894F4E">
        <w:rPr>
          <w:sz w:val="22"/>
          <w:szCs w:val="22"/>
        </w:rPr>
        <w:t>: 1–12.</w:t>
      </w:r>
    </w:p>
    <w:p w14:paraId="3FF3CD7C"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107</w:t>
      </w:r>
      <w:r w:rsidRPr="00894F4E">
        <w:rPr>
          <w:sz w:val="22"/>
          <w:szCs w:val="22"/>
        </w:rPr>
        <w:tab/>
        <w:t xml:space="preserve">Fifer H, Cole M, Hughes G, </w:t>
      </w:r>
      <w:r w:rsidRPr="00894F4E">
        <w:rPr>
          <w:i/>
          <w:iCs/>
          <w:sz w:val="22"/>
          <w:szCs w:val="22"/>
        </w:rPr>
        <w:t>et al.</w:t>
      </w:r>
      <w:r w:rsidRPr="00894F4E">
        <w:rPr>
          <w:sz w:val="22"/>
          <w:szCs w:val="22"/>
        </w:rPr>
        <w:t xml:space="preserve"> Sustained transmission of high-level azithromycin-resistant Neisseria gonorrhoeae in England: an observational study. </w:t>
      </w:r>
      <w:r w:rsidRPr="00894F4E">
        <w:rPr>
          <w:i/>
          <w:iCs/>
          <w:sz w:val="22"/>
          <w:szCs w:val="22"/>
        </w:rPr>
        <w:t>The Lancet Infectious Diseases</w:t>
      </w:r>
      <w:r w:rsidRPr="00894F4E">
        <w:rPr>
          <w:sz w:val="22"/>
          <w:szCs w:val="22"/>
        </w:rPr>
        <w:t xml:space="preserve"> 2018; </w:t>
      </w:r>
      <w:r w:rsidRPr="00894F4E">
        <w:rPr>
          <w:b/>
          <w:bCs/>
          <w:sz w:val="22"/>
          <w:szCs w:val="22"/>
        </w:rPr>
        <w:t>18</w:t>
      </w:r>
      <w:r w:rsidRPr="00894F4E">
        <w:rPr>
          <w:sz w:val="22"/>
          <w:szCs w:val="22"/>
        </w:rPr>
        <w:t>: 573–81.</w:t>
      </w:r>
    </w:p>
    <w:p w14:paraId="071EF201"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108</w:t>
      </w:r>
      <w:r w:rsidRPr="00894F4E">
        <w:rPr>
          <w:sz w:val="22"/>
          <w:szCs w:val="22"/>
        </w:rPr>
        <w:tab/>
      </w:r>
      <w:proofErr w:type="spellStart"/>
      <w:r w:rsidRPr="00894F4E">
        <w:rPr>
          <w:sz w:val="22"/>
          <w:szCs w:val="22"/>
        </w:rPr>
        <w:t>Lahra</w:t>
      </w:r>
      <w:proofErr w:type="spellEnd"/>
      <w:r w:rsidRPr="00894F4E">
        <w:rPr>
          <w:sz w:val="22"/>
          <w:szCs w:val="22"/>
        </w:rPr>
        <w:t xml:space="preserve"> MM, Martin I, </w:t>
      </w:r>
      <w:proofErr w:type="spellStart"/>
      <w:r w:rsidRPr="00894F4E">
        <w:rPr>
          <w:sz w:val="22"/>
          <w:szCs w:val="22"/>
        </w:rPr>
        <w:t>Demczuk</w:t>
      </w:r>
      <w:proofErr w:type="spellEnd"/>
      <w:r w:rsidRPr="00894F4E">
        <w:rPr>
          <w:sz w:val="22"/>
          <w:szCs w:val="22"/>
        </w:rPr>
        <w:t xml:space="preserve"> W, </w:t>
      </w:r>
      <w:r w:rsidRPr="00894F4E">
        <w:rPr>
          <w:i/>
          <w:iCs/>
          <w:sz w:val="22"/>
          <w:szCs w:val="22"/>
        </w:rPr>
        <w:t>et al.</w:t>
      </w:r>
      <w:r w:rsidRPr="00894F4E">
        <w:rPr>
          <w:sz w:val="22"/>
          <w:szCs w:val="22"/>
        </w:rPr>
        <w:t xml:space="preserve"> Cooperative recognition of internationally disseminated ceftriaxone-resistant Neisseria gonorrhoeae strain. </w:t>
      </w:r>
      <w:r w:rsidRPr="00894F4E">
        <w:rPr>
          <w:i/>
          <w:iCs/>
          <w:sz w:val="22"/>
          <w:szCs w:val="22"/>
        </w:rPr>
        <w:t>Emerging infectious diseases</w:t>
      </w:r>
      <w:r w:rsidRPr="00894F4E">
        <w:rPr>
          <w:sz w:val="22"/>
          <w:szCs w:val="22"/>
        </w:rPr>
        <w:t xml:space="preserve"> 2018; </w:t>
      </w:r>
      <w:r w:rsidRPr="00894F4E">
        <w:rPr>
          <w:b/>
          <w:bCs/>
          <w:sz w:val="22"/>
          <w:szCs w:val="22"/>
        </w:rPr>
        <w:t>24</w:t>
      </w:r>
      <w:r w:rsidRPr="00894F4E">
        <w:rPr>
          <w:sz w:val="22"/>
          <w:szCs w:val="22"/>
        </w:rPr>
        <w:t>: 735.</w:t>
      </w:r>
    </w:p>
    <w:p w14:paraId="4936CFAD"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109</w:t>
      </w:r>
      <w:r w:rsidRPr="00894F4E">
        <w:rPr>
          <w:sz w:val="22"/>
          <w:szCs w:val="22"/>
        </w:rPr>
        <w:tab/>
      </w:r>
      <w:proofErr w:type="spellStart"/>
      <w:r w:rsidRPr="00894F4E">
        <w:rPr>
          <w:sz w:val="22"/>
          <w:szCs w:val="22"/>
        </w:rPr>
        <w:t>Attram</w:t>
      </w:r>
      <w:proofErr w:type="spellEnd"/>
      <w:r w:rsidRPr="00894F4E">
        <w:rPr>
          <w:sz w:val="22"/>
          <w:szCs w:val="22"/>
        </w:rPr>
        <w:t xml:space="preserve"> N, Dela H, </w:t>
      </w:r>
      <w:proofErr w:type="spellStart"/>
      <w:r w:rsidRPr="00894F4E">
        <w:rPr>
          <w:sz w:val="22"/>
          <w:szCs w:val="22"/>
        </w:rPr>
        <w:t>Behene</w:t>
      </w:r>
      <w:proofErr w:type="spellEnd"/>
      <w:r w:rsidRPr="00894F4E">
        <w:rPr>
          <w:sz w:val="22"/>
          <w:szCs w:val="22"/>
        </w:rPr>
        <w:t xml:space="preserve"> E, </w:t>
      </w:r>
      <w:r w:rsidRPr="00894F4E">
        <w:rPr>
          <w:i/>
          <w:iCs/>
          <w:sz w:val="22"/>
          <w:szCs w:val="22"/>
        </w:rPr>
        <w:t>et al.</w:t>
      </w:r>
      <w:r w:rsidRPr="00894F4E">
        <w:rPr>
          <w:sz w:val="22"/>
          <w:szCs w:val="22"/>
        </w:rPr>
        <w:t xml:space="preserve"> </w:t>
      </w:r>
      <w:proofErr w:type="gramStart"/>
      <w:r w:rsidRPr="00894F4E">
        <w:rPr>
          <w:sz w:val="22"/>
          <w:szCs w:val="22"/>
        </w:rPr>
        <w:t>Antimicrobial</w:t>
      </w:r>
      <w:proofErr w:type="gramEnd"/>
      <w:r w:rsidRPr="00894F4E">
        <w:rPr>
          <w:sz w:val="22"/>
          <w:szCs w:val="22"/>
        </w:rPr>
        <w:t xml:space="preserve"> use of patients with sexually transmitted infection symptoms prior to presentation at five health facilities in Southern Ghana. </w:t>
      </w:r>
      <w:r w:rsidRPr="00894F4E">
        <w:rPr>
          <w:i/>
          <w:iCs/>
          <w:sz w:val="22"/>
          <w:szCs w:val="22"/>
        </w:rPr>
        <w:t>Antimicrobial Resistance &amp; Infection Control</w:t>
      </w:r>
      <w:r w:rsidRPr="00894F4E">
        <w:rPr>
          <w:sz w:val="22"/>
          <w:szCs w:val="22"/>
        </w:rPr>
        <w:t xml:space="preserve"> 2023; </w:t>
      </w:r>
      <w:r w:rsidRPr="00894F4E">
        <w:rPr>
          <w:b/>
          <w:bCs/>
          <w:sz w:val="22"/>
          <w:szCs w:val="22"/>
        </w:rPr>
        <w:t>12</w:t>
      </w:r>
      <w:r w:rsidRPr="00894F4E">
        <w:rPr>
          <w:sz w:val="22"/>
          <w:szCs w:val="22"/>
        </w:rPr>
        <w:t>: 146.</w:t>
      </w:r>
    </w:p>
    <w:p w14:paraId="56CA0C58"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110</w:t>
      </w:r>
      <w:r w:rsidRPr="00894F4E">
        <w:rPr>
          <w:sz w:val="22"/>
          <w:szCs w:val="22"/>
        </w:rPr>
        <w:tab/>
        <w:t xml:space="preserve">Bolan GA, Sparling PF, </w:t>
      </w:r>
      <w:proofErr w:type="spellStart"/>
      <w:r w:rsidRPr="00894F4E">
        <w:rPr>
          <w:sz w:val="22"/>
          <w:szCs w:val="22"/>
        </w:rPr>
        <w:t>Wasserheit</w:t>
      </w:r>
      <w:proofErr w:type="spellEnd"/>
      <w:r w:rsidRPr="00894F4E">
        <w:rPr>
          <w:sz w:val="22"/>
          <w:szCs w:val="22"/>
        </w:rPr>
        <w:t xml:space="preserve"> JN. The emerging threat of untreatable gonococcal infection. </w:t>
      </w:r>
      <w:r w:rsidRPr="00894F4E">
        <w:rPr>
          <w:i/>
          <w:iCs/>
          <w:sz w:val="22"/>
          <w:szCs w:val="22"/>
        </w:rPr>
        <w:t>The New England journal of medicine</w:t>
      </w:r>
      <w:r w:rsidRPr="00894F4E">
        <w:rPr>
          <w:sz w:val="22"/>
          <w:szCs w:val="22"/>
        </w:rPr>
        <w:t xml:space="preserve"> 2012; </w:t>
      </w:r>
      <w:r w:rsidRPr="00894F4E">
        <w:rPr>
          <w:b/>
          <w:bCs/>
          <w:sz w:val="22"/>
          <w:szCs w:val="22"/>
        </w:rPr>
        <w:t>366</w:t>
      </w:r>
      <w:r w:rsidRPr="00894F4E">
        <w:rPr>
          <w:sz w:val="22"/>
          <w:szCs w:val="22"/>
        </w:rPr>
        <w:t>: 485.</w:t>
      </w:r>
    </w:p>
    <w:p w14:paraId="20486669"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111</w:t>
      </w:r>
      <w:r w:rsidRPr="00894F4E">
        <w:rPr>
          <w:sz w:val="22"/>
          <w:szCs w:val="22"/>
        </w:rPr>
        <w:tab/>
        <w:t xml:space="preserve">Gaydos CA, Melendez JH. Point-by-point progress: gonorrhea point of care tests. </w:t>
      </w:r>
      <w:r w:rsidRPr="00894F4E">
        <w:rPr>
          <w:i/>
          <w:iCs/>
          <w:sz w:val="22"/>
          <w:szCs w:val="22"/>
        </w:rPr>
        <w:t>Expert review of molecular diagnostics</w:t>
      </w:r>
      <w:r w:rsidRPr="00894F4E">
        <w:rPr>
          <w:sz w:val="22"/>
          <w:szCs w:val="22"/>
        </w:rPr>
        <w:t xml:space="preserve"> 2020; </w:t>
      </w:r>
      <w:r w:rsidRPr="00894F4E">
        <w:rPr>
          <w:b/>
          <w:bCs/>
          <w:sz w:val="22"/>
          <w:szCs w:val="22"/>
        </w:rPr>
        <w:t>20</w:t>
      </w:r>
      <w:r w:rsidRPr="00894F4E">
        <w:rPr>
          <w:sz w:val="22"/>
          <w:szCs w:val="22"/>
        </w:rPr>
        <w:t>: 803–13.</w:t>
      </w:r>
    </w:p>
    <w:p w14:paraId="148D86D7"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112</w:t>
      </w:r>
      <w:r w:rsidRPr="00894F4E">
        <w:rPr>
          <w:sz w:val="22"/>
          <w:szCs w:val="22"/>
        </w:rPr>
        <w:tab/>
        <w:t xml:space="preserve">Bradford PA, Miller AA, O’Donnell J, Mueller JP. </w:t>
      </w:r>
      <w:proofErr w:type="spellStart"/>
      <w:r w:rsidRPr="00894F4E">
        <w:rPr>
          <w:sz w:val="22"/>
          <w:szCs w:val="22"/>
        </w:rPr>
        <w:t>Zoliflodacin</w:t>
      </w:r>
      <w:proofErr w:type="spellEnd"/>
      <w:r w:rsidRPr="00894F4E">
        <w:rPr>
          <w:sz w:val="22"/>
          <w:szCs w:val="22"/>
        </w:rPr>
        <w:t xml:space="preserve">: an oral </w:t>
      </w:r>
      <w:proofErr w:type="spellStart"/>
      <w:r w:rsidRPr="00894F4E">
        <w:rPr>
          <w:sz w:val="22"/>
          <w:szCs w:val="22"/>
        </w:rPr>
        <w:t>spiropyrimidinetrione</w:t>
      </w:r>
      <w:proofErr w:type="spellEnd"/>
      <w:r w:rsidRPr="00894F4E">
        <w:rPr>
          <w:sz w:val="22"/>
          <w:szCs w:val="22"/>
        </w:rPr>
        <w:t xml:space="preserve"> antibiotic for the treatment of Neisseria </w:t>
      </w:r>
      <w:proofErr w:type="spellStart"/>
      <w:r w:rsidRPr="00894F4E">
        <w:rPr>
          <w:sz w:val="22"/>
          <w:szCs w:val="22"/>
        </w:rPr>
        <w:t>gonorrheae</w:t>
      </w:r>
      <w:proofErr w:type="spellEnd"/>
      <w:r w:rsidRPr="00894F4E">
        <w:rPr>
          <w:sz w:val="22"/>
          <w:szCs w:val="22"/>
        </w:rPr>
        <w:t xml:space="preserve">, including multi-drug-resistant isolates. </w:t>
      </w:r>
      <w:r w:rsidRPr="00894F4E">
        <w:rPr>
          <w:i/>
          <w:iCs/>
          <w:sz w:val="22"/>
          <w:szCs w:val="22"/>
        </w:rPr>
        <w:t>ACS Infectious Diseases</w:t>
      </w:r>
      <w:r w:rsidRPr="00894F4E">
        <w:rPr>
          <w:sz w:val="22"/>
          <w:szCs w:val="22"/>
        </w:rPr>
        <w:t xml:space="preserve"> 2020; </w:t>
      </w:r>
      <w:r w:rsidRPr="00894F4E">
        <w:rPr>
          <w:b/>
          <w:bCs/>
          <w:sz w:val="22"/>
          <w:szCs w:val="22"/>
        </w:rPr>
        <w:t>6</w:t>
      </w:r>
      <w:r w:rsidRPr="00894F4E">
        <w:rPr>
          <w:sz w:val="22"/>
          <w:szCs w:val="22"/>
        </w:rPr>
        <w:t>: 1332–45.</w:t>
      </w:r>
    </w:p>
    <w:p w14:paraId="147A9E88"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113</w:t>
      </w:r>
      <w:r w:rsidRPr="00894F4E">
        <w:rPr>
          <w:sz w:val="22"/>
          <w:szCs w:val="22"/>
        </w:rPr>
        <w:tab/>
      </w:r>
      <w:proofErr w:type="spellStart"/>
      <w:r w:rsidRPr="00894F4E">
        <w:rPr>
          <w:sz w:val="22"/>
          <w:szCs w:val="22"/>
        </w:rPr>
        <w:t>Yaesoubi</w:t>
      </w:r>
      <w:proofErr w:type="spellEnd"/>
      <w:r w:rsidRPr="00894F4E">
        <w:rPr>
          <w:sz w:val="22"/>
          <w:szCs w:val="22"/>
        </w:rPr>
        <w:t xml:space="preserve"> R, Xi Q, Hsu K, </w:t>
      </w:r>
      <w:r w:rsidRPr="00894F4E">
        <w:rPr>
          <w:i/>
          <w:iCs/>
          <w:sz w:val="22"/>
          <w:szCs w:val="22"/>
        </w:rPr>
        <w:t>et al.</w:t>
      </w:r>
      <w:r w:rsidRPr="00894F4E">
        <w:rPr>
          <w:sz w:val="22"/>
          <w:szCs w:val="22"/>
        </w:rPr>
        <w:t xml:space="preserve"> The Impact of Rapid Drug Susceptibility Tests on Gonorrhea Burden and the Life Span of Antibiotic Treatments: A Modeling Study Among Men Who Have Sex </w:t>
      </w:r>
      <w:proofErr w:type="gramStart"/>
      <w:r w:rsidRPr="00894F4E">
        <w:rPr>
          <w:sz w:val="22"/>
          <w:szCs w:val="22"/>
        </w:rPr>
        <w:t>With</w:t>
      </w:r>
      <w:proofErr w:type="gramEnd"/>
      <w:r w:rsidRPr="00894F4E">
        <w:rPr>
          <w:sz w:val="22"/>
          <w:szCs w:val="22"/>
        </w:rPr>
        <w:t xml:space="preserve"> Men in the United States. </w:t>
      </w:r>
      <w:r w:rsidRPr="00894F4E">
        <w:rPr>
          <w:i/>
          <w:iCs/>
          <w:sz w:val="22"/>
          <w:szCs w:val="22"/>
        </w:rPr>
        <w:t>American Journal of Epidemiology</w:t>
      </w:r>
      <w:r w:rsidRPr="00894F4E">
        <w:rPr>
          <w:sz w:val="22"/>
          <w:szCs w:val="22"/>
        </w:rPr>
        <w:t xml:space="preserve"> 2024; </w:t>
      </w:r>
      <w:r w:rsidRPr="00894F4E">
        <w:rPr>
          <w:b/>
          <w:bCs/>
          <w:sz w:val="22"/>
          <w:szCs w:val="22"/>
        </w:rPr>
        <w:t>193</w:t>
      </w:r>
      <w:r w:rsidRPr="00894F4E">
        <w:rPr>
          <w:sz w:val="22"/>
          <w:szCs w:val="22"/>
        </w:rPr>
        <w:t>: 17–25.</w:t>
      </w:r>
    </w:p>
    <w:p w14:paraId="3F207244"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114</w:t>
      </w:r>
      <w:r w:rsidRPr="00894F4E">
        <w:rPr>
          <w:sz w:val="22"/>
          <w:szCs w:val="22"/>
        </w:rPr>
        <w:tab/>
      </w:r>
      <w:proofErr w:type="spellStart"/>
      <w:r w:rsidRPr="00894F4E">
        <w:rPr>
          <w:sz w:val="22"/>
          <w:szCs w:val="22"/>
        </w:rPr>
        <w:t>Lyu</w:t>
      </w:r>
      <w:proofErr w:type="spellEnd"/>
      <w:r w:rsidRPr="00894F4E">
        <w:rPr>
          <w:sz w:val="22"/>
          <w:szCs w:val="22"/>
        </w:rPr>
        <w:t xml:space="preserve"> Y, Choong A, Chow EP, </w:t>
      </w:r>
      <w:r w:rsidRPr="00894F4E">
        <w:rPr>
          <w:i/>
          <w:iCs/>
          <w:sz w:val="22"/>
          <w:szCs w:val="22"/>
        </w:rPr>
        <w:t>et al.</w:t>
      </w:r>
      <w:r w:rsidRPr="00894F4E">
        <w:rPr>
          <w:sz w:val="22"/>
          <w:szCs w:val="22"/>
        </w:rPr>
        <w:t xml:space="preserve"> Vaccine value profile for Neisseria gonorrhoeae. </w:t>
      </w:r>
      <w:r w:rsidRPr="00894F4E">
        <w:rPr>
          <w:i/>
          <w:iCs/>
          <w:sz w:val="22"/>
          <w:szCs w:val="22"/>
        </w:rPr>
        <w:t>Vaccine</w:t>
      </w:r>
      <w:r w:rsidRPr="00894F4E">
        <w:rPr>
          <w:sz w:val="22"/>
          <w:szCs w:val="22"/>
        </w:rPr>
        <w:t xml:space="preserve"> 2023.</w:t>
      </w:r>
    </w:p>
    <w:p w14:paraId="5ACC70A5"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115</w:t>
      </w:r>
      <w:r w:rsidRPr="00894F4E">
        <w:rPr>
          <w:sz w:val="22"/>
          <w:szCs w:val="22"/>
        </w:rPr>
        <w:tab/>
      </w:r>
      <w:proofErr w:type="spellStart"/>
      <w:r w:rsidRPr="00894F4E">
        <w:rPr>
          <w:sz w:val="22"/>
          <w:szCs w:val="22"/>
        </w:rPr>
        <w:t>Padeniya</w:t>
      </w:r>
      <w:proofErr w:type="spellEnd"/>
      <w:r w:rsidRPr="00894F4E">
        <w:rPr>
          <w:sz w:val="22"/>
          <w:szCs w:val="22"/>
        </w:rPr>
        <w:t xml:space="preserve"> TN, Hui BB, Wood JG, </w:t>
      </w:r>
      <w:proofErr w:type="spellStart"/>
      <w:r w:rsidRPr="00894F4E">
        <w:rPr>
          <w:sz w:val="22"/>
          <w:szCs w:val="22"/>
        </w:rPr>
        <w:t>Seib</w:t>
      </w:r>
      <w:proofErr w:type="spellEnd"/>
      <w:r w:rsidRPr="00894F4E">
        <w:rPr>
          <w:sz w:val="22"/>
          <w:szCs w:val="22"/>
        </w:rPr>
        <w:t xml:space="preserve"> KL, Regan DG. The potential impact of a vaccine on Neisseria gonorrhoeae prevalence among heterosexuals living in a high prevalence setting. </w:t>
      </w:r>
      <w:r w:rsidRPr="00894F4E">
        <w:rPr>
          <w:i/>
          <w:iCs/>
          <w:sz w:val="22"/>
          <w:szCs w:val="22"/>
        </w:rPr>
        <w:t>Vaccine</w:t>
      </w:r>
      <w:r w:rsidRPr="00894F4E">
        <w:rPr>
          <w:sz w:val="22"/>
          <w:szCs w:val="22"/>
        </w:rPr>
        <w:t xml:space="preserve"> 2023; </w:t>
      </w:r>
      <w:r w:rsidRPr="00894F4E">
        <w:rPr>
          <w:b/>
          <w:bCs/>
          <w:sz w:val="22"/>
          <w:szCs w:val="22"/>
        </w:rPr>
        <w:t>41</w:t>
      </w:r>
      <w:r w:rsidRPr="00894F4E">
        <w:rPr>
          <w:sz w:val="22"/>
          <w:szCs w:val="22"/>
        </w:rPr>
        <w:t>: 5553–61.</w:t>
      </w:r>
    </w:p>
    <w:p w14:paraId="700A50E4"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116</w:t>
      </w:r>
      <w:r w:rsidRPr="00894F4E">
        <w:rPr>
          <w:sz w:val="22"/>
          <w:szCs w:val="22"/>
        </w:rPr>
        <w:tab/>
        <w:t xml:space="preserve">Stuart BM, Pullen RL. Typhoid: clinical analysis of three hundred and sixty cases. </w:t>
      </w:r>
      <w:r w:rsidRPr="00894F4E">
        <w:rPr>
          <w:i/>
          <w:iCs/>
          <w:sz w:val="22"/>
          <w:szCs w:val="22"/>
        </w:rPr>
        <w:t>Archives of Internal Medicine</w:t>
      </w:r>
      <w:r w:rsidRPr="00894F4E">
        <w:rPr>
          <w:sz w:val="22"/>
          <w:szCs w:val="22"/>
        </w:rPr>
        <w:t xml:space="preserve"> 1946; </w:t>
      </w:r>
      <w:r w:rsidRPr="00894F4E">
        <w:rPr>
          <w:b/>
          <w:bCs/>
          <w:sz w:val="22"/>
          <w:szCs w:val="22"/>
        </w:rPr>
        <w:t>78</w:t>
      </w:r>
      <w:r w:rsidRPr="00894F4E">
        <w:rPr>
          <w:sz w:val="22"/>
          <w:szCs w:val="22"/>
        </w:rPr>
        <w:t>: 629–61.</w:t>
      </w:r>
    </w:p>
    <w:p w14:paraId="56CE2AB2"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117</w:t>
      </w:r>
      <w:r w:rsidRPr="00894F4E">
        <w:rPr>
          <w:sz w:val="22"/>
          <w:szCs w:val="22"/>
        </w:rPr>
        <w:tab/>
        <w:t xml:space="preserve">Willis LD, Chandler C. Quick fix for care, productivity, </w:t>
      </w:r>
      <w:proofErr w:type="gramStart"/>
      <w:r w:rsidRPr="00894F4E">
        <w:rPr>
          <w:sz w:val="22"/>
          <w:szCs w:val="22"/>
        </w:rPr>
        <w:t>hygiene</w:t>
      </w:r>
      <w:proofErr w:type="gramEnd"/>
      <w:r w:rsidRPr="00894F4E">
        <w:rPr>
          <w:sz w:val="22"/>
          <w:szCs w:val="22"/>
        </w:rPr>
        <w:t xml:space="preserve"> and inequality: reframing the entrenched problem of antibiotic overuse. </w:t>
      </w:r>
      <w:r w:rsidRPr="00894F4E">
        <w:rPr>
          <w:i/>
          <w:iCs/>
          <w:sz w:val="22"/>
          <w:szCs w:val="22"/>
        </w:rPr>
        <w:t>BMJ global health</w:t>
      </w:r>
      <w:r w:rsidRPr="00894F4E">
        <w:rPr>
          <w:sz w:val="22"/>
          <w:szCs w:val="22"/>
        </w:rPr>
        <w:t xml:space="preserve"> 2019; </w:t>
      </w:r>
      <w:r w:rsidRPr="00894F4E">
        <w:rPr>
          <w:b/>
          <w:bCs/>
          <w:sz w:val="22"/>
          <w:szCs w:val="22"/>
        </w:rPr>
        <w:t>4</w:t>
      </w:r>
      <w:r w:rsidRPr="00894F4E">
        <w:rPr>
          <w:sz w:val="22"/>
          <w:szCs w:val="22"/>
        </w:rPr>
        <w:t>: e001590.</w:t>
      </w:r>
    </w:p>
    <w:p w14:paraId="3E48CFD9"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118</w:t>
      </w:r>
      <w:r w:rsidRPr="00894F4E">
        <w:rPr>
          <w:sz w:val="22"/>
          <w:szCs w:val="22"/>
        </w:rPr>
        <w:tab/>
      </w:r>
      <w:proofErr w:type="spellStart"/>
      <w:r w:rsidRPr="00894F4E">
        <w:rPr>
          <w:sz w:val="22"/>
          <w:szCs w:val="22"/>
        </w:rPr>
        <w:t>Mintz</w:t>
      </w:r>
      <w:proofErr w:type="spellEnd"/>
      <w:r w:rsidRPr="00894F4E">
        <w:rPr>
          <w:sz w:val="22"/>
          <w:szCs w:val="22"/>
        </w:rPr>
        <w:t xml:space="preserve"> ED, </w:t>
      </w:r>
      <w:proofErr w:type="spellStart"/>
      <w:r w:rsidRPr="00894F4E">
        <w:rPr>
          <w:sz w:val="22"/>
          <w:szCs w:val="22"/>
        </w:rPr>
        <w:t>Guerrant</w:t>
      </w:r>
      <w:proofErr w:type="spellEnd"/>
      <w:r w:rsidRPr="00894F4E">
        <w:rPr>
          <w:sz w:val="22"/>
          <w:szCs w:val="22"/>
        </w:rPr>
        <w:t xml:space="preserve"> RL. A lion in our village—the unconscionable tragedy of cholera in Africa. </w:t>
      </w:r>
      <w:r w:rsidRPr="00894F4E">
        <w:rPr>
          <w:i/>
          <w:iCs/>
          <w:sz w:val="22"/>
          <w:szCs w:val="22"/>
        </w:rPr>
        <w:t>New England Journal of Medicine</w:t>
      </w:r>
      <w:r w:rsidRPr="00894F4E">
        <w:rPr>
          <w:sz w:val="22"/>
          <w:szCs w:val="22"/>
        </w:rPr>
        <w:t xml:space="preserve"> 2009; </w:t>
      </w:r>
      <w:r w:rsidRPr="00894F4E">
        <w:rPr>
          <w:b/>
          <w:bCs/>
          <w:sz w:val="22"/>
          <w:szCs w:val="22"/>
        </w:rPr>
        <w:t>360</w:t>
      </w:r>
      <w:r w:rsidRPr="00894F4E">
        <w:rPr>
          <w:sz w:val="22"/>
          <w:szCs w:val="22"/>
        </w:rPr>
        <w:t>: 1060–3.</w:t>
      </w:r>
    </w:p>
    <w:p w14:paraId="0A5A81DD"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119</w:t>
      </w:r>
      <w:r w:rsidRPr="00894F4E">
        <w:rPr>
          <w:sz w:val="22"/>
          <w:szCs w:val="22"/>
        </w:rPr>
        <w:tab/>
        <w:t xml:space="preserve">Andrews JR, Qamar FN, Charles RC, Ryan ET. Extensively drug-resistant typhoid—are conjugate vaccines arriving just in time? </w:t>
      </w:r>
      <w:r w:rsidRPr="00894F4E">
        <w:rPr>
          <w:i/>
          <w:iCs/>
          <w:sz w:val="22"/>
          <w:szCs w:val="22"/>
        </w:rPr>
        <w:t>New England Journal of Medicine</w:t>
      </w:r>
      <w:r w:rsidRPr="00894F4E">
        <w:rPr>
          <w:sz w:val="22"/>
          <w:szCs w:val="22"/>
        </w:rPr>
        <w:t xml:space="preserve"> 2018; </w:t>
      </w:r>
      <w:r w:rsidRPr="00894F4E">
        <w:rPr>
          <w:b/>
          <w:bCs/>
          <w:sz w:val="22"/>
          <w:szCs w:val="22"/>
        </w:rPr>
        <w:t>379</w:t>
      </w:r>
      <w:r w:rsidRPr="00894F4E">
        <w:rPr>
          <w:sz w:val="22"/>
          <w:szCs w:val="22"/>
        </w:rPr>
        <w:t>: 1493–5.</w:t>
      </w:r>
    </w:p>
    <w:p w14:paraId="4D34C072"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120</w:t>
      </w:r>
      <w:r w:rsidRPr="00894F4E">
        <w:rPr>
          <w:sz w:val="22"/>
          <w:szCs w:val="22"/>
        </w:rPr>
        <w:tab/>
        <w:t xml:space="preserve">Kim S, Lee KS, Pak GD, </w:t>
      </w:r>
      <w:r w:rsidRPr="00894F4E">
        <w:rPr>
          <w:i/>
          <w:iCs/>
          <w:sz w:val="22"/>
          <w:szCs w:val="22"/>
        </w:rPr>
        <w:t>et al.</w:t>
      </w:r>
      <w:r w:rsidRPr="00894F4E">
        <w:rPr>
          <w:sz w:val="22"/>
          <w:szCs w:val="22"/>
        </w:rPr>
        <w:t xml:space="preserve"> Spatial and temporal patterns of typhoid and paratyphoid fever outbreaks: a worldwide review, 1990–2018. </w:t>
      </w:r>
      <w:r w:rsidRPr="00894F4E">
        <w:rPr>
          <w:i/>
          <w:iCs/>
          <w:sz w:val="22"/>
          <w:szCs w:val="22"/>
        </w:rPr>
        <w:t>Clinical Infectious Diseases</w:t>
      </w:r>
      <w:r w:rsidRPr="00894F4E">
        <w:rPr>
          <w:sz w:val="22"/>
          <w:szCs w:val="22"/>
        </w:rPr>
        <w:t xml:space="preserve"> 2019; </w:t>
      </w:r>
      <w:r w:rsidRPr="00894F4E">
        <w:rPr>
          <w:b/>
          <w:bCs/>
          <w:sz w:val="22"/>
          <w:szCs w:val="22"/>
        </w:rPr>
        <w:t>69</w:t>
      </w:r>
      <w:r w:rsidRPr="00894F4E">
        <w:rPr>
          <w:sz w:val="22"/>
          <w:szCs w:val="22"/>
        </w:rPr>
        <w:t>: S499–509.</w:t>
      </w:r>
    </w:p>
    <w:p w14:paraId="7BC7A1FD"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121</w:t>
      </w:r>
      <w:r w:rsidRPr="00894F4E">
        <w:rPr>
          <w:sz w:val="22"/>
          <w:szCs w:val="22"/>
        </w:rPr>
        <w:tab/>
        <w:t xml:space="preserve">Wong VK, Baker S, Pickard DJ, </w:t>
      </w:r>
      <w:r w:rsidRPr="00894F4E">
        <w:rPr>
          <w:i/>
          <w:iCs/>
          <w:sz w:val="22"/>
          <w:szCs w:val="22"/>
        </w:rPr>
        <w:t>et al.</w:t>
      </w:r>
      <w:r w:rsidRPr="00894F4E">
        <w:rPr>
          <w:sz w:val="22"/>
          <w:szCs w:val="22"/>
        </w:rPr>
        <w:t xml:space="preserve"> Phylogeographical analysis of the dominant multidrug-resistant H58 clade of Salmonella Typhi identifies inter-and intracontinental transmission events. </w:t>
      </w:r>
      <w:r w:rsidRPr="00894F4E">
        <w:rPr>
          <w:i/>
          <w:iCs/>
          <w:sz w:val="22"/>
          <w:szCs w:val="22"/>
        </w:rPr>
        <w:t>Nature genetics</w:t>
      </w:r>
      <w:r w:rsidRPr="00894F4E">
        <w:rPr>
          <w:sz w:val="22"/>
          <w:szCs w:val="22"/>
        </w:rPr>
        <w:t xml:space="preserve"> 2015; </w:t>
      </w:r>
      <w:r w:rsidRPr="00894F4E">
        <w:rPr>
          <w:b/>
          <w:bCs/>
          <w:sz w:val="22"/>
          <w:szCs w:val="22"/>
        </w:rPr>
        <w:t>47</w:t>
      </w:r>
      <w:r w:rsidRPr="00894F4E">
        <w:rPr>
          <w:sz w:val="22"/>
          <w:szCs w:val="22"/>
        </w:rPr>
        <w:t>: 632–9.</w:t>
      </w:r>
    </w:p>
    <w:p w14:paraId="349E592D"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122</w:t>
      </w:r>
      <w:r w:rsidRPr="00894F4E">
        <w:rPr>
          <w:sz w:val="22"/>
          <w:szCs w:val="22"/>
        </w:rPr>
        <w:tab/>
        <w:t xml:space="preserve">Carey ME, Dyson ZA, Ingle DJ, </w:t>
      </w:r>
      <w:r w:rsidRPr="00894F4E">
        <w:rPr>
          <w:i/>
          <w:iCs/>
          <w:sz w:val="22"/>
          <w:szCs w:val="22"/>
        </w:rPr>
        <w:t>et al.</w:t>
      </w:r>
      <w:r w:rsidRPr="00894F4E">
        <w:rPr>
          <w:sz w:val="22"/>
          <w:szCs w:val="22"/>
        </w:rPr>
        <w:t xml:space="preserve"> Global </w:t>
      </w:r>
      <w:proofErr w:type="gramStart"/>
      <w:r w:rsidRPr="00894F4E">
        <w:rPr>
          <w:sz w:val="22"/>
          <w:szCs w:val="22"/>
        </w:rPr>
        <w:t>diversity</w:t>
      </w:r>
      <w:proofErr w:type="gramEnd"/>
      <w:r w:rsidRPr="00894F4E">
        <w:rPr>
          <w:sz w:val="22"/>
          <w:szCs w:val="22"/>
        </w:rPr>
        <w:t xml:space="preserve"> and antimicrobial resistance of typhoid fever pathogens: Insights from a meta-analysis of 13,000 Salmonella Typhi genomes. </w:t>
      </w:r>
      <w:proofErr w:type="spellStart"/>
      <w:r w:rsidRPr="00894F4E">
        <w:rPr>
          <w:i/>
          <w:iCs/>
          <w:sz w:val="22"/>
          <w:szCs w:val="22"/>
        </w:rPr>
        <w:t>Elife</w:t>
      </w:r>
      <w:proofErr w:type="spellEnd"/>
      <w:r w:rsidRPr="00894F4E">
        <w:rPr>
          <w:sz w:val="22"/>
          <w:szCs w:val="22"/>
        </w:rPr>
        <w:t xml:space="preserve"> 2023; </w:t>
      </w:r>
      <w:r w:rsidRPr="00894F4E">
        <w:rPr>
          <w:b/>
          <w:bCs/>
          <w:sz w:val="22"/>
          <w:szCs w:val="22"/>
        </w:rPr>
        <w:t>12</w:t>
      </w:r>
      <w:r w:rsidRPr="00894F4E">
        <w:rPr>
          <w:sz w:val="22"/>
          <w:szCs w:val="22"/>
        </w:rPr>
        <w:t>: e85867.</w:t>
      </w:r>
    </w:p>
    <w:p w14:paraId="39CFED56"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123</w:t>
      </w:r>
      <w:r w:rsidRPr="00894F4E">
        <w:rPr>
          <w:sz w:val="22"/>
          <w:szCs w:val="22"/>
        </w:rPr>
        <w:tab/>
        <w:t xml:space="preserve">Carey ME, Dyson ZA, </w:t>
      </w:r>
      <w:proofErr w:type="spellStart"/>
      <w:r w:rsidRPr="00894F4E">
        <w:rPr>
          <w:sz w:val="22"/>
          <w:szCs w:val="22"/>
        </w:rPr>
        <w:t>Argimón</w:t>
      </w:r>
      <w:proofErr w:type="spellEnd"/>
      <w:r w:rsidRPr="00894F4E">
        <w:rPr>
          <w:sz w:val="22"/>
          <w:szCs w:val="22"/>
        </w:rPr>
        <w:t xml:space="preserve"> S, </w:t>
      </w:r>
      <w:r w:rsidRPr="00894F4E">
        <w:rPr>
          <w:i/>
          <w:iCs/>
          <w:sz w:val="22"/>
          <w:szCs w:val="22"/>
        </w:rPr>
        <w:t>et al.</w:t>
      </w:r>
      <w:r w:rsidRPr="00894F4E">
        <w:rPr>
          <w:sz w:val="22"/>
          <w:szCs w:val="22"/>
        </w:rPr>
        <w:t xml:space="preserve"> Unlocking the potential of genomic data to inform typhoid fever control policy: supportive resources for genomic data generation, analysis, and visualization. Oxford University Press US, 2023: S38–46.</w:t>
      </w:r>
    </w:p>
    <w:p w14:paraId="78D0DBD9"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124</w:t>
      </w:r>
      <w:r w:rsidRPr="00894F4E">
        <w:rPr>
          <w:sz w:val="22"/>
          <w:szCs w:val="22"/>
        </w:rPr>
        <w:tab/>
        <w:t xml:space="preserve">Baker KS, </w:t>
      </w:r>
      <w:proofErr w:type="spellStart"/>
      <w:r w:rsidRPr="00894F4E">
        <w:rPr>
          <w:sz w:val="22"/>
          <w:szCs w:val="22"/>
        </w:rPr>
        <w:t>Jauneikaite</w:t>
      </w:r>
      <w:proofErr w:type="spellEnd"/>
      <w:r w:rsidRPr="00894F4E">
        <w:rPr>
          <w:sz w:val="22"/>
          <w:szCs w:val="22"/>
        </w:rPr>
        <w:t xml:space="preserve"> E, Hopkins KL, </w:t>
      </w:r>
      <w:r w:rsidRPr="00894F4E">
        <w:rPr>
          <w:i/>
          <w:iCs/>
          <w:sz w:val="22"/>
          <w:szCs w:val="22"/>
        </w:rPr>
        <w:t>et al.</w:t>
      </w:r>
      <w:r w:rsidRPr="00894F4E">
        <w:rPr>
          <w:sz w:val="22"/>
          <w:szCs w:val="22"/>
        </w:rPr>
        <w:t xml:space="preserve"> Genomics for public health and international surveillance of antimicrobial resistance. </w:t>
      </w:r>
      <w:r w:rsidRPr="00894F4E">
        <w:rPr>
          <w:i/>
          <w:iCs/>
          <w:sz w:val="22"/>
          <w:szCs w:val="22"/>
        </w:rPr>
        <w:t>The Lancet Microbe</w:t>
      </w:r>
      <w:r w:rsidRPr="00894F4E">
        <w:rPr>
          <w:sz w:val="22"/>
          <w:szCs w:val="22"/>
        </w:rPr>
        <w:t xml:space="preserve"> 2023; </w:t>
      </w:r>
      <w:r w:rsidRPr="00894F4E">
        <w:rPr>
          <w:b/>
          <w:bCs/>
          <w:sz w:val="22"/>
          <w:szCs w:val="22"/>
        </w:rPr>
        <w:t>4</w:t>
      </w:r>
      <w:r w:rsidRPr="00894F4E">
        <w:rPr>
          <w:sz w:val="22"/>
          <w:szCs w:val="22"/>
        </w:rPr>
        <w:t>: e1047–55.</w:t>
      </w:r>
    </w:p>
    <w:p w14:paraId="7F8F0B57"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lastRenderedPageBreak/>
        <w:t>125</w:t>
      </w:r>
      <w:r w:rsidRPr="00894F4E">
        <w:rPr>
          <w:sz w:val="22"/>
          <w:szCs w:val="22"/>
        </w:rPr>
        <w:tab/>
      </w:r>
      <w:proofErr w:type="spellStart"/>
      <w:r w:rsidRPr="00894F4E">
        <w:rPr>
          <w:sz w:val="22"/>
          <w:szCs w:val="22"/>
        </w:rPr>
        <w:t>Mogasale</w:t>
      </w:r>
      <w:proofErr w:type="spellEnd"/>
      <w:r w:rsidRPr="00894F4E">
        <w:rPr>
          <w:sz w:val="22"/>
          <w:szCs w:val="22"/>
        </w:rPr>
        <w:t xml:space="preserve"> V, Ramani E, </w:t>
      </w:r>
      <w:proofErr w:type="spellStart"/>
      <w:r w:rsidRPr="00894F4E">
        <w:rPr>
          <w:sz w:val="22"/>
          <w:szCs w:val="22"/>
        </w:rPr>
        <w:t>Mogasale</w:t>
      </w:r>
      <w:proofErr w:type="spellEnd"/>
      <w:r w:rsidRPr="00894F4E">
        <w:rPr>
          <w:sz w:val="22"/>
          <w:szCs w:val="22"/>
        </w:rPr>
        <w:t xml:space="preserve"> VV, Park J. What proportion of Salmonella Typhi cases are detected by blood culture? A systematic literature </w:t>
      </w:r>
      <w:proofErr w:type="gramStart"/>
      <w:r w:rsidRPr="00894F4E">
        <w:rPr>
          <w:sz w:val="22"/>
          <w:szCs w:val="22"/>
        </w:rPr>
        <w:t>review</w:t>
      </w:r>
      <w:proofErr w:type="gramEnd"/>
      <w:r w:rsidRPr="00894F4E">
        <w:rPr>
          <w:sz w:val="22"/>
          <w:szCs w:val="22"/>
        </w:rPr>
        <w:t xml:space="preserve">. </w:t>
      </w:r>
      <w:r w:rsidRPr="00894F4E">
        <w:rPr>
          <w:i/>
          <w:iCs/>
          <w:sz w:val="22"/>
          <w:szCs w:val="22"/>
        </w:rPr>
        <w:t>Annals of clinical microbiology and antimicrobials</w:t>
      </w:r>
      <w:r w:rsidRPr="00894F4E">
        <w:rPr>
          <w:sz w:val="22"/>
          <w:szCs w:val="22"/>
        </w:rPr>
        <w:t xml:space="preserve"> 2016; </w:t>
      </w:r>
      <w:r w:rsidRPr="00894F4E">
        <w:rPr>
          <w:b/>
          <w:bCs/>
          <w:sz w:val="22"/>
          <w:szCs w:val="22"/>
        </w:rPr>
        <w:t>15</w:t>
      </w:r>
      <w:r w:rsidRPr="00894F4E">
        <w:rPr>
          <w:sz w:val="22"/>
          <w:szCs w:val="22"/>
        </w:rPr>
        <w:t>: 1–8.</w:t>
      </w:r>
    </w:p>
    <w:p w14:paraId="2DB2FE05"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126</w:t>
      </w:r>
      <w:r w:rsidRPr="00894F4E">
        <w:rPr>
          <w:sz w:val="22"/>
          <w:szCs w:val="22"/>
        </w:rPr>
        <w:tab/>
        <w:t>Coalition Against Typhoid. Typhoid Vaccines. https://www.coalitionagainsttyphoid.org/the-issues/typhoid-vaccines/ (accessed Feb 15, 2024).</w:t>
      </w:r>
    </w:p>
    <w:p w14:paraId="46C7D192"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127</w:t>
      </w:r>
      <w:r w:rsidRPr="00894F4E">
        <w:rPr>
          <w:sz w:val="22"/>
          <w:szCs w:val="22"/>
        </w:rPr>
        <w:tab/>
        <w:t xml:space="preserve">Bentley SD, Lo SW. Global genomic pathogen surveillance to inform vaccine strategies: a decade-long expedition in pneumococcal genomics. </w:t>
      </w:r>
      <w:r w:rsidRPr="00894F4E">
        <w:rPr>
          <w:i/>
          <w:iCs/>
          <w:sz w:val="22"/>
          <w:szCs w:val="22"/>
        </w:rPr>
        <w:t>Genome Medicine</w:t>
      </w:r>
      <w:r w:rsidRPr="00894F4E">
        <w:rPr>
          <w:sz w:val="22"/>
          <w:szCs w:val="22"/>
        </w:rPr>
        <w:t xml:space="preserve"> 2021; </w:t>
      </w:r>
      <w:r w:rsidRPr="00894F4E">
        <w:rPr>
          <w:b/>
          <w:bCs/>
          <w:sz w:val="22"/>
          <w:szCs w:val="22"/>
        </w:rPr>
        <w:t>13</w:t>
      </w:r>
      <w:r w:rsidRPr="00894F4E">
        <w:rPr>
          <w:sz w:val="22"/>
          <w:szCs w:val="22"/>
        </w:rPr>
        <w:t>: 84.</w:t>
      </w:r>
    </w:p>
    <w:p w14:paraId="7ABF9A03"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128</w:t>
      </w:r>
      <w:r w:rsidRPr="00894F4E">
        <w:rPr>
          <w:sz w:val="22"/>
          <w:szCs w:val="22"/>
        </w:rPr>
        <w:tab/>
        <w:t xml:space="preserve">Browne AJ, Chipeta MG, Haines-Woodhouse G, </w:t>
      </w:r>
      <w:r w:rsidRPr="00894F4E">
        <w:rPr>
          <w:i/>
          <w:iCs/>
          <w:sz w:val="22"/>
          <w:szCs w:val="22"/>
        </w:rPr>
        <w:t>et al.</w:t>
      </w:r>
      <w:r w:rsidRPr="00894F4E">
        <w:rPr>
          <w:sz w:val="22"/>
          <w:szCs w:val="22"/>
        </w:rPr>
        <w:t xml:space="preserve"> Global antibiotic consumption and usage in humans, 2000–18: a spatial modelling study. </w:t>
      </w:r>
      <w:r w:rsidRPr="00894F4E">
        <w:rPr>
          <w:i/>
          <w:iCs/>
          <w:sz w:val="22"/>
          <w:szCs w:val="22"/>
        </w:rPr>
        <w:t>The Lancet Planetary Health</w:t>
      </w:r>
      <w:r w:rsidRPr="00894F4E">
        <w:rPr>
          <w:sz w:val="22"/>
          <w:szCs w:val="22"/>
        </w:rPr>
        <w:t xml:space="preserve"> 2021; </w:t>
      </w:r>
      <w:r w:rsidRPr="00894F4E">
        <w:rPr>
          <w:b/>
          <w:bCs/>
          <w:sz w:val="22"/>
          <w:szCs w:val="22"/>
        </w:rPr>
        <w:t>5</w:t>
      </w:r>
      <w:r w:rsidRPr="00894F4E">
        <w:rPr>
          <w:sz w:val="22"/>
          <w:szCs w:val="22"/>
        </w:rPr>
        <w:t>: e893–904.</w:t>
      </w:r>
    </w:p>
    <w:p w14:paraId="23846C56"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129</w:t>
      </w:r>
      <w:r w:rsidRPr="00894F4E">
        <w:rPr>
          <w:sz w:val="22"/>
          <w:szCs w:val="22"/>
        </w:rPr>
        <w:tab/>
        <w:t>World Health Organization. The WHO AWaRe (access, watch, reserve) antibiotic book. Geneva: World Health Organization, 2022.</w:t>
      </w:r>
    </w:p>
    <w:p w14:paraId="2A3CF3D6"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130</w:t>
      </w:r>
      <w:r w:rsidRPr="00894F4E">
        <w:rPr>
          <w:sz w:val="22"/>
          <w:szCs w:val="22"/>
        </w:rPr>
        <w:tab/>
      </w:r>
      <w:proofErr w:type="spellStart"/>
      <w:r w:rsidRPr="00894F4E">
        <w:rPr>
          <w:sz w:val="22"/>
          <w:szCs w:val="22"/>
        </w:rPr>
        <w:t>Mulchandani</w:t>
      </w:r>
      <w:proofErr w:type="spellEnd"/>
      <w:r w:rsidRPr="00894F4E">
        <w:rPr>
          <w:sz w:val="22"/>
          <w:szCs w:val="22"/>
        </w:rPr>
        <w:t xml:space="preserve"> R, Wang Y, Gilbert M, Van Boeckel TP. Global trends in antimicrobial use in food-producing animals: 2020 to 2030. </w:t>
      </w:r>
      <w:r w:rsidRPr="00894F4E">
        <w:rPr>
          <w:i/>
          <w:iCs/>
          <w:sz w:val="22"/>
          <w:szCs w:val="22"/>
        </w:rPr>
        <w:t>PLOS Global Public Health</w:t>
      </w:r>
      <w:r w:rsidRPr="00894F4E">
        <w:rPr>
          <w:sz w:val="22"/>
          <w:szCs w:val="22"/>
        </w:rPr>
        <w:t xml:space="preserve"> 2023; </w:t>
      </w:r>
      <w:r w:rsidRPr="00894F4E">
        <w:rPr>
          <w:b/>
          <w:bCs/>
          <w:sz w:val="22"/>
          <w:szCs w:val="22"/>
        </w:rPr>
        <w:t>3</w:t>
      </w:r>
      <w:r w:rsidRPr="00894F4E">
        <w:rPr>
          <w:sz w:val="22"/>
          <w:szCs w:val="22"/>
        </w:rPr>
        <w:t>: e0001305.</w:t>
      </w:r>
    </w:p>
    <w:p w14:paraId="7F63355A"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131</w:t>
      </w:r>
      <w:r w:rsidRPr="00894F4E">
        <w:rPr>
          <w:sz w:val="22"/>
          <w:szCs w:val="22"/>
        </w:rPr>
        <w:tab/>
      </w:r>
      <w:proofErr w:type="spellStart"/>
      <w:r w:rsidRPr="00894F4E">
        <w:rPr>
          <w:sz w:val="22"/>
          <w:szCs w:val="22"/>
        </w:rPr>
        <w:t>Cavany</w:t>
      </w:r>
      <w:proofErr w:type="spellEnd"/>
      <w:r w:rsidRPr="00894F4E">
        <w:rPr>
          <w:sz w:val="22"/>
          <w:szCs w:val="22"/>
        </w:rPr>
        <w:t xml:space="preserve"> S, </w:t>
      </w:r>
      <w:proofErr w:type="spellStart"/>
      <w:r w:rsidRPr="00894F4E">
        <w:rPr>
          <w:sz w:val="22"/>
          <w:szCs w:val="22"/>
        </w:rPr>
        <w:t>Nanyonga</w:t>
      </w:r>
      <w:proofErr w:type="spellEnd"/>
      <w:r w:rsidRPr="00894F4E">
        <w:rPr>
          <w:sz w:val="22"/>
          <w:szCs w:val="22"/>
        </w:rPr>
        <w:t xml:space="preserve"> S, Hauk C, </w:t>
      </w:r>
      <w:r w:rsidRPr="00894F4E">
        <w:rPr>
          <w:i/>
          <w:iCs/>
          <w:sz w:val="22"/>
          <w:szCs w:val="22"/>
        </w:rPr>
        <w:t>et al.</w:t>
      </w:r>
      <w:r w:rsidRPr="00894F4E">
        <w:rPr>
          <w:sz w:val="22"/>
          <w:szCs w:val="22"/>
        </w:rPr>
        <w:t xml:space="preserve"> The uncertain role of substandard and falsified medicines in the emergence and spread of antimicrobial resistance. </w:t>
      </w:r>
      <w:r w:rsidRPr="00894F4E">
        <w:rPr>
          <w:i/>
          <w:iCs/>
          <w:sz w:val="22"/>
          <w:szCs w:val="22"/>
        </w:rPr>
        <w:t>Nature Communications</w:t>
      </w:r>
      <w:r w:rsidRPr="00894F4E">
        <w:rPr>
          <w:sz w:val="22"/>
          <w:szCs w:val="22"/>
        </w:rPr>
        <w:t xml:space="preserve"> 2023; </w:t>
      </w:r>
      <w:r w:rsidRPr="00894F4E">
        <w:rPr>
          <w:b/>
          <w:bCs/>
          <w:sz w:val="22"/>
          <w:szCs w:val="22"/>
        </w:rPr>
        <w:t>14</w:t>
      </w:r>
      <w:r w:rsidRPr="00894F4E">
        <w:rPr>
          <w:sz w:val="22"/>
          <w:szCs w:val="22"/>
        </w:rPr>
        <w:t>: 6153.</w:t>
      </w:r>
    </w:p>
    <w:p w14:paraId="1C02AB05"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132</w:t>
      </w:r>
      <w:r w:rsidRPr="00894F4E">
        <w:rPr>
          <w:sz w:val="22"/>
          <w:szCs w:val="22"/>
        </w:rPr>
        <w:tab/>
        <w:t xml:space="preserve">Weinstein ZB, Zaman MH. Evolution of rifampin resistance in Escherichia coli and Mycobacterium smegmatis due to substandard drugs. </w:t>
      </w:r>
      <w:r w:rsidRPr="00894F4E">
        <w:rPr>
          <w:i/>
          <w:iCs/>
          <w:sz w:val="22"/>
          <w:szCs w:val="22"/>
        </w:rPr>
        <w:t>Antimicrobial agents and chemotherapy</w:t>
      </w:r>
      <w:r w:rsidRPr="00894F4E">
        <w:rPr>
          <w:sz w:val="22"/>
          <w:szCs w:val="22"/>
        </w:rPr>
        <w:t xml:space="preserve"> 2019; </w:t>
      </w:r>
      <w:r w:rsidRPr="00894F4E">
        <w:rPr>
          <w:b/>
          <w:bCs/>
          <w:sz w:val="22"/>
          <w:szCs w:val="22"/>
        </w:rPr>
        <w:t>63</w:t>
      </w:r>
      <w:r w:rsidRPr="00894F4E">
        <w:rPr>
          <w:sz w:val="22"/>
          <w:szCs w:val="22"/>
        </w:rPr>
        <w:t>: 10–1128.</w:t>
      </w:r>
    </w:p>
    <w:p w14:paraId="2D6792E5"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133</w:t>
      </w:r>
      <w:r w:rsidRPr="00894F4E">
        <w:rPr>
          <w:sz w:val="22"/>
          <w:szCs w:val="22"/>
        </w:rPr>
        <w:tab/>
        <w:t xml:space="preserve">Bjerke L. Antibiotic geographies and access to medicines: Tracing the role of India’s pharmaceutical industry in global trade. </w:t>
      </w:r>
      <w:r w:rsidRPr="00894F4E">
        <w:rPr>
          <w:i/>
          <w:iCs/>
          <w:sz w:val="22"/>
          <w:szCs w:val="22"/>
        </w:rPr>
        <w:t>Social Science &amp; Medicine</w:t>
      </w:r>
      <w:r w:rsidRPr="00894F4E">
        <w:rPr>
          <w:sz w:val="22"/>
          <w:szCs w:val="22"/>
        </w:rPr>
        <w:t xml:space="preserve"> 2022; </w:t>
      </w:r>
      <w:r w:rsidRPr="00894F4E">
        <w:rPr>
          <w:b/>
          <w:bCs/>
          <w:sz w:val="22"/>
          <w:szCs w:val="22"/>
        </w:rPr>
        <w:t>312</w:t>
      </w:r>
      <w:r w:rsidRPr="00894F4E">
        <w:rPr>
          <w:sz w:val="22"/>
          <w:szCs w:val="22"/>
        </w:rPr>
        <w:t>: 115386.</w:t>
      </w:r>
    </w:p>
    <w:p w14:paraId="797B17E1"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134</w:t>
      </w:r>
      <w:r w:rsidRPr="00894F4E">
        <w:rPr>
          <w:sz w:val="22"/>
          <w:szCs w:val="22"/>
        </w:rPr>
        <w:tab/>
        <w:t>Health Policy and Systems Research on Antimicrobial Resistance (HPSR-AMR) Network. Thailand One Health Dashboard on Antimicrobial Resistance. https://www.thaiamrwatch.net (accessed Nov 24, 2023).</w:t>
      </w:r>
    </w:p>
    <w:p w14:paraId="025017E4"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135</w:t>
      </w:r>
      <w:r w:rsidRPr="00894F4E">
        <w:rPr>
          <w:sz w:val="22"/>
          <w:szCs w:val="22"/>
        </w:rPr>
        <w:tab/>
        <w:t xml:space="preserve">Kumar V, Bansal V, </w:t>
      </w:r>
      <w:proofErr w:type="spellStart"/>
      <w:r w:rsidRPr="00894F4E">
        <w:rPr>
          <w:sz w:val="22"/>
          <w:szCs w:val="22"/>
        </w:rPr>
        <w:t>Madhavan</w:t>
      </w:r>
      <w:proofErr w:type="spellEnd"/>
      <w:r w:rsidRPr="00894F4E">
        <w:rPr>
          <w:sz w:val="22"/>
          <w:szCs w:val="22"/>
        </w:rPr>
        <w:t xml:space="preserve"> A, </w:t>
      </w:r>
      <w:r w:rsidRPr="00894F4E">
        <w:rPr>
          <w:i/>
          <w:iCs/>
          <w:sz w:val="22"/>
          <w:szCs w:val="22"/>
        </w:rPr>
        <w:t>et al.</w:t>
      </w:r>
      <w:r w:rsidRPr="00894F4E">
        <w:rPr>
          <w:sz w:val="22"/>
          <w:szCs w:val="22"/>
        </w:rPr>
        <w:t xml:space="preserve"> Active pharmaceutical ingredient (API) chemicals: a critical review of current biotechnological approaches. </w:t>
      </w:r>
      <w:r w:rsidRPr="00894F4E">
        <w:rPr>
          <w:i/>
          <w:iCs/>
          <w:sz w:val="22"/>
          <w:szCs w:val="22"/>
        </w:rPr>
        <w:t>Bioengineered</w:t>
      </w:r>
      <w:r w:rsidRPr="00894F4E">
        <w:rPr>
          <w:sz w:val="22"/>
          <w:szCs w:val="22"/>
        </w:rPr>
        <w:t xml:space="preserve"> 2022; </w:t>
      </w:r>
      <w:r w:rsidRPr="00894F4E">
        <w:rPr>
          <w:b/>
          <w:bCs/>
          <w:sz w:val="22"/>
          <w:szCs w:val="22"/>
        </w:rPr>
        <w:t>13</w:t>
      </w:r>
      <w:r w:rsidRPr="00894F4E">
        <w:rPr>
          <w:sz w:val="22"/>
          <w:szCs w:val="22"/>
        </w:rPr>
        <w:t>: 4309–27.</w:t>
      </w:r>
    </w:p>
    <w:p w14:paraId="55B130C3"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136</w:t>
      </w:r>
      <w:r w:rsidRPr="00894F4E">
        <w:rPr>
          <w:sz w:val="22"/>
          <w:szCs w:val="22"/>
        </w:rPr>
        <w:tab/>
        <w:t>Homepage. Global-PPS. https://www.global-pps.com (accessed Nov 24, 2023).</w:t>
      </w:r>
    </w:p>
    <w:p w14:paraId="09A885C2"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137</w:t>
      </w:r>
      <w:r w:rsidRPr="00894F4E">
        <w:rPr>
          <w:sz w:val="22"/>
          <w:szCs w:val="22"/>
        </w:rPr>
        <w:tab/>
        <w:t xml:space="preserve">Monnier AA, Do NT, Asante KP, </w:t>
      </w:r>
      <w:r w:rsidRPr="00894F4E">
        <w:rPr>
          <w:i/>
          <w:iCs/>
          <w:sz w:val="22"/>
          <w:szCs w:val="22"/>
        </w:rPr>
        <w:t>et al.</w:t>
      </w:r>
      <w:r w:rsidRPr="00894F4E">
        <w:rPr>
          <w:sz w:val="22"/>
          <w:szCs w:val="22"/>
        </w:rPr>
        <w:t xml:space="preserve"> Is this pill an antibiotic or a painkiller? Improving the identification of oral antibiotics for better use. </w:t>
      </w:r>
      <w:r w:rsidRPr="00894F4E">
        <w:rPr>
          <w:i/>
          <w:iCs/>
          <w:sz w:val="22"/>
          <w:szCs w:val="22"/>
        </w:rPr>
        <w:t>The Lancet Global Health</w:t>
      </w:r>
      <w:r w:rsidRPr="00894F4E">
        <w:rPr>
          <w:sz w:val="22"/>
          <w:szCs w:val="22"/>
        </w:rPr>
        <w:t xml:space="preserve"> 2023; </w:t>
      </w:r>
      <w:r w:rsidRPr="00894F4E">
        <w:rPr>
          <w:b/>
          <w:bCs/>
          <w:sz w:val="22"/>
          <w:szCs w:val="22"/>
        </w:rPr>
        <w:t>11</w:t>
      </w:r>
      <w:r w:rsidRPr="00894F4E">
        <w:rPr>
          <w:sz w:val="22"/>
          <w:szCs w:val="22"/>
        </w:rPr>
        <w:t>: e1308–13.</w:t>
      </w:r>
    </w:p>
    <w:p w14:paraId="21201096"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138</w:t>
      </w:r>
      <w:r w:rsidRPr="00894F4E">
        <w:rPr>
          <w:sz w:val="22"/>
          <w:szCs w:val="22"/>
        </w:rPr>
        <w:tab/>
        <w:t xml:space="preserve">Bradley VC, </w:t>
      </w:r>
      <w:proofErr w:type="spellStart"/>
      <w:r w:rsidRPr="00894F4E">
        <w:rPr>
          <w:sz w:val="22"/>
          <w:szCs w:val="22"/>
        </w:rPr>
        <w:t>Kuriwaki</w:t>
      </w:r>
      <w:proofErr w:type="spellEnd"/>
      <w:r w:rsidRPr="00894F4E">
        <w:rPr>
          <w:sz w:val="22"/>
          <w:szCs w:val="22"/>
        </w:rPr>
        <w:t xml:space="preserve"> S, Isakov M, </w:t>
      </w:r>
      <w:proofErr w:type="spellStart"/>
      <w:r w:rsidRPr="00894F4E">
        <w:rPr>
          <w:sz w:val="22"/>
          <w:szCs w:val="22"/>
        </w:rPr>
        <w:t>Sejdinovic</w:t>
      </w:r>
      <w:proofErr w:type="spellEnd"/>
      <w:r w:rsidRPr="00894F4E">
        <w:rPr>
          <w:sz w:val="22"/>
          <w:szCs w:val="22"/>
        </w:rPr>
        <w:t xml:space="preserve"> D, Meng X-L, Flaxman S. Unrepresentative big surveys significantly overestimated US vaccine uptake. </w:t>
      </w:r>
      <w:r w:rsidRPr="00894F4E">
        <w:rPr>
          <w:i/>
          <w:iCs/>
          <w:sz w:val="22"/>
          <w:szCs w:val="22"/>
        </w:rPr>
        <w:t>Nature</w:t>
      </w:r>
      <w:r w:rsidRPr="00894F4E">
        <w:rPr>
          <w:sz w:val="22"/>
          <w:szCs w:val="22"/>
        </w:rPr>
        <w:t xml:space="preserve"> 2021; </w:t>
      </w:r>
      <w:r w:rsidRPr="00894F4E">
        <w:rPr>
          <w:b/>
          <w:bCs/>
          <w:sz w:val="22"/>
          <w:szCs w:val="22"/>
        </w:rPr>
        <w:t>600</w:t>
      </w:r>
      <w:r w:rsidRPr="00894F4E">
        <w:rPr>
          <w:sz w:val="22"/>
          <w:szCs w:val="22"/>
        </w:rPr>
        <w:t>: 695–700.</w:t>
      </w:r>
    </w:p>
    <w:p w14:paraId="66290B4E"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139</w:t>
      </w:r>
      <w:r w:rsidRPr="00894F4E">
        <w:rPr>
          <w:sz w:val="22"/>
          <w:szCs w:val="22"/>
        </w:rPr>
        <w:tab/>
        <w:t xml:space="preserve">Klein EY, </w:t>
      </w:r>
      <w:proofErr w:type="spellStart"/>
      <w:r w:rsidRPr="00894F4E">
        <w:rPr>
          <w:sz w:val="22"/>
          <w:szCs w:val="22"/>
        </w:rPr>
        <w:t>Milkowska</w:t>
      </w:r>
      <w:proofErr w:type="spellEnd"/>
      <w:r w:rsidRPr="00894F4E">
        <w:rPr>
          <w:sz w:val="22"/>
          <w:szCs w:val="22"/>
        </w:rPr>
        <w:t xml:space="preserve">-Shibata M, Tseng KK, </w:t>
      </w:r>
      <w:r w:rsidRPr="00894F4E">
        <w:rPr>
          <w:i/>
          <w:iCs/>
          <w:sz w:val="22"/>
          <w:szCs w:val="22"/>
        </w:rPr>
        <w:t>et al.</w:t>
      </w:r>
      <w:r w:rsidRPr="00894F4E">
        <w:rPr>
          <w:sz w:val="22"/>
          <w:szCs w:val="22"/>
        </w:rPr>
        <w:t xml:space="preserve"> Assessment of WHO antibiotic consumption and access targets in 76 countries, 2000–15: an analysis of pharmaceutical sales data. </w:t>
      </w:r>
      <w:r w:rsidRPr="00894F4E">
        <w:rPr>
          <w:i/>
          <w:iCs/>
          <w:sz w:val="22"/>
          <w:szCs w:val="22"/>
        </w:rPr>
        <w:t>The Lancet Infectious Diseases</w:t>
      </w:r>
      <w:r w:rsidRPr="00894F4E">
        <w:rPr>
          <w:sz w:val="22"/>
          <w:szCs w:val="22"/>
        </w:rPr>
        <w:t xml:space="preserve"> 2021; </w:t>
      </w:r>
      <w:r w:rsidRPr="00894F4E">
        <w:rPr>
          <w:b/>
          <w:bCs/>
          <w:sz w:val="22"/>
          <w:szCs w:val="22"/>
        </w:rPr>
        <w:t>21</w:t>
      </w:r>
      <w:r w:rsidRPr="00894F4E">
        <w:rPr>
          <w:sz w:val="22"/>
          <w:szCs w:val="22"/>
        </w:rPr>
        <w:t>: 107–15.</w:t>
      </w:r>
    </w:p>
    <w:p w14:paraId="4FA38DBF"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140</w:t>
      </w:r>
      <w:r w:rsidRPr="00894F4E">
        <w:rPr>
          <w:sz w:val="22"/>
          <w:szCs w:val="22"/>
        </w:rPr>
        <w:tab/>
        <w:t xml:space="preserve">Wertheim HF, </w:t>
      </w:r>
      <w:proofErr w:type="spellStart"/>
      <w:r w:rsidRPr="00894F4E">
        <w:rPr>
          <w:sz w:val="22"/>
          <w:szCs w:val="22"/>
        </w:rPr>
        <w:t>Chuc</w:t>
      </w:r>
      <w:proofErr w:type="spellEnd"/>
      <w:r w:rsidRPr="00894F4E">
        <w:rPr>
          <w:sz w:val="22"/>
          <w:szCs w:val="22"/>
        </w:rPr>
        <w:t xml:space="preserve"> NTK, </w:t>
      </w:r>
      <w:proofErr w:type="spellStart"/>
      <w:r w:rsidRPr="00894F4E">
        <w:rPr>
          <w:sz w:val="22"/>
          <w:szCs w:val="22"/>
        </w:rPr>
        <w:t>Punpuing</w:t>
      </w:r>
      <w:proofErr w:type="spellEnd"/>
      <w:r w:rsidRPr="00894F4E">
        <w:rPr>
          <w:sz w:val="22"/>
          <w:szCs w:val="22"/>
        </w:rPr>
        <w:t xml:space="preserve"> S, </w:t>
      </w:r>
      <w:r w:rsidRPr="00894F4E">
        <w:rPr>
          <w:i/>
          <w:iCs/>
          <w:sz w:val="22"/>
          <w:szCs w:val="22"/>
        </w:rPr>
        <w:t>et al.</w:t>
      </w:r>
      <w:r w:rsidRPr="00894F4E">
        <w:rPr>
          <w:sz w:val="22"/>
          <w:szCs w:val="22"/>
        </w:rPr>
        <w:t xml:space="preserve"> Community-level antibiotic access and use (ABACUS) in low-and middle-income countries: finding targets for social interventions to improve appropriate antimicrobial use–an observational multi-Centre study. </w:t>
      </w:r>
      <w:proofErr w:type="spellStart"/>
      <w:r w:rsidRPr="00894F4E">
        <w:rPr>
          <w:i/>
          <w:iCs/>
          <w:sz w:val="22"/>
          <w:szCs w:val="22"/>
        </w:rPr>
        <w:t>Wellcome</w:t>
      </w:r>
      <w:proofErr w:type="spellEnd"/>
      <w:r w:rsidRPr="00894F4E">
        <w:rPr>
          <w:i/>
          <w:iCs/>
          <w:sz w:val="22"/>
          <w:szCs w:val="22"/>
        </w:rPr>
        <w:t xml:space="preserve"> Open Research</w:t>
      </w:r>
      <w:r w:rsidRPr="00894F4E">
        <w:rPr>
          <w:sz w:val="22"/>
          <w:szCs w:val="22"/>
        </w:rPr>
        <w:t xml:space="preserve"> 2017; </w:t>
      </w:r>
      <w:r w:rsidRPr="00894F4E">
        <w:rPr>
          <w:b/>
          <w:bCs/>
          <w:sz w:val="22"/>
          <w:szCs w:val="22"/>
        </w:rPr>
        <w:t>2</w:t>
      </w:r>
      <w:r w:rsidRPr="00894F4E">
        <w:rPr>
          <w:sz w:val="22"/>
          <w:szCs w:val="22"/>
        </w:rPr>
        <w:t>.</w:t>
      </w:r>
    </w:p>
    <w:p w14:paraId="5081AD21"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141</w:t>
      </w:r>
      <w:r w:rsidRPr="00894F4E">
        <w:rPr>
          <w:sz w:val="22"/>
          <w:szCs w:val="22"/>
        </w:rPr>
        <w:tab/>
        <w:t xml:space="preserve">Morgan DJ, Okeke IN, Laxminarayan R, </w:t>
      </w:r>
      <w:proofErr w:type="spellStart"/>
      <w:r w:rsidRPr="00894F4E">
        <w:rPr>
          <w:sz w:val="22"/>
          <w:szCs w:val="22"/>
        </w:rPr>
        <w:t>Perencevich</w:t>
      </w:r>
      <w:proofErr w:type="spellEnd"/>
      <w:r w:rsidRPr="00894F4E">
        <w:rPr>
          <w:sz w:val="22"/>
          <w:szCs w:val="22"/>
        </w:rPr>
        <w:t xml:space="preserve"> EN, </w:t>
      </w:r>
      <w:proofErr w:type="spellStart"/>
      <w:r w:rsidRPr="00894F4E">
        <w:rPr>
          <w:sz w:val="22"/>
          <w:szCs w:val="22"/>
        </w:rPr>
        <w:t>Weisenberg</w:t>
      </w:r>
      <w:proofErr w:type="spellEnd"/>
      <w:r w:rsidRPr="00894F4E">
        <w:rPr>
          <w:sz w:val="22"/>
          <w:szCs w:val="22"/>
        </w:rPr>
        <w:t xml:space="preserve"> S. Non-prescription antimicrobial use worldwide: a systematic review. </w:t>
      </w:r>
      <w:r w:rsidRPr="00894F4E">
        <w:rPr>
          <w:i/>
          <w:iCs/>
          <w:sz w:val="22"/>
          <w:szCs w:val="22"/>
        </w:rPr>
        <w:t>The Lancet infectious diseases</w:t>
      </w:r>
      <w:r w:rsidRPr="00894F4E">
        <w:rPr>
          <w:sz w:val="22"/>
          <w:szCs w:val="22"/>
        </w:rPr>
        <w:t xml:space="preserve"> 2011; </w:t>
      </w:r>
      <w:r w:rsidRPr="00894F4E">
        <w:rPr>
          <w:b/>
          <w:bCs/>
          <w:sz w:val="22"/>
          <w:szCs w:val="22"/>
        </w:rPr>
        <w:t>11</w:t>
      </w:r>
      <w:r w:rsidRPr="00894F4E">
        <w:rPr>
          <w:sz w:val="22"/>
          <w:szCs w:val="22"/>
        </w:rPr>
        <w:t>: 692–701.</w:t>
      </w:r>
    </w:p>
    <w:p w14:paraId="19DBB58A"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142</w:t>
      </w:r>
      <w:r w:rsidRPr="00894F4E">
        <w:rPr>
          <w:sz w:val="22"/>
          <w:szCs w:val="22"/>
        </w:rPr>
        <w:tab/>
        <w:t xml:space="preserve">Whyte SR, Van der </w:t>
      </w:r>
      <w:proofErr w:type="spellStart"/>
      <w:r w:rsidRPr="00894F4E">
        <w:rPr>
          <w:sz w:val="22"/>
          <w:szCs w:val="22"/>
        </w:rPr>
        <w:t>Geest</w:t>
      </w:r>
      <w:proofErr w:type="spellEnd"/>
      <w:r w:rsidRPr="00894F4E">
        <w:rPr>
          <w:sz w:val="22"/>
          <w:szCs w:val="22"/>
        </w:rPr>
        <w:t xml:space="preserve"> S, </w:t>
      </w:r>
      <w:proofErr w:type="gramStart"/>
      <w:r w:rsidRPr="00894F4E">
        <w:rPr>
          <w:sz w:val="22"/>
          <w:szCs w:val="22"/>
        </w:rPr>
        <w:t>Hardon</w:t>
      </w:r>
      <w:proofErr w:type="gramEnd"/>
      <w:r w:rsidRPr="00894F4E">
        <w:rPr>
          <w:sz w:val="22"/>
          <w:szCs w:val="22"/>
        </w:rPr>
        <w:t xml:space="preserve"> A. Social lives of medicines. Cambridge University Press, 2002.</w:t>
      </w:r>
    </w:p>
    <w:p w14:paraId="1CD02DDA"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143</w:t>
      </w:r>
      <w:r w:rsidRPr="00894F4E">
        <w:rPr>
          <w:sz w:val="22"/>
          <w:szCs w:val="22"/>
        </w:rPr>
        <w:tab/>
        <w:t xml:space="preserve">Okeke IN, </w:t>
      </w:r>
      <w:proofErr w:type="spellStart"/>
      <w:r w:rsidRPr="00894F4E">
        <w:rPr>
          <w:sz w:val="22"/>
          <w:szCs w:val="22"/>
        </w:rPr>
        <w:t>Lamikanra</w:t>
      </w:r>
      <w:proofErr w:type="spellEnd"/>
      <w:r w:rsidRPr="00894F4E">
        <w:rPr>
          <w:sz w:val="22"/>
          <w:szCs w:val="22"/>
        </w:rPr>
        <w:t xml:space="preserve"> A, Edelman R. Socioeconomic and behavioral factors leading to acquired bacterial resistance to antibiotics in developing countries. </w:t>
      </w:r>
      <w:r w:rsidRPr="00894F4E">
        <w:rPr>
          <w:i/>
          <w:iCs/>
          <w:sz w:val="22"/>
          <w:szCs w:val="22"/>
        </w:rPr>
        <w:t>Emerging infectious diseases</w:t>
      </w:r>
      <w:r w:rsidRPr="00894F4E">
        <w:rPr>
          <w:sz w:val="22"/>
          <w:szCs w:val="22"/>
        </w:rPr>
        <w:t xml:space="preserve"> 1999; </w:t>
      </w:r>
      <w:r w:rsidRPr="00894F4E">
        <w:rPr>
          <w:b/>
          <w:bCs/>
          <w:sz w:val="22"/>
          <w:szCs w:val="22"/>
        </w:rPr>
        <w:t>5</w:t>
      </w:r>
      <w:r w:rsidRPr="00894F4E">
        <w:rPr>
          <w:sz w:val="22"/>
          <w:szCs w:val="22"/>
        </w:rPr>
        <w:t>: 18.</w:t>
      </w:r>
    </w:p>
    <w:p w14:paraId="797BB8F1"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144</w:t>
      </w:r>
      <w:r w:rsidRPr="00894F4E">
        <w:rPr>
          <w:sz w:val="22"/>
          <w:szCs w:val="22"/>
        </w:rPr>
        <w:tab/>
        <w:t>The Global Health Network. Antibiotic Prescribing in Primary Healthcare Point Prevalence Survey (APC-PPS). https://amr.tghn.org/adila/apc-pps/ (accessed Nov 24, 2023).</w:t>
      </w:r>
    </w:p>
    <w:p w14:paraId="1A72F0F6"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145</w:t>
      </w:r>
      <w:r w:rsidRPr="00894F4E">
        <w:rPr>
          <w:sz w:val="22"/>
          <w:szCs w:val="22"/>
        </w:rPr>
        <w:tab/>
        <w:t xml:space="preserve">van </w:t>
      </w:r>
      <w:proofErr w:type="spellStart"/>
      <w:r w:rsidRPr="00894F4E">
        <w:rPr>
          <w:sz w:val="22"/>
          <w:szCs w:val="22"/>
        </w:rPr>
        <w:t>Doorn</w:t>
      </w:r>
      <w:proofErr w:type="spellEnd"/>
      <w:r w:rsidRPr="00894F4E">
        <w:rPr>
          <w:sz w:val="22"/>
          <w:szCs w:val="22"/>
        </w:rPr>
        <w:t xml:space="preserve"> HR, Ashley EA, Turner P. Case-based surveillance of antimicrobial resistance in the ACORN (A Clinically Oriented Antimicrobial Resistance Surveillance Network) study. </w:t>
      </w:r>
      <w:r w:rsidRPr="00894F4E">
        <w:rPr>
          <w:i/>
          <w:iCs/>
          <w:sz w:val="22"/>
          <w:szCs w:val="22"/>
        </w:rPr>
        <w:t>JAC-Antimicrobial Resistance</w:t>
      </w:r>
      <w:r w:rsidRPr="00894F4E">
        <w:rPr>
          <w:sz w:val="22"/>
          <w:szCs w:val="22"/>
        </w:rPr>
        <w:t xml:space="preserve"> 2020; </w:t>
      </w:r>
      <w:r w:rsidRPr="00894F4E">
        <w:rPr>
          <w:b/>
          <w:bCs/>
          <w:sz w:val="22"/>
          <w:szCs w:val="22"/>
        </w:rPr>
        <w:t>2</w:t>
      </w:r>
      <w:r w:rsidRPr="00894F4E">
        <w:rPr>
          <w:sz w:val="22"/>
          <w:szCs w:val="22"/>
        </w:rPr>
        <w:t>: dlaa018.</w:t>
      </w:r>
    </w:p>
    <w:p w14:paraId="4692C723"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146</w:t>
      </w:r>
      <w:r w:rsidRPr="00894F4E">
        <w:rPr>
          <w:sz w:val="22"/>
          <w:szCs w:val="22"/>
        </w:rPr>
        <w:tab/>
      </w:r>
      <w:proofErr w:type="spellStart"/>
      <w:r w:rsidRPr="00894F4E">
        <w:rPr>
          <w:sz w:val="22"/>
          <w:szCs w:val="22"/>
        </w:rPr>
        <w:t>Laupland</w:t>
      </w:r>
      <w:proofErr w:type="spellEnd"/>
      <w:r w:rsidRPr="00894F4E">
        <w:rPr>
          <w:sz w:val="22"/>
          <w:szCs w:val="22"/>
        </w:rPr>
        <w:t xml:space="preserve"> K. Defining the epidemiology of bloodstream infections: the ‘gold </w:t>
      </w:r>
      <w:proofErr w:type="spellStart"/>
      <w:r w:rsidRPr="00894F4E">
        <w:rPr>
          <w:sz w:val="22"/>
          <w:szCs w:val="22"/>
        </w:rPr>
        <w:t>standard’of</w:t>
      </w:r>
      <w:proofErr w:type="spellEnd"/>
      <w:r w:rsidRPr="00894F4E">
        <w:rPr>
          <w:sz w:val="22"/>
          <w:szCs w:val="22"/>
        </w:rPr>
        <w:t xml:space="preserve"> population-based assessment. </w:t>
      </w:r>
      <w:r w:rsidRPr="00894F4E">
        <w:rPr>
          <w:i/>
          <w:iCs/>
          <w:sz w:val="22"/>
          <w:szCs w:val="22"/>
        </w:rPr>
        <w:t>Epidemiology &amp; Infection</w:t>
      </w:r>
      <w:r w:rsidRPr="00894F4E">
        <w:rPr>
          <w:sz w:val="22"/>
          <w:szCs w:val="22"/>
        </w:rPr>
        <w:t xml:space="preserve"> 2013; </w:t>
      </w:r>
      <w:r w:rsidRPr="00894F4E">
        <w:rPr>
          <w:b/>
          <w:bCs/>
          <w:sz w:val="22"/>
          <w:szCs w:val="22"/>
        </w:rPr>
        <w:t>141</w:t>
      </w:r>
      <w:r w:rsidRPr="00894F4E">
        <w:rPr>
          <w:sz w:val="22"/>
          <w:szCs w:val="22"/>
        </w:rPr>
        <w:t>: 2149–57.</w:t>
      </w:r>
    </w:p>
    <w:p w14:paraId="07EE6548"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lastRenderedPageBreak/>
        <w:t>147</w:t>
      </w:r>
      <w:r w:rsidRPr="00894F4E">
        <w:rPr>
          <w:sz w:val="22"/>
          <w:szCs w:val="22"/>
        </w:rPr>
        <w:tab/>
        <w:t xml:space="preserve">Hasegawa S, </w:t>
      </w:r>
      <w:proofErr w:type="spellStart"/>
      <w:r w:rsidRPr="00894F4E">
        <w:rPr>
          <w:sz w:val="22"/>
          <w:szCs w:val="22"/>
        </w:rPr>
        <w:t>Livorsi</w:t>
      </w:r>
      <w:proofErr w:type="spellEnd"/>
      <w:r w:rsidRPr="00894F4E">
        <w:rPr>
          <w:sz w:val="22"/>
          <w:szCs w:val="22"/>
        </w:rPr>
        <w:t xml:space="preserve"> DJ, </w:t>
      </w:r>
      <w:proofErr w:type="spellStart"/>
      <w:r w:rsidRPr="00894F4E">
        <w:rPr>
          <w:sz w:val="22"/>
          <w:szCs w:val="22"/>
        </w:rPr>
        <w:t>Perencevich</w:t>
      </w:r>
      <w:proofErr w:type="spellEnd"/>
      <w:r w:rsidRPr="00894F4E">
        <w:rPr>
          <w:sz w:val="22"/>
          <w:szCs w:val="22"/>
        </w:rPr>
        <w:t xml:space="preserve"> EN, Church JN, </w:t>
      </w:r>
      <w:proofErr w:type="spellStart"/>
      <w:r w:rsidRPr="00894F4E">
        <w:rPr>
          <w:sz w:val="22"/>
          <w:szCs w:val="22"/>
        </w:rPr>
        <w:t>Goto</w:t>
      </w:r>
      <w:proofErr w:type="spellEnd"/>
      <w:r w:rsidRPr="00894F4E">
        <w:rPr>
          <w:sz w:val="22"/>
          <w:szCs w:val="22"/>
        </w:rPr>
        <w:t xml:space="preserve"> M. Diagnostic accuracy of hospital antibiograms in predicting the risk of antimicrobial resistance in </w:t>
      </w:r>
      <w:proofErr w:type="spellStart"/>
      <w:r w:rsidRPr="00894F4E">
        <w:rPr>
          <w:sz w:val="22"/>
          <w:szCs w:val="22"/>
        </w:rPr>
        <w:t>enterobacteriaceae</w:t>
      </w:r>
      <w:proofErr w:type="spellEnd"/>
      <w:r w:rsidRPr="00894F4E">
        <w:rPr>
          <w:sz w:val="22"/>
          <w:szCs w:val="22"/>
        </w:rPr>
        <w:t xml:space="preserve"> isolates: a nationwide multicenter evaluation at the Veterans Health Administration. </w:t>
      </w:r>
      <w:r w:rsidRPr="00894F4E">
        <w:rPr>
          <w:i/>
          <w:iCs/>
          <w:sz w:val="22"/>
          <w:szCs w:val="22"/>
        </w:rPr>
        <w:t>Clinical infectious diseases</w:t>
      </w:r>
      <w:r w:rsidRPr="00894F4E">
        <w:rPr>
          <w:sz w:val="22"/>
          <w:szCs w:val="22"/>
        </w:rPr>
        <w:t xml:space="preserve"> 2023; </w:t>
      </w:r>
      <w:r w:rsidRPr="00894F4E">
        <w:rPr>
          <w:b/>
          <w:bCs/>
          <w:sz w:val="22"/>
          <w:szCs w:val="22"/>
        </w:rPr>
        <w:t>77</w:t>
      </w:r>
      <w:r w:rsidRPr="00894F4E">
        <w:rPr>
          <w:sz w:val="22"/>
          <w:szCs w:val="22"/>
        </w:rPr>
        <w:t>: 1492–500.</w:t>
      </w:r>
    </w:p>
    <w:p w14:paraId="5FB02D48"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148</w:t>
      </w:r>
      <w:r w:rsidRPr="00894F4E">
        <w:rPr>
          <w:sz w:val="22"/>
          <w:szCs w:val="22"/>
        </w:rPr>
        <w:tab/>
      </w:r>
      <w:proofErr w:type="spellStart"/>
      <w:r w:rsidRPr="00894F4E">
        <w:rPr>
          <w:sz w:val="22"/>
          <w:szCs w:val="22"/>
        </w:rPr>
        <w:t>Sintondji</w:t>
      </w:r>
      <w:proofErr w:type="spellEnd"/>
      <w:r w:rsidRPr="00894F4E">
        <w:rPr>
          <w:sz w:val="22"/>
          <w:szCs w:val="22"/>
        </w:rPr>
        <w:t xml:space="preserve"> K, </w:t>
      </w:r>
      <w:proofErr w:type="spellStart"/>
      <w:r w:rsidRPr="00894F4E">
        <w:rPr>
          <w:sz w:val="22"/>
          <w:szCs w:val="22"/>
        </w:rPr>
        <w:t>Fabiyi</w:t>
      </w:r>
      <w:proofErr w:type="spellEnd"/>
      <w:r w:rsidRPr="00894F4E">
        <w:rPr>
          <w:sz w:val="22"/>
          <w:szCs w:val="22"/>
        </w:rPr>
        <w:t xml:space="preserve"> K, </w:t>
      </w:r>
      <w:proofErr w:type="spellStart"/>
      <w:r w:rsidRPr="00894F4E">
        <w:rPr>
          <w:sz w:val="22"/>
          <w:szCs w:val="22"/>
        </w:rPr>
        <w:t>Hougbenou</w:t>
      </w:r>
      <w:proofErr w:type="spellEnd"/>
      <w:r w:rsidRPr="00894F4E">
        <w:rPr>
          <w:sz w:val="22"/>
          <w:szCs w:val="22"/>
        </w:rPr>
        <w:t xml:space="preserve"> J, </w:t>
      </w:r>
      <w:r w:rsidRPr="00894F4E">
        <w:rPr>
          <w:i/>
          <w:iCs/>
          <w:sz w:val="22"/>
          <w:szCs w:val="22"/>
        </w:rPr>
        <w:t>et al.</w:t>
      </w:r>
      <w:r w:rsidRPr="00894F4E">
        <w:rPr>
          <w:sz w:val="22"/>
          <w:szCs w:val="22"/>
        </w:rPr>
        <w:t xml:space="preserve"> Prevalence and characterization of ESBL-producing Escherichia coli in healthy pregnant women and hospital environments in Benin: an approach based on Tricycle. </w:t>
      </w:r>
      <w:r w:rsidRPr="00894F4E">
        <w:rPr>
          <w:i/>
          <w:iCs/>
          <w:sz w:val="22"/>
          <w:szCs w:val="22"/>
        </w:rPr>
        <w:t>Frontiers in public health</w:t>
      </w:r>
      <w:r w:rsidRPr="00894F4E">
        <w:rPr>
          <w:sz w:val="22"/>
          <w:szCs w:val="22"/>
        </w:rPr>
        <w:t xml:space="preserve"> 2023; </w:t>
      </w:r>
      <w:r w:rsidRPr="00894F4E">
        <w:rPr>
          <w:b/>
          <w:bCs/>
          <w:sz w:val="22"/>
          <w:szCs w:val="22"/>
        </w:rPr>
        <w:t>11</w:t>
      </w:r>
      <w:r w:rsidRPr="00894F4E">
        <w:rPr>
          <w:sz w:val="22"/>
          <w:szCs w:val="22"/>
        </w:rPr>
        <w:t>.</w:t>
      </w:r>
    </w:p>
    <w:p w14:paraId="04C610DB"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149</w:t>
      </w:r>
      <w:r w:rsidRPr="00894F4E">
        <w:rPr>
          <w:sz w:val="22"/>
          <w:szCs w:val="22"/>
        </w:rPr>
        <w:tab/>
      </w:r>
      <w:proofErr w:type="spellStart"/>
      <w:r w:rsidRPr="00894F4E">
        <w:rPr>
          <w:sz w:val="22"/>
          <w:szCs w:val="22"/>
        </w:rPr>
        <w:t>Blaak</w:t>
      </w:r>
      <w:proofErr w:type="spellEnd"/>
      <w:r w:rsidRPr="00894F4E">
        <w:rPr>
          <w:sz w:val="22"/>
          <w:szCs w:val="22"/>
        </w:rPr>
        <w:t xml:space="preserve"> H, Kemper MA, de Man H, </w:t>
      </w:r>
      <w:r w:rsidRPr="00894F4E">
        <w:rPr>
          <w:i/>
          <w:iCs/>
          <w:sz w:val="22"/>
          <w:szCs w:val="22"/>
        </w:rPr>
        <w:t>et al.</w:t>
      </w:r>
      <w:r w:rsidRPr="00894F4E">
        <w:rPr>
          <w:sz w:val="22"/>
          <w:szCs w:val="22"/>
        </w:rPr>
        <w:t xml:space="preserve"> Nationwide surveillance reveals frequent detection of </w:t>
      </w:r>
      <w:proofErr w:type="spellStart"/>
      <w:r w:rsidRPr="00894F4E">
        <w:rPr>
          <w:sz w:val="22"/>
          <w:szCs w:val="22"/>
        </w:rPr>
        <w:t>carbapenemase</w:t>
      </w:r>
      <w:proofErr w:type="spellEnd"/>
      <w:r w:rsidRPr="00894F4E">
        <w:rPr>
          <w:sz w:val="22"/>
          <w:szCs w:val="22"/>
        </w:rPr>
        <w:t xml:space="preserve">-producing </w:t>
      </w:r>
      <w:proofErr w:type="spellStart"/>
      <w:r w:rsidRPr="00894F4E">
        <w:rPr>
          <w:sz w:val="22"/>
          <w:szCs w:val="22"/>
        </w:rPr>
        <w:t>Enterobacterales</w:t>
      </w:r>
      <w:proofErr w:type="spellEnd"/>
      <w:r w:rsidRPr="00894F4E">
        <w:rPr>
          <w:sz w:val="22"/>
          <w:szCs w:val="22"/>
        </w:rPr>
        <w:t xml:space="preserve"> in Dutch municipal wastewater. </w:t>
      </w:r>
      <w:r w:rsidRPr="00894F4E">
        <w:rPr>
          <w:i/>
          <w:iCs/>
          <w:sz w:val="22"/>
          <w:szCs w:val="22"/>
        </w:rPr>
        <w:t>Science of The Total Environment</w:t>
      </w:r>
      <w:r w:rsidRPr="00894F4E">
        <w:rPr>
          <w:sz w:val="22"/>
          <w:szCs w:val="22"/>
        </w:rPr>
        <w:t xml:space="preserve"> 2021; </w:t>
      </w:r>
      <w:r w:rsidRPr="00894F4E">
        <w:rPr>
          <w:b/>
          <w:bCs/>
          <w:sz w:val="22"/>
          <w:szCs w:val="22"/>
        </w:rPr>
        <w:t>776</w:t>
      </w:r>
      <w:r w:rsidRPr="00894F4E">
        <w:rPr>
          <w:sz w:val="22"/>
          <w:szCs w:val="22"/>
        </w:rPr>
        <w:t>: 145925.</w:t>
      </w:r>
    </w:p>
    <w:p w14:paraId="3D81520A"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150</w:t>
      </w:r>
      <w:r w:rsidRPr="00894F4E">
        <w:rPr>
          <w:sz w:val="22"/>
          <w:szCs w:val="22"/>
        </w:rPr>
        <w:tab/>
      </w:r>
      <w:proofErr w:type="spellStart"/>
      <w:r w:rsidRPr="00894F4E">
        <w:rPr>
          <w:sz w:val="22"/>
          <w:szCs w:val="22"/>
        </w:rPr>
        <w:t>Hutinel</w:t>
      </w:r>
      <w:proofErr w:type="spellEnd"/>
      <w:r w:rsidRPr="00894F4E">
        <w:rPr>
          <w:sz w:val="22"/>
          <w:szCs w:val="22"/>
        </w:rPr>
        <w:t xml:space="preserve"> M, </w:t>
      </w:r>
      <w:proofErr w:type="spellStart"/>
      <w:r w:rsidRPr="00894F4E">
        <w:rPr>
          <w:sz w:val="22"/>
          <w:szCs w:val="22"/>
        </w:rPr>
        <w:t>Huijbers</w:t>
      </w:r>
      <w:proofErr w:type="spellEnd"/>
      <w:r w:rsidRPr="00894F4E">
        <w:rPr>
          <w:sz w:val="22"/>
          <w:szCs w:val="22"/>
        </w:rPr>
        <w:t xml:space="preserve"> PMC, Fick J, </w:t>
      </w:r>
      <w:proofErr w:type="spellStart"/>
      <w:r w:rsidRPr="00894F4E">
        <w:rPr>
          <w:sz w:val="22"/>
          <w:szCs w:val="22"/>
        </w:rPr>
        <w:t>Åhrén</w:t>
      </w:r>
      <w:proofErr w:type="spellEnd"/>
      <w:r w:rsidRPr="00894F4E">
        <w:rPr>
          <w:sz w:val="22"/>
          <w:szCs w:val="22"/>
        </w:rPr>
        <w:t xml:space="preserve"> C, Larsson DGJ, </w:t>
      </w:r>
      <w:proofErr w:type="spellStart"/>
      <w:r w:rsidRPr="00894F4E">
        <w:rPr>
          <w:sz w:val="22"/>
          <w:szCs w:val="22"/>
        </w:rPr>
        <w:t>Flach</w:t>
      </w:r>
      <w:proofErr w:type="spellEnd"/>
      <w:r w:rsidRPr="00894F4E">
        <w:rPr>
          <w:sz w:val="22"/>
          <w:szCs w:val="22"/>
        </w:rPr>
        <w:t xml:space="preserve"> C-F. Population-level surveillance of antibiotic resistance in Escherichia coli through sewage analysis. </w:t>
      </w:r>
      <w:proofErr w:type="spellStart"/>
      <w:r w:rsidRPr="00894F4E">
        <w:rPr>
          <w:i/>
          <w:iCs/>
          <w:sz w:val="22"/>
          <w:szCs w:val="22"/>
        </w:rPr>
        <w:t>Eurosurveillance</w:t>
      </w:r>
      <w:proofErr w:type="spellEnd"/>
      <w:r w:rsidRPr="00894F4E">
        <w:rPr>
          <w:sz w:val="22"/>
          <w:szCs w:val="22"/>
        </w:rPr>
        <w:t xml:space="preserve"> 2019; </w:t>
      </w:r>
      <w:r w:rsidRPr="00894F4E">
        <w:rPr>
          <w:b/>
          <w:bCs/>
          <w:sz w:val="22"/>
          <w:szCs w:val="22"/>
        </w:rPr>
        <w:t>24</w:t>
      </w:r>
      <w:r w:rsidRPr="00894F4E">
        <w:rPr>
          <w:sz w:val="22"/>
          <w:szCs w:val="22"/>
        </w:rPr>
        <w:t>: 1800497.</w:t>
      </w:r>
    </w:p>
    <w:p w14:paraId="2535111E"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151</w:t>
      </w:r>
      <w:r w:rsidRPr="00894F4E">
        <w:rPr>
          <w:sz w:val="22"/>
          <w:szCs w:val="22"/>
        </w:rPr>
        <w:tab/>
      </w:r>
      <w:proofErr w:type="spellStart"/>
      <w:r w:rsidRPr="00894F4E">
        <w:rPr>
          <w:sz w:val="22"/>
          <w:szCs w:val="22"/>
        </w:rPr>
        <w:t>Argimón</w:t>
      </w:r>
      <w:proofErr w:type="spellEnd"/>
      <w:r w:rsidRPr="00894F4E">
        <w:rPr>
          <w:sz w:val="22"/>
          <w:szCs w:val="22"/>
        </w:rPr>
        <w:t xml:space="preserve"> S, </w:t>
      </w:r>
      <w:proofErr w:type="spellStart"/>
      <w:r w:rsidRPr="00894F4E">
        <w:rPr>
          <w:sz w:val="22"/>
          <w:szCs w:val="22"/>
        </w:rPr>
        <w:t>Abudahab</w:t>
      </w:r>
      <w:proofErr w:type="spellEnd"/>
      <w:r w:rsidRPr="00894F4E">
        <w:rPr>
          <w:sz w:val="22"/>
          <w:szCs w:val="22"/>
        </w:rPr>
        <w:t xml:space="preserve"> K, </w:t>
      </w:r>
      <w:proofErr w:type="spellStart"/>
      <w:r w:rsidRPr="00894F4E">
        <w:rPr>
          <w:sz w:val="22"/>
          <w:szCs w:val="22"/>
        </w:rPr>
        <w:t>Goater</w:t>
      </w:r>
      <w:proofErr w:type="spellEnd"/>
      <w:r w:rsidRPr="00894F4E">
        <w:rPr>
          <w:sz w:val="22"/>
          <w:szCs w:val="22"/>
        </w:rPr>
        <w:t xml:space="preserve"> RJ, </w:t>
      </w:r>
      <w:r w:rsidRPr="00894F4E">
        <w:rPr>
          <w:i/>
          <w:iCs/>
          <w:sz w:val="22"/>
          <w:szCs w:val="22"/>
        </w:rPr>
        <w:t>et al.</w:t>
      </w:r>
      <w:r w:rsidRPr="00894F4E">
        <w:rPr>
          <w:sz w:val="22"/>
          <w:szCs w:val="22"/>
        </w:rPr>
        <w:t xml:space="preserve"> </w:t>
      </w:r>
      <w:proofErr w:type="spellStart"/>
      <w:r w:rsidRPr="00894F4E">
        <w:rPr>
          <w:sz w:val="22"/>
          <w:szCs w:val="22"/>
        </w:rPr>
        <w:t>Microreact</w:t>
      </w:r>
      <w:proofErr w:type="spellEnd"/>
      <w:r w:rsidRPr="00894F4E">
        <w:rPr>
          <w:sz w:val="22"/>
          <w:szCs w:val="22"/>
        </w:rPr>
        <w:t xml:space="preserve">: visualizing and sharing data for genomic epidemiology and </w:t>
      </w:r>
      <w:proofErr w:type="spellStart"/>
      <w:r w:rsidRPr="00894F4E">
        <w:rPr>
          <w:sz w:val="22"/>
          <w:szCs w:val="22"/>
        </w:rPr>
        <w:t>phylogeography</w:t>
      </w:r>
      <w:proofErr w:type="spellEnd"/>
      <w:r w:rsidRPr="00894F4E">
        <w:rPr>
          <w:sz w:val="22"/>
          <w:szCs w:val="22"/>
        </w:rPr>
        <w:t xml:space="preserve">. </w:t>
      </w:r>
      <w:r w:rsidRPr="00894F4E">
        <w:rPr>
          <w:i/>
          <w:iCs/>
          <w:sz w:val="22"/>
          <w:szCs w:val="22"/>
        </w:rPr>
        <w:t>Microbial genomics</w:t>
      </w:r>
      <w:r w:rsidRPr="00894F4E">
        <w:rPr>
          <w:sz w:val="22"/>
          <w:szCs w:val="22"/>
        </w:rPr>
        <w:t xml:space="preserve"> 2016; </w:t>
      </w:r>
      <w:r w:rsidRPr="00894F4E">
        <w:rPr>
          <w:b/>
          <w:bCs/>
          <w:sz w:val="22"/>
          <w:szCs w:val="22"/>
        </w:rPr>
        <w:t>2</w:t>
      </w:r>
      <w:r w:rsidRPr="00894F4E">
        <w:rPr>
          <w:sz w:val="22"/>
          <w:szCs w:val="22"/>
        </w:rPr>
        <w:t>: e000093.</w:t>
      </w:r>
    </w:p>
    <w:p w14:paraId="7FDE6A4F"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152</w:t>
      </w:r>
      <w:r w:rsidRPr="00894F4E">
        <w:rPr>
          <w:sz w:val="22"/>
          <w:szCs w:val="22"/>
        </w:rPr>
        <w:tab/>
        <w:t xml:space="preserve">Tang KL, Caffrey NP, </w:t>
      </w:r>
      <w:proofErr w:type="spellStart"/>
      <w:r w:rsidRPr="00894F4E">
        <w:rPr>
          <w:sz w:val="22"/>
          <w:szCs w:val="22"/>
        </w:rPr>
        <w:t>Nóbrega</w:t>
      </w:r>
      <w:proofErr w:type="spellEnd"/>
      <w:r w:rsidRPr="00894F4E">
        <w:rPr>
          <w:sz w:val="22"/>
          <w:szCs w:val="22"/>
        </w:rPr>
        <w:t xml:space="preserve"> DB, </w:t>
      </w:r>
      <w:r w:rsidRPr="00894F4E">
        <w:rPr>
          <w:i/>
          <w:iCs/>
          <w:sz w:val="22"/>
          <w:szCs w:val="22"/>
        </w:rPr>
        <w:t>et al.</w:t>
      </w:r>
      <w:r w:rsidRPr="00894F4E">
        <w:rPr>
          <w:sz w:val="22"/>
          <w:szCs w:val="22"/>
        </w:rPr>
        <w:t xml:space="preserve"> Restricting the use of antibiotics in food-producing animals and its associations with antibiotic resistance in food-producing animals and human beings: a systematic review and meta-analysis. </w:t>
      </w:r>
      <w:r w:rsidRPr="00894F4E">
        <w:rPr>
          <w:i/>
          <w:iCs/>
          <w:sz w:val="22"/>
          <w:szCs w:val="22"/>
        </w:rPr>
        <w:t>The Lancet Planetary Health</w:t>
      </w:r>
      <w:r w:rsidRPr="00894F4E">
        <w:rPr>
          <w:sz w:val="22"/>
          <w:szCs w:val="22"/>
        </w:rPr>
        <w:t xml:space="preserve"> 2017; </w:t>
      </w:r>
      <w:r w:rsidRPr="00894F4E">
        <w:rPr>
          <w:b/>
          <w:bCs/>
          <w:sz w:val="22"/>
          <w:szCs w:val="22"/>
        </w:rPr>
        <w:t>1</w:t>
      </w:r>
      <w:r w:rsidRPr="00894F4E">
        <w:rPr>
          <w:sz w:val="22"/>
          <w:szCs w:val="22"/>
        </w:rPr>
        <w:t>: e316–27.</w:t>
      </w:r>
    </w:p>
    <w:p w14:paraId="12A164AB"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153</w:t>
      </w:r>
      <w:r w:rsidRPr="00894F4E">
        <w:rPr>
          <w:sz w:val="22"/>
          <w:szCs w:val="22"/>
        </w:rPr>
        <w:tab/>
        <w:t xml:space="preserve">European Centre for Disease Prevention and Control (ECDC), European Food Safety Authority (EFSA), European Medicines Agency. Joint Interagency Antimicrobial Consumption and Resistance Analysis (JIACRA) Report. 2017; </w:t>
      </w:r>
      <w:r w:rsidRPr="00894F4E">
        <w:rPr>
          <w:b/>
          <w:bCs/>
          <w:sz w:val="22"/>
          <w:szCs w:val="22"/>
        </w:rPr>
        <w:t>15</w:t>
      </w:r>
      <w:r w:rsidRPr="00894F4E">
        <w:rPr>
          <w:sz w:val="22"/>
          <w:szCs w:val="22"/>
        </w:rPr>
        <w:t>: e04872.</w:t>
      </w:r>
    </w:p>
    <w:p w14:paraId="549FB349"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154</w:t>
      </w:r>
      <w:r w:rsidRPr="00894F4E">
        <w:rPr>
          <w:sz w:val="22"/>
          <w:szCs w:val="22"/>
        </w:rPr>
        <w:tab/>
        <w:t xml:space="preserve">Leonard AF, Morris D, Schmitt H, Gaze WH. Natural recreational </w:t>
      </w:r>
      <w:proofErr w:type="gramStart"/>
      <w:r w:rsidRPr="00894F4E">
        <w:rPr>
          <w:sz w:val="22"/>
          <w:szCs w:val="22"/>
        </w:rPr>
        <w:t>waters</w:t>
      </w:r>
      <w:proofErr w:type="gramEnd"/>
      <w:r w:rsidRPr="00894F4E">
        <w:rPr>
          <w:sz w:val="22"/>
          <w:szCs w:val="22"/>
        </w:rPr>
        <w:t xml:space="preserve"> and the risk that exposure to antibiotic resistant bacteria poses to human health. </w:t>
      </w:r>
      <w:r w:rsidRPr="00894F4E">
        <w:rPr>
          <w:i/>
          <w:iCs/>
          <w:sz w:val="22"/>
          <w:szCs w:val="22"/>
        </w:rPr>
        <w:t>Current opinion in microbiology</w:t>
      </w:r>
      <w:r w:rsidRPr="00894F4E">
        <w:rPr>
          <w:sz w:val="22"/>
          <w:szCs w:val="22"/>
        </w:rPr>
        <w:t xml:space="preserve"> 2022; </w:t>
      </w:r>
      <w:r w:rsidRPr="00894F4E">
        <w:rPr>
          <w:b/>
          <w:bCs/>
          <w:sz w:val="22"/>
          <w:szCs w:val="22"/>
        </w:rPr>
        <w:t>65</w:t>
      </w:r>
      <w:r w:rsidRPr="00894F4E">
        <w:rPr>
          <w:sz w:val="22"/>
          <w:szCs w:val="22"/>
        </w:rPr>
        <w:t>: 40–6.</w:t>
      </w:r>
    </w:p>
    <w:p w14:paraId="0DADD615"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155</w:t>
      </w:r>
      <w:r w:rsidRPr="00894F4E">
        <w:rPr>
          <w:sz w:val="22"/>
          <w:szCs w:val="22"/>
        </w:rPr>
        <w:tab/>
        <w:t xml:space="preserve">Cocker D, </w:t>
      </w:r>
      <w:proofErr w:type="spellStart"/>
      <w:r w:rsidRPr="00894F4E">
        <w:rPr>
          <w:sz w:val="22"/>
          <w:szCs w:val="22"/>
        </w:rPr>
        <w:t>Chidziwisano</w:t>
      </w:r>
      <w:proofErr w:type="spellEnd"/>
      <w:r w:rsidRPr="00894F4E">
        <w:rPr>
          <w:sz w:val="22"/>
          <w:szCs w:val="22"/>
        </w:rPr>
        <w:t xml:space="preserve"> K, </w:t>
      </w:r>
      <w:proofErr w:type="spellStart"/>
      <w:r w:rsidRPr="00894F4E">
        <w:rPr>
          <w:sz w:val="22"/>
          <w:szCs w:val="22"/>
        </w:rPr>
        <w:t>Mphasa</w:t>
      </w:r>
      <w:proofErr w:type="spellEnd"/>
      <w:r w:rsidRPr="00894F4E">
        <w:rPr>
          <w:sz w:val="22"/>
          <w:szCs w:val="22"/>
        </w:rPr>
        <w:t xml:space="preserve"> M, </w:t>
      </w:r>
      <w:r w:rsidRPr="00894F4E">
        <w:rPr>
          <w:i/>
          <w:iCs/>
          <w:sz w:val="22"/>
          <w:szCs w:val="22"/>
        </w:rPr>
        <w:t>et al.</w:t>
      </w:r>
      <w:r w:rsidRPr="00894F4E">
        <w:rPr>
          <w:sz w:val="22"/>
          <w:szCs w:val="22"/>
        </w:rPr>
        <w:t xml:space="preserve"> Investigating One Health risks for human </w:t>
      </w:r>
      <w:proofErr w:type="spellStart"/>
      <w:r w:rsidRPr="00894F4E">
        <w:rPr>
          <w:sz w:val="22"/>
          <w:szCs w:val="22"/>
        </w:rPr>
        <w:t>colonisation</w:t>
      </w:r>
      <w:proofErr w:type="spellEnd"/>
      <w:r w:rsidRPr="00894F4E">
        <w:rPr>
          <w:sz w:val="22"/>
          <w:szCs w:val="22"/>
        </w:rPr>
        <w:t xml:space="preserve"> with extended spectrum β-lactamase-producing Escherichia coli and Klebsiella pneumoniae in Malawian households: a longitudinal cohort study. </w:t>
      </w:r>
      <w:r w:rsidRPr="00894F4E">
        <w:rPr>
          <w:i/>
          <w:iCs/>
          <w:sz w:val="22"/>
          <w:szCs w:val="22"/>
        </w:rPr>
        <w:t>The Lancet Microbe</w:t>
      </w:r>
      <w:r w:rsidRPr="00894F4E">
        <w:rPr>
          <w:sz w:val="22"/>
          <w:szCs w:val="22"/>
        </w:rPr>
        <w:t xml:space="preserve"> 2023.</w:t>
      </w:r>
    </w:p>
    <w:p w14:paraId="60FA9FF2"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156</w:t>
      </w:r>
      <w:r w:rsidRPr="00894F4E">
        <w:rPr>
          <w:sz w:val="22"/>
          <w:szCs w:val="22"/>
        </w:rPr>
        <w:tab/>
      </w:r>
      <w:proofErr w:type="spellStart"/>
      <w:r w:rsidRPr="00894F4E">
        <w:rPr>
          <w:sz w:val="22"/>
          <w:szCs w:val="22"/>
        </w:rPr>
        <w:t>Milenkov</w:t>
      </w:r>
      <w:proofErr w:type="spellEnd"/>
      <w:r w:rsidRPr="00894F4E">
        <w:rPr>
          <w:sz w:val="22"/>
          <w:szCs w:val="22"/>
        </w:rPr>
        <w:t xml:space="preserve"> M, </w:t>
      </w:r>
      <w:proofErr w:type="spellStart"/>
      <w:r w:rsidRPr="00894F4E">
        <w:rPr>
          <w:sz w:val="22"/>
          <w:szCs w:val="22"/>
        </w:rPr>
        <w:t>Rasoanandrasana</w:t>
      </w:r>
      <w:proofErr w:type="spellEnd"/>
      <w:r w:rsidRPr="00894F4E">
        <w:rPr>
          <w:sz w:val="22"/>
          <w:szCs w:val="22"/>
        </w:rPr>
        <w:t xml:space="preserve"> S, </w:t>
      </w:r>
      <w:proofErr w:type="spellStart"/>
      <w:r w:rsidRPr="00894F4E">
        <w:rPr>
          <w:sz w:val="22"/>
          <w:szCs w:val="22"/>
        </w:rPr>
        <w:t>Rahajamanana</w:t>
      </w:r>
      <w:proofErr w:type="spellEnd"/>
      <w:r w:rsidRPr="00894F4E">
        <w:rPr>
          <w:sz w:val="22"/>
          <w:szCs w:val="22"/>
        </w:rPr>
        <w:t xml:space="preserve"> LV, </w:t>
      </w:r>
      <w:r w:rsidRPr="00894F4E">
        <w:rPr>
          <w:i/>
          <w:iCs/>
          <w:sz w:val="22"/>
          <w:szCs w:val="22"/>
        </w:rPr>
        <w:t>et al.</w:t>
      </w:r>
      <w:r w:rsidRPr="00894F4E">
        <w:rPr>
          <w:sz w:val="22"/>
          <w:szCs w:val="22"/>
        </w:rPr>
        <w:t xml:space="preserve"> Prevalence, risk factors, and genetic characterization of extended-spectrum beta-lactamase Escherichia coli isolated from healthy pregnant women in Madagascar. </w:t>
      </w:r>
      <w:r w:rsidRPr="00894F4E">
        <w:rPr>
          <w:i/>
          <w:iCs/>
          <w:sz w:val="22"/>
          <w:szCs w:val="22"/>
        </w:rPr>
        <w:t>Frontiers in Microbiology</w:t>
      </w:r>
      <w:r w:rsidRPr="00894F4E">
        <w:rPr>
          <w:sz w:val="22"/>
          <w:szCs w:val="22"/>
        </w:rPr>
        <w:t xml:space="preserve"> 2021; </w:t>
      </w:r>
      <w:r w:rsidRPr="00894F4E">
        <w:rPr>
          <w:b/>
          <w:bCs/>
          <w:sz w:val="22"/>
          <w:szCs w:val="22"/>
        </w:rPr>
        <w:t>12</w:t>
      </w:r>
      <w:r w:rsidRPr="00894F4E">
        <w:rPr>
          <w:sz w:val="22"/>
          <w:szCs w:val="22"/>
        </w:rPr>
        <w:t>: 786146.</w:t>
      </w:r>
    </w:p>
    <w:p w14:paraId="09D6E939"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157</w:t>
      </w:r>
      <w:r w:rsidRPr="00894F4E">
        <w:rPr>
          <w:sz w:val="22"/>
          <w:szCs w:val="22"/>
        </w:rPr>
        <w:tab/>
      </w:r>
      <w:proofErr w:type="spellStart"/>
      <w:r w:rsidRPr="00894F4E">
        <w:rPr>
          <w:sz w:val="22"/>
          <w:szCs w:val="22"/>
        </w:rPr>
        <w:t>Hooban</w:t>
      </w:r>
      <w:proofErr w:type="spellEnd"/>
      <w:r w:rsidRPr="00894F4E">
        <w:rPr>
          <w:sz w:val="22"/>
          <w:szCs w:val="22"/>
        </w:rPr>
        <w:t xml:space="preserve"> B, Fitzhenry K, O’Connor L, </w:t>
      </w:r>
      <w:r w:rsidRPr="00894F4E">
        <w:rPr>
          <w:i/>
          <w:iCs/>
          <w:sz w:val="22"/>
          <w:szCs w:val="22"/>
        </w:rPr>
        <w:t>et al.</w:t>
      </w:r>
      <w:r w:rsidRPr="00894F4E">
        <w:rPr>
          <w:sz w:val="22"/>
          <w:szCs w:val="22"/>
        </w:rPr>
        <w:t xml:space="preserve"> A longitudinal survey of antibiotic-resistant </w:t>
      </w:r>
      <w:proofErr w:type="spellStart"/>
      <w:r w:rsidRPr="00894F4E">
        <w:rPr>
          <w:sz w:val="22"/>
          <w:szCs w:val="22"/>
        </w:rPr>
        <w:t>Enterobacterales</w:t>
      </w:r>
      <w:proofErr w:type="spellEnd"/>
      <w:r w:rsidRPr="00894F4E">
        <w:rPr>
          <w:sz w:val="22"/>
          <w:szCs w:val="22"/>
        </w:rPr>
        <w:t xml:space="preserve"> in the Irish environment, 2019–2020. </w:t>
      </w:r>
      <w:r w:rsidRPr="00894F4E">
        <w:rPr>
          <w:i/>
          <w:iCs/>
          <w:sz w:val="22"/>
          <w:szCs w:val="22"/>
        </w:rPr>
        <w:t>Science of the Total Environment</w:t>
      </w:r>
      <w:r w:rsidRPr="00894F4E">
        <w:rPr>
          <w:sz w:val="22"/>
          <w:szCs w:val="22"/>
        </w:rPr>
        <w:t xml:space="preserve"> 2022; </w:t>
      </w:r>
      <w:r w:rsidRPr="00894F4E">
        <w:rPr>
          <w:b/>
          <w:bCs/>
          <w:sz w:val="22"/>
          <w:szCs w:val="22"/>
        </w:rPr>
        <w:t>828</w:t>
      </w:r>
      <w:r w:rsidRPr="00894F4E">
        <w:rPr>
          <w:sz w:val="22"/>
          <w:szCs w:val="22"/>
        </w:rPr>
        <w:t>: 154488.</w:t>
      </w:r>
    </w:p>
    <w:p w14:paraId="14BDEF2D"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158</w:t>
      </w:r>
      <w:r w:rsidRPr="00894F4E">
        <w:rPr>
          <w:sz w:val="22"/>
          <w:szCs w:val="22"/>
        </w:rPr>
        <w:tab/>
        <w:t>Quadripartite Technical Group on Antimicrobial Resistance and Use Integrated Surveillance (QTG-AIS). World Health Organization. https://www.who.int/groups/quadripartite-technical-group-on-integrated-surveillance-on-antimicrobial-use-and-resistance (accessed Nov 30, 2023).</w:t>
      </w:r>
    </w:p>
    <w:p w14:paraId="558D3F0E"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159</w:t>
      </w:r>
      <w:r w:rsidRPr="00894F4E">
        <w:rPr>
          <w:sz w:val="22"/>
          <w:szCs w:val="22"/>
        </w:rPr>
        <w:tab/>
      </w:r>
      <w:proofErr w:type="spellStart"/>
      <w:r w:rsidRPr="00894F4E">
        <w:rPr>
          <w:sz w:val="22"/>
          <w:szCs w:val="22"/>
        </w:rPr>
        <w:t>Puspandari</w:t>
      </w:r>
      <w:proofErr w:type="spellEnd"/>
      <w:r w:rsidRPr="00894F4E">
        <w:rPr>
          <w:sz w:val="22"/>
          <w:szCs w:val="22"/>
        </w:rPr>
        <w:t xml:space="preserve"> N, </w:t>
      </w:r>
      <w:proofErr w:type="spellStart"/>
      <w:r w:rsidRPr="00894F4E">
        <w:rPr>
          <w:sz w:val="22"/>
          <w:szCs w:val="22"/>
        </w:rPr>
        <w:t>Sunarno</w:t>
      </w:r>
      <w:proofErr w:type="spellEnd"/>
      <w:r w:rsidRPr="00894F4E">
        <w:rPr>
          <w:sz w:val="22"/>
          <w:szCs w:val="22"/>
        </w:rPr>
        <w:t xml:space="preserve"> S, </w:t>
      </w:r>
      <w:proofErr w:type="spellStart"/>
      <w:r w:rsidRPr="00894F4E">
        <w:rPr>
          <w:sz w:val="22"/>
          <w:szCs w:val="22"/>
        </w:rPr>
        <w:t>Febrianti</w:t>
      </w:r>
      <w:proofErr w:type="spellEnd"/>
      <w:r w:rsidRPr="00894F4E">
        <w:rPr>
          <w:sz w:val="22"/>
          <w:szCs w:val="22"/>
        </w:rPr>
        <w:t xml:space="preserve"> T, </w:t>
      </w:r>
      <w:r w:rsidRPr="00894F4E">
        <w:rPr>
          <w:i/>
          <w:iCs/>
          <w:sz w:val="22"/>
          <w:szCs w:val="22"/>
        </w:rPr>
        <w:t>et al.</w:t>
      </w:r>
      <w:r w:rsidRPr="00894F4E">
        <w:rPr>
          <w:sz w:val="22"/>
          <w:szCs w:val="22"/>
        </w:rPr>
        <w:t xml:space="preserve"> Extended spectrum beta-lactamase-producing Escherichia coli surveillance in the human, food chain, and environment sectors: Tricycle project (pilot) in Indonesia. </w:t>
      </w:r>
      <w:r w:rsidRPr="00894F4E">
        <w:rPr>
          <w:i/>
          <w:iCs/>
          <w:sz w:val="22"/>
          <w:szCs w:val="22"/>
        </w:rPr>
        <w:t>One Health</w:t>
      </w:r>
      <w:r w:rsidRPr="00894F4E">
        <w:rPr>
          <w:sz w:val="22"/>
          <w:szCs w:val="22"/>
        </w:rPr>
        <w:t xml:space="preserve"> 2021; </w:t>
      </w:r>
      <w:r w:rsidRPr="00894F4E">
        <w:rPr>
          <w:b/>
          <w:bCs/>
          <w:sz w:val="22"/>
          <w:szCs w:val="22"/>
        </w:rPr>
        <w:t>13</w:t>
      </w:r>
      <w:r w:rsidRPr="00894F4E">
        <w:rPr>
          <w:sz w:val="22"/>
          <w:szCs w:val="22"/>
        </w:rPr>
        <w:t>: 100331.</w:t>
      </w:r>
    </w:p>
    <w:p w14:paraId="26B8CE49"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160</w:t>
      </w:r>
      <w:r w:rsidRPr="00894F4E">
        <w:rPr>
          <w:sz w:val="22"/>
          <w:szCs w:val="22"/>
        </w:rPr>
        <w:tab/>
        <w:t xml:space="preserve">Banu RA, Alvarez JM, Reid AJ, </w:t>
      </w:r>
      <w:r w:rsidRPr="00894F4E">
        <w:rPr>
          <w:i/>
          <w:iCs/>
          <w:sz w:val="22"/>
          <w:szCs w:val="22"/>
        </w:rPr>
        <w:t>et al.</w:t>
      </w:r>
      <w:r w:rsidRPr="00894F4E">
        <w:rPr>
          <w:sz w:val="22"/>
          <w:szCs w:val="22"/>
        </w:rPr>
        <w:t xml:space="preserve"> Extended Spectrum Beta-Lactamase in River Waters Collected from Two Cities in Ghana, 2018-2020. 2021.</w:t>
      </w:r>
    </w:p>
    <w:p w14:paraId="1ACE83F7"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161</w:t>
      </w:r>
      <w:r w:rsidRPr="00894F4E">
        <w:rPr>
          <w:sz w:val="22"/>
          <w:szCs w:val="22"/>
        </w:rPr>
        <w:tab/>
        <w:t>World Health Organization. Antimicrobial resistance: global report on surveillance. 2014 https://www.who.int/publications/i/item/9789241564748 (accessed Feb 13, 2024).</w:t>
      </w:r>
    </w:p>
    <w:p w14:paraId="7FA94C1B"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162</w:t>
      </w:r>
      <w:r w:rsidRPr="00894F4E">
        <w:rPr>
          <w:sz w:val="22"/>
          <w:szCs w:val="22"/>
        </w:rPr>
        <w:tab/>
        <w:t>68th World Health Assembly. SIXTY-EIGHTH WORLD HEALTH ASSEMBLY, WHA68.7, Global action plan on antimicrobial resistance. 2015; published online May 26. https://apps.who.int/gb/ebwha/pdf_files/WHA68/A68_R7-en.pdf (accessed Feb 11, 2024).</w:t>
      </w:r>
    </w:p>
    <w:p w14:paraId="1CD99C8D"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163</w:t>
      </w:r>
      <w:r w:rsidRPr="00894F4E">
        <w:rPr>
          <w:sz w:val="22"/>
          <w:szCs w:val="22"/>
        </w:rPr>
        <w:tab/>
        <w:t xml:space="preserve">European Centre for Disease Prevention and Control. European Antimicrobial Resistance Surveillance Network (EARS-Net). European Centre for Disease Prevention and Control. </w:t>
      </w:r>
      <w:r w:rsidRPr="00894F4E">
        <w:rPr>
          <w:sz w:val="22"/>
          <w:szCs w:val="22"/>
        </w:rPr>
        <w:lastRenderedPageBreak/>
        <w:t>https://www.ecdc.europa.eu/en/about-us/networks/disease-networks-and-laboratory-networks/ears-net-data (accessed Feb 14, 2024).</w:t>
      </w:r>
    </w:p>
    <w:p w14:paraId="635780B2"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164</w:t>
      </w:r>
      <w:r w:rsidRPr="00894F4E">
        <w:rPr>
          <w:sz w:val="22"/>
          <w:szCs w:val="22"/>
        </w:rPr>
        <w:tab/>
        <w:t>World Health Organization. Central Asian and European Surveillance of Antimicrobial Resistance (CAESAR). World Health Organization. https://www.who.int/europe/groups/central-asian-and-european-surveillance-of-antimicrobial-resistance-(caesar) (accessed Feb 14, 2024).</w:t>
      </w:r>
    </w:p>
    <w:p w14:paraId="2EF124B3"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165</w:t>
      </w:r>
      <w:r w:rsidRPr="00894F4E">
        <w:rPr>
          <w:sz w:val="22"/>
          <w:szCs w:val="22"/>
        </w:rPr>
        <w:tab/>
        <w:t xml:space="preserve">Pan American Health Organization. Latin American and Caribbean Network for Antimicrobial Resistance Surveillance - </w:t>
      </w:r>
      <w:proofErr w:type="spellStart"/>
      <w:r w:rsidRPr="00894F4E">
        <w:rPr>
          <w:sz w:val="22"/>
          <w:szCs w:val="22"/>
        </w:rPr>
        <w:t>ReLAVRA</w:t>
      </w:r>
      <w:proofErr w:type="spellEnd"/>
      <w:r w:rsidRPr="00894F4E">
        <w:rPr>
          <w:sz w:val="22"/>
          <w:szCs w:val="22"/>
        </w:rPr>
        <w:t>+. Pan American Health Organization. https://www.paho.org/en/topics/antimicrobial-resistance/latin-american-and-caribbean-network-antimicrobial-resistance (accessed Feb 14, 2024).</w:t>
      </w:r>
    </w:p>
    <w:p w14:paraId="7419C06A"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166</w:t>
      </w:r>
      <w:r w:rsidRPr="00894F4E">
        <w:rPr>
          <w:sz w:val="22"/>
          <w:szCs w:val="22"/>
        </w:rPr>
        <w:tab/>
        <w:t>World Health Organization. Methodological principles of nationally representative surveys as a platform for global surveillance of antimicrobial resistance in human bloodstream infections. 2023 https://www.who.int/publications/i/item/9789240067004 (accessed Feb 11, 2024).</w:t>
      </w:r>
    </w:p>
    <w:p w14:paraId="1AF79719"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167</w:t>
      </w:r>
      <w:r w:rsidRPr="00894F4E">
        <w:rPr>
          <w:sz w:val="22"/>
          <w:szCs w:val="22"/>
        </w:rPr>
        <w:tab/>
      </w:r>
      <w:proofErr w:type="spellStart"/>
      <w:r w:rsidRPr="00894F4E">
        <w:rPr>
          <w:sz w:val="22"/>
          <w:szCs w:val="22"/>
        </w:rPr>
        <w:t>Grundmann</w:t>
      </w:r>
      <w:proofErr w:type="spellEnd"/>
      <w:r w:rsidRPr="00894F4E">
        <w:rPr>
          <w:sz w:val="22"/>
          <w:szCs w:val="22"/>
        </w:rPr>
        <w:t xml:space="preserve"> H, </w:t>
      </w:r>
      <w:proofErr w:type="spellStart"/>
      <w:r w:rsidRPr="00894F4E">
        <w:rPr>
          <w:sz w:val="22"/>
          <w:szCs w:val="22"/>
        </w:rPr>
        <w:t>Aanensen</w:t>
      </w:r>
      <w:proofErr w:type="spellEnd"/>
      <w:r w:rsidRPr="00894F4E">
        <w:rPr>
          <w:sz w:val="22"/>
          <w:szCs w:val="22"/>
        </w:rPr>
        <w:t xml:space="preserve"> DM, van den </w:t>
      </w:r>
      <w:proofErr w:type="spellStart"/>
      <w:r w:rsidRPr="00894F4E">
        <w:rPr>
          <w:sz w:val="22"/>
          <w:szCs w:val="22"/>
        </w:rPr>
        <w:t>Wijngaard</w:t>
      </w:r>
      <w:proofErr w:type="spellEnd"/>
      <w:r w:rsidRPr="00894F4E">
        <w:rPr>
          <w:sz w:val="22"/>
          <w:szCs w:val="22"/>
        </w:rPr>
        <w:t xml:space="preserve"> CC, Spratt BG, </w:t>
      </w:r>
      <w:proofErr w:type="spellStart"/>
      <w:r w:rsidRPr="00894F4E">
        <w:rPr>
          <w:sz w:val="22"/>
          <w:szCs w:val="22"/>
        </w:rPr>
        <w:t>Harmsen</w:t>
      </w:r>
      <w:proofErr w:type="spellEnd"/>
      <w:r w:rsidRPr="00894F4E">
        <w:rPr>
          <w:sz w:val="22"/>
          <w:szCs w:val="22"/>
        </w:rPr>
        <w:t xml:space="preserve"> D, Friedrich AW. Geographic distribution of Staphylococcus aureus causing invasive infections in Europe: a molecular-epidemiological analysis. </w:t>
      </w:r>
      <w:proofErr w:type="spellStart"/>
      <w:r w:rsidRPr="00894F4E">
        <w:rPr>
          <w:i/>
          <w:iCs/>
          <w:sz w:val="22"/>
          <w:szCs w:val="22"/>
        </w:rPr>
        <w:t>PLoS</w:t>
      </w:r>
      <w:proofErr w:type="spellEnd"/>
      <w:r w:rsidRPr="00894F4E">
        <w:rPr>
          <w:i/>
          <w:iCs/>
          <w:sz w:val="22"/>
          <w:szCs w:val="22"/>
        </w:rPr>
        <w:t xml:space="preserve"> medicine</w:t>
      </w:r>
      <w:r w:rsidRPr="00894F4E">
        <w:rPr>
          <w:sz w:val="22"/>
          <w:szCs w:val="22"/>
        </w:rPr>
        <w:t xml:space="preserve"> 2010; </w:t>
      </w:r>
      <w:r w:rsidRPr="00894F4E">
        <w:rPr>
          <w:b/>
          <w:bCs/>
          <w:sz w:val="22"/>
          <w:szCs w:val="22"/>
        </w:rPr>
        <w:t>7</w:t>
      </w:r>
      <w:r w:rsidRPr="00894F4E">
        <w:rPr>
          <w:sz w:val="22"/>
          <w:szCs w:val="22"/>
        </w:rPr>
        <w:t>: e1000215–e1000215.</w:t>
      </w:r>
    </w:p>
    <w:p w14:paraId="276C65D6"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168</w:t>
      </w:r>
      <w:r w:rsidRPr="00894F4E">
        <w:rPr>
          <w:sz w:val="22"/>
          <w:szCs w:val="22"/>
        </w:rPr>
        <w:tab/>
        <w:t xml:space="preserve">David S, Reuter S, Harris SR, </w:t>
      </w:r>
      <w:r w:rsidRPr="00894F4E">
        <w:rPr>
          <w:i/>
          <w:iCs/>
          <w:sz w:val="22"/>
          <w:szCs w:val="22"/>
        </w:rPr>
        <w:t>et al.</w:t>
      </w:r>
      <w:r w:rsidRPr="00894F4E">
        <w:rPr>
          <w:sz w:val="22"/>
          <w:szCs w:val="22"/>
        </w:rPr>
        <w:t xml:space="preserve"> Epidemic of carbapenem-resistant Klebsiella pneumoniae in Europe is driven by nosocomial spread. </w:t>
      </w:r>
      <w:r w:rsidRPr="00894F4E">
        <w:rPr>
          <w:i/>
          <w:iCs/>
          <w:sz w:val="22"/>
          <w:szCs w:val="22"/>
        </w:rPr>
        <w:t>Nature microbiology</w:t>
      </w:r>
      <w:r w:rsidRPr="00894F4E">
        <w:rPr>
          <w:sz w:val="22"/>
          <w:szCs w:val="22"/>
        </w:rPr>
        <w:t xml:space="preserve"> 2019; </w:t>
      </w:r>
      <w:r w:rsidRPr="00894F4E">
        <w:rPr>
          <w:b/>
          <w:bCs/>
          <w:sz w:val="22"/>
          <w:szCs w:val="22"/>
        </w:rPr>
        <w:t>4</w:t>
      </w:r>
      <w:r w:rsidRPr="00894F4E">
        <w:rPr>
          <w:sz w:val="22"/>
          <w:szCs w:val="22"/>
        </w:rPr>
        <w:t>: 1919–29.</w:t>
      </w:r>
    </w:p>
    <w:p w14:paraId="048B8EB9"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169</w:t>
      </w:r>
      <w:r w:rsidRPr="00894F4E">
        <w:rPr>
          <w:sz w:val="22"/>
          <w:szCs w:val="22"/>
        </w:rPr>
        <w:tab/>
        <w:t xml:space="preserve">De Kraker M, </w:t>
      </w:r>
      <w:proofErr w:type="spellStart"/>
      <w:r w:rsidRPr="00894F4E">
        <w:rPr>
          <w:sz w:val="22"/>
          <w:szCs w:val="22"/>
        </w:rPr>
        <w:t>Wolkewitz</w:t>
      </w:r>
      <w:proofErr w:type="spellEnd"/>
      <w:r w:rsidRPr="00894F4E">
        <w:rPr>
          <w:sz w:val="22"/>
          <w:szCs w:val="22"/>
        </w:rPr>
        <w:t xml:space="preserve"> M, Davey P, </w:t>
      </w:r>
      <w:r w:rsidRPr="00894F4E">
        <w:rPr>
          <w:i/>
          <w:iCs/>
          <w:sz w:val="22"/>
          <w:szCs w:val="22"/>
        </w:rPr>
        <w:t>et al.</w:t>
      </w:r>
      <w:r w:rsidRPr="00894F4E">
        <w:rPr>
          <w:sz w:val="22"/>
          <w:szCs w:val="22"/>
        </w:rPr>
        <w:t xml:space="preserve"> Burden of antimicrobial resistance in European hospitals: excess mortality and length of hospital stay associated with bloodstream infections due to Escherichia coli resistant to </w:t>
      </w:r>
      <w:proofErr w:type="gramStart"/>
      <w:r w:rsidRPr="00894F4E">
        <w:rPr>
          <w:sz w:val="22"/>
          <w:szCs w:val="22"/>
        </w:rPr>
        <w:t>third-generation</w:t>
      </w:r>
      <w:proofErr w:type="gramEnd"/>
      <w:r w:rsidRPr="00894F4E">
        <w:rPr>
          <w:sz w:val="22"/>
          <w:szCs w:val="22"/>
        </w:rPr>
        <w:t xml:space="preserve"> cephalosporins. </w:t>
      </w:r>
      <w:r w:rsidRPr="00894F4E">
        <w:rPr>
          <w:i/>
          <w:iCs/>
          <w:sz w:val="22"/>
          <w:szCs w:val="22"/>
        </w:rPr>
        <w:t>Journal of Antimicrobial Chemotherapy</w:t>
      </w:r>
      <w:r w:rsidRPr="00894F4E">
        <w:rPr>
          <w:sz w:val="22"/>
          <w:szCs w:val="22"/>
        </w:rPr>
        <w:t xml:space="preserve"> 2011; </w:t>
      </w:r>
      <w:r w:rsidRPr="00894F4E">
        <w:rPr>
          <w:b/>
          <w:bCs/>
          <w:sz w:val="22"/>
          <w:szCs w:val="22"/>
        </w:rPr>
        <w:t>66</w:t>
      </w:r>
      <w:r w:rsidRPr="00894F4E">
        <w:rPr>
          <w:sz w:val="22"/>
          <w:szCs w:val="22"/>
        </w:rPr>
        <w:t>: 398–407.</w:t>
      </w:r>
    </w:p>
    <w:p w14:paraId="78EF09B9"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170</w:t>
      </w:r>
      <w:r w:rsidRPr="00894F4E">
        <w:rPr>
          <w:sz w:val="22"/>
          <w:szCs w:val="22"/>
        </w:rPr>
        <w:tab/>
        <w:t xml:space="preserve">Esteban-Cantos A, </w:t>
      </w:r>
      <w:proofErr w:type="spellStart"/>
      <w:r w:rsidRPr="00894F4E">
        <w:rPr>
          <w:sz w:val="22"/>
          <w:szCs w:val="22"/>
        </w:rPr>
        <w:t>Aracil</w:t>
      </w:r>
      <w:proofErr w:type="spellEnd"/>
      <w:r w:rsidRPr="00894F4E">
        <w:rPr>
          <w:sz w:val="22"/>
          <w:szCs w:val="22"/>
        </w:rPr>
        <w:t xml:space="preserve"> B, Bautista V, </w:t>
      </w:r>
      <w:r w:rsidRPr="00894F4E">
        <w:rPr>
          <w:i/>
          <w:iCs/>
          <w:sz w:val="22"/>
          <w:szCs w:val="22"/>
        </w:rPr>
        <w:t>et al.</w:t>
      </w:r>
      <w:r w:rsidRPr="00894F4E">
        <w:rPr>
          <w:sz w:val="22"/>
          <w:szCs w:val="22"/>
        </w:rPr>
        <w:t xml:space="preserve"> The </w:t>
      </w:r>
      <w:proofErr w:type="spellStart"/>
      <w:r w:rsidRPr="00894F4E">
        <w:rPr>
          <w:sz w:val="22"/>
          <w:szCs w:val="22"/>
        </w:rPr>
        <w:t>carbapenemase</w:t>
      </w:r>
      <w:proofErr w:type="spellEnd"/>
      <w:r w:rsidRPr="00894F4E">
        <w:rPr>
          <w:sz w:val="22"/>
          <w:szCs w:val="22"/>
        </w:rPr>
        <w:t xml:space="preserve">-producing Klebsiella pneumoniae population is distinct and more clonal than the carbapenem-susceptible population. </w:t>
      </w:r>
      <w:r w:rsidRPr="00894F4E">
        <w:rPr>
          <w:i/>
          <w:iCs/>
          <w:sz w:val="22"/>
          <w:szCs w:val="22"/>
        </w:rPr>
        <w:t>Antimicrobial Agents and Chemotherapy</w:t>
      </w:r>
      <w:r w:rsidRPr="00894F4E">
        <w:rPr>
          <w:sz w:val="22"/>
          <w:szCs w:val="22"/>
        </w:rPr>
        <w:t xml:space="preserve"> 2017; </w:t>
      </w:r>
      <w:r w:rsidRPr="00894F4E">
        <w:rPr>
          <w:b/>
          <w:bCs/>
          <w:sz w:val="22"/>
          <w:szCs w:val="22"/>
        </w:rPr>
        <w:t>61</w:t>
      </w:r>
      <w:r w:rsidRPr="00894F4E">
        <w:rPr>
          <w:sz w:val="22"/>
          <w:szCs w:val="22"/>
        </w:rPr>
        <w:t>: 10–1128.</w:t>
      </w:r>
    </w:p>
    <w:p w14:paraId="0554F918"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171</w:t>
      </w:r>
      <w:r w:rsidRPr="00894F4E">
        <w:rPr>
          <w:sz w:val="22"/>
          <w:szCs w:val="22"/>
        </w:rPr>
        <w:tab/>
      </w:r>
      <w:proofErr w:type="spellStart"/>
      <w:r w:rsidRPr="00894F4E">
        <w:rPr>
          <w:sz w:val="22"/>
          <w:szCs w:val="22"/>
        </w:rPr>
        <w:t>Grundmann</w:t>
      </w:r>
      <w:proofErr w:type="spellEnd"/>
      <w:r w:rsidRPr="00894F4E">
        <w:rPr>
          <w:sz w:val="22"/>
          <w:szCs w:val="22"/>
        </w:rPr>
        <w:t xml:space="preserve"> H, </w:t>
      </w:r>
      <w:proofErr w:type="spellStart"/>
      <w:r w:rsidRPr="00894F4E">
        <w:rPr>
          <w:sz w:val="22"/>
          <w:szCs w:val="22"/>
        </w:rPr>
        <w:t>Glasner</w:t>
      </w:r>
      <w:proofErr w:type="spellEnd"/>
      <w:r w:rsidRPr="00894F4E">
        <w:rPr>
          <w:sz w:val="22"/>
          <w:szCs w:val="22"/>
        </w:rPr>
        <w:t xml:space="preserve"> C, </w:t>
      </w:r>
      <w:proofErr w:type="spellStart"/>
      <w:r w:rsidRPr="00894F4E">
        <w:rPr>
          <w:sz w:val="22"/>
          <w:szCs w:val="22"/>
        </w:rPr>
        <w:t>Albiger</w:t>
      </w:r>
      <w:proofErr w:type="spellEnd"/>
      <w:r w:rsidRPr="00894F4E">
        <w:rPr>
          <w:sz w:val="22"/>
          <w:szCs w:val="22"/>
        </w:rPr>
        <w:t xml:space="preserve"> B, </w:t>
      </w:r>
      <w:r w:rsidRPr="00894F4E">
        <w:rPr>
          <w:i/>
          <w:iCs/>
          <w:sz w:val="22"/>
          <w:szCs w:val="22"/>
        </w:rPr>
        <w:t>et al.</w:t>
      </w:r>
      <w:r w:rsidRPr="00894F4E">
        <w:rPr>
          <w:sz w:val="22"/>
          <w:szCs w:val="22"/>
        </w:rPr>
        <w:t xml:space="preserve"> Occurrence of </w:t>
      </w:r>
      <w:proofErr w:type="spellStart"/>
      <w:r w:rsidRPr="00894F4E">
        <w:rPr>
          <w:sz w:val="22"/>
          <w:szCs w:val="22"/>
        </w:rPr>
        <w:t>carbapenemase</w:t>
      </w:r>
      <w:proofErr w:type="spellEnd"/>
      <w:r w:rsidRPr="00894F4E">
        <w:rPr>
          <w:sz w:val="22"/>
          <w:szCs w:val="22"/>
        </w:rPr>
        <w:t xml:space="preserve">-producing Klebsiella pneumoniae and Escherichia coli in the European survey of </w:t>
      </w:r>
      <w:proofErr w:type="spellStart"/>
      <w:r w:rsidRPr="00894F4E">
        <w:rPr>
          <w:sz w:val="22"/>
          <w:szCs w:val="22"/>
        </w:rPr>
        <w:t>carbapenemase</w:t>
      </w:r>
      <w:proofErr w:type="spellEnd"/>
      <w:r w:rsidRPr="00894F4E">
        <w:rPr>
          <w:sz w:val="22"/>
          <w:szCs w:val="22"/>
        </w:rPr>
        <w:t>-producing Enterobacteriaceae (</w:t>
      </w:r>
      <w:proofErr w:type="spellStart"/>
      <w:r w:rsidRPr="00894F4E">
        <w:rPr>
          <w:sz w:val="22"/>
          <w:szCs w:val="22"/>
        </w:rPr>
        <w:t>EuSCAPE</w:t>
      </w:r>
      <w:proofErr w:type="spellEnd"/>
      <w:r w:rsidRPr="00894F4E">
        <w:rPr>
          <w:sz w:val="22"/>
          <w:szCs w:val="22"/>
        </w:rPr>
        <w:t xml:space="preserve">): a prospective, multinational study. </w:t>
      </w:r>
      <w:r w:rsidRPr="00894F4E">
        <w:rPr>
          <w:i/>
          <w:iCs/>
          <w:sz w:val="22"/>
          <w:szCs w:val="22"/>
        </w:rPr>
        <w:t>The Lancet infectious diseases</w:t>
      </w:r>
      <w:r w:rsidRPr="00894F4E">
        <w:rPr>
          <w:sz w:val="22"/>
          <w:szCs w:val="22"/>
        </w:rPr>
        <w:t xml:space="preserve"> 2017; </w:t>
      </w:r>
      <w:r w:rsidRPr="00894F4E">
        <w:rPr>
          <w:b/>
          <w:bCs/>
          <w:sz w:val="22"/>
          <w:szCs w:val="22"/>
        </w:rPr>
        <w:t>17</w:t>
      </w:r>
      <w:r w:rsidRPr="00894F4E">
        <w:rPr>
          <w:sz w:val="22"/>
          <w:szCs w:val="22"/>
        </w:rPr>
        <w:t>: 153–63.</w:t>
      </w:r>
    </w:p>
    <w:p w14:paraId="27E4BD00"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172</w:t>
      </w:r>
      <w:r w:rsidRPr="00894F4E">
        <w:rPr>
          <w:sz w:val="22"/>
          <w:szCs w:val="22"/>
        </w:rPr>
        <w:tab/>
        <w:t xml:space="preserve">Liu Y-Y, Wang Y, Walsh TR, </w:t>
      </w:r>
      <w:r w:rsidRPr="00894F4E">
        <w:rPr>
          <w:i/>
          <w:iCs/>
          <w:sz w:val="22"/>
          <w:szCs w:val="22"/>
        </w:rPr>
        <w:t>et al.</w:t>
      </w:r>
      <w:r w:rsidRPr="00894F4E">
        <w:rPr>
          <w:sz w:val="22"/>
          <w:szCs w:val="22"/>
        </w:rPr>
        <w:t xml:space="preserve"> Emergence of plasmid-mediated colistin resistance mechanism MCR-1 in animals and human beings in China: a microbiological and molecular biological study. </w:t>
      </w:r>
      <w:r w:rsidRPr="00894F4E">
        <w:rPr>
          <w:i/>
          <w:iCs/>
          <w:sz w:val="22"/>
          <w:szCs w:val="22"/>
        </w:rPr>
        <w:t>The Lancet Infectious Diseases</w:t>
      </w:r>
      <w:r w:rsidRPr="00894F4E">
        <w:rPr>
          <w:sz w:val="22"/>
          <w:szCs w:val="22"/>
        </w:rPr>
        <w:t xml:space="preserve"> 2015; published online Nov. DOI:10.1016/S1473-3099(15)00424-7.</w:t>
      </w:r>
    </w:p>
    <w:p w14:paraId="0D337415"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173</w:t>
      </w:r>
      <w:r w:rsidRPr="00894F4E">
        <w:rPr>
          <w:sz w:val="22"/>
          <w:szCs w:val="22"/>
        </w:rPr>
        <w:tab/>
      </w:r>
      <w:proofErr w:type="spellStart"/>
      <w:r w:rsidRPr="00894F4E">
        <w:rPr>
          <w:sz w:val="22"/>
          <w:szCs w:val="22"/>
        </w:rPr>
        <w:t>Ordaya</w:t>
      </w:r>
      <w:proofErr w:type="spellEnd"/>
      <w:r w:rsidRPr="00894F4E">
        <w:rPr>
          <w:sz w:val="22"/>
          <w:szCs w:val="22"/>
        </w:rPr>
        <w:t xml:space="preserve"> EE, Abu Saleh OM, </w:t>
      </w:r>
      <w:proofErr w:type="spellStart"/>
      <w:r w:rsidRPr="00894F4E">
        <w:rPr>
          <w:sz w:val="22"/>
          <w:szCs w:val="22"/>
        </w:rPr>
        <w:t>Vergidis</w:t>
      </w:r>
      <w:proofErr w:type="spellEnd"/>
      <w:r w:rsidRPr="00894F4E">
        <w:rPr>
          <w:sz w:val="22"/>
          <w:szCs w:val="22"/>
        </w:rPr>
        <w:t xml:space="preserve"> P, </w:t>
      </w:r>
      <w:proofErr w:type="spellStart"/>
      <w:r w:rsidRPr="00894F4E">
        <w:rPr>
          <w:sz w:val="22"/>
          <w:szCs w:val="22"/>
        </w:rPr>
        <w:t>Deml</w:t>
      </w:r>
      <w:proofErr w:type="spellEnd"/>
      <w:r w:rsidRPr="00894F4E">
        <w:rPr>
          <w:sz w:val="22"/>
          <w:szCs w:val="22"/>
        </w:rPr>
        <w:t xml:space="preserve"> SM, </w:t>
      </w:r>
      <w:proofErr w:type="spellStart"/>
      <w:r w:rsidRPr="00894F4E">
        <w:rPr>
          <w:sz w:val="22"/>
          <w:szCs w:val="22"/>
        </w:rPr>
        <w:t>Wengenack</w:t>
      </w:r>
      <w:proofErr w:type="spellEnd"/>
      <w:r w:rsidRPr="00894F4E">
        <w:rPr>
          <w:sz w:val="22"/>
          <w:szCs w:val="22"/>
        </w:rPr>
        <w:t xml:space="preserve"> NL, </w:t>
      </w:r>
      <w:proofErr w:type="spellStart"/>
      <w:r w:rsidRPr="00894F4E">
        <w:rPr>
          <w:sz w:val="22"/>
          <w:szCs w:val="22"/>
        </w:rPr>
        <w:t>Fida</w:t>
      </w:r>
      <w:proofErr w:type="spellEnd"/>
      <w:r w:rsidRPr="00894F4E">
        <w:rPr>
          <w:sz w:val="22"/>
          <w:szCs w:val="22"/>
        </w:rPr>
        <w:t xml:space="preserve"> M. Temporal trends in antifungal susceptibility of Cryptococcus neoformans isolates from a reference laboratory in the United States, 2011–2021. </w:t>
      </w:r>
      <w:r w:rsidRPr="00894F4E">
        <w:rPr>
          <w:i/>
          <w:iCs/>
          <w:sz w:val="22"/>
          <w:szCs w:val="22"/>
        </w:rPr>
        <w:t>Mycoses</w:t>
      </w:r>
      <w:r w:rsidRPr="00894F4E">
        <w:rPr>
          <w:sz w:val="22"/>
          <w:szCs w:val="22"/>
        </w:rPr>
        <w:t xml:space="preserve"> 2024; </w:t>
      </w:r>
      <w:r w:rsidRPr="00894F4E">
        <w:rPr>
          <w:b/>
          <w:bCs/>
          <w:sz w:val="22"/>
          <w:szCs w:val="22"/>
        </w:rPr>
        <w:t>67</w:t>
      </w:r>
      <w:r w:rsidRPr="00894F4E">
        <w:rPr>
          <w:sz w:val="22"/>
          <w:szCs w:val="22"/>
        </w:rPr>
        <w:t>: e13691.</w:t>
      </w:r>
    </w:p>
    <w:p w14:paraId="09F8FD42"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174</w:t>
      </w:r>
      <w:r w:rsidRPr="00894F4E">
        <w:rPr>
          <w:sz w:val="22"/>
          <w:szCs w:val="22"/>
        </w:rPr>
        <w:tab/>
      </w:r>
      <w:proofErr w:type="spellStart"/>
      <w:r w:rsidRPr="00894F4E">
        <w:rPr>
          <w:sz w:val="22"/>
          <w:szCs w:val="22"/>
        </w:rPr>
        <w:t>Bongomin</w:t>
      </w:r>
      <w:proofErr w:type="spellEnd"/>
      <w:r w:rsidRPr="00894F4E">
        <w:rPr>
          <w:sz w:val="22"/>
          <w:szCs w:val="22"/>
        </w:rPr>
        <w:t xml:space="preserve"> F, Oladele RO, Gago S, Moore CB, Richardson MD. A systematic review of fluconazole resistance in clinical isolates of Cryptococcus species. </w:t>
      </w:r>
      <w:r w:rsidRPr="00894F4E">
        <w:rPr>
          <w:i/>
          <w:iCs/>
          <w:sz w:val="22"/>
          <w:szCs w:val="22"/>
        </w:rPr>
        <w:t>Mycoses</w:t>
      </w:r>
      <w:r w:rsidRPr="00894F4E">
        <w:rPr>
          <w:sz w:val="22"/>
          <w:szCs w:val="22"/>
        </w:rPr>
        <w:t xml:space="preserve"> 2018; </w:t>
      </w:r>
      <w:r w:rsidRPr="00894F4E">
        <w:rPr>
          <w:b/>
          <w:bCs/>
          <w:sz w:val="22"/>
          <w:szCs w:val="22"/>
        </w:rPr>
        <w:t>61</w:t>
      </w:r>
      <w:r w:rsidRPr="00894F4E">
        <w:rPr>
          <w:sz w:val="22"/>
          <w:szCs w:val="22"/>
        </w:rPr>
        <w:t>: 290–7.</w:t>
      </w:r>
    </w:p>
    <w:p w14:paraId="30188639"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175</w:t>
      </w:r>
      <w:r w:rsidRPr="00894F4E">
        <w:rPr>
          <w:sz w:val="22"/>
          <w:szCs w:val="22"/>
        </w:rPr>
        <w:tab/>
      </w:r>
      <w:proofErr w:type="spellStart"/>
      <w:r w:rsidRPr="00894F4E">
        <w:rPr>
          <w:sz w:val="22"/>
          <w:szCs w:val="22"/>
        </w:rPr>
        <w:t>Argimón</w:t>
      </w:r>
      <w:proofErr w:type="spellEnd"/>
      <w:r w:rsidRPr="00894F4E">
        <w:rPr>
          <w:sz w:val="22"/>
          <w:szCs w:val="22"/>
        </w:rPr>
        <w:t xml:space="preserve"> S, </w:t>
      </w:r>
      <w:proofErr w:type="spellStart"/>
      <w:r w:rsidRPr="00894F4E">
        <w:rPr>
          <w:sz w:val="22"/>
          <w:szCs w:val="22"/>
        </w:rPr>
        <w:t>Masim</w:t>
      </w:r>
      <w:proofErr w:type="spellEnd"/>
      <w:r w:rsidRPr="00894F4E">
        <w:rPr>
          <w:sz w:val="22"/>
          <w:szCs w:val="22"/>
        </w:rPr>
        <w:t xml:space="preserve"> MA, </w:t>
      </w:r>
      <w:proofErr w:type="spellStart"/>
      <w:r w:rsidRPr="00894F4E">
        <w:rPr>
          <w:sz w:val="22"/>
          <w:szCs w:val="22"/>
        </w:rPr>
        <w:t>Gayeta</w:t>
      </w:r>
      <w:proofErr w:type="spellEnd"/>
      <w:r w:rsidRPr="00894F4E">
        <w:rPr>
          <w:sz w:val="22"/>
          <w:szCs w:val="22"/>
        </w:rPr>
        <w:t xml:space="preserve"> JM, </w:t>
      </w:r>
      <w:r w:rsidRPr="00894F4E">
        <w:rPr>
          <w:i/>
          <w:iCs/>
          <w:sz w:val="22"/>
          <w:szCs w:val="22"/>
        </w:rPr>
        <w:t>et al.</w:t>
      </w:r>
      <w:r w:rsidRPr="00894F4E">
        <w:rPr>
          <w:sz w:val="22"/>
          <w:szCs w:val="22"/>
        </w:rPr>
        <w:t xml:space="preserve"> Integrating whole-genome sequencing within the National Antimicrobial Resistance Surveillance Program in the Philippines. </w:t>
      </w:r>
      <w:r w:rsidRPr="00894F4E">
        <w:rPr>
          <w:i/>
          <w:iCs/>
          <w:sz w:val="22"/>
          <w:szCs w:val="22"/>
        </w:rPr>
        <w:t>Nature communications</w:t>
      </w:r>
      <w:r w:rsidRPr="00894F4E">
        <w:rPr>
          <w:sz w:val="22"/>
          <w:szCs w:val="22"/>
        </w:rPr>
        <w:t xml:space="preserve"> 2020; </w:t>
      </w:r>
      <w:r w:rsidRPr="00894F4E">
        <w:rPr>
          <w:b/>
          <w:bCs/>
          <w:sz w:val="22"/>
          <w:szCs w:val="22"/>
        </w:rPr>
        <w:t>11</w:t>
      </w:r>
      <w:r w:rsidRPr="00894F4E">
        <w:rPr>
          <w:sz w:val="22"/>
          <w:szCs w:val="22"/>
        </w:rPr>
        <w:t>: 2719.</w:t>
      </w:r>
    </w:p>
    <w:p w14:paraId="37E209DB" w14:textId="77777777" w:rsidR="00E00CFD" w:rsidRPr="00894F4E" w:rsidRDefault="00E00CFD" w:rsidP="00894F4E">
      <w:pPr>
        <w:pStyle w:val="Bibliography"/>
        <w:tabs>
          <w:tab w:val="clear" w:pos="260"/>
          <w:tab w:val="left" w:pos="450"/>
        </w:tabs>
        <w:spacing w:after="0"/>
        <w:ind w:left="450" w:hanging="450"/>
        <w:rPr>
          <w:sz w:val="22"/>
          <w:szCs w:val="22"/>
        </w:rPr>
      </w:pPr>
      <w:r w:rsidRPr="00894F4E">
        <w:rPr>
          <w:sz w:val="22"/>
          <w:szCs w:val="22"/>
        </w:rPr>
        <w:t>176</w:t>
      </w:r>
      <w:r w:rsidRPr="00894F4E">
        <w:rPr>
          <w:sz w:val="22"/>
          <w:szCs w:val="22"/>
        </w:rPr>
        <w:tab/>
        <w:t xml:space="preserve">O’Brien TF, Stelling JM. WHONET: an information system for monitoring antimicrobial resistance. </w:t>
      </w:r>
      <w:r w:rsidRPr="00894F4E">
        <w:rPr>
          <w:i/>
          <w:iCs/>
          <w:sz w:val="22"/>
          <w:szCs w:val="22"/>
        </w:rPr>
        <w:t>Emerging infectious diseases</w:t>
      </w:r>
      <w:r w:rsidRPr="00894F4E">
        <w:rPr>
          <w:sz w:val="22"/>
          <w:szCs w:val="22"/>
        </w:rPr>
        <w:t xml:space="preserve"> 1995; </w:t>
      </w:r>
      <w:r w:rsidRPr="00894F4E">
        <w:rPr>
          <w:b/>
          <w:bCs/>
          <w:sz w:val="22"/>
          <w:szCs w:val="22"/>
        </w:rPr>
        <w:t>1</w:t>
      </w:r>
      <w:r w:rsidRPr="00894F4E">
        <w:rPr>
          <w:sz w:val="22"/>
          <w:szCs w:val="22"/>
        </w:rPr>
        <w:t>: 66.</w:t>
      </w:r>
    </w:p>
    <w:p w14:paraId="1269551E" w14:textId="1131EFEA" w:rsidR="00A002A9" w:rsidRPr="00C37A4D" w:rsidRDefault="00A002A9" w:rsidP="006213E2">
      <w:pPr>
        <w:tabs>
          <w:tab w:val="left" w:pos="450"/>
        </w:tabs>
        <w:ind w:left="450" w:hanging="450"/>
        <w:rPr>
          <w:rFonts w:asciiTheme="minorHAnsi" w:eastAsia="Arial" w:hAnsiTheme="minorHAnsi" w:cstheme="minorHAnsi"/>
          <w:color w:val="000000" w:themeColor="text1"/>
          <w:sz w:val="22"/>
          <w:szCs w:val="22"/>
          <w:lang w:val="en-GB"/>
        </w:rPr>
      </w:pPr>
    </w:p>
    <w:p w14:paraId="0DF822A4" w14:textId="77777777" w:rsidR="00A002A9" w:rsidRPr="00C37A4D" w:rsidRDefault="00A002A9">
      <w:pPr>
        <w:rPr>
          <w:rFonts w:asciiTheme="minorHAnsi" w:eastAsia="Arial" w:hAnsiTheme="minorHAnsi" w:cstheme="minorHAnsi"/>
          <w:b/>
          <w:bCs/>
          <w:color w:val="000000" w:themeColor="text1"/>
          <w:sz w:val="22"/>
          <w:szCs w:val="22"/>
          <w:lang w:val="en-GB"/>
        </w:rPr>
      </w:pPr>
      <w:r w:rsidRPr="00C37A4D">
        <w:rPr>
          <w:rFonts w:asciiTheme="minorHAnsi" w:eastAsia="Arial" w:hAnsiTheme="minorHAnsi" w:cstheme="minorHAnsi"/>
          <w:b/>
          <w:bCs/>
          <w:color w:val="000000" w:themeColor="text1"/>
          <w:sz w:val="22"/>
          <w:szCs w:val="22"/>
          <w:lang w:val="en-GB"/>
        </w:rPr>
        <w:br w:type="page"/>
      </w:r>
    </w:p>
    <w:p w14:paraId="6DF32069" w14:textId="42A1E188" w:rsidR="00A002A9" w:rsidRPr="00C37A4D" w:rsidRDefault="00A002A9" w:rsidP="00A002A9">
      <w:pPr>
        <w:rPr>
          <w:rFonts w:asciiTheme="minorHAnsi" w:eastAsia="Arial" w:hAnsiTheme="minorHAnsi" w:cstheme="minorHAnsi"/>
          <w:b/>
          <w:bCs/>
          <w:color w:val="000000" w:themeColor="text1"/>
          <w:sz w:val="22"/>
          <w:szCs w:val="22"/>
          <w:lang w:val="en-GB"/>
        </w:rPr>
      </w:pPr>
      <w:r w:rsidRPr="00C37A4D">
        <w:rPr>
          <w:rFonts w:asciiTheme="minorHAnsi" w:eastAsia="Arial" w:hAnsiTheme="minorHAnsi" w:cstheme="minorHAnsi"/>
          <w:b/>
          <w:bCs/>
          <w:color w:val="000000" w:themeColor="text1"/>
          <w:sz w:val="22"/>
          <w:szCs w:val="22"/>
          <w:lang w:val="en-GB"/>
        </w:rPr>
        <w:lastRenderedPageBreak/>
        <w:t>FIGURE</w:t>
      </w:r>
      <w:r w:rsidR="00CF6380">
        <w:rPr>
          <w:rFonts w:asciiTheme="minorHAnsi" w:eastAsia="Arial" w:hAnsiTheme="minorHAnsi" w:cstheme="minorHAnsi"/>
          <w:b/>
          <w:bCs/>
          <w:color w:val="000000" w:themeColor="text1"/>
          <w:sz w:val="22"/>
          <w:szCs w:val="22"/>
          <w:lang w:val="en-GB"/>
        </w:rPr>
        <w:t xml:space="preserve"> </w:t>
      </w:r>
      <w:r w:rsidRPr="00C37A4D">
        <w:rPr>
          <w:rFonts w:asciiTheme="minorHAnsi" w:eastAsia="Arial" w:hAnsiTheme="minorHAnsi" w:cstheme="minorHAnsi"/>
          <w:b/>
          <w:bCs/>
          <w:color w:val="000000" w:themeColor="text1"/>
          <w:sz w:val="22"/>
          <w:szCs w:val="22"/>
          <w:lang w:val="en-GB"/>
        </w:rPr>
        <w:t>CAPTIONS</w:t>
      </w:r>
    </w:p>
    <w:p w14:paraId="563D011C" w14:textId="77777777" w:rsidR="00B73158" w:rsidRDefault="00B73158" w:rsidP="00B73158">
      <w:pPr>
        <w:rPr>
          <w:rFonts w:asciiTheme="minorHAnsi" w:hAnsiTheme="minorHAnsi" w:cstheme="minorHAnsi"/>
          <w:color w:val="000000" w:themeColor="text1"/>
          <w:sz w:val="22"/>
          <w:szCs w:val="22"/>
          <w:lang w:val="en-GB"/>
        </w:rPr>
      </w:pPr>
    </w:p>
    <w:p w14:paraId="40786685" w14:textId="3B58BC4F" w:rsidR="00B73158" w:rsidRPr="00C37A4D" w:rsidRDefault="00B73158" w:rsidP="00B73158">
      <w:pPr>
        <w:rPr>
          <w:rFonts w:asciiTheme="minorHAnsi" w:eastAsia="Arial" w:hAnsiTheme="minorHAnsi" w:cstheme="minorHAnsi"/>
          <w:bCs/>
          <w:color w:val="000000" w:themeColor="text1"/>
          <w:sz w:val="22"/>
          <w:szCs w:val="22"/>
        </w:rPr>
      </w:pPr>
      <w:r w:rsidRPr="00C37A4D">
        <w:rPr>
          <w:rFonts w:asciiTheme="minorHAnsi" w:eastAsia="Arial" w:hAnsiTheme="minorHAnsi" w:cstheme="minorHAnsi"/>
          <w:b/>
          <w:color w:val="000000" w:themeColor="text1"/>
          <w:sz w:val="22"/>
          <w:szCs w:val="22"/>
        </w:rPr>
        <w:t xml:space="preserve">Figure </w:t>
      </w:r>
      <w:r>
        <w:rPr>
          <w:rFonts w:asciiTheme="minorHAnsi" w:eastAsia="Arial" w:hAnsiTheme="minorHAnsi" w:cstheme="minorHAnsi"/>
          <w:b/>
          <w:color w:val="000000" w:themeColor="text1"/>
          <w:sz w:val="22"/>
          <w:szCs w:val="22"/>
        </w:rPr>
        <w:t>1</w:t>
      </w:r>
      <w:r w:rsidRPr="00C37A4D">
        <w:rPr>
          <w:rFonts w:asciiTheme="minorHAnsi" w:eastAsia="Arial" w:hAnsiTheme="minorHAnsi" w:cstheme="minorHAnsi"/>
          <w:b/>
          <w:color w:val="000000" w:themeColor="text1"/>
          <w:sz w:val="22"/>
          <w:szCs w:val="22"/>
        </w:rPr>
        <w:t xml:space="preserve">. Change in prevalence of antimicrobial resistance in animals in low- and middle-income countries between 2000-2010 vs 2011-2020. </w:t>
      </w:r>
      <w:r w:rsidRPr="00C37A4D">
        <w:rPr>
          <w:rFonts w:asciiTheme="minorHAnsi" w:eastAsia="Arial" w:hAnsiTheme="minorHAnsi" w:cstheme="minorHAnsi"/>
          <w:bCs/>
          <w:color w:val="000000" w:themeColor="text1"/>
          <w:sz w:val="22"/>
          <w:szCs w:val="22"/>
        </w:rPr>
        <w:t>Points prevalence surveys obtained from resistancebank.org</w:t>
      </w:r>
      <w:r w:rsidRPr="00E00CFD">
        <w:rPr>
          <w:rFonts w:hAnsiTheme="minorHAnsi"/>
          <w:color w:val="000000"/>
          <w:sz w:val="22"/>
          <w:vertAlign w:val="superscript"/>
        </w:rPr>
        <w:t>28</w:t>
      </w:r>
      <w:r w:rsidRPr="00C37A4D">
        <w:rPr>
          <w:rFonts w:asciiTheme="minorHAnsi" w:eastAsia="Arial" w:hAnsiTheme="minorHAnsi" w:cstheme="minorHAnsi"/>
          <w:bCs/>
          <w:color w:val="000000" w:themeColor="text1"/>
          <w:sz w:val="22"/>
          <w:szCs w:val="22"/>
        </w:rPr>
        <w:t xml:space="preserve"> for chicken (A, n = 565), pigs (B, n= 303), and cattle (C, n = 407).</w:t>
      </w:r>
      <w:r>
        <w:rPr>
          <w:rFonts w:asciiTheme="minorHAnsi" w:eastAsia="Arial" w:hAnsiTheme="minorHAnsi" w:cstheme="minorHAnsi"/>
          <w:bCs/>
          <w:color w:val="000000" w:themeColor="text1"/>
          <w:sz w:val="22"/>
          <w:szCs w:val="22"/>
        </w:rPr>
        <w:t xml:space="preserve"> </w:t>
      </w:r>
      <w:r w:rsidRPr="00C37A4D">
        <w:rPr>
          <w:rFonts w:asciiTheme="minorHAnsi" w:eastAsia="Arial" w:hAnsiTheme="minorHAnsi" w:cstheme="minorHAnsi"/>
          <w:bCs/>
          <w:color w:val="000000" w:themeColor="text1"/>
          <w:sz w:val="22"/>
          <w:szCs w:val="22"/>
        </w:rPr>
        <w:t>AMP, Ampicillin; CHL, Chloramphenicol; CIP, Ciprofloxacin; CTX, Cefotaxime; GEN, Gentamicin; SXT, Sulfamethoxazole-Trimethoprim; TET, Tetracycline.</w:t>
      </w:r>
    </w:p>
    <w:p w14:paraId="21DBAAD2" w14:textId="77777777" w:rsidR="008254AE" w:rsidRDefault="008254AE" w:rsidP="008254AE">
      <w:pPr>
        <w:rPr>
          <w:rFonts w:asciiTheme="minorHAnsi" w:hAnsiTheme="minorHAnsi" w:cstheme="minorHAnsi"/>
          <w:color w:val="000000" w:themeColor="text1"/>
          <w:sz w:val="22"/>
          <w:szCs w:val="22"/>
          <w:highlight w:val="white"/>
          <w:lang w:val="en-GB"/>
        </w:rPr>
      </w:pPr>
    </w:p>
    <w:p w14:paraId="03350752" w14:textId="77777777" w:rsidR="008254AE" w:rsidRPr="00EC11C3" w:rsidRDefault="008254AE" w:rsidP="008254AE">
      <w:pPr>
        <w:rPr>
          <w:rFonts w:asciiTheme="minorHAnsi" w:eastAsia="Arial" w:hAnsiTheme="minorHAnsi" w:cstheme="minorHAnsi"/>
          <w:b/>
          <w:color w:val="000000" w:themeColor="text1"/>
          <w:sz w:val="22"/>
          <w:szCs w:val="22"/>
          <w:lang w:val="en-GB"/>
        </w:rPr>
      </w:pPr>
      <w:r w:rsidRPr="00C37A4D">
        <w:rPr>
          <w:rFonts w:asciiTheme="minorHAnsi" w:eastAsia="Arial" w:hAnsiTheme="minorHAnsi" w:cstheme="minorHAnsi"/>
          <w:b/>
          <w:color w:val="000000" w:themeColor="text1"/>
          <w:sz w:val="22"/>
          <w:szCs w:val="22"/>
        </w:rPr>
        <w:t xml:space="preserve">Figure </w:t>
      </w:r>
      <w:r>
        <w:rPr>
          <w:rFonts w:asciiTheme="minorHAnsi" w:eastAsia="Arial" w:hAnsiTheme="minorHAnsi" w:cstheme="minorHAnsi"/>
          <w:b/>
          <w:color w:val="000000" w:themeColor="text1"/>
          <w:sz w:val="22"/>
          <w:szCs w:val="22"/>
        </w:rPr>
        <w:t>2</w:t>
      </w:r>
      <w:r w:rsidRPr="00C37A4D">
        <w:rPr>
          <w:rFonts w:asciiTheme="minorHAnsi" w:eastAsia="Arial" w:hAnsiTheme="minorHAnsi" w:cstheme="minorHAnsi"/>
          <w:b/>
          <w:color w:val="000000" w:themeColor="text1"/>
          <w:sz w:val="22"/>
          <w:szCs w:val="22"/>
        </w:rPr>
        <w:t>. AMR retards progress towards global childhood survival targets</w:t>
      </w:r>
      <w:r w:rsidRPr="00C37A4D">
        <w:rPr>
          <w:rFonts w:asciiTheme="minorHAnsi" w:eastAsia="Arial" w:hAnsiTheme="minorHAnsi" w:cstheme="minorHAnsi"/>
          <w:bCs/>
          <w:color w:val="000000" w:themeColor="text1"/>
          <w:sz w:val="22"/>
          <w:szCs w:val="22"/>
        </w:rPr>
        <w:t xml:space="preserve">. (A) Progress in reducing under five mortality, neonatal mortality, and neonatal sepsis since 2000 (solid lines) in comparison to the Sustainable Development Goal targets for neonatal and under five </w:t>
      </w:r>
      <w:proofErr w:type="gramStart"/>
      <w:r w:rsidRPr="00C37A4D">
        <w:rPr>
          <w:rFonts w:asciiTheme="minorHAnsi" w:eastAsia="Arial" w:hAnsiTheme="minorHAnsi" w:cstheme="minorHAnsi"/>
          <w:bCs/>
          <w:color w:val="000000" w:themeColor="text1"/>
          <w:sz w:val="22"/>
          <w:szCs w:val="22"/>
        </w:rPr>
        <w:t>mortality</w:t>
      </w:r>
      <w:proofErr w:type="gramEnd"/>
      <w:r w:rsidRPr="00C37A4D">
        <w:rPr>
          <w:rFonts w:asciiTheme="minorHAnsi" w:eastAsia="Arial" w:hAnsiTheme="minorHAnsi" w:cstheme="minorHAnsi"/>
          <w:bCs/>
          <w:color w:val="000000" w:themeColor="text1"/>
          <w:sz w:val="22"/>
          <w:szCs w:val="22"/>
        </w:rPr>
        <w:t xml:space="preserve"> (dotted lines). Dashed lines present a counterfactual scenario were there to be no AMR-attributable deaths (see Supplement for details). The counterfactual scenario’s shift from the reported values is based on the Global Burden of Disease Antimicrobial Resistance study</w:t>
      </w:r>
      <w:r w:rsidRPr="008B08C0">
        <w:rPr>
          <w:rFonts w:hAnsiTheme="minorHAnsi"/>
          <w:color w:val="000000"/>
          <w:sz w:val="22"/>
          <w:vertAlign w:val="superscript"/>
        </w:rPr>
        <w:t>1</w:t>
      </w:r>
      <w:r w:rsidRPr="00C37A4D">
        <w:rPr>
          <w:rFonts w:asciiTheme="minorHAnsi" w:eastAsia="Arial" w:hAnsiTheme="minorHAnsi" w:cstheme="minorHAnsi"/>
          <w:bCs/>
          <w:color w:val="000000" w:themeColor="text1"/>
          <w:sz w:val="22"/>
          <w:szCs w:val="22"/>
        </w:rPr>
        <w:t xml:space="preserve"> and the rate of change is calculated from cohort studies on antimicrobial resistance.</w:t>
      </w:r>
      <w:r w:rsidRPr="00E00CFD">
        <w:rPr>
          <w:rFonts w:hAnsiTheme="minorHAnsi"/>
          <w:color w:val="000000"/>
          <w:sz w:val="22"/>
          <w:vertAlign w:val="superscript"/>
        </w:rPr>
        <w:t>34–36</w:t>
      </w:r>
      <w:r w:rsidRPr="00C37A4D">
        <w:rPr>
          <w:rFonts w:asciiTheme="minorHAnsi" w:eastAsia="Arial" w:hAnsiTheme="minorHAnsi" w:cstheme="minorHAnsi"/>
          <w:bCs/>
          <w:color w:val="000000" w:themeColor="text1"/>
          <w:sz w:val="22"/>
          <w:szCs w:val="22"/>
        </w:rPr>
        <w:t xml:space="preserve"> (B) Reported percent changes in the last decade of neonatal sepsis isolates by drug resistance. Source data is the same as that informing the rate of change in the no AMR counterfactual scenario in (A). Multidrug resistance (MDR) is defined akin to Sievert et al.</w:t>
      </w:r>
      <w:r w:rsidRPr="00E00CFD">
        <w:rPr>
          <w:rFonts w:hAnsiTheme="minorHAnsi"/>
          <w:color w:val="000000"/>
          <w:sz w:val="22"/>
          <w:vertAlign w:val="superscript"/>
        </w:rPr>
        <w:t>37</w:t>
      </w:r>
      <w:r w:rsidRPr="00C37A4D">
        <w:rPr>
          <w:rFonts w:asciiTheme="minorHAnsi" w:eastAsia="Arial" w:hAnsiTheme="minorHAnsi" w:cstheme="minorHAnsi"/>
          <w:bCs/>
          <w:color w:val="000000" w:themeColor="text1"/>
          <w:sz w:val="22"/>
          <w:szCs w:val="22"/>
        </w:rPr>
        <w:t xml:space="preserve"> to mean drug resistance to </w:t>
      </w:r>
      <w:proofErr w:type="gramStart"/>
      <w:r w:rsidRPr="00C37A4D">
        <w:rPr>
          <w:rFonts w:asciiTheme="minorHAnsi" w:eastAsia="Arial" w:hAnsiTheme="minorHAnsi" w:cstheme="minorHAnsi"/>
          <w:bCs/>
          <w:color w:val="000000" w:themeColor="text1"/>
          <w:sz w:val="22"/>
          <w:szCs w:val="22"/>
        </w:rPr>
        <w:t>a majority of</w:t>
      </w:r>
      <w:proofErr w:type="gramEnd"/>
      <w:r w:rsidRPr="00C37A4D">
        <w:rPr>
          <w:rFonts w:asciiTheme="minorHAnsi" w:eastAsia="Arial" w:hAnsiTheme="minorHAnsi" w:cstheme="minorHAnsi"/>
          <w:bCs/>
          <w:color w:val="000000" w:themeColor="text1"/>
          <w:sz w:val="22"/>
          <w:szCs w:val="22"/>
        </w:rPr>
        <w:t xml:space="preserve"> the currently</w:t>
      </w:r>
      <w:r>
        <w:rPr>
          <w:rFonts w:asciiTheme="minorHAnsi" w:eastAsia="Arial" w:hAnsiTheme="minorHAnsi" w:cstheme="minorHAnsi"/>
          <w:bCs/>
          <w:color w:val="000000" w:themeColor="text1"/>
          <w:sz w:val="22"/>
          <w:szCs w:val="22"/>
        </w:rPr>
        <w:t xml:space="preserve"> </w:t>
      </w:r>
      <w:r w:rsidRPr="00C37A4D">
        <w:rPr>
          <w:rFonts w:asciiTheme="minorHAnsi" w:eastAsia="Arial" w:hAnsiTheme="minorHAnsi" w:cstheme="minorHAnsi"/>
          <w:bCs/>
          <w:color w:val="000000" w:themeColor="text1"/>
          <w:sz w:val="22"/>
          <w:szCs w:val="22"/>
        </w:rPr>
        <w:t>prescribed antibiotic treatments at time of data analysis. (C) Progress in reducing bacterial mortality stratified by age group. All Global Burden of Disease syndromic causes that have bacterial underpinnings are summed for the two age groups.</w:t>
      </w:r>
    </w:p>
    <w:p w14:paraId="1E036A4D" w14:textId="77777777" w:rsidR="00984BF5" w:rsidRDefault="00984BF5" w:rsidP="00984BF5">
      <w:pPr>
        <w:rPr>
          <w:rFonts w:asciiTheme="minorHAnsi" w:eastAsia="Arial" w:hAnsiTheme="minorHAnsi" w:cstheme="minorHAnsi"/>
          <w:color w:val="000000" w:themeColor="text1"/>
          <w:sz w:val="22"/>
          <w:szCs w:val="22"/>
          <w:highlight w:val="white"/>
          <w:lang w:val="en-GB"/>
        </w:rPr>
      </w:pPr>
    </w:p>
    <w:p w14:paraId="0B13B570" w14:textId="531AE666" w:rsidR="009E3A87" w:rsidRPr="009E3A87" w:rsidRDefault="00984BF5" w:rsidP="009E3A87">
      <w:pPr>
        <w:rPr>
          <w:rFonts w:asciiTheme="minorHAnsi" w:eastAsia="Arial" w:hAnsiTheme="minorHAnsi" w:cstheme="minorHAnsi"/>
          <w:bCs/>
          <w:color w:val="000000" w:themeColor="text1"/>
          <w:sz w:val="22"/>
          <w:szCs w:val="22"/>
        </w:rPr>
      </w:pPr>
      <w:r w:rsidRPr="00C37A4D">
        <w:rPr>
          <w:rFonts w:asciiTheme="minorHAnsi" w:eastAsia="Arial" w:hAnsiTheme="minorHAnsi" w:cstheme="minorHAnsi"/>
          <w:b/>
          <w:color w:val="000000" w:themeColor="text1"/>
          <w:sz w:val="22"/>
          <w:szCs w:val="22"/>
        </w:rPr>
        <w:t xml:space="preserve">Figure </w:t>
      </w:r>
      <w:r>
        <w:rPr>
          <w:rFonts w:asciiTheme="minorHAnsi" w:eastAsia="Arial" w:hAnsiTheme="minorHAnsi" w:cstheme="minorHAnsi"/>
          <w:b/>
          <w:color w:val="000000" w:themeColor="text1"/>
          <w:sz w:val="22"/>
          <w:szCs w:val="22"/>
        </w:rPr>
        <w:t>3</w:t>
      </w:r>
      <w:r w:rsidRPr="00C37A4D">
        <w:rPr>
          <w:rFonts w:asciiTheme="minorHAnsi" w:eastAsia="Arial" w:hAnsiTheme="minorHAnsi" w:cstheme="minorHAnsi"/>
          <w:b/>
          <w:color w:val="000000" w:themeColor="text1"/>
          <w:sz w:val="22"/>
          <w:szCs w:val="22"/>
        </w:rPr>
        <w:t>. Drug-resistant infections present a significant burden on aging populations.</w:t>
      </w:r>
      <w:r w:rsidRPr="00C37A4D">
        <w:rPr>
          <w:rFonts w:asciiTheme="minorHAnsi" w:eastAsia="Arial" w:hAnsiTheme="minorHAnsi" w:cstheme="minorHAnsi"/>
          <w:bCs/>
          <w:color w:val="000000" w:themeColor="text1"/>
          <w:sz w:val="22"/>
          <w:szCs w:val="22"/>
        </w:rPr>
        <w:t xml:space="preserve"> (A) Estimated number of AMR-attributable deaths (i.e., infection from a drug-resistant pathogen that is in the causal chain of death) stratified by the top five pathogens among individuals over 65 years. The height of the bars represents the total number of all-cause over 65 deaths that are attributable to an AMR pathogen while the colored section of each bar represents the contribution of each pathogen. Data are shown by geographic GBD super region. (B) Percent of all-cause over 65 mortality that are attributable to AMR by pathogen. Same as </w:t>
      </w:r>
      <w:r>
        <w:rPr>
          <w:rFonts w:asciiTheme="minorHAnsi" w:eastAsia="Arial" w:hAnsiTheme="minorHAnsi" w:cstheme="minorHAnsi"/>
          <w:b/>
          <w:color w:val="000000" w:themeColor="text1"/>
          <w:sz w:val="22"/>
          <w:szCs w:val="22"/>
        </w:rPr>
        <w:t>SI pg 6</w:t>
      </w:r>
      <w:r w:rsidRPr="00C37A4D">
        <w:rPr>
          <w:rFonts w:asciiTheme="minorHAnsi" w:eastAsia="Arial" w:hAnsiTheme="minorHAnsi" w:cstheme="minorHAnsi"/>
          <w:bCs/>
          <w:color w:val="000000" w:themeColor="text1"/>
          <w:sz w:val="22"/>
          <w:szCs w:val="22"/>
        </w:rPr>
        <w:t xml:space="preserve"> but for individuals over 65. Source data on the burden of AMR pathogens are from the </w:t>
      </w:r>
      <w:r>
        <w:rPr>
          <w:rFonts w:asciiTheme="minorHAnsi" w:eastAsia="Arial" w:hAnsiTheme="minorHAnsi" w:cstheme="minorHAnsi"/>
          <w:bCs/>
          <w:color w:val="000000" w:themeColor="text1"/>
          <w:sz w:val="22"/>
          <w:szCs w:val="22"/>
        </w:rPr>
        <w:t>GRAM</w:t>
      </w:r>
      <w:r w:rsidRPr="00C37A4D">
        <w:rPr>
          <w:rFonts w:asciiTheme="minorHAnsi" w:eastAsia="Arial" w:hAnsiTheme="minorHAnsi" w:cstheme="minorHAnsi"/>
          <w:bCs/>
          <w:color w:val="000000" w:themeColor="text1"/>
          <w:sz w:val="22"/>
          <w:szCs w:val="22"/>
        </w:rPr>
        <w:t xml:space="preserve"> study,</w:t>
      </w:r>
      <w:r w:rsidRPr="006A2667">
        <w:rPr>
          <w:rFonts w:hAnsiTheme="minorHAnsi"/>
          <w:color w:val="000000"/>
          <w:sz w:val="22"/>
          <w:vertAlign w:val="superscript"/>
        </w:rPr>
        <w:t>1</w:t>
      </w:r>
      <w:r w:rsidRPr="00C37A4D">
        <w:rPr>
          <w:rFonts w:asciiTheme="minorHAnsi" w:eastAsia="Arial" w:hAnsiTheme="minorHAnsi" w:cstheme="minorHAnsi"/>
          <w:bCs/>
          <w:color w:val="000000" w:themeColor="text1"/>
          <w:sz w:val="22"/>
          <w:szCs w:val="22"/>
        </w:rPr>
        <w:t xml:space="preserve"> and estimates for the total number of all-cause over 65 deaths for scaling in (B) are from the GBD study.</w:t>
      </w:r>
      <w:r w:rsidRPr="00E00CFD">
        <w:rPr>
          <w:rFonts w:hAnsiTheme="minorHAnsi"/>
          <w:color w:val="000000"/>
          <w:sz w:val="22"/>
          <w:vertAlign w:val="superscript"/>
        </w:rPr>
        <w:t>39</w:t>
      </w:r>
      <w:r w:rsidRPr="00C37A4D">
        <w:rPr>
          <w:rFonts w:asciiTheme="minorHAnsi" w:eastAsia="Arial" w:hAnsiTheme="minorHAnsi" w:cstheme="minorHAnsi"/>
          <w:bCs/>
          <w:color w:val="000000" w:themeColor="text1"/>
          <w:sz w:val="22"/>
          <w:szCs w:val="22"/>
        </w:rPr>
        <w:t xml:space="preserve"> Estimates reflect the situation as of 2019.</w:t>
      </w:r>
    </w:p>
    <w:p w14:paraId="0E245212" w14:textId="77777777" w:rsidR="009E3A87" w:rsidRPr="00C37A4D" w:rsidRDefault="009E3A87" w:rsidP="009E3A87">
      <w:pPr>
        <w:rPr>
          <w:rFonts w:asciiTheme="minorHAnsi" w:eastAsia="Arial" w:hAnsiTheme="minorHAnsi" w:cstheme="minorHAnsi"/>
          <w:color w:val="000000" w:themeColor="text1"/>
          <w:sz w:val="22"/>
          <w:szCs w:val="22"/>
          <w:highlight w:val="white"/>
          <w:lang w:val="en-GB"/>
        </w:rPr>
      </w:pPr>
    </w:p>
    <w:p w14:paraId="226D41DA" w14:textId="77777777" w:rsidR="009E3A87" w:rsidRPr="00C37A4D" w:rsidRDefault="009E3A87" w:rsidP="009E3A87">
      <w:pPr>
        <w:rPr>
          <w:rFonts w:asciiTheme="minorHAnsi" w:eastAsia="Arial" w:hAnsiTheme="minorHAnsi" w:cstheme="minorHAnsi"/>
          <w:bCs/>
          <w:color w:val="000000" w:themeColor="text1"/>
          <w:sz w:val="22"/>
          <w:szCs w:val="22"/>
        </w:rPr>
      </w:pPr>
      <w:r w:rsidRPr="00C37A4D">
        <w:rPr>
          <w:rFonts w:asciiTheme="minorHAnsi" w:eastAsia="Arial" w:hAnsiTheme="minorHAnsi" w:cstheme="minorHAnsi"/>
          <w:b/>
          <w:sz w:val="22"/>
          <w:szCs w:val="22"/>
        </w:rPr>
        <w:t xml:space="preserve">Figure </w:t>
      </w:r>
      <w:r>
        <w:rPr>
          <w:rFonts w:asciiTheme="minorHAnsi" w:eastAsia="Arial" w:hAnsiTheme="minorHAnsi" w:cstheme="minorHAnsi"/>
          <w:b/>
          <w:sz w:val="22"/>
          <w:szCs w:val="22"/>
        </w:rPr>
        <w:t>4</w:t>
      </w:r>
      <w:r w:rsidRPr="00C37A4D">
        <w:rPr>
          <w:rFonts w:asciiTheme="minorHAnsi" w:eastAsia="Arial" w:hAnsiTheme="minorHAnsi" w:cstheme="minorHAnsi"/>
          <w:b/>
          <w:sz w:val="22"/>
          <w:szCs w:val="22"/>
        </w:rPr>
        <w:t xml:space="preserve">. </w:t>
      </w:r>
      <w:r w:rsidRPr="00C37A4D">
        <w:rPr>
          <w:rFonts w:asciiTheme="minorHAnsi" w:eastAsia="Arial" w:hAnsiTheme="minorHAnsi" w:cstheme="minorHAnsi"/>
          <w:b/>
          <w:color w:val="000000" w:themeColor="text1"/>
          <w:sz w:val="22"/>
          <w:szCs w:val="22"/>
        </w:rPr>
        <w:t xml:space="preserve">Evolution of antimicrobial resistance in </w:t>
      </w:r>
      <w:r w:rsidRPr="00C37A4D">
        <w:rPr>
          <w:rFonts w:asciiTheme="minorHAnsi" w:eastAsia="Arial" w:hAnsiTheme="minorHAnsi" w:cstheme="minorHAnsi"/>
          <w:b/>
          <w:i/>
          <w:iCs/>
          <w:color w:val="000000" w:themeColor="text1"/>
          <w:sz w:val="22"/>
          <w:szCs w:val="22"/>
        </w:rPr>
        <w:t>Salmonella</w:t>
      </w:r>
      <w:r w:rsidRPr="00C37A4D">
        <w:rPr>
          <w:rFonts w:asciiTheme="minorHAnsi" w:eastAsia="Arial" w:hAnsiTheme="minorHAnsi" w:cstheme="minorHAnsi"/>
          <w:b/>
          <w:color w:val="000000" w:themeColor="text1"/>
          <w:sz w:val="22"/>
          <w:szCs w:val="22"/>
        </w:rPr>
        <w:t xml:space="preserve"> enteric serovar. Typhi and consequently mandated shifts in treatment over three-quarters of a century. </w:t>
      </w:r>
      <w:r w:rsidRPr="00C37A4D">
        <w:rPr>
          <w:rFonts w:asciiTheme="minorHAnsi" w:eastAsia="Arial" w:hAnsiTheme="minorHAnsi" w:cstheme="minorHAnsi"/>
          <w:bCs/>
          <w:color w:val="000000" w:themeColor="text1"/>
          <w:sz w:val="22"/>
          <w:szCs w:val="22"/>
        </w:rPr>
        <w:t>We illustrate the evolution of AMR in an extended figure</w:t>
      </w:r>
      <w:r>
        <w:rPr>
          <w:rFonts w:asciiTheme="minorHAnsi" w:eastAsia="Arial" w:hAnsiTheme="minorHAnsi" w:cstheme="minorHAnsi"/>
          <w:bCs/>
          <w:color w:val="000000" w:themeColor="text1"/>
          <w:sz w:val="22"/>
          <w:szCs w:val="22"/>
        </w:rPr>
        <w:t xml:space="preserve"> adapted</w:t>
      </w:r>
      <w:r w:rsidRPr="00C37A4D">
        <w:rPr>
          <w:rFonts w:asciiTheme="minorHAnsi" w:eastAsia="Arial" w:hAnsiTheme="minorHAnsi" w:cstheme="minorHAnsi"/>
          <w:bCs/>
          <w:color w:val="000000" w:themeColor="text1"/>
          <w:sz w:val="22"/>
          <w:szCs w:val="22"/>
        </w:rPr>
        <w:t xml:space="preserve"> from Andrews et al. </w:t>
      </w:r>
      <w:proofErr w:type="gramStart"/>
      <w:r w:rsidRPr="00C37A4D">
        <w:rPr>
          <w:rFonts w:asciiTheme="minorHAnsi" w:eastAsia="Arial" w:hAnsiTheme="minorHAnsi" w:cstheme="minorHAnsi"/>
          <w:bCs/>
          <w:color w:val="000000" w:themeColor="text1"/>
          <w:sz w:val="22"/>
          <w:szCs w:val="22"/>
        </w:rPr>
        <w:t>2018.</w:t>
      </w:r>
      <w:r w:rsidRPr="00E00CFD">
        <w:rPr>
          <w:rFonts w:hAnsiTheme="minorHAnsi"/>
          <w:color w:val="000000"/>
          <w:sz w:val="22"/>
          <w:vertAlign w:val="superscript"/>
        </w:rPr>
        <w:t>119</w:t>
      </w:r>
      <w:proofErr w:type="gramEnd"/>
    </w:p>
    <w:p w14:paraId="66235383" w14:textId="77777777" w:rsidR="00984BF5" w:rsidRPr="009C0D91" w:rsidRDefault="00984BF5" w:rsidP="00A002A9">
      <w:pPr>
        <w:rPr>
          <w:rFonts w:asciiTheme="minorHAnsi" w:eastAsia="Arial" w:hAnsiTheme="minorHAnsi" w:cstheme="minorHAnsi"/>
          <w:bCs/>
          <w:color w:val="000000" w:themeColor="text1"/>
          <w:sz w:val="22"/>
          <w:szCs w:val="22"/>
        </w:rPr>
      </w:pPr>
    </w:p>
    <w:sectPr w:rsidR="00984BF5" w:rsidRPr="009C0D91" w:rsidSect="000A2B37">
      <w:footerReference w:type="even" r:id="rId11"/>
      <w:footerReference w:type="default" r:id="rId1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A79C" w14:textId="77777777" w:rsidR="000A2B37" w:rsidRDefault="000A2B37">
      <w:r>
        <w:separator/>
      </w:r>
    </w:p>
  </w:endnote>
  <w:endnote w:type="continuationSeparator" w:id="0">
    <w:p w14:paraId="42435A94" w14:textId="77777777" w:rsidR="000A2B37" w:rsidRDefault="000A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3080271"/>
      <w:docPartObj>
        <w:docPartGallery w:val="Page Numbers (Bottom of Page)"/>
        <w:docPartUnique/>
      </w:docPartObj>
    </w:sdtPr>
    <w:sdtContent>
      <w:p w14:paraId="38039BC1" w14:textId="12B7B00D" w:rsidR="00D77E7C" w:rsidRDefault="00D77E7C" w:rsidP="000820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C15C2">
          <w:rPr>
            <w:rStyle w:val="PageNumber"/>
            <w:noProof/>
          </w:rPr>
          <w:t>25</w:t>
        </w:r>
        <w:r>
          <w:rPr>
            <w:rStyle w:val="PageNumber"/>
          </w:rPr>
          <w:fldChar w:fldCharType="end"/>
        </w:r>
      </w:p>
    </w:sdtContent>
  </w:sdt>
  <w:p w14:paraId="1DED69E1" w14:textId="77777777" w:rsidR="00D77E7C" w:rsidRDefault="00D77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968774"/>
      <w:docPartObj>
        <w:docPartGallery w:val="Page Numbers (Bottom of Page)"/>
        <w:docPartUnique/>
      </w:docPartObj>
    </w:sdtPr>
    <w:sdtContent>
      <w:p w14:paraId="279728A6" w14:textId="547B8C3A" w:rsidR="00D77E7C" w:rsidRDefault="00D77E7C" w:rsidP="000820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FA1F7F" w14:textId="77777777" w:rsidR="00D77E7C" w:rsidRDefault="00D77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B484" w14:textId="77777777" w:rsidR="000A2B37" w:rsidRDefault="000A2B37">
      <w:r>
        <w:separator/>
      </w:r>
    </w:p>
  </w:footnote>
  <w:footnote w:type="continuationSeparator" w:id="0">
    <w:p w14:paraId="4158688B" w14:textId="77777777" w:rsidR="000A2B37" w:rsidRDefault="000A2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BE1"/>
    <w:multiLevelType w:val="hybridMultilevel"/>
    <w:tmpl w:val="67E0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C39BC"/>
    <w:multiLevelType w:val="hybridMultilevel"/>
    <w:tmpl w:val="2104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44F65"/>
    <w:multiLevelType w:val="hybridMultilevel"/>
    <w:tmpl w:val="41746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6134BC"/>
    <w:multiLevelType w:val="hybridMultilevel"/>
    <w:tmpl w:val="911ED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44FBB"/>
    <w:multiLevelType w:val="hybridMultilevel"/>
    <w:tmpl w:val="A1D01EA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D733C"/>
    <w:multiLevelType w:val="hybridMultilevel"/>
    <w:tmpl w:val="48289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03FF9"/>
    <w:multiLevelType w:val="multilevel"/>
    <w:tmpl w:val="DA069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7643551"/>
    <w:multiLevelType w:val="hybridMultilevel"/>
    <w:tmpl w:val="22A2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7159F"/>
    <w:multiLevelType w:val="multilevel"/>
    <w:tmpl w:val="58D09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3919EF"/>
    <w:multiLevelType w:val="hybridMultilevel"/>
    <w:tmpl w:val="3478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24608"/>
    <w:multiLevelType w:val="hybridMultilevel"/>
    <w:tmpl w:val="E68E5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4691D"/>
    <w:multiLevelType w:val="hybridMultilevel"/>
    <w:tmpl w:val="6D8E43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9768D1"/>
    <w:multiLevelType w:val="hybridMultilevel"/>
    <w:tmpl w:val="9F46B016"/>
    <w:lvl w:ilvl="0" w:tplc="FFFFFFFF">
      <w:start w:val="1"/>
      <w:numFmt w:val="decimal"/>
      <w:lvlText w:val="%1."/>
      <w:lvlJc w:val="left"/>
      <w:pPr>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64C69EB"/>
    <w:multiLevelType w:val="multilevel"/>
    <w:tmpl w:val="6CF46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FCF5931"/>
    <w:multiLevelType w:val="multilevel"/>
    <w:tmpl w:val="E13EB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0DD5626"/>
    <w:multiLevelType w:val="multilevel"/>
    <w:tmpl w:val="94309C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4F26BD"/>
    <w:multiLevelType w:val="multilevel"/>
    <w:tmpl w:val="DA069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11D267B"/>
    <w:multiLevelType w:val="hybridMultilevel"/>
    <w:tmpl w:val="07E42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F50B76"/>
    <w:multiLevelType w:val="hybridMultilevel"/>
    <w:tmpl w:val="DA4A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4D4847"/>
    <w:multiLevelType w:val="hybridMultilevel"/>
    <w:tmpl w:val="0916E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9C0EF3"/>
    <w:multiLevelType w:val="hybridMultilevel"/>
    <w:tmpl w:val="6F4A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95E52"/>
    <w:multiLevelType w:val="hybridMultilevel"/>
    <w:tmpl w:val="197873F2"/>
    <w:lvl w:ilvl="0" w:tplc="DA7EC6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573F4"/>
    <w:multiLevelType w:val="multilevel"/>
    <w:tmpl w:val="48401F7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42075981">
    <w:abstractNumId w:val="13"/>
  </w:num>
  <w:num w:numId="2" w16cid:durableId="259487118">
    <w:abstractNumId w:val="6"/>
  </w:num>
  <w:num w:numId="3" w16cid:durableId="625817840">
    <w:abstractNumId w:val="14"/>
  </w:num>
  <w:num w:numId="4" w16cid:durableId="1785809209">
    <w:abstractNumId w:val="16"/>
  </w:num>
  <w:num w:numId="5" w16cid:durableId="618726139">
    <w:abstractNumId w:val="8"/>
  </w:num>
  <w:num w:numId="6" w16cid:durableId="1142163488">
    <w:abstractNumId w:val="15"/>
  </w:num>
  <w:num w:numId="7" w16cid:durableId="621764072">
    <w:abstractNumId w:val="22"/>
  </w:num>
  <w:num w:numId="8" w16cid:durableId="2054964453">
    <w:abstractNumId w:val="12"/>
  </w:num>
  <w:num w:numId="9" w16cid:durableId="2033919286">
    <w:abstractNumId w:val="3"/>
  </w:num>
  <w:num w:numId="10" w16cid:durableId="1242910513">
    <w:abstractNumId w:val="4"/>
  </w:num>
  <w:num w:numId="11" w16cid:durableId="800539863">
    <w:abstractNumId w:val="11"/>
  </w:num>
  <w:num w:numId="12" w16cid:durableId="1794594240">
    <w:abstractNumId w:val="17"/>
  </w:num>
  <w:num w:numId="13" w16cid:durableId="2025588842">
    <w:abstractNumId w:val="21"/>
  </w:num>
  <w:num w:numId="14" w16cid:durableId="2092241291">
    <w:abstractNumId w:val="10"/>
  </w:num>
  <w:num w:numId="15" w16cid:durableId="108092205">
    <w:abstractNumId w:val="5"/>
  </w:num>
  <w:num w:numId="16" w16cid:durableId="852494652">
    <w:abstractNumId w:val="0"/>
  </w:num>
  <w:num w:numId="17" w16cid:durableId="1717854041">
    <w:abstractNumId w:val="2"/>
  </w:num>
  <w:num w:numId="18" w16cid:durableId="343820222">
    <w:abstractNumId w:val="18"/>
  </w:num>
  <w:num w:numId="19" w16cid:durableId="131018569">
    <w:abstractNumId w:val="9"/>
  </w:num>
  <w:num w:numId="20" w16cid:durableId="926378797">
    <w:abstractNumId w:val="19"/>
  </w:num>
  <w:num w:numId="21" w16cid:durableId="1174028094">
    <w:abstractNumId w:val="20"/>
  </w:num>
  <w:num w:numId="22" w16cid:durableId="721296195">
    <w:abstractNumId w:val="1"/>
  </w:num>
  <w:num w:numId="23" w16cid:durableId="1295601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F7"/>
    <w:rsid w:val="0000475E"/>
    <w:rsid w:val="00006371"/>
    <w:rsid w:val="0000730C"/>
    <w:rsid w:val="0001026D"/>
    <w:rsid w:val="00013D2F"/>
    <w:rsid w:val="000149B2"/>
    <w:rsid w:val="0001512C"/>
    <w:rsid w:val="00023A3F"/>
    <w:rsid w:val="00025013"/>
    <w:rsid w:val="00026296"/>
    <w:rsid w:val="000276EA"/>
    <w:rsid w:val="00030100"/>
    <w:rsid w:val="00031169"/>
    <w:rsid w:val="000313D4"/>
    <w:rsid w:val="00031F7E"/>
    <w:rsid w:val="00032C3C"/>
    <w:rsid w:val="00033807"/>
    <w:rsid w:val="00034582"/>
    <w:rsid w:val="00034B63"/>
    <w:rsid w:val="00034E96"/>
    <w:rsid w:val="00034EF3"/>
    <w:rsid w:val="000353F6"/>
    <w:rsid w:val="00035B21"/>
    <w:rsid w:val="0003650E"/>
    <w:rsid w:val="00036969"/>
    <w:rsid w:val="0004151F"/>
    <w:rsid w:val="00041C57"/>
    <w:rsid w:val="0004283B"/>
    <w:rsid w:val="00043D2A"/>
    <w:rsid w:val="00044614"/>
    <w:rsid w:val="00044C4C"/>
    <w:rsid w:val="00045E46"/>
    <w:rsid w:val="00046716"/>
    <w:rsid w:val="00046DAE"/>
    <w:rsid w:val="0004735F"/>
    <w:rsid w:val="00050EF8"/>
    <w:rsid w:val="000512E2"/>
    <w:rsid w:val="000525D6"/>
    <w:rsid w:val="00052759"/>
    <w:rsid w:val="00053D96"/>
    <w:rsid w:val="00056E66"/>
    <w:rsid w:val="00057BD6"/>
    <w:rsid w:val="00060269"/>
    <w:rsid w:val="00061457"/>
    <w:rsid w:val="0006145C"/>
    <w:rsid w:val="00062691"/>
    <w:rsid w:val="00064724"/>
    <w:rsid w:val="00066963"/>
    <w:rsid w:val="00067679"/>
    <w:rsid w:val="00067BDD"/>
    <w:rsid w:val="00070233"/>
    <w:rsid w:val="000706BE"/>
    <w:rsid w:val="00071D49"/>
    <w:rsid w:val="00073601"/>
    <w:rsid w:val="00074F88"/>
    <w:rsid w:val="0007739D"/>
    <w:rsid w:val="0008152C"/>
    <w:rsid w:val="000820EB"/>
    <w:rsid w:val="000841C4"/>
    <w:rsid w:val="0008473F"/>
    <w:rsid w:val="00084CD4"/>
    <w:rsid w:val="00086E37"/>
    <w:rsid w:val="00090419"/>
    <w:rsid w:val="00090C7B"/>
    <w:rsid w:val="00090CFD"/>
    <w:rsid w:val="00096F2A"/>
    <w:rsid w:val="000A0019"/>
    <w:rsid w:val="000A0292"/>
    <w:rsid w:val="000A2B37"/>
    <w:rsid w:val="000A2B5B"/>
    <w:rsid w:val="000A2EC2"/>
    <w:rsid w:val="000A3084"/>
    <w:rsid w:val="000A399B"/>
    <w:rsid w:val="000A41FE"/>
    <w:rsid w:val="000A4AAC"/>
    <w:rsid w:val="000A4CAC"/>
    <w:rsid w:val="000A628D"/>
    <w:rsid w:val="000A725F"/>
    <w:rsid w:val="000A7378"/>
    <w:rsid w:val="000A75EA"/>
    <w:rsid w:val="000B024F"/>
    <w:rsid w:val="000B1470"/>
    <w:rsid w:val="000B2A0B"/>
    <w:rsid w:val="000B3138"/>
    <w:rsid w:val="000B3599"/>
    <w:rsid w:val="000C15C2"/>
    <w:rsid w:val="000C1ACD"/>
    <w:rsid w:val="000C31FC"/>
    <w:rsid w:val="000C38CC"/>
    <w:rsid w:val="000C7454"/>
    <w:rsid w:val="000D028F"/>
    <w:rsid w:val="000D0831"/>
    <w:rsid w:val="000D0CBA"/>
    <w:rsid w:val="000D1B8E"/>
    <w:rsid w:val="000D2256"/>
    <w:rsid w:val="000D312F"/>
    <w:rsid w:val="000D3425"/>
    <w:rsid w:val="000D3570"/>
    <w:rsid w:val="000D3CAD"/>
    <w:rsid w:val="000D3E58"/>
    <w:rsid w:val="000D707B"/>
    <w:rsid w:val="000E0AB9"/>
    <w:rsid w:val="000E1505"/>
    <w:rsid w:val="000E1BDB"/>
    <w:rsid w:val="000E2C26"/>
    <w:rsid w:val="000E302E"/>
    <w:rsid w:val="000E3134"/>
    <w:rsid w:val="000E3CBD"/>
    <w:rsid w:val="000E57FB"/>
    <w:rsid w:val="000E5C96"/>
    <w:rsid w:val="000E5DD3"/>
    <w:rsid w:val="000E6D1D"/>
    <w:rsid w:val="000E6DF9"/>
    <w:rsid w:val="000F18BF"/>
    <w:rsid w:val="000F1917"/>
    <w:rsid w:val="000F4236"/>
    <w:rsid w:val="000F4DFE"/>
    <w:rsid w:val="000F7476"/>
    <w:rsid w:val="00100180"/>
    <w:rsid w:val="001005DD"/>
    <w:rsid w:val="001014D0"/>
    <w:rsid w:val="00101A2E"/>
    <w:rsid w:val="00101AD5"/>
    <w:rsid w:val="00102466"/>
    <w:rsid w:val="00103243"/>
    <w:rsid w:val="00104370"/>
    <w:rsid w:val="001044E5"/>
    <w:rsid w:val="0010502F"/>
    <w:rsid w:val="001058F3"/>
    <w:rsid w:val="00107611"/>
    <w:rsid w:val="00110305"/>
    <w:rsid w:val="00111418"/>
    <w:rsid w:val="00112416"/>
    <w:rsid w:val="0011259C"/>
    <w:rsid w:val="001137B5"/>
    <w:rsid w:val="00113E41"/>
    <w:rsid w:val="001142E1"/>
    <w:rsid w:val="0011471A"/>
    <w:rsid w:val="0012111D"/>
    <w:rsid w:val="00121806"/>
    <w:rsid w:val="00122741"/>
    <w:rsid w:val="00122DBF"/>
    <w:rsid w:val="00122E4A"/>
    <w:rsid w:val="00123131"/>
    <w:rsid w:val="00125021"/>
    <w:rsid w:val="001260D4"/>
    <w:rsid w:val="00126AE5"/>
    <w:rsid w:val="001275F2"/>
    <w:rsid w:val="00127F3C"/>
    <w:rsid w:val="001308DA"/>
    <w:rsid w:val="00131FC3"/>
    <w:rsid w:val="00133911"/>
    <w:rsid w:val="00135484"/>
    <w:rsid w:val="001357A0"/>
    <w:rsid w:val="00135A79"/>
    <w:rsid w:val="00135AA1"/>
    <w:rsid w:val="0013623E"/>
    <w:rsid w:val="00136DCC"/>
    <w:rsid w:val="0013795A"/>
    <w:rsid w:val="00145379"/>
    <w:rsid w:val="0014548E"/>
    <w:rsid w:val="00150C06"/>
    <w:rsid w:val="001514A1"/>
    <w:rsid w:val="00151500"/>
    <w:rsid w:val="00151F45"/>
    <w:rsid w:val="00152CFA"/>
    <w:rsid w:val="001531D0"/>
    <w:rsid w:val="001532F9"/>
    <w:rsid w:val="00153AAC"/>
    <w:rsid w:val="00154F1F"/>
    <w:rsid w:val="00155B9D"/>
    <w:rsid w:val="00156767"/>
    <w:rsid w:val="00156E7E"/>
    <w:rsid w:val="00156E9B"/>
    <w:rsid w:val="001572B2"/>
    <w:rsid w:val="00157D88"/>
    <w:rsid w:val="00161ED9"/>
    <w:rsid w:val="0016679D"/>
    <w:rsid w:val="001706DD"/>
    <w:rsid w:val="001707C1"/>
    <w:rsid w:val="00171CF3"/>
    <w:rsid w:val="00172525"/>
    <w:rsid w:val="0017427E"/>
    <w:rsid w:val="00177848"/>
    <w:rsid w:val="00177AB9"/>
    <w:rsid w:val="00177F7D"/>
    <w:rsid w:val="001800F0"/>
    <w:rsid w:val="00180FA5"/>
    <w:rsid w:val="001821F7"/>
    <w:rsid w:val="0018325E"/>
    <w:rsid w:val="001861A5"/>
    <w:rsid w:val="00191072"/>
    <w:rsid w:val="001910C2"/>
    <w:rsid w:val="0019315E"/>
    <w:rsid w:val="001953AE"/>
    <w:rsid w:val="001954CE"/>
    <w:rsid w:val="001A1EE2"/>
    <w:rsid w:val="001A2214"/>
    <w:rsid w:val="001A24D0"/>
    <w:rsid w:val="001A6671"/>
    <w:rsid w:val="001B0454"/>
    <w:rsid w:val="001B36BC"/>
    <w:rsid w:val="001B3AAA"/>
    <w:rsid w:val="001B523D"/>
    <w:rsid w:val="001B5742"/>
    <w:rsid w:val="001B6252"/>
    <w:rsid w:val="001B6442"/>
    <w:rsid w:val="001B7C8B"/>
    <w:rsid w:val="001C0420"/>
    <w:rsid w:val="001C35AC"/>
    <w:rsid w:val="001C4DEA"/>
    <w:rsid w:val="001C53E0"/>
    <w:rsid w:val="001C6620"/>
    <w:rsid w:val="001C6AFF"/>
    <w:rsid w:val="001C7B6A"/>
    <w:rsid w:val="001D1A19"/>
    <w:rsid w:val="001D1C02"/>
    <w:rsid w:val="001D1E86"/>
    <w:rsid w:val="001D2EAF"/>
    <w:rsid w:val="001D43CC"/>
    <w:rsid w:val="001D5DEE"/>
    <w:rsid w:val="001D7DF4"/>
    <w:rsid w:val="001E0804"/>
    <w:rsid w:val="001E1F3D"/>
    <w:rsid w:val="001E2B4B"/>
    <w:rsid w:val="001E30FC"/>
    <w:rsid w:val="001E3810"/>
    <w:rsid w:val="001E55F7"/>
    <w:rsid w:val="001E56CC"/>
    <w:rsid w:val="001E5FF2"/>
    <w:rsid w:val="001E6226"/>
    <w:rsid w:val="001E672F"/>
    <w:rsid w:val="001E679C"/>
    <w:rsid w:val="001E75AA"/>
    <w:rsid w:val="001F05EF"/>
    <w:rsid w:val="001F06AC"/>
    <w:rsid w:val="001F22DC"/>
    <w:rsid w:val="001F2631"/>
    <w:rsid w:val="001F3DA4"/>
    <w:rsid w:val="001F40A9"/>
    <w:rsid w:val="001F500E"/>
    <w:rsid w:val="001F5800"/>
    <w:rsid w:val="001F5B94"/>
    <w:rsid w:val="001F6862"/>
    <w:rsid w:val="001F7F3D"/>
    <w:rsid w:val="00200036"/>
    <w:rsid w:val="00200717"/>
    <w:rsid w:val="002007E4"/>
    <w:rsid w:val="00200F7F"/>
    <w:rsid w:val="002021C1"/>
    <w:rsid w:val="00203200"/>
    <w:rsid w:val="00203FEB"/>
    <w:rsid w:val="0020675E"/>
    <w:rsid w:val="002104D7"/>
    <w:rsid w:val="0021089D"/>
    <w:rsid w:val="0021108F"/>
    <w:rsid w:val="002125D1"/>
    <w:rsid w:val="00214C10"/>
    <w:rsid w:val="002162E2"/>
    <w:rsid w:val="00216B41"/>
    <w:rsid w:val="00221984"/>
    <w:rsid w:val="002236CD"/>
    <w:rsid w:val="002249D8"/>
    <w:rsid w:val="00226AE7"/>
    <w:rsid w:val="0022793D"/>
    <w:rsid w:val="0023043D"/>
    <w:rsid w:val="002323D6"/>
    <w:rsid w:val="0023505C"/>
    <w:rsid w:val="00236D84"/>
    <w:rsid w:val="00237AB3"/>
    <w:rsid w:val="0024064F"/>
    <w:rsid w:val="00240E13"/>
    <w:rsid w:val="00240F5B"/>
    <w:rsid w:val="00241717"/>
    <w:rsid w:val="002421F3"/>
    <w:rsid w:val="00243A55"/>
    <w:rsid w:val="002458EF"/>
    <w:rsid w:val="00245F62"/>
    <w:rsid w:val="00246B4A"/>
    <w:rsid w:val="00247F22"/>
    <w:rsid w:val="0025155B"/>
    <w:rsid w:val="0025163E"/>
    <w:rsid w:val="0025183B"/>
    <w:rsid w:val="00252937"/>
    <w:rsid w:val="00254C19"/>
    <w:rsid w:val="00254D2F"/>
    <w:rsid w:val="002564D8"/>
    <w:rsid w:val="002569F4"/>
    <w:rsid w:val="00256C68"/>
    <w:rsid w:val="00256EED"/>
    <w:rsid w:val="0026029E"/>
    <w:rsid w:val="0026076E"/>
    <w:rsid w:val="0026309F"/>
    <w:rsid w:val="00265C65"/>
    <w:rsid w:val="00266686"/>
    <w:rsid w:val="00267CAE"/>
    <w:rsid w:val="00271A3B"/>
    <w:rsid w:val="00272980"/>
    <w:rsid w:val="00273294"/>
    <w:rsid w:val="002741A4"/>
    <w:rsid w:val="00274D2C"/>
    <w:rsid w:val="00275124"/>
    <w:rsid w:val="002762C3"/>
    <w:rsid w:val="002763DB"/>
    <w:rsid w:val="00277BCC"/>
    <w:rsid w:val="00277BDC"/>
    <w:rsid w:val="00281709"/>
    <w:rsid w:val="002829C8"/>
    <w:rsid w:val="00283624"/>
    <w:rsid w:val="00283880"/>
    <w:rsid w:val="00283987"/>
    <w:rsid w:val="00284A35"/>
    <w:rsid w:val="00285F13"/>
    <w:rsid w:val="002867C2"/>
    <w:rsid w:val="00286ADE"/>
    <w:rsid w:val="00287544"/>
    <w:rsid w:val="00290D33"/>
    <w:rsid w:val="00291C5C"/>
    <w:rsid w:val="002924D4"/>
    <w:rsid w:val="00295267"/>
    <w:rsid w:val="0029560F"/>
    <w:rsid w:val="002958E0"/>
    <w:rsid w:val="00295A33"/>
    <w:rsid w:val="002970B0"/>
    <w:rsid w:val="002A4264"/>
    <w:rsid w:val="002A4642"/>
    <w:rsid w:val="002A4E14"/>
    <w:rsid w:val="002A4EA4"/>
    <w:rsid w:val="002B2495"/>
    <w:rsid w:val="002B396D"/>
    <w:rsid w:val="002B5E9B"/>
    <w:rsid w:val="002B61DA"/>
    <w:rsid w:val="002C0E7D"/>
    <w:rsid w:val="002C281D"/>
    <w:rsid w:val="002C330F"/>
    <w:rsid w:val="002C377B"/>
    <w:rsid w:val="002C4DD4"/>
    <w:rsid w:val="002C5248"/>
    <w:rsid w:val="002C77F9"/>
    <w:rsid w:val="002D2EEE"/>
    <w:rsid w:val="002D4FCD"/>
    <w:rsid w:val="002D5FE4"/>
    <w:rsid w:val="002D69A8"/>
    <w:rsid w:val="002E2081"/>
    <w:rsid w:val="002E24DC"/>
    <w:rsid w:val="002E4602"/>
    <w:rsid w:val="002E4E43"/>
    <w:rsid w:val="002E6994"/>
    <w:rsid w:val="002E78BA"/>
    <w:rsid w:val="002E7C9B"/>
    <w:rsid w:val="002E7CFF"/>
    <w:rsid w:val="002F37A9"/>
    <w:rsid w:val="002F3C87"/>
    <w:rsid w:val="002F4112"/>
    <w:rsid w:val="002F426E"/>
    <w:rsid w:val="002F65F6"/>
    <w:rsid w:val="002F6B6C"/>
    <w:rsid w:val="00300A11"/>
    <w:rsid w:val="00302493"/>
    <w:rsid w:val="003025EF"/>
    <w:rsid w:val="00302F3E"/>
    <w:rsid w:val="00304089"/>
    <w:rsid w:val="003052E1"/>
    <w:rsid w:val="00306F20"/>
    <w:rsid w:val="00310A53"/>
    <w:rsid w:val="003114FB"/>
    <w:rsid w:val="003117AD"/>
    <w:rsid w:val="003120C7"/>
    <w:rsid w:val="003134BB"/>
    <w:rsid w:val="00313CDF"/>
    <w:rsid w:val="00314894"/>
    <w:rsid w:val="0031654B"/>
    <w:rsid w:val="003171D8"/>
    <w:rsid w:val="00320BA8"/>
    <w:rsid w:val="00320BE1"/>
    <w:rsid w:val="00322D01"/>
    <w:rsid w:val="00322D35"/>
    <w:rsid w:val="003237C5"/>
    <w:rsid w:val="00323F9A"/>
    <w:rsid w:val="00324094"/>
    <w:rsid w:val="0032409B"/>
    <w:rsid w:val="003270DE"/>
    <w:rsid w:val="003316B3"/>
    <w:rsid w:val="00331E1F"/>
    <w:rsid w:val="00333075"/>
    <w:rsid w:val="0033341E"/>
    <w:rsid w:val="00333F45"/>
    <w:rsid w:val="00333FFC"/>
    <w:rsid w:val="003341A8"/>
    <w:rsid w:val="00334DA3"/>
    <w:rsid w:val="003364A0"/>
    <w:rsid w:val="00337254"/>
    <w:rsid w:val="00337CB3"/>
    <w:rsid w:val="003412BD"/>
    <w:rsid w:val="0034199D"/>
    <w:rsid w:val="003424A7"/>
    <w:rsid w:val="003435B4"/>
    <w:rsid w:val="00343D62"/>
    <w:rsid w:val="00344322"/>
    <w:rsid w:val="00347AEE"/>
    <w:rsid w:val="0035191D"/>
    <w:rsid w:val="0035280F"/>
    <w:rsid w:val="0035404A"/>
    <w:rsid w:val="0035417F"/>
    <w:rsid w:val="0035600D"/>
    <w:rsid w:val="003566BE"/>
    <w:rsid w:val="00357C47"/>
    <w:rsid w:val="003651CA"/>
    <w:rsid w:val="003703F1"/>
    <w:rsid w:val="0037180E"/>
    <w:rsid w:val="00371B13"/>
    <w:rsid w:val="00372E19"/>
    <w:rsid w:val="0037358B"/>
    <w:rsid w:val="003772B1"/>
    <w:rsid w:val="0037743C"/>
    <w:rsid w:val="00382551"/>
    <w:rsid w:val="00385D0C"/>
    <w:rsid w:val="00386355"/>
    <w:rsid w:val="00390BD2"/>
    <w:rsid w:val="0039146E"/>
    <w:rsid w:val="003922D4"/>
    <w:rsid w:val="003974DF"/>
    <w:rsid w:val="00397680"/>
    <w:rsid w:val="003A050A"/>
    <w:rsid w:val="003A0868"/>
    <w:rsid w:val="003A0EE0"/>
    <w:rsid w:val="003A1C1A"/>
    <w:rsid w:val="003A35D1"/>
    <w:rsid w:val="003A3786"/>
    <w:rsid w:val="003A436C"/>
    <w:rsid w:val="003A6887"/>
    <w:rsid w:val="003A6DFD"/>
    <w:rsid w:val="003A7123"/>
    <w:rsid w:val="003A75D6"/>
    <w:rsid w:val="003B0DDA"/>
    <w:rsid w:val="003B0F70"/>
    <w:rsid w:val="003B38EB"/>
    <w:rsid w:val="003B481D"/>
    <w:rsid w:val="003B5D8C"/>
    <w:rsid w:val="003B6D71"/>
    <w:rsid w:val="003C3805"/>
    <w:rsid w:val="003C4648"/>
    <w:rsid w:val="003C7079"/>
    <w:rsid w:val="003D0C9A"/>
    <w:rsid w:val="003D1A69"/>
    <w:rsid w:val="003D405C"/>
    <w:rsid w:val="003D461F"/>
    <w:rsid w:val="003D4907"/>
    <w:rsid w:val="003D5120"/>
    <w:rsid w:val="003E22B2"/>
    <w:rsid w:val="003E2BEF"/>
    <w:rsid w:val="003E362A"/>
    <w:rsid w:val="003E4537"/>
    <w:rsid w:val="003E50AF"/>
    <w:rsid w:val="003E5419"/>
    <w:rsid w:val="003E5433"/>
    <w:rsid w:val="003E6317"/>
    <w:rsid w:val="003E6DA3"/>
    <w:rsid w:val="003E74BF"/>
    <w:rsid w:val="003F2164"/>
    <w:rsid w:val="003F6CDD"/>
    <w:rsid w:val="003F7964"/>
    <w:rsid w:val="003F7D82"/>
    <w:rsid w:val="0040071E"/>
    <w:rsid w:val="00400FDA"/>
    <w:rsid w:val="00401AC2"/>
    <w:rsid w:val="004028F5"/>
    <w:rsid w:val="00403FB8"/>
    <w:rsid w:val="00404D52"/>
    <w:rsid w:val="004077D2"/>
    <w:rsid w:val="00407CBE"/>
    <w:rsid w:val="004108EB"/>
    <w:rsid w:val="004123C5"/>
    <w:rsid w:val="0041384F"/>
    <w:rsid w:val="00414902"/>
    <w:rsid w:val="00415E51"/>
    <w:rsid w:val="00417E4B"/>
    <w:rsid w:val="004215EB"/>
    <w:rsid w:val="0042175F"/>
    <w:rsid w:val="00422D40"/>
    <w:rsid w:val="00423473"/>
    <w:rsid w:val="00423B06"/>
    <w:rsid w:val="004243DF"/>
    <w:rsid w:val="0042530E"/>
    <w:rsid w:val="004253CB"/>
    <w:rsid w:val="004261BE"/>
    <w:rsid w:val="00426A28"/>
    <w:rsid w:val="0042702B"/>
    <w:rsid w:val="0042750F"/>
    <w:rsid w:val="004301D8"/>
    <w:rsid w:val="00430E80"/>
    <w:rsid w:val="00431F9D"/>
    <w:rsid w:val="004334B7"/>
    <w:rsid w:val="004336A9"/>
    <w:rsid w:val="00433EE7"/>
    <w:rsid w:val="004343C5"/>
    <w:rsid w:val="004368F1"/>
    <w:rsid w:val="004403CA"/>
    <w:rsid w:val="00440580"/>
    <w:rsid w:val="00441BB7"/>
    <w:rsid w:val="00441E6D"/>
    <w:rsid w:val="00441F3B"/>
    <w:rsid w:val="00442CD1"/>
    <w:rsid w:val="004453AE"/>
    <w:rsid w:val="00445F7E"/>
    <w:rsid w:val="004501B5"/>
    <w:rsid w:val="00451B49"/>
    <w:rsid w:val="00451E4D"/>
    <w:rsid w:val="00453295"/>
    <w:rsid w:val="0045403A"/>
    <w:rsid w:val="0045728A"/>
    <w:rsid w:val="004572DF"/>
    <w:rsid w:val="00461441"/>
    <w:rsid w:val="004616DF"/>
    <w:rsid w:val="0046329E"/>
    <w:rsid w:val="00463B42"/>
    <w:rsid w:val="00465117"/>
    <w:rsid w:val="00466595"/>
    <w:rsid w:val="0047001E"/>
    <w:rsid w:val="004709DC"/>
    <w:rsid w:val="004740BD"/>
    <w:rsid w:val="0047708E"/>
    <w:rsid w:val="0048024C"/>
    <w:rsid w:val="00480261"/>
    <w:rsid w:val="00480C22"/>
    <w:rsid w:val="00481158"/>
    <w:rsid w:val="00481472"/>
    <w:rsid w:val="0048335C"/>
    <w:rsid w:val="00483430"/>
    <w:rsid w:val="00483638"/>
    <w:rsid w:val="00483F40"/>
    <w:rsid w:val="0048422C"/>
    <w:rsid w:val="004846BB"/>
    <w:rsid w:val="00485128"/>
    <w:rsid w:val="00486635"/>
    <w:rsid w:val="00486E5D"/>
    <w:rsid w:val="004871B8"/>
    <w:rsid w:val="00487472"/>
    <w:rsid w:val="00490174"/>
    <w:rsid w:val="00490926"/>
    <w:rsid w:val="00492A9E"/>
    <w:rsid w:val="004938E9"/>
    <w:rsid w:val="00494784"/>
    <w:rsid w:val="004951DA"/>
    <w:rsid w:val="004955ED"/>
    <w:rsid w:val="004961B2"/>
    <w:rsid w:val="00497406"/>
    <w:rsid w:val="00497CDB"/>
    <w:rsid w:val="004A1A35"/>
    <w:rsid w:val="004A1B33"/>
    <w:rsid w:val="004A21F2"/>
    <w:rsid w:val="004A2B03"/>
    <w:rsid w:val="004A33A2"/>
    <w:rsid w:val="004A45C5"/>
    <w:rsid w:val="004A5067"/>
    <w:rsid w:val="004A5F86"/>
    <w:rsid w:val="004B1387"/>
    <w:rsid w:val="004B194D"/>
    <w:rsid w:val="004B1D1C"/>
    <w:rsid w:val="004B2057"/>
    <w:rsid w:val="004B2842"/>
    <w:rsid w:val="004B2A5B"/>
    <w:rsid w:val="004B2DF4"/>
    <w:rsid w:val="004B2E80"/>
    <w:rsid w:val="004B3E0A"/>
    <w:rsid w:val="004B4C2C"/>
    <w:rsid w:val="004B59BD"/>
    <w:rsid w:val="004B6415"/>
    <w:rsid w:val="004C0D67"/>
    <w:rsid w:val="004C16BE"/>
    <w:rsid w:val="004C1C00"/>
    <w:rsid w:val="004C3A55"/>
    <w:rsid w:val="004C3CD2"/>
    <w:rsid w:val="004C52C9"/>
    <w:rsid w:val="004C54C0"/>
    <w:rsid w:val="004C5BE5"/>
    <w:rsid w:val="004C7CE8"/>
    <w:rsid w:val="004D00F8"/>
    <w:rsid w:val="004D08D6"/>
    <w:rsid w:val="004D0C21"/>
    <w:rsid w:val="004D20C7"/>
    <w:rsid w:val="004D29EA"/>
    <w:rsid w:val="004D3A95"/>
    <w:rsid w:val="004D3B85"/>
    <w:rsid w:val="004E025C"/>
    <w:rsid w:val="004E359A"/>
    <w:rsid w:val="004E6752"/>
    <w:rsid w:val="004E6D89"/>
    <w:rsid w:val="004E71FD"/>
    <w:rsid w:val="004E7CF0"/>
    <w:rsid w:val="004F0307"/>
    <w:rsid w:val="004F0D8B"/>
    <w:rsid w:val="004F187C"/>
    <w:rsid w:val="004F27A7"/>
    <w:rsid w:val="004F438A"/>
    <w:rsid w:val="004F47D5"/>
    <w:rsid w:val="004F55C4"/>
    <w:rsid w:val="004F7795"/>
    <w:rsid w:val="00500625"/>
    <w:rsid w:val="00503667"/>
    <w:rsid w:val="00505F5B"/>
    <w:rsid w:val="00507D48"/>
    <w:rsid w:val="0051149E"/>
    <w:rsid w:val="00511837"/>
    <w:rsid w:val="00511B47"/>
    <w:rsid w:val="005136C2"/>
    <w:rsid w:val="005152C2"/>
    <w:rsid w:val="00515D13"/>
    <w:rsid w:val="005162B3"/>
    <w:rsid w:val="00517203"/>
    <w:rsid w:val="00517BEC"/>
    <w:rsid w:val="00517C84"/>
    <w:rsid w:val="005208B6"/>
    <w:rsid w:val="005219A1"/>
    <w:rsid w:val="0052313D"/>
    <w:rsid w:val="00525F6A"/>
    <w:rsid w:val="00530416"/>
    <w:rsid w:val="00530F15"/>
    <w:rsid w:val="00531DCA"/>
    <w:rsid w:val="00531E9A"/>
    <w:rsid w:val="005328FB"/>
    <w:rsid w:val="00532BCF"/>
    <w:rsid w:val="00532D85"/>
    <w:rsid w:val="00536A93"/>
    <w:rsid w:val="00537B45"/>
    <w:rsid w:val="00540F43"/>
    <w:rsid w:val="005412AE"/>
    <w:rsid w:val="00541D0D"/>
    <w:rsid w:val="0054224C"/>
    <w:rsid w:val="00544251"/>
    <w:rsid w:val="00544B68"/>
    <w:rsid w:val="0054509B"/>
    <w:rsid w:val="00547F7B"/>
    <w:rsid w:val="00547F8F"/>
    <w:rsid w:val="00550242"/>
    <w:rsid w:val="0055156D"/>
    <w:rsid w:val="00554DBF"/>
    <w:rsid w:val="005553F7"/>
    <w:rsid w:val="0055548B"/>
    <w:rsid w:val="00556613"/>
    <w:rsid w:val="00556D45"/>
    <w:rsid w:val="005574B2"/>
    <w:rsid w:val="00557870"/>
    <w:rsid w:val="00560F82"/>
    <w:rsid w:val="00562873"/>
    <w:rsid w:val="00562913"/>
    <w:rsid w:val="00562FF4"/>
    <w:rsid w:val="00564235"/>
    <w:rsid w:val="005651FB"/>
    <w:rsid w:val="00565578"/>
    <w:rsid w:val="00565BEB"/>
    <w:rsid w:val="00566F3C"/>
    <w:rsid w:val="00570AE5"/>
    <w:rsid w:val="005711F4"/>
    <w:rsid w:val="00571F43"/>
    <w:rsid w:val="005721D2"/>
    <w:rsid w:val="0057523C"/>
    <w:rsid w:val="00575EC3"/>
    <w:rsid w:val="00580343"/>
    <w:rsid w:val="00580C2F"/>
    <w:rsid w:val="00580EDD"/>
    <w:rsid w:val="0058212B"/>
    <w:rsid w:val="005821B6"/>
    <w:rsid w:val="00585B2B"/>
    <w:rsid w:val="00586E43"/>
    <w:rsid w:val="005907EA"/>
    <w:rsid w:val="00592883"/>
    <w:rsid w:val="00592BB9"/>
    <w:rsid w:val="00592BC6"/>
    <w:rsid w:val="0059439F"/>
    <w:rsid w:val="00594527"/>
    <w:rsid w:val="0059454E"/>
    <w:rsid w:val="00597F0D"/>
    <w:rsid w:val="005A1075"/>
    <w:rsid w:val="005A10A7"/>
    <w:rsid w:val="005A1A87"/>
    <w:rsid w:val="005A2529"/>
    <w:rsid w:val="005A768A"/>
    <w:rsid w:val="005B07EC"/>
    <w:rsid w:val="005B2AE7"/>
    <w:rsid w:val="005B3FC8"/>
    <w:rsid w:val="005B463F"/>
    <w:rsid w:val="005B4D6A"/>
    <w:rsid w:val="005B50EA"/>
    <w:rsid w:val="005B6793"/>
    <w:rsid w:val="005B7256"/>
    <w:rsid w:val="005C08DD"/>
    <w:rsid w:val="005C0CD5"/>
    <w:rsid w:val="005C0EEE"/>
    <w:rsid w:val="005C14CB"/>
    <w:rsid w:val="005C17C1"/>
    <w:rsid w:val="005C1B6D"/>
    <w:rsid w:val="005C1F17"/>
    <w:rsid w:val="005C247A"/>
    <w:rsid w:val="005C2500"/>
    <w:rsid w:val="005C55E2"/>
    <w:rsid w:val="005C58E6"/>
    <w:rsid w:val="005C7C16"/>
    <w:rsid w:val="005D1BED"/>
    <w:rsid w:val="005D1F79"/>
    <w:rsid w:val="005D25E0"/>
    <w:rsid w:val="005D2BBA"/>
    <w:rsid w:val="005D513E"/>
    <w:rsid w:val="005D5441"/>
    <w:rsid w:val="005D6A12"/>
    <w:rsid w:val="005D751B"/>
    <w:rsid w:val="005D7EB5"/>
    <w:rsid w:val="005E25DE"/>
    <w:rsid w:val="005E5D3E"/>
    <w:rsid w:val="005E7D13"/>
    <w:rsid w:val="005F2157"/>
    <w:rsid w:val="005F392D"/>
    <w:rsid w:val="005F531A"/>
    <w:rsid w:val="005F5C7E"/>
    <w:rsid w:val="005F66CD"/>
    <w:rsid w:val="005F7835"/>
    <w:rsid w:val="00600250"/>
    <w:rsid w:val="006002EA"/>
    <w:rsid w:val="006028D8"/>
    <w:rsid w:val="006037BB"/>
    <w:rsid w:val="00605219"/>
    <w:rsid w:val="006073FA"/>
    <w:rsid w:val="00607A1C"/>
    <w:rsid w:val="00607AC3"/>
    <w:rsid w:val="006100CA"/>
    <w:rsid w:val="00610881"/>
    <w:rsid w:val="0061169A"/>
    <w:rsid w:val="00611974"/>
    <w:rsid w:val="00617078"/>
    <w:rsid w:val="00617974"/>
    <w:rsid w:val="00620956"/>
    <w:rsid w:val="00620AD3"/>
    <w:rsid w:val="006213E2"/>
    <w:rsid w:val="00621723"/>
    <w:rsid w:val="00621B34"/>
    <w:rsid w:val="00624FDA"/>
    <w:rsid w:val="00626325"/>
    <w:rsid w:val="00626330"/>
    <w:rsid w:val="00630BDC"/>
    <w:rsid w:val="006314E4"/>
    <w:rsid w:val="00632DED"/>
    <w:rsid w:val="0063370A"/>
    <w:rsid w:val="00637319"/>
    <w:rsid w:val="00637774"/>
    <w:rsid w:val="006404EC"/>
    <w:rsid w:val="00641F24"/>
    <w:rsid w:val="00642EEB"/>
    <w:rsid w:val="00643447"/>
    <w:rsid w:val="0064473B"/>
    <w:rsid w:val="0064756A"/>
    <w:rsid w:val="0065082D"/>
    <w:rsid w:val="00652420"/>
    <w:rsid w:val="006528A8"/>
    <w:rsid w:val="006561E5"/>
    <w:rsid w:val="0066136A"/>
    <w:rsid w:val="00661D16"/>
    <w:rsid w:val="006628F8"/>
    <w:rsid w:val="00662C57"/>
    <w:rsid w:val="00667482"/>
    <w:rsid w:val="00671FB8"/>
    <w:rsid w:val="006722E8"/>
    <w:rsid w:val="006724A0"/>
    <w:rsid w:val="00674A1D"/>
    <w:rsid w:val="006768C8"/>
    <w:rsid w:val="00677A2C"/>
    <w:rsid w:val="00677D02"/>
    <w:rsid w:val="00680E7B"/>
    <w:rsid w:val="006835A9"/>
    <w:rsid w:val="00683A19"/>
    <w:rsid w:val="00685732"/>
    <w:rsid w:val="00685BDA"/>
    <w:rsid w:val="00685FD4"/>
    <w:rsid w:val="00686758"/>
    <w:rsid w:val="00686F3B"/>
    <w:rsid w:val="006905C5"/>
    <w:rsid w:val="00691692"/>
    <w:rsid w:val="006933A4"/>
    <w:rsid w:val="00693534"/>
    <w:rsid w:val="006942A2"/>
    <w:rsid w:val="006A0C54"/>
    <w:rsid w:val="006A0E1C"/>
    <w:rsid w:val="006A2667"/>
    <w:rsid w:val="006A3DF1"/>
    <w:rsid w:val="006A4BDA"/>
    <w:rsid w:val="006A699C"/>
    <w:rsid w:val="006A7948"/>
    <w:rsid w:val="006B0B73"/>
    <w:rsid w:val="006B61FD"/>
    <w:rsid w:val="006B646A"/>
    <w:rsid w:val="006B67F7"/>
    <w:rsid w:val="006C28CF"/>
    <w:rsid w:val="006C322C"/>
    <w:rsid w:val="006C3E8B"/>
    <w:rsid w:val="006C4BF7"/>
    <w:rsid w:val="006C5A04"/>
    <w:rsid w:val="006C6ADB"/>
    <w:rsid w:val="006D1A73"/>
    <w:rsid w:val="006D6492"/>
    <w:rsid w:val="006D72E7"/>
    <w:rsid w:val="006E08E0"/>
    <w:rsid w:val="006E0A13"/>
    <w:rsid w:val="006E1CF6"/>
    <w:rsid w:val="006E1D92"/>
    <w:rsid w:val="006E206F"/>
    <w:rsid w:val="006E20BC"/>
    <w:rsid w:val="006E4F6B"/>
    <w:rsid w:val="006E5D2F"/>
    <w:rsid w:val="006E5E69"/>
    <w:rsid w:val="006E69A2"/>
    <w:rsid w:val="006F0E1A"/>
    <w:rsid w:val="006F1FF8"/>
    <w:rsid w:val="006F27BB"/>
    <w:rsid w:val="006F27D2"/>
    <w:rsid w:val="006F3FE8"/>
    <w:rsid w:val="006F4437"/>
    <w:rsid w:val="006F4879"/>
    <w:rsid w:val="006F7B9B"/>
    <w:rsid w:val="006F7CA6"/>
    <w:rsid w:val="006F7CC7"/>
    <w:rsid w:val="00702F01"/>
    <w:rsid w:val="007055E0"/>
    <w:rsid w:val="00705989"/>
    <w:rsid w:val="00706ED7"/>
    <w:rsid w:val="007127D7"/>
    <w:rsid w:val="007162C1"/>
    <w:rsid w:val="00716E1A"/>
    <w:rsid w:val="00717D64"/>
    <w:rsid w:val="00720448"/>
    <w:rsid w:val="0072126E"/>
    <w:rsid w:val="00721C38"/>
    <w:rsid w:val="00722FD7"/>
    <w:rsid w:val="00724B0F"/>
    <w:rsid w:val="00724D57"/>
    <w:rsid w:val="00725D0F"/>
    <w:rsid w:val="0072627A"/>
    <w:rsid w:val="0072646D"/>
    <w:rsid w:val="00726B14"/>
    <w:rsid w:val="00726DAD"/>
    <w:rsid w:val="00726F6C"/>
    <w:rsid w:val="00727C65"/>
    <w:rsid w:val="007305F0"/>
    <w:rsid w:val="00731D55"/>
    <w:rsid w:val="0073285F"/>
    <w:rsid w:val="00733350"/>
    <w:rsid w:val="00733B0E"/>
    <w:rsid w:val="00733C85"/>
    <w:rsid w:val="00735420"/>
    <w:rsid w:val="007355C6"/>
    <w:rsid w:val="00736144"/>
    <w:rsid w:val="00736454"/>
    <w:rsid w:val="00737460"/>
    <w:rsid w:val="00737B44"/>
    <w:rsid w:val="00742B8A"/>
    <w:rsid w:val="00742D59"/>
    <w:rsid w:val="00743136"/>
    <w:rsid w:val="007432E0"/>
    <w:rsid w:val="00743968"/>
    <w:rsid w:val="00743DC1"/>
    <w:rsid w:val="007462C8"/>
    <w:rsid w:val="007475D5"/>
    <w:rsid w:val="00751088"/>
    <w:rsid w:val="00754FC7"/>
    <w:rsid w:val="00755B54"/>
    <w:rsid w:val="00757C31"/>
    <w:rsid w:val="0076028B"/>
    <w:rsid w:val="00760666"/>
    <w:rsid w:val="00763608"/>
    <w:rsid w:val="00764FD5"/>
    <w:rsid w:val="00766890"/>
    <w:rsid w:val="00766A7F"/>
    <w:rsid w:val="00766B38"/>
    <w:rsid w:val="007671CC"/>
    <w:rsid w:val="007673BE"/>
    <w:rsid w:val="00770F8C"/>
    <w:rsid w:val="0077169F"/>
    <w:rsid w:val="00773B28"/>
    <w:rsid w:val="007743D2"/>
    <w:rsid w:val="00774E58"/>
    <w:rsid w:val="007754A0"/>
    <w:rsid w:val="00775B9B"/>
    <w:rsid w:val="00776226"/>
    <w:rsid w:val="0077727F"/>
    <w:rsid w:val="00777536"/>
    <w:rsid w:val="00777B81"/>
    <w:rsid w:val="00781E88"/>
    <w:rsid w:val="0078268B"/>
    <w:rsid w:val="00783FF2"/>
    <w:rsid w:val="0078486B"/>
    <w:rsid w:val="00786029"/>
    <w:rsid w:val="007870DA"/>
    <w:rsid w:val="0078726B"/>
    <w:rsid w:val="00787361"/>
    <w:rsid w:val="00787EB9"/>
    <w:rsid w:val="00790BDE"/>
    <w:rsid w:val="00790C2E"/>
    <w:rsid w:val="00791E5E"/>
    <w:rsid w:val="00793933"/>
    <w:rsid w:val="0079396D"/>
    <w:rsid w:val="00794C20"/>
    <w:rsid w:val="0079530F"/>
    <w:rsid w:val="00795AD6"/>
    <w:rsid w:val="00797F1A"/>
    <w:rsid w:val="007A1802"/>
    <w:rsid w:val="007A1EA7"/>
    <w:rsid w:val="007A3AEC"/>
    <w:rsid w:val="007A471B"/>
    <w:rsid w:val="007B1641"/>
    <w:rsid w:val="007B1ECC"/>
    <w:rsid w:val="007B41DB"/>
    <w:rsid w:val="007B564A"/>
    <w:rsid w:val="007B66B0"/>
    <w:rsid w:val="007B6886"/>
    <w:rsid w:val="007B72B0"/>
    <w:rsid w:val="007B7E18"/>
    <w:rsid w:val="007C23D4"/>
    <w:rsid w:val="007C4217"/>
    <w:rsid w:val="007C4DC3"/>
    <w:rsid w:val="007C598A"/>
    <w:rsid w:val="007C6E41"/>
    <w:rsid w:val="007C6E7A"/>
    <w:rsid w:val="007D2291"/>
    <w:rsid w:val="007D3B91"/>
    <w:rsid w:val="007D6139"/>
    <w:rsid w:val="007D6A2B"/>
    <w:rsid w:val="007E0439"/>
    <w:rsid w:val="007E058B"/>
    <w:rsid w:val="007E06FA"/>
    <w:rsid w:val="007E18D6"/>
    <w:rsid w:val="007E21F5"/>
    <w:rsid w:val="007E30FA"/>
    <w:rsid w:val="007E3A52"/>
    <w:rsid w:val="007E47A0"/>
    <w:rsid w:val="007E4F39"/>
    <w:rsid w:val="007E5021"/>
    <w:rsid w:val="007E5381"/>
    <w:rsid w:val="007E560A"/>
    <w:rsid w:val="007E5AC0"/>
    <w:rsid w:val="007F0972"/>
    <w:rsid w:val="007F0DB8"/>
    <w:rsid w:val="007F1F3A"/>
    <w:rsid w:val="007F231E"/>
    <w:rsid w:val="007F2869"/>
    <w:rsid w:val="007F2CF1"/>
    <w:rsid w:val="007F4164"/>
    <w:rsid w:val="007F46D0"/>
    <w:rsid w:val="007F4C08"/>
    <w:rsid w:val="007F6B4E"/>
    <w:rsid w:val="00800BB5"/>
    <w:rsid w:val="0080107D"/>
    <w:rsid w:val="00801A81"/>
    <w:rsid w:val="00802D9D"/>
    <w:rsid w:val="008059D1"/>
    <w:rsid w:val="00805DD7"/>
    <w:rsid w:val="00807492"/>
    <w:rsid w:val="0081035C"/>
    <w:rsid w:val="00811CE4"/>
    <w:rsid w:val="00812D14"/>
    <w:rsid w:val="00816FFD"/>
    <w:rsid w:val="008200C9"/>
    <w:rsid w:val="0082020E"/>
    <w:rsid w:val="00820AFF"/>
    <w:rsid w:val="00821E30"/>
    <w:rsid w:val="00822618"/>
    <w:rsid w:val="0082341E"/>
    <w:rsid w:val="0082368A"/>
    <w:rsid w:val="008254AE"/>
    <w:rsid w:val="008258D4"/>
    <w:rsid w:val="00825905"/>
    <w:rsid w:val="0082677E"/>
    <w:rsid w:val="00830DDF"/>
    <w:rsid w:val="008329D8"/>
    <w:rsid w:val="00833571"/>
    <w:rsid w:val="00833885"/>
    <w:rsid w:val="00833B61"/>
    <w:rsid w:val="0083649C"/>
    <w:rsid w:val="0083729D"/>
    <w:rsid w:val="00842748"/>
    <w:rsid w:val="00843ACC"/>
    <w:rsid w:val="008440EE"/>
    <w:rsid w:val="00846111"/>
    <w:rsid w:val="00846D2A"/>
    <w:rsid w:val="008501C4"/>
    <w:rsid w:val="00851DBF"/>
    <w:rsid w:val="008539A5"/>
    <w:rsid w:val="0085411A"/>
    <w:rsid w:val="00854673"/>
    <w:rsid w:val="00854B32"/>
    <w:rsid w:val="008557B1"/>
    <w:rsid w:val="0085630A"/>
    <w:rsid w:val="00856F8A"/>
    <w:rsid w:val="00861A93"/>
    <w:rsid w:val="00862900"/>
    <w:rsid w:val="00862AF1"/>
    <w:rsid w:val="00863EC8"/>
    <w:rsid w:val="008642DA"/>
    <w:rsid w:val="00864F8D"/>
    <w:rsid w:val="008703BB"/>
    <w:rsid w:val="00870509"/>
    <w:rsid w:val="00872FE7"/>
    <w:rsid w:val="00874EA6"/>
    <w:rsid w:val="00874EDC"/>
    <w:rsid w:val="008750CD"/>
    <w:rsid w:val="008759B4"/>
    <w:rsid w:val="00876C42"/>
    <w:rsid w:val="00880618"/>
    <w:rsid w:val="00881206"/>
    <w:rsid w:val="008815B5"/>
    <w:rsid w:val="00881850"/>
    <w:rsid w:val="008830C8"/>
    <w:rsid w:val="00885E5B"/>
    <w:rsid w:val="008867D3"/>
    <w:rsid w:val="00891A02"/>
    <w:rsid w:val="00894546"/>
    <w:rsid w:val="00894F4E"/>
    <w:rsid w:val="008951FB"/>
    <w:rsid w:val="00897CAA"/>
    <w:rsid w:val="008A0D0E"/>
    <w:rsid w:val="008A2CB1"/>
    <w:rsid w:val="008A3581"/>
    <w:rsid w:val="008A462A"/>
    <w:rsid w:val="008A5119"/>
    <w:rsid w:val="008A53EB"/>
    <w:rsid w:val="008A547D"/>
    <w:rsid w:val="008A7881"/>
    <w:rsid w:val="008A7FEA"/>
    <w:rsid w:val="008B08C0"/>
    <w:rsid w:val="008B21C2"/>
    <w:rsid w:val="008C1B62"/>
    <w:rsid w:val="008C2F4E"/>
    <w:rsid w:val="008C39B1"/>
    <w:rsid w:val="008C3BAC"/>
    <w:rsid w:val="008C47E4"/>
    <w:rsid w:val="008C604E"/>
    <w:rsid w:val="008D1C18"/>
    <w:rsid w:val="008D2A00"/>
    <w:rsid w:val="008D2E6C"/>
    <w:rsid w:val="008D32DA"/>
    <w:rsid w:val="008D36AA"/>
    <w:rsid w:val="008D5B06"/>
    <w:rsid w:val="008D62B7"/>
    <w:rsid w:val="008D7865"/>
    <w:rsid w:val="008D7FDA"/>
    <w:rsid w:val="008E0AA5"/>
    <w:rsid w:val="008E19D1"/>
    <w:rsid w:val="008E3505"/>
    <w:rsid w:val="008E44D1"/>
    <w:rsid w:val="008E5D1B"/>
    <w:rsid w:val="008E5FAF"/>
    <w:rsid w:val="008E6F1B"/>
    <w:rsid w:val="008E7602"/>
    <w:rsid w:val="008E794F"/>
    <w:rsid w:val="008E7A4B"/>
    <w:rsid w:val="008F0552"/>
    <w:rsid w:val="008F1273"/>
    <w:rsid w:val="008F1DEF"/>
    <w:rsid w:val="008F3085"/>
    <w:rsid w:val="008F36F5"/>
    <w:rsid w:val="008F3ED8"/>
    <w:rsid w:val="008F3F56"/>
    <w:rsid w:val="008F7940"/>
    <w:rsid w:val="009015D6"/>
    <w:rsid w:val="009029D7"/>
    <w:rsid w:val="00902ABF"/>
    <w:rsid w:val="009035A4"/>
    <w:rsid w:val="00903ECF"/>
    <w:rsid w:val="00904E44"/>
    <w:rsid w:val="009060A8"/>
    <w:rsid w:val="00910E7D"/>
    <w:rsid w:val="009128F4"/>
    <w:rsid w:val="0091382B"/>
    <w:rsid w:val="00917641"/>
    <w:rsid w:val="00917BEC"/>
    <w:rsid w:val="00920171"/>
    <w:rsid w:val="009201F4"/>
    <w:rsid w:val="009244C7"/>
    <w:rsid w:val="00924B07"/>
    <w:rsid w:val="009259A2"/>
    <w:rsid w:val="00926663"/>
    <w:rsid w:val="00927616"/>
    <w:rsid w:val="009306AD"/>
    <w:rsid w:val="00930FD3"/>
    <w:rsid w:val="009313BD"/>
    <w:rsid w:val="0093643B"/>
    <w:rsid w:val="00936CE7"/>
    <w:rsid w:val="0093773A"/>
    <w:rsid w:val="00940456"/>
    <w:rsid w:val="00940707"/>
    <w:rsid w:val="0094280A"/>
    <w:rsid w:val="00943716"/>
    <w:rsid w:val="00943FCC"/>
    <w:rsid w:val="0094482F"/>
    <w:rsid w:val="00944E58"/>
    <w:rsid w:val="009450B1"/>
    <w:rsid w:val="009456A5"/>
    <w:rsid w:val="00945E4F"/>
    <w:rsid w:val="0095016B"/>
    <w:rsid w:val="00953817"/>
    <w:rsid w:val="00955126"/>
    <w:rsid w:val="00960F04"/>
    <w:rsid w:val="009627CE"/>
    <w:rsid w:val="009647DD"/>
    <w:rsid w:val="009662C5"/>
    <w:rsid w:val="00966CE4"/>
    <w:rsid w:val="00967C92"/>
    <w:rsid w:val="00971047"/>
    <w:rsid w:val="00972B0F"/>
    <w:rsid w:val="0097491B"/>
    <w:rsid w:val="00974E68"/>
    <w:rsid w:val="00975363"/>
    <w:rsid w:val="0097570F"/>
    <w:rsid w:val="00976091"/>
    <w:rsid w:val="009765DC"/>
    <w:rsid w:val="0097665D"/>
    <w:rsid w:val="00977F58"/>
    <w:rsid w:val="0098011F"/>
    <w:rsid w:val="00980540"/>
    <w:rsid w:val="009840E7"/>
    <w:rsid w:val="00984A9B"/>
    <w:rsid w:val="00984BF5"/>
    <w:rsid w:val="009854B9"/>
    <w:rsid w:val="00985519"/>
    <w:rsid w:val="00987DEC"/>
    <w:rsid w:val="00990956"/>
    <w:rsid w:val="009912E3"/>
    <w:rsid w:val="00992A2C"/>
    <w:rsid w:val="00995C43"/>
    <w:rsid w:val="00995C51"/>
    <w:rsid w:val="00996DF5"/>
    <w:rsid w:val="009970FA"/>
    <w:rsid w:val="0099714D"/>
    <w:rsid w:val="009A0819"/>
    <w:rsid w:val="009A0A3B"/>
    <w:rsid w:val="009A2155"/>
    <w:rsid w:val="009A4009"/>
    <w:rsid w:val="009A5076"/>
    <w:rsid w:val="009A53BB"/>
    <w:rsid w:val="009A581B"/>
    <w:rsid w:val="009A59E4"/>
    <w:rsid w:val="009A62FC"/>
    <w:rsid w:val="009A66E1"/>
    <w:rsid w:val="009A6EFC"/>
    <w:rsid w:val="009A7DF1"/>
    <w:rsid w:val="009B0E51"/>
    <w:rsid w:val="009B1AEF"/>
    <w:rsid w:val="009B243F"/>
    <w:rsid w:val="009B29D0"/>
    <w:rsid w:val="009B2C1F"/>
    <w:rsid w:val="009B393D"/>
    <w:rsid w:val="009C0D91"/>
    <w:rsid w:val="009C1198"/>
    <w:rsid w:val="009C4690"/>
    <w:rsid w:val="009C6616"/>
    <w:rsid w:val="009C7C81"/>
    <w:rsid w:val="009D0CEC"/>
    <w:rsid w:val="009D170C"/>
    <w:rsid w:val="009D2C09"/>
    <w:rsid w:val="009D2C78"/>
    <w:rsid w:val="009D2FD8"/>
    <w:rsid w:val="009D69AB"/>
    <w:rsid w:val="009E0966"/>
    <w:rsid w:val="009E12DF"/>
    <w:rsid w:val="009E1EEB"/>
    <w:rsid w:val="009E2C34"/>
    <w:rsid w:val="009E3A87"/>
    <w:rsid w:val="009E5DB2"/>
    <w:rsid w:val="009E6920"/>
    <w:rsid w:val="009E6B88"/>
    <w:rsid w:val="009F30F7"/>
    <w:rsid w:val="009F7670"/>
    <w:rsid w:val="00A002A9"/>
    <w:rsid w:val="00A01302"/>
    <w:rsid w:val="00A016ED"/>
    <w:rsid w:val="00A044FE"/>
    <w:rsid w:val="00A04F2C"/>
    <w:rsid w:val="00A05339"/>
    <w:rsid w:val="00A05F68"/>
    <w:rsid w:val="00A06AA1"/>
    <w:rsid w:val="00A079AF"/>
    <w:rsid w:val="00A07BF6"/>
    <w:rsid w:val="00A1017F"/>
    <w:rsid w:val="00A11AAF"/>
    <w:rsid w:val="00A11C35"/>
    <w:rsid w:val="00A13E5F"/>
    <w:rsid w:val="00A158FE"/>
    <w:rsid w:val="00A164FD"/>
    <w:rsid w:val="00A16B4B"/>
    <w:rsid w:val="00A177A9"/>
    <w:rsid w:val="00A17EC3"/>
    <w:rsid w:val="00A20585"/>
    <w:rsid w:val="00A21997"/>
    <w:rsid w:val="00A21FFD"/>
    <w:rsid w:val="00A241ED"/>
    <w:rsid w:val="00A301F4"/>
    <w:rsid w:val="00A308DC"/>
    <w:rsid w:val="00A30BA1"/>
    <w:rsid w:val="00A30C8A"/>
    <w:rsid w:val="00A32EE5"/>
    <w:rsid w:val="00A34254"/>
    <w:rsid w:val="00A34791"/>
    <w:rsid w:val="00A3540E"/>
    <w:rsid w:val="00A357E6"/>
    <w:rsid w:val="00A35CD1"/>
    <w:rsid w:val="00A3626C"/>
    <w:rsid w:val="00A367BC"/>
    <w:rsid w:val="00A37FD8"/>
    <w:rsid w:val="00A41B56"/>
    <w:rsid w:val="00A4275F"/>
    <w:rsid w:val="00A43043"/>
    <w:rsid w:val="00A432EC"/>
    <w:rsid w:val="00A46F68"/>
    <w:rsid w:val="00A46FD4"/>
    <w:rsid w:val="00A472D7"/>
    <w:rsid w:val="00A4771B"/>
    <w:rsid w:val="00A4799C"/>
    <w:rsid w:val="00A47C24"/>
    <w:rsid w:val="00A50168"/>
    <w:rsid w:val="00A507EA"/>
    <w:rsid w:val="00A50BAD"/>
    <w:rsid w:val="00A5268A"/>
    <w:rsid w:val="00A531C7"/>
    <w:rsid w:val="00A5553F"/>
    <w:rsid w:val="00A564F1"/>
    <w:rsid w:val="00A56A08"/>
    <w:rsid w:val="00A571AC"/>
    <w:rsid w:val="00A57AA1"/>
    <w:rsid w:val="00A60892"/>
    <w:rsid w:val="00A61073"/>
    <w:rsid w:val="00A62745"/>
    <w:rsid w:val="00A63285"/>
    <w:rsid w:val="00A64D1D"/>
    <w:rsid w:val="00A64FE9"/>
    <w:rsid w:val="00A655BE"/>
    <w:rsid w:val="00A666B5"/>
    <w:rsid w:val="00A670AC"/>
    <w:rsid w:val="00A67208"/>
    <w:rsid w:val="00A67250"/>
    <w:rsid w:val="00A67851"/>
    <w:rsid w:val="00A67C7A"/>
    <w:rsid w:val="00A67E36"/>
    <w:rsid w:val="00A7011B"/>
    <w:rsid w:val="00A72C2D"/>
    <w:rsid w:val="00A72F1E"/>
    <w:rsid w:val="00A750C9"/>
    <w:rsid w:val="00A8181C"/>
    <w:rsid w:val="00A82169"/>
    <w:rsid w:val="00A84389"/>
    <w:rsid w:val="00A8483F"/>
    <w:rsid w:val="00A85B1B"/>
    <w:rsid w:val="00A87754"/>
    <w:rsid w:val="00A87771"/>
    <w:rsid w:val="00A928B7"/>
    <w:rsid w:val="00A971BA"/>
    <w:rsid w:val="00A974E2"/>
    <w:rsid w:val="00A9788E"/>
    <w:rsid w:val="00AA0704"/>
    <w:rsid w:val="00AA1376"/>
    <w:rsid w:val="00AA199C"/>
    <w:rsid w:val="00AA1A39"/>
    <w:rsid w:val="00AA32A2"/>
    <w:rsid w:val="00AA3A4F"/>
    <w:rsid w:val="00AA3B41"/>
    <w:rsid w:val="00AA412E"/>
    <w:rsid w:val="00AA469C"/>
    <w:rsid w:val="00AA523D"/>
    <w:rsid w:val="00AA607C"/>
    <w:rsid w:val="00AA63D2"/>
    <w:rsid w:val="00AA767D"/>
    <w:rsid w:val="00AB1692"/>
    <w:rsid w:val="00AB220D"/>
    <w:rsid w:val="00AB2817"/>
    <w:rsid w:val="00AB2F4E"/>
    <w:rsid w:val="00AB4D8D"/>
    <w:rsid w:val="00AB523D"/>
    <w:rsid w:val="00AB7DD1"/>
    <w:rsid w:val="00AC1006"/>
    <w:rsid w:val="00AC2352"/>
    <w:rsid w:val="00AC273D"/>
    <w:rsid w:val="00AC3F40"/>
    <w:rsid w:val="00AC4988"/>
    <w:rsid w:val="00AC4AEC"/>
    <w:rsid w:val="00AC68CC"/>
    <w:rsid w:val="00AC72F5"/>
    <w:rsid w:val="00AD0C9D"/>
    <w:rsid w:val="00AD17A4"/>
    <w:rsid w:val="00AD2D96"/>
    <w:rsid w:val="00AD3D90"/>
    <w:rsid w:val="00AD6AF3"/>
    <w:rsid w:val="00AD6BAF"/>
    <w:rsid w:val="00AD77AD"/>
    <w:rsid w:val="00AE323D"/>
    <w:rsid w:val="00AE3C5F"/>
    <w:rsid w:val="00AE3E83"/>
    <w:rsid w:val="00AE4048"/>
    <w:rsid w:val="00AE539A"/>
    <w:rsid w:val="00AE6DF2"/>
    <w:rsid w:val="00AE7239"/>
    <w:rsid w:val="00AE779A"/>
    <w:rsid w:val="00AF0AFE"/>
    <w:rsid w:val="00AF1446"/>
    <w:rsid w:val="00AF20EA"/>
    <w:rsid w:val="00AF3E45"/>
    <w:rsid w:val="00AF501F"/>
    <w:rsid w:val="00AF732F"/>
    <w:rsid w:val="00AF7E66"/>
    <w:rsid w:val="00AF7ECA"/>
    <w:rsid w:val="00B00CD9"/>
    <w:rsid w:val="00B04006"/>
    <w:rsid w:val="00B04357"/>
    <w:rsid w:val="00B054A9"/>
    <w:rsid w:val="00B06906"/>
    <w:rsid w:val="00B11AC8"/>
    <w:rsid w:val="00B11ADA"/>
    <w:rsid w:val="00B12ADE"/>
    <w:rsid w:val="00B134CE"/>
    <w:rsid w:val="00B14713"/>
    <w:rsid w:val="00B160FA"/>
    <w:rsid w:val="00B161B3"/>
    <w:rsid w:val="00B16F45"/>
    <w:rsid w:val="00B2061D"/>
    <w:rsid w:val="00B2095D"/>
    <w:rsid w:val="00B229A2"/>
    <w:rsid w:val="00B22AD0"/>
    <w:rsid w:val="00B22B89"/>
    <w:rsid w:val="00B233BF"/>
    <w:rsid w:val="00B242A5"/>
    <w:rsid w:val="00B2494A"/>
    <w:rsid w:val="00B25A6A"/>
    <w:rsid w:val="00B25C81"/>
    <w:rsid w:val="00B269AB"/>
    <w:rsid w:val="00B26D8B"/>
    <w:rsid w:val="00B27FC8"/>
    <w:rsid w:val="00B30356"/>
    <w:rsid w:val="00B32CCB"/>
    <w:rsid w:val="00B3334F"/>
    <w:rsid w:val="00B33748"/>
    <w:rsid w:val="00B350DC"/>
    <w:rsid w:val="00B364FE"/>
    <w:rsid w:val="00B36CE5"/>
    <w:rsid w:val="00B37C6A"/>
    <w:rsid w:val="00B41916"/>
    <w:rsid w:val="00B43CCB"/>
    <w:rsid w:val="00B455A8"/>
    <w:rsid w:val="00B46C30"/>
    <w:rsid w:val="00B47880"/>
    <w:rsid w:val="00B50385"/>
    <w:rsid w:val="00B51E58"/>
    <w:rsid w:val="00B526AC"/>
    <w:rsid w:val="00B5494D"/>
    <w:rsid w:val="00B54F0C"/>
    <w:rsid w:val="00B57102"/>
    <w:rsid w:val="00B57E8B"/>
    <w:rsid w:val="00B60F2F"/>
    <w:rsid w:val="00B64C7A"/>
    <w:rsid w:val="00B6506F"/>
    <w:rsid w:val="00B65174"/>
    <w:rsid w:val="00B6617E"/>
    <w:rsid w:val="00B66DD8"/>
    <w:rsid w:val="00B678BF"/>
    <w:rsid w:val="00B67B75"/>
    <w:rsid w:val="00B704F3"/>
    <w:rsid w:val="00B72109"/>
    <w:rsid w:val="00B73158"/>
    <w:rsid w:val="00B75710"/>
    <w:rsid w:val="00B763CC"/>
    <w:rsid w:val="00B765FF"/>
    <w:rsid w:val="00B80E99"/>
    <w:rsid w:val="00B81B66"/>
    <w:rsid w:val="00B82242"/>
    <w:rsid w:val="00B82C1E"/>
    <w:rsid w:val="00B84278"/>
    <w:rsid w:val="00B87BE9"/>
    <w:rsid w:val="00B911CC"/>
    <w:rsid w:val="00B92CF6"/>
    <w:rsid w:val="00B92ECE"/>
    <w:rsid w:val="00B92F32"/>
    <w:rsid w:val="00B933C9"/>
    <w:rsid w:val="00B93679"/>
    <w:rsid w:val="00B94D19"/>
    <w:rsid w:val="00B97914"/>
    <w:rsid w:val="00B979E0"/>
    <w:rsid w:val="00B97B05"/>
    <w:rsid w:val="00BA0DC4"/>
    <w:rsid w:val="00BA1295"/>
    <w:rsid w:val="00BA1CAA"/>
    <w:rsid w:val="00BA43DF"/>
    <w:rsid w:val="00BA5C00"/>
    <w:rsid w:val="00BA7596"/>
    <w:rsid w:val="00BA7614"/>
    <w:rsid w:val="00BA7707"/>
    <w:rsid w:val="00BB2A0F"/>
    <w:rsid w:val="00BB4078"/>
    <w:rsid w:val="00BB4621"/>
    <w:rsid w:val="00BB6090"/>
    <w:rsid w:val="00BB69A1"/>
    <w:rsid w:val="00BB7372"/>
    <w:rsid w:val="00BB78B9"/>
    <w:rsid w:val="00BC0199"/>
    <w:rsid w:val="00BC0FBC"/>
    <w:rsid w:val="00BC1AFC"/>
    <w:rsid w:val="00BC23F4"/>
    <w:rsid w:val="00BC2431"/>
    <w:rsid w:val="00BC462A"/>
    <w:rsid w:val="00BC5149"/>
    <w:rsid w:val="00BC54B0"/>
    <w:rsid w:val="00BC72BE"/>
    <w:rsid w:val="00BD0CA4"/>
    <w:rsid w:val="00BD11B4"/>
    <w:rsid w:val="00BD217E"/>
    <w:rsid w:val="00BD339B"/>
    <w:rsid w:val="00BD38B9"/>
    <w:rsid w:val="00BD4C26"/>
    <w:rsid w:val="00BD53C8"/>
    <w:rsid w:val="00BD595E"/>
    <w:rsid w:val="00BD5D4A"/>
    <w:rsid w:val="00BD6C06"/>
    <w:rsid w:val="00BE2463"/>
    <w:rsid w:val="00BE34F7"/>
    <w:rsid w:val="00BE407F"/>
    <w:rsid w:val="00BE61D2"/>
    <w:rsid w:val="00BE6640"/>
    <w:rsid w:val="00BF076C"/>
    <w:rsid w:val="00BF21A5"/>
    <w:rsid w:val="00BF2F04"/>
    <w:rsid w:val="00BF4472"/>
    <w:rsid w:val="00BF6821"/>
    <w:rsid w:val="00BF744C"/>
    <w:rsid w:val="00C004E2"/>
    <w:rsid w:val="00C009E5"/>
    <w:rsid w:val="00C026D3"/>
    <w:rsid w:val="00C03228"/>
    <w:rsid w:val="00C04BA6"/>
    <w:rsid w:val="00C05976"/>
    <w:rsid w:val="00C071AD"/>
    <w:rsid w:val="00C07FBC"/>
    <w:rsid w:val="00C10C60"/>
    <w:rsid w:val="00C12136"/>
    <w:rsid w:val="00C138C9"/>
    <w:rsid w:val="00C15C33"/>
    <w:rsid w:val="00C1720E"/>
    <w:rsid w:val="00C21061"/>
    <w:rsid w:val="00C213C0"/>
    <w:rsid w:val="00C229A4"/>
    <w:rsid w:val="00C22F89"/>
    <w:rsid w:val="00C23647"/>
    <w:rsid w:val="00C23BD7"/>
    <w:rsid w:val="00C23E3E"/>
    <w:rsid w:val="00C259CC"/>
    <w:rsid w:val="00C277DD"/>
    <w:rsid w:val="00C27C8D"/>
    <w:rsid w:val="00C30C8A"/>
    <w:rsid w:val="00C32BD9"/>
    <w:rsid w:val="00C3407E"/>
    <w:rsid w:val="00C3472A"/>
    <w:rsid w:val="00C34925"/>
    <w:rsid w:val="00C34FF9"/>
    <w:rsid w:val="00C3519F"/>
    <w:rsid w:val="00C37968"/>
    <w:rsid w:val="00C37A4D"/>
    <w:rsid w:val="00C41081"/>
    <w:rsid w:val="00C4231A"/>
    <w:rsid w:val="00C42DDF"/>
    <w:rsid w:val="00C4507A"/>
    <w:rsid w:val="00C45519"/>
    <w:rsid w:val="00C45E50"/>
    <w:rsid w:val="00C46987"/>
    <w:rsid w:val="00C50C66"/>
    <w:rsid w:val="00C51B8F"/>
    <w:rsid w:val="00C51C2C"/>
    <w:rsid w:val="00C52F53"/>
    <w:rsid w:val="00C5316F"/>
    <w:rsid w:val="00C54DE5"/>
    <w:rsid w:val="00C55003"/>
    <w:rsid w:val="00C56D08"/>
    <w:rsid w:val="00C57BCE"/>
    <w:rsid w:val="00C60A22"/>
    <w:rsid w:val="00C60B7D"/>
    <w:rsid w:val="00C60FEF"/>
    <w:rsid w:val="00C6335B"/>
    <w:rsid w:val="00C63623"/>
    <w:rsid w:val="00C636A3"/>
    <w:rsid w:val="00C639C8"/>
    <w:rsid w:val="00C66E12"/>
    <w:rsid w:val="00C6739D"/>
    <w:rsid w:val="00C70756"/>
    <w:rsid w:val="00C71760"/>
    <w:rsid w:val="00C72A8D"/>
    <w:rsid w:val="00C72F46"/>
    <w:rsid w:val="00C7338A"/>
    <w:rsid w:val="00C736C1"/>
    <w:rsid w:val="00C739CE"/>
    <w:rsid w:val="00C741C2"/>
    <w:rsid w:val="00C74D15"/>
    <w:rsid w:val="00C756E2"/>
    <w:rsid w:val="00C76EDC"/>
    <w:rsid w:val="00C801C5"/>
    <w:rsid w:val="00C810BF"/>
    <w:rsid w:val="00C82891"/>
    <w:rsid w:val="00C836E1"/>
    <w:rsid w:val="00C8464F"/>
    <w:rsid w:val="00C84677"/>
    <w:rsid w:val="00C85256"/>
    <w:rsid w:val="00C8666A"/>
    <w:rsid w:val="00C90213"/>
    <w:rsid w:val="00C904C6"/>
    <w:rsid w:val="00C932E2"/>
    <w:rsid w:val="00C941EB"/>
    <w:rsid w:val="00C94FA3"/>
    <w:rsid w:val="00C966EB"/>
    <w:rsid w:val="00C97CEB"/>
    <w:rsid w:val="00CA0390"/>
    <w:rsid w:val="00CA0C88"/>
    <w:rsid w:val="00CA1299"/>
    <w:rsid w:val="00CA1314"/>
    <w:rsid w:val="00CA1C73"/>
    <w:rsid w:val="00CA3E73"/>
    <w:rsid w:val="00CA4A48"/>
    <w:rsid w:val="00CA4BE2"/>
    <w:rsid w:val="00CA4DA8"/>
    <w:rsid w:val="00CB266F"/>
    <w:rsid w:val="00CB5530"/>
    <w:rsid w:val="00CB6379"/>
    <w:rsid w:val="00CB6B67"/>
    <w:rsid w:val="00CB6CCF"/>
    <w:rsid w:val="00CB7FF2"/>
    <w:rsid w:val="00CC3524"/>
    <w:rsid w:val="00CC4014"/>
    <w:rsid w:val="00CC4A71"/>
    <w:rsid w:val="00CC4FA4"/>
    <w:rsid w:val="00CC536A"/>
    <w:rsid w:val="00CC56BD"/>
    <w:rsid w:val="00CC5736"/>
    <w:rsid w:val="00CC6296"/>
    <w:rsid w:val="00CC795E"/>
    <w:rsid w:val="00CD1DAE"/>
    <w:rsid w:val="00CD481A"/>
    <w:rsid w:val="00CD757F"/>
    <w:rsid w:val="00CE0A85"/>
    <w:rsid w:val="00CE1E70"/>
    <w:rsid w:val="00CE3AED"/>
    <w:rsid w:val="00CE45BE"/>
    <w:rsid w:val="00CE5D04"/>
    <w:rsid w:val="00CE5E97"/>
    <w:rsid w:val="00CE6369"/>
    <w:rsid w:val="00CF451B"/>
    <w:rsid w:val="00CF5526"/>
    <w:rsid w:val="00CF5849"/>
    <w:rsid w:val="00CF6380"/>
    <w:rsid w:val="00D0267F"/>
    <w:rsid w:val="00D0383F"/>
    <w:rsid w:val="00D04BCA"/>
    <w:rsid w:val="00D05D20"/>
    <w:rsid w:val="00D069ED"/>
    <w:rsid w:val="00D07897"/>
    <w:rsid w:val="00D10476"/>
    <w:rsid w:val="00D10524"/>
    <w:rsid w:val="00D1242C"/>
    <w:rsid w:val="00D12492"/>
    <w:rsid w:val="00D13D9A"/>
    <w:rsid w:val="00D14B87"/>
    <w:rsid w:val="00D14EF9"/>
    <w:rsid w:val="00D17254"/>
    <w:rsid w:val="00D2021C"/>
    <w:rsid w:val="00D207D0"/>
    <w:rsid w:val="00D230F8"/>
    <w:rsid w:val="00D257EA"/>
    <w:rsid w:val="00D25A13"/>
    <w:rsid w:val="00D3001A"/>
    <w:rsid w:val="00D3374C"/>
    <w:rsid w:val="00D34898"/>
    <w:rsid w:val="00D35247"/>
    <w:rsid w:val="00D354CE"/>
    <w:rsid w:val="00D35A26"/>
    <w:rsid w:val="00D402C8"/>
    <w:rsid w:val="00D415BF"/>
    <w:rsid w:val="00D42D77"/>
    <w:rsid w:val="00D443DB"/>
    <w:rsid w:val="00D466A0"/>
    <w:rsid w:val="00D47491"/>
    <w:rsid w:val="00D47FEF"/>
    <w:rsid w:val="00D507FD"/>
    <w:rsid w:val="00D50E33"/>
    <w:rsid w:val="00D522F2"/>
    <w:rsid w:val="00D52B0E"/>
    <w:rsid w:val="00D5522F"/>
    <w:rsid w:val="00D57667"/>
    <w:rsid w:val="00D57DF8"/>
    <w:rsid w:val="00D60510"/>
    <w:rsid w:val="00D6054C"/>
    <w:rsid w:val="00D6182B"/>
    <w:rsid w:val="00D61FE0"/>
    <w:rsid w:val="00D6254E"/>
    <w:rsid w:val="00D63541"/>
    <w:rsid w:val="00D6380E"/>
    <w:rsid w:val="00D65A6D"/>
    <w:rsid w:val="00D66223"/>
    <w:rsid w:val="00D6624B"/>
    <w:rsid w:val="00D66273"/>
    <w:rsid w:val="00D705E2"/>
    <w:rsid w:val="00D71889"/>
    <w:rsid w:val="00D73E85"/>
    <w:rsid w:val="00D75AD6"/>
    <w:rsid w:val="00D76897"/>
    <w:rsid w:val="00D76F24"/>
    <w:rsid w:val="00D76FFD"/>
    <w:rsid w:val="00D77E7C"/>
    <w:rsid w:val="00D80230"/>
    <w:rsid w:val="00D81409"/>
    <w:rsid w:val="00D83CE8"/>
    <w:rsid w:val="00D84586"/>
    <w:rsid w:val="00D8476E"/>
    <w:rsid w:val="00D86615"/>
    <w:rsid w:val="00D90E07"/>
    <w:rsid w:val="00D91E8F"/>
    <w:rsid w:val="00D921BA"/>
    <w:rsid w:val="00D925D2"/>
    <w:rsid w:val="00D9539D"/>
    <w:rsid w:val="00D95BEF"/>
    <w:rsid w:val="00D96A7B"/>
    <w:rsid w:val="00D978EF"/>
    <w:rsid w:val="00DA02F5"/>
    <w:rsid w:val="00DA0FE4"/>
    <w:rsid w:val="00DA11B0"/>
    <w:rsid w:val="00DA3F82"/>
    <w:rsid w:val="00DA406D"/>
    <w:rsid w:val="00DA58D9"/>
    <w:rsid w:val="00DA6A13"/>
    <w:rsid w:val="00DA6C09"/>
    <w:rsid w:val="00DB0E76"/>
    <w:rsid w:val="00DB2847"/>
    <w:rsid w:val="00DB33F7"/>
    <w:rsid w:val="00DB4730"/>
    <w:rsid w:val="00DB5408"/>
    <w:rsid w:val="00DB6C40"/>
    <w:rsid w:val="00DB7C6E"/>
    <w:rsid w:val="00DC05E6"/>
    <w:rsid w:val="00DC0BAC"/>
    <w:rsid w:val="00DC0F69"/>
    <w:rsid w:val="00DC179A"/>
    <w:rsid w:val="00DC302B"/>
    <w:rsid w:val="00DC3647"/>
    <w:rsid w:val="00DC5797"/>
    <w:rsid w:val="00DC5C34"/>
    <w:rsid w:val="00DC7035"/>
    <w:rsid w:val="00DD02D8"/>
    <w:rsid w:val="00DD0E10"/>
    <w:rsid w:val="00DD1C03"/>
    <w:rsid w:val="00DD290A"/>
    <w:rsid w:val="00DD2F69"/>
    <w:rsid w:val="00DD5628"/>
    <w:rsid w:val="00DD62DA"/>
    <w:rsid w:val="00DD673F"/>
    <w:rsid w:val="00DD730C"/>
    <w:rsid w:val="00DD748A"/>
    <w:rsid w:val="00DE067E"/>
    <w:rsid w:val="00DE2F57"/>
    <w:rsid w:val="00DE3DBD"/>
    <w:rsid w:val="00DE3E0A"/>
    <w:rsid w:val="00DE44C2"/>
    <w:rsid w:val="00DE65D1"/>
    <w:rsid w:val="00DE760D"/>
    <w:rsid w:val="00DF1DDF"/>
    <w:rsid w:val="00DF4401"/>
    <w:rsid w:val="00DF466D"/>
    <w:rsid w:val="00DF51FA"/>
    <w:rsid w:val="00DF639E"/>
    <w:rsid w:val="00E00761"/>
    <w:rsid w:val="00E00877"/>
    <w:rsid w:val="00E00BF7"/>
    <w:rsid w:val="00E00CFD"/>
    <w:rsid w:val="00E00FC0"/>
    <w:rsid w:val="00E01B7B"/>
    <w:rsid w:val="00E01D16"/>
    <w:rsid w:val="00E02A19"/>
    <w:rsid w:val="00E02B56"/>
    <w:rsid w:val="00E04371"/>
    <w:rsid w:val="00E071D7"/>
    <w:rsid w:val="00E12CB2"/>
    <w:rsid w:val="00E14CDE"/>
    <w:rsid w:val="00E15FAF"/>
    <w:rsid w:val="00E202DE"/>
    <w:rsid w:val="00E2180C"/>
    <w:rsid w:val="00E22629"/>
    <w:rsid w:val="00E22C29"/>
    <w:rsid w:val="00E23A38"/>
    <w:rsid w:val="00E25C74"/>
    <w:rsid w:val="00E3039C"/>
    <w:rsid w:val="00E315F4"/>
    <w:rsid w:val="00E3165A"/>
    <w:rsid w:val="00E3248F"/>
    <w:rsid w:val="00E3305B"/>
    <w:rsid w:val="00E330CF"/>
    <w:rsid w:val="00E34031"/>
    <w:rsid w:val="00E34C0F"/>
    <w:rsid w:val="00E35F2A"/>
    <w:rsid w:val="00E35F46"/>
    <w:rsid w:val="00E36B4D"/>
    <w:rsid w:val="00E41AE6"/>
    <w:rsid w:val="00E46570"/>
    <w:rsid w:val="00E46ED1"/>
    <w:rsid w:val="00E47D89"/>
    <w:rsid w:val="00E53D23"/>
    <w:rsid w:val="00E55E00"/>
    <w:rsid w:val="00E5693C"/>
    <w:rsid w:val="00E571BE"/>
    <w:rsid w:val="00E60804"/>
    <w:rsid w:val="00E61FF8"/>
    <w:rsid w:val="00E62318"/>
    <w:rsid w:val="00E62ED2"/>
    <w:rsid w:val="00E63E87"/>
    <w:rsid w:val="00E65F14"/>
    <w:rsid w:val="00E66032"/>
    <w:rsid w:val="00E66DFF"/>
    <w:rsid w:val="00E66FCF"/>
    <w:rsid w:val="00E678CE"/>
    <w:rsid w:val="00E67B46"/>
    <w:rsid w:val="00E7017A"/>
    <w:rsid w:val="00E70822"/>
    <w:rsid w:val="00E70D72"/>
    <w:rsid w:val="00E715C2"/>
    <w:rsid w:val="00E71BD9"/>
    <w:rsid w:val="00E81409"/>
    <w:rsid w:val="00E8146E"/>
    <w:rsid w:val="00E8167B"/>
    <w:rsid w:val="00E81A52"/>
    <w:rsid w:val="00E81A9F"/>
    <w:rsid w:val="00E81F64"/>
    <w:rsid w:val="00E821AF"/>
    <w:rsid w:val="00E82BC3"/>
    <w:rsid w:val="00E835C9"/>
    <w:rsid w:val="00E837AB"/>
    <w:rsid w:val="00E84038"/>
    <w:rsid w:val="00E84DD2"/>
    <w:rsid w:val="00E85286"/>
    <w:rsid w:val="00E85C9D"/>
    <w:rsid w:val="00E87AB4"/>
    <w:rsid w:val="00E942ED"/>
    <w:rsid w:val="00E95E12"/>
    <w:rsid w:val="00E96A31"/>
    <w:rsid w:val="00EA028A"/>
    <w:rsid w:val="00EA0B05"/>
    <w:rsid w:val="00EA1356"/>
    <w:rsid w:val="00EA139C"/>
    <w:rsid w:val="00EA1E0C"/>
    <w:rsid w:val="00EA398A"/>
    <w:rsid w:val="00EA4D26"/>
    <w:rsid w:val="00EA5977"/>
    <w:rsid w:val="00EA63D2"/>
    <w:rsid w:val="00EA6EE5"/>
    <w:rsid w:val="00EA7B8C"/>
    <w:rsid w:val="00EB19D8"/>
    <w:rsid w:val="00EB3629"/>
    <w:rsid w:val="00EB386B"/>
    <w:rsid w:val="00EB4AF3"/>
    <w:rsid w:val="00EB4BB5"/>
    <w:rsid w:val="00EB55F7"/>
    <w:rsid w:val="00EB6474"/>
    <w:rsid w:val="00EB6754"/>
    <w:rsid w:val="00EB70A8"/>
    <w:rsid w:val="00EB7E5F"/>
    <w:rsid w:val="00EC0483"/>
    <w:rsid w:val="00EC072F"/>
    <w:rsid w:val="00EC0B0D"/>
    <w:rsid w:val="00EC0B38"/>
    <w:rsid w:val="00EC11C3"/>
    <w:rsid w:val="00EC146F"/>
    <w:rsid w:val="00EC433D"/>
    <w:rsid w:val="00EC4879"/>
    <w:rsid w:val="00EC48D7"/>
    <w:rsid w:val="00EC5AB2"/>
    <w:rsid w:val="00EC6526"/>
    <w:rsid w:val="00EC7820"/>
    <w:rsid w:val="00ED1DCA"/>
    <w:rsid w:val="00ED4DA7"/>
    <w:rsid w:val="00ED6825"/>
    <w:rsid w:val="00ED6EF1"/>
    <w:rsid w:val="00EE1171"/>
    <w:rsid w:val="00EE14E2"/>
    <w:rsid w:val="00EE1CF2"/>
    <w:rsid w:val="00EE3D4B"/>
    <w:rsid w:val="00EE4B87"/>
    <w:rsid w:val="00EE5910"/>
    <w:rsid w:val="00EE706F"/>
    <w:rsid w:val="00EE7CBA"/>
    <w:rsid w:val="00EF098F"/>
    <w:rsid w:val="00EF0DDD"/>
    <w:rsid w:val="00EF2081"/>
    <w:rsid w:val="00EF39F4"/>
    <w:rsid w:val="00EF6B5C"/>
    <w:rsid w:val="00EF6C64"/>
    <w:rsid w:val="00EF6E9A"/>
    <w:rsid w:val="00EF799A"/>
    <w:rsid w:val="00F01151"/>
    <w:rsid w:val="00F01195"/>
    <w:rsid w:val="00F012DA"/>
    <w:rsid w:val="00F03CF3"/>
    <w:rsid w:val="00F03D2E"/>
    <w:rsid w:val="00F047D6"/>
    <w:rsid w:val="00F04C93"/>
    <w:rsid w:val="00F050E4"/>
    <w:rsid w:val="00F10AB4"/>
    <w:rsid w:val="00F13A20"/>
    <w:rsid w:val="00F15E44"/>
    <w:rsid w:val="00F163DC"/>
    <w:rsid w:val="00F171A0"/>
    <w:rsid w:val="00F17551"/>
    <w:rsid w:val="00F20F27"/>
    <w:rsid w:val="00F2179E"/>
    <w:rsid w:val="00F21D9D"/>
    <w:rsid w:val="00F228CD"/>
    <w:rsid w:val="00F22ADB"/>
    <w:rsid w:val="00F24CDB"/>
    <w:rsid w:val="00F266B3"/>
    <w:rsid w:val="00F26C65"/>
    <w:rsid w:val="00F301A0"/>
    <w:rsid w:val="00F32E94"/>
    <w:rsid w:val="00F331A5"/>
    <w:rsid w:val="00F3347D"/>
    <w:rsid w:val="00F345E0"/>
    <w:rsid w:val="00F3502D"/>
    <w:rsid w:val="00F35926"/>
    <w:rsid w:val="00F36A82"/>
    <w:rsid w:val="00F418B3"/>
    <w:rsid w:val="00F42BEA"/>
    <w:rsid w:val="00F44829"/>
    <w:rsid w:val="00F44D5B"/>
    <w:rsid w:val="00F44DF1"/>
    <w:rsid w:val="00F44F91"/>
    <w:rsid w:val="00F45B64"/>
    <w:rsid w:val="00F45ED4"/>
    <w:rsid w:val="00F46BF9"/>
    <w:rsid w:val="00F46FD3"/>
    <w:rsid w:val="00F50492"/>
    <w:rsid w:val="00F51ADB"/>
    <w:rsid w:val="00F52007"/>
    <w:rsid w:val="00F5287D"/>
    <w:rsid w:val="00F53226"/>
    <w:rsid w:val="00F53278"/>
    <w:rsid w:val="00F53A8B"/>
    <w:rsid w:val="00F55E6B"/>
    <w:rsid w:val="00F55F7A"/>
    <w:rsid w:val="00F56407"/>
    <w:rsid w:val="00F56F5A"/>
    <w:rsid w:val="00F5714A"/>
    <w:rsid w:val="00F6003C"/>
    <w:rsid w:val="00F60580"/>
    <w:rsid w:val="00F6139F"/>
    <w:rsid w:val="00F64816"/>
    <w:rsid w:val="00F65A80"/>
    <w:rsid w:val="00F6713F"/>
    <w:rsid w:val="00F67754"/>
    <w:rsid w:val="00F7170E"/>
    <w:rsid w:val="00F71899"/>
    <w:rsid w:val="00F718B8"/>
    <w:rsid w:val="00F7344D"/>
    <w:rsid w:val="00F73B99"/>
    <w:rsid w:val="00F752E1"/>
    <w:rsid w:val="00F76E18"/>
    <w:rsid w:val="00F80813"/>
    <w:rsid w:val="00F808BF"/>
    <w:rsid w:val="00F81201"/>
    <w:rsid w:val="00F82640"/>
    <w:rsid w:val="00F854F2"/>
    <w:rsid w:val="00F8595A"/>
    <w:rsid w:val="00F85C74"/>
    <w:rsid w:val="00F86646"/>
    <w:rsid w:val="00F915AF"/>
    <w:rsid w:val="00F9497F"/>
    <w:rsid w:val="00F9580C"/>
    <w:rsid w:val="00F95D64"/>
    <w:rsid w:val="00F96D40"/>
    <w:rsid w:val="00F97B71"/>
    <w:rsid w:val="00F97F13"/>
    <w:rsid w:val="00FA1113"/>
    <w:rsid w:val="00FA3606"/>
    <w:rsid w:val="00FA3AAC"/>
    <w:rsid w:val="00FA420C"/>
    <w:rsid w:val="00FB0B58"/>
    <w:rsid w:val="00FB179D"/>
    <w:rsid w:val="00FB2B8B"/>
    <w:rsid w:val="00FB3401"/>
    <w:rsid w:val="00FB36C9"/>
    <w:rsid w:val="00FB3982"/>
    <w:rsid w:val="00FB3E4A"/>
    <w:rsid w:val="00FB79C6"/>
    <w:rsid w:val="00FC04F9"/>
    <w:rsid w:val="00FC1887"/>
    <w:rsid w:val="00FC1915"/>
    <w:rsid w:val="00FC26A6"/>
    <w:rsid w:val="00FC48F6"/>
    <w:rsid w:val="00FC5B87"/>
    <w:rsid w:val="00FD1F47"/>
    <w:rsid w:val="00FD259E"/>
    <w:rsid w:val="00FD2948"/>
    <w:rsid w:val="00FD3329"/>
    <w:rsid w:val="00FD444E"/>
    <w:rsid w:val="00FE1302"/>
    <w:rsid w:val="00FE2ACB"/>
    <w:rsid w:val="00FE4ECF"/>
    <w:rsid w:val="00FE5CE2"/>
    <w:rsid w:val="00FE62BC"/>
    <w:rsid w:val="00FE7677"/>
    <w:rsid w:val="00FF0522"/>
    <w:rsid w:val="00FF09EB"/>
    <w:rsid w:val="00FF32F7"/>
    <w:rsid w:val="00FF3601"/>
    <w:rsid w:val="00FF3B83"/>
    <w:rsid w:val="00FF428F"/>
    <w:rsid w:val="00FF5AEE"/>
    <w:rsid w:val="00FF5DB6"/>
    <w:rsid w:val="00FF5E0B"/>
    <w:rsid w:val="00FF79DF"/>
    <w:rsid w:val="00FF7A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546B"/>
  <w15:docId w15:val="{DA3A2856-6A8F-5147-B460-F52984C0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F8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1975902141006478762msolistparagraph">
    <w:name w:val="m_1975902141006478762msolistparagraph"/>
    <w:basedOn w:val="Normal"/>
    <w:rsid w:val="00381BF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81BF8"/>
  </w:style>
  <w:style w:type="paragraph" w:styleId="ListParagraph">
    <w:name w:val="List Paragraph"/>
    <w:basedOn w:val="Normal"/>
    <w:uiPriority w:val="34"/>
    <w:qFormat/>
    <w:rsid w:val="00BF7B6A"/>
    <w:pPr>
      <w:ind w:left="720"/>
      <w:contextualSpacing/>
    </w:pPr>
  </w:style>
  <w:style w:type="character" w:styleId="Hyperlink">
    <w:name w:val="Hyperlink"/>
    <w:basedOn w:val="DefaultParagraphFont"/>
    <w:uiPriority w:val="99"/>
    <w:unhideWhenUsed/>
    <w:rsid w:val="0093005A"/>
    <w:rPr>
      <w:color w:val="0563C1" w:themeColor="hyperlink"/>
      <w:u w:val="single"/>
    </w:rPr>
  </w:style>
  <w:style w:type="character" w:styleId="UnresolvedMention">
    <w:name w:val="Unresolved Mention"/>
    <w:basedOn w:val="DefaultParagraphFont"/>
    <w:uiPriority w:val="99"/>
    <w:semiHidden/>
    <w:unhideWhenUsed/>
    <w:rsid w:val="0093005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E56CC"/>
    <w:rPr>
      <w:b/>
      <w:bCs/>
    </w:rPr>
  </w:style>
  <w:style w:type="character" w:customStyle="1" w:styleId="CommentSubjectChar">
    <w:name w:val="Comment Subject Char"/>
    <w:basedOn w:val="CommentTextChar"/>
    <w:link w:val="CommentSubject"/>
    <w:uiPriority w:val="99"/>
    <w:semiHidden/>
    <w:rsid w:val="001E56CC"/>
    <w:rPr>
      <w:b/>
      <w:bCs/>
      <w:sz w:val="20"/>
      <w:szCs w:val="20"/>
    </w:rPr>
  </w:style>
  <w:style w:type="paragraph" w:styleId="NormalWeb">
    <w:name w:val="Normal (Web)"/>
    <w:basedOn w:val="Normal"/>
    <w:uiPriority w:val="99"/>
    <w:unhideWhenUsed/>
    <w:rsid w:val="00DA6C0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C42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A241ED"/>
    <w:pPr>
      <w:tabs>
        <w:tab w:val="left" w:pos="260"/>
      </w:tabs>
      <w:spacing w:after="240"/>
      <w:ind w:left="264" w:hanging="264"/>
    </w:pPr>
  </w:style>
  <w:style w:type="paragraph" w:styleId="Footer">
    <w:name w:val="footer"/>
    <w:basedOn w:val="Normal"/>
    <w:link w:val="FooterChar"/>
    <w:uiPriority w:val="99"/>
    <w:unhideWhenUsed/>
    <w:rsid w:val="00D77E7C"/>
    <w:pPr>
      <w:tabs>
        <w:tab w:val="center" w:pos="4680"/>
        <w:tab w:val="right" w:pos="9360"/>
      </w:tabs>
    </w:pPr>
  </w:style>
  <w:style w:type="character" w:customStyle="1" w:styleId="FooterChar">
    <w:name w:val="Footer Char"/>
    <w:basedOn w:val="DefaultParagraphFont"/>
    <w:link w:val="Footer"/>
    <w:uiPriority w:val="99"/>
    <w:rsid w:val="00D77E7C"/>
  </w:style>
  <w:style w:type="character" w:styleId="PageNumber">
    <w:name w:val="page number"/>
    <w:basedOn w:val="DefaultParagraphFont"/>
    <w:uiPriority w:val="99"/>
    <w:semiHidden/>
    <w:unhideWhenUsed/>
    <w:rsid w:val="00D77E7C"/>
  </w:style>
  <w:style w:type="paragraph" w:styleId="Revision">
    <w:name w:val="Revision"/>
    <w:hidden/>
    <w:uiPriority w:val="99"/>
    <w:semiHidden/>
    <w:rsid w:val="00CD481A"/>
  </w:style>
  <w:style w:type="paragraph" w:styleId="FootnoteText">
    <w:name w:val="footnote text"/>
    <w:basedOn w:val="Normal"/>
    <w:link w:val="FootnoteTextChar"/>
    <w:uiPriority w:val="99"/>
    <w:semiHidden/>
    <w:unhideWhenUsed/>
    <w:rsid w:val="00C801C5"/>
    <w:rPr>
      <w:rFonts w:asciiTheme="minorHAnsi" w:eastAsiaTheme="minorEastAsia" w:hAnsiTheme="minorHAnsi" w:cstheme="minorBidi"/>
      <w:kern w:val="2"/>
      <w:sz w:val="20"/>
      <w:szCs w:val="20"/>
      <w:lang w:eastAsia="zh-CN"/>
      <w14:ligatures w14:val="standardContextual"/>
    </w:rPr>
  </w:style>
  <w:style w:type="character" w:customStyle="1" w:styleId="FootnoteTextChar">
    <w:name w:val="Footnote Text Char"/>
    <w:basedOn w:val="DefaultParagraphFont"/>
    <w:link w:val="FootnoteText"/>
    <w:uiPriority w:val="99"/>
    <w:semiHidden/>
    <w:rsid w:val="00C801C5"/>
    <w:rPr>
      <w:rFonts w:asciiTheme="minorHAnsi" w:eastAsiaTheme="minorEastAsia" w:hAnsiTheme="minorHAnsi" w:cstheme="minorBidi"/>
      <w:kern w:val="2"/>
      <w:sz w:val="20"/>
      <w:szCs w:val="20"/>
      <w:lang w:eastAsia="zh-CN"/>
      <w14:ligatures w14:val="standardContextual"/>
    </w:rPr>
  </w:style>
  <w:style w:type="character" w:styleId="FootnoteReference">
    <w:name w:val="footnote reference"/>
    <w:basedOn w:val="DefaultParagraphFont"/>
    <w:uiPriority w:val="99"/>
    <w:semiHidden/>
    <w:unhideWhenUsed/>
    <w:rsid w:val="00C801C5"/>
    <w:rPr>
      <w:vertAlign w:val="superscript"/>
    </w:rPr>
  </w:style>
  <w:style w:type="character" w:styleId="FollowedHyperlink">
    <w:name w:val="FollowedHyperlink"/>
    <w:basedOn w:val="DefaultParagraphFont"/>
    <w:uiPriority w:val="99"/>
    <w:semiHidden/>
    <w:unhideWhenUsed/>
    <w:rsid w:val="00AA1A39"/>
    <w:rPr>
      <w:color w:val="954F72" w:themeColor="followedHyperlink"/>
      <w:u w:val="single"/>
    </w:rPr>
  </w:style>
  <w:style w:type="character" w:customStyle="1" w:styleId="m-1118084571331499104spelle">
    <w:name w:val="m_-1118084571331499104spelle"/>
    <w:basedOn w:val="DefaultParagraphFont"/>
    <w:rsid w:val="000820EB"/>
  </w:style>
  <w:style w:type="character" w:styleId="LineNumber">
    <w:name w:val="line number"/>
    <w:basedOn w:val="DefaultParagraphFont"/>
    <w:uiPriority w:val="99"/>
    <w:semiHidden/>
    <w:unhideWhenUsed/>
    <w:rsid w:val="00FF3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27919">
      <w:bodyDiv w:val="1"/>
      <w:marLeft w:val="0"/>
      <w:marRight w:val="0"/>
      <w:marTop w:val="0"/>
      <w:marBottom w:val="0"/>
      <w:divBdr>
        <w:top w:val="none" w:sz="0" w:space="0" w:color="auto"/>
        <w:left w:val="none" w:sz="0" w:space="0" w:color="auto"/>
        <w:bottom w:val="none" w:sz="0" w:space="0" w:color="auto"/>
        <w:right w:val="none" w:sz="0" w:space="0" w:color="auto"/>
      </w:divBdr>
      <w:divsChild>
        <w:div w:id="190265435">
          <w:marLeft w:val="0"/>
          <w:marRight w:val="0"/>
          <w:marTop w:val="0"/>
          <w:marBottom w:val="0"/>
          <w:divBdr>
            <w:top w:val="none" w:sz="0" w:space="0" w:color="auto"/>
            <w:left w:val="none" w:sz="0" w:space="0" w:color="auto"/>
            <w:bottom w:val="none" w:sz="0" w:space="0" w:color="auto"/>
            <w:right w:val="none" w:sz="0" w:space="0" w:color="auto"/>
          </w:divBdr>
          <w:divsChild>
            <w:div w:id="2108840913">
              <w:marLeft w:val="0"/>
              <w:marRight w:val="0"/>
              <w:marTop w:val="0"/>
              <w:marBottom w:val="0"/>
              <w:divBdr>
                <w:top w:val="none" w:sz="0" w:space="0" w:color="auto"/>
                <w:left w:val="none" w:sz="0" w:space="0" w:color="auto"/>
                <w:bottom w:val="none" w:sz="0" w:space="0" w:color="auto"/>
                <w:right w:val="none" w:sz="0" w:space="0" w:color="auto"/>
              </w:divBdr>
              <w:divsChild>
                <w:div w:id="5410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7899">
      <w:bodyDiv w:val="1"/>
      <w:marLeft w:val="0"/>
      <w:marRight w:val="0"/>
      <w:marTop w:val="0"/>
      <w:marBottom w:val="0"/>
      <w:divBdr>
        <w:top w:val="none" w:sz="0" w:space="0" w:color="auto"/>
        <w:left w:val="none" w:sz="0" w:space="0" w:color="auto"/>
        <w:bottom w:val="none" w:sz="0" w:space="0" w:color="auto"/>
        <w:right w:val="none" w:sz="0" w:space="0" w:color="auto"/>
      </w:divBdr>
    </w:div>
    <w:div w:id="540244437">
      <w:bodyDiv w:val="1"/>
      <w:marLeft w:val="0"/>
      <w:marRight w:val="0"/>
      <w:marTop w:val="0"/>
      <w:marBottom w:val="0"/>
      <w:divBdr>
        <w:top w:val="none" w:sz="0" w:space="0" w:color="auto"/>
        <w:left w:val="none" w:sz="0" w:space="0" w:color="auto"/>
        <w:bottom w:val="none" w:sz="0" w:space="0" w:color="auto"/>
        <w:right w:val="none" w:sz="0" w:space="0" w:color="auto"/>
      </w:divBdr>
    </w:div>
    <w:div w:id="574243320">
      <w:bodyDiv w:val="1"/>
      <w:marLeft w:val="0"/>
      <w:marRight w:val="0"/>
      <w:marTop w:val="0"/>
      <w:marBottom w:val="0"/>
      <w:divBdr>
        <w:top w:val="none" w:sz="0" w:space="0" w:color="auto"/>
        <w:left w:val="none" w:sz="0" w:space="0" w:color="auto"/>
        <w:bottom w:val="none" w:sz="0" w:space="0" w:color="auto"/>
        <w:right w:val="none" w:sz="0" w:space="0" w:color="auto"/>
      </w:divBdr>
    </w:div>
    <w:div w:id="631789107">
      <w:bodyDiv w:val="1"/>
      <w:marLeft w:val="0"/>
      <w:marRight w:val="0"/>
      <w:marTop w:val="0"/>
      <w:marBottom w:val="0"/>
      <w:divBdr>
        <w:top w:val="none" w:sz="0" w:space="0" w:color="auto"/>
        <w:left w:val="none" w:sz="0" w:space="0" w:color="auto"/>
        <w:bottom w:val="none" w:sz="0" w:space="0" w:color="auto"/>
        <w:right w:val="none" w:sz="0" w:space="0" w:color="auto"/>
      </w:divBdr>
      <w:divsChild>
        <w:div w:id="431514422">
          <w:marLeft w:val="0"/>
          <w:marRight w:val="0"/>
          <w:marTop w:val="0"/>
          <w:marBottom w:val="0"/>
          <w:divBdr>
            <w:top w:val="none" w:sz="0" w:space="0" w:color="auto"/>
            <w:left w:val="none" w:sz="0" w:space="0" w:color="auto"/>
            <w:bottom w:val="none" w:sz="0" w:space="0" w:color="auto"/>
            <w:right w:val="none" w:sz="0" w:space="0" w:color="auto"/>
          </w:divBdr>
          <w:divsChild>
            <w:div w:id="1305699769">
              <w:marLeft w:val="0"/>
              <w:marRight w:val="0"/>
              <w:marTop w:val="0"/>
              <w:marBottom w:val="0"/>
              <w:divBdr>
                <w:top w:val="none" w:sz="0" w:space="0" w:color="auto"/>
                <w:left w:val="none" w:sz="0" w:space="0" w:color="auto"/>
                <w:bottom w:val="none" w:sz="0" w:space="0" w:color="auto"/>
                <w:right w:val="none" w:sz="0" w:space="0" w:color="auto"/>
              </w:divBdr>
              <w:divsChild>
                <w:div w:id="573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3913">
      <w:bodyDiv w:val="1"/>
      <w:marLeft w:val="0"/>
      <w:marRight w:val="0"/>
      <w:marTop w:val="0"/>
      <w:marBottom w:val="0"/>
      <w:divBdr>
        <w:top w:val="none" w:sz="0" w:space="0" w:color="auto"/>
        <w:left w:val="none" w:sz="0" w:space="0" w:color="auto"/>
        <w:bottom w:val="none" w:sz="0" w:space="0" w:color="auto"/>
        <w:right w:val="none" w:sz="0" w:space="0" w:color="auto"/>
      </w:divBdr>
    </w:div>
    <w:div w:id="875970632">
      <w:bodyDiv w:val="1"/>
      <w:marLeft w:val="0"/>
      <w:marRight w:val="0"/>
      <w:marTop w:val="0"/>
      <w:marBottom w:val="0"/>
      <w:divBdr>
        <w:top w:val="none" w:sz="0" w:space="0" w:color="auto"/>
        <w:left w:val="none" w:sz="0" w:space="0" w:color="auto"/>
        <w:bottom w:val="none" w:sz="0" w:space="0" w:color="auto"/>
        <w:right w:val="none" w:sz="0" w:space="0" w:color="auto"/>
      </w:divBdr>
    </w:div>
    <w:div w:id="957762715">
      <w:bodyDiv w:val="1"/>
      <w:marLeft w:val="0"/>
      <w:marRight w:val="0"/>
      <w:marTop w:val="0"/>
      <w:marBottom w:val="0"/>
      <w:divBdr>
        <w:top w:val="none" w:sz="0" w:space="0" w:color="auto"/>
        <w:left w:val="none" w:sz="0" w:space="0" w:color="auto"/>
        <w:bottom w:val="none" w:sz="0" w:space="0" w:color="auto"/>
        <w:right w:val="none" w:sz="0" w:space="0" w:color="auto"/>
      </w:divBdr>
    </w:div>
    <w:div w:id="965353774">
      <w:bodyDiv w:val="1"/>
      <w:marLeft w:val="0"/>
      <w:marRight w:val="0"/>
      <w:marTop w:val="0"/>
      <w:marBottom w:val="0"/>
      <w:divBdr>
        <w:top w:val="none" w:sz="0" w:space="0" w:color="auto"/>
        <w:left w:val="none" w:sz="0" w:space="0" w:color="auto"/>
        <w:bottom w:val="none" w:sz="0" w:space="0" w:color="auto"/>
        <w:right w:val="none" w:sz="0" w:space="0" w:color="auto"/>
      </w:divBdr>
      <w:divsChild>
        <w:div w:id="959992022">
          <w:marLeft w:val="0"/>
          <w:marRight w:val="0"/>
          <w:marTop w:val="0"/>
          <w:marBottom w:val="0"/>
          <w:divBdr>
            <w:top w:val="none" w:sz="0" w:space="0" w:color="auto"/>
            <w:left w:val="none" w:sz="0" w:space="0" w:color="auto"/>
            <w:bottom w:val="none" w:sz="0" w:space="0" w:color="auto"/>
            <w:right w:val="none" w:sz="0" w:space="0" w:color="auto"/>
          </w:divBdr>
          <w:divsChild>
            <w:div w:id="1382899140">
              <w:marLeft w:val="0"/>
              <w:marRight w:val="0"/>
              <w:marTop w:val="0"/>
              <w:marBottom w:val="0"/>
              <w:divBdr>
                <w:top w:val="none" w:sz="0" w:space="0" w:color="auto"/>
                <w:left w:val="none" w:sz="0" w:space="0" w:color="auto"/>
                <w:bottom w:val="none" w:sz="0" w:space="0" w:color="auto"/>
                <w:right w:val="none" w:sz="0" w:space="0" w:color="auto"/>
              </w:divBdr>
              <w:divsChild>
                <w:div w:id="812137265">
                  <w:marLeft w:val="0"/>
                  <w:marRight w:val="0"/>
                  <w:marTop w:val="0"/>
                  <w:marBottom w:val="0"/>
                  <w:divBdr>
                    <w:top w:val="none" w:sz="0" w:space="0" w:color="auto"/>
                    <w:left w:val="none" w:sz="0" w:space="0" w:color="auto"/>
                    <w:bottom w:val="none" w:sz="0" w:space="0" w:color="auto"/>
                    <w:right w:val="none" w:sz="0" w:space="0" w:color="auto"/>
                  </w:divBdr>
                  <w:divsChild>
                    <w:div w:id="5094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658087">
      <w:bodyDiv w:val="1"/>
      <w:marLeft w:val="0"/>
      <w:marRight w:val="0"/>
      <w:marTop w:val="0"/>
      <w:marBottom w:val="0"/>
      <w:divBdr>
        <w:top w:val="none" w:sz="0" w:space="0" w:color="auto"/>
        <w:left w:val="none" w:sz="0" w:space="0" w:color="auto"/>
        <w:bottom w:val="none" w:sz="0" w:space="0" w:color="auto"/>
        <w:right w:val="none" w:sz="0" w:space="0" w:color="auto"/>
      </w:divBdr>
      <w:divsChild>
        <w:div w:id="1811626804">
          <w:marLeft w:val="0"/>
          <w:marRight w:val="0"/>
          <w:marTop w:val="0"/>
          <w:marBottom w:val="0"/>
          <w:divBdr>
            <w:top w:val="none" w:sz="0" w:space="0" w:color="auto"/>
            <w:left w:val="none" w:sz="0" w:space="0" w:color="auto"/>
            <w:bottom w:val="none" w:sz="0" w:space="0" w:color="auto"/>
            <w:right w:val="none" w:sz="0" w:space="0" w:color="auto"/>
          </w:divBdr>
          <w:divsChild>
            <w:div w:id="1356884221">
              <w:marLeft w:val="0"/>
              <w:marRight w:val="0"/>
              <w:marTop w:val="0"/>
              <w:marBottom w:val="0"/>
              <w:divBdr>
                <w:top w:val="none" w:sz="0" w:space="0" w:color="auto"/>
                <w:left w:val="none" w:sz="0" w:space="0" w:color="auto"/>
                <w:bottom w:val="none" w:sz="0" w:space="0" w:color="auto"/>
                <w:right w:val="none" w:sz="0" w:space="0" w:color="auto"/>
              </w:divBdr>
              <w:divsChild>
                <w:div w:id="1308315152">
                  <w:marLeft w:val="0"/>
                  <w:marRight w:val="0"/>
                  <w:marTop w:val="0"/>
                  <w:marBottom w:val="0"/>
                  <w:divBdr>
                    <w:top w:val="none" w:sz="0" w:space="0" w:color="auto"/>
                    <w:left w:val="none" w:sz="0" w:space="0" w:color="auto"/>
                    <w:bottom w:val="none" w:sz="0" w:space="0" w:color="auto"/>
                    <w:right w:val="none" w:sz="0" w:space="0" w:color="auto"/>
                  </w:divBdr>
                  <w:divsChild>
                    <w:div w:id="14616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35527">
      <w:bodyDiv w:val="1"/>
      <w:marLeft w:val="0"/>
      <w:marRight w:val="0"/>
      <w:marTop w:val="0"/>
      <w:marBottom w:val="0"/>
      <w:divBdr>
        <w:top w:val="none" w:sz="0" w:space="0" w:color="auto"/>
        <w:left w:val="none" w:sz="0" w:space="0" w:color="auto"/>
        <w:bottom w:val="none" w:sz="0" w:space="0" w:color="auto"/>
        <w:right w:val="none" w:sz="0" w:space="0" w:color="auto"/>
      </w:divBdr>
      <w:divsChild>
        <w:div w:id="1906377036">
          <w:marLeft w:val="0"/>
          <w:marRight w:val="0"/>
          <w:marTop w:val="0"/>
          <w:marBottom w:val="0"/>
          <w:divBdr>
            <w:top w:val="none" w:sz="0" w:space="0" w:color="auto"/>
            <w:left w:val="none" w:sz="0" w:space="0" w:color="auto"/>
            <w:bottom w:val="none" w:sz="0" w:space="0" w:color="auto"/>
            <w:right w:val="none" w:sz="0" w:space="0" w:color="auto"/>
          </w:divBdr>
          <w:divsChild>
            <w:div w:id="658657162">
              <w:marLeft w:val="0"/>
              <w:marRight w:val="0"/>
              <w:marTop w:val="0"/>
              <w:marBottom w:val="0"/>
              <w:divBdr>
                <w:top w:val="none" w:sz="0" w:space="0" w:color="auto"/>
                <w:left w:val="none" w:sz="0" w:space="0" w:color="auto"/>
                <w:bottom w:val="none" w:sz="0" w:space="0" w:color="auto"/>
                <w:right w:val="none" w:sz="0" w:space="0" w:color="auto"/>
              </w:divBdr>
              <w:divsChild>
                <w:div w:id="2054310291">
                  <w:marLeft w:val="0"/>
                  <w:marRight w:val="0"/>
                  <w:marTop w:val="0"/>
                  <w:marBottom w:val="0"/>
                  <w:divBdr>
                    <w:top w:val="none" w:sz="0" w:space="0" w:color="auto"/>
                    <w:left w:val="none" w:sz="0" w:space="0" w:color="auto"/>
                    <w:bottom w:val="none" w:sz="0" w:space="0" w:color="auto"/>
                    <w:right w:val="none" w:sz="0" w:space="0" w:color="auto"/>
                  </w:divBdr>
                  <w:divsChild>
                    <w:div w:id="16882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1104">
      <w:bodyDiv w:val="1"/>
      <w:marLeft w:val="0"/>
      <w:marRight w:val="0"/>
      <w:marTop w:val="0"/>
      <w:marBottom w:val="0"/>
      <w:divBdr>
        <w:top w:val="none" w:sz="0" w:space="0" w:color="auto"/>
        <w:left w:val="none" w:sz="0" w:space="0" w:color="auto"/>
        <w:bottom w:val="none" w:sz="0" w:space="0" w:color="auto"/>
        <w:right w:val="none" w:sz="0" w:space="0" w:color="auto"/>
      </w:divBdr>
    </w:div>
    <w:div w:id="1669406519">
      <w:bodyDiv w:val="1"/>
      <w:marLeft w:val="0"/>
      <w:marRight w:val="0"/>
      <w:marTop w:val="0"/>
      <w:marBottom w:val="0"/>
      <w:divBdr>
        <w:top w:val="none" w:sz="0" w:space="0" w:color="auto"/>
        <w:left w:val="none" w:sz="0" w:space="0" w:color="auto"/>
        <w:bottom w:val="none" w:sz="0" w:space="0" w:color="auto"/>
        <w:right w:val="none" w:sz="0" w:space="0" w:color="auto"/>
      </w:divBdr>
    </w:div>
    <w:div w:id="1953710580">
      <w:bodyDiv w:val="1"/>
      <w:marLeft w:val="0"/>
      <w:marRight w:val="0"/>
      <w:marTop w:val="0"/>
      <w:marBottom w:val="0"/>
      <w:divBdr>
        <w:top w:val="none" w:sz="0" w:space="0" w:color="auto"/>
        <w:left w:val="none" w:sz="0" w:space="0" w:color="auto"/>
        <w:bottom w:val="none" w:sz="0" w:space="0" w:color="auto"/>
        <w:right w:val="none" w:sz="0" w:space="0" w:color="auto"/>
      </w:divBdr>
      <w:divsChild>
        <w:div w:id="472717764">
          <w:marLeft w:val="0"/>
          <w:marRight w:val="0"/>
          <w:marTop w:val="0"/>
          <w:marBottom w:val="0"/>
          <w:divBdr>
            <w:top w:val="none" w:sz="0" w:space="0" w:color="auto"/>
            <w:left w:val="none" w:sz="0" w:space="0" w:color="auto"/>
            <w:bottom w:val="none" w:sz="0" w:space="0" w:color="auto"/>
            <w:right w:val="none" w:sz="0" w:space="0" w:color="auto"/>
          </w:divBdr>
          <w:divsChild>
            <w:div w:id="1567111506">
              <w:marLeft w:val="0"/>
              <w:marRight w:val="0"/>
              <w:marTop w:val="0"/>
              <w:marBottom w:val="0"/>
              <w:divBdr>
                <w:top w:val="none" w:sz="0" w:space="0" w:color="auto"/>
                <w:left w:val="none" w:sz="0" w:space="0" w:color="auto"/>
                <w:bottom w:val="none" w:sz="0" w:space="0" w:color="auto"/>
                <w:right w:val="none" w:sz="0" w:space="0" w:color="auto"/>
              </w:divBdr>
              <w:divsChild>
                <w:div w:id="758912768">
                  <w:marLeft w:val="0"/>
                  <w:marRight w:val="0"/>
                  <w:marTop w:val="0"/>
                  <w:marBottom w:val="0"/>
                  <w:divBdr>
                    <w:top w:val="none" w:sz="0" w:space="0" w:color="auto"/>
                    <w:left w:val="none" w:sz="0" w:space="0" w:color="auto"/>
                    <w:bottom w:val="none" w:sz="0" w:space="0" w:color="auto"/>
                    <w:right w:val="none" w:sz="0" w:space="0" w:color="auto"/>
                  </w:divBdr>
                  <w:divsChild>
                    <w:div w:id="3178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amanan@onehealthtrust.org" TargetMode="External"/><Relationship Id="rId4" Type="http://schemas.openxmlformats.org/officeDocument/2006/relationships/styles" Target="styles.xml"/><Relationship Id="rId9" Type="http://schemas.openxmlformats.org/officeDocument/2006/relationships/hyperlink" Target="mailto:iruka.n.okek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9ZhcYlmCa8GBcp5yuMC+UZmOsg==">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</go:docsCustomData>
</go:gDocsCustomXmlDataStorage>
</file>

<file path=customXml/itemProps1.xml><?xml version="1.0" encoding="utf-8"?>
<ds:datastoreItem xmlns:ds="http://schemas.openxmlformats.org/officeDocument/2006/customXml" ds:itemID="{C4CB2E4F-0F44-DB4C-83B9-D857A6C186C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f7e4b4e-9fe2-4485-a2f7-99690d1a8404}" enabled="0" method="" siteId="{ff7e4b4e-9fe2-4485-a2f7-99690d1a8404}"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31</Pages>
  <Words>15906</Words>
  <Characters>90669</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Iruka Okeke</dc:creator>
  <cp:keywords/>
  <dc:description/>
  <cp:lastModifiedBy>Isabella Impalli</cp:lastModifiedBy>
  <cp:revision>27</cp:revision>
  <dcterms:created xsi:type="dcterms:W3CDTF">2024-04-03T15:50:00Z</dcterms:created>
  <dcterms:modified xsi:type="dcterms:W3CDTF">2024-04-03T16:18:00Z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id="hMezr77y"/&gt;&lt;style id="http://www.zotero.org/styles/the-lancet" hasBibliography="1" bibliographyStyleHasBeenSet="1"/&gt;&lt;prefs&gt;&lt;pref name="fieldType" value="Field"/&gt;&lt;pref name="dontAskDelayCitationUp</vt:lpwstr>
  </property>
  <property fmtid="{D5CDD505-2E9C-101B-9397-08002B2CF9AE}" pid="3" name="ZOTERO_PREF_2">
    <vt:lpwstr>dates" value="true"/&gt;&lt;/prefs&gt;&lt;/data&gt;</vt:lpwstr>
  </property>
</Properties>
</file>