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sz w:val="20"/>
          <w:szCs w:val="20"/>
        </w:rPr>
      </w:pPr>
      <w:r>
        <w:rPr>
          <w:rFonts w:cs="Times New Roman" w:ascii="Times New Roman" w:hAnsi="Times New Roman"/>
          <w:b/>
          <w:sz w:val="20"/>
          <w:szCs w:val="20"/>
        </w:rPr>
        <w:t>Table 1:</w:t>
      </w:r>
      <w:r>
        <w:rPr>
          <w:rFonts w:cs="Times New Roman" w:ascii="Times New Roman" w:hAnsi="Times New Roman"/>
          <w:sz w:val="20"/>
          <w:szCs w:val="20"/>
        </w:rPr>
        <w:t xml:space="preserve"> Categorisation of healthy eating education components using behaviour change technique taxonomy</w:t>
      </w:r>
    </w:p>
    <w:tbl>
      <w:tblPr>
        <w:tblStyle w:val="TableGrid"/>
        <w:tblW w:w="129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2976"/>
        <w:gridCol w:w="2694"/>
        <w:gridCol w:w="1983"/>
        <w:gridCol w:w="3175"/>
      </w:tblGrid>
      <w:tr>
        <w:trPr/>
        <w:tc>
          <w:tcPr>
            <w:tcW w:w="2122"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Author, year</w:t>
            </w:r>
          </w:p>
        </w:tc>
        <w:tc>
          <w:tcPr>
            <w:tcW w:w="2976" w:type="dxa"/>
            <w:tcBorders/>
          </w:tcPr>
          <w:p>
            <w:pPr>
              <w:pStyle w:val="Normal"/>
              <w:widowControl/>
              <w:spacing w:lineRule="auto" w:line="240" w:before="0" w:after="0"/>
              <w:jc w:val="left"/>
              <w:rPr>
                <w:rFonts w:ascii="Times New Roman" w:hAnsi="Times New Roman" w:cs="Times New Roman"/>
                <w:b/>
                <w:sz w:val="20"/>
                <w:szCs w:val="20"/>
                <w:vertAlign w:val="superscript"/>
              </w:rPr>
            </w:pPr>
            <w:r>
              <w:rPr>
                <w:rFonts w:eastAsia="Calibri" w:cs="Times New Roman" w:ascii="Times New Roman" w:hAnsi="Times New Roman"/>
                <w:b/>
                <w:kern w:val="0"/>
                <w:sz w:val="20"/>
                <w:szCs w:val="20"/>
                <w:lang w:val="en-US" w:eastAsia="en-US" w:bidi="ar-SA"/>
              </w:rPr>
              <w:t xml:space="preserve">Feedback and monitoring: </w:t>
            </w:r>
            <w:r>
              <w:rPr>
                <w:rFonts w:eastAsia="Calibri" w:cs="Times New Roman" w:ascii="Times New Roman" w:hAnsi="Times New Roman"/>
                <w:kern w:val="0"/>
                <w:sz w:val="20"/>
                <w:szCs w:val="20"/>
                <w:lang w:val="en-US" w:eastAsia="en-US" w:bidi="ar-SA"/>
              </w:rPr>
              <w:t>tracking healthy eating include digital and non-digital methods, using self-assessment and external monitoring</w:t>
            </w:r>
            <w:r>
              <w:rPr>
                <w:rFonts w:eastAsia="Calibri" w:cs="Times New Roman" w:ascii="Times New Roman" w:hAnsi="Times New Roman"/>
                <w:kern w:val="0"/>
                <w:sz w:val="20"/>
                <w:szCs w:val="20"/>
                <w:vertAlign w:val="superscript"/>
                <w:lang w:val="en-US" w:eastAsia="en-US" w:bidi="ar-SA"/>
              </w:rPr>
              <w:t>a</w:t>
            </w:r>
          </w:p>
        </w:tc>
        <w:tc>
          <w:tcPr>
            <w:tcW w:w="2694" w:type="dxa"/>
            <w:tcBorders/>
          </w:tcPr>
          <w:p>
            <w:pPr>
              <w:pStyle w:val="Normal"/>
              <w:widowControl/>
              <w:spacing w:lineRule="auto" w:line="240" w:before="0" w:after="0"/>
              <w:jc w:val="left"/>
              <w:rPr>
                <w:rFonts w:ascii="Times New Roman" w:hAnsi="Times New Roman" w:cs="Times New Roman"/>
                <w:b/>
                <w:sz w:val="20"/>
                <w:szCs w:val="20"/>
                <w:vertAlign w:val="superscript"/>
              </w:rPr>
            </w:pPr>
            <w:r>
              <w:rPr>
                <w:rFonts w:eastAsia="Calibri" w:cs="Times New Roman" w:ascii="Times New Roman" w:hAnsi="Times New Roman"/>
                <w:b/>
                <w:kern w:val="0"/>
                <w:sz w:val="20"/>
                <w:szCs w:val="20"/>
                <w:lang w:val="en-US" w:eastAsia="en-US" w:bidi="ar-SA"/>
              </w:rPr>
              <w:t xml:space="preserve">Shaping knowledge: </w:t>
            </w:r>
            <w:r>
              <w:rPr>
                <w:rFonts w:eastAsia="Calibri" w:cs="Times New Roman" w:ascii="Times New Roman" w:hAnsi="Times New Roman"/>
                <w:kern w:val="0"/>
                <w:sz w:val="20"/>
                <w:szCs w:val="20"/>
                <w:lang w:val="en-US" w:eastAsia="en-US" w:bidi="ar-SA"/>
              </w:rPr>
              <w:t>instructions and experiments to teach and reinforce the adoption and maintenance of healthy eating behaviours</w:t>
            </w:r>
            <w:r>
              <w:rPr>
                <w:rFonts w:eastAsia="Calibri" w:cs="Times New Roman" w:ascii="Times New Roman" w:hAnsi="Times New Roman"/>
                <w:kern w:val="0"/>
                <w:sz w:val="20"/>
                <w:szCs w:val="20"/>
                <w:vertAlign w:val="superscript"/>
                <w:lang w:val="en-US" w:eastAsia="en-US" w:bidi="ar-SA"/>
              </w:rPr>
              <w:t>b</w:t>
            </w:r>
          </w:p>
        </w:tc>
        <w:tc>
          <w:tcPr>
            <w:tcW w:w="1983" w:type="dxa"/>
            <w:tcBorders/>
          </w:tcPr>
          <w:p>
            <w:pPr>
              <w:pStyle w:val="Normal"/>
              <w:widowControl/>
              <w:spacing w:lineRule="auto" w:line="240" w:before="0" w:after="0"/>
              <w:jc w:val="left"/>
              <w:rPr>
                <w:rFonts w:ascii="Times New Roman" w:hAnsi="Times New Roman" w:cs="Times New Roman"/>
                <w:b/>
                <w:sz w:val="20"/>
                <w:szCs w:val="20"/>
                <w:vertAlign w:val="superscript"/>
              </w:rPr>
            </w:pPr>
            <w:r>
              <w:rPr>
                <w:rFonts w:eastAsia="Calibri" w:cs="Times New Roman" w:ascii="Times New Roman" w:hAnsi="Times New Roman"/>
                <w:b/>
                <w:kern w:val="0"/>
                <w:sz w:val="20"/>
                <w:szCs w:val="20"/>
                <w:lang w:val="en-US" w:eastAsia="en-US" w:bidi="ar-SA"/>
              </w:rPr>
              <w:t xml:space="preserve">Associations: </w:t>
            </w:r>
            <w:r>
              <w:rPr>
                <w:rFonts w:eastAsia="Calibri" w:cs="Times New Roman" w:ascii="Times New Roman" w:hAnsi="Times New Roman"/>
                <w:kern w:val="0"/>
                <w:sz w:val="20"/>
                <w:szCs w:val="20"/>
                <w:lang w:val="en-US" w:eastAsia="en-US" w:bidi="ar-SA"/>
              </w:rPr>
              <w:t>introducing stimuli with the purpose of cueing healthy eating behaviour</w:t>
            </w:r>
            <w:r>
              <w:rPr>
                <w:rFonts w:eastAsia="Calibri" w:cs="Times New Roman" w:ascii="Times New Roman" w:hAnsi="Times New Roman"/>
                <w:kern w:val="0"/>
                <w:sz w:val="20"/>
                <w:szCs w:val="20"/>
                <w:vertAlign w:val="superscript"/>
                <w:lang w:val="en-US" w:eastAsia="en-US" w:bidi="ar-SA"/>
              </w:rPr>
              <w:t>c</w:t>
            </w:r>
          </w:p>
        </w:tc>
        <w:tc>
          <w:tcPr>
            <w:tcW w:w="3175"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Effectiveness, methodogical quality</w:t>
            </w:r>
          </w:p>
        </w:tc>
      </w:tr>
      <w:tr>
        <w:trPr/>
        <w:tc>
          <w:tcPr>
            <w:tcW w:w="2122"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Alcântara 2018 (26)</w:t>
            </w:r>
          </w:p>
        </w:tc>
        <w:tc>
          <w:tcPr>
            <w:tcW w:w="2976"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r>
          </w:p>
        </w:tc>
        <w:tc>
          <w:tcPr>
            <w:tcW w:w="2694"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1983"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3175"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Likely effective; low quality</w:t>
            </w:r>
          </w:p>
        </w:tc>
      </w:tr>
      <w:tr>
        <w:trPr/>
        <w:tc>
          <w:tcPr>
            <w:tcW w:w="2122"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Melo GRDA 2017 (38)</w:t>
            </w:r>
          </w:p>
        </w:tc>
        <w:tc>
          <w:tcPr>
            <w:tcW w:w="2976"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2694"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1983"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3175"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Likely effective; high quality</w:t>
            </w:r>
          </w:p>
        </w:tc>
      </w:tr>
      <w:tr>
        <w:trPr>
          <w:trHeight w:val="58" w:hRule="atLeast"/>
        </w:trPr>
        <w:tc>
          <w:tcPr>
            <w:tcW w:w="2122"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Tallon JM 2019 (30)</w:t>
            </w:r>
          </w:p>
        </w:tc>
        <w:tc>
          <w:tcPr>
            <w:tcW w:w="2976"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2694" w:type="dxa"/>
            <w:tcBorders/>
          </w:tcPr>
          <w:p>
            <w:pPr>
              <w:pStyle w:val="Normal"/>
              <w:widowControl/>
              <w:spacing w:lineRule="auto" w:line="240" w:before="0" w:after="0"/>
              <w:jc w:val="center"/>
              <w:rPr>
                <w:rFonts w:ascii="Times New Roman" w:hAnsi="Times New Roman" w:cs="Times New Roman"/>
                <w:sz w:val="20"/>
                <w:szCs w:val="20"/>
              </w:rPr>
            </w:pPr>
            <w:r>
              <w:rPr>
                <w:rFonts w:eastAsia="Wingdings" w:cs="Wingdings" w:ascii="Wingdings" w:hAnsi="Wingdings"/>
                <w:kern w:val="0"/>
                <w:sz w:val="20"/>
                <w:szCs w:val="20"/>
                <w:lang w:val="en-US" w:eastAsia="en-US" w:bidi="ar-SA"/>
              </w:rPr>
              <w:sym w:font="Wingdings" w:char="f0fc"/>
            </w:r>
          </w:p>
        </w:tc>
        <w:tc>
          <w:tcPr>
            <w:tcW w:w="1983"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r>
          </w:p>
        </w:tc>
        <w:tc>
          <w:tcPr>
            <w:tcW w:w="3175"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Likely effective; moderate quality</w:t>
            </w:r>
          </w:p>
        </w:tc>
      </w:tr>
    </w:tbl>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jc w:val="both"/>
        <w:rPr>
          <w:rFonts w:ascii="Times New Roman" w:hAnsi="Times New Roman" w:cs="Times New Roman"/>
          <w:b/>
          <w:sz w:val="20"/>
          <w:szCs w:val="20"/>
        </w:rPr>
      </w:pPr>
      <w:r>
        <w:rPr>
          <w:rFonts w:cs="Times New Roman" w:ascii="Times New Roman" w:hAnsi="Times New Roman"/>
          <w:b/>
          <w:sz w:val="20"/>
          <w:szCs w:val="20"/>
        </w:rPr>
        <w:t>Footnote:</w:t>
      </w:r>
      <w:r>
        <w:rPr>
          <w:rFonts w:cs="Times New Roman" w:ascii="Times New Roman" w:hAnsi="Times New Roman"/>
          <w:sz w:val="20"/>
          <w:szCs w:val="20"/>
        </w:rPr>
        <w:t xml:space="preserve"> a:</w:t>
      </w:r>
      <w:r>
        <w:rPr/>
        <w:t xml:space="preserve"> </w:t>
      </w:r>
      <w:r>
        <w:rPr>
          <w:rFonts w:cs="Times New Roman" w:ascii="Times New Roman" w:hAnsi="Times New Roman"/>
          <w:sz w:val="20"/>
          <w:szCs w:val="20"/>
        </w:rPr>
        <w:t>apps (to measure and monitor daily food intake), SMS-based diaries (sending timed text prompts for users to report food intake, enabling real-time tracking and feedback on eating behaviour); b: workshops, games, blogs; c: virtual canteen (digital simulation that mimics the experience of selecting and consuming meals in a canteen setting), SMS</w:t>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rPr>
          <w:rFonts w:ascii="Times New Roman" w:hAnsi="Times New Roman" w:cs="Times New Roman"/>
          <w:sz w:val="20"/>
          <w:szCs w:val="20"/>
        </w:rPr>
      </w:pPr>
      <w:r>
        <w:rPr>
          <w:rFonts w:cs="Times New Roman" w:ascii="Times New Roman" w:hAnsi="Times New Roman"/>
          <w:b/>
          <w:sz w:val="20"/>
          <w:szCs w:val="20"/>
        </w:rPr>
        <w:t>Table 2</w:t>
      </w:r>
      <w:r>
        <w:rPr>
          <w:rFonts w:cs="Times New Roman" w:ascii="Times New Roman" w:hAnsi="Times New Roman"/>
          <w:sz w:val="20"/>
          <w:szCs w:val="20"/>
        </w:rPr>
        <w:t xml:space="preserve"> Categorisation of multi-components using behaviour change technique taxonomy</w:t>
      </w:r>
    </w:p>
    <w:tbl>
      <w:tblPr>
        <w:tblStyle w:val="TableGrid"/>
        <w:tblW w:w="130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5"/>
        <w:gridCol w:w="1982"/>
        <w:gridCol w:w="1134"/>
        <w:gridCol w:w="1984"/>
        <w:gridCol w:w="1417"/>
        <w:gridCol w:w="1418"/>
        <w:gridCol w:w="1559"/>
        <w:gridCol w:w="2125"/>
      </w:tblGrid>
      <w:tr>
        <w:trPr/>
        <w:tc>
          <w:tcPr>
            <w:tcW w:w="1415"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Author, year</w:t>
            </w:r>
          </w:p>
        </w:tc>
        <w:tc>
          <w:tcPr>
            <w:tcW w:w="1982"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 xml:space="preserve">Feedback and monitoring: </w:t>
            </w:r>
            <w:r>
              <w:rPr>
                <w:rFonts w:eastAsia="Calibri" w:cs="Times New Roman" w:ascii="Times New Roman" w:hAnsi="Times New Roman"/>
                <w:kern w:val="0"/>
                <w:sz w:val="20"/>
                <w:szCs w:val="20"/>
                <w:lang w:val="en-US" w:eastAsia="en-US" w:bidi="ar-SA"/>
              </w:rPr>
              <w:t>tracking healthy eating include digital and non-digital methods, using self-assessment and external monitoring</w:t>
            </w:r>
            <w:r>
              <w:rPr>
                <w:rFonts w:eastAsia="Calibri" w:cs="Times New Roman" w:ascii="Times New Roman" w:hAnsi="Times New Roman"/>
                <w:kern w:val="0"/>
                <w:sz w:val="20"/>
                <w:szCs w:val="20"/>
                <w:vertAlign w:val="superscript"/>
                <w:lang w:val="en-US" w:eastAsia="en-US" w:bidi="ar-SA"/>
              </w:rPr>
              <w:t>a</w:t>
            </w:r>
          </w:p>
        </w:tc>
        <w:tc>
          <w:tcPr>
            <w:tcW w:w="1134" w:type="dxa"/>
            <w:tcBorders/>
          </w:tcPr>
          <w:p>
            <w:pPr>
              <w:pStyle w:val="Normal"/>
              <w:widowControl/>
              <w:spacing w:lineRule="auto" w:line="240" w:before="0" w:after="0"/>
              <w:jc w:val="left"/>
              <w:rPr>
                <w:rFonts w:ascii="Times New Roman" w:hAnsi="Times New Roman" w:cs="Times New Roman"/>
                <w:b/>
                <w:sz w:val="20"/>
                <w:szCs w:val="20"/>
                <w:vertAlign w:val="superscript"/>
              </w:rPr>
            </w:pPr>
            <w:r>
              <w:rPr>
                <w:rFonts w:eastAsia="Calibri" w:cs="Times New Roman" w:ascii="Times New Roman" w:hAnsi="Times New Roman"/>
                <w:b/>
                <w:kern w:val="0"/>
                <w:sz w:val="20"/>
                <w:szCs w:val="20"/>
                <w:lang w:val="en-US" w:eastAsia="en-US" w:bidi="ar-SA"/>
              </w:rPr>
              <w:t xml:space="preserve">Social support: </w:t>
            </w:r>
            <w:r>
              <w:rPr>
                <w:rFonts w:eastAsia="Calibri" w:cs="Times New Roman" w:ascii="Times New Roman" w:hAnsi="Times New Roman"/>
                <w:kern w:val="0"/>
                <w:sz w:val="20"/>
                <w:szCs w:val="20"/>
                <w:lang w:val="en-US" w:eastAsia="en-US" w:bidi="ar-SA"/>
              </w:rPr>
              <w:t>Peer support to encourage healthy eating</w:t>
            </w:r>
            <w:r>
              <w:rPr>
                <w:rFonts w:eastAsia="Calibri" w:cs="Times New Roman" w:ascii="Times New Roman" w:hAnsi="Times New Roman"/>
                <w:kern w:val="0"/>
                <w:sz w:val="20"/>
                <w:szCs w:val="20"/>
                <w:vertAlign w:val="superscript"/>
                <w:lang w:val="en-US" w:eastAsia="en-US" w:bidi="ar-SA"/>
              </w:rPr>
              <w:t>b</w:t>
            </w:r>
          </w:p>
        </w:tc>
        <w:tc>
          <w:tcPr>
            <w:tcW w:w="1984"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 xml:space="preserve">Shaping knowledge: </w:t>
            </w:r>
            <w:r>
              <w:rPr>
                <w:rFonts w:eastAsia="Calibri" w:cs="Times New Roman" w:ascii="Times New Roman" w:hAnsi="Times New Roman"/>
                <w:kern w:val="0"/>
                <w:sz w:val="20"/>
                <w:szCs w:val="20"/>
                <w:lang w:val="en-US" w:eastAsia="en-US" w:bidi="ar-SA"/>
              </w:rPr>
              <w:t>instructions and experiments to teach and reinforce the adoption and maintenance of healthy eating behaviours</w:t>
            </w:r>
            <w:r>
              <w:rPr>
                <w:rFonts w:eastAsia="Calibri" w:cs="Times New Roman" w:ascii="Times New Roman" w:hAnsi="Times New Roman"/>
                <w:kern w:val="0"/>
                <w:sz w:val="20"/>
                <w:szCs w:val="20"/>
                <w:vertAlign w:val="superscript"/>
                <w:lang w:val="en-US" w:eastAsia="en-US" w:bidi="ar-SA"/>
              </w:rPr>
              <w:t>c</w:t>
            </w:r>
          </w:p>
        </w:tc>
        <w:tc>
          <w:tcPr>
            <w:tcW w:w="1417"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 xml:space="preserve">Associations: </w:t>
            </w:r>
            <w:r>
              <w:rPr>
                <w:rFonts w:eastAsia="Calibri" w:cs="Times New Roman" w:ascii="Times New Roman" w:hAnsi="Times New Roman"/>
                <w:kern w:val="0"/>
                <w:sz w:val="20"/>
                <w:szCs w:val="20"/>
                <w:lang w:val="en-US" w:eastAsia="en-US" w:bidi="ar-SA"/>
              </w:rPr>
              <w:t>introducing stimuli with the purpose of cueing healthy eating behaviour</w:t>
            </w:r>
            <w:r>
              <w:rPr>
                <w:rFonts w:eastAsia="Calibri" w:cs="Times New Roman" w:ascii="Times New Roman" w:hAnsi="Times New Roman"/>
                <w:kern w:val="0"/>
                <w:sz w:val="20"/>
                <w:szCs w:val="20"/>
                <w:vertAlign w:val="superscript"/>
                <w:lang w:val="en-US" w:eastAsia="en-US" w:bidi="ar-SA"/>
              </w:rPr>
              <w:t>d</w:t>
            </w:r>
          </w:p>
        </w:tc>
        <w:tc>
          <w:tcPr>
            <w:tcW w:w="1418" w:type="dxa"/>
            <w:tcBorders/>
          </w:tcPr>
          <w:p>
            <w:pPr>
              <w:pStyle w:val="Normal"/>
              <w:widowControl/>
              <w:spacing w:lineRule="auto" w:line="240" w:before="0" w:after="0"/>
              <w:jc w:val="left"/>
              <w:rPr>
                <w:rFonts w:ascii="Times New Roman" w:hAnsi="Times New Roman" w:cs="Times New Roman"/>
                <w:b/>
                <w:sz w:val="20"/>
                <w:szCs w:val="20"/>
                <w:vertAlign w:val="superscript"/>
              </w:rPr>
            </w:pPr>
            <w:r>
              <w:rPr>
                <w:rFonts w:eastAsia="Calibri" w:cs="Times New Roman" w:ascii="Times New Roman" w:hAnsi="Times New Roman"/>
                <w:b/>
                <w:kern w:val="0"/>
                <w:sz w:val="20"/>
                <w:szCs w:val="20"/>
                <w:lang w:val="en-US" w:eastAsia="en-US" w:bidi="ar-SA"/>
              </w:rPr>
              <w:t>Rewards: r</w:t>
            </w:r>
            <w:r>
              <w:rPr>
                <w:rFonts w:eastAsia="Calibri" w:cs="Times New Roman" w:ascii="Times New Roman" w:hAnsi="Times New Roman"/>
                <w:kern w:val="0"/>
                <w:sz w:val="20"/>
                <w:szCs w:val="20"/>
                <w:lang w:val="en-US" w:eastAsia="en-US" w:bidi="ar-SA"/>
              </w:rPr>
              <w:t>ewards for purchasing healthy foods and maintaining healthy eating behaviour</w:t>
            </w:r>
            <w:r>
              <w:rPr>
                <w:rFonts w:eastAsia="Calibri" w:cs="Times New Roman" w:ascii="Times New Roman" w:hAnsi="Times New Roman"/>
                <w:kern w:val="0"/>
                <w:sz w:val="20"/>
                <w:szCs w:val="20"/>
                <w:vertAlign w:val="superscript"/>
                <w:lang w:val="en-US" w:eastAsia="en-US" w:bidi="ar-SA"/>
              </w:rPr>
              <w:t>e</w:t>
            </w:r>
          </w:p>
        </w:tc>
        <w:tc>
          <w:tcPr>
            <w:tcW w:w="1559"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Antecedents:</w:t>
            </w:r>
            <w:r>
              <w:rPr>
                <w:rFonts w:eastAsia="Calibri" w:cs=""/>
                <w:kern w:val="0"/>
                <w:sz w:val="22"/>
                <w:szCs w:val="22"/>
                <w:lang w:val="en-US" w:eastAsia="en-US" w:bidi="ar-SA"/>
              </w:rPr>
              <w:t xml:space="preserve"> </w:t>
            </w:r>
            <w:r>
              <w:rPr>
                <w:rFonts w:eastAsia="Calibri" w:cs="Times New Roman" w:ascii="Times New Roman" w:hAnsi="Times New Roman"/>
                <w:kern w:val="0"/>
                <w:sz w:val="20"/>
                <w:szCs w:val="20"/>
                <w:lang w:val="en-US" w:eastAsia="en-US" w:bidi="ar-SA"/>
              </w:rPr>
              <w:t>restructuring the physical and social environments in school to facilitate healthy eating behaviour</w:t>
            </w:r>
            <w:r>
              <w:rPr>
                <w:rFonts w:eastAsia="Calibri" w:cs="Times New Roman" w:ascii="Times New Roman" w:hAnsi="Times New Roman"/>
                <w:kern w:val="0"/>
                <w:sz w:val="20"/>
                <w:szCs w:val="20"/>
                <w:vertAlign w:val="superscript"/>
                <w:lang w:val="en-US" w:eastAsia="en-US" w:bidi="ar-SA"/>
              </w:rPr>
              <w:t>f</w:t>
            </w:r>
            <w:r>
              <w:rPr>
                <w:rFonts w:eastAsia="Calibri" w:cs="Times New Roman" w:ascii="Times New Roman" w:hAnsi="Times New Roman"/>
                <w:b/>
                <w:kern w:val="0"/>
                <w:sz w:val="20"/>
                <w:szCs w:val="20"/>
                <w:lang w:val="en-US" w:eastAsia="en-US" w:bidi="ar-SA"/>
              </w:rPr>
              <w:t xml:space="preserve"> </w:t>
            </w:r>
          </w:p>
        </w:tc>
        <w:tc>
          <w:tcPr>
            <w:tcW w:w="2125" w:type="dxa"/>
            <w:tcBorders/>
          </w:tcPr>
          <w:p>
            <w:pPr>
              <w:pStyle w:val="Normal"/>
              <w:widowControl/>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t>Effectiveness, methodogical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Bailey CJ 2019 (33)</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Calvert S 2019; (34)</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Champion KE 2019 (41)</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No conclusion,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Hackman 2014 (35)</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McHugh C 2020 (36)</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No conclusion;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Medeiros 2022 (42)</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Meiklejohn 2016 (37)</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No conclusion;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Nakabayashi J 2020 (39)</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moderate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Pierre CS 2021 (40)</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Likely effective;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Rose K 2021 (28)</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Likely effective;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Sa JD &amp; Lock K, 2008 (29)</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Shinde 2023 (27)</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Van 2010 (31)</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No conclusion; high quality</w:t>
            </w:r>
          </w:p>
        </w:tc>
      </w:tr>
      <w:tr>
        <w:trPr/>
        <w:tc>
          <w:tcPr>
            <w:tcW w:w="141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Vézina-Im 2017 (32)</w:t>
            </w:r>
          </w:p>
        </w:tc>
        <w:tc>
          <w:tcPr>
            <w:tcW w:w="1982"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13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984"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1417"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418"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b/>
                <w:sz w:val="20"/>
                <w:szCs w:val="20"/>
              </w:rPr>
            </w:pPr>
            <w:r>
              <w:rPr>
                <w:rFonts w:eastAsia="Wingdings" w:cs="Wingdings" w:ascii="Wingdings" w:hAnsi="Wingdings"/>
                <w:b/>
                <w:kern w:val="0"/>
                <w:sz w:val="20"/>
                <w:szCs w:val="20"/>
                <w:lang w:val="en-US" w:eastAsia="en-US" w:bidi="ar-SA"/>
              </w:rPr>
              <w:sym w:font="Wingdings" w:char="f0fc"/>
            </w:r>
          </w:p>
        </w:tc>
        <w:tc>
          <w:tcPr>
            <w:tcW w:w="2125" w:type="dxa"/>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en-US" w:eastAsia="en-US" w:bidi="ar-SA"/>
              </w:rPr>
              <w:t>Promising; high quality</w:t>
            </w:r>
          </w:p>
        </w:tc>
      </w:tr>
    </w:tbl>
    <w:p>
      <w:pPr>
        <w:pStyle w:val="Normal"/>
        <w:jc w:val="both"/>
        <w:rPr>
          <w:rFonts w:ascii="Times New Roman" w:hAnsi="Times New Roman" w:cs="Times New Roman"/>
          <w:sz w:val="20"/>
          <w:szCs w:val="20"/>
        </w:rPr>
      </w:pPr>
      <w:r>
        <w:rPr>
          <w:rFonts w:cs="Times New Roman" w:ascii="Times New Roman" w:hAnsi="Times New Roman"/>
          <w:b/>
          <w:sz w:val="20"/>
          <w:szCs w:val="20"/>
        </w:rPr>
        <w:t xml:space="preserve">Footnote: </w:t>
      </w:r>
      <w:r>
        <w:rPr>
          <w:rFonts w:cs="Times New Roman" w:ascii="Times New Roman" w:hAnsi="Times New Roman"/>
          <w:sz w:val="20"/>
          <w:szCs w:val="20"/>
        </w:rPr>
        <w:t xml:space="preserve">a: quiz, self-assessment and evaluation diary; b: parents and family involvement to share experience, challenges and encourage healthy eating behaviour; c: workshops, conference, campaign, cooking classes, games, field visits, blog by health coach for students and workshop, healthy eating information handouts and homework for parents; d: nutri-advice kiosk (stand-alone booth that provides nutrition-related information and personalised advice), entertainments (media shows, drama, puppet shows, visits by inspiring personalities), posters, SMS, emails, counselling via mHealth (nutritional behavioural counselling), healthy eating club, ; e: rewards to adolescents, for healthy eating behaviour, and loyalty programme, coupon for parents); f: school FV gardening, school food marketing, training for kitchen staff, canteen modification, such as increased availability of healthy foods, reduced fruit prices, involving parents in the school nutrition council group, parents’ meeting, invite to school meals, </w:t>
      </w:r>
      <w:bookmarkStart w:id="0" w:name="_GoBack"/>
      <w:bookmarkEnd w:id="0"/>
      <w:r>
        <w:rPr>
          <w:rFonts w:cs="Times New Roman" w:ascii="Times New Roman" w:hAnsi="Times New Roman"/>
          <w:sz w:val="20"/>
          <w:szCs w:val="20"/>
        </w:rPr>
        <w:t>free healthy foods to parents</w:t>
      </w:r>
    </w:p>
    <w:p>
      <w:pPr>
        <w:pStyle w:val="Normal"/>
        <w:spacing w:before="0" w:after="160"/>
        <w:jc w:val="both"/>
        <w:rPr>
          <w:rFonts w:ascii="Times New Roman" w:hAnsi="Times New Roman" w:cs="Times New Roman"/>
          <w:b/>
          <w:sz w:val="20"/>
          <w:szCs w:val="20"/>
        </w:rPr>
      </w:pPr>
      <w:r>
        <w:rPr>
          <w:rFonts w:cs="Times New Roman" w:ascii="Times New Roman" w:hAnsi="Times New Roman"/>
          <w:b/>
          <w:sz w:val="20"/>
          <w:szCs w:val="20"/>
        </w:rPr>
      </w:r>
    </w:p>
    <w:sectPr>
      <w:footerReference w:type="even" r:id="rId2"/>
      <w:footerReference w:type="default" r:id="rId3"/>
      <w:footerReference w:type="first" r:id="rId4"/>
      <w:type w:val="nextPage"/>
      <w:pgSz w:orient="landscape" w:w="15840" w:h="122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5255454"/>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5255454"/>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825a40"/>
    <w:rPr>
      <w:color w:val="808080"/>
    </w:rPr>
  </w:style>
  <w:style w:type="character" w:styleId="BalloonTextChar" w:customStyle="1">
    <w:name w:val="Balloon Text Char"/>
    <w:basedOn w:val="DefaultParagraphFont"/>
    <w:link w:val="BalloonText"/>
    <w:uiPriority w:val="99"/>
    <w:semiHidden/>
    <w:qFormat/>
    <w:rsid w:val="006e09a5"/>
    <w:rPr>
      <w:rFonts w:ascii="Segoe UI" w:hAnsi="Segoe UI" w:cs="Segoe UI"/>
      <w:sz w:val="18"/>
      <w:szCs w:val="18"/>
    </w:rPr>
  </w:style>
  <w:style w:type="character" w:styleId="HeaderChar" w:customStyle="1">
    <w:name w:val="Header Char"/>
    <w:basedOn w:val="DefaultParagraphFont"/>
    <w:link w:val="Header"/>
    <w:uiPriority w:val="99"/>
    <w:qFormat/>
    <w:rsid w:val="00183e95"/>
    <w:rPr/>
  </w:style>
  <w:style w:type="character" w:styleId="FooterChar" w:customStyle="1">
    <w:name w:val="Footer Char"/>
    <w:basedOn w:val="DefaultParagraphFont"/>
    <w:link w:val="Footer"/>
    <w:uiPriority w:val="99"/>
    <w:qFormat/>
    <w:rsid w:val="00183e95"/>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ed53c7"/>
    <w:pPr>
      <w:widowControl/>
      <w:bidi w:val="0"/>
      <w:spacing w:lineRule="auto" w:line="240" w:before="0" w:after="0"/>
      <w:jc w:val="left"/>
    </w:pPr>
    <w:rPr>
      <w:rFonts w:ascii="Times New Roman" w:hAnsi="Times New Roman" w:cs="Times New Roman" w:eastAsia="Calibri"/>
      <w:color w:val="000000"/>
      <w:kern w:val="0"/>
      <w:sz w:val="24"/>
      <w:szCs w:val="24"/>
      <w:lang w:val="en-GB" w:eastAsia="en-US" w:bidi="ar-SA"/>
    </w:rPr>
  </w:style>
  <w:style w:type="paragraph" w:styleId="BalloonText">
    <w:name w:val="Balloon Text"/>
    <w:basedOn w:val="Normal"/>
    <w:link w:val="BalloonTextChar"/>
    <w:uiPriority w:val="99"/>
    <w:semiHidden/>
    <w:unhideWhenUsed/>
    <w:qFormat/>
    <w:rsid w:val="006e09a5"/>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183e95"/>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83e95"/>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36e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B4DC-668A-4D1D-A580-069A5018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Application>LibreOffice/24.8.2.1$Windows_X86_64 LibreOffice_project/0f794b6e29741098670a3b95d60478a65d05ef13</Application>
  <AppVersion>15.0000</AppVersion>
  <Pages>2</Pages>
  <Words>521</Words>
  <Characters>3053</Characters>
  <CharactersWithSpaces>3471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2024-09-04T19:11:00Z</dcterms:created>
  <dc:creator>Nandeeta Samad</dc:creator>
  <dc:description/>
  <dc:language>en-IN</dc:language>
  <cp:lastModifiedBy>Nandeeta Samad</cp:lastModifiedBy>
  <dcterms:modified xsi:type="dcterms:W3CDTF">2024-09-13T10:35:00Z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