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BE924" w14:textId="6972310E" w:rsidR="0042322F" w:rsidRPr="009D71AB" w:rsidRDefault="00276DD9" w:rsidP="0042322F">
      <w:pPr>
        <w:spacing w:line="360" w:lineRule="auto"/>
        <w:jc w:val="both"/>
        <w:rPr>
          <w:rFonts w:ascii="Times New Roman" w:hAnsi="Times New Roman" w:cs="Times New Roman"/>
          <w:b/>
          <w:bCs/>
          <w:sz w:val="22"/>
          <w:szCs w:val="22"/>
          <w:lang w:val="en-US"/>
        </w:rPr>
      </w:pPr>
      <w:bookmarkStart w:id="0" w:name="_GoBack"/>
      <w:bookmarkEnd w:id="0"/>
      <w:r w:rsidRPr="009D71AB">
        <w:rPr>
          <w:rFonts w:ascii="Times New Roman" w:hAnsi="Times New Roman" w:cs="Times New Roman"/>
          <w:b/>
          <w:bCs/>
          <w:sz w:val="22"/>
          <w:szCs w:val="22"/>
          <w:lang w:val="en-US"/>
        </w:rPr>
        <w:t>Transcatheter arterialisation of the deep veins: One-year outcomes of the PROMISE-UK Study</w:t>
      </w:r>
    </w:p>
    <w:p w14:paraId="696DE630" w14:textId="3ADECFAF" w:rsidR="001F47C8" w:rsidRPr="009D71AB" w:rsidRDefault="001F47C8" w:rsidP="001F47C8">
      <w:pPr>
        <w:spacing w:line="360" w:lineRule="auto"/>
        <w:jc w:val="both"/>
        <w:rPr>
          <w:rFonts w:ascii="Times New Roman" w:hAnsi="Times New Roman" w:cs="Times New Roman"/>
          <w:b/>
          <w:bCs/>
          <w:sz w:val="22"/>
          <w:szCs w:val="22"/>
          <w:lang w:val="en-US"/>
        </w:rPr>
      </w:pPr>
    </w:p>
    <w:p w14:paraId="007ACDAD" w14:textId="00BDE1ED" w:rsidR="00276DD9" w:rsidRPr="009D71AB" w:rsidRDefault="00276DD9" w:rsidP="00276DD9">
      <w:pPr>
        <w:rPr>
          <w:rFonts w:ascii="Times New Roman" w:hAnsi="Times New Roman" w:cs="Times New Roman"/>
          <w:b/>
          <w:bCs/>
          <w:color w:val="222222"/>
          <w:sz w:val="20"/>
          <w:szCs w:val="20"/>
        </w:rPr>
      </w:pPr>
      <w:r w:rsidRPr="009D71AB">
        <w:rPr>
          <w:rFonts w:ascii="Times New Roman" w:hAnsi="Times New Roman" w:cs="Times New Roman"/>
        </w:rPr>
        <w:t>Hany Zayed</w:t>
      </w:r>
      <w:r w:rsidRPr="009D71AB">
        <w:rPr>
          <w:rFonts w:ascii="Times New Roman" w:hAnsi="Times New Roman" w:cs="Times New Roman"/>
          <w:vertAlign w:val="superscript"/>
        </w:rPr>
        <w:t>1</w:t>
      </w:r>
      <w:r w:rsidRPr="009D71AB">
        <w:rPr>
          <w:rFonts w:ascii="Times New Roman" w:hAnsi="Times New Roman" w:cs="Times New Roman"/>
        </w:rPr>
        <w:t>, Athanasios Saratzis</w:t>
      </w:r>
      <w:r w:rsidRPr="009D71AB">
        <w:rPr>
          <w:rFonts w:ascii="Times New Roman" w:hAnsi="Times New Roman" w:cs="Times New Roman"/>
          <w:vertAlign w:val="superscript"/>
        </w:rPr>
        <w:t>2</w:t>
      </w:r>
      <w:r w:rsidRPr="009D71AB">
        <w:rPr>
          <w:rFonts w:ascii="Times New Roman" w:hAnsi="Times New Roman" w:cs="Times New Roman"/>
        </w:rPr>
        <w:t>, Paul Moxey</w:t>
      </w:r>
      <w:r w:rsidRPr="009D71AB">
        <w:rPr>
          <w:rFonts w:ascii="Times New Roman" w:hAnsi="Times New Roman" w:cs="Times New Roman"/>
          <w:vertAlign w:val="superscript"/>
        </w:rPr>
        <w:t>3</w:t>
      </w:r>
      <w:r w:rsidRPr="009D71AB">
        <w:rPr>
          <w:rFonts w:ascii="Times New Roman" w:hAnsi="Times New Roman" w:cs="Times New Roman"/>
        </w:rPr>
        <w:t>, S. Tawqeer Rashid</w:t>
      </w:r>
      <w:r w:rsidRPr="009D71AB">
        <w:rPr>
          <w:rFonts w:ascii="Times New Roman" w:hAnsi="Times New Roman" w:cs="Times New Roman"/>
          <w:vertAlign w:val="superscript"/>
        </w:rPr>
        <w:t>4</w:t>
      </w:r>
      <w:r w:rsidRPr="009D71AB">
        <w:rPr>
          <w:rFonts w:ascii="Times New Roman" w:hAnsi="Times New Roman" w:cs="Times New Roman"/>
        </w:rPr>
        <w:t>, Peter Mezes</w:t>
      </w:r>
      <w:r w:rsidRPr="009D71AB">
        <w:rPr>
          <w:rFonts w:ascii="Times New Roman" w:hAnsi="Times New Roman" w:cs="Times New Roman"/>
          <w:vertAlign w:val="superscript"/>
        </w:rPr>
        <w:t>5</w:t>
      </w:r>
      <w:r w:rsidRPr="009D71AB">
        <w:rPr>
          <w:rFonts w:ascii="Times New Roman" w:hAnsi="Times New Roman" w:cs="Times New Roman"/>
        </w:rPr>
        <w:t>, Athanasios Diamantopoulos</w:t>
      </w:r>
      <w:r w:rsidRPr="009D71AB">
        <w:rPr>
          <w:rFonts w:ascii="Times New Roman" w:hAnsi="Times New Roman" w:cs="Times New Roman"/>
          <w:vertAlign w:val="superscript"/>
        </w:rPr>
        <w:t>6</w:t>
      </w:r>
      <w:r w:rsidR="00741EF0" w:rsidRPr="009D71AB">
        <w:rPr>
          <w:rFonts w:ascii="Times New Roman" w:hAnsi="Times New Roman" w:cs="Times New Roman"/>
          <w:vertAlign w:val="superscript"/>
        </w:rPr>
        <w:t>,7</w:t>
      </w:r>
      <w:r w:rsidRPr="009D71AB">
        <w:rPr>
          <w:rFonts w:ascii="Times New Roman" w:hAnsi="Times New Roman" w:cs="Times New Roman"/>
        </w:rPr>
        <w:t>, Symeon Lechareas</w:t>
      </w:r>
      <w:r w:rsidR="00741EF0" w:rsidRPr="009D71AB">
        <w:rPr>
          <w:rFonts w:ascii="Times New Roman" w:hAnsi="Times New Roman" w:cs="Times New Roman"/>
          <w:vertAlign w:val="superscript"/>
        </w:rPr>
        <w:t>8</w:t>
      </w:r>
      <w:r w:rsidRPr="009D71AB">
        <w:rPr>
          <w:rFonts w:ascii="Times New Roman" w:hAnsi="Times New Roman" w:cs="Times New Roman"/>
        </w:rPr>
        <w:t>, Joo-Young Chun</w:t>
      </w:r>
      <w:r w:rsidR="00741EF0" w:rsidRPr="009D71AB">
        <w:rPr>
          <w:rFonts w:ascii="Times New Roman" w:hAnsi="Times New Roman" w:cs="Times New Roman"/>
          <w:vertAlign w:val="superscript"/>
        </w:rPr>
        <w:t>9</w:t>
      </w:r>
      <w:r w:rsidRPr="009D71AB">
        <w:rPr>
          <w:rFonts w:ascii="Times New Roman" w:hAnsi="Times New Roman" w:cs="Times New Roman"/>
        </w:rPr>
        <w:t>, Michael Twigg</w:t>
      </w:r>
      <w:r w:rsidR="00741EF0" w:rsidRPr="009D71AB">
        <w:rPr>
          <w:rFonts w:ascii="Times New Roman" w:hAnsi="Times New Roman" w:cs="Times New Roman"/>
          <w:vertAlign w:val="superscript"/>
        </w:rPr>
        <w:t>10</w:t>
      </w:r>
      <w:r w:rsidRPr="009D71AB">
        <w:rPr>
          <w:rFonts w:ascii="Times New Roman" w:hAnsi="Times New Roman" w:cs="Times New Roman"/>
        </w:rPr>
        <w:t>, Narayanan Thulasidasan</w:t>
      </w:r>
      <w:r w:rsidR="00741EF0" w:rsidRPr="009D71AB">
        <w:rPr>
          <w:rFonts w:ascii="Times New Roman" w:hAnsi="Times New Roman" w:cs="Times New Roman"/>
          <w:vertAlign w:val="superscript"/>
        </w:rPr>
        <w:t>7</w:t>
      </w:r>
      <w:r w:rsidRPr="009D71AB">
        <w:rPr>
          <w:rFonts w:ascii="Times New Roman" w:hAnsi="Times New Roman" w:cs="Times New Roman"/>
        </w:rPr>
        <w:t>, Kaji Sritharan</w:t>
      </w:r>
      <w:r w:rsidRPr="009D71AB">
        <w:rPr>
          <w:rFonts w:ascii="Times New Roman" w:hAnsi="Times New Roman" w:cs="Times New Roman"/>
          <w:vertAlign w:val="superscript"/>
        </w:rPr>
        <w:t>1</w:t>
      </w:r>
      <w:r w:rsidR="00741EF0" w:rsidRPr="009D71AB">
        <w:rPr>
          <w:rFonts w:ascii="Times New Roman" w:hAnsi="Times New Roman" w:cs="Times New Roman"/>
          <w:vertAlign w:val="superscript"/>
        </w:rPr>
        <w:t>0</w:t>
      </w:r>
      <w:r w:rsidRPr="009D71AB">
        <w:rPr>
          <w:rFonts w:ascii="Times New Roman" w:hAnsi="Times New Roman" w:cs="Times New Roman"/>
          <w:color w:val="222222"/>
          <w:sz w:val="20"/>
          <w:szCs w:val="20"/>
        </w:rPr>
        <w:t xml:space="preserve"> </w:t>
      </w:r>
    </w:p>
    <w:p w14:paraId="3A505A8A" w14:textId="77777777" w:rsidR="00E93849" w:rsidRPr="009D71AB" w:rsidRDefault="00E93849" w:rsidP="00E93849">
      <w:pPr>
        <w:spacing w:line="360" w:lineRule="auto"/>
        <w:jc w:val="both"/>
        <w:rPr>
          <w:rFonts w:ascii="Times New Roman" w:hAnsi="Times New Roman" w:cs="Times New Roman"/>
          <w:color w:val="000000"/>
          <w:sz w:val="22"/>
          <w:szCs w:val="22"/>
          <w:lang w:val="en-US"/>
        </w:rPr>
      </w:pPr>
    </w:p>
    <w:p w14:paraId="37AE4669" w14:textId="707647C3" w:rsidR="00E93849" w:rsidRPr="009D71AB" w:rsidRDefault="00E93849" w:rsidP="00741EF0">
      <w:pPr>
        <w:rPr>
          <w:rFonts w:ascii="Times New Roman" w:hAnsi="Times New Roman" w:cs="Times New Roman"/>
          <w:sz w:val="20"/>
          <w:szCs w:val="20"/>
          <w:lang w:val="en-GB"/>
        </w:rPr>
      </w:pPr>
      <w:bookmarkStart w:id="1" w:name="_Hlk160697301"/>
      <w:r w:rsidRPr="009D71AB">
        <w:rPr>
          <w:rFonts w:ascii="Times New Roman" w:hAnsi="Times New Roman" w:cs="Times New Roman"/>
          <w:color w:val="000000" w:themeColor="text1"/>
          <w:sz w:val="20"/>
          <w:szCs w:val="20"/>
          <w:vertAlign w:val="superscript"/>
        </w:rPr>
        <w:t>1</w:t>
      </w:r>
      <w:r w:rsidR="00741EF0" w:rsidRPr="009D71AB">
        <w:rPr>
          <w:rFonts w:ascii="Times New Roman" w:hAnsi="Times New Roman" w:cs="Times New Roman"/>
          <w:sz w:val="20"/>
          <w:szCs w:val="20"/>
          <w:lang w:val="en-GB"/>
        </w:rPr>
        <w:t xml:space="preserve"> Department of Vascular Surgery, Guy's and St. Thomas' NHS Foundation Trust and King’s College, London</w:t>
      </w:r>
    </w:p>
    <w:p w14:paraId="0ED0793D" w14:textId="7A069780" w:rsidR="00E93849" w:rsidRPr="009D71AB" w:rsidRDefault="00E93849" w:rsidP="00BA67BD">
      <w:pPr>
        <w:spacing w:line="276" w:lineRule="auto"/>
        <w:rPr>
          <w:rFonts w:ascii="Times New Roman" w:hAnsi="Times New Roman" w:cs="Times New Roman"/>
          <w:sz w:val="20"/>
          <w:szCs w:val="20"/>
          <w:lang w:val="en-GB"/>
        </w:rPr>
      </w:pPr>
      <w:r w:rsidRPr="009D71AB">
        <w:rPr>
          <w:rFonts w:ascii="Times New Roman" w:hAnsi="Times New Roman" w:cs="Times New Roman"/>
          <w:color w:val="000000" w:themeColor="text1"/>
          <w:sz w:val="20"/>
          <w:szCs w:val="20"/>
          <w:vertAlign w:val="superscript"/>
        </w:rPr>
        <w:t>2</w:t>
      </w:r>
      <w:r w:rsidR="00741EF0" w:rsidRPr="009D71AB">
        <w:rPr>
          <w:rFonts w:ascii="Times New Roman" w:hAnsi="Times New Roman" w:cs="Times New Roman"/>
          <w:color w:val="000000" w:themeColor="text1"/>
          <w:sz w:val="20"/>
          <w:szCs w:val="20"/>
          <w:vertAlign w:val="superscript"/>
        </w:rPr>
        <w:t xml:space="preserve"> </w:t>
      </w:r>
      <w:r w:rsidR="00741EF0" w:rsidRPr="009D71AB">
        <w:rPr>
          <w:rFonts w:ascii="Times New Roman" w:hAnsi="Times New Roman" w:cs="Times New Roman"/>
          <w:sz w:val="20"/>
          <w:szCs w:val="20"/>
          <w:lang w:val="en-GB"/>
        </w:rPr>
        <w:t>Department of Cardiovascular Sciences and NIHR Leicester Biomedical Research Centre</w:t>
      </w:r>
    </w:p>
    <w:p w14:paraId="3673D51E" w14:textId="77777777" w:rsidR="00741EF0" w:rsidRPr="009D71AB" w:rsidRDefault="00741EF0" w:rsidP="00741EF0">
      <w:pPr>
        <w:rPr>
          <w:rFonts w:ascii="Times New Roman" w:eastAsia="Times New Roman" w:hAnsi="Times New Roman" w:cs="Times New Roman"/>
          <w:color w:val="000000"/>
          <w:sz w:val="20"/>
          <w:szCs w:val="20"/>
          <w:lang w:val="en-GB"/>
        </w:rPr>
      </w:pPr>
      <w:r w:rsidRPr="009D71AB">
        <w:rPr>
          <w:rFonts w:ascii="Times New Roman" w:hAnsi="Times New Roman" w:cs="Times New Roman"/>
          <w:sz w:val="20"/>
          <w:szCs w:val="20"/>
          <w:vertAlign w:val="superscript"/>
          <w:lang w:val="en-GB"/>
        </w:rPr>
        <w:t>3</w:t>
      </w:r>
      <w:r w:rsidRPr="009D71AB">
        <w:rPr>
          <w:rFonts w:ascii="Times New Roman" w:hAnsi="Times New Roman" w:cs="Times New Roman"/>
          <w:sz w:val="20"/>
          <w:szCs w:val="20"/>
          <w:lang w:val="en-GB"/>
        </w:rPr>
        <w:t xml:space="preserve"> Department of Vascular Surgery, St George’s University Hospital NHS Foundation Trust, London</w:t>
      </w:r>
    </w:p>
    <w:p w14:paraId="7A1A5A5C" w14:textId="1F8BFB53" w:rsidR="00741EF0" w:rsidRPr="009D71AB" w:rsidRDefault="00741EF0" w:rsidP="00BA67BD">
      <w:pPr>
        <w:spacing w:line="276" w:lineRule="auto"/>
        <w:rPr>
          <w:rFonts w:ascii="Times New Roman" w:hAnsi="Times New Roman" w:cs="Times New Roman"/>
          <w:color w:val="222222"/>
          <w:sz w:val="20"/>
          <w:szCs w:val="20"/>
        </w:rPr>
      </w:pPr>
      <w:r w:rsidRPr="009D71AB">
        <w:rPr>
          <w:rFonts w:ascii="Times New Roman" w:hAnsi="Times New Roman" w:cs="Times New Roman"/>
          <w:color w:val="000000" w:themeColor="text1"/>
          <w:sz w:val="20"/>
          <w:szCs w:val="20"/>
          <w:vertAlign w:val="superscript"/>
          <w:lang w:val="en-US"/>
        </w:rPr>
        <w:t>4</w:t>
      </w:r>
      <w:r w:rsidRPr="009D71AB">
        <w:rPr>
          <w:rFonts w:ascii="Times New Roman" w:hAnsi="Times New Roman" w:cs="Times New Roman"/>
          <w:color w:val="000000" w:themeColor="text1"/>
          <w:sz w:val="20"/>
          <w:szCs w:val="20"/>
          <w:lang w:val="en-US"/>
        </w:rPr>
        <w:t xml:space="preserve"> </w:t>
      </w:r>
      <w:r w:rsidRPr="009D71AB">
        <w:rPr>
          <w:rFonts w:ascii="Times New Roman" w:hAnsi="Times New Roman" w:cs="Times New Roman"/>
          <w:color w:val="222222"/>
          <w:sz w:val="20"/>
          <w:szCs w:val="20"/>
        </w:rPr>
        <w:t>Department of Vascular Surgery, Manchester University NHS Foundation Trust</w:t>
      </w:r>
    </w:p>
    <w:p w14:paraId="3273E1A8" w14:textId="77777777" w:rsidR="00741EF0" w:rsidRPr="009D71AB" w:rsidRDefault="00741EF0" w:rsidP="00741EF0">
      <w:pPr>
        <w:rPr>
          <w:rFonts w:ascii="Times New Roman" w:hAnsi="Times New Roman" w:cs="Times New Roman"/>
          <w:sz w:val="20"/>
          <w:szCs w:val="20"/>
          <w:lang w:val="en-GB"/>
        </w:rPr>
      </w:pPr>
      <w:r w:rsidRPr="009D71AB">
        <w:rPr>
          <w:rFonts w:ascii="Times New Roman" w:hAnsi="Times New Roman" w:cs="Times New Roman"/>
          <w:color w:val="222222"/>
          <w:sz w:val="20"/>
          <w:szCs w:val="20"/>
          <w:vertAlign w:val="superscript"/>
        </w:rPr>
        <w:t>5</w:t>
      </w:r>
      <w:r w:rsidRPr="009D71AB">
        <w:rPr>
          <w:rFonts w:ascii="Times New Roman" w:hAnsi="Times New Roman" w:cs="Times New Roman"/>
          <w:color w:val="222222"/>
          <w:sz w:val="20"/>
          <w:szCs w:val="20"/>
        </w:rPr>
        <w:t xml:space="preserve"> </w:t>
      </w:r>
      <w:r w:rsidRPr="009D71AB">
        <w:rPr>
          <w:rFonts w:ascii="Times New Roman" w:hAnsi="Times New Roman" w:cs="Times New Roman"/>
          <w:sz w:val="20"/>
          <w:szCs w:val="20"/>
          <w:lang w:val="en-GB"/>
        </w:rPr>
        <w:t>Interventional Radiology and Imaging Departments, North Bristol NHS Trust</w:t>
      </w:r>
    </w:p>
    <w:p w14:paraId="26FA6308" w14:textId="298F7816" w:rsidR="00741EF0" w:rsidRPr="009D71AB" w:rsidRDefault="00741EF0" w:rsidP="00741EF0">
      <w:pPr>
        <w:rPr>
          <w:rFonts w:ascii="Times New Roman" w:hAnsi="Times New Roman" w:cs="Times New Roman"/>
          <w:b/>
          <w:bCs/>
          <w:lang w:val="en-GB"/>
        </w:rPr>
      </w:pPr>
      <w:r w:rsidRPr="009D71AB">
        <w:rPr>
          <w:rFonts w:ascii="Times New Roman" w:hAnsi="Times New Roman" w:cs="Times New Roman"/>
          <w:color w:val="000000" w:themeColor="text1"/>
          <w:sz w:val="20"/>
          <w:szCs w:val="20"/>
          <w:vertAlign w:val="superscript"/>
          <w:lang w:val="en-US"/>
        </w:rPr>
        <w:t>6</w:t>
      </w:r>
      <w:r w:rsidRPr="009D71AB">
        <w:rPr>
          <w:rFonts w:ascii="Times New Roman" w:hAnsi="Times New Roman" w:cs="Times New Roman"/>
          <w:color w:val="000000" w:themeColor="text1"/>
          <w:sz w:val="20"/>
          <w:szCs w:val="20"/>
          <w:lang w:val="en-US"/>
        </w:rPr>
        <w:t xml:space="preserve"> </w:t>
      </w:r>
      <w:r w:rsidRPr="009D71AB">
        <w:rPr>
          <w:rFonts w:ascii="Times New Roman" w:hAnsi="Times New Roman" w:cs="Times New Roman"/>
          <w:sz w:val="20"/>
          <w:szCs w:val="20"/>
          <w:lang w:val="en-GB"/>
        </w:rPr>
        <w:t xml:space="preserve">School of Biomedical Engineering &amp; Imaging Sciences, Faculty of Life Sciences &amp; Medicine, Kings College London, London </w:t>
      </w:r>
    </w:p>
    <w:p w14:paraId="0B29379F" w14:textId="55C09ED2" w:rsidR="00741EF0" w:rsidRPr="009D71AB" w:rsidRDefault="00741EF0" w:rsidP="00741EF0">
      <w:pPr>
        <w:rPr>
          <w:rFonts w:ascii="Times New Roman" w:hAnsi="Times New Roman" w:cs="Times New Roman"/>
          <w:sz w:val="20"/>
          <w:szCs w:val="20"/>
          <w:lang w:val="en-GB"/>
        </w:rPr>
      </w:pPr>
      <w:r w:rsidRPr="009D71AB">
        <w:rPr>
          <w:rFonts w:ascii="Times New Roman" w:hAnsi="Times New Roman" w:cs="Times New Roman"/>
          <w:sz w:val="20"/>
          <w:szCs w:val="20"/>
          <w:vertAlign w:val="superscript"/>
          <w:lang w:val="en-GB"/>
        </w:rPr>
        <w:t>7</w:t>
      </w:r>
      <w:r w:rsidRPr="009D71AB">
        <w:rPr>
          <w:rFonts w:ascii="Times New Roman" w:hAnsi="Times New Roman" w:cs="Times New Roman"/>
          <w:sz w:val="20"/>
          <w:szCs w:val="20"/>
          <w:lang w:val="en-GB"/>
        </w:rPr>
        <w:t xml:space="preserve"> Department of Interventional Radiology, Guy’s and St. Thomas’ NHS Foundation Trust, London</w:t>
      </w:r>
    </w:p>
    <w:p w14:paraId="1BDCB231" w14:textId="78A42262" w:rsidR="00741EF0" w:rsidRPr="009D71AB" w:rsidRDefault="00741EF0" w:rsidP="00BA67BD">
      <w:pPr>
        <w:spacing w:line="276" w:lineRule="auto"/>
        <w:rPr>
          <w:rFonts w:ascii="Times New Roman" w:hAnsi="Times New Roman" w:cs="Times New Roman"/>
          <w:color w:val="000000" w:themeColor="text1"/>
          <w:sz w:val="20"/>
          <w:szCs w:val="20"/>
          <w:lang w:val="en-US"/>
        </w:rPr>
      </w:pPr>
      <w:r w:rsidRPr="009D71AB">
        <w:rPr>
          <w:rFonts w:ascii="Times New Roman" w:hAnsi="Times New Roman" w:cs="Times New Roman"/>
          <w:color w:val="000000" w:themeColor="text1"/>
          <w:sz w:val="20"/>
          <w:szCs w:val="20"/>
          <w:vertAlign w:val="superscript"/>
          <w:lang w:val="en-US"/>
        </w:rPr>
        <w:t>8</w:t>
      </w:r>
      <w:r w:rsidRPr="009D71AB">
        <w:rPr>
          <w:rFonts w:ascii="Times New Roman" w:hAnsi="Times New Roman" w:cs="Times New Roman"/>
          <w:color w:val="000000" w:themeColor="text1"/>
          <w:sz w:val="20"/>
          <w:szCs w:val="20"/>
          <w:lang w:val="en-US"/>
        </w:rPr>
        <w:t xml:space="preserve"> </w:t>
      </w:r>
      <w:r w:rsidRPr="009D71AB">
        <w:rPr>
          <w:rFonts w:ascii="Times New Roman" w:hAnsi="Times New Roman" w:cs="Times New Roman"/>
          <w:sz w:val="20"/>
          <w:szCs w:val="20"/>
          <w:lang w:val="en-GB"/>
        </w:rPr>
        <w:t>Interventional Radiology Department, Liverpool University Hospitals NHS Foundation Trust and Mersey and West Lancashire teaching Hospitals</w:t>
      </w:r>
    </w:p>
    <w:p w14:paraId="39C55AEA" w14:textId="51BA51C6" w:rsidR="00741EF0" w:rsidRPr="009D71AB" w:rsidRDefault="00741EF0" w:rsidP="00BA67BD">
      <w:pPr>
        <w:spacing w:line="276" w:lineRule="auto"/>
        <w:rPr>
          <w:rFonts w:ascii="Times New Roman" w:hAnsi="Times New Roman" w:cs="Times New Roman"/>
          <w:color w:val="000000" w:themeColor="text1"/>
          <w:sz w:val="20"/>
          <w:szCs w:val="20"/>
          <w:lang w:val="en-US"/>
        </w:rPr>
      </w:pPr>
      <w:r w:rsidRPr="009D71AB">
        <w:rPr>
          <w:rFonts w:ascii="Times New Roman" w:hAnsi="Times New Roman" w:cs="Times New Roman"/>
          <w:color w:val="000000" w:themeColor="text1"/>
          <w:sz w:val="20"/>
          <w:szCs w:val="20"/>
          <w:vertAlign w:val="superscript"/>
          <w:lang w:val="en-US"/>
        </w:rPr>
        <w:t>9</w:t>
      </w:r>
      <w:r w:rsidRPr="009D71AB">
        <w:rPr>
          <w:rFonts w:ascii="Times New Roman" w:hAnsi="Times New Roman" w:cs="Times New Roman"/>
          <w:color w:val="000000" w:themeColor="text1"/>
          <w:sz w:val="20"/>
          <w:szCs w:val="20"/>
          <w:lang w:val="en-US"/>
        </w:rPr>
        <w:t xml:space="preserve"> </w:t>
      </w:r>
      <w:r w:rsidRPr="009D71AB">
        <w:rPr>
          <w:rFonts w:ascii="Times New Roman" w:eastAsia="Times New Roman" w:hAnsi="Times New Roman" w:cs="Times New Roman"/>
          <w:color w:val="000000"/>
          <w:sz w:val="20"/>
          <w:szCs w:val="20"/>
          <w:lang w:val="en-GB"/>
        </w:rPr>
        <w:t>Interventional Radiology Department, St George's University Hospital NHS Foundation Trust</w:t>
      </w:r>
    </w:p>
    <w:p w14:paraId="45E75CA0" w14:textId="49AB1BB7" w:rsidR="00741EF0" w:rsidRPr="009D71AB" w:rsidRDefault="00741EF0" w:rsidP="00BA67BD">
      <w:pPr>
        <w:spacing w:line="276" w:lineRule="auto"/>
        <w:rPr>
          <w:rFonts w:ascii="Times New Roman" w:hAnsi="Times New Roman" w:cs="Times New Roman"/>
          <w:color w:val="000000" w:themeColor="text1"/>
          <w:sz w:val="20"/>
          <w:szCs w:val="20"/>
          <w:lang w:val="en-US"/>
        </w:rPr>
      </w:pPr>
      <w:r w:rsidRPr="009D71AB">
        <w:rPr>
          <w:rFonts w:ascii="Times New Roman" w:hAnsi="Times New Roman" w:cs="Times New Roman"/>
          <w:color w:val="000000" w:themeColor="text1"/>
          <w:sz w:val="20"/>
          <w:szCs w:val="20"/>
          <w:vertAlign w:val="superscript"/>
          <w:lang w:val="en-US"/>
        </w:rPr>
        <w:t>10</w:t>
      </w:r>
      <w:r w:rsidRPr="009D71AB">
        <w:rPr>
          <w:rFonts w:ascii="Times New Roman" w:hAnsi="Times New Roman" w:cs="Times New Roman"/>
          <w:color w:val="000000" w:themeColor="text1"/>
          <w:sz w:val="20"/>
          <w:szCs w:val="20"/>
          <w:lang w:val="en-US"/>
        </w:rPr>
        <w:t xml:space="preserve"> </w:t>
      </w:r>
      <w:r w:rsidRPr="009D71AB">
        <w:rPr>
          <w:rFonts w:ascii="Times New Roman" w:hAnsi="Times New Roman" w:cs="Times New Roman"/>
          <w:color w:val="222222"/>
          <w:sz w:val="20"/>
          <w:szCs w:val="20"/>
        </w:rPr>
        <w:t>Department of Vascular Surgery, Liverpool University Hospitals NHS Foundation Trust</w:t>
      </w:r>
    </w:p>
    <w:bookmarkEnd w:id="1"/>
    <w:p w14:paraId="6EC7DEFE" w14:textId="77777777" w:rsidR="00E93849" w:rsidRPr="009D71AB" w:rsidRDefault="00E93849" w:rsidP="00E93849">
      <w:pPr>
        <w:spacing w:line="360" w:lineRule="auto"/>
        <w:rPr>
          <w:rFonts w:ascii="Times New Roman" w:hAnsi="Times New Roman" w:cs="Times New Roman"/>
          <w:color w:val="000000" w:themeColor="text1"/>
          <w:sz w:val="20"/>
          <w:szCs w:val="20"/>
          <w:lang w:val="en-US"/>
        </w:rPr>
      </w:pPr>
    </w:p>
    <w:p w14:paraId="67102164" w14:textId="4B24F91C" w:rsidR="00806415" w:rsidRPr="009D71AB" w:rsidRDefault="00E93849" w:rsidP="00E93849">
      <w:pPr>
        <w:spacing w:line="276" w:lineRule="auto"/>
        <w:jc w:val="both"/>
        <w:rPr>
          <w:rFonts w:ascii="Times New Roman" w:hAnsi="Times New Roman" w:cs="Times New Roman"/>
          <w:color w:val="212121"/>
          <w:sz w:val="21"/>
          <w:szCs w:val="21"/>
          <w:lang w:val="en-US"/>
        </w:rPr>
      </w:pPr>
      <w:r w:rsidRPr="009D71AB">
        <w:rPr>
          <w:rFonts w:ascii="Times New Roman" w:hAnsi="Times New Roman" w:cs="Times New Roman"/>
          <w:b/>
          <w:color w:val="212121"/>
          <w:sz w:val="21"/>
          <w:szCs w:val="21"/>
          <w:lang w:val="en-US"/>
        </w:rPr>
        <w:t>Corresponding author</w:t>
      </w:r>
      <w:r w:rsidRPr="009D71AB">
        <w:rPr>
          <w:rFonts w:ascii="Times New Roman" w:hAnsi="Times New Roman" w:cs="Times New Roman"/>
          <w:color w:val="212121"/>
          <w:sz w:val="21"/>
          <w:szCs w:val="21"/>
          <w:lang w:val="en-US"/>
        </w:rPr>
        <w:t xml:space="preserve"> </w:t>
      </w:r>
    </w:p>
    <w:p w14:paraId="04C29B35" w14:textId="37CE6C9A" w:rsidR="00E93849" w:rsidRPr="009D71AB" w:rsidRDefault="00806415" w:rsidP="00E93849">
      <w:pPr>
        <w:spacing w:line="276" w:lineRule="auto"/>
        <w:jc w:val="both"/>
        <w:rPr>
          <w:rFonts w:ascii="Times New Roman" w:hAnsi="Times New Roman" w:cs="Times New Roman"/>
          <w:color w:val="212121"/>
          <w:sz w:val="21"/>
          <w:szCs w:val="21"/>
          <w:lang w:val="en-US"/>
        </w:rPr>
      </w:pPr>
      <w:r w:rsidRPr="009D71AB">
        <w:rPr>
          <w:rFonts w:ascii="Times New Roman" w:hAnsi="Times New Roman" w:cs="Times New Roman"/>
          <w:color w:val="212121"/>
          <w:sz w:val="21"/>
          <w:szCs w:val="21"/>
          <w:lang w:val="en-US"/>
        </w:rPr>
        <w:t>Hany Zayed, MD MSc FRCS</w:t>
      </w:r>
    </w:p>
    <w:p w14:paraId="15352CB7" w14:textId="5FD956AB" w:rsidR="00806415" w:rsidRPr="009D71AB" w:rsidRDefault="00806415" w:rsidP="00E93849">
      <w:pPr>
        <w:spacing w:line="276" w:lineRule="auto"/>
        <w:jc w:val="both"/>
        <w:rPr>
          <w:rFonts w:ascii="Times New Roman" w:hAnsi="Times New Roman" w:cs="Times New Roman"/>
          <w:color w:val="212121"/>
          <w:sz w:val="21"/>
          <w:szCs w:val="21"/>
          <w:lang w:val="en-US"/>
        </w:rPr>
      </w:pPr>
      <w:r w:rsidRPr="009D71AB">
        <w:rPr>
          <w:rFonts w:ascii="Times New Roman" w:hAnsi="Times New Roman" w:cs="Times New Roman"/>
          <w:color w:val="212121"/>
          <w:sz w:val="21"/>
          <w:szCs w:val="21"/>
          <w:lang w:val="en-US"/>
        </w:rPr>
        <w:t>Department of Vascular Surgery,</w:t>
      </w:r>
    </w:p>
    <w:p w14:paraId="55C65B1D" w14:textId="77777777" w:rsidR="00806415" w:rsidRPr="009D71AB" w:rsidRDefault="00806415" w:rsidP="00806415">
      <w:pPr>
        <w:spacing w:line="276" w:lineRule="auto"/>
        <w:jc w:val="both"/>
        <w:rPr>
          <w:rFonts w:ascii="Times New Roman" w:hAnsi="Times New Roman" w:cs="Times New Roman"/>
          <w:color w:val="212121"/>
          <w:sz w:val="21"/>
          <w:szCs w:val="21"/>
          <w:lang w:val="en-US"/>
        </w:rPr>
      </w:pPr>
      <w:r w:rsidRPr="009D71AB">
        <w:rPr>
          <w:rFonts w:ascii="Times New Roman" w:hAnsi="Times New Roman" w:cs="Times New Roman"/>
          <w:color w:val="212121"/>
          <w:sz w:val="21"/>
          <w:szCs w:val="21"/>
          <w:lang w:val="en-US"/>
        </w:rPr>
        <w:t>Guy’s and St Thomas’ Hospital NHS Foundation Trust, London, UK</w:t>
      </w:r>
    </w:p>
    <w:p w14:paraId="7620987B" w14:textId="77777777" w:rsidR="00806415" w:rsidRPr="009D71AB" w:rsidRDefault="00806415" w:rsidP="00806415">
      <w:pPr>
        <w:spacing w:line="276" w:lineRule="auto"/>
        <w:jc w:val="both"/>
        <w:rPr>
          <w:rFonts w:ascii="Times New Roman" w:hAnsi="Times New Roman" w:cs="Times New Roman"/>
          <w:color w:val="212121"/>
          <w:sz w:val="21"/>
          <w:szCs w:val="21"/>
          <w:lang w:val="en-US"/>
        </w:rPr>
      </w:pPr>
      <w:r w:rsidRPr="009D71AB">
        <w:rPr>
          <w:rFonts w:ascii="Times New Roman" w:hAnsi="Times New Roman" w:cs="Times New Roman"/>
          <w:color w:val="212121"/>
          <w:sz w:val="21"/>
          <w:szCs w:val="21"/>
          <w:lang w:val="en-US"/>
        </w:rPr>
        <w:t>First floor, North wing</w:t>
      </w:r>
    </w:p>
    <w:p w14:paraId="5B86998C" w14:textId="77777777" w:rsidR="00806415" w:rsidRPr="009D71AB" w:rsidRDefault="00806415" w:rsidP="00806415">
      <w:pPr>
        <w:spacing w:line="276" w:lineRule="auto"/>
        <w:jc w:val="both"/>
        <w:rPr>
          <w:rFonts w:ascii="Times New Roman" w:hAnsi="Times New Roman" w:cs="Times New Roman"/>
          <w:color w:val="212121"/>
          <w:sz w:val="21"/>
          <w:szCs w:val="21"/>
          <w:lang w:val="en-US"/>
        </w:rPr>
      </w:pPr>
      <w:r w:rsidRPr="009D71AB">
        <w:rPr>
          <w:rFonts w:ascii="Times New Roman" w:hAnsi="Times New Roman" w:cs="Times New Roman"/>
          <w:color w:val="212121"/>
          <w:sz w:val="21"/>
          <w:szCs w:val="21"/>
          <w:lang w:val="en-US"/>
        </w:rPr>
        <w:t>Westminster Bridge Road</w:t>
      </w:r>
    </w:p>
    <w:p w14:paraId="1BF1A6BA" w14:textId="55BD7B3B" w:rsidR="00806415" w:rsidRPr="009D71AB" w:rsidRDefault="00806415" w:rsidP="00806415">
      <w:pPr>
        <w:spacing w:line="276" w:lineRule="auto"/>
        <w:jc w:val="both"/>
        <w:rPr>
          <w:rFonts w:ascii="Times New Roman" w:hAnsi="Times New Roman" w:cs="Times New Roman"/>
          <w:color w:val="212121"/>
          <w:sz w:val="21"/>
          <w:szCs w:val="21"/>
          <w:lang w:val="en-US"/>
        </w:rPr>
      </w:pPr>
      <w:r w:rsidRPr="009D71AB">
        <w:rPr>
          <w:rFonts w:ascii="Times New Roman" w:hAnsi="Times New Roman" w:cs="Times New Roman"/>
          <w:color w:val="212121"/>
          <w:sz w:val="21"/>
          <w:szCs w:val="21"/>
          <w:lang w:val="en-US"/>
        </w:rPr>
        <w:t>London       SE1 7EH</w:t>
      </w:r>
    </w:p>
    <w:p w14:paraId="22C28BB1" w14:textId="45EF0C43" w:rsidR="00647133" w:rsidRPr="009D71AB" w:rsidRDefault="00647133" w:rsidP="00806415">
      <w:pPr>
        <w:spacing w:line="276" w:lineRule="auto"/>
        <w:jc w:val="both"/>
        <w:rPr>
          <w:rFonts w:ascii="Times New Roman" w:hAnsi="Times New Roman" w:cs="Times New Roman"/>
          <w:color w:val="212121"/>
          <w:sz w:val="21"/>
          <w:szCs w:val="21"/>
          <w:lang w:val="en-US"/>
        </w:rPr>
      </w:pPr>
      <w:r w:rsidRPr="009D71AB">
        <w:rPr>
          <w:rFonts w:ascii="Times New Roman" w:hAnsi="Times New Roman" w:cs="Times New Roman"/>
          <w:color w:val="212121"/>
          <w:sz w:val="21"/>
          <w:szCs w:val="21"/>
          <w:lang w:val="en-US"/>
        </w:rPr>
        <w:t>hany.zayed@gstt.nhs.uk</w:t>
      </w:r>
    </w:p>
    <w:p w14:paraId="10D239C1" w14:textId="77777777" w:rsidR="00E93849" w:rsidRPr="009D71AB" w:rsidRDefault="00E93849" w:rsidP="001F47C8">
      <w:pPr>
        <w:spacing w:line="360" w:lineRule="auto"/>
        <w:jc w:val="both"/>
        <w:rPr>
          <w:rFonts w:ascii="Times New Roman" w:hAnsi="Times New Roman" w:cs="Times New Roman"/>
          <w:b/>
          <w:bCs/>
          <w:sz w:val="22"/>
          <w:szCs w:val="22"/>
          <w:lang w:val="en-US"/>
        </w:rPr>
      </w:pPr>
    </w:p>
    <w:p w14:paraId="7210B930" w14:textId="35DBFCC4" w:rsidR="00862305" w:rsidRPr="009D71AB" w:rsidRDefault="001F47C8" w:rsidP="00661FF7">
      <w:pPr>
        <w:spacing w:line="276" w:lineRule="auto"/>
        <w:jc w:val="both"/>
        <w:rPr>
          <w:rFonts w:ascii="Times New Roman" w:hAnsi="Times New Roman" w:cs="Times New Roman"/>
          <w:b/>
          <w:bCs/>
          <w:sz w:val="22"/>
          <w:szCs w:val="22"/>
          <w:lang w:val="en-US"/>
        </w:rPr>
      </w:pPr>
      <w:r w:rsidRPr="009D71AB">
        <w:rPr>
          <w:rFonts w:ascii="Times New Roman" w:hAnsi="Times New Roman" w:cs="Times New Roman"/>
          <w:b/>
          <w:bCs/>
          <w:sz w:val="22"/>
          <w:szCs w:val="22"/>
          <w:lang w:val="en-US"/>
        </w:rPr>
        <w:t>Supplementary Materials - Index</w:t>
      </w:r>
    </w:p>
    <w:p w14:paraId="537CBA07" w14:textId="77777777" w:rsidR="001F47C8" w:rsidRPr="009D71AB" w:rsidRDefault="001F47C8" w:rsidP="00661FF7">
      <w:pPr>
        <w:spacing w:line="276" w:lineRule="auto"/>
        <w:jc w:val="both"/>
        <w:rPr>
          <w:rFonts w:ascii="Times New Roman" w:hAnsi="Times New Roman" w:cs="Times New Roman"/>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042"/>
      </w:tblGrid>
      <w:tr w:rsidR="001F47C8" w:rsidRPr="009D71AB" w14:paraId="72A69C66" w14:textId="77777777" w:rsidTr="00426DA4">
        <w:tc>
          <w:tcPr>
            <w:tcW w:w="5400" w:type="dxa"/>
          </w:tcPr>
          <w:p w14:paraId="3F32F19F" w14:textId="71782D96" w:rsidR="001F47C8" w:rsidRPr="009D71AB" w:rsidRDefault="00BA67BD" w:rsidP="00E01251">
            <w:pPr>
              <w:spacing w:line="360" w:lineRule="auto"/>
              <w:jc w:val="both"/>
              <w:rPr>
                <w:rFonts w:ascii="Times New Roman" w:hAnsi="Times New Roman" w:cs="Times New Roman"/>
                <w:b/>
                <w:bCs/>
                <w:lang w:val="en-US"/>
              </w:rPr>
            </w:pPr>
            <w:r w:rsidRPr="009D71AB">
              <w:rPr>
                <w:rFonts w:ascii="Times New Roman" w:hAnsi="Times New Roman" w:cs="Times New Roman"/>
                <w:b/>
                <w:bCs/>
                <w:lang w:val="en-US"/>
              </w:rPr>
              <w:t>Supplementary Methods</w:t>
            </w:r>
          </w:p>
        </w:tc>
        <w:tc>
          <w:tcPr>
            <w:tcW w:w="4042" w:type="dxa"/>
          </w:tcPr>
          <w:p w14:paraId="206C37D5" w14:textId="43338C79" w:rsidR="001F47C8" w:rsidRPr="009D71AB" w:rsidRDefault="001F47C8" w:rsidP="00E01251">
            <w:pPr>
              <w:spacing w:line="360" w:lineRule="auto"/>
              <w:jc w:val="right"/>
              <w:rPr>
                <w:rFonts w:ascii="Times New Roman" w:hAnsi="Times New Roman" w:cs="Times New Roman"/>
                <w:i/>
                <w:iCs/>
                <w:lang w:val="en-US"/>
              </w:rPr>
            </w:pPr>
          </w:p>
        </w:tc>
      </w:tr>
      <w:tr w:rsidR="001F47C8" w:rsidRPr="009D71AB" w14:paraId="3F44FBD9" w14:textId="77777777" w:rsidTr="00495277">
        <w:trPr>
          <w:trHeight w:val="348"/>
        </w:trPr>
        <w:tc>
          <w:tcPr>
            <w:tcW w:w="5400" w:type="dxa"/>
          </w:tcPr>
          <w:p w14:paraId="7CCAF3D4" w14:textId="6ABC5D9B" w:rsidR="00FB424A" w:rsidRPr="00495277" w:rsidRDefault="00495277" w:rsidP="00495277">
            <w:pPr>
              <w:spacing w:line="360" w:lineRule="auto"/>
              <w:ind w:left="182"/>
              <w:jc w:val="both"/>
              <w:rPr>
                <w:rFonts w:ascii="Times New Roman" w:hAnsi="Times New Roman" w:cs="Times New Roman"/>
                <w:lang w:val="en-US"/>
              </w:rPr>
            </w:pPr>
            <w:r>
              <w:rPr>
                <w:rFonts w:ascii="Times New Roman" w:hAnsi="Times New Roman" w:cs="Times New Roman"/>
                <w:lang w:val="en-US"/>
              </w:rPr>
              <w:t>Study details</w:t>
            </w:r>
          </w:p>
        </w:tc>
        <w:tc>
          <w:tcPr>
            <w:tcW w:w="4042" w:type="dxa"/>
          </w:tcPr>
          <w:p w14:paraId="10F9191C" w14:textId="08014C36" w:rsidR="001F47C8" w:rsidRPr="009D71AB" w:rsidRDefault="0033381E" w:rsidP="00E01251">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pag.</w:t>
            </w:r>
            <w:r w:rsidR="001F47C8" w:rsidRPr="009D71AB">
              <w:rPr>
                <w:rFonts w:ascii="Times New Roman" w:hAnsi="Times New Roman" w:cs="Times New Roman"/>
                <w:i/>
                <w:iCs/>
                <w:lang w:val="en-US"/>
              </w:rPr>
              <w:t xml:space="preserve"> </w:t>
            </w:r>
            <w:r w:rsidR="00315567">
              <w:rPr>
                <w:rFonts w:ascii="Times New Roman" w:hAnsi="Times New Roman" w:cs="Times New Roman"/>
                <w:i/>
                <w:iCs/>
                <w:lang w:val="en-US"/>
              </w:rPr>
              <w:t>3</w:t>
            </w:r>
          </w:p>
        </w:tc>
      </w:tr>
      <w:tr w:rsidR="00495277" w:rsidRPr="009D71AB" w14:paraId="0238590D" w14:textId="77777777" w:rsidTr="00426DA4">
        <w:trPr>
          <w:trHeight w:val="346"/>
        </w:trPr>
        <w:tc>
          <w:tcPr>
            <w:tcW w:w="5400" w:type="dxa"/>
          </w:tcPr>
          <w:p w14:paraId="42780828" w14:textId="20B4409D" w:rsidR="00495277" w:rsidRDefault="00495277" w:rsidP="00495277">
            <w:pPr>
              <w:spacing w:line="360" w:lineRule="auto"/>
              <w:ind w:left="182"/>
              <w:jc w:val="both"/>
              <w:rPr>
                <w:rFonts w:ascii="Times New Roman" w:hAnsi="Times New Roman" w:cs="Times New Roman"/>
                <w:lang w:val="en-US"/>
              </w:rPr>
            </w:pPr>
            <w:r>
              <w:rPr>
                <w:rFonts w:ascii="Times New Roman" w:hAnsi="Times New Roman" w:cs="Times New Roman"/>
                <w:lang w:val="en-US"/>
              </w:rPr>
              <w:t>Eligibility</w:t>
            </w:r>
          </w:p>
        </w:tc>
        <w:tc>
          <w:tcPr>
            <w:tcW w:w="4042" w:type="dxa"/>
          </w:tcPr>
          <w:p w14:paraId="11DDBA14" w14:textId="782EC8EA" w:rsidR="00495277" w:rsidRPr="009D71AB" w:rsidRDefault="0097015D" w:rsidP="00E01251">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3</w:t>
            </w:r>
          </w:p>
        </w:tc>
      </w:tr>
      <w:tr w:rsidR="00495277" w:rsidRPr="009D71AB" w14:paraId="655E0143" w14:textId="77777777" w:rsidTr="00426DA4">
        <w:trPr>
          <w:trHeight w:val="346"/>
        </w:trPr>
        <w:tc>
          <w:tcPr>
            <w:tcW w:w="5400" w:type="dxa"/>
          </w:tcPr>
          <w:p w14:paraId="46BCFBA6" w14:textId="4AA473AE" w:rsidR="00495277" w:rsidRDefault="00495277" w:rsidP="00495277">
            <w:pPr>
              <w:spacing w:line="360" w:lineRule="auto"/>
              <w:ind w:left="182"/>
              <w:jc w:val="both"/>
              <w:rPr>
                <w:rFonts w:ascii="Times New Roman" w:hAnsi="Times New Roman" w:cs="Times New Roman"/>
                <w:lang w:val="en-US"/>
              </w:rPr>
            </w:pPr>
            <w:r>
              <w:rPr>
                <w:rFonts w:ascii="Times New Roman" w:hAnsi="Times New Roman" w:cs="Times New Roman"/>
                <w:lang w:val="en-US"/>
              </w:rPr>
              <w:t>Procedural Steps</w:t>
            </w:r>
          </w:p>
        </w:tc>
        <w:tc>
          <w:tcPr>
            <w:tcW w:w="4042" w:type="dxa"/>
          </w:tcPr>
          <w:p w14:paraId="5B0EE46D" w14:textId="3DA7B09A" w:rsidR="00495277" w:rsidRPr="009D71AB" w:rsidRDefault="0097015D" w:rsidP="00E01251">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4</w:t>
            </w:r>
          </w:p>
        </w:tc>
      </w:tr>
      <w:tr w:rsidR="00495277" w:rsidRPr="009D71AB" w14:paraId="795DB6E7" w14:textId="77777777" w:rsidTr="00426DA4">
        <w:trPr>
          <w:trHeight w:val="346"/>
        </w:trPr>
        <w:tc>
          <w:tcPr>
            <w:tcW w:w="5400" w:type="dxa"/>
          </w:tcPr>
          <w:p w14:paraId="6263551C" w14:textId="7CDBE866" w:rsidR="00495277" w:rsidRDefault="00495277" w:rsidP="00495277">
            <w:pPr>
              <w:spacing w:line="360" w:lineRule="auto"/>
              <w:ind w:left="182"/>
              <w:jc w:val="both"/>
              <w:rPr>
                <w:rFonts w:ascii="Times New Roman" w:hAnsi="Times New Roman" w:cs="Times New Roman"/>
                <w:lang w:val="en-US"/>
              </w:rPr>
            </w:pPr>
            <w:r>
              <w:rPr>
                <w:rFonts w:ascii="Times New Roman" w:hAnsi="Times New Roman" w:cs="Times New Roman"/>
                <w:lang w:val="en-US"/>
              </w:rPr>
              <w:t>Study Follow-up</w:t>
            </w:r>
          </w:p>
        </w:tc>
        <w:tc>
          <w:tcPr>
            <w:tcW w:w="4042" w:type="dxa"/>
          </w:tcPr>
          <w:p w14:paraId="17C4F0FC" w14:textId="512D6322" w:rsidR="00495277" w:rsidRPr="009D71AB" w:rsidRDefault="0097015D" w:rsidP="00E01251">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4</w:t>
            </w:r>
          </w:p>
        </w:tc>
      </w:tr>
      <w:tr w:rsidR="00495277" w:rsidRPr="009D71AB" w14:paraId="0CA85973" w14:textId="77777777" w:rsidTr="00426DA4">
        <w:trPr>
          <w:trHeight w:val="346"/>
        </w:trPr>
        <w:tc>
          <w:tcPr>
            <w:tcW w:w="5400" w:type="dxa"/>
          </w:tcPr>
          <w:p w14:paraId="1B3EC770" w14:textId="099818CF" w:rsidR="00495277" w:rsidRDefault="00495277" w:rsidP="00495277">
            <w:pPr>
              <w:spacing w:line="360" w:lineRule="auto"/>
              <w:ind w:left="182"/>
              <w:jc w:val="both"/>
              <w:rPr>
                <w:rFonts w:ascii="Times New Roman" w:hAnsi="Times New Roman" w:cs="Times New Roman"/>
                <w:lang w:val="en-US"/>
              </w:rPr>
            </w:pPr>
            <w:r>
              <w:rPr>
                <w:rFonts w:ascii="Times New Roman" w:hAnsi="Times New Roman" w:cs="Times New Roman"/>
                <w:lang w:val="en-US"/>
              </w:rPr>
              <w:t>Endpoint Details</w:t>
            </w:r>
          </w:p>
        </w:tc>
        <w:tc>
          <w:tcPr>
            <w:tcW w:w="4042" w:type="dxa"/>
          </w:tcPr>
          <w:p w14:paraId="5275CF8E" w14:textId="4B411682" w:rsidR="00495277" w:rsidRPr="009D71AB" w:rsidRDefault="0097015D" w:rsidP="00E01251">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5</w:t>
            </w:r>
          </w:p>
        </w:tc>
      </w:tr>
      <w:tr w:rsidR="00495277" w:rsidRPr="009D71AB" w14:paraId="263C0751" w14:textId="77777777" w:rsidTr="00426DA4">
        <w:trPr>
          <w:trHeight w:val="346"/>
        </w:trPr>
        <w:tc>
          <w:tcPr>
            <w:tcW w:w="5400" w:type="dxa"/>
          </w:tcPr>
          <w:p w14:paraId="317C429B" w14:textId="3D6910EB" w:rsidR="00495277" w:rsidRDefault="00495277" w:rsidP="00495277">
            <w:pPr>
              <w:spacing w:line="360" w:lineRule="auto"/>
              <w:ind w:left="182"/>
              <w:jc w:val="both"/>
              <w:rPr>
                <w:rFonts w:ascii="Times New Roman" w:hAnsi="Times New Roman" w:cs="Times New Roman"/>
                <w:lang w:val="en-US"/>
              </w:rPr>
            </w:pPr>
            <w:r>
              <w:rPr>
                <w:rFonts w:ascii="Times New Roman" w:hAnsi="Times New Roman" w:cs="Times New Roman"/>
                <w:lang w:val="en-US"/>
              </w:rPr>
              <w:t>Duplex Ultrasound Monitoring</w:t>
            </w:r>
          </w:p>
        </w:tc>
        <w:tc>
          <w:tcPr>
            <w:tcW w:w="4042" w:type="dxa"/>
          </w:tcPr>
          <w:p w14:paraId="07140622" w14:textId="4F6888FC" w:rsidR="00495277" w:rsidRPr="009D71AB" w:rsidRDefault="0097015D" w:rsidP="00E01251">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5</w:t>
            </w:r>
          </w:p>
        </w:tc>
      </w:tr>
      <w:tr w:rsidR="00495277" w:rsidRPr="009D71AB" w14:paraId="1BEB213E" w14:textId="77777777" w:rsidTr="00426DA4">
        <w:trPr>
          <w:trHeight w:val="346"/>
        </w:trPr>
        <w:tc>
          <w:tcPr>
            <w:tcW w:w="5400" w:type="dxa"/>
          </w:tcPr>
          <w:p w14:paraId="67F17468" w14:textId="50840C16" w:rsidR="00495277" w:rsidRDefault="00495277" w:rsidP="00E01251">
            <w:pPr>
              <w:spacing w:line="360" w:lineRule="auto"/>
              <w:ind w:left="182"/>
              <w:jc w:val="both"/>
              <w:rPr>
                <w:rFonts w:ascii="Times New Roman" w:hAnsi="Times New Roman" w:cs="Times New Roman"/>
                <w:lang w:val="en-US"/>
              </w:rPr>
            </w:pPr>
            <w:r>
              <w:rPr>
                <w:rFonts w:ascii="Times New Roman" w:hAnsi="Times New Roman" w:cs="Times New Roman"/>
                <w:lang w:val="en-US"/>
              </w:rPr>
              <w:t>Statistical Analysis</w:t>
            </w:r>
          </w:p>
        </w:tc>
        <w:tc>
          <w:tcPr>
            <w:tcW w:w="4042" w:type="dxa"/>
          </w:tcPr>
          <w:p w14:paraId="350BACA6" w14:textId="7FBA1C71" w:rsidR="00495277" w:rsidRPr="009D71AB" w:rsidRDefault="0097015D" w:rsidP="00E01251">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5</w:t>
            </w:r>
          </w:p>
        </w:tc>
      </w:tr>
      <w:tr w:rsidR="00C833A3" w:rsidRPr="009D71AB" w14:paraId="40B3B9A0" w14:textId="77777777" w:rsidTr="00426DA4">
        <w:tc>
          <w:tcPr>
            <w:tcW w:w="5400" w:type="dxa"/>
          </w:tcPr>
          <w:p w14:paraId="7BE7165D" w14:textId="7B93DC85" w:rsidR="00C833A3" w:rsidRPr="00495277" w:rsidRDefault="00495277" w:rsidP="00C833A3">
            <w:pPr>
              <w:spacing w:line="360" w:lineRule="auto"/>
              <w:jc w:val="both"/>
              <w:rPr>
                <w:rFonts w:ascii="Times New Roman" w:hAnsi="Times New Roman" w:cs="Times New Roman"/>
                <w:b/>
                <w:bCs/>
                <w:lang w:val="en-US"/>
              </w:rPr>
            </w:pPr>
            <w:r w:rsidRPr="00495277">
              <w:rPr>
                <w:rFonts w:ascii="Times New Roman" w:hAnsi="Times New Roman" w:cs="Times New Roman"/>
                <w:b/>
                <w:bCs/>
                <w:lang w:val="en-US"/>
              </w:rPr>
              <w:t>Supplementary Results</w:t>
            </w:r>
          </w:p>
        </w:tc>
        <w:tc>
          <w:tcPr>
            <w:tcW w:w="4042" w:type="dxa"/>
          </w:tcPr>
          <w:p w14:paraId="6B51EB10" w14:textId="1539BC60" w:rsidR="00C833A3" w:rsidRPr="009D71AB" w:rsidRDefault="00C833A3" w:rsidP="00C833A3">
            <w:pPr>
              <w:spacing w:line="360" w:lineRule="auto"/>
              <w:jc w:val="right"/>
              <w:rPr>
                <w:rFonts w:ascii="Times New Roman" w:hAnsi="Times New Roman" w:cs="Times New Roman"/>
                <w:i/>
                <w:iCs/>
                <w:lang w:val="en-US"/>
              </w:rPr>
            </w:pPr>
          </w:p>
        </w:tc>
      </w:tr>
      <w:tr w:rsidR="00495277" w:rsidRPr="009D71AB" w14:paraId="71F287F5" w14:textId="77777777" w:rsidTr="00426DA4">
        <w:tc>
          <w:tcPr>
            <w:tcW w:w="5400" w:type="dxa"/>
          </w:tcPr>
          <w:p w14:paraId="40B48D67" w14:textId="02CBBC87" w:rsidR="00495277" w:rsidRPr="00495277" w:rsidRDefault="00495277" w:rsidP="00B07E61">
            <w:pPr>
              <w:spacing w:line="360" w:lineRule="auto"/>
              <w:ind w:left="161"/>
              <w:jc w:val="both"/>
              <w:rPr>
                <w:rFonts w:ascii="Times New Roman" w:hAnsi="Times New Roman" w:cs="Times New Roman"/>
                <w:lang w:val="en-US"/>
              </w:rPr>
            </w:pPr>
            <w:r w:rsidRPr="00495277">
              <w:rPr>
                <w:rFonts w:ascii="Times New Roman" w:hAnsi="Times New Roman" w:cs="Times New Roman"/>
                <w:lang w:val="en-US"/>
              </w:rPr>
              <w:t>Patients</w:t>
            </w:r>
          </w:p>
        </w:tc>
        <w:tc>
          <w:tcPr>
            <w:tcW w:w="4042" w:type="dxa"/>
          </w:tcPr>
          <w:p w14:paraId="69A1742B" w14:textId="77C3FACF" w:rsidR="00495277" w:rsidRPr="009D71AB" w:rsidRDefault="0097015D" w:rsidP="00C833A3">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6</w:t>
            </w:r>
          </w:p>
        </w:tc>
      </w:tr>
      <w:tr w:rsidR="00B07E61" w:rsidRPr="009D71AB" w14:paraId="43841E4E" w14:textId="77777777" w:rsidTr="00426DA4">
        <w:tc>
          <w:tcPr>
            <w:tcW w:w="5400" w:type="dxa"/>
          </w:tcPr>
          <w:p w14:paraId="310E1CCD" w14:textId="0B4B47DB" w:rsidR="00B07E61" w:rsidRPr="00495277" w:rsidRDefault="00B07E61" w:rsidP="00B07E61">
            <w:pPr>
              <w:spacing w:line="360" w:lineRule="auto"/>
              <w:ind w:left="161"/>
              <w:jc w:val="both"/>
              <w:rPr>
                <w:rFonts w:ascii="Times New Roman" w:hAnsi="Times New Roman" w:cs="Times New Roman"/>
                <w:lang w:val="en-US"/>
              </w:rPr>
            </w:pPr>
            <w:r>
              <w:rPr>
                <w:rFonts w:ascii="Times New Roman" w:hAnsi="Times New Roman" w:cs="Times New Roman"/>
                <w:lang w:val="en-US"/>
              </w:rPr>
              <w:t>Procedural Outcomes</w:t>
            </w:r>
          </w:p>
        </w:tc>
        <w:tc>
          <w:tcPr>
            <w:tcW w:w="4042" w:type="dxa"/>
          </w:tcPr>
          <w:p w14:paraId="0573B8C5" w14:textId="4027094D" w:rsidR="00B07E61" w:rsidRPr="009D71AB" w:rsidRDefault="0097015D" w:rsidP="00C833A3">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6</w:t>
            </w:r>
          </w:p>
        </w:tc>
      </w:tr>
      <w:tr w:rsidR="00B07E61" w:rsidRPr="009D71AB" w14:paraId="4A5212A1" w14:textId="77777777" w:rsidTr="00426DA4">
        <w:tc>
          <w:tcPr>
            <w:tcW w:w="5400" w:type="dxa"/>
          </w:tcPr>
          <w:p w14:paraId="2CE69CB5" w14:textId="2287AC27" w:rsidR="00B07E61" w:rsidRPr="00495277" w:rsidRDefault="00B07E61" w:rsidP="00B07E61">
            <w:pPr>
              <w:spacing w:line="360" w:lineRule="auto"/>
              <w:ind w:left="161"/>
              <w:jc w:val="both"/>
              <w:rPr>
                <w:rFonts w:ascii="Times New Roman" w:hAnsi="Times New Roman" w:cs="Times New Roman"/>
                <w:lang w:val="en-US"/>
              </w:rPr>
            </w:pPr>
            <w:r>
              <w:rPr>
                <w:rFonts w:ascii="Times New Roman" w:hAnsi="Times New Roman" w:cs="Times New Roman"/>
                <w:lang w:val="en-US"/>
              </w:rPr>
              <w:t>Study Deaths</w:t>
            </w:r>
          </w:p>
        </w:tc>
        <w:tc>
          <w:tcPr>
            <w:tcW w:w="4042" w:type="dxa"/>
          </w:tcPr>
          <w:p w14:paraId="26168DFE" w14:textId="7A2D17E9" w:rsidR="00B07E61" w:rsidRPr="009D71AB" w:rsidRDefault="0097015D" w:rsidP="00C833A3">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6</w:t>
            </w:r>
          </w:p>
        </w:tc>
      </w:tr>
      <w:tr w:rsidR="00B07E61" w:rsidRPr="009D71AB" w14:paraId="5A90F81F" w14:textId="77777777" w:rsidTr="00426DA4">
        <w:tc>
          <w:tcPr>
            <w:tcW w:w="5400" w:type="dxa"/>
          </w:tcPr>
          <w:p w14:paraId="2C26D3EB" w14:textId="42360255" w:rsidR="00B07E61" w:rsidRDefault="00B07E61" w:rsidP="00B07E61">
            <w:pPr>
              <w:spacing w:line="360" w:lineRule="auto"/>
              <w:ind w:left="161"/>
              <w:jc w:val="both"/>
              <w:rPr>
                <w:rFonts w:ascii="Times New Roman" w:hAnsi="Times New Roman" w:cs="Times New Roman"/>
                <w:lang w:val="en-US"/>
              </w:rPr>
            </w:pPr>
            <w:r>
              <w:rPr>
                <w:rFonts w:ascii="Times New Roman" w:hAnsi="Times New Roman" w:cs="Times New Roman"/>
                <w:lang w:val="en-US"/>
              </w:rPr>
              <w:t>Clinically-</w:t>
            </w:r>
            <w:r w:rsidR="0051088C">
              <w:rPr>
                <w:rFonts w:ascii="Times New Roman" w:hAnsi="Times New Roman" w:cs="Times New Roman"/>
                <w:lang w:val="en-US"/>
              </w:rPr>
              <w:t xml:space="preserve">driven </w:t>
            </w:r>
            <w:r>
              <w:rPr>
                <w:rFonts w:ascii="Times New Roman" w:hAnsi="Times New Roman" w:cs="Times New Roman"/>
                <w:lang w:val="en-US"/>
              </w:rPr>
              <w:t>Interventions</w:t>
            </w:r>
          </w:p>
        </w:tc>
        <w:tc>
          <w:tcPr>
            <w:tcW w:w="4042" w:type="dxa"/>
          </w:tcPr>
          <w:p w14:paraId="689C9870" w14:textId="78434C8B" w:rsidR="00B07E61" w:rsidRPr="009D71AB" w:rsidRDefault="0097015D" w:rsidP="00C833A3">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7</w:t>
            </w:r>
          </w:p>
        </w:tc>
      </w:tr>
      <w:tr w:rsidR="00B07E61" w:rsidRPr="009D71AB" w14:paraId="1D72694F" w14:textId="77777777" w:rsidTr="00426DA4">
        <w:tc>
          <w:tcPr>
            <w:tcW w:w="5400" w:type="dxa"/>
          </w:tcPr>
          <w:p w14:paraId="19B5CDF2" w14:textId="58C3DC50" w:rsidR="00B07E61" w:rsidRDefault="00B07E61" w:rsidP="00B07E61">
            <w:pPr>
              <w:spacing w:line="360" w:lineRule="auto"/>
              <w:jc w:val="both"/>
              <w:rPr>
                <w:rFonts w:ascii="Times New Roman" w:hAnsi="Times New Roman" w:cs="Times New Roman"/>
                <w:lang w:val="en-US"/>
              </w:rPr>
            </w:pPr>
            <w:r w:rsidRPr="00B07E61">
              <w:rPr>
                <w:rFonts w:ascii="Times New Roman" w:hAnsi="Times New Roman" w:cs="Times New Roman"/>
                <w:b/>
                <w:bCs/>
                <w:lang w:val="en-US"/>
              </w:rPr>
              <w:t>Supplementary Discussion</w:t>
            </w:r>
          </w:p>
        </w:tc>
        <w:tc>
          <w:tcPr>
            <w:tcW w:w="4042" w:type="dxa"/>
          </w:tcPr>
          <w:p w14:paraId="6EAA7C60" w14:textId="4ABD9D54" w:rsidR="00B07E61" w:rsidRPr="009D71AB" w:rsidRDefault="0097015D" w:rsidP="00C833A3">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315567">
              <w:rPr>
                <w:rFonts w:ascii="Times New Roman" w:hAnsi="Times New Roman" w:cs="Times New Roman"/>
                <w:i/>
                <w:iCs/>
                <w:lang w:val="en-US"/>
              </w:rPr>
              <w:t>7</w:t>
            </w:r>
          </w:p>
        </w:tc>
      </w:tr>
      <w:tr w:rsidR="00B07E61" w:rsidRPr="009D71AB" w14:paraId="56E75898" w14:textId="77777777" w:rsidTr="00426DA4">
        <w:tc>
          <w:tcPr>
            <w:tcW w:w="5400" w:type="dxa"/>
          </w:tcPr>
          <w:p w14:paraId="5EC309F0" w14:textId="08EA6FDF" w:rsidR="00B07E61" w:rsidRPr="00B07E61" w:rsidRDefault="00B07E61" w:rsidP="00B07E61">
            <w:pPr>
              <w:spacing w:line="360" w:lineRule="auto"/>
              <w:jc w:val="both"/>
              <w:rPr>
                <w:rFonts w:ascii="Times New Roman" w:hAnsi="Times New Roman" w:cs="Times New Roman"/>
                <w:b/>
                <w:bCs/>
                <w:lang w:val="en-US"/>
              </w:rPr>
            </w:pPr>
            <w:r>
              <w:rPr>
                <w:rFonts w:ascii="Times New Roman" w:hAnsi="Times New Roman" w:cs="Times New Roman"/>
                <w:b/>
                <w:bCs/>
                <w:lang w:val="en-US"/>
              </w:rPr>
              <w:lastRenderedPageBreak/>
              <w:t>Supplementary Figures and Tables</w:t>
            </w:r>
          </w:p>
        </w:tc>
        <w:tc>
          <w:tcPr>
            <w:tcW w:w="4042" w:type="dxa"/>
          </w:tcPr>
          <w:p w14:paraId="7B61181F" w14:textId="77777777" w:rsidR="00B07E61" w:rsidRPr="009D71AB" w:rsidRDefault="00B07E61" w:rsidP="00C833A3">
            <w:pPr>
              <w:spacing w:line="360" w:lineRule="auto"/>
              <w:jc w:val="right"/>
              <w:rPr>
                <w:rFonts w:ascii="Times New Roman" w:hAnsi="Times New Roman" w:cs="Times New Roman"/>
                <w:i/>
                <w:iCs/>
                <w:lang w:val="en-US"/>
              </w:rPr>
            </w:pPr>
          </w:p>
        </w:tc>
      </w:tr>
      <w:tr w:rsidR="00B07E61" w:rsidRPr="009D71AB" w14:paraId="238140FF" w14:textId="77777777" w:rsidTr="00426DA4">
        <w:tc>
          <w:tcPr>
            <w:tcW w:w="5400" w:type="dxa"/>
          </w:tcPr>
          <w:p w14:paraId="5D700021" w14:textId="224EF4C0" w:rsidR="00B07E61" w:rsidRPr="00B07E61" w:rsidRDefault="00B07E61" w:rsidP="00B07E61">
            <w:pPr>
              <w:spacing w:line="360" w:lineRule="auto"/>
              <w:ind w:firstLine="161"/>
              <w:jc w:val="both"/>
              <w:rPr>
                <w:rFonts w:ascii="Times New Roman" w:hAnsi="Times New Roman" w:cs="Times New Roman"/>
                <w:lang w:val="en-US"/>
              </w:rPr>
            </w:pPr>
            <w:r w:rsidRPr="00B07E61">
              <w:rPr>
                <w:rFonts w:ascii="Times New Roman" w:hAnsi="Times New Roman" w:cs="Times New Roman"/>
                <w:lang w:val="en-US"/>
              </w:rPr>
              <w:t>Figure S1</w:t>
            </w:r>
          </w:p>
        </w:tc>
        <w:tc>
          <w:tcPr>
            <w:tcW w:w="4042" w:type="dxa"/>
          </w:tcPr>
          <w:p w14:paraId="2CC1D7D1" w14:textId="40D743D8" w:rsidR="00B07E61" w:rsidRPr="009D71AB" w:rsidRDefault="0097015D" w:rsidP="00C833A3">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8A31DC">
              <w:rPr>
                <w:rFonts w:ascii="Times New Roman" w:hAnsi="Times New Roman" w:cs="Times New Roman"/>
                <w:i/>
                <w:iCs/>
                <w:lang w:val="en-US"/>
              </w:rPr>
              <w:t>8</w:t>
            </w:r>
          </w:p>
        </w:tc>
      </w:tr>
      <w:tr w:rsidR="0097015D" w:rsidRPr="009D71AB" w14:paraId="2DF1EDFC" w14:textId="77777777" w:rsidTr="00426DA4">
        <w:tc>
          <w:tcPr>
            <w:tcW w:w="5400" w:type="dxa"/>
          </w:tcPr>
          <w:p w14:paraId="435D58AD" w14:textId="74105069" w:rsidR="0097015D" w:rsidRDefault="0097015D" w:rsidP="00B07E61">
            <w:pPr>
              <w:spacing w:line="360" w:lineRule="auto"/>
              <w:ind w:firstLine="161"/>
              <w:jc w:val="both"/>
              <w:rPr>
                <w:rFonts w:ascii="Times New Roman" w:hAnsi="Times New Roman" w:cs="Times New Roman"/>
                <w:lang w:val="en-US"/>
              </w:rPr>
            </w:pPr>
            <w:r>
              <w:rPr>
                <w:rFonts w:ascii="Times New Roman" w:hAnsi="Times New Roman" w:cs="Times New Roman"/>
                <w:lang w:val="en-US"/>
              </w:rPr>
              <w:t>Table S1</w:t>
            </w:r>
          </w:p>
        </w:tc>
        <w:tc>
          <w:tcPr>
            <w:tcW w:w="4042" w:type="dxa"/>
          </w:tcPr>
          <w:p w14:paraId="6F1FB1B9" w14:textId="12089CED" w:rsidR="0097015D" w:rsidRPr="009D71AB" w:rsidRDefault="0097015D" w:rsidP="00C833A3">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5A3CC0">
              <w:rPr>
                <w:rFonts w:ascii="Times New Roman" w:hAnsi="Times New Roman" w:cs="Times New Roman"/>
                <w:i/>
                <w:iCs/>
                <w:lang w:val="en-US"/>
              </w:rPr>
              <w:t>6</w:t>
            </w:r>
          </w:p>
        </w:tc>
      </w:tr>
      <w:tr w:rsidR="0097015D" w:rsidRPr="009D71AB" w14:paraId="7BE983F3" w14:textId="77777777" w:rsidTr="00426DA4">
        <w:tc>
          <w:tcPr>
            <w:tcW w:w="5400" w:type="dxa"/>
          </w:tcPr>
          <w:p w14:paraId="408CAB71" w14:textId="066B2E0E" w:rsidR="0097015D" w:rsidRDefault="0097015D" w:rsidP="00B07E61">
            <w:pPr>
              <w:spacing w:line="360" w:lineRule="auto"/>
              <w:ind w:firstLine="161"/>
              <w:jc w:val="both"/>
              <w:rPr>
                <w:rFonts w:ascii="Times New Roman" w:hAnsi="Times New Roman" w:cs="Times New Roman"/>
                <w:lang w:val="en-US"/>
              </w:rPr>
            </w:pPr>
            <w:r>
              <w:rPr>
                <w:rFonts w:ascii="Times New Roman" w:hAnsi="Times New Roman" w:cs="Times New Roman"/>
                <w:lang w:val="en-US"/>
              </w:rPr>
              <w:t>Table S2</w:t>
            </w:r>
          </w:p>
        </w:tc>
        <w:tc>
          <w:tcPr>
            <w:tcW w:w="4042" w:type="dxa"/>
          </w:tcPr>
          <w:p w14:paraId="6F99D767" w14:textId="0F1229CC" w:rsidR="0097015D" w:rsidRPr="009D71AB" w:rsidRDefault="0097015D" w:rsidP="00C833A3">
            <w:pPr>
              <w:spacing w:line="360" w:lineRule="auto"/>
              <w:jc w:val="right"/>
              <w:rPr>
                <w:rFonts w:ascii="Times New Roman" w:hAnsi="Times New Roman" w:cs="Times New Roman"/>
                <w:i/>
                <w:iCs/>
                <w:lang w:val="en-US"/>
              </w:rPr>
            </w:pPr>
            <w:r w:rsidRPr="009D71AB">
              <w:rPr>
                <w:rFonts w:ascii="Times New Roman" w:hAnsi="Times New Roman" w:cs="Times New Roman"/>
                <w:i/>
                <w:iCs/>
                <w:lang w:val="en-US"/>
              </w:rPr>
              <w:t xml:space="preserve">pag. </w:t>
            </w:r>
            <w:r w:rsidR="005A3CC0">
              <w:rPr>
                <w:rFonts w:ascii="Times New Roman" w:hAnsi="Times New Roman" w:cs="Times New Roman"/>
                <w:i/>
                <w:iCs/>
                <w:lang w:val="en-US"/>
              </w:rPr>
              <w:t>7</w:t>
            </w:r>
          </w:p>
        </w:tc>
      </w:tr>
      <w:tr w:rsidR="005A3CC0" w:rsidRPr="009D71AB" w14:paraId="251EE3FC" w14:textId="77777777" w:rsidTr="00426DA4">
        <w:tc>
          <w:tcPr>
            <w:tcW w:w="5400" w:type="dxa"/>
          </w:tcPr>
          <w:p w14:paraId="1F1E6189" w14:textId="7856840F" w:rsidR="005A3CC0" w:rsidRDefault="005A3CC0" w:rsidP="00B07E61">
            <w:pPr>
              <w:spacing w:line="360" w:lineRule="auto"/>
              <w:ind w:firstLine="161"/>
              <w:jc w:val="both"/>
              <w:rPr>
                <w:rFonts w:ascii="Times New Roman" w:hAnsi="Times New Roman" w:cs="Times New Roman"/>
                <w:lang w:val="en-US"/>
              </w:rPr>
            </w:pPr>
            <w:r>
              <w:rPr>
                <w:rFonts w:ascii="Times New Roman" w:hAnsi="Times New Roman" w:cs="Times New Roman"/>
                <w:lang w:val="en-US"/>
              </w:rPr>
              <w:t>Table S3</w:t>
            </w:r>
          </w:p>
        </w:tc>
        <w:tc>
          <w:tcPr>
            <w:tcW w:w="4042" w:type="dxa"/>
          </w:tcPr>
          <w:p w14:paraId="6B9097DD" w14:textId="6000DCF8" w:rsidR="005A3CC0" w:rsidRPr="009D71AB" w:rsidRDefault="005A3CC0" w:rsidP="00C833A3">
            <w:pPr>
              <w:spacing w:line="360" w:lineRule="auto"/>
              <w:jc w:val="right"/>
              <w:rPr>
                <w:rFonts w:ascii="Times New Roman" w:hAnsi="Times New Roman" w:cs="Times New Roman"/>
                <w:i/>
                <w:iCs/>
                <w:lang w:val="en-US"/>
              </w:rPr>
            </w:pPr>
            <w:r>
              <w:rPr>
                <w:rFonts w:ascii="Times New Roman" w:hAnsi="Times New Roman" w:cs="Times New Roman"/>
                <w:i/>
                <w:iCs/>
                <w:lang w:val="en-US"/>
              </w:rPr>
              <w:t>Pag. 9</w:t>
            </w:r>
          </w:p>
        </w:tc>
      </w:tr>
      <w:tr w:rsidR="0097015D" w:rsidRPr="009D71AB" w14:paraId="5395DA55" w14:textId="77777777" w:rsidTr="00426DA4">
        <w:tc>
          <w:tcPr>
            <w:tcW w:w="5400" w:type="dxa"/>
          </w:tcPr>
          <w:p w14:paraId="1343DD28" w14:textId="49B6E2BA" w:rsidR="0097015D" w:rsidRPr="0097015D" w:rsidRDefault="0097015D" w:rsidP="0097015D">
            <w:pPr>
              <w:spacing w:line="360" w:lineRule="auto"/>
              <w:jc w:val="both"/>
              <w:rPr>
                <w:rFonts w:ascii="Times New Roman" w:hAnsi="Times New Roman" w:cs="Times New Roman"/>
                <w:b/>
                <w:bCs/>
                <w:lang w:val="en-US"/>
              </w:rPr>
            </w:pPr>
            <w:r w:rsidRPr="0097015D">
              <w:rPr>
                <w:rFonts w:ascii="Times New Roman" w:hAnsi="Times New Roman" w:cs="Times New Roman"/>
                <w:b/>
                <w:bCs/>
                <w:lang w:val="en-US"/>
              </w:rPr>
              <w:t>References</w:t>
            </w:r>
          </w:p>
        </w:tc>
        <w:tc>
          <w:tcPr>
            <w:tcW w:w="4042" w:type="dxa"/>
          </w:tcPr>
          <w:p w14:paraId="2D87F384" w14:textId="65A277CC" w:rsidR="0097015D" w:rsidRPr="009D71AB" w:rsidRDefault="008A31DC" w:rsidP="00C833A3">
            <w:pPr>
              <w:spacing w:line="360" w:lineRule="auto"/>
              <w:jc w:val="right"/>
              <w:rPr>
                <w:rFonts w:ascii="Times New Roman" w:hAnsi="Times New Roman" w:cs="Times New Roman"/>
                <w:i/>
                <w:iCs/>
                <w:lang w:val="en-US"/>
              </w:rPr>
            </w:pPr>
            <w:r>
              <w:rPr>
                <w:rFonts w:ascii="Times New Roman" w:hAnsi="Times New Roman" w:cs="Times New Roman"/>
                <w:i/>
                <w:iCs/>
                <w:lang w:val="en-US"/>
              </w:rPr>
              <w:t xml:space="preserve">pag. </w:t>
            </w:r>
            <w:r w:rsidR="009B70D2">
              <w:rPr>
                <w:rFonts w:ascii="Times New Roman" w:hAnsi="Times New Roman" w:cs="Times New Roman"/>
                <w:i/>
                <w:iCs/>
                <w:lang w:val="en-US"/>
              </w:rPr>
              <w:t>11</w:t>
            </w:r>
          </w:p>
        </w:tc>
      </w:tr>
    </w:tbl>
    <w:p w14:paraId="61FC6647" w14:textId="77777777" w:rsidR="00647133" w:rsidRPr="009D71AB" w:rsidRDefault="00647133" w:rsidP="00647133">
      <w:pPr>
        <w:rPr>
          <w:rFonts w:ascii="Times New Roman" w:hAnsi="Times New Roman" w:cs="Times New Roman"/>
          <w:b/>
          <w:bCs/>
          <w:lang w:val="en-GB"/>
        </w:rPr>
      </w:pPr>
    </w:p>
    <w:p w14:paraId="502E5217" w14:textId="77777777" w:rsidR="00647133" w:rsidRPr="009D71AB" w:rsidRDefault="00647133">
      <w:pPr>
        <w:rPr>
          <w:rFonts w:ascii="Times New Roman" w:hAnsi="Times New Roman" w:cs="Times New Roman"/>
          <w:b/>
          <w:bCs/>
          <w:lang w:val="en-GB"/>
        </w:rPr>
      </w:pPr>
      <w:r w:rsidRPr="009D71AB">
        <w:rPr>
          <w:rFonts w:ascii="Times New Roman" w:hAnsi="Times New Roman" w:cs="Times New Roman"/>
          <w:b/>
          <w:bCs/>
          <w:lang w:val="en-GB"/>
        </w:rPr>
        <w:br w:type="page"/>
      </w:r>
    </w:p>
    <w:p w14:paraId="07D0695F" w14:textId="22FC7351" w:rsidR="004454B7" w:rsidRPr="00315567" w:rsidRDefault="004454B7" w:rsidP="00647133">
      <w:pPr>
        <w:rPr>
          <w:rFonts w:ascii="Times New Roman" w:hAnsi="Times New Roman" w:cs="Times New Roman"/>
          <w:b/>
          <w:bCs/>
          <w:sz w:val="22"/>
          <w:szCs w:val="22"/>
          <w:lang w:val="en-GB"/>
        </w:rPr>
      </w:pPr>
      <w:r w:rsidRPr="00315567">
        <w:rPr>
          <w:rFonts w:ascii="Times New Roman" w:hAnsi="Times New Roman" w:cs="Times New Roman"/>
          <w:b/>
          <w:bCs/>
          <w:sz w:val="22"/>
          <w:szCs w:val="22"/>
          <w:lang w:val="en-GB"/>
        </w:rPr>
        <w:lastRenderedPageBreak/>
        <w:t>Supplementary Methods</w:t>
      </w:r>
    </w:p>
    <w:p w14:paraId="4AE543C5" w14:textId="77777777" w:rsidR="004454B7" w:rsidRPr="00315567" w:rsidRDefault="004454B7" w:rsidP="00647133">
      <w:pPr>
        <w:rPr>
          <w:rFonts w:ascii="Times New Roman" w:hAnsi="Times New Roman" w:cs="Times New Roman"/>
          <w:b/>
          <w:bCs/>
          <w:sz w:val="22"/>
          <w:szCs w:val="22"/>
          <w:lang w:val="en-GB"/>
        </w:rPr>
      </w:pPr>
    </w:p>
    <w:p w14:paraId="649BAED9" w14:textId="04D2EBB9" w:rsidR="00044C1C" w:rsidRPr="00315567" w:rsidRDefault="00044C1C" w:rsidP="00647133">
      <w:pPr>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t>Study details</w:t>
      </w:r>
    </w:p>
    <w:p w14:paraId="4F7364AF" w14:textId="77777777" w:rsidR="00044C1C" w:rsidRPr="00315567" w:rsidRDefault="00044C1C" w:rsidP="00647133">
      <w:pPr>
        <w:rPr>
          <w:rFonts w:ascii="Times New Roman" w:hAnsi="Times New Roman" w:cs="Times New Roman"/>
          <w:sz w:val="22"/>
          <w:szCs w:val="22"/>
          <w:lang w:val="en-GB"/>
        </w:rPr>
      </w:pPr>
    </w:p>
    <w:p w14:paraId="6FD832EE" w14:textId="00D2CABD" w:rsidR="003F7943" w:rsidRPr="00315567" w:rsidRDefault="00044C1C" w:rsidP="00510E06">
      <w:pPr>
        <w:autoSpaceDE w:val="0"/>
        <w:autoSpaceDN w:val="0"/>
        <w:adjustRightInd w:val="0"/>
        <w:spacing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 xml:space="preserve">The sponsor funded all trial-related activities and participated in site selection, data collection and monitoring, and statistical analysis. The principal investigators monitored all aspects of trial conduct and had unrestricted access to the data. Clinical events were adjudicated by an independent Clinical Events Committee (CEC) and all wound images were reviewed by an independent podiatric surgeon. </w:t>
      </w:r>
    </w:p>
    <w:p w14:paraId="35F866F5" w14:textId="26DC015E" w:rsidR="003F7943" w:rsidRPr="00315567" w:rsidRDefault="003F7943" w:rsidP="00510E06">
      <w:pPr>
        <w:autoSpaceDE w:val="0"/>
        <w:autoSpaceDN w:val="0"/>
        <w:adjustRightInd w:val="0"/>
        <w:spacing w:line="480" w:lineRule="auto"/>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t>Eligibility</w:t>
      </w:r>
    </w:p>
    <w:p w14:paraId="362A3177" w14:textId="4D26CCDB" w:rsidR="003F7943" w:rsidRPr="00315567" w:rsidRDefault="003F7943" w:rsidP="003F7943">
      <w:pPr>
        <w:pStyle w:val="ListParagraph"/>
        <w:rPr>
          <w:rFonts w:ascii="Times New Roman" w:hAnsi="Times New Roman" w:cs="Times New Roman"/>
          <w:lang w:val="en-GB"/>
        </w:rPr>
      </w:pPr>
      <w:r w:rsidRPr="00315567">
        <w:rPr>
          <w:rFonts w:ascii="Times New Roman" w:hAnsi="Times New Roman" w:cs="Times New Roman"/>
          <w:lang w:val="en-GB"/>
        </w:rPr>
        <w:t>Inclusion Criteria:</w:t>
      </w:r>
    </w:p>
    <w:p w14:paraId="24CD7FC0" w14:textId="77777777" w:rsidR="003F7943" w:rsidRPr="00315567" w:rsidRDefault="003F7943" w:rsidP="006C4710">
      <w:pPr>
        <w:pStyle w:val="ListParagraph"/>
        <w:widowControl w:val="0"/>
        <w:numPr>
          <w:ilvl w:val="0"/>
          <w:numId w:val="3"/>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Subject must be &gt; 21 and &lt; 95 years of age</w:t>
      </w:r>
    </w:p>
    <w:p w14:paraId="7AAABDA4" w14:textId="77777777" w:rsidR="003F7943" w:rsidRPr="00315567" w:rsidRDefault="003F7943" w:rsidP="006C4710">
      <w:pPr>
        <w:pStyle w:val="ListParagraph"/>
        <w:widowControl w:val="0"/>
        <w:numPr>
          <w:ilvl w:val="0"/>
          <w:numId w:val="3"/>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Clinical diagnosis of symptomatic critical limb ischaemia, defined as Rutherford category 5 or 6</w:t>
      </w:r>
    </w:p>
    <w:p w14:paraId="033A3511" w14:textId="77777777" w:rsidR="003F7943" w:rsidRPr="00315567" w:rsidRDefault="003F7943" w:rsidP="006C4710">
      <w:pPr>
        <w:pStyle w:val="ListParagraph"/>
        <w:widowControl w:val="0"/>
        <w:numPr>
          <w:ilvl w:val="0"/>
          <w:numId w:val="3"/>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Assessment that no conventional surgical or endovascular treatment is possible</w:t>
      </w:r>
    </w:p>
    <w:p w14:paraId="6B1283A5" w14:textId="77777777" w:rsidR="003F7943" w:rsidRPr="00315567" w:rsidRDefault="003F7943" w:rsidP="006C4710">
      <w:pPr>
        <w:pStyle w:val="ListParagraph"/>
        <w:widowControl w:val="0"/>
        <w:numPr>
          <w:ilvl w:val="0"/>
          <w:numId w:val="3"/>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Proximally, the target in-flow artery at the cross-over point must be treatable with a 3.5 – 4.0 mm stent after pre-treatment (by visual estimate), and be &lt;50% stenosed</w:t>
      </w:r>
    </w:p>
    <w:p w14:paraId="4051532B" w14:textId="77777777" w:rsidR="003F7943" w:rsidRPr="00315567" w:rsidRDefault="003F7943" w:rsidP="006C4710">
      <w:pPr>
        <w:pStyle w:val="ListParagraph"/>
        <w:widowControl w:val="0"/>
        <w:numPr>
          <w:ilvl w:val="0"/>
          <w:numId w:val="3"/>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Subject is willing and has adequate support to comply with protocol requirements, including medication regimen and follow-up visits</w:t>
      </w:r>
    </w:p>
    <w:p w14:paraId="26225033" w14:textId="3A518097" w:rsidR="003F7943" w:rsidRPr="00315567" w:rsidRDefault="003F7943" w:rsidP="006C4710">
      <w:pPr>
        <w:widowControl w:val="0"/>
        <w:tabs>
          <w:tab w:val="left" w:pos="1134"/>
        </w:tabs>
        <w:spacing w:after="180"/>
        <w:ind w:firstLine="720"/>
        <w:jc w:val="both"/>
        <w:rPr>
          <w:rFonts w:ascii="Times New Roman" w:hAnsi="Times New Roman" w:cs="Times New Roman"/>
          <w:sz w:val="22"/>
          <w:szCs w:val="22"/>
          <w:lang w:val="en-GB"/>
        </w:rPr>
      </w:pPr>
      <w:r w:rsidRPr="00315567">
        <w:rPr>
          <w:rFonts w:ascii="Times New Roman" w:hAnsi="Times New Roman" w:cs="Times New Roman"/>
          <w:sz w:val="22"/>
          <w:szCs w:val="22"/>
          <w:lang w:val="en-GB"/>
        </w:rPr>
        <w:t>Exclusion Criteria:</w:t>
      </w:r>
    </w:p>
    <w:p w14:paraId="64E44F0D"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Concomitant hepatic insufficiency, deep venous thrombus in target limb, uncorrected coagulation disorders, or current immunodeficiency disorder</w:t>
      </w:r>
    </w:p>
    <w:p w14:paraId="25B98E1A"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Life expectancy less than 12 months</w:t>
      </w:r>
    </w:p>
    <w:p w14:paraId="5A8D2FE5"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Patient currently taking coumarin/warfarin which, in the opinion of the attending physician, interferes with the patient’s treatment</w:t>
      </w:r>
    </w:p>
    <w:p w14:paraId="757343B9"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Any significant medical condition which, in the attending physician’s opinion, may interfere with the patient’s optimal treatment</w:t>
      </w:r>
    </w:p>
    <w:p w14:paraId="61FA00BF"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Patient currently participating in another investigational drug or device study that has not completed the primary endpoint or that clinically interferes with the endpoints of this treatment</w:t>
      </w:r>
    </w:p>
    <w:p w14:paraId="4EFB98FF"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Patient unable to give consent</w:t>
      </w:r>
    </w:p>
    <w:p w14:paraId="252940E9"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Pregnant or breastfeeding women</w:t>
      </w:r>
    </w:p>
    <w:p w14:paraId="3AABEF0E"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Documented myocardial infarction or stroke within previous 90 days</w:t>
      </w:r>
    </w:p>
    <w:p w14:paraId="70FEBFB4"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Patients suffering from renal insufficiency (GFR value less than 30 ml/min/1.73 m²) who are not on haemodialysis</w:t>
      </w:r>
    </w:p>
    <w:p w14:paraId="780D5180"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Patients with vasculitis and/or untreated popliteal aneurysms</w:t>
      </w:r>
    </w:p>
    <w:p w14:paraId="31FC981B"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Patients with acute limb ischaemia</w:t>
      </w:r>
    </w:p>
    <w:p w14:paraId="42642058"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Prior peripheral arterial bypass procedure above or below the knee which could inhibit proximal inflow to the stent graft</w:t>
      </w:r>
    </w:p>
    <w:p w14:paraId="1639B653"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Lower extremity venous disease with significant oedema in the target limb that may inhibit the procedure and/or jeopardize wound healing, in the investigator’s opinion</w:t>
      </w:r>
    </w:p>
    <w:p w14:paraId="3F144646"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Known or suspected systemic or severe infection (</w:t>
      </w:r>
      <w:r w:rsidRPr="00315567">
        <w:rPr>
          <w:rFonts w:ascii="Times New Roman" w:hAnsi="Times New Roman" w:cs="Times New Roman"/>
          <w:i/>
          <w:lang w:val="en-GB"/>
        </w:rPr>
        <w:t>e.g.</w:t>
      </w:r>
      <w:r w:rsidRPr="00315567">
        <w:rPr>
          <w:rFonts w:ascii="Times New Roman" w:hAnsi="Times New Roman" w:cs="Times New Roman"/>
          <w:lang w:val="en-GB"/>
        </w:rPr>
        <w:t>, WIfI foot Infection grade of 3)</w:t>
      </w:r>
    </w:p>
    <w:p w14:paraId="07D8C725" w14:textId="77777777" w:rsidR="003F7943" w:rsidRPr="00315567" w:rsidRDefault="003F7943" w:rsidP="006C4710">
      <w:pPr>
        <w:pStyle w:val="ListParagraph"/>
        <w:widowControl w:val="0"/>
        <w:numPr>
          <w:ilvl w:val="0"/>
          <w:numId w:val="5"/>
        </w:numPr>
        <w:tabs>
          <w:tab w:val="left" w:pos="1134"/>
        </w:tabs>
        <w:spacing w:after="180" w:line="240" w:lineRule="auto"/>
        <w:jc w:val="both"/>
        <w:rPr>
          <w:rFonts w:ascii="Times New Roman" w:hAnsi="Times New Roman" w:cs="Times New Roman"/>
          <w:lang w:val="en-GB"/>
        </w:rPr>
      </w:pPr>
      <w:r w:rsidRPr="00315567">
        <w:rPr>
          <w:rFonts w:ascii="Times New Roman" w:hAnsi="Times New Roman" w:cs="Times New Roman"/>
          <w:lang w:val="en-GB"/>
        </w:rPr>
        <w:t>Known or suspected allergies or contraindications to stainless steel, nickel, or contrast agent that cannot be adequately pre-treated, or patients who cannot receive anticoagulation or antiplatelet aggregation therapy</w:t>
      </w:r>
    </w:p>
    <w:p w14:paraId="1FFE0DF5" w14:textId="649F6395" w:rsidR="003F7943" w:rsidRPr="00315567" w:rsidRDefault="003F7943" w:rsidP="006C4710">
      <w:pPr>
        <w:pStyle w:val="ListParagraph"/>
        <w:widowControl w:val="0"/>
        <w:numPr>
          <w:ilvl w:val="0"/>
          <w:numId w:val="5"/>
        </w:numPr>
        <w:tabs>
          <w:tab w:val="left" w:pos="1134"/>
        </w:tabs>
        <w:spacing w:after="180"/>
        <w:jc w:val="both"/>
        <w:rPr>
          <w:rFonts w:ascii="Times New Roman" w:hAnsi="Times New Roman" w:cs="Times New Roman"/>
          <w:lang w:val="en-GB"/>
        </w:rPr>
      </w:pPr>
      <w:r w:rsidRPr="00315567">
        <w:rPr>
          <w:rFonts w:ascii="Times New Roman" w:hAnsi="Times New Roman" w:cs="Times New Roman"/>
          <w:lang w:val="en-GB"/>
        </w:rPr>
        <w:t>Severe heart failure, which in the opinion of the investigator may compromise subject’s ability to safely undergo a percutaneous procedure (</w:t>
      </w:r>
      <w:r w:rsidRPr="00315567">
        <w:rPr>
          <w:rFonts w:ascii="Times New Roman" w:hAnsi="Times New Roman" w:cs="Times New Roman"/>
          <w:i/>
          <w:lang w:val="en-GB"/>
        </w:rPr>
        <w:t>e.g.</w:t>
      </w:r>
      <w:r w:rsidRPr="00315567">
        <w:rPr>
          <w:rFonts w:ascii="Times New Roman" w:hAnsi="Times New Roman" w:cs="Times New Roman"/>
          <w:lang w:val="en-GB"/>
        </w:rPr>
        <w:t>, known ejection fraction of &lt; 40%, NYHA Classification III-IV)</w:t>
      </w:r>
    </w:p>
    <w:p w14:paraId="4F5039C2" w14:textId="438FB93C" w:rsidR="004454B7" w:rsidRPr="00315567" w:rsidRDefault="004454B7" w:rsidP="00647133">
      <w:pPr>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lastRenderedPageBreak/>
        <w:t>Procedural Steps</w:t>
      </w:r>
    </w:p>
    <w:p w14:paraId="014B6F7E" w14:textId="77777777" w:rsidR="004454B7" w:rsidRPr="00315567" w:rsidRDefault="004454B7" w:rsidP="00647133">
      <w:pPr>
        <w:rPr>
          <w:rFonts w:ascii="Times New Roman" w:hAnsi="Times New Roman" w:cs="Times New Roman"/>
          <w:sz w:val="22"/>
          <w:szCs w:val="22"/>
          <w:lang w:val="en-GB"/>
        </w:rPr>
      </w:pPr>
    </w:p>
    <w:p w14:paraId="6B84F9C5" w14:textId="051752E4" w:rsidR="004454B7" w:rsidRPr="00315567" w:rsidRDefault="004454B7" w:rsidP="00510E06">
      <w:pPr>
        <w:autoSpaceDE w:val="0"/>
        <w:autoSpaceDN w:val="0"/>
        <w:adjustRightInd w:val="0"/>
        <w:spacing w:after="160"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The TADV procedure involved the use of the dedicated LimFlow System and all vascular surgeons and interventional radiologists who performed the procedure received didactic and hands-on training on the appropriate use of the devices and the procedural steps. Previously published procedural steps according to the device instructions for use (IFU) were adopted within the trial, including pedal access, formation of an arteriovenous fistula proximal to the diseased tibial arteries, effacement of venous valves with use of a proprietary forward cutting valvulotome, lining of the circuit with LimFlow self-expanding stent grafts from the target tibial vein’s proximal calcaneal border to the arteriovenous crossing where a tapered covered stent is utilised to optimise flow volumes (Figure 1).</w:t>
      </w:r>
      <w:r w:rsidR="00510E06" w:rsidRPr="00315567">
        <w:rPr>
          <w:rFonts w:ascii="Times New Roman" w:hAnsi="Times New Roman" w:cs="Times New Roman"/>
          <w:sz w:val="22"/>
          <w:szCs w:val="22"/>
          <w:lang w:val="en-GB"/>
        </w:rPr>
        <w:fldChar w:fldCharType="begin">
          <w:fldData xml:space="preserve">PEVuZE5vdGU+PENpdGU+PEF1dGhvcj5DbGFpcjwvQXV0aG9yPjxZZWFyPjIwMjE8L1llYXI+PFJl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=
</w:fldData>
        </w:fldChar>
      </w:r>
      <w:r w:rsidR="00510E06" w:rsidRPr="00315567">
        <w:rPr>
          <w:rFonts w:ascii="Times New Roman" w:hAnsi="Times New Roman" w:cs="Times New Roman"/>
          <w:sz w:val="22"/>
          <w:szCs w:val="22"/>
          <w:lang w:val="en-GB"/>
        </w:rPr>
        <w:instrText xml:space="preserve"> ADDIN EN.CITE </w:instrText>
      </w:r>
      <w:r w:rsidR="00510E06" w:rsidRPr="00315567">
        <w:rPr>
          <w:rFonts w:ascii="Times New Roman" w:hAnsi="Times New Roman" w:cs="Times New Roman"/>
          <w:sz w:val="22"/>
          <w:szCs w:val="22"/>
          <w:lang w:val="en-GB"/>
        </w:rPr>
        <w:fldChar w:fldCharType="begin">
          <w:fldData xml:space="preserve">PEVuZE5vdGU+PENpdGU+PEF1dGhvcj5DbGFpcjwvQXV0aG9yPjxZZWFyPjIwMjE8L1llYXI+PFJl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=
</w:fldData>
        </w:fldChar>
      </w:r>
      <w:r w:rsidR="00510E06" w:rsidRPr="00315567">
        <w:rPr>
          <w:rFonts w:ascii="Times New Roman" w:hAnsi="Times New Roman" w:cs="Times New Roman"/>
          <w:sz w:val="22"/>
          <w:szCs w:val="22"/>
          <w:lang w:val="en-GB"/>
        </w:rPr>
        <w:instrText xml:space="preserve"> ADDIN EN.CITE.DATA </w:instrText>
      </w:r>
      <w:r w:rsidR="00510E06" w:rsidRPr="00315567">
        <w:rPr>
          <w:rFonts w:ascii="Times New Roman" w:hAnsi="Times New Roman" w:cs="Times New Roman"/>
          <w:sz w:val="22"/>
          <w:szCs w:val="22"/>
          <w:lang w:val="en-GB"/>
        </w:rPr>
      </w:r>
      <w:r w:rsidR="00510E06" w:rsidRPr="00315567">
        <w:rPr>
          <w:rFonts w:ascii="Times New Roman" w:hAnsi="Times New Roman" w:cs="Times New Roman"/>
          <w:sz w:val="22"/>
          <w:szCs w:val="22"/>
          <w:lang w:val="en-GB"/>
        </w:rPr>
        <w:fldChar w:fldCharType="end"/>
      </w:r>
      <w:r w:rsidR="00510E06" w:rsidRPr="00315567">
        <w:rPr>
          <w:rFonts w:ascii="Times New Roman" w:hAnsi="Times New Roman" w:cs="Times New Roman"/>
          <w:sz w:val="22"/>
          <w:szCs w:val="22"/>
          <w:lang w:val="en-GB"/>
        </w:rPr>
      </w:r>
      <w:r w:rsidR="00510E06" w:rsidRPr="00315567">
        <w:rPr>
          <w:rFonts w:ascii="Times New Roman" w:hAnsi="Times New Roman" w:cs="Times New Roman"/>
          <w:sz w:val="22"/>
          <w:szCs w:val="22"/>
          <w:lang w:val="en-GB"/>
        </w:rPr>
        <w:fldChar w:fldCharType="separate"/>
      </w:r>
      <w:r w:rsidR="00510E06" w:rsidRPr="00315567">
        <w:rPr>
          <w:rFonts w:ascii="Times New Roman" w:hAnsi="Times New Roman" w:cs="Times New Roman"/>
          <w:noProof/>
          <w:sz w:val="22"/>
          <w:szCs w:val="22"/>
          <w:vertAlign w:val="superscript"/>
          <w:lang w:val="en-GB"/>
        </w:rPr>
        <w:t>1</w:t>
      </w:r>
      <w:r w:rsidR="00510E06" w:rsidRPr="00315567">
        <w:rPr>
          <w:rFonts w:ascii="Times New Roman" w:hAnsi="Times New Roman" w:cs="Times New Roman"/>
          <w:sz w:val="22"/>
          <w:szCs w:val="22"/>
          <w:lang w:val="en-GB"/>
        </w:rPr>
        <w:fldChar w:fldCharType="end"/>
      </w:r>
    </w:p>
    <w:p w14:paraId="239D9719" w14:textId="77777777" w:rsidR="004454B7" w:rsidRPr="00315567" w:rsidRDefault="004454B7" w:rsidP="00510E06">
      <w:pPr>
        <w:autoSpaceDE w:val="0"/>
        <w:autoSpaceDN w:val="0"/>
        <w:adjustRightInd w:val="0"/>
        <w:spacing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Patients were monitored in-hospital via duplex ultrasound to confirm patency in the days following the index procedure, and all patients were prescribed dual antiplatelet or anticoagulant therapy for at least three months following the procedure.</w:t>
      </w:r>
    </w:p>
    <w:p w14:paraId="5915E039" w14:textId="77777777" w:rsidR="00044C1C" w:rsidRPr="00315567" w:rsidRDefault="00044C1C" w:rsidP="00647133">
      <w:pPr>
        <w:rPr>
          <w:rFonts w:ascii="Times New Roman" w:hAnsi="Times New Roman" w:cs="Times New Roman"/>
          <w:i/>
          <w:iCs/>
          <w:sz w:val="22"/>
          <w:szCs w:val="22"/>
          <w:lang w:val="en-GB"/>
        </w:rPr>
      </w:pPr>
    </w:p>
    <w:p w14:paraId="6B1280DA" w14:textId="5A03A676" w:rsidR="00D228CE" w:rsidRPr="00315567" w:rsidRDefault="00044C1C" w:rsidP="00647133">
      <w:pPr>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t>Study Follow-up</w:t>
      </w:r>
    </w:p>
    <w:p w14:paraId="34933D2D" w14:textId="77777777" w:rsidR="00044C1C" w:rsidRPr="00315567" w:rsidRDefault="00044C1C" w:rsidP="00647133">
      <w:pPr>
        <w:rPr>
          <w:rFonts w:ascii="Times New Roman" w:hAnsi="Times New Roman" w:cs="Times New Roman"/>
          <w:sz w:val="22"/>
          <w:szCs w:val="22"/>
          <w:lang w:val="en-GB"/>
        </w:rPr>
      </w:pPr>
    </w:p>
    <w:p w14:paraId="10148306" w14:textId="3634BF8B" w:rsidR="00044C1C" w:rsidRPr="00315567" w:rsidRDefault="00044C1C" w:rsidP="00510E06">
      <w:pPr>
        <w:autoSpaceDE w:val="0"/>
        <w:autoSpaceDN w:val="0"/>
        <w:adjustRightInd w:val="0"/>
        <w:spacing w:after="160" w:line="480" w:lineRule="auto"/>
        <w:rPr>
          <w:rFonts w:ascii="Times New Roman" w:hAnsi="Times New Roman" w:cs="Times New Roman"/>
          <w:sz w:val="22"/>
          <w:szCs w:val="22"/>
          <w:lang w:val="en-GB"/>
        </w:rPr>
      </w:pPr>
      <w:r w:rsidRPr="2CA6350C">
        <w:rPr>
          <w:rFonts w:ascii="Times New Roman" w:hAnsi="Times New Roman" w:cs="Times New Roman"/>
          <w:sz w:val="22"/>
          <w:szCs w:val="22"/>
          <w:lang w:val="en-GB"/>
        </w:rPr>
        <w:t>Study patients were monitored through a standardised regimen of clinical evaluation including assessment of adverse events, clinically-driven additional intervention, and wound healing. Follow-up visits were performed at 2-weeks, and 1, 2, 3, 6, 9 and 12 months following the index procedure unless the patient withdrew from the study or experienced a primary endpoint event of either death or major amputation. Of note, enrolment and follow-up occurred during the international COVID-19 pandemic, from December 2019 to October 2023.</w:t>
      </w:r>
    </w:p>
    <w:p w14:paraId="7E7E7761" w14:textId="71F2B7BD" w:rsidR="00044C1C" w:rsidRPr="00315567" w:rsidRDefault="00044C1C" w:rsidP="00510E06">
      <w:pPr>
        <w:autoSpaceDE w:val="0"/>
        <w:autoSpaceDN w:val="0"/>
        <w:adjustRightInd w:val="0"/>
        <w:spacing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If clinically possible, any necessary planned minor (below ankle) amputations were recommended to be performed at least 4-6 weeks following the initial TADV procedure to allow the arterialised venous network to mature and establish pedal reperfusion to distal tissue to aid wound healing.</w:t>
      </w:r>
    </w:p>
    <w:p w14:paraId="2040337B" w14:textId="77777777" w:rsidR="00044C1C" w:rsidRPr="00315567" w:rsidRDefault="00044C1C" w:rsidP="00044C1C">
      <w:pPr>
        <w:autoSpaceDE w:val="0"/>
        <w:autoSpaceDN w:val="0"/>
        <w:adjustRightInd w:val="0"/>
        <w:spacing w:line="480" w:lineRule="auto"/>
        <w:rPr>
          <w:rFonts w:ascii="Times New Roman" w:hAnsi="Times New Roman" w:cs="Times New Roman"/>
          <w:i/>
          <w:iCs/>
          <w:sz w:val="22"/>
          <w:szCs w:val="22"/>
          <w:lang w:val="en-GB"/>
        </w:rPr>
      </w:pPr>
    </w:p>
    <w:p w14:paraId="3544B9BA" w14:textId="77777777" w:rsidR="00315567" w:rsidRDefault="00315567" w:rsidP="00044C1C">
      <w:pPr>
        <w:autoSpaceDE w:val="0"/>
        <w:autoSpaceDN w:val="0"/>
        <w:adjustRightInd w:val="0"/>
        <w:spacing w:line="480" w:lineRule="auto"/>
        <w:rPr>
          <w:rFonts w:ascii="Times New Roman" w:hAnsi="Times New Roman" w:cs="Times New Roman"/>
          <w:i/>
          <w:iCs/>
          <w:sz w:val="22"/>
          <w:szCs w:val="22"/>
          <w:lang w:val="en-GB"/>
        </w:rPr>
      </w:pPr>
    </w:p>
    <w:p w14:paraId="1713CFEB" w14:textId="77777777" w:rsidR="00315567" w:rsidRDefault="00315567" w:rsidP="00044C1C">
      <w:pPr>
        <w:autoSpaceDE w:val="0"/>
        <w:autoSpaceDN w:val="0"/>
        <w:adjustRightInd w:val="0"/>
        <w:spacing w:line="480" w:lineRule="auto"/>
        <w:rPr>
          <w:rFonts w:ascii="Times New Roman" w:hAnsi="Times New Roman" w:cs="Times New Roman"/>
          <w:i/>
          <w:iCs/>
          <w:sz w:val="22"/>
          <w:szCs w:val="22"/>
          <w:lang w:val="en-GB"/>
        </w:rPr>
      </w:pPr>
    </w:p>
    <w:p w14:paraId="53B3381A" w14:textId="77777777" w:rsidR="00707CA6" w:rsidRDefault="00707CA6" w:rsidP="00044C1C">
      <w:pPr>
        <w:autoSpaceDE w:val="0"/>
        <w:autoSpaceDN w:val="0"/>
        <w:adjustRightInd w:val="0"/>
        <w:spacing w:line="480" w:lineRule="auto"/>
        <w:rPr>
          <w:rFonts w:ascii="Times New Roman" w:hAnsi="Times New Roman" w:cs="Times New Roman"/>
          <w:i/>
          <w:iCs/>
          <w:sz w:val="22"/>
          <w:szCs w:val="22"/>
          <w:lang w:val="en-GB"/>
        </w:rPr>
      </w:pPr>
    </w:p>
    <w:p w14:paraId="4A184AEA" w14:textId="6AD3A022" w:rsidR="00044C1C" w:rsidRPr="00315567" w:rsidRDefault="00044C1C" w:rsidP="00044C1C">
      <w:pPr>
        <w:autoSpaceDE w:val="0"/>
        <w:autoSpaceDN w:val="0"/>
        <w:adjustRightInd w:val="0"/>
        <w:spacing w:line="480" w:lineRule="auto"/>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lastRenderedPageBreak/>
        <w:t>Endpoint Details</w:t>
      </w:r>
    </w:p>
    <w:p w14:paraId="036335D3" w14:textId="231D39F1" w:rsidR="00044C1C" w:rsidRPr="00315567" w:rsidRDefault="00044C1C" w:rsidP="00510E06">
      <w:pPr>
        <w:autoSpaceDE w:val="0"/>
        <w:autoSpaceDN w:val="0"/>
        <w:adjustRightInd w:val="0"/>
        <w:spacing w:line="480" w:lineRule="auto"/>
        <w:rPr>
          <w:rFonts w:ascii="Times New Roman" w:hAnsi="Times New Roman" w:cs="Times New Roman"/>
          <w:sz w:val="22"/>
          <w:szCs w:val="22"/>
          <w:lang w:val="en-GB"/>
        </w:rPr>
      </w:pPr>
      <w:r w:rsidRPr="2CA6350C">
        <w:rPr>
          <w:rFonts w:ascii="Times New Roman" w:hAnsi="Times New Roman" w:cs="Times New Roman"/>
          <w:sz w:val="22"/>
          <w:szCs w:val="22"/>
          <w:lang w:val="en-GB"/>
        </w:rPr>
        <w:t>Study endpoints were adjudicated by an independent CEC. Wound healing was determined using standardised serial wound photography over time that was adjudicated by an independent podiatric surgeon to determine qualitative wound healing status. Additionally, wound area dimensions were collected and measured over time. Patients undergoing major amputation were exited from the study at the point of amputation as a primary endpoint event had occurred</w:t>
      </w:r>
      <w:r w:rsidR="7DCF7697" w:rsidRPr="2CA6350C">
        <w:rPr>
          <w:rFonts w:ascii="Times New Roman" w:hAnsi="Times New Roman" w:cs="Times New Roman"/>
          <w:sz w:val="22"/>
          <w:szCs w:val="22"/>
          <w:lang w:val="en-GB"/>
        </w:rPr>
        <w:t xml:space="preserve">, with a medical-records check at </w:t>
      </w:r>
      <w:r w:rsidR="00261787">
        <w:rPr>
          <w:rFonts w:ascii="Times New Roman" w:hAnsi="Times New Roman" w:cs="Times New Roman"/>
          <w:sz w:val="22"/>
          <w:szCs w:val="22"/>
          <w:lang w:val="en-GB"/>
        </w:rPr>
        <w:t>1-year</w:t>
      </w:r>
      <w:r w:rsidR="7DCF7697" w:rsidRPr="2CA6350C">
        <w:rPr>
          <w:rFonts w:ascii="Times New Roman" w:hAnsi="Times New Roman" w:cs="Times New Roman"/>
          <w:sz w:val="22"/>
          <w:szCs w:val="22"/>
          <w:lang w:val="en-GB"/>
        </w:rPr>
        <w:t xml:space="preserve"> to determine mortality status</w:t>
      </w:r>
      <w:r w:rsidRPr="2CA6350C">
        <w:rPr>
          <w:rFonts w:ascii="Times New Roman" w:hAnsi="Times New Roman" w:cs="Times New Roman"/>
          <w:sz w:val="22"/>
          <w:szCs w:val="22"/>
          <w:lang w:val="en-GB"/>
        </w:rPr>
        <w:t xml:space="preserve">. </w:t>
      </w:r>
    </w:p>
    <w:p w14:paraId="2994CF64" w14:textId="77777777" w:rsidR="00044C1C" w:rsidRPr="00315567" w:rsidRDefault="00044C1C" w:rsidP="00647133">
      <w:pPr>
        <w:rPr>
          <w:rFonts w:ascii="Times New Roman" w:hAnsi="Times New Roman" w:cs="Times New Roman"/>
          <w:i/>
          <w:iCs/>
          <w:sz w:val="22"/>
          <w:szCs w:val="22"/>
          <w:lang w:val="en-GB"/>
        </w:rPr>
      </w:pPr>
    </w:p>
    <w:p w14:paraId="2E4A805C" w14:textId="73E815AF" w:rsidR="004454B7" w:rsidRPr="00315567" w:rsidRDefault="004454B7" w:rsidP="00647133">
      <w:pPr>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t>Duplex Ultrasound Monitoring</w:t>
      </w:r>
    </w:p>
    <w:p w14:paraId="2BCFF502" w14:textId="77777777" w:rsidR="004454B7" w:rsidRPr="00315567" w:rsidRDefault="004454B7" w:rsidP="00647133">
      <w:pPr>
        <w:rPr>
          <w:rFonts w:ascii="Times New Roman" w:hAnsi="Times New Roman" w:cs="Times New Roman"/>
          <w:i/>
          <w:iCs/>
          <w:sz w:val="22"/>
          <w:szCs w:val="22"/>
          <w:lang w:val="en-GB"/>
        </w:rPr>
      </w:pPr>
    </w:p>
    <w:p w14:paraId="0370A036" w14:textId="62608B5B" w:rsidR="004454B7" w:rsidRPr="00315567" w:rsidRDefault="004454B7" w:rsidP="00231468">
      <w:pPr>
        <w:autoSpaceDE w:val="0"/>
        <w:autoSpaceDN w:val="0"/>
        <w:adjustRightInd w:val="0"/>
        <w:spacing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 xml:space="preserve">All follow-up visits included imaging with duplex ultrasound to assess overall patency of the arterialised network and vascular haemodynamics. More specifically, volume flow (Vf) through the arterialised circuit was calculated from measurements of blood velocity (V) averaged over several cardiac cycles (time-averaged mean velocity [TAMV]) and multiplied by the vessel cross-sectional area [A]) </w:t>
      </w:r>
      <w:r w:rsidRPr="2CA6350C">
        <w:rPr>
          <w:rFonts w:ascii="Times New Roman" w:hAnsi="Times New Roman" w:cs="Times New Roman"/>
          <w:i/>
          <w:iCs/>
          <w:sz w:val="22"/>
          <w:szCs w:val="22"/>
          <w:lang w:val="en-GB"/>
        </w:rPr>
        <w:t xml:space="preserve">Vf = TAMV x A. </w:t>
      </w:r>
      <w:r w:rsidR="2D44E974" w:rsidRPr="00315567">
        <w:rPr>
          <w:rFonts w:ascii="Times New Roman" w:hAnsi="Times New Roman" w:cs="Times New Roman"/>
          <w:sz w:val="22"/>
          <w:szCs w:val="22"/>
          <w:lang w:val="en-GB"/>
        </w:rPr>
        <w:t xml:space="preserve">Adapted from </w:t>
      </w:r>
      <w:r w:rsidRPr="00315567">
        <w:rPr>
          <w:rFonts w:ascii="Times New Roman" w:hAnsi="Times New Roman" w:cs="Times New Roman"/>
          <w:sz w:val="22"/>
          <w:szCs w:val="22"/>
          <w:lang w:val="en-GB"/>
        </w:rPr>
        <w:t xml:space="preserve">previously-published </w:t>
      </w:r>
      <w:r w:rsidR="4AD64F94" w:rsidRPr="00315567">
        <w:rPr>
          <w:rFonts w:ascii="Times New Roman" w:hAnsi="Times New Roman" w:cs="Times New Roman"/>
          <w:sz w:val="22"/>
          <w:szCs w:val="22"/>
          <w:lang w:val="en-GB"/>
        </w:rPr>
        <w:t>research</w:t>
      </w:r>
      <w:r w:rsidRPr="00315567">
        <w:rPr>
          <w:rFonts w:ascii="Times New Roman" w:hAnsi="Times New Roman" w:cs="Times New Roman"/>
          <w:sz w:val="22"/>
          <w:szCs w:val="22"/>
          <w:lang w:val="en-GB"/>
        </w:rPr>
        <w:t>,</w:t>
      </w:r>
      <w:r w:rsidR="003F7943" w:rsidRPr="00315567">
        <w:rPr>
          <w:rFonts w:ascii="Times New Roman" w:hAnsi="Times New Roman" w:cs="Times New Roman"/>
          <w:sz w:val="22"/>
          <w:szCs w:val="22"/>
          <w:lang w:val="en-GB"/>
        </w:rPr>
        <w:fldChar w:fldCharType="begin">
          <w:fldData xml:space="preserve">PEVuZE5vdGU+PENpdGU+PEF1dGhvcj5TY2hyZXZlPC9BdXRob3I+PFllYXI+MjAyMDwvWWVhcj48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</w:fldData>
        </w:fldChar>
      </w:r>
      <w:r w:rsidR="003F7943" w:rsidRPr="00315567">
        <w:rPr>
          <w:rFonts w:ascii="Times New Roman" w:hAnsi="Times New Roman" w:cs="Times New Roman"/>
          <w:sz w:val="22"/>
          <w:szCs w:val="22"/>
          <w:lang w:val="en-GB"/>
        </w:rPr>
        <w:instrText xml:space="preserve"> ADDIN EN.CITE </w:instrText>
      </w:r>
      <w:r w:rsidR="003F7943" w:rsidRPr="00315567">
        <w:rPr>
          <w:rFonts w:ascii="Times New Roman" w:hAnsi="Times New Roman" w:cs="Times New Roman"/>
          <w:sz w:val="22"/>
          <w:szCs w:val="22"/>
          <w:lang w:val="en-GB"/>
        </w:rPr>
        <w:fldChar w:fldCharType="begin">
          <w:fldData xml:space="preserve">PEVuZE5vdGU+PENpdGU+PEF1dGhvcj5TY2hyZXZlPC9BdXRob3I+PFllYXI+MjAyMDwvWWVhcj48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</w:fldData>
        </w:fldChar>
      </w:r>
      <w:r w:rsidR="003F7943" w:rsidRPr="00315567">
        <w:rPr>
          <w:rFonts w:ascii="Times New Roman" w:hAnsi="Times New Roman" w:cs="Times New Roman"/>
          <w:sz w:val="22"/>
          <w:szCs w:val="22"/>
          <w:lang w:val="en-GB"/>
        </w:rPr>
        <w:instrText xml:space="preserve"> ADDIN EN.CITE.DATA </w:instrText>
      </w:r>
      <w:r w:rsidR="003F7943" w:rsidRPr="00315567">
        <w:rPr>
          <w:rFonts w:ascii="Times New Roman" w:hAnsi="Times New Roman" w:cs="Times New Roman"/>
          <w:sz w:val="22"/>
          <w:szCs w:val="22"/>
          <w:lang w:val="en-GB"/>
        </w:rPr>
      </w:r>
      <w:r w:rsidR="003F7943" w:rsidRPr="00315567">
        <w:rPr>
          <w:rFonts w:ascii="Times New Roman" w:hAnsi="Times New Roman" w:cs="Times New Roman"/>
          <w:sz w:val="22"/>
          <w:szCs w:val="22"/>
          <w:lang w:val="en-GB"/>
        </w:rPr>
        <w:fldChar w:fldCharType="end"/>
      </w:r>
      <w:r w:rsidR="003F7943" w:rsidRPr="00315567">
        <w:rPr>
          <w:rFonts w:ascii="Times New Roman" w:hAnsi="Times New Roman" w:cs="Times New Roman"/>
          <w:sz w:val="22"/>
          <w:szCs w:val="22"/>
          <w:lang w:val="en-GB"/>
        </w:rPr>
      </w:r>
      <w:r w:rsidR="003F7943" w:rsidRPr="00315567">
        <w:rPr>
          <w:rFonts w:ascii="Times New Roman" w:hAnsi="Times New Roman" w:cs="Times New Roman"/>
          <w:sz w:val="22"/>
          <w:szCs w:val="22"/>
          <w:lang w:val="en-GB"/>
        </w:rPr>
        <w:fldChar w:fldCharType="separate"/>
      </w:r>
      <w:r w:rsidR="003F7943" w:rsidRPr="00315567">
        <w:rPr>
          <w:rFonts w:ascii="Times New Roman" w:hAnsi="Times New Roman" w:cs="Times New Roman"/>
          <w:noProof/>
          <w:sz w:val="22"/>
          <w:szCs w:val="22"/>
          <w:vertAlign w:val="superscript"/>
          <w:lang w:val="en-GB"/>
        </w:rPr>
        <w:t>2</w:t>
      </w:r>
      <w:r w:rsidR="003F7943" w:rsidRPr="00315567">
        <w:rPr>
          <w:rFonts w:ascii="Times New Roman" w:hAnsi="Times New Roman" w:cs="Times New Roman"/>
          <w:sz w:val="22"/>
          <w:szCs w:val="22"/>
          <w:lang w:val="en-GB"/>
        </w:rPr>
        <w:fldChar w:fldCharType="end"/>
      </w:r>
      <w:r w:rsidRPr="00315567">
        <w:rPr>
          <w:rFonts w:ascii="Times New Roman" w:hAnsi="Times New Roman" w:cs="Times New Roman"/>
          <w:sz w:val="22"/>
          <w:szCs w:val="22"/>
          <w:lang w:val="en-GB"/>
        </w:rPr>
        <w:t xml:space="preserve"> the Vf was monitored to maintain optimal flow for circuit patency and adequate pedal perfusion, especially in the immediate three-month follow-up period. Diagnostic angiography and necessary endovascular intervention was recommended to optimise Vf. Target volume flow rates in the first six-months were 100-350 mL/min.</w:t>
      </w:r>
    </w:p>
    <w:p w14:paraId="1AEF6046" w14:textId="77777777" w:rsidR="004454B7" w:rsidRPr="00315567" w:rsidRDefault="004454B7" w:rsidP="00647133">
      <w:pPr>
        <w:rPr>
          <w:rFonts w:ascii="Times New Roman" w:hAnsi="Times New Roman" w:cs="Times New Roman"/>
          <w:sz w:val="22"/>
          <w:szCs w:val="22"/>
          <w:lang w:val="en-GB"/>
        </w:rPr>
      </w:pPr>
    </w:p>
    <w:p w14:paraId="04C43160" w14:textId="5746E1B3" w:rsidR="008963CF" w:rsidRPr="00315567" w:rsidRDefault="008963CF" w:rsidP="00647133">
      <w:pPr>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t>Statistical Analysis</w:t>
      </w:r>
    </w:p>
    <w:p w14:paraId="13CC7CC0" w14:textId="77777777" w:rsidR="008963CF" w:rsidRPr="00315567" w:rsidRDefault="008963CF" w:rsidP="00647133">
      <w:pPr>
        <w:rPr>
          <w:rFonts w:ascii="Times New Roman" w:hAnsi="Times New Roman" w:cs="Times New Roman"/>
          <w:sz w:val="22"/>
          <w:szCs w:val="22"/>
          <w:lang w:val="en-GB"/>
        </w:rPr>
      </w:pPr>
    </w:p>
    <w:p w14:paraId="0E3274B5" w14:textId="77777777" w:rsidR="008963CF" w:rsidRPr="00315567" w:rsidRDefault="008963CF" w:rsidP="00231468">
      <w:pPr>
        <w:autoSpaceDE w:val="0"/>
        <w:autoSpaceDN w:val="0"/>
        <w:adjustRightInd w:val="0"/>
        <w:spacing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Distributions of baseline variables were summarised using descriptive statistics. Frequencies and percentages were provided for categorical variables while medians with interquartile range (IQR) were reported for continuous variables, unless noted. Kaplan-Meier estimates were used to estimate cumulative survival rates in time-to-event data.</w:t>
      </w:r>
    </w:p>
    <w:p w14:paraId="2ABF7684" w14:textId="77777777" w:rsidR="008963CF" w:rsidRPr="00315567" w:rsidRDefault="008963CF" w:rsidP="00647133">
      <w:pPr>
        <w:rPr>
          <w:rFonts w:ascii="Times New Roman" w:hAnsi="Times New Roman" w:cs="Times New Roman"/>
          <w:sz w:val="22"/>
          <w:szCs w:val="22"/>
          <w:lang w:val="en-GB"/>
        </w:rPr>
      </w:pPr>
    </w:p>
    <w:p w14:paraId="3DDB36B5" w14:textId="77777777" w:rsidR="004454B7" w:rsidRPr="00315567" w:rsidRDefault="004454B7" w:rsidP="00647133">
      <w:pPr>
        <w:rPr>
          <w:rFonts w:ascii="Times New Roman" w:hAnsi="Times New Roman" w:cs="Times New Roman"/>
          <w:i/>
          <w:iCs/>
          <w:sz w:val="22"/>
          <w:szCs w:val="22"/>
          <w:lang w:val="en-GB"/>
        </w:rPr>
      </w:pPr>
    </w:p>
    <w:p w14:paraId="4A244503" w14:textId="77777777" w:rsidR="004454B7" w:rsidRPr="00315567" w:rsidRDefault="004454B7" w:rsidP="00647133">
      <w:pPr>
        <w:rPr>
          <w:rFonts w:ascii="Times New Roman" w:hAnsi="Times New Roman" w:cs="Times New Roman"/>
          <w:b/>
          <w:bCs/>
          <w:sz w:val="22"/>
          <w:szCs w:val="22"/>
          <w:lang w:val="en-GB"/>
        </w:rPr>
      </w:pPr>
    </w:p>
    <w:p w14:paraId="14B5603B" w14:textId="1CB794D5" w:rsidR="00BA67BD" w:rsidRPr="00315567" w:rsidRDefault="001F47C8" w:rsidP="00426DA4">
      <w:pPr>
        <w:keepNext/>
        <w:tabs>
          <w:tab w:val="left" w:pos="1134"/>
        </w:tabs>
        <w:spacing w:after="180"/>
        <w:jc w:val="both"/>
        <w:rPr>
          <w:rFonts w:ascii="Times New Roman" w:hAnsi="Times New Roman" w:cs="Times New Roman"/>
          <w:sz w:val="22"/>
          <w:szCs w:val="22"/>
          <w:lang w:val="en-GB"/>
        </w:rPr>
      </w:pPr>
      <w:r w:rsidRPr="00315567">
        <w:rPr>
          <w:rFonts w:ascii="Times New Roman" w:hAnsi="Times New Roman" w:cs="Times New Roman"/>
          <w:b/>
          <w:bCs/>
          <w:sz w:val="22"/>
          <w:szCs w:val="22"/>
          <w:lang w:val="en-US"/>
        </w:rPr>
        <w:br w:type="page"/>
      </w:r>
    </w:p>
    <w:p w14:paraId="786FC403" w14:textId="5AFC7541" w:rsidR="00D228CE" w:rsidRPr="00315567" w:rsidRDefault="00D228CE" w:rsidP="00FB424A">
      <w:pPr>
        <w:rPr>
          <w:rFonts w:ascii="Times New Roman" w:hAnsi="Times New Roman" w:cs="Times New Roman"/>
          <w:b/>
          <w:bCs/>
          <w:sz w:val="22"/>
          <w:szCs w:val="22"/>
          <w:lang w:val="en-GB"/>
        </w:rPr>
      </w:pPr>
      <w:r w:rsidRPr="00315567">
        <w:rPr>
          <w:rFonts w:ascii="Times New Roman" w:hAnsi="Times New Roman" w:cs="Times New Roman"/>
          <w:b/>
          <w:bCs/>
          <w:sz w:val="22"/>
          <w:szCs w:val="22"/>
          <w:lang w:val="en-GB"/>
        </w:rPr>
        <w:lastRenderedPageBreak/>
        <w:t>Supplementary Results</w:t>
      </w:r>
    </w:p>
    <w:p w14:paraId="1AC48BDC" w14:textId="77777777" w:rsidR="00D228CE" w:rsidRPr="00315567" w:rsidRDefault="00D228CE" w:rsidP="00FB424A">
      <w:pPr>
        <w:rPr>
          <w:rFonts w:ascii="Times New Roman" w:hAnsi="Times New Roman" w:cs="Times New Roman"/>
          <w:b/>
          <w:bCs/>
          <w:sz w:val="22"/>
          <w:szCs w:val="22"/>
          <w:lang w:val="en-GB"/>
        </w:rPr>
      </w:pPr>
    </w:p>
    <w:p w14:paraId="19C65B55" w14:textId="725A8A5C" w:rsidR="00BA7C26" w:rsidRPr="00315567" w:rsidRDefault="00BA7C26" w:rsidP="00BA7C26">
      <w:pPr>
        <w:spacing w:line="480" w:lineRule="auto"/>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t>Patients</w:t>
      </w:r>
    </w:p>
    <w:p w14:paraId="01C2CC80" w14:textId="1C716EEB" w:rsidR="00BA7C26" w:rsidRDefault="00BA7C26" w:rsidP="00BA7C26">
      <w:pPr>
        <w:spacing w:line="480" w:lineRule="auto"/>
        <w:rPr>
          <w:rFonts w:ascii="Times New Roman" w:hAnsi="Times New Roman" w:cs="Times New Roman"/>
          <w:sz w:val="22"/>
          <w:szCs w:val="22"/>
          <w:lang w:val="en-GB"/>
        </w:rPr>
      </w:pPr>
      <w:r w:rsidRPr="2CA6350C">
        <w:rPr>
          <w:rFonts w:ascii="Times New Roman" w:hAnsi="Times New Roman" w:cs="Times New Roman"/>
          <w:sz w:val="22"/>
          <w:szCs w:val="22"/>
          <w:lang w:val="en-GB"/>
        </w:rPr>
        <w:t>The median age of the patients was 69.0 years (IQR, 60.5 to 74.5), 25 (89.3%) were men, and 21 (77.8%) were previous or current smokers. Most patients had multiple pre-existing conditions associated with CLTI including diabetes, hypertension, hyperlipidaemia, and 26 patients (92.9%) had undergone previous revascularisation procedures on the target limb. All patients presented with a non-healing ulcer or frank gangrene and were classified as Rutherford 5 (</w:t>
      </w:r>
      <w:r w:rsidR="4D8B7840" w:rsidRPr="2CA6350C">
        <w:rPr>
          <w:rFonts w:ascii="Times New Roman" w:hAnsi="Times New Roman" w:cs="Times New Roman"/>
          <w:sz w:val="22"/>
          <w:szCs w:val="22"/>
          <w:lang w:val="en-GB"/>
        </w:rPr>
        <w:t>92.9</w:t>
      </w:r>
      <w:r w:rsidRPr="2CA6350C">
        <w:rPr>
          <w:rFonts w:ascii="Times New Roman" w:hAnsi="Times New Roman" w:cs="Times New Roman"/>
          <w:sz w:val="22"/>
          <w:szCs w:val="22"/>
          <w:lang w:val="en-GB"/>
        </w:rPr>
        <w:t>%) or Rutherford 6 (</w:t>
      </w:r>
      <w:r w:rsidR="1F885563" w:rsidRPr="2CA6350C">
        <w:rPr>
          <w:rFonts w:ascii="Times New Roman" w:hAnsi="Times New Roman" w:cs="Times New Roman"/>
          <w:sz w:val="22"/>
          <w:szCs w:val="22"/>
          <w:lang w:val="en-GB"/>
        </w:rPr>
        <w:t>7.1</w:t>
      </w:r>
      <w:r w:rsidRPr="2CA6350C">
        <w:rPr>
          <w:rFonts w:ascii="Times New Roman" w:hAnsi="Times New Roman" w:cs="Times New Roman"/>
          <w:sz w:val="22"/>
          <w:szCs w:val="22"/>
          <w:lang w:val="en-GB"/>
        </w:rPr>
        <w:t>%). The median total wound area at baseline was 7.20 cm</w:t>
      </w:r>
      <w:r w:rsidRPr="2CA6350C">
        <w:rPr>
          <w:rFonts w:ascii="Times New Roman" w:hAnsi="Times New Roman" w:cs="Times New Roman"/>
          <w:sz w:val="22"/>
          <w:szCs w:val="22"/>
          <w:vertAlign w:val="superscript"/>
          <w:lang w:val="en-GB"/>
        </w:rPr>
        <w:t>2</w:t>
      </w:r>
      <w:r w:rsidRPr="2CA6350C">
        <w:rPr>
          <w:rFonts w:ascii="Times New Roman" w:hAnsi="Times New Roman" w:cs="Times New Roman"/>
          <w:sz w:val="22"/>
          <w:szCs w:val="22"/>
          <w:lang w:val="en-GB"/>
        </w:rPr>
        <w:t xml:space="preserve"> (IQR, 3.05-10.25 cm</w:t>
      </w:r>
      <w:r w:rsidRPr="2CA6350C">
        <w:rPr>
          <w:rFonts w:ascii="Times New Roman" w:hAnsi="Times New Roman" w:cs="Times New Roman"/>
          <w:sz w:val="22"/>
          <w:szCs w:val="22"/>
          <w:vertAlign w:val="superscript"/>
          <w:lang w:val="en-GB"/>
        </w:rPr>
        <w:t>2</w:t>
      </w:r>
      <w:r w:rsidRPr="2CA6350C">
        <w:rPr>
          <w:rFonts w:ascii="Times New Roman" w:hAnsi="Times New Roman" w:cs="Times New Roman"/>
          <w:sz w:val="22"/>
          <w:szCs w:val="22"/>
          <w:lang w:val="en-GB"/>
        </w:rPr>
        <w:t>). The population included 5 patients (17.9%) with renal insufficiency, of which 3 (10.7%) were haemodialysis-dependent.</w:t>
      </w:r>
    </w:p>
    <w:p w14:paraId="0858432B" w14:textId="77777777" w:rsidR="00BD1842" w:rsidRPr="0040169C" w:rsidRDefault="00BD1842" w:rsidP="00BD1842">
      <w:pPr>
        <w:rPr>
          <w:rFonts w:ascii="Times New Roman" w:hAnsi="Times New Roman" w:cs="Times New Roman"/>
          <w:b/>
          <w:bCs/>
          <w:lang w:val="en-GB"/>
        </w:rPr>
      </w:pPr>
      <w:r w:rsidRPr="007B2A50">
        <w:rPr>
          <w:rFonts w:ascii="Times New Roman" w:hAnsi="Times New Roman" w:cs="Times New Roman"/>
          <w:b/>
          <w:bCs/>
          <w:lang w:val="en-GB"/>
        </w:rPr>
        <w:t>Table S1. PROMISE</w:t>
      </w:r>
      <w:r w:rsidRPr="0040169C">
        <w:rPr>
          <w:rFonts w:ascii="Times New Roman" w:hAnsi="Times New Roman" w:cs="Times New Roman"/>
          <w:b/>
          <w:bCs/>
          <w:lang w:val="en-GB"/>
        </w:rPr>
        <w:t>-UK Baseline Characteristics</w:t>
      </w:r>
    </w:p>
    <w:tbl>
      <w:tblPr>
        <w:tblStyle w:val="TableGrid"/>
        <w:tblW w:w="0" w:type="auto"/>
        <w:tblLook w:val="04A0" w:firstRow="1" w:lastRow="0" w:firstColumn="1" w:lastColumn="0" w:noHBand="0" w:noVBand="1"/>
      </w:tblPr>
      <w:tblGrid>
        <w:gridCol w:w="6232"/>
        <w:gridCol w:w="2784"/>
      </w:tblGrid>
      <w:tr w:rsidR="00BD1842" w:rsidRPr="0040169C" w14:paraId="06AC9212" w14:textId="77777777" w:rsidTr="008D78A9">
        <w:tc>
          <w:tcPr>
            <w:tcW w:w="6232" w:type="dxa"/>
          </w:tcPr>
          <w:p w14:paraId="3D158131" w14:textId="77777777" w:rsidR="00BD1842" w:rsidRPr="0040169C" w:rsidRDefault="00BD1842" w:rsidP="008D78A9">
            <w:pPr>
              <w:rPr>
                <w:rFonts w:ascii="Times New Roman" w:hAnsi="Times New Roman" w:cs="Times New Roman"/>
                <w:b/>
                <w:bCs/>
                <w:lang w:val="en-GB"/>
              </w:rPr>
            </w:pPr>
            <w:r w:rsidRPr="0040169C">
              <w:rPr>
                <w:rFonts w:ascii="Times New Roman" w:hAnsi="Times New Roman" w:cs="Times New Roman"/>
                <w:b/>
                <w:bCs/>
                <w:lang w:val="en-GB"/>
              </w:rPr>
              <w:t>Characteristic</w:t>
            </w:r>
          </w:p>
        </w:tc>
        <w:tc>
          <w:tcPr>
            <w:tcW w:w="2784" w:type="dxa"/>
          </w:tcPr>
          <w:p w14:paraId="7D0A13F5" w14:textId="77777777" w:rsidR="00BD1842" w:rsidRPr="0040169C" w:rsidRDefault="00BD1842" w:rsidP="008D78A9">
            <w:pPr>
              <w:rPr>
                <w:rFonts w:ascii="Times New Roman" w:hAnsi="Times New Roman" w:cs="Times New Roman"/>
                <w:b/>
                <w:bCs/>
                <w:lang w:val="en-GB"/>
              </w:rPr>
            </w:pPr>
            <w:r w:rsidRPr="2CA6350C">
              <w:rPr>
                <w:rFonts w:ascii="Times New Roman" w:hAnsi="Times New Roman" w:cs="Times New Roman"/>
                <w:b/>
                <w:bCs/>
                <w:lang w:val="en-GB"/>
              </w:rPr>
              <w:t>All patients N=28, or as otherwise stated</w:t>
            </w:r>
          </w:p>
        </w:tc>
      </w:tr>
      <w:tr w:rsidR="00BD1842" w:rsidRPr="0040169C" w14:paraId="0CD063AE" w14:textId="77777777" w:rsidTr="008D78A9">
        <w:tc>
          <w:tcPr>
            <w:tcW w:w="6232" w:type="dxa"/>
          </w:tcPr>
          <w:p w14:paraId="256C7DF4"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Median age (IQR), years</w:t>
            </w:r>
          </w:p>
        </w:tc>
        <w:tc>
          <w:tcPr>
            <w:tcW w:w="2784" w:type="dxa"/>
          </w:tcPr>
          <w:p w14:paraId="4E28C312"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69.0 (60.5-74.5)</w:t>
            </w:r>
          </w:p>
        </w:tc>
      </w:tr>
      <w:tr w:rsidR="00BD1842" w:rsidRPr="0040169C" w14:paraId="6607354E" w14:textId="77777777" w:rsidTr="008D78A9">
        <w:tc>
          <w:tcPr>
            <w:tcW w:w="6232" w:type="dxa"/>
          </w:tcPr>
          <w:p w14:paraId="318CD165"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Male sex, no. (%)</w:t>
            </w:r>
          </w:p>
        </w:tc>
        <w:tc>
          <w:tcPr>
            <w:tcW w:w="2784" w:type="dxa"/>
          </w:tcPr>
          <w:p w14:paraId="0249D89A"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25 (89.3)</w:t>
            </w:r>
          </w:p>
        </w:tc>
      </w:tr>
      <w:tr w:rsidR="00BD1842" w:rsidRPr="0040169C" w14:paraId="1A1605A3" w14:textId="77777777" w:rsidTr="008D78A9">
        <w:tc>
          <w:tcPr>
            <w:tcW w:w="6232" w:type="dxa"/>
          </w:tcPr>
          <w:p w14:paraId="3D94D55E"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Median body-mass-index (IQR)</w:t>
            </w:r>
          </w:p>
        </w:tc>
        <w:tc>
          <w:tcPr>
            <w:tcW w:w="2784" w:type="dxa"/>
          </w:tcPr>
          <w:p w14:paraId="11CA5470" w14:textId="527FC66C"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25.</w:t>
            </w:r>
            <w:r w:rsidR="00E36C8E">
              <w:rPr>
                <w:rFonts w:ascii="Times New Roman" w:hAnsi="Times New Roman" w:cs="Times New Roman"/>
                <w:lang w:val="en-GB"/>
              </w:rPr>
              <w:t>4</w:t>
            </w:r>
            <w:r w:rsidRPr="0040169C">
              <w:rPr>
                <w:rFonts w:ascii="Times New Roman" w:hAnsi="Times New Roman" w:cs="Times New Roman"/>
                <w:lang w:val="en-GB"/>
              </w:rPr>
              <w:t xml:space="preserve"> (22.9-29.6)</w:t>
            </w:r>
          </w:p>
        </w:tc>
      </w:tr>
      <w:tr w:rsidR="00BD1842" w:rsidRPr="0040169C" w14:paraId="141CEB3A" w14:textId="77777777" w:rsidTr="008D78A9">
        <w:tc>
          <w:tcPr>
            <w:tcW w:w="6232" w:type="dxa"/>
          </w:tcPr>
          <w:p w14:paraId="59E2F37D"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History of smoking, no. (%)</w:t>
            </w:r>
          </w:p>
        </w:tc>
        <w:tc>
          <w:tcPr>
            <w:tcW w:w="2784" w:type="dxa"/>
          </w:tcPr>
          <w:p w14:paraId="72A3E1DE"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21 (77.8)</w:t>
            </w:r>
          </w:p>
        </w:tc>
      </w:tr>
      <w:tr w:rsidR="00BD1842" w:rsidRPr="0040169C" w14:paraId="2D1E6184" w14:textId="77777777" w:rsidTr="008D78A9">
        <w:tc>
          <w:tcPr>
            <w:tcW w:w="6232" w:type="dxa"/>
          </w:tcPr>
          <w:p w14:paraId="3478C100"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Current</w:t>
            </w:r>
          </w:p>
        </w:tc>
        <w:tc>
          <w:tcPr>
            <w:tcW w:w="2784" w:type="dxa"/>
          </w:tcPr>
          <w:p w14:paraId="1790E7EE"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5 (18.5)</w:t>
            </w:r>
          </w:p>
        </w:tc>
      </w:tr>
      <w:tr w:rsidR="00BD1842" w:rsidRPr="0040169C" w14:paraId="7856EACB" w14:textId="77777777" w:rsidTr="008D78A9">
        <w:tc>
          <w:tcPr>
            <w:tcW w:w="6232" w:type="dxa"/>
          </w:tcPr>
          <w:p w14:paraId="018FC672"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Former</w:t>
            </w:r>
          </w:p>
        </w:tc>
        <w:tc>
          <w:tcPr>
            <w:tcW w:w="2784" w:type="dxa"/>
          </w:tcPr>
          <w:p w14:paraId="03BCAD74"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16 (59.3)</w:t>
            </w:r>
          </w:p>
        </w:tc>
      </w:tr>
      <w:tr w:rsidR="00BD1842" w:rsidRPr="0040169C" w14:paraId="1EA937C7" w14:textId="77777777" w:rsidTr="008D78A9">
        <w:tc>
          <w:tcPr>
            <w:tcW w:w="6232" w:type="dxa"/>
          </w:tcPr>
          <w:p w14:paraId="397A672A" w14:textId="77777777" w:rsidR="00BD1842" w:rsidRPr="0040169C" w:rsidRDefault="00BD1842" w:rsidP="008D78A9">
            <w:pPr>
              <w:ind w:firstLine="22"/>
              <w:jc w:val="both"/>
              <w:rPr>
                <w:rFonts w:ascii="Times New Roman" w:hAnsi="Times New Roman" w:cs="Times New Roman"/>
                <w:lang w:val="en-GB"/>
              </w:rPr>
            </w:pPr>
            <w:r w:rsidRPr="0040169C">
              <w:rPr>
                <w:rFonts w:ascii="Times New Roman" w:hAnsi="Times New Roman" w:cs="Times New Roman"/>
                <w:lang w:val="en-GB"/>
              </w:rPr>
              <w:t>Previous stroke, no. (%)</w:t>
            </w:r>
          </w:p>
        </w:tc>
        <w:tc>
          <w:tcPr>
            <w:tcW w:w="2784" w:type="dxa"/>
          </w:tcPr>
          <w:p w14:paraId="27D482C3"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 (7.1)</w:t>
            </w:r>
          </w:p>
        </w:tc>
      </w:tr>
      <w:tr w:rsidR="00BD1842" w:rsidRPr="0040169C" w14:paraId="76A2426C" w14:textId="77777777" w:rsidTr="008D78A9">
        <w:tc>
          <w:tcPr>
            <w:tcW w:w="6232" w:type="dxa"/>
          </w:tcPr>
          <w:p w14:paraId="5CCD84F7"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Previous myocardial infarction, no. (%)</w:t>
            </w:r>
          </w:p>
        </w:tc>
        <w:tc>
          <w:tcPr>
            <w:tcW w:w="2784" w:type="dxa"/>
          </w:tcPr>
          <w:p w14:paraId="5372CFFF"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5 (17.9)</w:t>
            </w:r>
          </w:p>
        </w:tc>
      </w:tr>
      <w:tr w:rsidR="00BD1842" w:rsidRPr="0040169C" w14:paraId="13717A26" w14:textId="77777777" w:rsidTr="008D78A9">
        <w:tc>
          <w:tcPr>
            <w:tcW w:w="6232" w:type="dxa"/>
          </w:tcPr>
          <w:p w14:paraId="49DB32CD"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Hypertension no. (%)</w:t>
            </w:r>
          </w:p>
        </w:tc>
        <w:tc>
          <w:tcPr>
            <w:tcW w:w="2784" w:type="dxa"/>
          </w:tcPr>
          <w:p w14:paraId="7938CF31"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21 (75.0)</w:t>
            </w:r>
          </w:p>
        </w:tc>
      </w:tr>
      <w:tr w:rsidR="00BD1842" w:rsidRPr="0040169C" w14:paraId="004B10C8" w14:textId="77777777" w:rsidTr="008D78A9">
        <w:tc>
          <w:tcPr>
            <w:tcW w:w="6232" w:type="dxa"/>
          </w:tcPr>
          <w:p w14:paraId="0367B44A"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Dyslipidaemia no. (%)</w:t>
            </w:r>
          </w:p>
        </w:tc>
        <w:tc>
          <w:tcPr>
            <w:tcW w:w="2784" w:type="dxa"/>
          </w:tcPr>
          <w:p w14:paraId="3C7C1C00"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16 (57.1)</w:t>
            </w:r>
          </w:p>
        </w:tc>
      </w:tr>
      <w:tr w:rsidR="00BD1842" w:rsidRPr="0040169C" w14:paraId="39EF1CCA" w14:textId="77777777" w:rsidTr="008D78A9">
        <w:tc>
          <w:tcPr>
            <w:tcW w:w="6232" w:type="dxa"/>
          </w:tcPr>
          <w:p w14:paraId="5ACF87E5"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Diabetes mellitus, no. (%)</w:t>
            </w:r>
          </w:p>
        </w:tc>
        <w:tc>
          <w:tcPr>
            <w:tcW w:w="2784" w:type="dxa"/>
          </w:tcPr>
          <w:p w14:paraId="669D41B8"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23 (82.1)</w:t>
            </w:r>
          </w:p>
        </w:tc>
      </w:tr>
      <w:tr w:rsidR="00BD1842" w:rsidRPr="0040169C" w14:paraId="2FAA07BA" w14:textId="77777777" w:rsidTr="008D78A9">
        <w:tc>
          <w:tcPr>
            <w:tcW w:w="6232" w:type="dxa"/>
          </w:tcPr>
          <w:p w14:paraId="25304F45"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Type I</w:t>
            </w:r>
          </w:p>
        </w:tc>
        <w:tc>
          <w:tcPr>
            <w:tcW w:w="2784" w:type="dxa"/>
          </w:tcPr>
          <w:p w14:paraId="495DD465"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0</w:t>
            </w:r>
          </w:p>
        </w:tc>
      </w:tr>
      <w:tr w:rsidR="00BD1842" w:rsidRPr="0040169C" w14:paraId="219F91B9" w14:textId="77777777" w:rsidTr="008D78A9">
        <w:tc>
          <w:tcPr>
            <w:tcW w:w="6232" w:type="dxa"/>
          </w:tcPr>
          <w:p w14:paraId="28F726AA"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Type II</w:t>
            </w:r>
          </w:p>
        </w:tc>
        <w:tc>
          <w:tcPr>
            <w:tcW w:w="2784" w:type="dxa"/>
          </w:tcPr>
          <w:p w14:paraId="2C931529"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23 (82.1)</w:t>
            </w:r>
          </w:p>
        </w:tc>
      </w:tr>
      <w:tr w:rsidR="00BD1842" w:rsidRPr="0040169C" w14:paraId="424BA45B" w14:textId="77777777" w:rsidTr="008D78A9">
        <w:tc>
          <w:tcPr>
            <w:tcW w:w="6232" w:type="dxa"/>
          </w:tcPr>
          <w:p w14:paraId="01A63928"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Renal insufficiency, no. (%)</w:t>
            </w:r>
          </w:p>
        </w:tc>
        <w:tc>
          <w:tcPr>
            <w:tcW w:w="2784" w:type="dxa"/>
          </w:tcPr>
          <w:p w14:paraId="60EB69ED"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5 (17.9)</w:t>
            </w:r>
          </w:p>
        </w:tc>
      </w:tr>
      <w:tr w:rsidR="00BD1842" w:rsidRPr="0040169C" w14:paraId="72CB4DFD" w14:textId="77777777" w:rsidTr="008D78A9">
        <w:tc>
          <w:tcPr>
            <w:tcW w:w="6232" w:type="dxa"/>
          </w:tcPr>
          <w:p w14:paraId="6AED14A4"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Req. haemodialysis, no. (%)</w:t>
            </w:r>
          </w:p>
        </w:tc>
        <w:tc>
          <w:tcPr>
            <w:tcW w:w="2784" w:type="dxa"/>
          </w:tcPr>
          <w:p w14:paraId="243DD2C3"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3 (10.7)</w:t>
            </w:r>
          </w:p>
        </w:tc>
      </w:tr>
      <w:tr w:rsidR="00BD1842" w:rsidRPr="0040169C" w14:paraId="79905312" w14:textId="77777777" w:rsidTr="008D78A9">
        <w:tc>
          <w:tcPr>
            <w:tcW w:w="6232" w:type="dxa"/>
          </w:tcPr>
          <w:p w14:paraId="7C7BEA3A"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Rutherford Classification</w:t>
            </w:r>
          </w:p>
        </w:tc>
        <w:tc>
          <w:tcPr>
            <w:tcW w:w="2784" w:type="dxa"/>
          </w:tcPr>
          <w:p w14:paraId="38D5B512" w14:textId="77777777" w:rsidR="00BD1842" w:rsidRPr="0040169C" w:rsidRDefault="00BD1842" w:rsidP="008D78A9">
            <w:pPr>
              <w:rPr>
                <w:rFonts w:ascii="Times New Roman" w:hAnsi="Times New Roman" w:cs="Times New Roman"/>
                <w:lang w:val="en-GB"/>
              </w:rPr>
            </w:pPr>
          </w:p>
        </w:tc>
      </w:tr>
      <w:tr w:rsidR="00BD1842" w:rsidRPr="0040169C" w14:paraId="401315A6" w14:textId="77777777" w:rsidTr="008D78A9">
        <w:tc>
          <w:tcPr>
            <w:tcW w:w="6232" w:type="dxa"/>
          </w:tcPr>
          <w:p w14:paraId="30CFCA15"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Class 5</w:t>
            </w:r>
          </w:p>
        </w:tc>
        <w:tc>
          <w:tcPr>
            <w:tcW w:w="2784" w:type="dxa"/>
          </w:tcPr>
          <w:p w14:paraId="2E885AE0" w14:textId="77777777" w:rsidR="00BD1842" w:rsidRPr="0040169C" w:rsidRDefault="00BD1842" w:rsidP="008D78A9">
            <w:pPr>
              <w:rPr>
                <w:rFonts w:ascii="Times New Roman" w:hAnsi="Times New Roman" w:cs="Times New Roman"/>
                <w:lang w:val="en-GB"/>
              </w:rPr>
            </w:pPr>
            <w:r w:rsidRPr="69E17DC0">
              <w:rPr>
                <w:rFonts w:ascii="Times New Roman" w:hAnsi="Times New Roman" w:cs="Times New Roman"/>
                <w:lang w:val="en-GB"/>
              </w:rPr>
              <w:t>26 (92.9)</w:t>
            </w:r>
          </w:p>
        </w:tc>
      </w:tr>
      <w:tr w:rsidR="00BD1842" w:rsidRPr="0040169C" w14:paraId="60992131" w14:textId="77777777" w:rsidTr="008D78A9">
        <w:tc>
          <w:tcPr>
            <w:tcW w:w="6232" w:type="dxa"/>
          </w:tcPr>
          <w:p w14:paraId="373245B7"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Class 6</w:t>
            </w:r>
          </w:p>
        </w:tc>
        <w:tc>
          <w:tcPr>
            <w:tcW w:w="2784" w:type="dxa"/>
          </w:tcPr>
          <w:p w14:paraId="1EA9511A" w14:textId="77777777" w:rsidR="00BD1842" w:rsidRPr="0040169C" w:rsidRDefault="00BD1842" w:rsidP="008D78A9">
            <w:pPr>
              <w:rPr>
                <w:rFonts w:ascii="Times New Roman" w:hAnsi="Times New Roman" w:cs="Times New Roman"/>
                <w:lang w:val="en-GB"/>
              </w:rPr>
            </w:pPr>
            <w:r w:rsidRPr="69E17DC0">
              <w:rPr>
                <w:rFonts w:ascii="Times New Roman" w:hAnsi="Times New Roman" w:cs="Times New Roman"/>
                <w:lang w:val="en-GB"/>
              </w:rPr>
              <w:t>2 (7.1)</w:t>
            </w:r>
          </w:p>
        </w:tc>
      </w:tr>
      <w:tr w:rsidR="00BD1842" w14:paraId="67D0C317" w14:textId="77777777" w:rsidTr="008D78A9">
        <w:trPr>
          <w:trHeight w:val="300"/>
        </w:trPr>
        <w:tc>
          <w:tcPr>
            <w:tcW w:w="6232" w:type="dxa"/>
          </w:tcPr>
          <w:p w14:paraId="6D9B5154" w14:textId="6F349E9B" w:rsidR="00BD1842" w:rsidRDefault="00BD1842" w:rsidP="008D78A9">
            <w:pPr>
              <w:rPr>
                <w:rFonts w:ascii="Times New Roman" w:hAnsi="Times New Roman" w:cs="Times New Roman"/>
                <w:lang w:val="en-GB"/>
              </w:rPr>
            </w:pPr>
            <w:r w:rsidRPr="69E17DC0">
              <w:rPr>
                <w:rFonts w:ascii="Times New Roman" w:hAnsi="Times New Roman" w:cs="Times New Roman"/>
                <w:lang w:val="en-GB"/>
              </w:rPr>
              <w:t>SVS WIfI Wound Score</w:t>
            </w:r>
          </w:p>
        </w:tc>
        <w:tc>
          <w:tcPr>
            <w:tcW w:w="2784" w:type="dxa"/>
          </w:tcPr>
          <w:p w14:paraId="7A8BFF5E" w14:textId="2C4ADD4B" w:rsidR="00BD1842" w:rsidRPr="00E36C8E" w:rsidRDefault="00BD1842" w:rsidP="008D78A9">
            <w:pPr>
              <w:rPr>
                <w:rFonts w:ascii="Times New Roman" w:hAnsi="Times New Roman" w:cs="Times New Roman"/>
                <w:highlight w:val="yellow"/>
                <w:lang w:val="en-GB"/>
              </w:rPr>
            </w:pPr>
          </w:p>
        </w:tc>
      </w:tr>
      <w:tr w:rsidR="00BD1842" w14:paraId="06444E9D" w14:textId="77777777" w:rsidTr="008D78A9">
        <w:trPr>
          <w:trHeight w:val="300"/>
        </w:trPr>
        <w:tc>
          <w:tcPr>
            <w:tcW w:w="6232" w:type="dxa"/>
          </w:tcPr>
          <w:p w14:paraId="4ED932A1" w14:textId="77777777" w:rsidR="00BD1842" w:rsidRDefault="00BD1842" w:rsidP="008D78A9">
            <w:pPr>
              <w:rPr>
                <w:rFonts w:ascii="Times New Roman" w:hAnsi="Times New Roman" w:cs="Times New Roman"/>
                <w:lang w:val="en-GB"/>
              </w:rPr>
            </w:pPr>
            <w:r w:rsidRPr="69E17DC0">
              <w:rPr>
                <w:rFonts w:ascii="Times New Roman" w:hAnsi="Times New Roman" w:cs="Times New Roman"/>
                <w:lang w:val="en-GB"/>
              </w:rPr>
              <w:t xml:space="preserve">             Wound score 1, (%)</w:t>
            </w:r>
          </w:p>
        </w:tc>
        <w:tc>
          <w:tcPr>
            <w:tcW w:w="2784" w:type="dxa"/>
          </w:tcPr>
          <w:p w14:paraId="7D782C31" w14:textId="77777777" w:rsidR="00BD1842" w:rsidRPr="00E36C8E" w:rsidRDefault="00BD1842" w:rsidP="008D78A9">
            <w:pPr>
              <w:rPr>
                <w:rFonts w:ascii="Times New Roman" w:hAnsi="Times New Roman" w:cs="Times New Roman"/>
                <w:lang w:val="en-GB"/>
              </w:rPr>
            </w:pPr>
            <w:r w:rsidRPr="00E36C8E">
              <w:rPr>
                <w:rFonts w:ascii="Times New Roman" w:hAnsi="Times New Roman" w:cs="Times New Roman"/>
                <w:lang w:val="en-GB"/>
              </w:rPr>
              <w:t>11 (39.3)</w:t>
            </w:r>
          </w:p>
        </w:tc>
      </w:tr>
      <w:tr w:rsidR="00BD1842" w14:paraId="20C682EA" w14:textId="77777777" w:rsidTr="008D78A9">
        <w:trPr>
          <w:trHeight w:val="300"/>
        </w:trPr>
        <w:tc>
          <w:tcPr>
            <w:tcW w:w="6232" w:type="dxa"/>
          </w:tcPr>
          <w:p w14:paraId="0588856D" w14:textId="77777777" w:rsidR="00BD1842" w:rsidRDefault="00BD1842" w:rsidP="008D78A9">
            <w:pPr>
              <w:rPr>
                <w:rFonts w:ascii="Times New Roman" w:hAnsi="Times New Roman" w:cs="Times New Roman"/>
                <w:lang w:val="en-GB"/>
              </w:rPr>
            </w:pPr>
            <w:r w:rsidRPr="69E17DC0">
              <w:rPr>
                <w:rFonts w:ascii="Times New Roman" w:hAnsi="Times New Roman" w:cs="Times New Roman"/>
                <w:lang w:val="en-GB"/>
              </w:rPr>
              <w:t xml:space="preserve">             Wound score 2, (%)</w:t>
            </w:r>
          </w:p>
        </w:tc>
        <w:tc>
          <w:tcPr>
            <w:tcW w:w="2784" w:type="dxa"/>
          </w:tcPr>
          <w:p w14:paraId="61735666" w14:textId="77777777" w:rsidR="00BD1842" w:rsidRPr="00E36C8E" w:rsidRDefault="00BD1842" w:rsidP="008D78A9">
            <w:pPr>
              <w:rPr>
                <w:rFonts w:ascii="Times New Roman" w:hAnsi="Times New Roman" w:cs="Times New Roman"/>
                <w:lang w:val="en-GB"/>
              </w:rPr>
            </w:pPr>
            <w:r w:rsidRPr="00E36C8E">
              <w:rPr>
                <w:rFonts w:ascii="Times New Roman" w:hAnsi="Times New Roman" w:cs="Times New Roman"/>
                <w:lang w:val="en-GB"/>
              </w:rPr>
              <w:t>16 (57.1)</w:t>
            </w:r>
          </w:p>
        </w:tc>
      </w:tr>
      <w:tr w:rsidR="00BD1842" w14:paraId="67D54434" w14:textId="77777777" w:rsidTr="008D78A9">
        <w:trPr>
          <w:trHeight w:val="300"/>
        </w:trPr>
        <w:tc>
          <w:tcPr>
            <w:tcW w:w="6232" w:type="dxa"/>
          </w:tcPr>
          <w:p w14:paraId="7A990825" w14:textId="77777777" w:rsidR="00BD1842" w:rsidRDefault="00BD1842" w:rsidP="008D78A9">
            <w:pPr>
              <w:rPr>
                <w:rFonts w:ascii="Times New Roman" w:hAnsi="Times New Roman" w:cs="Times New Roman"/>
                <w:lang w:val="en-GB"/>
              </w:rPr>
            </w:pPr>
            <w:r w:rsidRPr="69E17DC0">
              <w:rPr>
                <w:rFonts w:ascii="Times New Roman" w:hAnsi="Times New Roman" w:cs="Times New Roman"/>
                <w:lang w:val="en-GB"/>
              </w:rPr>
              <w:t xml:space="preserve">             Wound score 3, (%)</w:t>
            </w:r>
          </w:p>
        </w:tc>
        <w:tc>
          <w:tcPr>
            <w:tcW w:w="2784" w:type="dxa"/>
          </w:tcPr>
          <w:p w14:paraId="5BDA7C09" w14:textId="0BB81B5E" w:rsidR="00BD1842" w:rsidRPr="00E36C8E" w:rsidRDefault="00BD1842" w:rsidP="008D78A9">
            <w:pPr>
              <w:rPr>
                <w:rFonts w:ascii="Times New Roman" w:hAnsi="Times New Roman" w:cs="Times New Roman"/>
                <w:lang w:val="en-GB"/>
              </w:rPr>
            </w:pPr>
            <w:r w:rsidRPr="00E36C8E">
              <w:rPr>
                <w:rFonts w:ascii="Times New Roman" w:hAnsi="Times New Roman" w:cs="Times New Roman"/>
                <w:lang w:val="en-GB"/>
              </w:rPr>
              <w:t>1 (3.</w:t>
            </w:r>
            <w:r w:rsidR="00E36C8E" w:rsidRPr="00E36C8E">
              <w:rPr>
                <w:rFonts w:ascii="Times New Roman" w:hAnsi="Times New Roman" w:cs="Times New Roman"/>
                <w:lang w:val="en-GB"/>
              </w:rPr>
              <w:t>6</w:t>
            </w:r>
            <w:r w:rsidRPr="00E36C8E">
              <w:rPr>
                <w:rFonts w:ascii="Times New Roman" w:hAnsi="Times New Roman" w:cs="Times New Roman"/>
                <w:lang w:val="en-GB"/>
              </w:rPr>
              <w:t>)</w:t>
            </w:r>
          </w:p>
        </w:tc>
      </w:tr>
      <w:tr w:rsidR="00BD1842" w:rsidRPr="0040169C" w14:paraId="2AFEA503" w14:textId="77777777" w:rsidTr="008D78A9">
        <w:tc>
          <w:tcPr>
            <w:tcW w:w="6232" w:type="dxa"/>
          </w:tcPr>
          <w:p w14:paraId="7BA65E0C"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Median wound area (IQR), cm</w:t>
            </w:r>
            <w:r w:rsidRPr="0040169C">
              <w:rPr>
                <w:rFonts w:ascii="Times New Roman" w:hAnsi="Times New Roman" w:cs="Times New Roman"/>
                <w:vertAlign w:val="superscript"/>
                <w:lang w:val="en-GB"/>
              </w:rPr>
              <w:t>2</w:t>
            </w:r>
          </w:p>
        </w:tc>
        <w:tc>
          <w:tcPr>
            <w:tcW w:w="2784" w:type="dxa"/>
          </w:tcPr>
          <w:p w14:paraId="3872E66D" w14:textId="04D04894"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7.2 (3.</w:t>
            </w:r>
            <w:r w:rsidR="00E36C8E">
              <w:rPr>
                <w:rFonts w:ascii="Times New Roman" w:hAnsi="Times New Roman" w:cs="Times New Roman"/>
                <w:lang w:val="en-GB"/>
              </w:rPr>
              <w:t>1</w:t>
            </w:r>
            <w:r w:rsidRPr="0040169C">
              <w:rPr>
                <w:rFonts w:ascii="Times New Roman" w:hAnsi="Times New Roman" w:cs="Times New Roman"/>
                <w:lang w:val="en-GB"/>
              </w:rPr>
              <w:t>-10.</w:t>
            </w:r>
            <w:r w:rsidR="00E36C8E">
              <w:rPr>
                <w:rFonts w:ascii="Times New Roman" w:hAnsi="Times New Roman" w:cs="Times New Roman"/>
                <w:lang w:val="en-GB"/>
              </w:rPr>
              <w:t>3</w:t>
            </w:r>
            <w:r w:rsidRPr="0040169C">
              <w:rPr>
                <w:rFonts w:ascii="Times New Roman" w:hAnsi="Times New Roman" w:cs="Times New Roman"/>
                <w:lang w:val="en-GB"/>
              </w:rPr>
              <w:t>)</w:t>
            </w:r>
          </w:p>
        </w:tc>
      </w:tr>
      <w:tr w:rsidR="00BD1842" w:rsidRPr="0040169C" w14:paraId="4761D5D4" w14:textId="77777777" w:rsidTr="008D78A9">
        <w:tc>
          <w:tcPr>
            <w:tcW w:w="6232" w:type="dxa"/>
          </w:tcPr>
          <w:p w14:paraId="2DB2C4D8"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Previous endovascular intervention in target limb, no. (%)</w:t>
            </w:r>
          </w:p>
        </w:tc>
        <w:tc>
          <w:tcPr>
            <w:tcW w:w="2784" w:type="dxa"/>
          </w:tcPr>
          <w:p w14:paraId="3E366231"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26 (92.9)</w:t>
            </w:r>
          </w:p>
        </w:tc>
      </w:tr>
    </w:tbl>
    <w:p w14:paraId="0F5512AA" w14:textId="721D54E7" w:rsidR="00BD1842" w:rsidRPr="00D228CE" w:rsidRDefault="00BD1842" w:rsidP="00BD1842">
      <w:pPr>
        <w:autoSpaceDE w:val="0"/>
        <w:autoSpaceDN w:val="0"/>
        <w:adjustRightInd w:val="0"/>
        <w:rPr>
          <w:rFonts w:ascii="Times New Roman" w:hAnsi="Times New Roman" w:cs="Times New Roman"/>
          <w:lang w:val="en-GB"/>
        </w:rPr>
      </w:pPr>
      <w:r w:rsidRPr="00D228CE">
        <w:rPr>
          <w:rFonts w:ascii="Times New Roman" w:hAnsi="Times New Roman" w:cs="Times New Roman"/>
          <w:sz w:val="22"/>
          <w:szCs w:val="22"/>
          <w:lang w:val="en-GB"/>
        </w:rPr>
        <w:t>Data are shown as median with interquartile range</w:t>
      </w:r>
      <w:r w:rsidR="007267F9">
        <w:rPr>
          <w:rFonts w:ascii="Times New Roman" w:hAnsi="Times New Roman" w:cs="Times New Roman"/>
          <w:sz w:val="22"/>
          <w:szCs w:val="22"/>
          <w:lang w:val="en-GB"/>
        </w:rPr>
        <w:t xml:space="preserve"> </w:t>
      </w:r>
      <w:r w:rsidRPr="00D228CE">
        <w:rPr>
          <w:rFonts w:ascii="Times New Roman" w:hAnsi="Times New Roman" w:cs="Times New Roman"/>
          <w:sz w:val="22"/>
          <w:szCs w:val="22"/>
          <w:lang w:val="en-GB"/>
        </w:rPr>
        <w:t>or number with percentage.</w:t>
      </w:r>
    </w:p>
    <w:p w14:paraId="7E0B08A9" w14:textId="77777777" w:rsidR="00BD1842" w:rsidRPr="00315567" w:rsidRDefault="00BD1842" w:rsidP="00BA7C26">
      <w:pPr>
        <w:spacing w:line="480" w:lineRule="auto"/>
        <w:rPr>
          <w:rFonts w:ascii="Times New Roman" w:hAnsi="Times New Roman" w:cs="Times New Roman"/>
          <w:sz w:val="22"/>
          <w:szCs w:val="22"/>
          <w:lang w:val="en-GB"/>
        </w:rPr>
      </w:pPr>
    </w:p>
    <w:p w14:paraId="4C2F7FE1" w14:textId="77777777" w:rsidR="00BA7C26" w:rsidRPr="00315567" w:rsidRDefault="00BA7C26" w:rsidP="00BA7C26">
      <w:pPr>
        <w:spacing w:line="480" w:lineRule="auto"/>
        <w:rPr>
          <w:rFonts w:ascii="Times New Roman" w:hAnsi="Times New Roman" w:cs="Times New Roman"/>
          <w:i/>
          <w:iCs/>
          <w:sz w:val="22"/>
          <w:szCs w:val="22"/>
          <w:lang w:val="en-GB"/>
        </w:rPr>
      </w:pPr>
    </w:p>
    <w:p w14:paraId="483D772F" w14:textId="77777777" w:rsidR="00BD1842" w:rsidRDefault="00BD1842">
      <w:pPr>
        <w:rPr>
          <w:rFonts w:ascii="Times New Roman" w:hAnsi="Times New Roman" w:cs="Times New Roman"/>
          <w:i/>
          <w:iCs/>
          <w:sz w:val="22"/>
          <w:szCs w:val="22"/>
          <w:lang w:val="en-GB"/>
        </w:rPr>
      </w:pPr>
      <w:r>
        <w:rPr>
          <w:rFonts w:ascii="Times New Roman" w:hAnsi="Times New Roman" w:cs="Times New Roman"/>
          <w:i/>
          <w:iCs/>
          <w:sz w:val="22"/>
          <w:szCs w:val="22"/>
          <w:lang w:val="en-GB"/>
        </w:rPr>
        <w:br w:type="page"/>
      </w:r>
    </w:p>
    <w:p w14:paraId="0F5E4C0E" w14:textId="6C0CF5C5" w:rsidR="00BA7C26" w:rsidRPr="00315567" w:rsidRDefault="00BA7C26" w:rsidP="00BA7C26">
      <w:pPr>
        <w:spacing w:line="480" w:lineRule="auto"/>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lastRenderedPageBreak/>
        <w:t>Procedural Outcomes</w:t>
      </w:r>
    </w:p>
    <w:p w14:paraId="2F985F32" w14:textId="4731A6AF" w:rsidR="00BA7C26" w:rsidRPr="00315567" w:rsidRDefault="00BA7C26" w:rsidP="00157DBE">
      <w:pPr>
        <w:spacing w:after="160"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 xml:space="preserve">The LimFlow TADV procedure achieved technical success in 27 of 28 cases (96.4%) with no unanticipated adverse device-related </w:t>
      </w:r>
      <w:r w:rsidRPr="002B1D34">
        <w:rPr>
          <w:rFonts w:ascii="Times New Roman" w:hAnsi="Times New Roman" w:cs="Times New Roman"/>
          <w:sz w:val="22"/>
          <w:szCs w:val="22"/>
          <w:lang w:val="en-GB"/>
        </w:rPr>
        <w:t xml:space="preserve">events (Table </w:t>
      </w:r>
      <w:r w:rsidR="002B1D34" w:rsidRPr="002B1D34">
        <w:rPr>
          <w:rFonts w:ascii="Times New Roman" w:hAnsi="Times New Roman" w:cs="Times New Roman"/>
          <w:sz w:val="22"/>
          <w:szCs w:val="22"/>
          <w:lang w:val="en-GB"/>
        </w:rPr>
        <w:t>S</w:t>
      </w:r>
      <w:r w:rsidRPr="002B1D34">
        <w:rPr>
          <w:rFonts w:ascii="Times New Roman" w:hAnsi="Times New Roman" w:cs="Times New Roman"/>
          <w:sz w:val="22"/>
          <w:szCs w:val="22"/>
          <w:lang w:val="en-GB"/>
        </w:rPr>
        <w:t>2). Venous access</w:t>
      </w:r>
      <w:r w:rsidRPr="00315567">
        <w:rPr>
          <w:rFonts w:ascii="Times New Roman" w:hAnsi="Times New Roman" w:cs="Times New Roman"/>
          <w:sz w:val="22"/>
          <w:szCs w:val="22"/>
          <w:lang w:val="en-GB"/>
        </w:rPr>
        <w:t xml:space="preserve"> was performed primarily in the lateral plantar vein. The posterior tibial artery was the most common target for arteriovenous crossing location. There was one case of technical failure where the procedure had to be abandoned due to inability to perform the artery-to-vein crossing secondary to significant calcification of the posterior tibial artery. This patient was followed for safety for 30 days and exited per the protocol.</w:t>
      </w:r>
    </w:p>
    <w:p w14:paraId="24BB98CF" w14:textId="101443FF" w:rsidR="00BA7C26" w:rsidRPr="00315567" w:rsidRDefault="00BA7C26" w:rsidP="00157DBE">
      <w:pPr>
        <w:spacing w:line="480" w:lineRule="auto"/>
        <w:rPr>
          <w:rFonts w:ascii="Times New Roman" w:hAnsi="Times New Roman" w:cs="Times New Roman"/>
          <w:sz w:val="22"/>
          <w:szCs w:val="22"/>
          <w:lang w:val="en-GB"/>
        </w:rPr>
      </w:pPr>
      <w:r w:rsidRPr="2CA6350C">
        <w:rPr>
          <w:rFonts w:ascii="Times New Roman" w:hAnsi="Times New Roman" w:cs="Times New Roman"/>
          <w:sz w:val="22"/>
          <w:szCs w:val="22"/>
          <w:lang w:val="en-GB"/>
        </w:rPr>
        <w:t xml:space="preserve">The median length of </w:t>
      </w:r>
      <w:r w:rsidR="00FC5233" w:rsidRPr="2CA6350C">
        <w:rPr>
          <w:rFonts w:ascii="Times New Roman" w:hAnsi="Times New Roman" w:cs="Times New Roman"/>
          <w:sz w:val="22"/>
          <w:szCs w:val="22"/>
          <w:lang w:val="en-GB"/>
        </w:rPr>
        <w:t xml:space="preserve">post-procedure </w:t>
      </w:r>
      <w:r w:rsidRPr="2CA6350C">
        <w:rPr>
          <w:rFonts w:ascii="Times New Roman" w:hAnsi="Times New Roman" w:cs="Times New Roman"/>
          <w:sz w:val="22"/>
          <w:szCs w:val="22"/>
          <w:lang w:val="en-GB"/>
        </w:rPr>
        <w:t>hospital stay for all study patients across all sites (and in the context of bed management practices during the COVID-19 pandemic) was 10.</w:t>
      </w:r>
      <w:r w:rsidR="00A4051C">
        <w:rPr>
          <w:rFonts w:ascii="Times New Roman" w:hAnsi="Times New Roman" w:cs="Times New Roman"/>
          <w:sz w:val="22"/>
          <w:szCs w:val="22"/>
          <w:lang w:val="en-GB"/>
        </w:rPr>
        <w:t>0</w:t>
      </w:r>
      <w:r w:rsidRPr="2CA6350C">
        <w:rPr>
          <w:rFonts w:ascii="Times New Roman" w:hAnsi="Times New Roman" w:cs="Times New Roman"/>
          <w:sz w:val="22"/>
          <w:szCs w:val="22"/>
          <w:lang w:val="en-GB"/>
        </w:rPr>
        <w:t xml:space="preserve"> days (IQR, 6.</w:t>
      </w:r>
      <w:r w:rsidR="00A4051C">
        <w:rPr>
          <w:rFonts w:ascii="Times New Roman" w:hAnsi="Times New Roman" w:cs="Times New Roman"/>
          <w:sz w:val="22"/>
          <w:szCs w:val="22"/>
          <w:lang w:val="en-GB"/>
        </w:rPr>
        <w:t>0</w:t>
      </w:r>
      <w:r w:rsidRPr="2CA6350C">
        <w:rPr>
          <w:rFonts w:ascii="Times New Roman" w:hAnsi="Times New Roman" w:cs="Times New Roman"/>
          <w:sz w:val="22"/>
          <w:szCs w:val="22"/>
          <w:lang w:val="en-GB"/>
        </w:rPr>
        <w:t>-</w:t>
      </w:r>
      <w:r w:rsidR="00A4051C">
        <w:rPr>
          <w:rFonts w:ascii="Times New Roman" w:hAnsi="Times New Roman" w:cs="Times New Roman"/>
          <w:sz w:val="22"/>
          <w:szCs w:val="22"/>
          <w:lang w:val="en-GB"/>
        </w:rPr>
        <w:t>15.0</w:t>
      </w:r>
      <w:r w:rsidRPr="2CA6350C">
        <w:rPr>
          <w:rFonts w:ascii="Times New Roman" w:hAnsi="Times New Roman" w:cs="Times New Roman"/>
          <w:sz w:val="22"/>
          <w:szCs w:val="22"/>
          <w:lang w:val="en-GB"/>
        </w:rPr>
        <w:t xml:space="preserve">), with all patients being discharged home with the exception of three patients who had a major amputation in-hospital. Figure </w:t>
      </w:r>
      <w:r w:rsidR="00707CA6">
        <w:rPr>
          <w:rFonts w:ascii="Times New Roman" w:hAnsi="Times New Roman" w:cs="Times New Roman"/>
          <w:sz w:val="22"/>
          <w:szCs w:val="22"/>
          <w:lang w:val="en-GB"/>
        </w:rPr>
        <w:t>1</w:t>
      </w:r>
      <w:r w:rsidRPr="2CA6350C">
        <w:rPr>
          <w:rFonts w:ascii="Times New Roman" w:hAnsi="Times New Roman" w:cs="Times New Roman"/>
          <w:sz w:val="22"/>
          <w:szCs w:val="22"/>
          <w:lang w:val="en-GB"/>
        </w:rPr>
        <w:t xml:space="preserve"> provides an example of patient course during the study.</w:t>
      </w:r>
    </w:p>
    <w:p w14:paraId="24A4AEBD" w14:textId="77777777" w:rsidR="00BD1842" w:rsidRPr="0040169C" w:rsidRDefault="00BD1842" w:rsidP="00BD1842">
      <w:pPr>
        <w:rPr>
          <w:rFonts w:ascii="Times New Roman" w:hAnsi="Times New Roman" w:cs="Times New Roman"/>
          <w:b/>
          <w:bCs/>
          <w:lang w:val="en-GB"/>
        </w:rPr>
      </w:pPr>
      <w:r w:rsidRPr="007B2A50">
        <w:rPr>
          <w:rFonts w:ascii="Times New Roman" w:hAnsi="Times New Roman" w:cs="Times New Roman"/>
          <w:b/>
          <w:bCs/>
          <w:lang w:val="en-GB"/>
        </w:rPr>
        <w:t>Table S2. Procedural</w:t>
      </w:r>
      <w:r w:rsidRPr="0040169C">
        <w:rPr>
          <w:rFonts w:ascii="Times New Roman" w:hAnsi="Times New Roman" w:cs="Times New Roman"/>
          <w:b/>
          <w:bCs/>
          <w:lang w:val="en-GB"/>
        </w:rPr>
        <w:t xml:space="preserve"> and In-Hospital Outcomes</w:t>
      </w:r>
    </w:p>
    <w:tbl>
      <w:tblPr>
        <w:tblStyle w:val="TableGrid"/>
        <w:tblW w:w="0" w:type="auto"/>
        <w:tblLook w:val="04A0" w:firstRow="1" w:lastRow="0" w:firstColumn="1" w:lastColumn="0" w:noHBand="0" w:noVBand="1"/>
      </w:tblPr>
      <w:tblGrid>
        <w:gridCol w:w="6091"/>
        <w:gridCol w:w="2925"/>
      </w:tblGrid>
      <w:tr w:rsidR="00BD1842" w:rsidRPr="0040169C" w14:paraId="7A0FEA5E" w14:textId="77777777" w:rsidTr="008D78A9">
        <w:tc>
          <w:tcPr>
            <w:tcW w:w="6091" w:type="dxa"/>
          </w:tcPr>
          <w:p w14:paraId="5CD05DB4" w14:textId="77777777" w:rsidR="00BD1842" w:rsidRPr="0040169C" w:rsidRDefault="00BD1842" w:rsidP="008D78A9">
            <w:pPr>
              <w:rPr>
                <w:rFonts w:ascii="Times New Roman" w:hAnsi="Times New Roman" w:cs="Times New Roman"/>
                <w:b/>
                <w:bCs/>
                <w:lang w:val="en-GB"/>
              </w:rPr>
            </w:pPr>
            <w:r w:rsidRPr="0040169C">
              <w:rPr>
                <w:rFonts w:ascii="Times New Roman" w:hAnsi="Times New Roman" w:cs="Times New Roman"/>
                <w:b/>
                <w:bCs/>
                <w:lang w:val="en-GB"/>
              </w:rPr>
              <w:t>Characteristic</w:t>
            </w:r>
          </w:p>
        </w:tc>
        <w:tc>
          <w:tcPr>
            <w:tcW w:w="2925" w:type="dxa"/>
          </w:tcPr>
          <w:p w14:paraId="40A7A273" w14:textId="77777777" w:rsidR="00BD1842" w:rsidRPr="0040169C" w:rsidRDefault="00BD1842" w:rsidP="008D78A9">
            <w:pPr>
              <w:rPr>
                <w:rFonts w:ascii="Times New Roman" w:hAnsi="Times New Roman" w:cs="Times New Roman"/>
                <w:b/>
                <w:bCs/>
                <w:lang w:val="en-GB"/>
              </w:rPr>
            </w:pPr>
            <w:r w:rsidRPr="0040169C">
              <w:rPr>
                <w:rFonts w:ascii="Times New Roman" w:hAnsi="Times New Roman" w:cs="Times New Roman"/>
                <w:b/>
                <w:bCs/>
                <w:lang w:val="en-GB"/>
              </w:rPr>
              <w:t>All Patients (N=28)</w:t>
            </w:r>
          </w:p>
        </w:tc>
      </w:tr>
      <w:tr w:rsidR="00BD1842" w:rsidRPr="0040169C" w14:paraId="2C0C6B7E" w14:textId="77777777" w:rsidTr="008D78A9">
        <w:tc>
          <w:tcPr>
            <w:tcW w:w="6091" w:type="dxa"/>
          </w:tcPr>
          <w:p w14:paraId="4F9F1B1F"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Technical Success, no. (%)</w:t>
            </w:r>
          </w:p>
        </w:tc>
        <w:tc>
          <w:tcPr>
            <w:tcW w:w="2925" w:type="dxa"/>
          </w:tcPr>
          <w:p w14:paraId="25E06196"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27 (96.4)</w:t>
            </w:r>
          </w:p>
        </w:tc>
      </w:tr>
      <w:tr w:rsidR="00BD1842" w:rsidRPr="0040169C" w14:paraId="477B43DD" w14:textId="77777777" w:rsidTr="008D78A9">
        <w:tc>
          <w:tcPr>
            <w:tcW w:w="6091" w:type="dxa"/>
          </w:tcPr>
          <w:p w14:paraId="73849CDC"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Pedal Access site</w:t>
            </w:r>
          </w:p>
        </w:tc>
        <w:tc>
          <w:tcPr>
            <w:tcW w:w="2925" w:type="dxa"/>
          </w:tcPr>
          <w:p w14:paraId="418286D4" w14:textId="77777777" w:rsidR="00BD1842" w:rsidRPr="0040169C" w:rsidRDefault="00BD1842" w:rsidP="008D78A9">
            <w:pPr>
              <w:rPr>
                <w:rFonts w:ascii="Times New Roman" w:hAnsi="Times New Roman" w:cs="Times New Roman"/>
                <w:lang w:val="en-GB"/>
              </w:rPr>
            </w:pPr>
          </w:p>
        </w:tc>
      </w:tr>
      <w:tr w:rsidR="00BD1842" w:rsidRPr="0040169C" w14:paraId="205C3B8C" w14:textId="77777777" w:rsidTr="008D78A9">
        <w:tc>
          <w:tcPr>
            <w:tcW w:w="6091" w:type="dxa"/>
          </w:tcPr>
          <w:p w14:paraId="5EE74EBF"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Lateral plantar vein, no. (%)</w:t>
            </w:r>
          </w:p>
        </w:tc>
        <w:tc>
          <w:tcPr>
            <w:tcW w:w="2925" w:type="dxa"/>
          </w:tcPr>
          <w:p w14:paraId="6AC4F0F1" w14:textId="77777777" w:rsidR="00BD1842" w:rsidRPr="0040169C" w:rsidRDefault="00BD1842" w:rsidP="008D78A9">
            <w:pPr>
              <w:rPr>
                <w:rFonts w:ascii="Times New Roman" w:hAnsi="Times New Roman" w:cs="Times New Roman"/>
                <w:lang w:val="en-GB"/>
              </w:rPr>
            </w:pPr>
            <w:r w:rsidRPr="2CA6350C">
              <w:rPr>
                <w:rFonts w:ascii="Times New Roman" w:hAnsi="Times New Roman" w:cs="Times New Roman"/>
                <w:lang w:val="en-GB"/>
              </w:rPr>
              <w:t>24 (85.7)</w:t>
            </w:r>
          </w:p>
        </w:tc>
      </w:tr>
      <w:tr w:rsidR="00BD1842" w:rsidRPr="0040169C" w14:paraId="155C671A" w14:textId="77777777" w:rsidTr="008D78A9">
        <w:tc>
          <w:tcPr>
            <w:tcW w:w="6091" w:type="dxa"/>
          </w:tcPr>
          <w:p w14:paraId="0D653637"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Medial plantar vein, no. (%)</w:t>
            </w:r>
          </w:p>
        </w:tc>
        <w:tc>
          <w:tcPr>
            <w:tcW w:w="2925" w:type="dxa"/>
          </w:tcPr>
          <w:p w14:paraId="7EDD92F9" w14:textId="77777777" w:rsidR="00BD1842" w:rsidRPr="0040169C" w:rsidRDefault="00BD1842" w:rsidP="008D78A9">
            <w:pPr>
              <w:rPr>
                <w:rFonts w:ascii="Times New Roman" w:hAnsi="Times New Roman" w:cs="Times New Roman"/>
                <w:lang w:val="en-GB"/>
              </w:rPr>
            </w:pPr>
            <w:r>
              <w:rPr>
                <w:rFonts w:ascii="Times New Roman" w:hAnsi="Times New Roman" w:cs="Times New Roman"/>
                <w:lang w:val="en-GB"/>
              </w:rPr>
              <w:t>1</w:t>
            </w:r>
            <w:r w:rsidRPr="2CA6350C">
              <w:rPr>
                <w:rFonts w:ascii="Times New Roman" w:hAnsi="Times New Roman" w:cs="Times New Roman"/>
                <w:lang w:val="en-GB"/>
              </w:rPr>
              <w:t xml:space="preserve"> (</w:t>
            </w:r>
            <w:r>
              <w:rPr>
                <w:rFonts w:ascii="Times New Roman" w:hAnsi="Times New Roman" w:cs="Times New Roman"/>
                <w:lang w:val="en-GB"/>
              </w:rPr>
              <w:t>3.6</w:t>
            </w:r>
            <w:r w:rsidRPr="2CA6350C">
              <w:rPr>
                <w:rFonts w:ascii="Times New Roman" w:hAnsi="Times New Roman" w:cs="Times New Roman"/>
                <w:lang w:val="en-GB"/>
              </w:rPr>
              <w:t>)</w:t>
            </w:r>
          </w:p>
        </w:tc>
      </w:tr>
      <w:tr w:rsidR="00BD1842" w:rsidRPr="0040169C" w14:paraId="1EDC7474" w14:textId="77777777" w:rsidTr="008D78A9">
        <w:tc>
          <w:tcPr>
            <w:tcW w:w="6091" w:type="dxa"/>
          </w:tcPr>
          <w:p w14:paraId="14EC01AD"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Posterior tibial vein at ankle, no. (%)</w:t>
            </w:r>
          </w:p>
        </w:tc>
        <w:tc>
          <w:tcPr>
            <w:tcW w:w="2925" w:type="dxa"/>
          </w:tcPr>
          <w:p w14:paraId="3D090A49" w14:textId="77777777" w:rsidR="00BD1842" w:rsidRPr="0040169C" w:rsidRDefault="00BD1842" w:rsidP="008D78A9">
            <w:pPr>
              <w:rPr>
                <w:rFonts w:ascii="Times New Roman" w:hAnsi="Times New Roman" w:cs="Times New Roman"/>
                <w:lang w:val="en-GB"/>
              </w:rPr>
            </w:pPr>
            <w:r>
              <w:rPr>
                <w:rFonts w:ascii="Times New Roman" w:hAnsi="Times New Roman" w:cs="Times New Roman"/>
                <w:lang w:val="en-GB"/>
              </w:rPr>
              <w:t>3</w:t>
            </w:r>
            <w:r w:rsidRPr="0040169C">
              <w:rPr>
                <w:rFonts w:ascii="Times New Roman" w:hAnsi="Times New Roman" w:cs="Times New Roman"/>
                <w:lang w:val="en-GB"/>
              </w:rPr>
              <w:t xml:space="preserve"> (</w:t>
            </w:r>
            <w:r>
              <w:rPr>
                <w:rFonts w:ascii="Times New Roman" w:hAnsi="Times New Roman" w:cs="Times New Roman"/>
                <w:lang w:val="en-GB"/>
              </w:rPr>
              <w:t>10.7</w:t>
            </w:r>
            <w:r w:rsidRPr="0040169C">
              <w:rPr>
                <w:rFonts w:ascii="Times New Roman" w:hAnsi="Times New Roman" w:cs="Times New Roman"/>
                <w:lang w:val="en-GB"/>
              </w:rPr>
              <w:t>)</w:t>
            </w:r>
          </w:p>
        </w:tc>
      </w:tr>
      <w:tr w:rsidR="00BD1842" w:rsidRPr="0040169C" w14:paraId="29290F4C" w14:textId="77777777" w:rsidTr="008D78A9">
        <w:tc>
          <w:tcPr>
            <w:tcW w:w="6091" w:type="dxa"/>
          </w:tcPr>
          <w:p w14:paraId="0A6C4921"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Donor artery location</w:t>
            </w:r>
          </w:p>
        </w:tc>
        <w:tc>
          <w:tcPr>
            <w:tcW w:w="2925" w:type="dxa"/>
          </w:tcPr>
          <w:p w14:paraId="773E394C" w14:textId="77777777" w:rsidR="00BD1842" w:rsidRPr="0040169C" w:rsidRDefault="00BD1842" w:rsidP="008D78A9">
            <w:pPr>
              <w:rPr>
                <w:rFonts w:ascii="Times New Roman" w:hAnsi="Times New Roman" w:cs="Times New Roman"/>
                <w:lang w:val="en-GB"/>
              </w:rPr>
            </w:pPr>
          </w:p>
        </w:tc>
      </w:tr>
      <w:tr w:rsidR="00BD1842" w:rsidRPr="0040169C" w14:paraId="4FF16DE9" w14:textId="77777777" w:rsidTr="008D78A9">
        <w:tc>
          <w:tcPr>
            <w:tcW w:w="6091" w:type="dxa"/>
          </w:tcPr>
          <w:p w14:paraId="273CA5A9"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Posterior Tibial Artery, no. (%)</w:t>
            </w:r>
          </w:p>
        </w:tc>
        <w:tc>
          <w:tcPr>
            <w:tcW w:w="2925" w:type="dxa"/>
          </w:tcPr>
          <w:p w14:paraId="5CAC1012"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21 (75.0)</w:t>
            </w:r>
          </w:p>
        </w:tc>
      </w:tr>
      <w:tr w:rsidR="00BD1842" w:rsidRPr="0040169C" w14:paraId="29C42105" w14:textId="77777777" w:rsidTr="008D78A9">
        <w:tc>
          <w:tcPr>
            <w:tcW w:w="6091" w:type="dxa"/>
          </w:tcPr>
          <w:p w14:paraId="7C1268A5"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Tibioperoneal Trunk, no. (%)</w:t>
            </w:r>
          </w:p>
        </w:tc>
        <w:tc>
          <w:tcPr>
            <w:tcW w:w="2925" w:type="dxa"/>
          </w:tcPr>
          <w:p w14:paraId="69457C72"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4 (14.3)</w:t>
            </w:r>
          </w:p>
        </w:tc>
      </w:tr>
      <w:tr w:rsidR="00BD1842" w:rsidRPr="0040169C" w14:paraId="641CD210" w14:textId="77777777" w:rsidTr="008D78A9">
        <w:tc>
          <w:tcPr>
            <w:tcW w:w="6091" w:type="dxa"/>
          </w:tcPr>
          <w:p w14:paraId="64337D1A"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Peroneal Artery, no. (%)</w:t>
            </w:r>
          </w:p>
        </w:tc>
        <w:tc>
          <w:tcPr>
            <w:tcW w:w="2925" w:type="dxa"/>
          </w:tcPr>
          <w:p w14:paraId="265348CE" w14:textId="2413252E"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3 (</w:t>
            </w:r>
            <w:r w:rsidR="00A4051C">
              <w:rPr>
                <w:rFonts w:ascii="Times New Roman" w:hAnsi="Times New Roman" w:cs="Times New Roman"/>
                <w:lang w:val="en-GB"/>
              </w:rPr>
              <w:t>10.7</w:t>
            </w:r>
            <w:r w:rsidRPr="0040169C">
              <w:rPr>
                <w:rFonts w:ascii="Times New Roman" w:hAnsi="Times New Roman" w:cs="Times New Roman"/>
                <w:lang w:val="en-GB"/>
              </w:rPr>
              <w:t>)</w:t>
            </w:r>
          </w:p>
        </w:tc>
      </w:tr>
      <w:tr w:rsidR="00BD1842" w:rsidRPr="0040169C" w14:paraId="21BAAF71" w14:textId="77777777" w:rsidTr="008D78A9">
        <w:tc>
          <w:tcPr>
            <w:tcW w:w="6091" w:type="dxa"/>
          </w:tcPr>
          <w:p w14:paraId="40B397BD"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Target vein location</w:t>
            </w:r>
          </w:p>
        </w:tc>
        <w:tc>
          <w:tcPr>
            <w:tcW w:w="2925" w:type="dxa"/>
          </w:tcPr>
          <w:p w14:paraId="44D10507" w14:textId="77777777" w:rsidR="00BD1842" w:rsidRPr="0040169C" w:rsidRDefault="00BD1842" w:rsidP="008D78A9">
            <w:pPr>
              <w:rPr>
                <w:rFonts w:ascii="Times New Roman" w:hAnsi="Times New Roman" w:cs="Times New Roman"/>
                <w:lang w:val="en-GB"/>
              </w:rPr>
            </w:pPr>
          </w:p>
        </w:tc>
      </w:tr>
      <w:tr w:rsidR="00BD1842" w:rsidRPr="0040169C" w14:paraId="3E442B05" w14:textId="77777777" w:rsidTr="008D78A9">
        <w:tc>
          <w:tcPr>
            <w:tcW w:w="6091" w:type="dxa"/>
          </w:tcPr>
          <w:p w14:paraId="11E949FC" w14:textId="77777777" w:rsidR="00BD1842" w:rsidRPr="0040169C" w:rsidRDefault="00BD1842" w:rsidP="008D78A9">
            <w:pPr>
              <w:ind w:left="720"/>
              <w:rPr>
                <w:rFonts w:ascii="Times New Roman" w:hAnsi="Times New Roman" w:cs="Times New Roman"/>
                <w:lang w:val="en-GB"/>
              </w:rPr>
            </w:pPr>
            <w:r w:rsidRPr="0040169C">
              <w:rPr>
                <w:rFonts w:ascii="Times New Roman" w:hAnsi="Times New Roman" w:cs="Times New Roman"/>
                <w:lang w:val="en-GB"/>
              </w:rPr>
              <w:t>Posterior Tibial Vein, no. (%)</w:t>
            </w:r>
          </w:p>
        </w:tc>
        <w:tc>
          <w:tcPr>
            <w:tcW w:w="2925" w:type="dxa"/>
          </w:tcPr>
          <w:p w14:paraId="3DC80A69" w14:textId="77777777" w:rsidR="00BD1842" w:rsidRPr="0040169C" w:rsidRDefault="00BD1842" w:rsidP="008D78A9">
            <w:pPr>
              <w:rPr>
                <w:rFonts w:ascii="Times New Roman" w:hAnsi="Times New Roman" w:cs="Times New Roman"/>
                <w:lang w:val="en-GB"/>
              </w:rPr>
            </w:pPr>
            <w:r w:rsidRPr="0040169C">
              <w:rPr>
                <w:rFonts w:ascii="Times New Roman" w:hAnsi="Times New Roman" w:cs="Times New Roman"/>
                <w:lang w:val="en-GB"/>
              </w:rPr>
              <w:t>28 (100.0)</w:t>
            </w:r>
          </w:p>
        </w:tc>
      </w:tr>
    </w:tbl>
    <w:p w14:paraId="58334697" w14:textId="77777777" w:rsidR="00BD1842" w:rsidRDefault="00BD1842" w:rsidP="00BD1842">
      <w:pPr>
        <w:rPr>
          <w:rFonts w:ascii="Times New Roman" w:hAnsi="Times New Roman" w:cs="Times New Roman"/>
          <w:sz w:val="22"/>
          <w:szCs w:val="22"/>
          <w:lang w:val="en-GB"/>
        </w:rPr>
      </w:pPr>
      <w:r w:rsidRPr="00D228CE">
        <w:rPr>
          <w:rFonts w:ascii="Times New Roman" w:hAnsi="Times New Roman" w:cs="Times New Roman"/>
          <w:sz w:val="22"/>
          <w:szCs w:val="22"/>
          <w:lang w:val="en-GB"/>
        </w:rPr>
        <w:t>Data are shown as number with percentage.</w:t>
      </w:r>
    </w:p>
    <w:p w14:paraId="2B30E3A0" w14:textId="77777777" w:rsidR="0035486B" w:rsidRPr="00BD1842" w:rsidRDefault="0035486B" w:rsidP="002250AD">
      <w:pPr>
        <w:spacing w:line="480" w:lineRule="auto"/>
        <w:rPr>
          <w:rFonts w:ascii="Times New Roman" w:hAnsi="Times New Roman" w:cs="Times New Roman"/>
          <w:sz w:val="22"/>
          <w:szCs w:val="22"/>
          <w:lang w:val="en-GB"/>
        </w:rPr>
      </w:pPr>
    </w:p>
    <w:p w14:paraId="6B3EB177" w14:textId="77777777" w:rsidR="0051444F" w:rsidRDefault="0051444F">
      <w:pPr>
        <w:rPr>
          <w:rFonts w:ascii="Times New Roman" w:hAnsi="Times New Roman" w:cs="Times New Roman"/>
          <w:b/>
          <w:bCs/>
          <w:lang w:val="en-GB"/>
        </w:rPr>
      </w:pPr>
      <w:r>
        <w:rPr>
          <w:rFonts w:ascii="Times New Roman" w:hAnsi="Times New Roman" w:cs="Times New Roman"/>
          <w:b/>
          <w:bCs/>
          <w:lang w:val="en-GB"/>
        </w:rPr>
        <w:br w:type="page"/>
      </w:r>
    </w:p>
    <w:p w14:paraId="0298DEA7" w14:textId="574E206C" w:rsidR="0051444F" w:rsidRPr="009D71AB" w:rsidRDefault="0051444F" w:rsidP="0051444F">
      <w:pPr>
        <w:rPr>
          <w:rFonts w:ascii="Times New Roman" w:hAnsi="Times New Roman" w:cs="Times New Roman"/>
          <w:b/>
          <w:bCs/>
          <w:lang w:val="en-GB"/>
        </w:rPr>
      </w:pPr>
      <w:r w:rsidRPr="003438F4">
        <w:rPr>
          <w:rFonts w:ascii="Times New Roman" w:hAnsi="Times New Roman" w:cs="Times New Roman"/>
          <w:b/>
          <w:bCs/>
          <w:lang w:val="en-GB"/>
        </w:rPr>
        <w:lastRenderedPageBreak/>
        <w:t>Figure S</w:t>
      </w:r>
      <w:r>
        <w:rPr>
          <w:rFonts w:ascii="Times New Roman" w:hAnsi="Times New Roman" w:cs="Times New Roman"/>
          <w:b/>
          <w:bCs/>
          <w:lang w:val="en-GB"/>
        </w:rPr>
        <w:t>1</w:t>
      </w:r>
      <w:r w:rsidRPr="003438F4">
        <w:rPr>
          <w:rFonts w:ascii="Times New Roman" w:hAnsi="Times New Roman" w:cs="Times New Roman"/>
          <w:b/>
          <w:bCs/>
          <w:lang w:val="en-GB"/>
        </w:rPr>
        <w:t>.</w:t>
      </w:r>
      <w:r w:rsidRPr="009D71AB">
        <w:rPr>
          <w:rFonts w:ascii="Times New Roman" w:hAnsi="Times New Roman" w:cs="Times New Roman"/>
          <w:b/>
          <w:bCs/>
          <w:lang w:val="en-GB"/>
        </w:rPr>
        <w:t xml:space="preserve"> PROMISE-UK CONSORT Diagram</w:t>
      </w:r>
    </w:p>
    <w:p w14:paraId="3DA24E63" w14:textId="77777777" w:rsidR="0051444F" w:rsidRPr="009D71AB" w:rsidRDefault="0051444F" w:rsidP="0051444F">
      <w:pPr>
        <w:rPr>
          <w:rFonts w:ascii="Times New Roman" w:hAnsi="Times New Roman" w:cs="Times New Roman"/>
          <w:b/>
          <w:bCs/>
          <w:lang w:val="en-GB"/>
        </w:rPr>
      </w:pPr>
    </w:p>
    <w:p w14:paraId="16A5FBC5" w14:textId="77777777" w:rsidR="0051444F" w:rsidRPr="009D71AB" w:rsidRDefault="0051444F" w:rsidP="0051444F">
      <w:pPr>
        <w:rPr>
          <w:rFonts w:ascii="Times New Roman" w:hAnsi="Times New Roman" w:cs="Times New Roman"/>
          <w:b/>
          <w:bCs/>
          <w:lang w:val="en-GB"/>
        </w:rPr>
      </w:pPr>
      <w:r w:rsidRPr="009D71AB">
        <w:rPr>
          <w:rFonts w:ascii="Times New Roman" w:hAnsi="Times New Roman" w:cs="Times New Roman"/>
          <w:b/>
          <w:bCs/>
          <w:noProof/>
          <w:lang w:val="en-GB" w:eastAsia="en-GB"/>
        </w:rPr>
        <w:drawing>
          <wp:inline distT="0" distB="0" distL="0" distR="0" wp14:anchorId="55C13C90" wp14:editId="713D4A09">
            <wp:extent cx="5196840" cy="5021580"/>
            <wp:effectExtent l="0" t="0" r="3810" b="7620"/>
            <wp:docPr id="773737092"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37092" name="Picture 1" descr="A diagram of a flow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6840" cy="5021580"/>
                    </a:xfrm>
                    <a:prstGeom prst="rect">
                      <a:avLst/>
                    </a:prstGeom>
                    <a:noFill/>
                  </pic:spPr>
                </pic:pic>
              </a:graphicData>
            </a:graphic>
          </wp:inline>
        </w:drawing>
      </w:r>
    </w:p>
    <w:p w14:paraId="78B869D6" w14:textId="77777777" w:rsidR="0051444F" w:rsidRPr="009D71AB" w:rsidRDefault="0051444F" w:rsidP="0051444F">
      <w:pPr>
        <w:rPr>
          <w:rFonts w:ascii="Times New Roman" w:hAnsi="Times New Roman" w:cs="Times New Roman"/>
          <w:sz w:val="22"/>
          <w:szCs w:val="22"/>
          <w:lang w:val="en-GB"/>
        </w:rPr>
      </w:pPr>
      <w:r w:rsidRPr="009D71AB">
        <w:rPr>
          <w:rFonts w:ascii="Times New Roman" w:hAnsi="Times New Roman" w:cs="Times New Roman"/>
          <w:sz w:val="22"/>
          <w:szCs w:val="22"/>
          <w:lang w:val="en-GB"/>
        </w:rPr>
        <w:t>CONSORT diagram of PROMISE-UK study enrolment. EF, ejection fraction; ITT, intent to treat.</w:t>
      </w:r>
    </w:p>
    <w:p w14:paraId="00E5B716" w14:textId="77016943" w:rsidR="0035486B" w:rsidRPr="00315567" w:rsidRDefault="0035486B" w:rsidP="002250AD">
      <w:pPr>
        <w:spacing w:line="480" w:lineRule="auto"/>
        <w:rPr>
          <w:rFonts w:ascii="Times New Roman" w:hAnsi="Times New Roman" w:cs="Times New Roman"/>
          <w:sz w:val="22"/>
          <w:szCs w:val="22"/>
          <w:lang w:val="en-GB"/>
        </w:rPr>
      </w:pPr>
    </w:p>
    <w:p w14:paraId="778B0FE6" w14:textId="3E4DB55D" w:rsidR="002250AD" w:rsidRPr="00315567" w:rsidRDefault="002250AD" w:rsidP="69E17DC0">
      <w:pPr>
        <w:spacing w:line="480" w:lineRule="auto"/>
        <w:rPr>
          <w:rFonts w:ascii="Times New Roman" w:hAnsi="Times New Roman" w:cs="Times New Roman"/>
          <w:i/>
          <w:iCs/>
          <w:sz w:val="22"/>
          <w:szCs w:val="22"/>
          <w:lang w:val="en-GB"/>
        </w:rPr>
      </w:pPr>
      <w:r w:rsidRPr="69E17DC0">
        <w:rPr>
          <w:rFonts w:ascii="Times New Roman" w:hAnsi="Times New Roman" w:cs="Times New Roman"/>
          <w:i/>
          <w:iCs/>
          <w:sz w:val="22"/>
          <w:szCs w:val="22"/>
          <w:lang w:val="en-GB"/>
        </w:rPr>
        <w:t>Clinically-</w:t>
      </w:r>
      <w:r w:rsidR="00211251">
        <w:rPr>
          <w:rFonts w:ascii="Times New Roman" w:hAnsi="Times New Roman" w:cs="Times New Roman"/>
          <w:i/>
          <w:iCs/>
          <w:sz w:val="22"/>
          <w:szCs w:val="22"/>
          <w:lang w:val="en-GB"/>
        </w:rPr>
        <w:t>driven</w:t>
      </w:r>
      <w:r w:rsidRPr="69E17DC0">
        <w:rPr>
          <w:rFonts w:ascii="Times New Roman" w:hAnsi="Times New Roman" w:cs="Times New Roman"/>
          <w:i/>
          <w:iCs/>
          <w:sz w:val="22"/>
          <w:szCs w:val="22"/>
          <w:lang w:val="en-GB"/>
        </w:rPr>
        <w:t xml:space="preserve"> Interventions</w:t>
      </w:r>
    </w:p>
    <w:p w14:paraId="1C9227F2" w14:textId="46339903" w:rsidR="002250AD" w:rsidRDefault="002250AD" w:rsidP="002250AD">
      <w:pPr>
        <w:spacing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During the 1-year follow-up, 12 patients (43%) underwent 17 clinically-</w:t>
      </w:r>
      <w:r w:rsidR="00211251">
        <w:rPr>
          <w:rFonts w:ascii="Times New Roman" w:hAnsi="Times New Roman" w:cs="Times New Roman"/>
          <w:sz w:val="22"/>
          <w:szCs w:val="22"/>
          <w:lang w:val="en-GB"/>
        </w:rPr>
        <w:t>driven</w:t>
      </w:r>
      <w:r w:rsidRPr="00315567">
        <w:rPr>
          <w:rFonts w:ascii="Times New Roman" w:hAnsi="Times New Roman" w:cs="Times New Roman"/>
          <w:sz w:val="22"/>
          <w:szCs w:val="22"/>
          <w:lang w:val="en-GB"/>
        </w:rPr>
        <w:t xml:space="preserve"> interventions to restore patency of the arterialised pedal vein circuit or address worsening ischaemia. These included 13 incidents (N=10) of thrombosis requiring thrombectomy or thrombolysis, and 4 incidents (N=4) of deteriorating ischaemia requiring balloon angioplasty or stenting. The majority of those patients (N=9) completed study follow-up with an intact target limb. An additional 8 patients (32%) underwent surveillance duplex-driven intervention for optimisation of the arterialised foot venous network. </w:t>
      </w:r>
    </w:p>
    <w:p w14:paraId="4D619B34" w14:textId="77777777" w:rsidR="0051444F" w:rsidRDefault="0051444F">
      <w:pPr>
        <w:rPr>
          <w:rFonts w:ascii="Times New Roman" w:hAnsi="Times New Roman" w:cs="Times New Roman"/>
          <w:b/>
          <w:bCs/>
          <w:sz w:val="22"/>
          <w:szCs w:val="22"/>
          <w:lang w:val="en-GB"/>
        </w:rPr>
      </w:pPr>
      <w:bookmarkStart w:id="2" w:name="_Hlk156490440"/>
      <w:r>
        <w:rPr>
          <w:rFonts w:ascii="Times New Roman" w:hAnsi="Times New Roman" w:cs="Times New Roman"/>
          <w:b/>
          <w:bCs/>
          <w:sz w:val="22"/>
          <w:szCs w:val="22"/>
          <w:lang w:val="en-GB"/>
        </w:rPr>
        <w:br w:type="page"/>
      </w:r>
    </w:p>
    <w:p w14:paraId="0F0560B2" w14:textId="7790C46C" w:rsidR="0051444F" w:rsidRPr="00315567" w:rsidRDefault="0051444F" w:rsidP="0051444F">
      <w:pPr>
        <w:spacing w:line="480" w:lineRule="auto"/>
        <w:rPr>
          <w:rFonts w:ascii="Times New Roman" w:hAnsi="Times New Roman" w:cs="Times New Roman"/>
          <w:b/>
          <w:bCs/>
          <w:sz w:val="22"/>
          <w:szCs w:val="22"/>
          <w:lang w:val="en-GB"/>
        </w:rPr>
      </w:pPr>
      <w:r>
        <w:rPr>
          <w:rFonts w:ascii="Times New Roman" w:hAnsi="Times New Roman" w:cs="Times New Roman"/>
          <w:b/>
          <w:bCs/>
          <w:sz w:val="22"/>
          <w:szCs w:val="22"/>
          <w:lang w:val="en-GB"/>
        </w:rPr>
        <w:lastRenderedPageBreak/>
        <w:t>Table S3. Study Deaths</w:t>
      </w:r>
    </w:p>
    <w:tbl>
      <w:tblPr>
        <w:tblStyle w:val="TableGrid"/>
        <w:tblW w:w="0" w:type="auto"/>
        <w:tblLook w:val="04A0" w:firstRow="1" w:lastRow="0" w:firstColumn="1" w:lastColumn="0" w:noHBand="0" w:noVBand="1"/>
      </w:tblPr>
      <w:tblGrid>
        <w:gridCol w:w="1885"/>
        <w:gridCol w:w="2004"/>
        <w:gridCol w:w="5553"/>
      </w:tblGrid>
      <w:tr w:rsidR="0051444F" w:rsidRPr="0040169C" w14:paraId="54F54A71" w14:textId="77777777" w:rsidTr="008D78A9">
        <w:tc>
          <w:tcPr>
            <w:tcW w:w="1885" w:type="dxa"/>
          </w:tcPr>
          <w:bookmarkEnd w:id="2"/>
          <w:p w14:paraId="5C5B33A0" w14:textId="77777777" w:rsidR="0051444F" w:rsidRDefault="0051444F" w:rsidP="008D78A9">
            <w:pPr>
              <w:rPr>
                <w:rFonts w:ascii="Times New Roman" w:hAnsi="Times New Roman" w:cs="Times New Roman"/>
                <w:b/>
                <w:bCs/>
                <w:lang w:val="en-GB"/>
              </w:rPr>
            </w:pPr>
            <w:r>
              <w:rPr>
                <w:rFonts w:ascii="Times New Roman" w:hAnsi="Times New Roman" w:cs="Times New Roman"/>
                <w:b/>
                <w:bCs/>
                <w:lang w:val="en-GB"/>
              </w:rPr>
              <w:t>Patient Number</w:t>
            </w:r>
          </w:p>
        </w:tc>
        <w:tc>
          <w:tcPr>
            <w:tcW w:w="2004" w:type="dxa"/>
          </w:tcPr>
          <w:p w14:paraId="31D86C59" w14:textId="77777777" w:rsidR="0051444F" w:rsidRPr="0040169C" w:rsidRDefault="0051444F" w:rsidP="008D78A9">
            <w:pPr>
              <w:rPr>
                <w:rFonts w:ascii="Times New Roman" w:hAnsi="Times New Roman" w:cs="Times New Roman"/>
                <w:b/>
                <w:bCs/>
                <w:lang w:val="en-GB"/>
              </w:rPr>
            </w:pPr>
            <w:r>
              <w:rPr>
                <w:rFonts w:ascii="Times New Roman" w:hAnsi="Times New Roman" w:cs="Times New Roman"/>
                <w:b/>
                <w:bCs/>
                <w:lang w:val="en-GB"/>
              </w:rPr>
              <w:t>Days to Death</w:t>
            </w:r>
          </w:p>
        </w:tc>
        <w:tc>
          <w:tcPr>
            <w:tcW w:w="5553" w:type="dxa"/>
          </w:tcPr>
          <w:p w14:paraId="56C16966" w14:textId="77777777" w:rsidR="0051444F" w:rsidRPr="0040169C" w:rsidRDefault="0051444F" w:rsidP="008D78A9">
            <w:pPr>
              <w:rPr>
                <w:rFonts w:ascii="Times New Roman" w:hAnsi="Times New Roman" w:cs="Times New Roman"/>
                <w:b/>
                <w:bCs/>
                <w:lang w:val="en-GB"/>
              </w:rPr>
            </w:pPr>
            <w:r>
              <w:rPr>
                <w:rFonts w:ascii="Times New Roman" w:hAnsi="Times New Roman" w:cs="Times New Roman"/>
                <w:b/>
                <w:bCs/>
                <w:lang w:val="en-GB"/>
              </w:rPr>
              <w:t>Adjudicated Cause of Death</w:t>
            </w:r>
          </w:p>
        </w:tc>
      </w:tr>
      <w:tr w:rsidR="0051444F" w:rsidRPr="0040169C" w14:paraId="74FDBE33" w14:textId="77777777" w:rsidTr="008D78A9">
        <w:tc>
          <w:tcPr>
            <w:tcW w:w="1885" w:type="dxa"/>
          </w:tcPr>
          <w:p w14:paraId="6135A977" w14:textId="77777777" w:rsidR="0051444F" w:rsidRPr="0051088C" w:rsidRDefault="0051444F" w:rsidP="008D78A9">
            <w:pPr>
              <w:rPr>
                <w:rFonts w:ascii="Times New Roman" w:hAnsi="Times New Roman" w:cs="Times New Roman"/>
                <w:color w:val="000000"/>
              </w:rPr>
            </w:pPr>
            <w:r>
              <w:rPr>
                <w:rFonts w:ascii="Times New Roman" w:hAnsi="Times New Roman" w:cs="Times New Roman"/>
                <w:color w:val="000000"/>
              </w:rPr>
              <w:t>1</w:t>
            </w:r>
          </w:p>
        </w:tc>
        <w:tc>
          <w:tcPr>
            <w:tcW w:w="2004" w:type="dxa"/>
            <w:vAlign w:val="center"/>
          </w:tcPr>
          <w:p w14:paraId="62B320F5" w14:textId="77777777" w:rsidR="0051444F" w:rsidRPr="0051088C" w:rsidRDefault="0051444F" w:rsidP="008D78A9">
            <w:pPr>
              <w:rPr>
                <w:rFonts w:ascii="Times New Roman" w:hAnsi="Times New Roman" w:cs="Times New Roman"/>
                <w:lang w:val="en-GB"/>
              </w:rPr>
            </w:pPr>
            <w:r w:rsidRPr="0051088C">
              <w:rPr>
                <w:rFonts w:ascii="Times New Roman" w:hAnsi="Times New Roman" w:cs="Times New Roman"/>
                <w:color w:val="000000"/>
              </w:rPr>
              <w:t>5</w:t>
            </w:r>
          </w:p>
        </w:tc>
        <w:tc>
          <w:tcPr>
            <w:tcW w:w="5553" w:type="dxa"/>
            <w:vAlign w:val="center"/>
          </w:tcPr>
          <w:p w14:paraId="0D0431F8" w14:textId="77777777" w:rsidR="0051444F" w:rsidRPr="0051088C" w:rsidRDefault="0051444F" w:rsidP="008D78A9">
            <w:pPr>
              <w:rPr>
                <w:rFonts w:ascii="Times New Roman" w:hAnsi="Times New Roman" w:cs="Times New Roman"/>
                <w:lang w:val="en-GB"/>
              </w:rPr>
            </w:pPr>
            <w:r w:rsidRPr="0051088C">
              <w:rPr>
                <w:rFonts w:ascii="Times New Roman" w:hAnsi="Times New Roman" w:cs="Times New Roman"/>
                <w:color w:val="000000"/>
              </w:rPr>
              <w:t>COVID-19</w:t>
            </w:r>
          </w:p>
        </w:tc>
      </w:tr>
      <w:tr w:rsidR="0051444F" w:rsidRPr="0040169C" w14:paraId="46E9B8B8" w14:textId="77777777" w:rsidTr="008D78A9">
        <w:tc>
          <w:tcPr>
            <w:tcW w:w="1885" w:type="dxa"/>
          </w:tcPr>
          <w:p w14:paraId="457692D4" w14:textId="77777777" w:rsidR="0051444F" w:rsidRPr="0051088C" w:rsidRDefault="0051444F" w:rsidP="008D78A9">
            <w:pPr>
              <w:rPr>
                <w:rFonts w:ascii="Times New Roman" w:hAnsi="Times New Roman" w:cs="Times New Roman"/>
                <w:color w:val="000000"/>
              </w:rPr>
            </w:pPr>
            <w:r>
              <w:rPr>
                <w:rFonts w:ascii="Times New Roman" w:hAnsi="Times New Roman" w:cs="Times New Roman"/>
                <w:color w:val="000000"/>
              </w:rPr>
              <w:t>2</w:t>
            </w:r>
          </w:p>
        </w:tc>
        <w:tc>
          <w:tcPr>
            <w:tcW w:w="2004" w:type="dxa"/>
            <w:vAlign w:val="center"/>
          </w:tcPr>
          <w:p w14:paraId="70EBA2DC" w14:textId="77777777" w:rsidR="0051444F" w:rsidRPr="0051088C" w:rsidRDefault="0051444F" w:rsidP="008D78A9">
            <w:pPr>
              <w:rPr>
                <w:rFonts w:ascii="Times New Roman" w:hAnsi="Times New Roman" w:cs="Times New Roman"/>
                <w:lang w:val="en-GB"/>
              </w:rPr>
            </w:pPr>
            <w:r w:rsidRPr="0051088C">
              <w:rPr>
                <w:rFonts w:ascii="Times New Roman" w:hAnsi="Times New Roman" w:cs="Times New Roman"/>
                <w:color w:val="000000"/>
              </w:rPr>
              <w:t>47</w:t>
            </w:r>
          </w:p>
        </w:tc>
        <w:tc>
          <w:tcPr>
            <w:tcW w:w="5553" w:type="dxa"/>
            <w:vAlign w:val="center"/>
          </w:tcPr>
          <w:p w14:paraId="1AD3B594" w14:textId="77777777" w:rsidR="0051444F" w:rsidRPr="0051088C" w:rsidRDefault="0051444F" w:rsidP="008D78A9">
            <w:pPr>
              <w:rPr>
                <w:rFonts w:ascii="Times New Roman" w:hAnsi="Times New Roman" w:cs="Times New Roman"/>
                <w:lang w:val="en-GB"/>
              </w:rPr>
            </w:pPr>
            <w:r w:rsidRPr="0051088C">
              <w:rPr>
                <w:rFonts w:ascii="Times New Roman" w:hAnsi="Times New Roman" w:cs="Times New Roman"/>
                <w:color w:val="000000"/>
              </w:rPr>
              <w:t>Hospital-acquired pneumonia</w:t>
            </w:r>
          </w:p>
        </w:tc>
      </w:tr>
      <w:tr w:rsidR="0051444F" w:rsidRPr="0040169C" w14:paraId="00951805" w14:textId="77777777" w:rsidTr="008D78A9">
        <w:tc>
          <w:tcPr>
            <w:tcW w:w="1885" w:type="dxa"/>
          </w:tcPr>
          <w:p w14:paraId="0F604F67" w14:textId="77777777" w:rsidR="0051444F" w:rsidRPr="0051088C" w:rsidRDefault="0051444F" w:rsidP="008D78A9">
            <w:pPr>
              <w:rPr>
                <w:rFonts w:ascii="Times New Roman" w:hAnsi="Times New Roman" w:cs="Times New Roman"/>
                <w:color w:val="000000"/>
              </w:rPr>
            </w:pPr>
            <w:r>
              <w:rPr>
                <w:rFonts w:ascii="Times New Roman" w:hAnsi="Times New Roman" w:cs="Times New Roman"/>
                <w:color w:val="000000"/>
              </w:rPr>
              <w:t>3</w:t>
            </w:r>
          </w:p>
        </w:tc>
        <w:tc>
          <w:tcPr>
            <w:tcW w:w="2004" w:type="dxa"/>
            <w:vAlign w:val="center"/>
          </w:tcPr>
          <w:p w14:paraId="7CD2CCC0" w14:textId="77777777" w:rsidR="0051444F" w:rsidRPr="0051088C" w:rsidRDefault="0051444F" w:rsidP="008D78A9">
            <w:pPr>
              <w:rPr>
                <w:rFonts w:ascii="Times New Roman" w:hAnsi="Times New Roman" w:cs="Times New Roman"/>
                <w:lang w:val="en-GB"/>
              </w:rPr>
            </w:pPr>
            <w:r w:rsidRPr="0051088C">
              <w:rPr>
                <w:rFonts w:ascii="Times New Roman" w:hAnsi="Times New Roman" w:cs="Times New Roman"/>
                <w:color w:val="000000"/>
              </w:rPr>
              <w:t>90</w:t>
            </w:r>
          </w:p>
        </w:tc>
        <w:tc>
          <w:tcPr>
            <w:tcW w:w="5553" w:type="dxa"/>
            <w:vAlign w:val="center"/>
          </w:tcPr>
          <w:p w14:paraId="3E05D3A4" w14:textId="77777777" w:rsidR="0051444F" w:rsidRPr="0051088C" w:rsidRDefault="0051444F" w:rsidP="008D78A9">
            <w:pPr>
              <w:rPr>
                <w:rFonts w:ascii="Times New Roman" w:hAnsi="Times New Roman" w:cs="Times New Roman"/>
                <w:lang w:val="en-GB"/>
              </w:rPr>
            </w:pPr>
            <w:r w:rsidRPr="0051088C">
              <w:rPr>
                <w:rFonts w:ascii="Times New Roman" w:hAnsi="Times New Roman" w:cs="Times New Roman"/>
                <w:color w:val="000000"/>
              </w:rPr>
              <w:t>Community-acquired pneumonia;</w:t>
            </w:r>
            <w:r>
              <w:rPr>
                <w:rFonts w:ascii="Times New Roman" w:hAnsi="Times New Roman" w:cs="Times New Roman"/>
                <w:color w:val="000000"/>
              </w:rPr>
              <w:t xml:space="preserve"> </w:t>
            </w:r>
            <w:r w:rsidRPr="0051088C">
              <w:rPr>
                <w:rFonts w:ascii="Times New Roman" w:hAnsi="Times New Roman" w:cs="Times New Roman"/>
                <w:color w:val="000000"/>
              </w:rPr>
              <w:t>History of COPD and asbestosis</w:t>
            </w:r>
          </w:p>
        </w:tc>
      </w:tr>
      <w:tr w:rsidR="0051444F" w:rsidRPr="0040169C" w14:paraId="2006F4B9" w14:textId="77777777" w:rsidTr="008D78A9">
        <w:tc>
          <w:tcPr>
            <w:tcW w:w="1885" w:type="dxa"/>
          </w:tcPr>
          <w:p w14:paraId="72C71855" w14:textId="77777777" w:rsidR="0051444F" w:rsidRPr="0051088C" w:rsidRDefault="0051444F" w:rsidP="008D78A9">
            <w:pPr>
              <w:rPr>
                <w:rFonts w:ascii="Times New Roman" w:hAnsi="Times New Roman" w:cs="Times New Roman"/>
                <w:color w:val="000000"/>
              </w:rPr>
            </w:pPr>
            <w:r>
              <w:rPr>
                <w:rFonts w:ascii="Times New Roman" w:hAnsi="Times New Roman" w:cs="Times New Roman"/>
                <w:color w:val="000000"/>
              </w:rPr>
              <w:t>4</w:t>
            </w:r>
          </w:p>
        </w:tc>
        <w:tc>
          <w:tcPr>
            <w:tcW w:w="2004" w:type="dxa"/>
            <w:vAlign w:val="center"/>
          </w:tcPr>
          <w:p w14:paraId="5AFD6EA3" w14:textId="77777777" w:rsidR="0051444F" w:rsidRPr="0051088C" w:rsidRDefault="0051444F" w:rsidP="008D78A9">
            <w:pPr>
              <w:rPr>
                <w:rFonts w:ascii="Times New Roman" w:hAnsi="Times New Roman" w:cs="Times New Roman"/>
                <w:lang w:val="en-GB"/>
              </w:rPr>
            </w:pPr>
            <w:r w:rsidRPr="0051088C">
              <w:rPr>
                <w:rFonts w:ascii="Times New Roman" w:hAnsi="Times New Roman" w:cs="Times New Roman"/>
                <w:color w:val="000000"/>
              </w:rPr>
              <w:t>190</w:t>
            </w:r>
          </w:p>
        </w:tc>
        <w:tc>
          <w:tcPr>
            <w:tcW w:w="5553" w:type="dxa"/>
            <w:vAlign w:val="center"/>
          </w:tcPr>
          <w:p w14:paraId="478A4F09" w14:textId="77777777" w:rsidR="0051444F" w:rsidRPr="0051088C" w:rsidRDefault="0051444F" w:rsidP="008D78A9">
            <w:pPr>
              <w:rPr>
                <w:rFonts w:ascii="Times New Roman" w:hAnsi="Times New Roman" w:cs="Times New Roman"/>
                <w:lang w:val="en-GB"/>
              </w:rPr>
            </w:pPr>
            <w:r>
              <w:rPr>
                <w:rFonts w:ascii="Times New Roman" w:hAnsi="Times New Roman" w:cs="Times New Roman"/>
                <w:color w:val="000000"/>
              </w:rPr>
              <w:t>Pre-existing mitral valve disease</w:t>
            </w:r>
          </w:p>
        </w:tc>
      </w:tr>
    </w:tbl>
    <w:p w14:paraId="455CAA7D" w14:textId="77777777" w:rsidR="0051444F" w:rsidRPr="00315567" w:rsidRDefault="0051444F" w:rsidP="002250AD">
      <w:pPr>
        <w:spacing w:line="480" w:lineRule="auto"/>
        <w:rPr>
          <w:rFonts w:ascii="Times New Roman" w:hAnsi="Times New Roman" w:cs="Times New Roman"/>
          <w:sz w:val="22"/>
          <w:szCs w:val="22"/>
          <w:lang w:val="en-GB"/>
        </w:rPr>
      </w:pPr>
    </w:p>
    <w:p w14:paraId="26963C1B" w14:textId="3A566856" w:rsidR="00BA7C26" w:rsidRPr="00315567" w:rsidRDefault="0024059C" w:rsidP="0024059C">
      <w:pPr>
        <w:spacing w:line="480" w:lineRule="auto"/>
        <w:rPr>
          <w:rFonts w:ascii="Times New Roman" w:hAnsi="Times New Roman" w:cs="Times New Roman"/>
          <w:b/>
          <w:bCs/>
          <w:sz w:val="22"/>
          <w:szCs w:val="22"/>
          <w:lang w:val="en-GB"/>
        </w:rPr>
      </w:pPr>
      <w:r w:rsidRPr="00315567">
        <w:rPr>
          <w:rFonts w:ascii="Times New Roman" w:hAnsi="Times New Roman" w:cs="Times New Roman"/>
          <w:b/>
          <w:bCs/>
          <w:sz w:val="22"/>
          <w:szCs w:val="22"/>
          <w:lang w:val="en-GB"/>
        </w:rPr>
        <w:t>Supplementary Discussion</w:t>
      </w:r>
    </w:p>
    <w:p w14:paraId="7556B0F6" w14:textId="7A16A99F" w:rsidR="0024059C" w:rsidRPr="00315567" w:rsidRDefault="0024059C" w:rsidP="0024059C">
      <w:pPr>
        <w:spacing w:line="480" w:lineRule="auto"/>
        <w:rPr>
          <w:rFonts w:ascii="Times New Roman" w:hAnsi="Times New Roman" w:cs="Times New Roman"/>
          <w:i/>
          <w:iCs/>
          <w:sz w:val="22"/>
          <w:szCs w:val="22"/>
          <w:lang w:val="en-GB"/>
        </w:rPr>
      </w:pPr>
      <w:r w:rsidRPr="00315567">
        <w:rPr>
          <w:rFonts w:ascii="Times New Roman" w:hAnsi="Times New Roman" w:cs="Times New Roman"/>
          <w:i/>
          <w:iCs/>
          <w:sz w:val="22"/>
          <w:szCs w:val="22"/>
          <w:lang w:val="en-GB"/>
        </w:rPr>
        <w:t>Limitations</w:t>
      </w:r>
    </w:p>
    <w:p w14:paraId="4A24A95A" w14:textId="65C0D18C" w:rsidR="00157DBE" w:rsidRPr="00315567" w:rsidRDefault="00157DBE" w:rsidP="00157DBE">
      <w:pPr>
        <w:spacing w:line="480" w:lineRule="auto"/>
        <w:rPr>
          <w:rFonts w:ascii="Times New Roman" w:hAnsi="Times New Roman" w:cs="Times New Roman"/>
          <w:sz w:val="22"/>
          <w:szCs w:val="22"/>
          <w:lang w:val="en-GB"/>
        </w:rPr>
      </w:pPr>
      <w:r w:rsidRPr="00315567">
        <w:rPr>
          <w:rFonts w:ascii="Times New Roman" w:hAnsi="Times New Roman" w:cs="Times New Roman"/>
          <w:sz w:val="22"/>
          <w:szCs w:val="22"/>
          <w:lang w:val="en-GB"/>
        </w:rPr>
        <w:t>This study has several limitations including the lack of a control group. However, within a no-option population facing a high risk of major amputation, and ethical and practical consideration of the substantial unmet clinical need led the investigators to believe that a prospective single-arm study would still provide important information within this debilitating disease</w:t>
      </w:r>
      <w:r w:rsidR="00211251">
        <w:rPr>
          <w:rFonts w:ascii="Times New Roman" w:hAnsi="Times New Roman" w:cs="Times New Roman"/>
          <w:sz w:val="22"/>
          <w:szCs w:val="22"/>
          <w:lang w:val="en-GB"/>
        </w:rPr>
        <w:t>.</w:t>
      </w:r>
      <w:r w:rsidRPr="00315567">
        <w:rPr>
          <w:rFonts w:ascii="Times New Roman" w:hAnsi="Times New Roman" w:cs="Times New Roman"/>
          <w:sz w:val="22"/>
          <w:szCs w:val="22"/>
          <w:lang w:val="en-GB"/>
        </w:rPr>
        <w:t xml:space="preserve">  </w:t>
      </w:r>
      <w:r w:rsidR="00211251">
        <w:rPr>
          <w:rFonts w:ascii="Times New Roman" w:hAnsi="Times New Roman" w:cs="Times New Roman"/>
          <w:sz w:val="22"/>
          <w:szCs w:val="22"/>
          <w:lang w:val="en-GB"/>
        </w:rPr>
        <w:t xml:space="preserve">Moreover, </w:t>
      </w:r>
      <w:r w:rsidRPr="00315567">
        <w:rPr>
          <w:rFonts w:ascii="Times New Roman" w:hAnsi="Times New Roman" w:cs="Times New Roman"/>
          <w:sz w:val="22"/>
          <w:szCs w:val="22"/>
          <w:lang w:val="en-GB"/>
        </w:rPr>
        <w:t xml:space="preserve">randomising a patient to receive no intervention would pose a major </w:t>
      </w:r>
      <w:r w:rsidR="00211251">
        <w:rPr>
          <w:rFonts w:ascii="Times New Roman" w:hAnsi="Times New Roman" w:cs="Times New Roman"/>
          <w:sz w:val="22"/>
          <w:szCs w:val="22"/>
          <w:lang w:val="en-GB"/>
        </w:rPr>
        <w:t>ethical dilemma</w:t>
      </w:r>
      <w:r w:rsidRPr="00315567">
        <w:rPr>
          <w:rFonts w:ascii="Times New Roman" w:hAnsi="Times New Roman" w:cs="Times New Roman"/>
          <w:sz w:val="22"/>
          <w:szCs w:val="22"/>
          <w:lang w:val="en-GB"/>
        </w:rPr>
        <w:t>. An additional limitation is the follow-up of patients being limited to 1-year. It should also be noted that the study took place contemporaneously to the COVID-19 pandemic, with one death due to COVID-19 and a second due to community-acquired respiratory infection at the start of the pandemic</w:t>
      </w:r>
      <w:r w:rsidR="00211251">
        <w:rPr>
          <w:rFonts w:ascii="Times New Roman" w:hAnsi="Times New Roman" w:cs="Times New Roman"/>
          <w:sz w:val="22"/>
          <w:szCs w:val="22"/>
          <w:lang w:val="en-GB"/>
        </w:rPr>
        <w:t xml:space="preserve"> when COVID-19 testing was not mandatory</w:t>
      </w:r>
      <w:r w:rsidRPr="00315567">
        <w:rPr>
          <w:rFonts w:ascii="Times New Roman" w:hAnsi="Times New Roman" w:cs="Times New Roman"/>
          <w:sz w:val="22"/>
          <w:szCs w:val="22"/>
          <w:lang w:val="en-GB"/>
        </w:rPr>
        <w:t>.</w:t>
      </w:r>
      <w:r w:rsidR="00211251">
        <w:rPr>
          <w:rFonts w:ascii="Times New Roman" w:hAnsi="Times New Roman" w:cs="Times New Roman"/>
          <w:sz w:val="22"/>
          <w:szCs w:val="22"/>
          <w:lang w:val="en-GB"/>
        </w:rPr>
        <w:t xml:space="preserve"> These </w:t>
      </w:r>
      <w:r w:rsidR="0051444F">
        <w:rPr>
          <w:rFonts w:ascii="Times New Roman" w:hAnsi="Times New Roman" w:cs="Times New Roman"/>
          <w:sz w:val="22"/>
          <w:szCs w:val="22"/>
          <w:lang w:val="en-GB"/>
        </w:rPr>
        <w:t>may</w:t>
      </w:r>
      <w:r w:rsidR="00211251">
        <w:rPr>
          <w:rFonts w:ascii="Times New Roman" w:hAnsi="Times New Roman" w:cs="Times New Roman"/>
          <w:sz w:val="22"/>
          <w:szCs w:val="22"/>
          <w:lang w:val="en-GB"/>
        </w:rPr>
        <w:t xml:space="preserve"> have adversely impacted the AFS in the study group.</w:t>
      </w:r>
      <w:r w:rsidRPr="00315567">
        <w:rPr>
          <w:rFonts w:ascii="Times New Roman" w:hAnsi="Times New Roman" w:cs="Times New Roman"/>
          <w:sz w:val="22"/>
          <w:szCs w:val="22"/>
          <w:lang w:val="en-GB"/>
        </w:rPr>
        <w:t xml:space="preserve"> </w:t>
      </w:r>
    </w:p>
    <w:p w14:paraId="6B688BE8" w14:textId="77777777" w:rsidR="00BA7C26" w:rsidRDefault="00BA7C26" w:rsidP="00157DBE">
      <w:pPr>
        <w:spacing w:line="480" w:lineRule="auto"/>
        <w:rPr>
          <w:rFonts w:ascii="Times New Roman" w:hAnsi="Times New Roman" w:cs="Times New Roman"/>
          <w:b/>
          <w:bCs/>
          <w:lang w:val="en-GB"/>
        </w:rPr>
      </w:pPr>
    </w:p>
    <w:p w14:paraId="3B115510" w14:textId="77777777" w:rsidR="008415C2" w:rsidRDefault="008415C2" w:rsidP="00FB424A">
      <w:pPr>
        <w:rPr>
          <w:rFonts w:ascii="Times New Roman" w:hAnsi="Times New Roman" w:cs="Times New Roman"/>
          <w:sz w:val="22"/>
          <w:szCs w:val="22"/>
          <w:lang w:val="en-GB"/>
        </w:rPr>
      </w:pPr>
    </w:p>
    <w:p w14:paraId="4C15A4F1" w14:textId="77777777" w:rsidR="008415C2" w:rsidRDefault="008415C2" w:rsidP="00FB424A">
      <w:pPr>
        <w:rPr>
          <w:rFonts w:ascii="Times New Roman" w:hAnsi="Times New Roman" w:cs="Times New Roman"/>
          <w:sz w:val="22"/>
          <w:szCs w:val="22"/>
          <w:lang w:val="en-GB"/>
        </w:rPr>
      </w:pPr>
    </w:p>
    <w:p w14:paraId="6E1ACD78" w14:textId="77777777" w:rsidR="003438F4" w:rsidRDefault="003438F4">
      <w:pPr>
        <w:rPr>
          <w:rFonts w:ascii="Times New Roman" w:hAnsi="Times New Roman" w:cs="Times New Roman"/>
          <w:b/>
          <w:bCs/>
          <w:lang w:val="en-GB"/>
        </w:rPr>
      </w:pPr>
      <w:r>
        <w:rPr>
          <w:rFonts w:ascii="Times New Roman" w:hAnsi="Times New Roman" w:cs="Times New Roman"/>
          <w:b/>
          <w:bCs/>
          <w:lang w:val="en-GB"/>
        </w:rPr>
        <w:br w:type="page"/>
      </w:r>
    </w:p>
    <w:p w14:paraId="7A4D267B" w14:textId="6452B16E" w:rsidR="007B2A50" w:rsidRDefault="007B2A50">
      <w:pPr>
        <w:rPr>
          <w:rFonts w:ascii="Times New Roman" w:hAnsi="Times New Roman" w:cs="Times New Roman"/>
          <w:b/>
          <w:bCs/>
          <w:noProof/>
          <w:sz w:val="22"/>
          <w:lang w:val="en-US"/>
        </w:rPr>
      </w:pPr>
    </w:p>
    <w:p w14:paraId="20755494" w14:textId="403632F1" w:rsidR="003F7943" w:rsidRDefault="003F7943" w:rsidP="00510E06">
      <w:pPr>
        <w:pStyle w:val="EndNoteBibliography"/>
        <w:rPr>
          <w:b/>
          <w:bCs/>
        </w:rPr>
      </w:pPr>
      <w:r>
        <w:rPr>
          <w:b/>
          <w:bCs/>
        </w:rPr>
        <w:t>References</w:t>
      </w:r>
    </w:p>
    <w:p w14:paraId="4E8AF68A" w14:textId="77777777" w:rsidR="003F7943" w:rsidRPr="003F7943" w:rsidRDefault="00510E06" w:rsidP="003F7943">
      <w:pPr>
        <w:pStyle w:val="EndNoteBibliography"/>
      </w:pPr>
      <w:r>
        <w:rPr>
          <w:b/>
          <w:bCs/>
        </w:rPr>
        <w:fldChar w:fldCharType="begin"/>
      </w:r>
      <w:r>
        <w:rPr>
          <w:b/>
          <w:bCs/>
        </w:rPr>
        <w:instrText xml:space="preserve"> ADDIN EN.REFLIST </w:instrText>
      </w:r>
      <w:r>
        <w:rPr>
          <w:b/>
          <w:bCs/>
        </w:rPr>
        <w:fldChar w:fldCharType="separate"/>
      </w:r>
      <w:r w:rsidR="003F7943" w:rsidRPr="003F7943">
        <w:t>1.</w:t>
      </w:r>
      <w:r w:rsidR="003F7943" w:rsidRPr="003F7943">
        <w:tab/>
        <w:t xml:space="preserve">Clair DG, Mustapha JA, Shishehbor MH, Schneider PA, Henao S, Bernardo NN, Deaton DH. PROMISE I: Early feasibility study of the LimFlow System for percutaneous deep vein arterialization in no-option chronic limb-threatening ischemia: 12-month results. </w:t>
      </w:r>
      <w:r w:rsidR="003F7943" w:rsidRPr="003F7943">
        <w:rPr>
          <w:i/>
        </w:rPr>
        <w:t xml:space="preserve">J Vasc Surg </w:t>
      </w:r>
      <w:r w:rsidR="003F7943" w:rsidRPr="003F7943">
        <w:t>2021;</w:t>
      </w:r>
      <w:r w:rsidR="003F7943" w:rsidRPr="003F7943">
        <w:rPr>
          <w:b/>
        </w:rPr>
        <w:t>74</w:t>
      </w:r>
      <w:r w:rsidR="003F7943" w:rsidRPr="003F7943">
        <w:t>(5): 1626-1635.</w:t>
      </w:r>
    </w:p>
    <w:p w14:paraId="6DEAE46F" w14:textId="77777777" w:rsidR="003F7943" w:rsidRPr="003F7943" w:rsidRDefault="003F7943" w:rsidP="003F7943">
      <w:pPr>
        <w:pStyle w:val="EndNoteBibliography"/>
      </w:pPr>
      <w:r w:rsidRPr="003F7943">
        <w:t>2.</w:t>
      </w:r>
      <w:r w:rsidRPr="003F7943">
        <w:tab/>
        <w:t xml:space="preserve">Schreve MA, Huizing E, Kum S, de Vries JPM, de Borst GJ, Unlu C. Volume Flow and Peak Systolic Velocity of the Arteriovenous Circuit in Patients after Percutaneous Deep Venous Arterialization. </w:t>
      </w:r>
      <w:r w:rsidRPr="003F7943">
        <w:rPr>
          <w:i/>
        </w:rPr>
        <w:t xml:space="preserve">Diagnostics (Basel) </w:t>
      </w:r>
      <w:r w:rsidRPr="003F7943">
        <w:t>2020;</w:t>
      </w:r>
      <w:r w:rsidRPr="003F7943">
        <w:rPr>
          <w:b/>
        </w:rPr>
        <w:t>10</w:t>
      </w:r>
      <w:r w:rsidRPr="003F7943">
        <w:t>(10).</w:t>
      </w:r>
    </w:p>
    <w:p w14:paraId="52E40F41" w14:textId="3C1ADF07" w:rsidR="008415C2" w:rsidRPr="008415C2" w:rsidRDefault="00510E06" w:rsidP="00FB424A">
      <w:pPr>
        <w:rPr>
          <w:rFonts w:ascii="Times New Roman" w:hAnsi="Times New Roman" w:cs="Times New Roman"/>
          <w:b/>
          <w:bCs/>
          <w:lang w:val="en-US"/>
        </w:rPr>
      </w:pPr>
      <w:r>
        <w:rPr>
          <w:rFonts w:ascii="Times New Roman" w:hAnsi="Times New Roman" w:cs="Times New Roman"/>
          <w:b/>
          <w:bCs/>
          <w:lang w:val="en-US"/>
        </w:rPr>
        <w:fldChar w:fldCharType="end"/>
      </w:r>
    </w:p>
    <w:sectPr w:rsidR="008415C2" w:rsidRPr="008415C2" w:rsidSect="008404CF">
      <w:footerReference w:type="even" r:id="rId11"/>
      <w:footerReference w:type="default" r:id="rId12"/>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EC1EA" w14:textId="77777777" w:rsidR="00670290" w:rsidRDefault="00670290" w:rsidP="0073633C">
      <w:r>
        <w:separator/>
      </w:r>
    </w:p>
  </w:endnote>
  <w:endnote w:type="continuationSeparator" w:id="0">
    <w:p w14:paraId="0BF7CEF1" w14:textId="77777777" w:rsidR="00670290" w:rsidRDefault="00670290" w:rsidP="0073633C">
      <w:r>
        <w:continuationSeparator/>
      </w:r>
    </w:p>
  </w:endnote>
  <w:endnote w:type="continuationNotice" w:id="1">
    <w:p w14:paraId="456549FE" w14:textId="77777777" w:rsidR="00670290" w:rsidRDefault="00670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0267783"/>
      <w:docPartObj>
        <w:docPartGallery w:val="Page Numbers (Bottom of Page)"/>
        <w:docPartUnique/>
      </w:docPartObj>
    </w:sdtPr>
    <w:sdtEndPr>
      <w:rPr>
        <w:rStyle w:val="PageNumber"/>
      </w:rPr>
    </w:sdtEndPr>
    <w:sdtContent>
      <w:p w14:paraId="62B3C511" w14:textId="6B5A6662" w:rsidR="0049724B" w:rsidRDefault="0049724B" w:rsidP="00B20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51E464" w14:textId="77777777" w:rsidR="0049724B" w:rsidRDefault="0049724B" w:rsidP="007363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45188776"/>
      <w:docPartObj>
        <w:docPartGallery w:val="Page Numbers (Bottom of Page)"/>
        <w:docPartUnique/>
      </w:docPartObj>
    </w:sdtPr>
    <w:sdtEndPr>
      <w:rPr>
        <w:rStyle w:val="PageNumber"/>
      </w:rPr>
    </w:sdtEndPr>
    <w:sdtContent>
      <w:p w14:paraId="2A9E22EA" w14:textId="0760A78C" w:rsidR="0049724B" w:rsidRDefault="0049724B" w:rsidP="00B20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1B80">
          <w:rPr>
            <w:rStyle w:val="PageNumber"/>
            <w:noProof/>
          </w:rPr>
          <w:t>4</w:t>
        </w:r>
        <w:r>
          <w:rPr>
            <w:rStyle w:val="PageNumber"/>
          </w:rPr>
          <w:fldChar w:fldCharType="end"/>
        </w:r>
      </w:p>
    </w:sdtContent>
  </w:sdt>
  <w:p w14:paraId="7192DFBC" w14:textId="77777777" w:rsidR="0049724B" w:rsidRDefault="0049724B" w:rsidP="007363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E0C45" w14:textId="77777777" w:rsidR="00670290" w:rsidRDefault="00670290" w:rsidP="0073633C">
      <w:r>
        <w:separator/>
      </w:r>
    </w:p>
  </w:footnote>
  <w:footnote w:type="continuationSeparator" w:id="0">
    <w:p w14:paraId="4A9D2FDE" w14:textId="77777777" w:rsidR="00670290" w:rsidRDefault="00670290" w:rsidP="0073633C">
      <w:r>
        <w:continuationSeparator/>
      </w:r>
    </w:p>
  </w:footnote>
  <w:footnote w:type="continuationNotice" w:id="1">
    <w:p w14:paraId="04EFFFE8" w14:textId="77777777" w:rsidR="00670290" w:rsidRDefault="006702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315"/>
    <w:multiLevelType w:val="hybridMultilevel"/>
    <w:tmpl w:val="116EE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C04ED5"/>
    <w:multiLevelType w:val="hybridMultilevel"/>
    <w:tmpl w:val="FA8C5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733A59"/>
    <w:multiLevelType w:val="hybridMultilevel"/>
    <w:tmpl w:val="4D0665DA"/>
    <w:lvl w:ilvl="0" w:tplc="6204C6EA">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D301A5"/>
    <w:multiLevelType w:val="hybridMultilevel"/>
    <w:tmpl w:val="AB9AA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157D42"/>
    <w:multiLevelType w:val="hybridMultilevel"/>
    <w:tmpl w:val="7090B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Surger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zwx0ttfyt5zabes9pfxddd3ew5avr0dtwfe&quot;&gt;PROMISE UK&lt;record-ids&gt;&lt;item&gt;8&lt;/item&gt;&lt;item&gt;20&lt;/item&gt;&lt;/record-ids&gt;&lt;/item&gt;&lt;/Libraries&gt;"/>
  </w:docVars>
  <w:rsids>
    <w:rsidRoot w:val="00715470"/>
    <w:rsid w:val="00001B80"/>
    <w:rsid w:val="00014489"/>
    <w:rsid w:val="00015DA1"/>
    <w:rsid w:val="00044C1C"/>
    <w:rsid w:val="00083A4A"/>
    <w:rsid w:val="00094026"/>
    <w:rsid w:val="00097D47"/>
    <w:rsid w:val="000A20E9"/>
    <w:rsid w:val="00106F29"/>
    <w:rsid w:val="0012077C"/>
    <w:rsid w:val="0015007E"/>
    <w:rsid w:val="00151172"/>
    <w:rsid w:val="00157DBE"/>
    <w:rsid w:val="00166F29"/>
    <w:rsid w:val="00172010"/>
    <w:rsid w:val="00180DDE"/>
    <w:rsid w:val="001830D8"/>
    <w:rsid w:val="001C0470"/>
    <w:rsid w:val="001C1B66"/>
    <w:rsid w:val="001F47C8"/>
    <w:rsid w:val="00211251"/>
    <w:rsid w:val="00220515"/>
    <w:rsid w:val="00223884"/>
    <w:rsid w:val="002250AD"/>
    <w:rsid w:val="00226591"/>
    <w:rsid w:val="00226BA6"/>
    <w:rsid w:val="00230B86"/>
    <w:rsid w:val="00231468"/>
    <w:rsid w:val="0024059C"/>
    <w:rsid w:val="0025653C"/>
    <w:rsid w:val="00261787"/>
    <w:rsid w:val="00262812"/>
    <w:rsid w:val="002746B0"/>
    <w:rsid w:val="00276DD9"/>
    <w:rsid w:val="0027752A"/>
    <w:rsid w:val="002837F7"/>
    <w:rsid w:val="00290667"/>
    <w:rsid w:val="00294355"/>
    <w:rsid w:val="002B1D34"/>
    <w:rsid w:val="002B58D2"/>
    <w:rsid w:val="002C6388"/>
    <w:rsid w:val="002D01C0"/>
    <w:rsid w:val="002D6814"/>
    <w:rsid w:val="002F5710"/>
    <w:rsid w:val="00315567"/>
    <w:rsid w:val="00333333"/>
    <w:rsid w:val="0033381E"/>
    <w:rsid w:val="003438F4"/>
    <w:rsid w:val="0035486B"/>
    <w:rsid w:val="0037137B"/>
    <w:rsid w:val="003765BC"/>
    <w:rsid w:val="003855F9"/>
    <w:rsid w:val="00396788"/>
    <w:rsid w:val="003B40DC"/>
    <w:rsid w:val="003C45EF"/>
    <w:rsid w:val="003D7562"/>
    <w:rsid w:val="003F59DC"/>
    <w:rsid w:val="003F7943"/>
    <w:rsid w:val="00410092"/>
    <w:rsid w:val="004156E5"/>
    <w:rsid w:val="0042322F"/>
    <w:rsid w:val="00426DA4"/>
    <w:rsid w:val="00431FF4"/>
    <w:rsid w:val="004454B7"/>
    <w:rsid w:val="00451A39"/>
    <w:rsid w:val="00455904"/>
    <w:rsid w:val="00462F61"/>
    <w:rsid w:val="0046713F"/>
    <w:rsid w:val="00495277"/>
    <w:rsid w:val="0049724B"/>
    <w:rsid w:val="004B6735"/>
    <w:rsid w:val="004E0C60"/>
    <w:rsid w:val="005006D5"/>
    <w:rsid w:val="0051088C"/>
    <w:rsid w:val="00510E06"/>
    <w:rsid w:val="0051444F"/>
    <w:rsid w:val="0052202A"/>
    <w:rsid w:val="00525501"/>
    <w:rsid w:val="00536261"/>
    <w:rsid w:val="005460AE"/>
    <w:rsid w:val="005471CA"/>
    <w:rsid w:val="005532CF"/>
    <w:rsid w:val="00562A28"/>
    <w:rsid w:val="005A3CC0"/>
    <w:rsid w:val="005B3553"/>
    <w:rsid w:val="005C24F6"/>
    <w:rsid w:val="005C604C"/>
    <w:rsid w:val="005E335C"/>
    <w:rsid w:val="006407ED"/>
    <w:rsid w:val="00647133"/>
    <w:rsid w:val="00661FF7"/>
    <w:rsid w:val="00662437"/>
    <w:rsid w:val="00670290"/>
    <w:rsid w:val="00675020"/>
    <w:rsid w:val="006758E8"/>
    <w:rsid w:val="00677EDA"/>
    <w:rsid w:val="006932FE"/>
    <w:rsid w:val="006A1F9F"/>
    <w:rsid w:val="006A69CC"/>
    <w:rsid w:val="006C4710"/>
    <w:rsid w:val="006F1D56"/>
    <w:rsid w:val="006F4EA4"/>
    <w:rsid w:val="006F55AB"/>
    <w:rsid w:val="00707CA6"/>
    <w:rsid w:val="00711D16"/>
    <w:rsid w:val="00715470"/>
    <w:rsid w:val="007173D9"/>
    <w:rsid w:val="00722B4C"/>
    <w:rsid w:val="007267F9"/>
    <w:rsid w:val="007357B8"/>
    <w:rsid w:val="0073633C"/>
    <w:rsid w:val="0074022E"/>
    <w:rsid w:val="00741EF0"/>
    <w:rsid w:val="007677E1"/>
    <w:rsid w:val="00772374"/>
    <w:rsid w:val="007B2A50"/>
    <w:rsid w:val="007C7009"/>
    <w:rsid w:val="007D5290"/>
    <w:rsid w:val="007D6929"/>
    <w:rsid w:val="007F10DB"/>
    <w:rsid w:val="00806415"/>
    <w:rsid w:val="008101FE"/>
    <w:rsid w:val="00811DFE"/>
    <w:rsid w:val="008404CF"/>
    <w:rsid w:val="008415C2"/>
    <w:rsid w:val="008518FA"/>
    <w:rsid w:val="008615B6"/>
    <w:rsid w:val="00862305"/>
    <w:rsid w:val="0087497B"/>
    <w:rsid w:val="008963CF"/>
    <w:rsid w:val="008A26E1"/>
    <w:rsid w:val="008A31DC"/>
    <w:rsid w:val="008E6BBE"/>
    <w:rsid w:val="009455F0"/>
    <w:rsid w:val="009503A7"/>
    <w:rsid w:val="009564DE"/>
    <w:rsid w:val="00962D12"/>
    <w:rsid w:val="00965B4D"/>
    <w:rsid w:val="0097015D"/>
    <w:rsid w:val="00971FD0"/>
    <w:rsid w:val="009804EA"/>
    <w:rsid w:val="009824A8"/>
    <w:rsid w:val="00990A47"/>
    <w:rsid w:val="00995784"/>
    <w:rsid w:val="009B70D2"/>
    <w:rsid w:val="009D2AC1"/>
    <w:rsid w:val="009D71AB"/>
    <w:rsid w:val="009F0C7E"/>
    <w:rsid w:val="00A04F3A"/>
    <w:rsid w:val="00A050C3"/>
    <w:rsid w:val="00A079E0"/>
    <w:rsid w:val="00A105FD"/>
    <w:rsid w:val="00A10F92"/>
    <w:rsid w:val="00A4051C"/>
    <w:rsid w:val="00A42E2F"/>
    <w:rsid w:val="00A439CF"/>
    <w:rsid w:val="00A50934"/>
    <w:rsid w:val="00A52EDE"/>
    <w:rsid w:val="00A65B53"/>
    <w:rsid w:val="00A870C7"/>
    <w:rsid w:val="00A9000F"/>
    <w:rsid w:val="00A90676"/>
    <w:rsid w:val="00AA260D"/>
    <w:rsid w:val="00AD4A8E"/>
    <w:rsid w:val="00AD50B4"/>
    <w:rsid w:val="00AE2C56"/>
    <w:rsid w:val="00B07CF2"/>
    <w:rsid w:val="00B07E61"/>
    <w:rsid w:val="00B11347"/>
    <w:rsid w:val="00B20B36"/>
    <w:rsid w:val="00B31308"/>
    <w:rsid w:val="00B37E1F"/>
    <w:rsid w:val="00B50508"/>
    <w:rsid w:val="00B517C6"/>
    <w:rsid w:val="00B52062"/>
    <w:rsid w:val="00B64D09"/>
    <w:rsid w:val="00B71F98"/>
    <w:rsid w:val="00B74171"/>
    <w:rsid w:val="00B81F51"/>
    <w:rsid w:val="00B84732"/>
    <w:rsid w:val="00B90990"/>
    <w:rsid w:val="00B978BD"/>
    <w:rsid w:val="00BA2DA3"/>
    <w:rsid w:val="00BA555E"/>
    <w:rsid w:val="00BA5610"/>
    <w:rsid w:val="00BA67BD"/>
    <w:rsid w:val="00BA7C26"/>
    <w:rsid w:val="00BC1C35"/>
    <w:rsid w:val="00BD1842"/>
    <w:rsid w:val="00BE5B33"/>
    <w:rsid w:val="00BE61B6"/>
    <w:rsid w:val="00C00960"/>
    <w:rsid w:val="00C153D2"/>
    <w:rsid w:val="00C31116"/>
    <w:rsid w:val="00C33848"/>
    <w:rsid w:val="00C833A3"/>
    <w:rsid w:val="00CC7F5A"/>
    <w:rsid w:val="00CF5A41"/>
    <w:rsid w:val="00D05C84"/>
    <w:rsid w:val="00D228CE"/>
    <w:rsid w:val="00D31C0D"/>
    <w:rsid w:val="00D40CFD"/>
    <w:rsid w:val="00D43076"/>
    <w:rsid w:val="00D53AED"/>
    <w:rsid w:val="00D556E6"/>
    <w:rsid w:val="00D70EFF"/>
    <w:rsid w:val="00D774EE"/>
    <w:rsid w:val="00DC7069"/>
    <w:rsid w:val="00E01251"/>
    <w:rsid w:val="00E34550"/>
    <w:rsid w:val="00E36C8E"/>
    <w:rsid w:val="00E568DA"/>
    <w:rsid w:val="00E7177E"/>
    <w:rsid w:val="00E74699"/>
    <w:rsid w:val="00E93849"/>
    <w:rsid w:val="00EA535F"/>
    <w:rsid w:val="00EA68D9"/>
    <w:rsid w:val="00EA6A84"/>
    <w:rsid w:val="00EB647D"/>
    <w:rsid w:val="00EB6DCD"/>
    <w:rsid w:val="00EC7F89"/>
    <w:rsid w:val="00EF1EAB"/>
    <w:rsid w:val="00F0403A"/>
    <w:rsid w:val="00F15C84"/>
    <w:rsid w:val="00F51A6D"/>
    <w:rsid w:val="00F57E4B"/>
    <w:rsid w:val="00F87A59"/>
    <w:rsid w:val="00FA2403"/>
    <w:rsid w:val="00FA4A5E"/>
    <w:rsid w:val="00FA6FF5"/>
    <w:rsid w:val="00FB010B"/>
    <w:rsid w:val="00FB424A"/>
    <w:rsid w:val="00FC095D"/>
    <w:rsid w:val="00FC5233"/>
    <w:rsid w:val="00FD159F"/>
    <w:rsid w:val="038D48FA"/>
    <w:rsid w:val="04A97FFC"/>
    <w:rsid w:val="06308055"/>
    <w:rsid w:val="08A4821C"/>
    <w:rsid w:val="0C8C1DD2"/>
    <w:rsid w:val="0DBD3B2F"/>
    <w:rsid w:val="0FD8C20B"/>
    <w:rsid w:val="106FCB42"/>
    <w:rsid w:val="15AF3133"/>
    <w:rsid w:val="17A06758"/>
    <w:rsid w:val="18CEA45C"/>
    <w:rsid w:val="1BDB7EDB"/>
    <w:rsid w:val="1D6C90EC"/>
    <w:rsid w:val="1F885563"/>
    <w:rsid w:val="25882907"/>
    <w:rsid w:val="27A71D81"/>
    <w:rsid w:val="2CA6350C"/>
    <w:rsid w:val="2D44E974"/>
    <w:rsid w:val="35953B57"/>
    <w:rsid w:val="37F3B72F"/>
    <w:rsid w:val="38E92FF9"/>
    <w:rsid w:val="3CC9DC23"/>
    <w:rsid w:val="3D278827"/>
    <w:rsid w:val="3F254D55"/>
    <w:rsid w:val="41CA7F1A"/>
    <w:rsid w:val="44230C72"/>
    <w:rsid w:val="45718DE9"/>
    <w:rsid w:val="4AD64F94"/>
    <w:rsid w:val="4D8B7840"/>
    <w:rsid w:val="5238B69A"/>
    <w:rsid w:val="534838D8"/>
    <w:rsid w:val="54C2C41D"/>
    <w:rsid w:val="562F49DE"/>
    <w:rsid w:val="58F8ACE6"/>
    <w:rsid w:val="5AB6FD8D"/>
    <w:rsid w:val="5C304DA8"/>
    <w:rsid w:val="6173EC01"/>
    <w:rsid w:val="62335C37"/>
    <w:rsid w:val="642D0E38"/>
    <w:rsid w:val="650E0C9D"/>
    <w:rsid w:val="66BCD1F0"/>
    <w:rsid w:val="6845AD5F"/>
    <w:rsid w:val="68BAB716"/>
    <w:rsid w:val="69B8E0F4"/>
    <w:rsid w:val="69E17DC0"/>
    <w:rsid w:val="69FE88B9"/>
    <w:rsid w:val="6B12E3D7"/>
    <w:rsid w:val="70FA3B00"/>
    <w:rsid w:val="7284A213"/>
    <w:rsid w:val="738474EE"/>
    <w:rsid w:val="74646306"/>
    <w:rsid w:val="7595D339"/>
    <w:rsid w:val="7923B031"/>
    <w:rsid w:val="7956EA2A"/>
    <w:rsid w:val="7A5B73E9"/>
    <w:rsid w:val="7DCF7697"/>
    <w:rsid w:val="7F4A0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E9E01"/>
  <w15:chartTrackingRefBased/>
  <w15:docId w15:val="{AA829D26-7A3F-5540-83A5-A4F92554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76DD9"/>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633C"/>
    <w:pPr>
      <w:tabs>
        <w:tab w:val="center" w:pos="4513"/>
        <w:tab w:val="right" w:pos="9026"/>
      </w:tabs>
    </w:pPr>
  </w:style>
  <w:style w:type="character" w:customStyle="1" w:styleId="FooterChar">
    <w:name w:val="Footer Char"/>
    <w:basedOn w:val="DefaultParagraphFont"/>
    <w:link w:val="Footer"/>
    <w:uiPriority w:val="99"/>
    <w:rsid w:val="0073633C"/>
  </w:style>
  <w:style w:type="character" w:styleId="PageNumber">
    <w:name w:val="page number"/>
    <w:basedOn w:val="DefaultParagraphFont"/>
    <w:uiPriority w:val="99"/>
    <w:semiHidden/>
    <w:unhideWhenUsed/>
    <w:rsid w:val="0073633C"/>
  </w:style>
  <w:style w:type="paragraph" w:styleId="ListParagraph">
    <w:name w:val="List Paragraph"/>
    <w:basedOn w:val="Normal"/>
    <w:uiPriority w:val="34"/>
    <w:qFormat/>
    <w:rsid w:val="00396788"/>
    <w:pPr>
      <w:spacing w:after="160" w:line="259" w:lineRule="auto"/>
      <w:ind w:left="720"/>
      <w:contextualSpacing/>
    </w:pPr>
    <w:rPr>
      <w:sz w:val="22"/>
      <w:szCs w:val="22"/>
    </w:rPr>
  </w:style>
  <w:style w:type="table" w:styleId="TableGrid">
    <w:name w:val="Table Grid"/>
    <w:basedOn w:val="TableNormal"/>
    <w:uiPriority w:val="39"/>
    <w:rsid w:val="003967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5B5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407ED"/>
    <w:rPr>
      <w:sz w:val="16"/>
      <w:szCs w:val="16"/>
    </w:rPr>
  </w:style>
  <w:style w:type="paragraph" w:styleId="CommentText">
    <w:name w:val="annotation text"/>
    <w:basedOn w:val="Normal"/>
    <w:link w:val="CommentTextChar"/>
    <w:uiPriority w:val="99"/>
    <w:unhideWhenUsed/>
    <w:rsid w:val="006407ED"/>
    <w:rPr>
      <w:sz w:val="20"/>
      <w:szCs w:val="20"/>
    </w:rPr>
  </w:style>
  <w:style w:type="character" w:customStyle="1" w:styleId="CommentTextChar">
    <w:name w:val="Comment Text Char"/>
    <w:basedOn w:val="DefaultParagraphFont"/>
    <w:link w:val="CommentText"/>
    <w:uiPriority w:val="99"/>
    <w:rsid w:val="006407ED"/>
    <w:rPr>
      <w:sz w:val="20"/>
      <w:szCs w:val="20"/>
    </w:rPr>
  </w:style>
  <w:style w:type="paragraph" w:styleId="CommentSubject">
    <w:name w:val="annotation subject"/>
    <w:basedOn w:val="CommentText"/>
    <w:next w:val="CommentText"/>
    <w:link w:val="CommentSubjectChar"/>
    <w:uiPriority w:val="99"/>
    <w:semiHidden/>
    <w:unhideWhenUsed/>
    <w:rsid w:val="006407ED"/>
    <w:rPr>
      <w:b/>
      <w:bCs/>
    </w:rPr>
  </w:style>
  <w:style w:type="character" w:customStyle="1" w:styleId="CommentSubjectChar">
    <w:name w:val="Comment Subject Char"/>
    <w:basedOn w:val="CommentTextChar"/>
    <w:link w:val="CommentSubject"/>
    <w:uiPriority w:val="99"/>
    <w:semiHidden/>
    <w:rsid w:val="006407ED"/>
    <w:rPr>
      <w:b/>
      <w:bCs/>
      <w:sz w:val="20"/>
      <w:szCs w:val="20"/>
    </w:rPr>
  </w:style>
  <w:style w:type="paragraph" w:styleId="NoSpacing">
    <w:name w:val="No Spacing"/>
    <w:uiPriority w:val="1"/>
    <w:qFormat/>
    <w:rsid w:val="00722B4C"/>
  </w:style>
  <w:style w:type="table" w:styleId="GridTable3">
    <w:name w:val="Grid Table 3"/>
    <w:basedOn w:val="TableNormal"/>
    <w:uiPriority w:val="48"/>
    <w:rsid w:val="008404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
    <w:name w:val="Grid Table 7 Colorful"/>
    <w:basedOn w:val="TableNormal"/>
    <w:uiPriority w:val="52"/>
    <w:rsid w:val="003F59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1F47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837F7"/>
    <w:rPr>
      <w:color w:val="0563C1" w:themeColor="hyperlink"/>
      <w:u w:val="single"/>
    </w:rPr>
  </w:style>
  <w:style w:type="table" w:styleId="GridTable5Dark-Accent3">
    <w:name w:val="Grid Table 5 Dark Accent 3"/>
    <w:basedOn w:val="TableNormal"/>
    <w:uiPriority w:val="50"/>
    <w:rsid w:val="002837F7"/>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DefaultParagraphFont"/>
    <w:rsid w:val="002837F7"/>
  </w:style>
  <w:style w:type="paragraph" w:styleId="BalloonText">
    <w:name w:val="Balloon Text"/>
    <w:basedOn w:val="Normal"/>
    <w:link w:val="BalloonTextChar"/>
    <w:uiPriority w:val="99"/>
    <w:semiHidden/>
    <w:unhideWhenUsed/>
    <w:rsid w:val="00E74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699"/>
    <w:rPr>
      <w:rFonts w:ascii="Segoe UI" w:hAnsi="Segoe UI" w:cs="Segoe UI"/>
      <w:sz w:val="18"/>
      <w:szCs w:val="18"/>
    </w:rPr>
  </w:style>
  <w:style w:type="paragraph" w:styleId="Header">
    <w:name w:val="header"/>
    <w:basedOn w:val="Normal"/>
    <w:link w:val="HeaderChar"/>
    <w:uiPriority w:val="99"/>
    <w:unhideWhenUsed/>
    <w:rsid w:val="006F4EA4"/>
    <w:pPr>
      <w:tabs>
        <w:tab w:val="center" w:pos="4819"/>
        <w:tab w:val="right" w:pos="9638"/>
      </w:tabs>
    </w:pPr>
  </w:style>
  <w:style w:type="character" w:customStyle="1" w:styleId="HeaderChar">
    <w:name w:val="Header Char"/>
    <w:basedOn w:val="DefaultParagraphFont"/>
    <w:link w:val="Header"/>
    <w:uiPriority w:val="99"/>
    <w:rsid w:val="006F4EA4"/>
  </w:style>
  <w:style w:type="character" w:customStyle="1" w:styleId="Heading4Char">
    <w:name w:val="Heading 4 Char"/>
    <w:basedOn w:val="DefaultParagraphFont"/>
    <w:link w:val="Heading4"/>
    <w:uiPriority w:val="9"/>
    <w:rsid w:val="00276DD9"/>
    <w:rPr>
      <w:rFonts w:ascii="Times New Roman" w:eastAsia="Times New Roman" w:hAnsi="Times New Roman" w:cs="Times New Roman"/>
      <w:b/>
      <w:bCs/>
      <w:lang w:val="en-GB" w:eastAsia="en-GB"/>
    </w:rPr>
  </w:style>
  <w:style w:type="paragraph" w:customStyle="1" w:styleId="EndNoteBibliographyTitle">
    <w:name w:val="EndNote Bibliography Title"/>
    <w:basedOn w:val="Normal"/>
    <w:link w:val="EndNoteBibliographyTitleChar"/>
    <w:rsid w:val="00510E06"/>
    <w:pPr>
      <w:jc w:val="center"/>
    </w:pPr>
    <w:rPr>
      <w:rFonts w:ascii="Times New Roman" w:hAnsi="Times New Roman" w:cs="Times New Roman"/>
      <w:noProof/>
      <w:sz w:val="22"/>
      <w:lang w:val="en-US"/>
    </w:rPr>
  </w:style>
  <w:style w:type="character" w:customStyle="1" w:styleId="EndNoteBibliographyTitleChar">
    <w:name w:val="EndNote Bibliography Title Char"/>
    <w:basedOn w:val="DefaultParagraphFont"/>
    <w:link w:val="EndNoteBibliographyTitle"/>
    <w:rsid w:val="00510E06"/>
    <w:rPr>
      <w:rFonts w:ascii="Times New Roman" w:hAnsi="Times New Roman" w:cs="Times New Roman"/>
      <w:noProof/>
      <w:sz w:val="22"/>
      <w:lang w:val="en-US"/>
    </w:rPr>
  </w:style>
  <w:style w:type="paragraph" w:customStyle="1" w:styleId="EndNoteBibliography">
    <w:name w:val="EndNote Bibliography"/>
    <w:basedOn w:val="Normal"/>
    <w:link w:val="EndNoteBibliographyChar"/>
    <w:rsid w:val="00510E06"/>
    <w:pPr>
      <w:spacing w:line="480" w:lineRule="auto"/>
    </w:pPr>
    <w:rPr>
      <w:rFonts w:ascii="Times New Roman" w:hAnsi="Times New Roman" w:cs="Times New Roman"/>
      <w:noProof/>
      <w:sz w:val="22"/>
      <w:lang w:val="en-US"/>
    </w:rPr>
  </w:style>
  <w:style w:type="character" w:customStyle="1" w:styleId="EndNoteBibliographyChar">
    <w:name w:val="EndNote Bibliography Char"/>
    <w:basedOn w:val="DefaultParagraphFont"/>
    <w:link w:val="EndNoteBibliography"/>
    <w:rsid w:val="00510E06"/>
    <w:rPr>
      <w:rFonts w:ascii="Times New Roman" w:hAnsi="Times New Roman" w:cs="Times New Roman"/>
      <w:noProof/>
      <w:sz w:val="22"/>
      <w:lang w:val="en-US"/>
    </w:rPr>
  </w:style>
  <w:style w:type="paragraph" w:styleId="Revision">
    <w:name w:val="Revision"/>
    <w:hidden/>
    <w:uiPriority w:val="99"/>
    <w:semiHidden/>
    <w:rsid w:val="00BA2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04002">
      <w:bodyDiv w:val="1"/>
      <w:marLeft w:val="0"/>
      <w:marRight w:val="0"/>
      <w:marTop w:val="0"/>
      <w:marBottom w:val="0"/>
      <w:divBdr>
        <w:top w:val="none" w:sz="0" w:space="0" w:color="auto"/>
        <w:left w:val="none" w:sz="0" w:space="0" w:color="auto"/>
        <w:bottom w:val="none" w:sz="0" w:space="0" w:color="auto"/>
        <w:right w:val="none" w:sz="0" w:space="0" w:color="auto"/>
      </w:divBdr>
    </w:div>
    <w:div w:id="1138229803">
      <w:bodyDiv w:val="1"/>
      <w:marLeft w:val="0"/>
      <w:marRight w:val="0"/>
      <w:marTop w:val="0"/>
      <w:marBottom w:val="0"/>
      <w:divBdr>
        <w:top w:val="none" w:sz="0" w:space="0" w:color="auto"/>
        <w:left w:val="none" w:sz="0" w:space="0" w:color="auto"/>
        <w:bottom w:val="none" w:sz="0" w:space="0" w:color="auto"/>
        <w:right w:val="none" w:sz="0" w:space="0" w:color="auto"/>
      </w:divBdr>
    </w:div>
    <w:div w:id="1256356400">
      <w:bodyDiv w:val="1"/>
      <w:marLeft w:val="0"/>
      <w:marRight w:val="0"/>
      <w:marTop w:val="0"/>
      <w:marBottom w:val="0"/>
      <w:divBdr>
        <w:top w:val="none" w:sz="0" w:space="0" w:color="auto"/>
        <w:left w:val="none" w:sz="0" w:space="0" w:color="auto"/>
        <w:bottom w:val="none" w:sz="0" w:space="0" w:color="auto"/>
        <w:right w:val="none" w:sz="0" w:space="0" w:color="auto"/>
      </w:divBdr>
      <w:divsChild>
        <w:div w:id="734859625">
          <w:marLeft w:val="0"/>
          <w:marRight w:val="0"/>
          <w:marTop w:val="0"/>
          <w:marBottom w:val="0"/>
          <w:divBdr>
            <w:top w:val="none" w:sz="0" w:space="0" w:color="auto"/>
            <w:left w:val="none" w:sz="0" w:space="0" w:color="auto"/>
            <w:bottom w:val="none" w:sz="0" w:space="0" w:color="auto"/>
            <w:right w:val="none" w:sz="0" w:space="0" w:color="auto"/>
          </w:divBdr>
        </w:div>
        <w:div w:id="1923102494">
          <w:marLeft w:val="0"/>
          <w:marRight w:val="0"/>
          <w:marTop w:val="0"/>
          <w:marBottom w:val="0"/>
          <w:divBdr>
            <w:top w:val="none" w:sz="0" w:space="0" w:color="auto"/>
            <w:left w:val="none" w:sz="0" w:space="0" w:color="auto"/>
            <w:bottom w:val="none" w:sz="0" w:space="0" w:color="auto"/>
            <w:right w:val="none" w:sz="0" w:space="0" w:color="auto"/>
          </w:divBdr>
        </w:div>
        <w:div w:id="189296755">
          <w:marLeft w:val="0"/>
          <w:marRight w:val="0"/>
          <w:marTop w:val="0"/>
          <w:marBottom w:val="0"/>
          <w:divBdr>
            <w:top w:val="none" w:sz="0" w:space="0" w:color="auto"/>
            <w:left w:val="none" w:sz="0" w:space="0" w:color="auto"/>
            <w:bottom w:val="none" w:sz="0" w:space="0" w:color="auto"/>
            <w:right w:val="none" w:sz="0" w:space="0" w:color="auto"/>
          </w:divBdr>
        </w:div>
        <w:div w:id="533153589">
          <w:marLeft w:val="0"/>
          <w:marRight w:val="0"/>
          <w:marTop w:val="0"/>
          <w:marBottom w:val="0"/>
          <w:divBdr>
            <w:top w:val="none" w:sz="0" w:space="0" w:color="auto"/>
            <w:left w:val="none" w:sz="0" w:space="0" w:color="auto"/>
            <w:bottom w:val="none" w:sz="0" w:space="0" w:color="auto"/>
            <w:right w:val="none" w:sz="0" w:space="0" w:color="auto"/>
          </w:divBdr>
        </w:div>
        <w:div w:id="1562787846">
          <w:marLeft w:val="0"/>
          <w:marRight w:val="0"/>
          <w:marTop w:val="0"/>
          <w:marBottom w:val="0"/>
          <w:divBdr>
            <w:top w:val="none" w:sz="0" w:space="0" w:color="auto"/>
            <w:left w:val="none" w:sz="0" w:space="0" w:color="auto"/>
            <w:bottom w:val="none" w:sz="0" w:space="0" w:color="auto"/>
            <w:right w:val="none" w:sz="0" w:space="0" w:color="auto"/>
          </w:divBdr>
        </w:div>
      </w:divsChild>
    </w:div>
    <w:div w:id="20227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C6FE0383F844EA922BAFB9524955E" ma:contentTypeVersion="22" ma:contentTypeDescription="Create a new document." ma:contentTypeScope="" ma:versionID="5833ff7f6814b7a7695fc3a70db0494f">
  <xsd:schema xmlns:xsd="http://www.w3.org/2001/XMLSchema" xmlns:xs="http://www.w3.org/2001/XMLSchema" xmlns:p="http://schemas.microsoft.com/office/2006/metadata/properties" xmlns:ns1="http://schemas.microsoft.com/sharepoint/v3" xmlns:ns2="8132ec1d-4efc-43fa-ae7c-88fd5e825c14" xmlns:ns3="959cf7a0-16b3-4beb-a424-866d3ddfc836" xmlns:ns4="http://schemas.microsoft.com/sharepoint/v4" targetNamespace="http://schemas.microsoft.com/office/2006/metadata/properties" ma:root="true" ma:fieldsID="8e954108a6cc49579f32d0a922c6e0a8" ns1:_="" ns2:_="" ns3:_="" ns4:_="">
    <xsd:import namespace="http://schemas.microsoft.com/sharepoint/v3"/>
    <xsd:import namespace="8132ec1d-4efc-43fa-ae7c-88fd5e825c14"/>
    <xsd:import namespace="959cf7a0-16b3-4beb-a424-866d3ddfc83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2ec1d-4efc-43fa-ae7c-88fd5e825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bd7ec0-149f-4787-a908-48874864ee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9cf7a0-16b3-4beb-a424-866d3ddfc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47533-40fd-40dc-9770-2cac1a201a10}" ma:internalName="TaxCatchAll" ma:showField="CatchAllData" ma:web="959cf7a0-16b3-4beb-a424-866d3ddfc8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lcf76f155ced4ddcb4097134ff3c332f xmlns="8132ec1d-4efc-43fa-ae7c-88fd5e825c14">
      <Terms xmlns="http://schemas.microsoft.com/office/infopath/2007/PartnerControls"/>
    </lcf76f155ced4ddcb4097134ff3c332f>
    <_ip_UnifiedCompliancePolicyProperties xmlns="http://schemas.microsoft.com/sharepoint/v3" xsi:nil="true"/>
    <TaxCatchAll xmlns="959cf7a0-16b3-4beb-a424-866d3ddfc8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64AEB-EFEB-4040-9247-2AB0CC63A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32ec1d-4efc-43fa-ae7c-88fd5e825c14"/>
    <ds:schemaRef ds:uri="959cf7a0-16b3-4beb-a424-866d3ddfc8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DFC58-8327-4639-A129-EFE5F16214A8}">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8132ec1d-4efc-43fa-ae7c-88fd5e825c14"/>
    <ds:schemaRef ds:uri="959cf7a0-16b3-4beb-a424-866d3ddfc836"/>
  </ds:schemaRefs>
</ds:datastoreItem>
</file>

<file path=customXml/itemProps3.xml><?xml version="1.0" encoding="utf-8"?>
<ds:datastoreItem xmlns:ds="http://schemas.openxmlformats.org/officeDocument/2006/customXml" ds:itemID="{B347E989-3D98-492F-9BBC-83F6FDBD5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Lorenzon</dc:creator>
  <cp:keywords/>
  <dc:description/>
  <cp:lastModifiedBy>Microsoft account</cp:lastModifiedBy>
  <cp:revision>2</cp:revision>
  <dcterms:created xsi:type="dcterms:W3CDTF">2024-07-10T23:11:00Z</dcterms:created>
  <dcterms:modified xsi:type="dcterms:W3CDTF">2024-07-10T23:11:00Z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2022-06-27T13:25:36Z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1f9d2863-bbf9-4942-adae-e903809cef95</vt:lpwstr>
  </property>
  <property fmtid="{D5CDD505-2E9C-101B-9397-08002B2CF9AE}" pid="8" name="MSIP_Label_be5cb09a-2992-49d6-8ac9-5f63e7b1ad2f_ContentBits">
    <vt:lpwstr>0</vt:lpwstr>
  </property>
  <property fmtid="{D5CDD505-2E9C-101B-9397-08002B2CF9AE}" pid="9" name="ContentTypeId">
    <vt:lpwstr>0x0101004F7C6FE0383F844EA922BAFB9524955E</vt:lpwstr>
  </property>
  <property fmtid="{D5CDD505-2E9C-101B-9397-08002B2CF9AE}" pid="10" name="MediaServiceImageTags">
    <vt:lpwstr/>
  </property>
</Properties>
</file>