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C508" w14:textId="48CC756A" w:rsidR="00BF6C91" w:rsidRDefault="007E55B0" w:rsidP="00BF6C91">
      <w:pPr>
        <w:rPr>
          <w:rFonts w:cstheme="minorHAnsi"/>
          <w:lang w:val="en-US"/>
        </w:rPr>
      </w:pPr>
      <w:r>
        <w:rPr>
          <w:rFonts w:cstheme="minorHAnsi"/>
          <w:b/>
          <w:bCs/>
          <w:lang w:val="en-US"/>
        </w:rPr>
        <w:t>S3 Table</w:t>
      </w:r>
      <w:r w:rsidR="00BF6C91" w:rsidRPr="00254A99">
        <w:rPr>
          <w:rFonts w:cstheme="minorHAnsi"/>
          <w:b/>
          <w:bCs/>
          <w:lang w:val="en-US"/>
        </w:rPr>
        <w:t xml:space="preserve">. Age-and sex adjusted associations between indicators of adiposity and systolic and diastolic blood pressure (mm Hg), glycosylated </w:t>
      </w:r>
      <w:proofErr w:type="spellStart"/>
      <w:r w:rsidR="00BF6C91" w:rsidRPr="00254A99">
        <w:rPr>
          <w:rFonts w:cstheme="minorHAnsi"/>
          <w:b/>
          <w:bCs/>
          <w:lang w:val="en-US"/>
        </w:rPr>
        <w:t>haemoglobin</w:t>
      </w:r>
      <w:proofErr w:type="spellEnd"/>
      <w:r w:rsidR="00BF6C91" w:rsidRPr="00254A99">
        <w:rPr>
          <w:rFonts w:cstheme="minorHAnsi"/>
          <w:b/>
          <w:bCs/>
          <w:lang w:val="en-US"/>
        </w:rPr>
        <w:t xml:space="preserve"> (HbA1c) (%), and fasting glucose (mg/dL) in 930 adults.</w:t>
      </w:r>
      <w:r w:rsidR="00BF6C91" w:rsidRPr="00254A99">
        <w:rPr>
          <w:rFonts w:cstheme="minorHAnsi"/>
          <w:lang w:val="en-US"/>
        </w:rPr>
        <w:t xml:space="preserve"> </w:t>
      </w:r>
    </w:p>
    <w:p w14:paraId="129EF7AA" w14:textId="77777777" w:rsidR="00BF6C91" w:rsidRPr="00254A99" w:rsidRDefault="00BF6C91" w:rsidP="00BF6C91">
      <w:pPr>
        <w:rPr>
          <w:rFonts w:cstheme="minorHAnsi"/>
          <w:lang w:val="en-US"/>
        </w:rPr>
      </w:pPr>
    </w:p>
    <w:tbl>
      <w:tblPr>
        <w:tblW w:w="478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268"/>
        <w:gridCol w:w="851"/>
        <w:gridCol w:w="2126"/>
        <w:gridCol w:w="709"/>
        <w:gridCol w:w="2268"/>
        <w:gridCol w:w="992"/>
        <w:gridCol w:w="2126"/>
        <w:gridCol w:w="709"/>
      </w:tblGrid>
      <w:tr w:rsidR="00BF6C91" w:rsidRPr="00CB2864" w14:paraId="28D9F315" w14:textId="77777777" w:rsidTr="00F5146D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A6D7F" w14:textId="77777777" w:rsidR="00BF6C91" w:rsidRPr="009E6163" w:rsidRDefault="00BF6C91" w:rsidP="00AF19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4D58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Systolic BP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0940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Diastolic BP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C5C0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HbA1c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2700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Fasting glucose</w:t>
            </w:r>
          </w:p>
        </w:tc>
      </w:tr>
      <w:tr w:rsidR="00BF6C91" w:rsidRPr="00CB2864" w14:paraId="67927B60" w14:textId="77777777" w:rsidTr="00F5146D"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F3C6D" w14:textId="77777777" w:rsidR="00BF6C91" w:rsidRPr="009E6163" w:rsidRDefault="00BF6C91" w:rsidP="00AF19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0C99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Estimate (95% CI)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0BBE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60C6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Estimate (95% CI)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635F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0C61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Estimate (95% CI)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A90D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 value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419F6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Estimate (95% CI)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BBB9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 value</w:t>
            </w:r>
          </w:p>
        </w:tc>
      </w:tr>
      <w:tr w:rsidR="00BF6C91" w:rsidRPr="00CB2864" w14:paraId="3E58B407" w14:textId="77777777" w:rsidTr="00F5146D">
        <w:tc>
          <w:tcPr>
            <w:tcW w:w="144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038A" w14:textId="77777777" w:rsidR="00BF6C91" w:rsidRPr="009E6163" w:rsidRDefault="00BF6C91" w:rsidP="00AF19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Socio-demographic</w:t>
            </w:r>
          </w:p>
        </w:tc>
      </w:tr>
      <w:tr w:rsidR="00BF6C91" w:rsidRPr="00CB2864" w14:paraId="0E36E68A" w14:textId="77777777" w:rsidTr="00F5146D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43C9" w14:textId="77777777" w:rsidR="00BF6C91" w:rsidRPr="009E6163" w:rsidRDefault="00BF6C91" w:rsidP="00AF19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Age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86EA8" w14:textId="1A874DDC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0.911 (0.819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, 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1.002)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E798" w14:textId="452FD119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&lt;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.001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66D6A" w14:textId="77E32FFF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0.34 (0.288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, 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0.392)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4204" w14:textId="5E2B7B8E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&lt;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.001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16A5E" w14:textId="0A688648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0.035 (0.026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0.044)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A8CF7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E9A07" w14:textId="787B4404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1.328 (0.874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, 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1.328)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BE29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&lt;0.001</w:t>
            </w:r>
          </w:p>
        </w:tc>
      </w:tr>
      <w:tr w:rsidR="00BF6C91" w:rsidRPr="00CB2864" w14:paraId="7E9CEC50" w14:textId="77777777" w:rsidTr="00F5146D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0616" w14:textId="77777777" w:rsidR="00BF6C91" w:rsidRPr="009E6163" w:rsidRDefault="00BF6C91" w:rsidP="00AF19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Age</w:t>
            </w:r>
            <w:r w:rsidRPr="009E6163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15E8C" w14:textId="7FF7452C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-0.004 (-0.007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, -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01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F1B6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0.028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98639" w14:textId="19D4DD6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-0.009 (-0.011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,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-0.006)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E78A" w14:textId="5A17CD4A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&lt;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.001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560C4" w14:textId="504A3A77" w:rsidR="00BF6C91" w:rsidRPr="009E6163" w:rsidRDefault="00BF6C91" w:rsidP="00AF1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-0.00008 (-0.0004</w:t>
            </w:r>
            <w:r w:rsidR="0093065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,</w:t>
            </w:r>
            <w:r w:rsidRPr="009E61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0.0002)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0B8E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E23F2" w14:textId="36CAB9B9" w:rsidR="00BF6C91" w:rsidRPr="009E6163" w:rsidRDefault="00BF6C91" w:rsidP="00AF1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color w:val="000000"/>
                <w:sz w:val="22"/>
                <w:szCs w:val="22"/>
              </w:rPr>
              <w:t>-0.005 (-0.015</w:t>
            </w:r>
            <w:r w:rsidR="00930654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, </w:t>
            </w:r>
            <w:r w:rsidRPr="009E6163">
              <w:rPr>
                <w:rFonts w:ascii="Calibri" w:hAnsi="Calibri" w:cs="Calibri"/>
                <w:color w:val="000000"/>
                <w:sz w:val="22"/>
                <w:szCs w:val="22"/>
              </w:rPr>
              <w:t>0.004)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E130" w14:textId="5675961B" w:rsidR="00BF6C91" w:rsidRPr="009E6163" w:rsidRDefault="00930654" w:rsidP="00AF1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  <w:r w:rsidR="00BF6C91" w:rsidRPr="009E61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.258</w:t>
            </w:r>
          </w:p>
        </w:tc>
      </w:tr>
      <w:tr w:rsidR="00BF6C91" w:rsidRPr="00CB2864" w14:paraId="4D29F365" w14:textId="77777777" w:rsidTr="00F5146D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BF42" w14:textId="77777777" w:rsidR="00BF6C91" w:rsidRPr="009E6163" w:rsidRDefault="00BF6C91" w:rsidP="00AF19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color w:val="000000"/>
                <w:sz w:val="22"/>
                <w:szCs w:val="22"/>
              </w:rPr>
              <w:t>Age</w:t>
            </w:r>
            <w:r w:rsidRPr="009E6163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02D1C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color w:val="000000"/>
                <w:sz w:val="22"/>
                <w:szCs w:val="22"/>
              </w:rPr>
              <w:t>----------------------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2E63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--------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3740B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color w:val="000000"/>
                <w:sz w:val="22"/>
                <w:szCs w:val="22"/>
              </w:rPr>
              <w:t>----------------------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9466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--------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4F50E" w14:textId="5C70F08E" w:rsidR="00BF6C91" w:rsidRPr="009E6163" w:rsidRDefault="00BF6C91" w:rsidP="00AF1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0.00002 (-.00004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, 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-8.95e-06)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F86B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0.001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C1502" w14:textId="7A9181A0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-0.001 (-0.001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, -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0001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DC65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0.004</w:t>
            </w:r>
          </w:p>
        </w:tc>
      </w:tr>
      <w:tr w:rsidR="00BF6C91" w:rsidRPr="00CB2864" w14:paraId="0ADD2FA6" w14:textId="77777777" w:rsidTr="00F5146D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4853" w14:textId="77777777" w:rsidR="00BF6C91" w:rsidRPr="009E6163" w:rsidRDefault="00BF6C91" w:rsidP="00AF19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Sex (Male vs. Female)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281CC" w14:textId="4D07848C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2.237 (-0.199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, 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4.672)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73A7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0.072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3DA4F" w14:textId="6B39B6D0" w:rsidR="00BF6C91" w:rsidRPr="009E6163" w:rsidRDefault="00BF6C91" w:rsidP="00AF1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color w:val="000000"/>
                <w:sz w:val="22"/>
                <w:szCs w:val="22"/>
              </w:rPr>
              <w:t>0.043 (-1.459</w:t>
            </w:r>
            <w:r w:rsidR="00930654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, </w:t>
            </w:r>
            <w:r w:rsidRPr="009E6163">
              <w:rPr>
                <w:rFonts w:ascii="Calibri" w:hAnsi="Calibri" w:cs="Calibri"/>
                <w:color w:val="000000"/>
                <w:sz w:val="22"/>
                <w:szCs w:val="22"/>
              </w:rPr>
              <w:t>1.545)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E04B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0.955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B5DB0" w14:textId="1511C1BE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-0.408 (-0.619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, 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-0.197)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E482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C1236" w14:textId="080A09DD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-9.53 (-15.39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, 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-3.671)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8A4C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0.001</w:t>
            </w:r>
          </w:p>
        </w:tc>
      </w:tr>
      <w:tr w:rsidR="00BF6C91" w:rsidRPr="00CB2864" w14:paraId="0251CAEB" w14:textId="77777777" w:rsidTr="00F5146D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A2F5" w14:textId="77777777" w:rsidR="00BF6C91" w:rsidRPr="009E6163" w:rsidRDefault="00BF6C91" w:rsidP="00AF19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Interaction: Age × Sex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D7EEC" w14:textId="73EF0AB0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-0.451 (-0.589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,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-0.313)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0F7B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DC350" w14:textId="055B9F0F" w:rsidR="00BF6C91" w:rsidRPr="009E6163" w:rsidRDefault="00BF6C91" w:rsidP="00AF1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0.116 (-0.197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, 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-0.035)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C7E7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0.005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3BBDC" w14:textId="039831AB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-0.018 (-0.029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, 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-0.007)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EA0C" w14:textId="780C6478" w:rsidR="00BF6C91" w:rsidRPr="009E6163" w:rsidRDefault="00930654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 w:rsidR="00BF6C91"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.001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1A367" w14:textId="791437FF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-0.523 (-0.825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, 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-0.221)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8679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0.001</w:t>
            </w:r>
          </w:p>
        </w:tc>
      </w:tr>
      <w:tr w:rsidR="00BF6C91" w:rsidRPr="00CB2864" w14:paraId="03182D99" w14:textId="77777777" w:rsidTr="00F5146D">
        <w:tc>
          <w:tcPr>
            <w:tcW w:w="144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4FB2" w14:textId="77777777" w:rsidR="00BF6C91" w:rsidRPr="009E6163" w:rsidRDefault="00BF6C91" w:rsidP="00AF198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Indicators of adiposity</w:t>
            </w:r>
          </w:p>
        </w:tc>
      </w:tr>
      <w:tr w:rsidR="00BF6C91" w:rsidRPr="00CB2864" w14:paraId="380B26ED" w14:textId="77777777" w:rsidTr="00F5146D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E71A" w14:textId="77777777" w:rsidR="00BF6C91" w:rsidRPr="009E6163" w:rsidRDefault="00BF6C91" w:rsidP="00AF198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61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Overweight (Yes vs. 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3A3D8" w14:textId="4AC1A3BA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9.848 (7.391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, 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12.305)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6650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F0AE4" w14:textId="45A471FC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6.392 (4.874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, 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7.911)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A22D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7478E" w14:textId="2B770956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0.354 (0.179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0.530)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D6B2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948C7" w14:textId="180FFAC2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8.831 (4.409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, 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13.253)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B329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&lt;0.001</w:t>
            </w:r>
          </w:p>
        </w:tc>
      </w:tr>
      <w:tr w:rsidR="00BF6C91" w:rsidRPr="00CB2864" w14:paraId="27132183" w14:textId="77777777" w:rsidTr="00F5146D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35D4" w14:textId="77777777" w:rsidR="00BF6C91" w:rsidRPr="009E6163" w:rsidRDefault="00BF6C91" w:rsidP="00AF198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9E61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WHtR</w:t>
            </w:r>
            <w:proofErr w:type="spellEnd"/>
            <w:r w:rsidRPr="009E61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elevated (Yes vs. 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AD6CA" w14:textId="4E0DFAB4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7.118 (3.764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, 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10.472)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D5E1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FF20F" w14:textId="41CFA07B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5.257 (3.127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, 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7.387)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CA58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061D7" w14:textId="129C5780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0.337 (0.207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, 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0.467)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6713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D0204" w14:textId="477D23F1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8.471 (5.342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, 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11.601)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438C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&lt;0.001</w:t>
            </w:r>
          </w:p>
        </w:tc>
      </w:tr>
      <w:tr w:rsidR="00BF6C91" w:rsidRPr="00CB2864" w14:paraId="29FBD76C" w14:textId="77777777" w:rsidTr="00F5146D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554A" w14:textId="77777777" w:rsidR="00BF6C91" w:rsidRPr="009E6163" w:rsidRDefault="00BF6C91" w:rsidP="00AF19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Abdominal obesity </w:t>
            </w:r>
            <w:r w:rsidRPr="009E61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(Yes vs. 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9C24A" w14:textId="7A3075BA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9.44 (7.114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, 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11.766)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5285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D96A7" w14:textId="27CED7A9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6.551 (4.934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, 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8.169)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5271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CA7B9" w14:textId="2DF37424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0.441 (0.259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, 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0.623)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228D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9337F" w14:textId="74650A40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10.399 (6.03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, 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14.767)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526D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&lt;0.001</w:t>
            </w:r>
          </w:p>
        </w:tc>
      </w:tr>
      <w:tr w:rsidR="00BF6C91" w:rsidRPr="00CB2864" w14:paraId="64F39FCF" w14:textId="77777777" w:rsidTr="00F5146D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0A13" w14:textId="77777777" w:rsidR="00BF6C91" w:rsidRPr="009E6163" w:rsidRDefault="00BF6C91" w:rsidP="00AF198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61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Increased body fat (Yes vs. 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34B74" w14:textId="2AC29E40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7.884 (0.732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, 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15.036)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5EBC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0.031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9119C" w14:textId="4C6C8AE2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5.372 (1.662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, 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9.081)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57A2B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0.005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CA99A" w14:textId="601D4ACF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0.369 (0.121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, 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0.618)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3497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0.004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54ECF" w14:textId="16DA13A6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11.903 (5.991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, 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17.815)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3FC0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&lt;0.001</w:t>
            </w:r>
          </w:p>
        </w:tc>
      </w:tr>
      <w:tr w:rsidR="00BF6C91" w:rsidRPr="00CB2864" w14:paraId="676A7529" w14:textId="77777777" w:rsidTr="00F5146D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BA16" w14:textId="77777777" w:rsidR="00BF6C91" w:rsidRPr="009E6163" w:rsidRDefault="00BF6C91" w:rsidP="00AF198D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E61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High VAI (Yes vs. 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DE1CB" w14:textId="341D2005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4.047 (1.333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, 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6.762)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EFB4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0.004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7A6C1" w14:textId="670085B3" w:rsidR="00BF6C91" w:rsidRPr="009E6163" w:rsidRDefault="00BF6C91" w:rsidP="00AF1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color w:val="000000"/>
                <w:sz w:val="22"/>
                <w:szCs w:val="22"/>
              </w:rPr>
              <w:t>1.613 (-0.113</w:t>
            </w:r>
            <w:r w:rsidR="00930654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, </w:t>
            </w:r>
            <w:r w:rsidRPr="009E6163">
              <w:rPr>
                <w:rFonts w:ascii="Calibri" w:hAnsi="Calibri" w:cs="Calibri"/>
                <w:color w:val="000000"/>
                <w:sz w:val="22"/>
                <w:szCs w:val="22"/>
              </w:rPr>
              <w:t>3.338)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1632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18570" w14:textId="7497AE09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0.411 (0.228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, 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0.593)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C42D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&lt;0.001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AA572" w14:textId="55E6527C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11.365 (6.651</w:t>
            </w:r>
            <w:r w:rsidR="009306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, </w:t>
            </w: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16.079)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01F8" w14:textId="77777777" w:rsidR="00BF6C91" w:rsidRPr="009E6163" w:rsidRDefault="00BF6C91" w:rsidP="00AF19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1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&lt;0.001</w:t>
            </w:r>
          </w:p>
        </w:tc>
      </w:tr>
    </w:tbl>
    <w:p w14:paraId="7A1D9F93" w14:textId="77777777" w:rsidR="00BF6C91" w:rsidRDefault="00BF6C91" w:rsidP="00BF6C91">
      <w:pPr>
        <w:spacing w:line="480" w:lineRule="auto"/>
        <w:rPr>
          <w:rFonts w:cstheme="minorHAnsi"/>
          <w:lang w:val="en-US"/>
        </w:rPr>
        <w:sectPr w:rsidR="00BF6C91" w:rsidSect="00F5146D">
          <w:type w:val="continuous"/>
          <w:pgSz w:w="15840" w:h="12240" w:orient="landscape" w:code="1"/>
          <w:pgMar w:top="720" w:right="0" w:bottom="720" w:left="720" w:header="720" w:footer="720" w:gutter="0"/>
          <w:cols w:space="708"/>
          <w:docGrid w:linePitch="360"/>
        </w:sectPr>
      </w:pPr>
    </w:p>
    <w:p w14:paraId="5D7FCA01" w14:textId="77777777" w:rsidR="00BF6C91" w:rsidRPr="009E6163" w:rsidRDefault="00BF6C91" w:rsidP="00BF6C91">
      <w:pPr>
        <w:rPr>
          <w:rFonts w:cstheme="minorHAnsi"/>
          <w:lang w:val="en-US"/>
        </w:rPr>
      </w:pPr>
      <w:r w:rsidRPr="009E6163">
        <w:rPr>
          <w:rFonts w:cstheme="minorHAnsi"/>
          <w:lang w:val="en-US"/>
        </w:rPr>
        <w:t xml:space="preserve">Estimates and 95% confidence intervals (CI) were derived from linear regression analyses and </w:t>
      </w:r>
      <w:r w:rsidRPr="009E6163">
        <w:rPr>
          <w:rFonts w:cstheme="minorHAnsi"/>
          <w:lang w:val="en-GB"/>
        </w:rPr>
        <w:t>accounting for household and community clustering and weighted for population structure</w:t>
      </w:r>
      <w:r w:rsidRPr="009E6163">
        <w:rPr>
          <w:rFonts w:cstheme="minorHAnsi"/>
          <w:lang w:val="en-US"/>
        </w:rPr>
        <w:t xml:space="preserve">. </w:t>
      </w:r>
      <w:r w:rsidRPr="009E6163">
        <w:rPr>
          <w:rFonts w:cstheme="minorHAnsi"/>
          <w:lang w:val="en-GB"/>
        </w:rPr>
        <w:t xml:space="preserve">Associations, </w:t>
      </w:r>
      <w:proofErr w:type="gramStart"/>
      <w:r w:rsidRPr="009E6163">
        <w:rPr>
          <w:rFonts w:cstheme="minorHAnsi"/>
          <w:lang w:val="en-GB"/>
        </w:rPr>
        <w:t>i.e.</w:t>
      </w:r>
      <w:proofErr w:type="gramEnd"/>
      <w:r w:rsidRPr="009E6163">
        <w:rPr>
          <w:rFonts w:cstheme="minorHAnsi"/>
          <w:lang w:val="en-GB"/>
        </w:rPr>
        <w:t xml:space="preserve"> the adjusted mean differences between groups defined by</w:t>
      </w:r>
      <w:r w:rsidRPr="009E6163">
        <w:rPr>
          <w:rFonts w:cstheme="minorHAnsi"/>
          <w:lang w:val="en-US"/>
        </w:rPr>
        <w:t xml:space="preserve"> indicators of adiposity were adjusted for the sociodemographic variables shown in the Table (including age and age</w:t>
      </w:r>
      <w:r w:rsidRPr="009E6163">
        <w:rPr>
          <w:rFonts w:cstheme="minorHAnsi"/>
          <w:vertAlign w:val="superscript"/>
          <w:lang w:val="en-US"/>
        </w:rPr>
        <w:t>2</w:t>
      </w:r>
      <w:r w:rsidRPr="009E6163">
        <w:rPr>
          <w:rFonts w:cstheme="minorHAnsi"/>
          <w:lang w:val="en-US"/>
        </w:rPr>
        <w:t xml:space="preserve"> [all outcomes], age</w:t>
      </w:r>
      <w:r w:rsidRPr="009E6163">
        <w:rPr>
          <w:rFonts w:cstheme="minorHAnsi"/>
          <w:vertAlign w:val="superscript"/>
          <w:lang w:val="en-US"/>
        </w:rPr>
        <w:t>3</w:t>
      </w:r>
      <w:r w:rsidRPr="009E6163">
        <w:rPr>
          <w:rFonts w:cstheme="minorHAnsi"/>
          <w:lang w:val="en-US"/>
        </w:rPr>
        <w:t xml:space="preserve"> [HbA1c and fasting glucose], sex [all outcomes], and the interaction between age and sex [all outcomes]). Abbreviations: BP – blood pressure; </w:t>
      </w:r>
      <w:proofErr w:type="spellStart"/>
      <w:r w:rsidRPr="009E6163">
        <w:rPr>
          <w:rFonts w:cstheme="minorHAnsi"/>
          <w:lang w:val="en-US"/>
        </w:rPr>
        <w:t>WHtR</w:t>
      </w:r>
      <w:proofErr w:type="spellEnd"/>
      <w:r w:rsidRPr="009E6163">
        <w:rPr>
          <w:rFonts w:cstheme="minorHAnsi"/>
          <w:lang w:val="en-US"/>
        </w:rPr>
        <w:t xml:space="preserve"> – waist-to-height ratio; VAI – Visceral adiposity index.</w:t>
      </w:r>
    </w:p>
    <w:p w14:paraId="0A756F18" w14:textId="77777777" w:rsidR="00BF6C91" w:rsidRPr="00254A99" w:rsidRDefault="00BF6C91" w:rsidP="00BF6C91">
      <w:pPr>
        <w:rPr>
          <w:rFonts w:cstheme="minorHAnsi"/>
          <w:lang w:val="en-US"/>
        </w:rPr>
      </w:pPr>
      <w:r w:rsidRPr="009E6163">
        <w:rPr>
          <w:rFonts w:cstheme="minorHAnsi"/>
          <w:lang w:val="en-US"/>
        </w:rPr>
        <w:t xml:space="preserve">Definitions for indicators of adiposity: </w:t>
      </w:r>
      <w:r w:rsidRPr="009E6163">
        <w:rPr>
          <w:rFonts w:cstheme="minorHAnsi"/>
          <w:color w:val="000000"/>
          <w:lang w:val="en-US"/>
        </w:rPr>
        <w:t>Overweight</w:t>
      </w:r>
      <w:r w:rsidRPr="009E6163">
        <w:rPr>
          <w:rFonts w:cstheme="minorHAnsi"/>
          <w:lang w:val="en-US"/>
        </w:rPr>
        <w:t xml:space="preserve"> (BMI≥25); abdominal obesity (waist circumference of ≥94 cm in men and ≥88 cm in women); increased body fat (men (≥25%, women (≥30%); </w:t>
      </w:r>
      <w:proofErr w:type="spellStart"/>
      <w:r w:rsidRPr="009E6163">
        <w:rPr>
          <w:rFonts w:cstheme="minorHAnsi"/>
          <w:lang w:val="en-US"/>
        </w:rPr>
        <w:t>WHtR</w:t>
      </w:r>
      <w:proofErr w:type="spellEnd"/>
      <w:r w:rsidRPr="009E6163">
        <w:rPr>
          <w:rFonts w:cstheme="minorHAnsi"/>
          <w:lang w:val="en-US"/>
        </w:rPr>
        <w:t xml:space="preserve"> (≥0.5); elevated VAI (age &lt;30 – VAI &gt;2.52; age ≥30 &amp; &lt;42 – VAI &gt; 2.23; age ≥42 &amp; &lt;52 – VAI &gt;1.92; age ≥52 &amp; &lt;66 – VAI &gt; 1.93; age ≥66 – VAI &gt; 2). Missing data: increased fat (205). </w:t>
      </w:r>
    </w:p>
    <w:p w14:paraId="5633A051" w14:textId="77777777" w:rsidR="00BF6C91" w:rsidRDefault="00BF6C91" w:rsidP="00BF6C91">
      <w:pPr>
        <w:spacing w:line="480" w:lineRule="auto"/>
        <w:rPr>
          <w:rFonts w:cstheme="minorHAnsi"/>
          <w:b/>
          <w:bCs/>
          <w:lang w:val="en-US"/>
        </w:rPr>
      </w:pPr>
    </w:p>
    <w:p w14:paraId="4E4EBCC9" w14:textId="77777777" w:rsidR="00E622C3" w:rsidRDefault="00E622C3"/>
    <w:sectPr w:rsidR="00E622C3" w:rsidSect="00F5146D">
      <w:type w:val="continuous"/>
      <w:pgSz w:w="15840" w:h="12240" w:orient="landscape" w:code="1"/>
      <w:pgMar w:top="720" w:right="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91"/>
    <w:rsid w:val="00130025"/>
    <w:rsid w:val="007E55B0"/>
    <w:rsid w:val="00930654"/>
    <w:rsid w:val="00BF6C91"/>
    <w:rsid w:val="00C53122"/>
    <w:rsid w:val="00E622C3"/>
    <w:rsid w:val="00F5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BC0EAA"/>
  <w15:chartTrackingRefBased/>
  <w15:docId w15:val="{D1B8E3CE-1BF8-A040-AB56-E6F0D3A8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F6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Cooper</dc:creator>
  <cp:keywords/>
  <dc:description/>
  <cp:lastModifiedBy>Philip Cooper</cp:lastModifiedBy>
  <cp:revision>4</cp:revision>
  <dcterms:created xsi:type="dcterms:W3CDTF">2024-05-16T12:06:00Z</dcterms:created>
  <dcterms:modified xsi:type="dcterms:W3CDTF">2024-06-17T12:52:00Z</dcterms:modified>
</cp:coreProperties>
</file>