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6ACA" w14:textId="089568A1" w:rsidR="003E41E7" w:rsidRDefault="003E41E7" w:rsidP="007B5EC2">
      <w:pPr>
        <w:ind w:left="360" w:hanging="360"/>
        <w:rPr>
          <w:u w:val="single"/>
        </w:rPr>
      </w:pPr>
      <w:r>
        <w:rPr>
          <w:u w:val="single"/>
        </w:rPr>
        <w:t>Supplementary Appendix</w:t>
      </w:r>
    </w:p>
    <w:p w14:paraId="539E24F7" w14:textId="7BACE927" w:rsidR="00DA5F19" w:rsidRPr="00DA5F19" w:rsidRDefault="00DA5F19" w:rsidP="007B5EC2">
      <w:pPr>
        <w:ind w:left="360" w:hanging="360"/>
        <w:rPr>
          <w:b/>
          <w:bCs w:val="0"/>
          <w:i/>
          <w:iCs/>
        </w:rPr>
      </w:pPr>
      <w:r>
        <w:rPr>
          <w:b/>
          <w:bCs w:val="0"/>
          <w:i/>
          <w:iCs/>
        </w:rPr>
        <w:tab/>
        <w:t>Inclusion Criteria:</w:t>
      </w:r>
    </w:p>
    <w:p w14:paraId="54236A76" w14:textId="7839EBA9" w:rsidR="007B5EC2" w:rsidRPr="001324B2" w:rsidRDefault="007B5EC2" w:rsidP="007B5EC2">
      <w:pPr>
        <w:ind w:left="360" w:hanging="360"/>
      </w:pPr>
      <w:r>
        <w:t xml:space="preserve">1. </w:t>
      </w:r>
      <w:r>
        <w:tab/>
        <w:t xml:space="preserve">a) </w:t>
      </w:r>
      <w:r w:rsidRPr="00904B66">
        <w:t xml:space="preserve">Patients </w:t>
      </w:r>
      <w:r w:rsidRPr="002D5F07">
        <w:t xml:space="preserve">with </w:t>
      </w:r>
      <w:r>
        <w:t xml:space="preserve">STEMI referred for PCI within </w:t>
      </w:r>
      <w:r w:rsidRPr="001324B2">
        <w:t xml:space="preserve">12 hours of symptom onset, have a culprit lesion amenable to stenting, and </w:t>
      </w:r>
      <w:r w:rsidRPr="001324B2">
        <w:rPr>
          <w:u w:val="single"/>
        </w:rPr>
        <w:t>with</w:t>
      </w:r>
      <w:r w:rsidRPr="001324B2">
        <w:t xml:space="preserve"> planned SYNERGY stent implantation for SYNERGY registry </w:t>
      </w:r>
    </w:p>
    <w:p w14:paraId="31EE9CF5" w14:textId="2D4C09EF" w:rsidR="007B5EC2" w:rsidRPr="001324B2" w:rsidRDefault="007B5EC2" w:rsidP="007B5EC2">
      <w:pPr>
        <w:ind w:left="360" w:hanging="360"/>
      </w:pPr>
      <w:r w:rsidRPr="001324B2">
        <w:t>2.</w:t>
      </w:r>
      <w:r w:rsidRPr="001324B2">
        <w:tab/>
        <w:t xml:space="preserve">Able to be randomized within </w:t>
      </w:r>
      <w:r w:rsidR="003E41E7">
        <w:t>72</w:t>
      </w:r>
      <w:r w:rsidRPr="001324B2">
        <w:t xml:space="preserve"> hours of index PCI and during initial hospitalization (however patients should be randomized as soon as possible after PCI)</w:t>
      </w:r>
      <w:r>
        <w:t>*</w:t>
      </w:r>
    </w:p>
    <w:p w14:paraId="6B2A5A18" w14:textId="77777777" w:rsidR="007B5EC2" w:rsidRDefault="007B5EC2" w:rsidP="007B5EC2">
      <w:pPr>
        <w:ind w:left="360" w:hanging="360"/>
      </w:pPr>
      <w:r>
        <w:t>3.</w:t>
      </w:r>
      <w:r>
        <w:tab/>
      </w:r>
      <w:r w:rsidRPr="00904B66">
        <w:t xml:space="preserve">Written </w:t>
      </w:r>
      <w:r>
        <w:t>i</w:t>
      </w:r>
      <w:r w:rsidRPr="00904B66">
        <w:t>nformed consent</w:t>
      </w:r>
      <w:bookmarkStart w:id="0" w:name="_Toc471983740"/>
      <w:bookmarkStart w:id="1" w:name="_Toc472063464"/>
      <w:bookmarkStart w:id="2" w:name="_Toc472070550"/>
      <w:bookmarkStart w:id="3" w:name="_Toc474845350"/>
      <w:bookmarkStart w:id="4" w:name="_Toc474845492"/>
      <w:bookmarkStart w:id="5" w:name="_Toc474845633"/>
      <w:bookmarkStart w:id="6" w:name="_Toc474845774"/>
      <w:bookmarkStart w:id="7" w:name="_Toc474845914"/>
      <w:bookmarkStart w:id="8" w:name="_Toc474846055"/>
      <w:bookmarkStart w:id="9" w:name="_Toc474846196"/>
      <w:bookmarkStart w:id="10" w:name="_Toc474846335"/>
      <w:bookmarkStart w:id="11" w:name="_Toc4748464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700D044" w14:textId="08DD7F59" w:rsidR="007B5EC2" w:rsidRPr="00DA5F19" w:rsidRDefault="00DA5F19" w:rsidP="00DA5F19">
      <w:pPr>
        <w:ind w:left="360"/>
        <w:rPr>
          <w:b/>
          <w:bCs w:val="0"/>
          <w:i/>
          <w:iCs/>
        </w:rPr>
      </w:pPr>
      <w:r>
        <w:rPr>
          <w:b/>
          <w:bCs w:val="0"/>
          <w:i/>
          <w:iCs/>
        </w:rPr>
        <w:t>Exclusion Criteria:</w:t>
      </w:r>
    </w:p>
    <w:p w14:paraId="5542AB07" w14:textId="77777777" w:rsidR="007B5EC2" w:rsidRDefault="007B5EC2" w:rsidP="007B5EC2">
      <w:pPr>
        <w:numPr>
          <w:ilvl w:val="0"/>
          <w:numId w:val="2"/>
        </w:numPr>
        <w:spacing w:after="0"/>
      </w:pPr>
      <w:r>
        <w:t>Age ≤18 years</w:t>
      </w:r>
    </w:p>
    <w:p w14:paraId="79A7FBB7" w14:textId="77777777" w:rsidR="007B5EC2" w:rsidRDefault="007B5EC2" w:rsidP="007B5EC2">
      <w:pPr>
        <w:numPr>
          <w:ilvl w:val="0"/>
          <w:numId w:val="2"/>
        </w:numPr>
        <w:spacing w:after="0"/>
      </w:pPr>
      <w:r>
        <w:t xml:space="preserve">Pregnancy, breastfeeding, or women of childbearing potential who are not using an effective method of </w:t>
      </w:r>
      <w:proofErr w:type="gramStart"/>
      <w:r>
        <w:t>contraception</w:t>
      </w:r>
      <w:proofErr w:type="gramEnd"/>
    </w:p>
    <w:p w14:paraId="3C7082F5" w14:textId="77777777" w:rsidR="007B5EC2" w:rsidRDefault="007B5EC2" w:rsidP="007B5EC2">
      <w:pPr>
        <w:numPr>
          <w:ilvl w:val="0"/>
          <w:numId w:val="2"/>
        </w:numPr>
        <w:spacing w:after="0"/>
      </w:pPr>
      <w:r>
        <w:t xml:space="preserve">Any medical, geographic, or social factor making study participation impractical or precluding required </w:t>
      </w:r>
      <w:proofErr w:type="gramStart"/>
      <w:r>
        <w:t>follow-up</w:t>
      </w:r>
      <w:proofErr w:type="gramEnd"/>
    </w:p>
    <w:p w14:paraId="435CC500" w14:textId="77777777" w:rsidR="007B5EC2" w:rsidRDefault="007B5EC2" w:rsidP="007B5EC2">
      <w:pPr>
        <w:numPr>
          <w:ilvl w:val="0"/>
          <w:numId w:val="2"/>
        </w:numPr>
        <w:spacing w:after="0"/>
      </w:pPr>
      <w:r>
        <w:t>Systolic blood pressure &lt;90 mm Hg</w:t>
      </w:r>
    </w:p>
    <w:p w14:paraId="58FE5C3A" w14:textId="77777777" w:rsidR="007B5EC2" w:rsidRDefault="007B5EC2" w:rsidP="007B5EC2">
      <w:pPr>
        <w:numPr>
          <w:ilvl w:val="0"/>
          <w:numId w:val="2"/>
        </w:numPr>
        <w:spacing w:after="0"/>
      </w:pPr>
      <w:r>
        <w:t>Active diarrhea</w:t>
      </w:r>
    </w:p>
    <w:p w14:paraId="312504FF" w14:textId="77777777" w:rsidR="007B5EC2" w:rsidRDefault="007B5EC2" w:rsidP="007B5EC2">
      <w:pPr>
        <w:numPr>
          <w:ilvl w:val="0"/>
          <w:numId w:val="2"/>
        </w:numPr>
        <w:spacing w:after="0"/>
      </w:pPr>
      <w:r>
        <w:t xml:space="preserve">Known allergy or contraindication to </w:t>
      </w:r>
      <w:proofErr w:type="spellStart"/>
      <w:r>
        <w:t>everolimus</w:t>
      </w:r>
      <w:proofErr w:type="spellEnd"/>
      <w:r>
        <w:t xml:space="preserve">, the SYNERGY stent or any of its </w:t>
      </w:r>
      <w:proofErr w:type="gramStart"/>
      <w:r>
        <w:t>components</w:t>
      </w:r>
      <w:proofErr w:type="gramEnd"/>
    </w:p>
    <w:p w14:paraId="743D8200" w14:textId="77777777" w:rsidR="007B5EC2" w:rsidRDefault="007B5EC2" w:rsidP="007B5EC2">
      <w:pPr>
        <w:numPr>
          <w:ilvl w:val="0"/>
          <w:numId w:val="2"/>
        </w:numPr>
        <w:spacing w:after="0"/>
      </w:pPr>
      <w:r>
        <w:t xml:space="preserve">Unable to receive dual antiplatelet </w:t>
      </w:r>
      <w:proofErr w:type="gramStart"/>
      <w:r>
        <w:t>therapy</w:t>
      </w:r>
      <w:proofErr w:type="gramEnd"/>
    </w:p>
    <w:p w14:paraId="76B13242" w14:textId="77777777" w:rsidR="007B5EC2" w:rsidRDefault="007B5EC2" w:rsidP="007B5EC2">
      <w:pPr>
        <w:numPr>
          <w:ilvl w:val="0"/>
          <w:numId w:val="2"/>
        </w:numPr>
        <w:spacing w:after="0"/>
      </w:pPr>
      <w:r>
        <w:t xml:space="preserve">Any contraindication or known intolerance to colchicine or </w:t>
      </w:r>
      <w:proofErr w:type="gramStart"/>
      <w:r>
        <w:t>spironolactone</w:t>
      </w:r>
      <w:proofErr w:type="gramEnd"/>
    </w:p>
    <w:p w14:paraId="06E1FC5A" w14:textId="77777777" w:rsidR="007B5EC2" w:rsidRDefault="007B5EC2" w:rsidP="007B5EC2">
      <w:pPr>
        <w:numPr>
          <w:ilvl w:val="0"/>
          <w:numId w:val="2"/>
        </w:numPr>
        <w:spacing w:after="0"/>
      </w:pPr>
      <w:r>
        <w:t xml:space="preserve">Requirement for colchicine or mineralocorticoid antagonist for another indication </w:t>
      </w:r>
    </w:p>
    <w:p w14:paraId="269AAB3D" w14:textId="77777777" w:rsidR="007B5EC2" w:rsidRDefault="007B5EC2" w:rsidP="007B5EC2">
      <w:pPr>
        <w:numPr>
          <w:ilvl w:val="0"/>
          <w:numId w:val="2"/>
        </w:numPr>
        <w:spacing w:after="0"/>
      </w:pPr>
      <w:r>
        <w:t>History of cirrhosis or current severe hepatic disease</w:t>
      </w:r>
    </w:p>
    <w:p w14:paraId="16A812E3" w14:textId="77777777" w:rsidR="007B5EC2" w:rsidRDefault="007B5EC2" w:rsidP="007B5EC2">
      <w:pPr>
        <w:numPr>
          <w:ilvl w:val="0"/>
          <w:numId w:val="2"/>
        </w:numPr>
        <w:spacing w:after="0"/>
      </w:pPr>
      <w:r>
        <w:t xml:space="preserve">Current or planned use of any </w:t>
      </w:r>
      <w:proofErr w:type="gramStart"/>
      <w:r>
        <w:t>of:</w:t>
      </w:r>
      <w:proofErr w:type="gramEnd"/>
      <w:r>
        <w:t xml:space="preserve"> cyclosporine, verapamil, HIV protease inhibitors, azole antifungals, or macrolide antibiotics</w:t>
      </w:r>
    </w:p>
    <w:p w14:paraId="48E94C21" w14:textId="77777777" w:rsidR="007B5EC2" w:rsidRDefault="007B5EC2" w:rsidP="007B5EC2">
      <w:pPr>
        <w:numPr>
          <w:ilvl w:val="0"/>
          <w:numId w:val="2"/>
        </w:numPr>
        <w:spacing w:after="0"/>
      </w:pPr>
      <w:r>
        <w:t>Creatinine clearance &lt;30 mL/min/1.73 m</w:t>
      </w:r>
      <w:r>
        <w:rPr>
          <w:vertAlign w:val="superscript"/>
        </w:rPr>
        <w:t>2</w:t>
      </w:r>
      <w:r>
        <w:t xml:space="preserve"> </w:t>
      </w:r>
    </w:p>
    <w:p w14:paraId="391A7AA3" w14:textId="77777777" w:rsidR="007B5EC2" w:rsidRDefault="007B5EC2" w:rsidP="007B5EC2">
      <w:pPr>
        <w:numPr>
          <w:ilvl w:val="0"/>
          <w:numId w:val="2"/>
        </w:numPr>
        <w:spacing w:after="0"/>
      </w:pPr>
      <w:r>
        <w:t xml:space="preserve">Serum Potassium &gt;5.0 </w:t>
      </w:r>
      <w:proofErr w:type="spellStart"/>
      <w:r>
        <w:t>meq</w:t>
      </w:r>
      <w:proofErr w:type="spellEnd"/>
      <w:r>
        <w:t>/L</w:t>
      </w:r>
    </w:p>
    <w:p w14:paraId="08C1A82C" w14:textId="77777777" w:rsidR="005F639D" w:rsidRDefault="005F639D"/>
    <w:p w14:paraId="161DC0A2" w14:textId="77777777" w:rsidR="007B5EC2" w:rsidRDefault="007B5EC2"/>
    <w:p w14:paraId="7847348D" w14:textId="77777777" w:rsidR="00DA5F19" w:rsidRDefault="00DA5F19" w:rsidP="00DA5F19">
      <w:pPr>
        <w:rPr>
          <w:i/>
          <w:iCs/>
        </w:rPr>
      </w:pPr>
      <w:r>
        <w:t>*</w:t>
      </w:r>
      <w:r>
        <w:rPr>
          <w:i/>
          <w:iCs/>
        </w:rPr>
        <w:t xml:space="preserve">For patients who were also enrolled in the CLEAR 2x2 factorial randomized placebo-controlled trial of colchicine and spironolactone. </w:t>
      </w:r>
    </w:p>
    <w:p w14:paraId="4EF71757" w14:textId="77777777" w:rsidR="00DA5F19" w:rsidRPr="007B5EC2" w:rsidRDefault="00DA5F19"/>
    <w:sectPr w:rsidR="00DA5F19" w:rsidRPr="007B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65FBC"/>
    <w:multiLevelType w:val="multilevel"/>
    <w:tmpl w:val="4064C10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EE533A"/>
    <w:multiLevelType w:val="hybridMultilevel"/>
    <w:tmpl w:val="2F005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757036">
    <w:abstractNumId w:val="0"/>
  </w:num>
  <w:num w:numId="2" w16cid:durableId="141532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2"/>
    <w:rsid w:val="00010AEB"/>
    <w:rsid w:val="002736C4"/>
    <w:rsid w:val="003E41E7"/>
    <w:rsid w:val="0040084C"/>
    <w:rsid w:val="005F639D"/>
    <w:rsid w:val="00791F08"/>
    <w:rsid w:val="007B5EC2"/>
    <w:rsid w:val="00BC793D"/>
    <w:rsid w:val="00D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8B8B"/>
  <w15:chartTrackingRefBased/>
  <w15:docId w15:val="{5BDBFE15-A953-4DDC-ACA6-CC94A3D9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2"/>
    <w:pPr>
      <w:spacing w:after="200"/>
    </w:pPr>
    <w:rPr>
      <w:rFonts w:ascii="Times New Roman" w:hAnsi="Times New Roman" w:cs="Times New Roman"/>
      <w:bCs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B5EC2"/>
    <w:pPr>
      <w:keepNext/>
      <w:keepLines/>
      <w:numPr>
        <w:numId w:val="1"/>
      </w:numPr>
      <w:spacing w:before="240" w:after="240" w:line="240" w:lineRule="auto"/>
      <w:outlineLvl w:val="0"/>
    </w:pPr>
    <w:rPr>
      <w:rFonts w:asciiTheme="minorHAnsi" w:eastAsiaTheme="majorEastAsia" w:hAnsiTheme="minorHAnsi"/>
      <w:b/>
      <w:cap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EC2"/>
    <w:rPr>
      <w:rFonts w:eastAsiaTheme="majorEastAsia" w:cs="Times New Roman"/>
      <w:b/>
      <w:bCs/>
      <w:caps/>
      <w:kern w:val="0"/>
      <w:sz w:val="24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PHRI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Skuriat, Elizabeth</dc:creator>
  <cp:keywords/>
  <dc:description/>
  <cp:lastModifiedBy>Jolly, Sanjit</cp:lastModifiedBy>
  <cp:revision>2</cp:revision>
  <dcterms:created xsi:type="dcterms:W3CDTF">2024-02-27T13:30:00Z</dcterms:created>
  <dcterms:modified xsi:type="dcterms:W3CDTF">2024-02-27T13:30:00Z</dcterms:modified>
</cp:coreProperties>
</file>