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F128" w14:textId="27C1E8D2" w:rsidR="00C907B2" w:rsidRPr="003D3CF9" w:rsidRDefault="00F91E3B" w:rsidP="00462106">
      <w:pPr>
        <w:pStyle w:val="NoSpacing"/>
        <w:rPr>
          <w:rFonts w:ascii="Times New Roman" w:hAnsi="Times New Roman" w:cs="Times New Roman"/>
          <w:b/>
          <w:bCs/>
          <w:color w:val="000000" w:themeColor="text1"/>
          <w:lang w:val="en-US"/>
        </w:rPr>
      </w:pPr>
      <w:r w:rsidRPr="003D3CF9">
        <w:rPr>
          <w:rFonts w:ascii="Times New Roman" w:hAnsi="Times New Roman" w:cs="Times New Roman"/>
          <w:b/>
          <w:bCs/>
          <w:color w:val="000000" w:themeColor="text1"/>
          <w:lang w:val="en-US"/>
        </w:rPr>
        <w:t>Electrophysiological Characterization of Subclinical and Overt Hypertrophic Cardiomyopathy by Magnetic Resonance Imaging-Guided Electrocardiography</w:t>
      </w:r>
    </w:p>
    <w:p w14:paraId="02A89AA7" w14:textId="77777777" w:rsidR="00F91E3B" w:rsidRPr="003D3CF9" w:rsidRDefault="00F91E3B" w:rsidP="00462106">
      <w:pPr>
        <w:pStyle w:val="NoSpacing"/>
        <w:rPr>
          <w:rFonts w:ascii="Times New Roman" w:hAnsi="Times New Roman" w:cs="Times New Roman"/>
          <w:b/>
          <w:bCs/>
          <w:lang w:val="en-US"/>
        </w:rPr>
      </w:pPr>
    </w:p>
    <w:p w14:paraId="042F25A8" w14:textId="25C99D8F" w:rsidR="008B4B78" w:rsidRPr="003D3CF9" w:rsidRDefault="008B4B78"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Supplementa</w:t>
      </w:r>
      <w:r w:rsidR="002E571D">
        <w:rPr>
          <w:rFonts w:ascii="Times New Roman" w:hAnsi="Times New Roman" w:cs="Times New Roman"/>
          <w:b/>
          <w:bCs/>
          <w:lang w:val="en-US"/>
        </w:rPr>
        <w:t>l</w:t>
      </w:r>
      <w:r w:rsidRPr="003D3CF9">
        <w:rPr>
          <w:rFonts w:ascii="Times New Roman" w:hAnsi="Times New Roman" w:cs="Times New Roman"/>
          <w:b/>
          <w:bCs/>
          <w:lang w:val="en-US"/>
        </w:rPr>
        <w:t xml:space="preserve"> Statistical Methods: </w:t>
      </w:r>
      <w:r w:rsidRPr="003D3CF9">
        <w:rPr>
          <w:rFonts w:ascii="Times New Roman" w:hAnsi="Times New Roman" w:cs="Times New Roman"/>
          <w:lang w:val="en-US"/>
        </w:rPr>
        <w:t>p1</w:t>
      </w:r>
    </w:p>
    <w:p w14:paraId="17C804E2" w14:textId="13AFC770" w:rsidR="008B4B78" w:rsidRPr="003D3CF9" w:rsidRDefault="008B4B78"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Supplementa</w:t>
      </w:r>
      <w:r w:rsidR="002E571D">
        <w:rPr>
          <w:rFonts w:ascii="Times New Roman" w:hAnsi="Times New Roman" w:cs="Times New Roman"/>
          <w:b/>
          <w:bCs/>
          <w:lang w:val="en-US"/>
        </w:rPr>
        <w:t>l</w:t>
      </w:r>
      <w:r w:rsidRPr="003D3CF9">
        <w:rPr>
          <w:rFonts w:ascii="Times New Roman" w:hAnsi="Times New Roman" w:cs="Times New Roman"/>
          <w:b/>
          <w:bCs/>
          <w:lang w:val="en-US"/>
        </w:rPr>
        <w:t xml:space="preserve"> Results: </w:t>
      </w:r>
      <w:r w:rsidRPr="003D3CF9">
        <w:rPr>
          <w:rFonts w:ascii="Times New Roman" w:hAnsi="Times New Roman" w:cs="Times New Roman"/>
          <w:lang w:val="en-US"/>
        </w:rPr>
        <w:t>p1</w:t>
      </w:r>
      <w:r w:rsidR="0010737D" w:rsidRPr="003D3CF9">
        <w:rPr>
          <w:rFonts w:ascii="Times New Roman" w:hAnsi="Times New Roman" w:cs="Times New Roman"/>
          <w:lang w:val="en-US"/>
        </w:rPr>
        <w:t>-3</w:t>
      </w:r>
    </w:p>
    <w:p w14:paraId="5932382F" w14:textId="51E97BA6" w:rsidR="008B4B78" w:rsidRPr="003D3CF9" w:rsidRDefault="008B4B78"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Supplementa</w:t>
      </w:r>
      <w:r w:rsidR="002E571D">
        <w:rPr>
          <w:rFonts w:ascii="Times New Roman" w:hAnsi="Times New Roman" w:cs="Times New Roman"/>
          <w:b/>
          <w:bCs/>
          <w:lang w:val="en-US"/>
        </w:rPr>
        <w:t>l</w:t>
      </w:r>
      <w:r w:rsidRPr="003D3CF9">
        <w:rPr>
          <w:rFonts w:ascii="Times New Roman" w:hAnsi="Times New Roman" w:cs="Times New Roman"/>
          <w:b/>
          <w:bCs/>
          <w:lang w:val="en-US"/>
        </w:rPr>
        <w:t xml:space="preserve"> Table 1: </w:t>
      </w:r>
      <w:r w:rsidRPr="003D3CF9">
        <w:rPr>
          <w:rFonts w:ascii="Times New Roman" w:hAnsi="Times New Roman" w:cs="Times New Roman"/>
          <w:lang w:val="en-US"/>
        </w:rPr>
        <w:t>p</w:t>
      </w:r>
      <w:r w:rsidR="0010737D" w:rsidRPr="003D3CF9">
        <w:rPr>
          <w:rFonts w:ascii="Times New Roman" w:hAnsi="Times New Roman" w:cs="Times New Roman"/>
          <w:lang w:val="en-US"/>
        </w:rPr>
        <w:t>4</w:t>
      </w:r>
    </w:p>
    <w:p w14:paraId="3800A598" w14:textId="6AA20EDB" w:rsidR="008B4B78" w:rsidRPr="003D3CF9" w:rsidRDefault="008B4B78"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Supplementa</w:t>
      </w:r>
      <w:r w:rsidR="002E571D">
        <w:rPr>
          <w:rFonts w:ascii="Times New Roman" w:hAnsi="Times New Roman" w:cs="Times New Roman"/>
          <w:b/>
          <w:bCs/>
          <w:lang w:val="en-US"/>
        </w:rPr>
        <w:t>l</w:t>
      </w:r>
      <w:r w:rsidRPr="003D3CF9">
        <w:rPr>
          <w:rFonts w:ascii="Times New Roman" w:hAnsi="Times New Roman" w:cs="Times New Roman"/>
          <w:b/>
          <w:bCs/>
          <w:lang w:val="en-US"/>
        </w:rPr>
        <w:t xml:space="preserve"> Table 2: </w:t>
      </w:r>
      <w:r w:rsidRPr="003D3CF9">
        <w:rPr>
          <w:rFonts w:ascii="Times New Roman" w:hAnsi="Times New Roman" w:cs="Times New Roman"/>
          <w:lang w:val="en-US"/>
        </w:rPr>
        <w:t>p</w:t>
      </w:r>
      <w:r w:rsidR="0010737D" w:rsidRPr="003D3CF9">
        <w:rPr>
          <w:rFonts w:ascii="Times New Roman" w:hAnsi="Times New Roman" w:cs="Times New Roman"/>
          <w:lang w:val="en-US"/>
        </w:rPr>
        <w:t>5</w:t>
      </w:r>
    </w:p>
    <w:p w14:paraId="66FB907E" w14:textId="70ED559D" w:rsidR="008B4B78" w:rsidRPr="003D3CF9" w:rsidRDefault="008B4B78" w:rsidP="00C907B2">
      <w:pPr>
        <w:pStyle w:val="NoSpacing"/>
        <w:jc w:val="both"/>
        <w:rPr>
          <w:rFonts w:ascii="Times New Roman" w:hAnsi="Times New Roman" w:cs="Times New Roman"/>
          <w:lang w:val="en-US"/>
        </w:rPr>
      </w:pPr>
      <w:r w:rsidRPr="003D3CF9">
        <w:rPr>
          <w:rFonts w:ascii="Times New Roman" w:hAnsi="Times New Roman" w:cs="Times New Roman"/>
          <w:b/>
          <w:bCs/>
          <w:lang w:val="en-US"/>
        </w:rPr>
        <w:t>Supplementa</w:t>
      </w:r>
      <w:r w:rsidR="002E571D">
        <w:rPr>
          <w:rFonts w:ascii="Times New Roman" w:hAnsi="Times New Roman" w:cs="Times New Roman"/>
          <w:b/>
          <w:bCs/>
          <w:lang w:val="en-US"/>
        </w:rPr>
        <w:t>l</w:t>
      </w:r>
      <w:r w:rsidRPr="003D3CF9">
        <w:rPr>
          <w:rFonts w:ascii="Times New Roman" w:hAnsi="Times New Roman" w:cs="Times New Roman"/>
          <w:b/>
          <w:bCs/>
          <w:lang w:val="en-US"/>
        </w:rPr>
        <w:t xml:space="preserve"> Table 3: </w:t>
      </w:r>
      <w:r w:rsidRPr="003D3CF9">
        <w:rPr>
          <w:rFonts w:ascii="Times New Roman" w:hAnsi="Times New Roman" w:cs="Times New Roman"/>
          <w:lang w:val="en-US"/>
        </w:rPr>
        <w:t>p</w:t>
      </w:r>
      <w:r w:rsidR="0010737D" w:rsidRPr="003D3CF9">
        <w:rPr>
          <w:rFonts w:ascii="Times New Roman" w:hAnsi="Times New Roman" w:cs="Times New Roman"/>
          <w:lang w:val="en-US"/>
        </w:rPr>
        <w:t>6</w:t>
      </w:r>
    </w:p>
    <w:p w14:paraId="4469EAB6" w14:textId="2C7338C8" w:rsidR="005466D3" w:rsidRPr="003D3CF9" w:rsidRDefault="005466D3"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Supplementa</w:t>
      </w:r>
      <w:r w:rsidR="002E571D">
        <w:rPr>
          <w:rFonts w:ascii="Times New Roman" w:hAnsi="Times New Roman" w:cs="Times New Roman"/>
          <w:b/>
          <w:bCs/>
          <w:lang w:val="en-US"/>
        </w:rPr>
        <w:t>l</w:t>
      </w:r>
      <w:r w:rsidRPr="003D3CF9">
        <w:rPr>
          <w:rFonts w:ascii="Times New Roman" w:hAnsi="Times New Roman" w:cs="Times New Roman"/>
          <w:b/>
          <w:bCs/>
          <w:lang w:val="en-US"/>
        </w:rPr>
        <w:t xml:space="preserve"> Table 4: </w:t>
      </w:r>
      <w:r w:rsidRPr="003D3CF9">
        <w:rPr>
          <w:rFonts w:ascii="Times New Roman" w:hAnsi="Times New Roman" w:cs="Times New Roman"/>
          <w:lang w:val="en-US"/>
        </w:rPr>
        <w:t>p7</w:t>
      </w:r>
    </w:p>
    <w:p w14:paraId="6CD352CA" w14:textId="06D08858" w:rsidR="008B4B78" w:rsidRPr="003D3CF9" w:rsidRDefault="008B4B78"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Supplementa</w:t>
      </w:r>
      <w:r w:rsidR="002E571D">
        <w:rPr>
          <w:rFonts w:ascii="Times New Roman" w:hAnsi="Times New Roman" w:cs="Times New Roman"/>
          <w:b/>
          <w:bCs/>
          <w:lang w:val="en-US"/>
        </w:rPr>
        <w:t>l</w:t>
      </w:r>
      <w:r w:rsidRPr="003D3CF9">
        <w:rPr>
          <w:rFonts w:ascii="Times New Roman" w:hAnsi="Times New Roman" w:cs="Times New Roman"/>
          <w:b/>
          <w:bCs/>
          <w:lang w:val="en-US"/>
        </w:rPr>
        <w:t xml:space="preserve"> Figure 1: </w:t>
      </w:r>
      <w:r w:rsidRPr="003D3CF9">
        <w:rPr>
          <w:rFonts w:ascii="Times New Roman" w:hAnsi="Times New Roman" w:cs="Times New Roman"/>
          <w:lang w:val="en-US"/>
        </w:rPr>
        <w:t>p8</w:t>
      </w:r>
    </w:p>
    <w:p w14:paraId="04DE2D1A" w14:textId="562EA327" w:rsidR="008B4B78" w:rsidRPr="003D3CF9" w:rsidRDefault="008B4B78"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 xml:space="preserve">References: </w:t>
      </w:r>
      <w:r w:rsidRPr="003D3CF9">
        <w:rPr>
          <w:rFonts w:ascii="Times New Roman" w:hAnsi="Times New Roman" w:cs="Times New Roman"/>
          <w:lang w:val="en-US"/>
        </w:rPr>
        <w:t>p8</w:t>
      </w:r>
    </w:p>
    <w:p w14:paraId="4BCABF21" w14:textId="77777777" w:rsidR="008B4B78" w:rsidRPr="003D3CF9" w:rsidRDefault="008B4B78" w:rsidP="00C907B2">
      <w:pPr>
        <w:pStyle w:val="NoSpacing"/>
        <w:jc w:val="both"/>
        <w:rPr>
          <w:rFonts w:ascii="Times New Roman" w:hAnsi="Times New Roman" w:cs="Times New Roman"/>
          <w:b/>
          <w:bCs/>
          <w:lang w:val="en-US"/>
        </w:rPr>
      </w:pPr>
    </w:p>
    <w:p w14:paraId="56E2F38D" w14:textId="35DF87E8" w:rsidR="00462106" w:rsidRPr="003D3CF9" w:rsidRDefault="00462106"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SUPPLEMENTA</w:t>
      </w:r>
      <w:r w:rsidR="006C402C">
        <w:rPr>
          <w:rFonts w:ascii="Times New Roman" w:hAnsi="Times New Roman" w:cs="Times New Roman"/>
          <w:b/>
          <w:bCs/>
          <w:lang w:val="en-US"/>
        </w:rPr>
        <w:t>L</w:t>
      </w:r>
      <w:r w:rsidRPr="003D3CF9">
        <w:rPr>
          <w:rFonts w:ascii="Times New Roman" w:hAnsi="Times New Roman" w:cs="Times New Roman"/>
          <w:b/>
          <w:bCs/>
          <w:lang w:val="en-US"/>
        </w:rPr>
        <w:t xml:space="preserve"> </w:t>
      </w:r>
      <w:r w:rsidR="00AF2810" w:rsidRPr="003D3CF9">
        <w:rPr>
          <w:rFonts w:ascii="Times New Roman" w:hAnsi="Times New Roman" w:cs="Times New Roman"/>
          <w:b/>
          <w:bCs/>
          <w:lang w:val="en-US"/>
        </w:rPr>
        <w:t xml:space="preserve">STATISTICAL </w:t>
      </w:r>
      <w:r w:rsidRPr="003D3CF9">
        <w:rPr>
          <w:rFonts w:ascii="Times New Roman" w:hAnsi="Times New Roman" w:cs="Times New Roman"/>
          <w:b/>
          <w:bCs/>
          <w:lang w:val="en-US"/>
        </w:rPr>
        <w:t>METHODS:</w:t>
      </w:r>
    </w:p>
    <w:p w14:paraId="5BA65C36" w14:textId="77777777" w:rsidR="00462106" w:rsidRPr="003D3CF9" w:rsidRDefault="00462106" w:rsidP="00C907B2">
      <w:pPr>
        <w:jc w:val="both"/>
        <w:rPr>
          <w:rFonts w:eastAsiaTheme="minorEastAsia"/>
          <w:lang w:val="en-US" w:eastAsia="zh-CN"/>
        </w:rPr>
      </w:pPr>
    </w:p>
    <w:p w14:paraId="76EEE18D" w14:textId="3C0D765A" w:rsidR="00B26753" w:rsidRPr="003D3CF9" w:rsidRDefault="00A103D6" w:rsidP="00B26753">
      <w:pPr>
        <w:jc w:val="both"/>
        <w:rPr>
          <w:rFonts w:eastAsiaTheme="minorEastAsia"/>
          <w:b/>
          <w:bCs/>
          <w:color w:val="000000" w:themeColor="text1"/>
          <w:lang w:val="en-US" w:eastAsia="zh-CN"/>
        </w:rPr>
      </w:pPr>
      <w:r w:rsidRPr="003D3CF9">
        <w:rPr>
          <w:rFonts w:eastAsiaTheme="minorEastAsia"/>
          <w:b/>
          <w:bCs/>
          <w:color w:val="000000" w:themeColor="text1"/>
          <w:lang w:val="en-US" w:eastAsia="zh-CN"/>
        </w:rPr>
        <w:t>Multivariable</w:t>
      </w:r>
      <w:r w:rsidR="00D3376C" w:rsidRPr="003D3CF9">
        <w:rPr>
          <w:rFonts w:eastAsiaTheme="minorEastAsia"/>
          <w:b/>
          <w:bCs/>
          <w:color w:val="000000" w:themeColor="text1"/>
          <w:lang w:val="en-US" w:eastAsia="zh-CN"/>
        </w:rPr>
        <w:t xml:space="preserve"> </w:t>
      </w:r>
      <w:r w:rsidR="0038444F" w:rsidRPr="003D3CF9">
        <w:rPr>
          <w:rFonts w:eastAsiaTheme="minorEastAsia"/>
          <w:b/>
          <w:bCs/>
          <w:color w:val="000000" w:themeColor="text1"/>
          <w:lang w:val="en-US" w:eastAsia="zh-CN"/>
        </w:rPr>
        <w:t>Regression Models</w:t>
      </w:r>
    </w:p>
    <w:p w14:paraId="4E4F3A1E" w14:textId="1FE701C7" w:rsidR="00B26753" w:rsidRPr="003D3CF9" w:rsidRDefault="00B26753" w:rsidP="00B26753">
      <w:pPr>
        <w:jc w:val="both"/>
        <w:rPr>
          <w:rStyle w:val="apple-converted-space"/>
          <w:color w:val="000000" w:themeColor="text1"/>
          <w:shd w:val="clear" w:color="auto" w:fill="FFFFFF"/>
          <w:lang w:val="en-US"/>
        </w:rPr>
      </w:pPr>
      <w:r w:rsidRPr="003D3CF9">
        <w:rPr>
          <w:color w:val="000000" w:themeColor="text1"/>
          <w:lang w:val="en-US"/>
        </w:rPr>
        <w:t xml:space="preserve">The normality of model residuals was validated using visual inspection of histogram and Q-Q plots.  Multiple linear regression modelling involving fractionation required log-transformation, however other ECGI variables showed no need for transformation. </w:t>
      </w:r>
      <w:r w:rsidR="00147844" w:rsidRPr="003D3CF9">
        <w:rPr>
          <w:color w:val="000000" w:themeColor="text1"/>
          <w:lang w:val="en-US"/>
        </w:rPr>
        <w:t>Variance inflation factors ≤3 excluded</w:t>
      </w:r>
      <w:r w:rsidRPr="003D3CF9">
        <w:rPr>
          <w:color w:val="000000" w:themeColor="text1"/>
          <w:lang w:val="en-US"/>
        </w:rPr>
        <w:t xml:space="preserve"> significant multicollinearity. Homoscedasticity and independence of residuals were verified through scatterplots and the Durbin-Watson statistic, respectively, both yielding satisfactory results.</w:t>
      </w:r>
    </w:p>
    <w:p w14:paraId="246A6511" w14:textId="77777777" w:rsidR="00B26753" w:rsidRPr="003D3CF9" w:rsidRDefault="00B26753" w:rsidP="00C907B2">
      <w:pPr>
        <w:jc w:val="both"/>
        <w:rPr>
          <w:rFonts w:eastAsiaTheme="minorEastAsia"/>
          <w:b/>
          <w:bCs/>
          <w:lang w:val="en-US" w:eastAsia="zh-CN"/>
        </w:rPr>
      </w:pPr>
    </w:p>
    <w:p w14:paraId="343D9028" w14:textId="77777777" w:rsidR="00B26753" w:rsidRPr="003D3CF9" w:rsidRDefault="00B26753" w:rsidP="00C907B2">
      <w:pPr>
        <w:jc w:val="both"/>
        <w:rPr>
          <w:rFonts w:eastAsiaTheme="minorEastAsia"/>
          <w:lang w:val="en-US" w:eastAsia="zh-CN"/>
        </w:rPr>
      </w:pPr>
    </w:p>
    <w:p w14:paraId="4A4F05CD" w14:textId="258AB6C9" w:rsidR="00D3376C" w:rsidRPr="003D3CF9" w:rsidRDefault="00D3376C" w:rsidP="00C907B2">
      <w:pPr>
        <w:jc w:val="both"/>
        <w:rPr>
          <w:rFonts w:eastAsiaTheme="minorEastAsia"/>
          <w:b/>
          <w:bCs/>
          <w:lang w:val="en-US" w:eastAsia="zh-CN"/>
        </w:rPr>
      </w:pPr>
      <w:r w:rsidRPr="003D3CF9">
        <w:rPr>
          <w:rFonts w:eastAsiaTheme="minorEastAsia"/>
          <w:b/>
          <w:bCs/>
          <w:lang w:val="en-US" w:eastAsia="zh-CN"/>
        </w:rPr>
        <w:t xml:space="preserve">Machine </w:t>
      </w:r>
      <w:r w:rsidR="0038444F" w:rsidRPr="003D3CF9">
        <w:rPr>
          <w:rFonts w:eastAsiaTheme="minorEastAsia"/>
          <w:b/>
          <w:bCs/>
          <w:lang w:val="en-US" w:eastAsia="zh-CN"/>
        </w:rPr>
        <w:t>Learning Methods</w:t>
      </w:r>
    </w:p>
    <w:p w14:paraId="079D9504" w14:textId="7A5E3C86" w:rsidR="00ED3A2B" w:rsidRPr="003D3CF9" w:rsidRDefault="0063522D" w:rsidP="0063522D">
      <w:pPr>
        <w:jc w:val="both"/>
        <w:rPr>
          <w:rFonts w:eastAsiaTheme="minorEastAsia"/>
          <w:bCs/>
          <w:lang w:val="en-US" w:eastAsia="zh-CN"/>
        </w:rPr>
      </w:pPr>
      <w:r w:rsidRPr="003D3CF9">
        <w:rPr>
          <w:rFonts w:eastAsiaTheme="minorEastAsia"/>
          <w:lang w:val="en-US" w:eastAsia="zh-CN"/>
        </w:rPr>
        <w:t xml:space="preserve">Optimal cutoff values to discriminate between subclinical HCM and healthy volunteers for each ECGI parameter separately were initially obtained using R package ‘cutpointr’ maximize metric function. Next, supervised machine learning (ML) with the support vector machine (SVM) classification was used to build an ECGI biomarker panel for HCM as previously described (1) </w:t>
      </w:r>
      <w:r w:rsidRPr="003D3CF9">
        <w:rPr>
          <w:color w:val="000000" w:themeColor="text1"/>
          <w:lang w:val="en-US"/>
        </w:rPr>
        <w:t>given that the basic assumption of non-multicollinearity between the 12-ECGI parameters for a logistic regression could not be met</w:t>
      </w:r>
      <w:r w:rsidRPr="003D3CF9">
        <w:rPr>
          <w:rFonts w:eastAsiaTheme="minorEastAsia"/>
          <w:lang w:val="en-US" w:eastAsia="zh-CN"/>
        </w:rPr>
        <w:t>. SVMs are a set of effective, supervised non-parametric ML techniques that recognize patterns in data, and are especially suited to two-group separation challenges (2)(3). Another advantage of SVMs, is their relative resistance to over-fitting given that they use regularization (4).  The goal of our exploratory SVM model was to combine all the available ECGI features to predict which phenotypic category (subclinical HCM or control) a participant belonged to. For each model, the 4 available kernels in package ‘e1071’ were tested and individually tuned using pre-set cost (0.1,0.2,0.4,0.6,0.8,1,10,100,1000) and gamma (0.1,0.2,0.4,0.6,0.8,1,2,3,4) arguments to select the best model (</w:t>
      </w:r>
      <w:r w:rsidRPr="003D3CF9">
        <w:rPr>
          <w:rFonts w:eastAsiaTheme="minorEastAsia"/>
          <w:b/>
          <w:bCs/>
          <w:lang w:val="en-US" w:eastAsia="zh-CN"/>
        </w:rPr>
        <w:t>Supplementa</w:t>
      </w:r>
      <w:r w:rsidR="00376BB7">
        <w:rPr>
          <w:rFonts w:eastAsiaTheme="minorEastAsia"/>
          <w:b/>
          <w:bCs/>
          <w:lang w:val="en-US" w:eastAsia="zh-CN"/>
        </w:rPr>
        <w:t>l</w:t>
      </w:r>
      <w:r w:rsidRPr="003D3CF9">
        <w:rPr>
          <w:rFonts w:eastAsiaTheme="minorEastAsia"/>
          <w:b/>
          <w:bCs/>
          <w:lang w:val="en-US" w:eastAsia="zh-CN"/>
        </w:rPr>
        <w:t xml:space="preserve"> Table 5</w:t>
      </w:r>
      <w:r w:rsidRPr="003D3CF9">
        <w:rPr>
          <w:rFonts w:eastAsiaTheme="minorEastAsia"/>
          <w:lang w:val="en-US" w:eastAsia="zh-CN"/>
        </w:rPr>
        <w:t xml:space="preserve">). The final SVM was trained using the subclinical HCM vs control cohort with a polynomial kernel tuned to cost 10 and gamma 0.1 followed by a </w:t>
      </w:r>
      <w:r w:rsidRPr="003D3CF9">
        <w:rPr>
          <w:rFonts w:eastAsiaTheme="minorEastAsia"/>
          <w:bCs/>
          <w:lang w:val="en-US" w:eastAsia="zh-CN"/>
        </w:rPr>
        <w:t>10-fold cross-validation to correct for overoptimism</w:t>
      </w:r>
      <w:r w:rsidRPr="003D3CF9">
        <w:rPr>
          <w:rFonts w:eastAsiaTheme="minorEastAsia"/>
          <w:lang w:val="en-US" w:eastAsia="zh-CN"/>
        </w:rPr>
        <w:t xml:space="preserve">. SVM performance was </w:t>
      </w:r>
      <w:r w:rsidR="003D3CF9" w:rsidRPr="003D3CF9">
        <w:rPr>
          <w:rFonts w:eastAsiaTheme="minorEastAsia"/>
          <w:lang w:val="en-US" w:eastAsia="zh-CN"/>
        </w:rPr>
        <w:t>summarized</w:t>
      </w:r>
      <w:r w:rsidRPr="003D3CF9">
        <w:rPr>
          <w:rFonts w:eastAsiaTheme="minorEastAsia"/>
          <w:lang w:val="en-US" w:eastAsia="zh-CN"/>
        </w:rPr>
        <w:t xml:space="preserve"> in terms of its confusion matrix of classifications and </w:t>
      </w:r>
      <w:r w:rsidRPr="003D3CF9">
        <w:rPr>
          <w:rFonts w:eastAsiaTheme="minorEastAsia"/>
          <w:bCs/>
          <w:lang w:val="en-US" w:eastAsia="zh-CN"/>
        </w:rPr>
        <w:t>area under the receiver operating characteristics curve (AUC, ROC) calculated using package ‘ROCR’. 95% Confidence intervals for AUCs were computed with 2000 stratified bootstrap replicates using ‘pROC’. A similar SVM and ROC approach explored whether the ECGI electrotype in patients with overt HCM could discriminate low risk from high/intermediate risk patients (from the ESC Risk score), including those with prior documented NSVT. The latter SVM used a radial kernel tuned to cost 1 and gamma 0.6. Variable importance in the final models was determined using package ‘rminer’</w:t>
      </w:r>
      <w:r w:rsidR="00ED3A2B" w:rsidRPr="003D3CF9">
        <w:rPr>
          <w:rFonts w:eastAsiaTheme="minorEastAsia"/>
          <w:bCs/>
          <w:lang w:val="en-US" w:eastAsia="zh-CN"/>
        </w:rPr>
        <w:t xml:space="preserve">.  </w:t>
      </w:r>
      <w:r w:rsidR="00ED3A2B" w:rsidRPr="003D3CF9">
        <w:rPr>
          <w:rFonts w:eastAsiaTheme="minorEastAsia"/>
          <w:b/>
          <w:lang w:val="en-US" w:eastAsia="zh-CN"/>
        </w:rPr>
        <w:t>(Supplementa</w:t>
      </w:r>
      <w:r w:rsidR="00376BB7">
        <w:rPr>
          <w:rFonts w:eastAsiaTheme="minorEastAsia"/>
          <w:b/>
          <w:lang w:val="en-US" w:eastAsia="zh-CN"/>
        </w:rPr>
        <w:t>l</w:t>
      </w:r>
      <w:r w:rsidR="00ED3A2B" w:rsidRPr="003D3CF9">
        <w:rPr>
          <w:rFonts w:eastAsiaTheme="minorEastAsia"/>
          <w:b/>
          <w:lang w:val="en-US" w:eastAsia="zh-CN"/>
        </w:rPr>
        <w:t xml:space="preserve"> Table 7</w:t>
      </w:r>
      <w:r w:rsidR="006B7FB9" w:rsidRPr="003D3CF9">
        <w:rPr>
          <w:rFonts w:eastAsiaTheme="minorEastAsia"/>
          <w:b/>
          <w:lang w:val="en-US" w:eastAsia="zh-CN"/>
        </w:rPr>
        <w:t xml:space="preserve"> &amp; 8</w:t>
      </w:r>
      <w:r w:rsidR="00ED3A2B" w:rsidRPr="003D3CF9">
        <w:rPr>
          <w:rFonts w:eastAsiaTheme="minorEastAsia"/>
          <w:b/>
          <w:lang w:val="en-US" w:eastAsia="zh-CN"/>
        </w:rPr>
        <w:t>)</w:t>
      </w:r>
      <w:r w:rsidRPr="003D3CF9">
        <w:rPr>
          <w:rFonts w:eastAsiaTheme="minorEastAsia"/>
          <w:bCs/>
          <w:lang w:val="en-US" w:eastAsia="zh-CN"/>
        </w:rPr>
        <w:t xml:space="preserve">. </w:t>
      </w:r>
    </w:p>
    <w:p w14:paraId="247C88D6" w14:textId="1AF6C2D8" w:rsidR="0063522D" w:rsidRPr="003D3CF9" w:rsidRDefault="0063522D" w:rsidP="0063522D">
      <w:pPr>
        <w:jc w:val="both"/>
        <w:rPr>
          <w:rFonts w:eastAsiaTheme="minorEastAsia"/>
          <w:bCs/>
          <w:lang w:val="en-US" w:eastAsia="zh-CN"/>
        </w:rPr>
      </w:pPr>
      <w:r w:rsidRPr="003D3CF9">
        <w:rPr>
          <w:bCs/>
          <w:color w:val="000000" w:themeColor="text1"/>
          <w:kern w:val="36"/>
          <w:lang w:val="en-US" w:eastAsia="en-US"/>
        </w:rPr>
        <w:t xml:space="preserve">The R script is available at </w:t>
      </w:r>
      <w:hyperlink r:id="rId9" w:tooltip="https://github.com/georgejoyucl/HCM-ECGI" w:history="1">
        <w:r w:rsidRPr="003D3CF9">
          <w:rPr>
            <w:color w:val="0078D7"/>
            <w:u w:val="single"/>
            <w:lang w:val="en-US"/>
          </w:rPr>
          <w:t>https://github.com/georgejoyucl/HCM-ECGI</w:t>
        </w:r>
      </w:hyperlink>
      <w:r w:rsidRPr="003D3CF9">
        <w:rPr>
          <w:color w:val="0078D7"/>
          <w:u w:val="single"/>
          <w:lang w:val="en-US"/>
        </w:rPr>
        <w:t>.</w:t>
      </w:r>
      <w:r w:rsidRPr="003D3CF9">
        <w:rPr>
          <w:bCs/>
          <w:color w:val="000000" w:themeColor="text1"/>
          <w:kern w:val="36"/>
          <w:lang w:val="en-US" w:eastAsia="en-US"/>
        </w:rPr>
        <w:t xml:space="preserve">   </w:t>
      </w:r>
    </w:p>
    <w:p w14:paraId="589A3502" w14:textId="77777777" w:rsidR="0063522D" w:rsidRPr="003D3CF9" w:rsidRDefault="0063522D" w:rsidP="0063522D">
      <w:pPr>
        <w:pStyle w:val="NoSpacing"/>
        <w:jc w:val="both"/>
        <w:rPr>
          <w:rFonts w:ascii="Times New Roman" w:hAnsi="Times New Roman" w:cs="Times New Roman"/>
          <w:b/>
          <w:bCs/>
          <w:lang w:val="en-US"/>
        </w:rPr>
      </w:pPr>
    </w:p>
    <w:p w14:paraId="2AEA499E" w14:textId="209F2375" w:rsidR="00462106" w:rsidRPr="003D3CF9" w:rsidRDefault="00C907B2" w:rsidP="00C907B2">
      <w:pPr>
        <w:pStyle w:val="NoSpacing"/>
        <w:tabs>
          <w:tab w:val="left" w:pos="905"/>
        </w:tabs>
        <w:ind w:left="709" w:hanging="709"/>
        <w:jc w:val="both"/>
        <w:rPr>
          <w:rFonts w:ascii="Times New Roman" w:hAnsi="Times New Roman" w:cs="Times New Roman"/>
          <w:b/>
          <w:bCs/>
          <w:lang w:val="en-US"/>
        </w:rPr>
      </w:pPr>
      <w:r w:rsidRPr="003D3CF9">
        <w:rPr>
          <w:rFonts w:ascii="Times New Roman" w:hAnsi="Times New Roman" w:cs="Times New Roman"/>
          <w:b/>
          <w:bCs/>
          <w:lang w:val="en-US"/>
        </w:rPr>
        <w:lastRenderedPageBreak/>
        <w:tab/>
      </w:r>
    </w:p>
    <w:p w14:paraId="7916F408" w14:textId="1A11CF85" w:rsidR="00462106" w:rsidRPr="003D3CF9" w:rsidRDefault="00462106" w:rsidP="00C907B2">
      <w:pPr>
        <w:pStyle w:val="NoSpacing"/>
        <w:jc w:val="both"/>
        <w:rPr>
          <w:rFonts w:ascii="Times New Roman" w:hAnsi="Times New Roman" w:cs="Times New Roman"/>
          <w:b/>
          <w:bCs/>
          <w:lang w:val="en-US"/>
        </w:rPr>
      </w:pPr>
      <w:r w:rsidRPr="003D3CF9">
        <w:rPr>
          <w:rFonts w:ascii="Times New Roman" w:hAnsi="Times New Roman" w:cs="Times New Roman"/>
          <w:b/>
          <w:bCs/>
          <w:lang w:val="en-US"/>
        </w:rPr>
        <w:t>SUPPLEMENTA</w:t>
      </w:r>
      <w:r w:rsidR="006C402C">
        <w:rPr>
          <w:rFonts w:ascii="Times New Roman" w:hAnsi="Times New Roman" w:cs="Times New Roman"/>
          <w:b/>
          <w:bCs/>
          <w:lang w:val="en-US"/>
        </w:rPr>
        <w:t>L</w:t>
      </w:r>
      <w:r w:rsidRPr="003D3CF9">
        <w:rPr>
          <w:rFonts w:ascii="Times New Roman" w:hAnsi="Times New Roman" w:cs="Times New Roman"/>
          <w:b/>
          <w:bCs/>
          <w:lang w:val="en-US"/>
        </w:rPr>
        <w:t xml:space="preserve"> RESULTS</w:t>
      </w:r>
    </w:p>
    <w:p w14:paraId="009CDB9C" w14:textId="77777777" w:rsidR="00462106" w:rsidRPr="003D3CF9" w:rsidRDefault="00462106" w:rsidP="00C907B2">
      <w:pPr>
        <w:pStyle w:val="NoSpacing"/>
        <w:jc w:val="both"/>
        <w:rPr>
          <w:rFonts w:ascii="Times New Roman" w:hAnsi="Times New Roman" w:cs="Times New Roman"/>
          <w:b/>
          <w:bCs/>
          <w:lang w:val="en-US"/>
        </w:rPr>
      </w:pPr>
    </w:p>
    <w:p w14:paraId="1CA19729" w14:textId="6CA34197" w:rsidR="00462106" w:rsidRPr="003D3CF9" w:rsidRDefault="00462106" w:rsidP="00C907B2">
      <w:pPr>
        <w:pStyle w:val="NoSpacing"/>
        <w:jc w:val="both"/>
        <w:rPr>
          <w:rFonts w:ascii="Times New Roman" w:hAnsi="Times New Roman" w:cs="Times New Roman"/>
          <w:lang w:val="en-US"/>
        </w:rPr>
      </w:pPr>
      <w:r w:rsidRPr="003D3CF9">
        <w:rPr>
          <w:rFonts w:ascii="Times New Roman" w:hAnsi="Times New Roman" w:cs="Times New Roman"/>
          <w:b/>
          <w:bCs/>
          <w:lang w:val="en-US"/>
        </w:rPr>
        <w:t>G+LVH+ and matched HV</w:t>
      </w:r>
      <w:r w:rsidR="001B075D" w:rsidRPr="003D3CF9">
        <w:rPr>
          <w:rFonts w:ascii="Times New Roman" w:hAnsi="Times New Roman" w:cs="Times New Roman"/>
          <w:b/>
          <w:bCs/>
          <w:lang w:val="en-US"/>
        </w:rPr>
        <w:t xml:space="preserve"> </w:t>
      </w:r>
      <w:r w:rsidR="001B075D" w:rsidRPr="003D3CF9">
        <w:rPr>
          <w:rFonts w:ascii="Times New Roman" w:hAnsi="Times New Roman" w:cs="Times New Roman"/>
          <w:lang w:val="en-US"/>
        </w:rPr>
        <w:t>(Supplementa</w:t>
      </w:r>
      <w:r w:rsidR="00376BB7">
        <w:rPr>
          <w:rFonts w:ascii="Times New Roman" w:hAnsi="Times New Roman" w:cs="Times New Roman"/>
          <w:lang w:val="en-US"/>
        </w:rPr>
        <w:t>l</w:t>
      </w:r>
      <w:r w:rsidR="001B075D" w:rsidRPr="003D3CF9">
        <w:rPr>
          <w:rFonts w:ascii="Times New Roman" w:hAnsi="Times New Roman" w:cs="Times New Roman"/>
          <w:lang w:val="en-US"/>
        </w:rPr>
        <w:t xml:space="preserve"> Table 1)</w:t>
      </w:r>
    </w:p>
    <w:p w14:paraId="7E30CF2B" w14:textId="405BDFD7" w:rsidR="00462106" w:rsidRPr="003D3CF9" w:rsidRDefault="00462106" w:rsidP="00C907B2">
      <w:pPr>
        <w:pStyle w:val="NoSpacing"/>
        <w:jc w:val="both"/>
        <w:rPr>
          <w:rFonts w:ascii="Times New Roman" w:eastAsia="Times New Roman" w:hAnsi="Times New Roman" w:cs="Times New Roman"/>
          <w:color w:val="000000" w:themeColor="text1"/>
          <w:lang w:val="en-US" w:eastAsia="en-GB"/>
        </w:rPr>
      </w:pPr>
      <w:r w:rsidRPr="003D3CF9">
        <w:rPr>
          <w:rFonts w:ascii="Times New Roman" w:hAnsi="Times New Roman" w:cs="Times New Roman"/>
          <w:lang w:val="en-US"/>
        </w:rPr>
        <w:t xml:space="preserve">To compare ECGI changes in G+LVH+ to health, an older age-, sex- and ethnicity-matched healthy volunteer group were studied (n=23).  Compared to older HV, G+LVH+ were similar in age (G+LVH+ vs HV respectively: 52(37-59) vs 44(37-55) years, </w:t>
      </w:r>
      <w:r w:rsidRPr="003D3CF9">
        <w:rPr>
          <w:rFonts w:ascii="Times New Roman" w:hAnsi="Times New Roman" w:cs="Times New Roman"/>
          <w:i/>
          <w:iCs/>
          <w:lang w:val="en-US"/>
        </w:rPr>
        <w:t>p</w:t>
      </w:r>
      <w:r w:rsidRPr="003D3CF9">
        <w:rPr>
          <w:rFonts w:ascii="Times New Roman" w:hAnsi="Times New Roman" w:cs="Times New Roman"/>
          <w:lang w:val="en-US"/>
        </w:rPr>
        <w:t xml:space="preserve">=0.48), sex (35 </w:t>
      </w:r>
      <w:r w:rsidR="003D3CF9">
        <w:rPr>
          <w:rFonts w:ascii="Times New Roman" w:hAnsi="Times New Roman" w:cs="Times New Roman"/>
          <w:lang w:val="en-US"/>
        </w:rPr>
        <w:t>men</w:t>
      </w:r>
      <w:r w:rsidR="003D3CF9" w:rsidRPr="003D3CF9">
        <w:rPr>
          <w:rFonts w:ascii="Times New Roman" w:hAnsi="Times New Roman" w:cs="Times New Roman"/>
          <w:lang w:val="en-US"/>
        </w:rPr>
        <w:t xml:space="preserve"> </w:t>
      </w:r>
      <w:r w:rsidRPr="003D3CF9">
        <w:rPr>
          <w:rFonts w:ascii="Times New Roman" w:hAnsi="Times New Roman" w:cs="Times New Roman"/>
          <w:lang w:val="en-US"/>
        </w:rPr>
        <w:t xml:space="preserve">(69%) vs 15(65%), </w:t>
      </w:r>
      <w:r w:rsidRPr="003D3CF9">
        <w:rPr>
          <w:rFonts w:ascii="Times New Roman" w:hAnsi="Times New Roman" w:cs="Times New Roman"/>
          <w:i/>
          <w:iCs/>
          <w:lang w:val="en-US"/>
        </w:rPr>
        <w:t>p</w:t>
      </w:r>
      <w:r w:rsidRPr="003D3CF9">
        <w:rPr>
          <w:rFonts w:ascii="Times New Roman" w:hAnsi="Times New Roman" w:cs="Times New Roman"/>
          <w:lang w:val="en-US"/>
        </w:rPr>
        <w:t xml:space="preserve">=0.77) and ethnicity (43 White (84%) vs 19(83%), </w:t>
      </w:r>
      <w:r w:rsidRPr="003D3CF9">
        <w:rPr>
          <w:rFonts w:ascii="Times New Roman" w:hAnsi="Times New Roman" w:cs="Times New Roman"/>
          <w:i/>
          <w:iCs/>
          <w:lang w:val="en-US"/>
        </w:rPr>
        <w:t>p</w:t>
      </w:r>
      <w:r w:rsidRPr="003D3CF9">
        <w:rPr>
          <w:rFonts w:ascii="Times New Roman" w:hAnsi="Times New Roman" w:cs="Times New Roman"/>
          <w:lang w:val="en-US"/>
        </w:rPr>
        <w:t>=0.85).  G+LVH+ had similar AT but greater AT dispersion</w:t>
      </w:r>
      <w:r w:rsidRPr="003D3CF9">
        <w:rPr>
          <w:rFonts w:ascii="Times New Roman" w:eastAsia="Times New Roman" w:hAnsi="Times New Roman" w:cs="Times New Roman"/>
          <w:color w:val="000000" w:themeColor="text1"/>
          <w:lang w:val="en-US" w:eastAsia="en-GB"/>
        </w:rPr>
        <w:t xml:space="preserve">, more fractionation, prolonged ventricular repolarization (elevated ARIc and RTc) and more spatially heterogenous repolarization (elevated </w:t>
      </w:r>
      <w:proofErr w:type="spellStart"/>
      <w:r w:rsidRPr="003D3CF9">
        <w:rPr>
          <w:rFonts w:ascii="Times New Roman" w:eastAsia="Times New Roman" w:hAnsi="Times New Roman" w:cs="Times New Roman"/>
          <w:color w:val="000000" w:themeColor="text1"/>
          <w:lang w:val="en-US" w:eastAsia="en-GB"/>
        </w:rPr>
        <w:t>G</w:t>
      </w:r>
      <w:r w:rsidRPr="003D3CF9">
        <w:rPr>
          <w:rFonts w:ascii="Times New Roman" w:eastAsia="Times New Roman" w:hAnsi="Times New Roman" w:cs="Times New Roman"/>
          <w:color w:val="000000" w:themeColor="text1"/>
          <w:vertAlign w:val="subscript"/>
          <w:lang w:val="en-US" w:eastAsia="en-GB"/>
        </w:rPr>
        <w:t>RTc</w:t>
      </w:r>
      <w:proofErr w:type="spellEnd"/>
      <w:r w:rsidR="001B075D" w:rsidRPr="003D3CF9">
        <w:rPr>
          <w:rFonts w:ascii="Times New Roman" w:eastAsia="Times New Roman" w:hAnsi="Times New Roman" w:cs="Times New Roman"/>
          <w:color w:val="000000" w:themeColor="text1"/>
          <w:lang w:val="en-US" w:eastAsia="en-GB"/>
        </w:rPr>
        <w:t>)</w:t>
      </w:r>
      <w:r w:rsidR="00B477C0" w:rsidRPr="003D3CF9">
        <w:rPr>
          <w:rFonts w:ascii="Times New Roman" w:eastAsia="Times New Roman" w:hAnsi="Times New Roman" w:cs="Times New Roman"/>
          <w:color w:val="000000" w:themeColor="text1"/>
          <w:lang w:val="en-US" w:eastAsia="en-GB"/>
        </w:rPr>
        <w:t xml:space="preserve"> </w:t>
      </w:r>
      <w:r w:rsidR="001B075D" w:rsidRPr="003D3CF9">
        <w:rPr>
          <w:rFonts w:ascii="Times New Roman" w:eastAsia="Times New Roman" w:hAnsi="Times New Roman" w:cs="Times New Roman"/>
          <w:color w:val="000000" w:themeColor="text1"/>
          <w:lang w:val="en-US" w:eastAsia="en-GB"/>
        </w:rPr>
        <w:t>(</w:t>
      </w:r>
      <w:proofErr w:type="spellStart"/>
      <w:r w:rsidRPr="003D3CF9">
        <w:rPr>
          <w:rFonts w:ascii="Times New Roman" w:eastAsia="Times New Roman" w:hAnsi="Times New Roman" w:cs="Times New Roman"/>
          <w:b/>
          <w:bCs/>
          <w:color w:val="000000" w:themeColor="text1"/>
          <w:lang w:val="en-US" w:eastAsia="en-GB"/>
        </w:rPr>
        <w:t>Supplementa</w:t>
      </w:r>
      <w:r w:rsidR="00376BB7">
        <w:rPr>
          <w:rFonts w:ascii="Times New Roman" w:eastAsia="Times New Roman" w:hAnsi="Times New Roman" w:cs="Times New Roman"/>
          <w:b/>
          <w:bCs/>
          <w:color w:val="000000" w:themeColor="text1"/>
          <w:lang w:val="en-US" w:eastAsia="en-GB"/>
        </w:rPr>
        <w:t>ll</w:t>
      </w:r>
      <w:proofErr w:type="spellEnd"/>
      <w:r w:rsidRPr="003D3CF9">
        <w:rPr>
          <w:rFonts w:ascii="Times New Roman" w:eastAsia="Times New Roman" w:hAnsi="Times New Roman" w:cs="Times New Roman"/>
          <w:b/>
          <w:bCs/>
          <w:color w:val="000000" w:themeColor="text1"/>
          <w:lang w:val="en-US" w:eastAsia="en-GB"/>
        </w:rPr>
        <w:t xml:space="preserve"> Table 1</w:t>
      </w:r>
      <w:r w:rsidRPr="003D3CF9">
        <w:rPr>
          <w:rFonts w:ascii="Times New Roman" w:eastAsia="Times New Roman" w:hAnsi="Times New Roman" w:cs="Times New Roman"/>
          <w:color w:val="000000" w:themeColor="text1"/>
          <w:lang w:val="en-US" w:eastAsia="en-GB"/>
        </w:rPr>
        <w:t xml:space="preserve">).   </w:t>
      </w:r>
    </w:p>
    <w:p w14:paraId="318890B5" w14:textId="77777777" w:rsidR="00462106" w:rsidRPr="003D3CF9" w:rsidRDefault="00462106" w:rsidP="00C907B2">
      <w:pPr>
        <w:pStyle w:val="NoSpacing"/>
        <w:jc w:val="both"/>
        <w:rPr>
          <w:rFonts w:ascii="Times New Roman" w:eastAsia="Times New Roman" w:hAnsi="Times New Roman" w:cs="Times New Roman"/>
          <w:b/>
          <w:bCs/>
          <w:color w:val="000000" w:themeColor="text1"/>
          <w:u w:val="single"/>
          <w:lang w:val="en-US" w:eastAsia="en-GB"/>
        </w:rPr>
      </w:pPr>
    </w:p>
    <w:p w14:paraId="5F243702" w14:textId="77777777" w:rsidR="00462106" w:rsidRPr="003D3CF9" w:rsidRDefault="00462106" w:rsidP="00C907B2">
      <w:pPr>
        <w:pStyle w:val="NoSpacing"/>
        <w:jc w:val="both"/>
        <w:rPr>
          <w:rFonts w:ascii="Times New Roman" w:eastAsia="Times New Roman" w:hAnsi="Times New Roman" w:cs="Times New Roman"/>
          <w:b/>
          <w:bCs/>
          <w:color w:val="000000" w:themeColor="text1"/>
          <w:lang w:val="en-US" w:eastAsia="en-GB"/>
        </w:rPr>
      </w:pPr>
      <w:r w:rsidRPr="003D3CF9">
        <w:rPr>
          <w:rFonts w:ascii="Times New Roman" w:eastAsia="Times New Roman" w:hAnsi="Times New Roman" w:cs="Times New Roman"/>
          <w:b/>
          <w:bCs/>
          <w:color w:val="000000" w:themeColor="text1"/>
          <w:lang w:val="en-US" w:eastAsia="en-GB"/>
        </w:rPr>
        <w:t>ECGI relationships in pooled HV (including older controls, n=37)</w:t>
      </w:r>
    </w:p>
    <w:p w14:paraId="0B5F3DF8" w14:textId="1A9422DD" w:rsidR="00462106" w:rsidRPr="003D3CF9" w:rsidRDefault="00462106" w:rsidP="00C907B2">
      <w:pPr>
        <w:pStyle w:val="NoSpacing"/>
        <w:jc w:val="both"/>
        <w:rPr>
          <w:rFonts w:ascii="Times New Roman" w:eastAsia="Times New Roman" w:hAnsi="Times New Roman" w:cs="Times New Roman"/>
          <w:color w:val="000000" w:themeColor="text1"/>
          <w:lang w:val="en-US" w:eastAsia="en-GB"/>
        </w:rPr>
      </w:pPr>
      <w:r w:rsidRPr="003D3CF9">
        <w:rPr>
          <w:rFonts w:ascii="Times New Roman" w:eastAsia="Times New Roman" w:hAnsi="Times New Roman" w:cs="Times New Roman"/>
          <w:color w:val="000000" w:themeColor="text1"/>
          <w:lang w:val="en-US" w:eastAsia="en-GB"/>
        </w:rPr>
        <w:t xml:space="preserve">Age was associated with </w:t>
      </w:r>
      <w:r w:rsidR="0074682A" w:rsidRPr="003D3CF9">
        <w:rPr>
          <w:rFonts w:ascii="Times New Roman" w:eastAsia="Times New Roman" w:hAnsi="Times New Roman" w:cs="Times New Roman"/>
          <w:color w:val="000000" w:themeColor="text1"/>
          <w:lang w:val="en-US" w:eastAsia="en-GB"/>
        </w:rPr>
        <w:t xml:space="preserve">mean </w:t>
      </w:r>
      <w:r w:rsidRPr="003D3CF9">
        <w:rPr>
          <w:rFonts w:ascii="Times New Roman" w:eastAsia="Times New Roman" w:hAnsi="Times New Roman" w:cs="Times New Roman"/>
          <w:color w:val="000000" w:themeColor="text1"/>
          <w:lang w:val="en-US" w:eastAsia="en-GB"/>
        </w:rPr>
        <w:t>AT (</w:t>
      </w:r>
      <w:r w:rsidRPr="003D3CF9">
        <w:rPr>
          <w:rFonts w:ascii="Times New Roman" w:eastAsia="Times New Roman" w:hAnsi="Times New Roman" w:cs="Times New Roman"/>
          <w:i/>
          <w:iCs/>
          <w:color w:val="000000" w:themeColor="text1"/>
          <w:lang w:val="en-US" w:eastAsia="en-GB"/>
        </w:rPr>
        <w:t>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=0.37</w:t>
      </w:r>
      <w:r w:rsidR="00B477C0" w:rsidRPr="003D3CF9">
        <w:rPr>
          <w:rFonts w:ascii="Times New Roman" w:eastAsia="Times New Roman" w:hAnsi="Times New Roman" w:cs="Times New Roman"/>
          <w:color w:val="000000" w:themeColor="text1"/>
          <w:lang w:val="en-US" w:eastAsia="en-GB"/>
        </w:rPr>
        <w:t xml:space="preserve"> [</w:t>
      </w:r>
      <w:r w:rsidR="0074682A" w:rsidRPr="003D3CF9">
        <w:rPr>
          <w:rFonts w:ascii="Times New Roman" w:eastAsia="Times New Roman" w:hAnsi="Times New Roman" w:cs="Times New Roman"/>
          <w:color w:val="000000" w:themeColor="text1"/>
          <w:lang w:val="en-US" w:eastAsia="en-GB"/>
        </w:rPr>
        <w:t xml:space="preserve">95% </w:t>
      </w:r>
      <w:r w:rsidR="00B477C0" w:rsidRPr="003D3CF9">
        <w:rPr>
          <w:rFonts w:ascii="Times New Roman" w:eastAsia="Times New Roman" w:hAnsi="Times New Roman" w:cs="Times New Roman"/>
          <w:color w:val="000000" w:themeColor="text1"/>
          <w:lang w:val="en-US" w:eastAsia="en-GB"/>
        </w:rPr>
        <w:t>confidence interval</w:t>
      </w:r>
      <w:r w:rsidR="0074682A" w:rsidRPr="003D3CF9">
        <w:rPr>
          <w:rFonts w:ascii="Times New Roman" w:eastAsia="Times New Roman" w:hAnsi="Times New Roman" w:cs="Times New Roman"/>
          <w:color w:val="000000" w:themeColor="text1"/>
          <w:lang w:val="en-US" w:eastAsia="en-GB"/>
        </w:rPr>
        <w:t>: 0.04</w:t>
      </w:r>
      <w:r w:rsidR="00B477C0" w:rsidRPr="003D3CF9">
        <w:rPr>
          <w:rFonts w:ascii="Times New Roman" w:eastAsia="Times New Roman" w:hAnsi="Times New Roman" w:cs="Times New Roman"/>
          <w:color w:val="000000" w:themeColor="text1"/>
          <w:lang w:val="en-US" w:eastAsia="en-GB"/>
        </w:rPr>
        <w:softHyphen/>
      </w:r>
      <w:r w:rsidR="00CE165C" w:rsidRPr="003D3CF9">
        <w:rPr>
          <w:rFonts w:ascii="Times New Roman" w:eastAsia="Times New Roman" w:hAnsi="Times New Roman" w:cs="Times New Roman"/>
          <w:color w:val="000000" w:themeColor="text1"/>
          <w:lang w:val="en-US" w:eastAsia="en-GB"/>
        </w:rPr>
        <w:t xml:space="preserve">, </w:t>
      </w:r>
      <w:r w:rsidR="0074682A" w:rsidRPr="003D3CF9">
        <w:rPr>
          <w:rFonts w:ascii="Times New Roman" w:eastAsia="Times New Roman" w:hAnsi="Times New Roman" w:cs="Times New Roman"/>
          <w:color w:val="000000" w:themeColor="text1"/>
          <w:lang w:val="en-US" w:eastAsia="en-GB"/>
        </w:rPr>
        <w:t>0.6</w:t>
      </w:r>
      <w:r w:rsidR="00B477C0" w:rsidRPr="003D3CF9">
        <w:rPr>
          <w:rFonts w:ascii="Times New Roman" w:eastAsia="Times New Roman" w:hAnsi="Times New Roman" w:cs="Times New Roman"/>
          <w:color w:val="000000" w:themeColor="text1"/>
          <w:lang w:val="en-US" w:eastAsia="en-GB"/>
        </w:rPr>
        <w:t>]</w:t>
      </w:r>
      <w:r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=0.025) and inversely associated with mean G</w:t>
      </w:r>
      <w:r w:rsidRPr="003D3CF9">
        <w:rPr>
          <w:rFonts w:ascii="Times New Roman" w:eastAsia="Times New Roman" w:hAnsi="Times New Roman" w:cs="Times New Roman"/>
          <w:color w:val="000000" w:themeColor="text1"/>
          <w:vertAlign w:val="subscript"/>
          <w:lang w:val="en-US" w:eastAsia="en-GB"/>
        </w:rPr>
        <w:t>AT</w:t>
      </w:r>
      <w:r w:rsidRPr="003D3CF9">
        <w:rPr>
          <w:rFonts w:ascii="Times New Roman" w:eastAsia="Times New Roman" w:hAnsi="Times New Roman" w:cs="Times New Roman"/>
          <w:color w:val="000000" w:themeColor="text1"/>
          <w:lang w:val="en-US" w:eastAsia="en-GB"/>
        </w:rPr>
        <w:t xml:space="preserve"> (r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=-0.37</w:t>
      </w:r>
      <w:r w:rsidR="00B477C0" w:rsidRPr="003D3CF9">
        <w:rPr>
          <w:rFonts w:ascii="Times New Roman" w:eastAsia="Times New Roman" w:hAnsi="Times New Roman" w:cs="Times New Roman"/>
          <w:color w:val="000000" w:themeColor="text1"/>
          <w:lang w:val="en-US" w:eastAsia="en-GB"/>
        </w:rPr>
        <w:t xml:space="preserve"> [</w:t>
      </w:r>
      <w:r w:rsidR="0074682A" w:rsidRPr="003D3CF9">
        <w:rPr>
          <w:rFonts w:ascii="Times New Roman" w:eastAsia="Times New Roman" w:hAnsi="Times New Roman" w:cs="Times New Roman"/>
          <w:color w:val="000000" w:themeColor="text1"/>
          <w:lang w:val="en-US" w:eastAsia="en-GB"/>
        </w:rPr>
        <w:t>-0.05</w:t>
      </w:r>
      <w:r w:rsidR="00B477C0" w:rsidRPr="003D3CF9">
        <w:rPr>
          <w:rFonts w:ascii="Times New Roman" w:eastAsia="Times New Roman" w:hAnsi="Times New Roman" w:cs="Times New Roman"/>
          <w:color w:val="000000" w:themeColor="text1"/>
          <w:lang w:val="en-US" w:eastAsia="en-GB"/>
        </w:rPr>
        <w:t xml:space="preserve">, </w:t>
      </w:r>
      <w:r w:rsidR="0074682A" w:rsidRPr="003D3CF9">
        <w:rPr>
          <w:rFonts w:ascii="Times New Roman" w:eastAsia="Times New Roman" w:hAnsi="Times New Roman" w:cs="Times New Roman"/>
          <w:color w:val="000000" w:themeColor="text1"/>
          <w:lang w:val="en-US" w:eastAsia="en-GB"/>
        </w:rPr>
        <w:t>-0.6</w:t>
      </w:r>
      <w:r w:rsidR="00B477C0"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 xml:space="preserve">=0.023).  Age inversely associated with repolarization duration (ARIc: </w:t>
      </w:r>
      <w:r w:rsidRPr="003D3CF9">
        <w:rPr>
          <w:rFonts w:ascii="Times New Roman" w:eastAsia="Times New Roman" w:hAnsi="Times New Roman" w:cs="Times New Roman"/>
          <w:i/>
          <w:iCs/>
          <w:color w:val="000000" w:themeColor="text1"/>
          <w:lang w:val="en-US" w:eastAsia="en-GB"/>
        </w:rPr>
        <w:t>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=-0.32</w:t>
      </w:r>
      <w:r w:rsidR="0074682A" w:rsidRPr="003D3CF9">
        <w:rPr>
          <w:rFonts w:ascii="Times New Roman" w:eastAsia="Times New Roman" w:hAnsi="Times New Roman" w:cs="Times New Roman"/>
          <w:color w:val="000000" w:themeColor="text1"/>
          <w:lang w:val="en-US" w:eastAsia="en-GB"/>
        </w:rPr>
        <w:t xml:space="preserve"> </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-0.009,-0.6</w:t>
      </w:r>
      <w:r w:rsidR="00CE165C" w:rsidRPr="003D3CF9">
        <w:rPr>
          <w:rFonts w:ascii="Times New Roman" w:eastAsia="Times New Roman" w:hAnsi="Times New Roman" w:cs="Times New Roman"/>
          <w:color w:val="000000" w:themeColor="text1"/>
          <w:lang w:val="en-US" w:eastAsia="en-GB"/>
        </w:rPr>
        <w:t>]</w:t>
      </w:r>
      <w:r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 xml:space="preserve">=0.05; RTc:  </w:t>
      </w:r>
      <w:r w:rsidRPr="003D3CF9">
        <w:rPr>
          <w:rFonts w:ascii="Times New Roman" w:eastAsia="Times New Roman" w:hAnsi="Times New Roman" w:cs="Times New Roman"/>
          <w:i/>
          <w:iCs/>
          <w:color w:val="000000" w:themeColor="text1"/>
          <w:lang w:val="en-US" w:eastAsia="en-GB"/>
        </w:rPr>
        <w:t>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 xml:space="preserve">=-0.35 </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-0.01,</w:t>
      </w:r>
      <w:r w:rsidR="00CE165C" w:rsidRPr="003D3CF9">
        <w:rPr>
          <w:rFonts w:ascii="Times New Roman" w:eastAsia="Times New Roman" w:hAnsi="Times New Roman" w:cs="Times New Roman"/>
          <w:color w:val="000000" w:themeColor="text1"/>
          <w:lang w:val="en-US" w:eastAsia="en-GB"/>
        </w:rPr>
        <w:t xml:space="preserve"> </w:t>
      </w:r>
      <w:r w:rsidR="0074682A" w:rsidRPr="003D3CF9">
        <w:rPr>
          <w:rFonts w:ascii="Times New Roman" w:eastAsia="Times New Roman" w:hAnsi="Times New Roman" w:cs="Times New Roman"/>
          <w:color w:val="000000" w:themeColor="text1"/>
          <w:lang w:val="en-US" w:eastAsia="en-GB"/>
        </w:rPr>
        <w:t>-0.6</w:t>
      </w:r>
      <w:r w:rsidR="00CE165C" w:rsidRPr="003D3CF9">
        <w:rPr>
          <w:rFonts w:ascii="Times New Roman" w:eastAsia="Times New Roman" w:hAnsi="Times New Roman" w:cs="Times New Roman"/>
          <w:color w:val="000000" w:themeColor="text1"/>
          <w:lang w:val="en-US" w:eastAsia="en-GB"/>
        </w:rPr>
        <w:t>]</w:t>
      </w:r>
      <w:r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=0.039) and inversely associated with G</w:t>
      </w:r>
      <w:r w:rsidRPr="003D3CF9">
        <w:rPr>
          <w:rFonts w:ascii="Times New Roman" w:eastAsia="Times New Roman" w:hAnsi="Times New Roman" w:cs="Times New Roman"/>
          <w:color w:val="000000" w:themeColor="text1"/>
          <w:vertAlign w:val="subscript"/>
          <w:lang w:val="en-US" w:eastAsia="en-GB"/>
        </w:rPr>
        <w:t>RTc</w:t>
      </w:r>
      <w:r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 xml:space="preserve">=-0.39 </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-0.07, -0.6</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 xml:space="preserve">=0.017).  </w:t>
      </w:r>
    </w:p>
    <w:p w14:paraId="5FD8F855" w14:textId="6DEF31D7" w:rsidR="00462106" w:rsidRPr="003D3CF9" w:rsidRDefault="00462106" w:rsidP="00C907B2">
      <w:pPr>
        <w:pStyle w:val="NoSpacing"/>
        <w:jc w:val="both"/>
        <w:rPr>
          <w:rFonts w:ascii="Times New Roman" w:eastAsia="Times New Roman" w:hAnsi="Times New Roman" w:cs="Times New Roman"/>
          <w:color w:val="000000" w:themeColor="text1"/>
          <w:lang w:val="en-US" w:eastAsia="en-GB"/>
        </w:rPr>
      </w:pPr>
      <w:r w:rsidRPr="003D3CF9">
        <w:rPr>
          <w:rFonts w:ascii="Times New Roman" w:eastAsia="Times New Roman" w:hAnsi="Times New Roman" w:cs="Times New Roman"/>
          <w:color w:val="000000" w:themeColor="text1"/>
          <w:lang w:val="en-US" w:eastAsia="en-GB"/>
        </w:rPr>
        <w:t xml:space="preserve">Male sex was associated with </w:t>
      </w:r>
      <w:r w:rsidR="0074682A" w:rsidRPr="003D3CF9">
        <w:rPr>
          <w:rFonts w:ascii="Times New Roman" w:eastAsia="Times New Roman" w:hAnsi="Times New Roman" w:cs="Times New Roman"/>
          <w:color w:val="000000" w:themeColor="text1"/>
          <w:lang w:val="en-US" w:eastAsia="en-GB"/>
        </w:rPr>
        <w:t xml:space="preserve">mean </w:t>
      </w:r>
      <w:r w:rsidRPr="003D3CF9">
        <w:rPr>
          <w:rFonts w:ascii="Times New Roman" w:eastAsia="Times New Roman" w:hAnsi="Times New Roman" w:cs="Times New Roman"/>
          <w:color w:val="000000" w:themeColor="text1"/>
          <w:lang w:val="en-US" w:eastAsia="en-GB"/>
        </w:rPr>
        <w:t>AT (</w:t>
      </w:r>
      <w:r w:rsidRPr="003D3CF9">
        <w:rPr>
          <w:rFonts w:ascii="Times New Roman" w:eastAsia="Times New Roman" w:hAnsi="Times New Roman" w:cs="Times New Roman"/>
          <w:i/>
          <w:iCs/>
          <w:color w:val="000000" w:themeColor="text1"/>
          <w:lang w:val="en-US" w:eastAsia="en-GB"/>
        </w:rPr>
        <w:t>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=0.35</w:t>
      </w:r>
      <w:r w:rsidR="0074682A" w:rsidRPr="003D3CF9">
        <w:rPr>
          <w:rFonts w:ascii="Times New Roman" w:eastAsia="Times New Roman" w:hAnsi="Times New Roman" w:cs="Times New Roman"/>
          <w:color w:val="000000" w:themeColor="text1"/>
          <w:lang w:val="en-US" w:eastAsia="en-GB"/>
        </w:rPr>
        <w:t xml:space="preserve"> </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0.02</w:t>
      </w:r>
      <w:r w:rsidR="00CE165C" w:rsidRPr="003D3CF9">
        <w:rPr>
          <w:rFonts w:ascii="Times New Roman" w:eastAsia="Times New Roman" w:hAnsi="Times New Roman" w:cs="Times New Roman"/>
          <w:color w:val="000000" w:themeColor="text1"/>
          <w:lang w:val="en-US" w:eastAsia="en-GB"/>
        </w:rPr>
        <w:t xml:space="preserve">, </w:t>
      </w:r>
      <w:r w:rsidR="0074682A" w:rsidRPr="003D3CF9">
        <w:rPr>
          <w:rFonts w:ascii="Times New Roman" w:eastAsia="Times New Roman" w:hAnsi="Times New Roman" w:cs="Times New Roman"/>
          <w:color w:val="000000" w:themeColor="text1"/>
          <w:lang w:val="en-US" w:eastAsia="en-GB"/>
        </w:rPr>
        <w:t>0.6</w:t>
      </w:r>
      <w:r w:rsidR="00CE165C" w:rsidRPr="003D3CF9">
        <w:rPr>
          <w:rFonts w:ascii="Times New Roman" w:eastAsia="Times New Roman" w:hAnsi="Times New Roman" w:cs="Times New Roman"/>
          <w:color w:val="000000" w:themeColor="text1"/>
          <w:lang w:val="en-US" w:eastAsia="en-GB"/>
        </w:rPr>
        <w:t>]</w:t>
      </w:r>
      <w:r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 xml:space="preserve">=0.033), and inversely with repolarization duration (ARIc: </w:t>
      </w:r>
      <w:r w:rsidRPr="003D3CF9">
        <w:rPr>
          <w:rFonts w:ascii="Times New Roman" w:eastAsia="Times New Roman" w:hAnsi="Times New Roman" w:cs="Times New Roman"/>
          <w:i/>
          <w:iCs/>
          <w:color w:val="000000" w:themeColor="text1"/>
          <w:lang w:val="en-US" w:eastAsia="en-GB"/>
        </w:rPr>
        <w:t>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=-0.44</w:t>
      </w:r>
      <w:r w:rsidR="0074682A" w:rsidRPr="003D3CF9">
        <w:rPr>
          <w:rFonts w:ascii="Times New Roman" w:eastAsia="Times New Roman" w:hAnsi="Times New Roman" w:cs="Times New Roman"/>
          <w:color w:val="000000" w:themeColor="text1"/>
          <w:lang w:val="en-US" w:eastAsia="en-GB"/>
        </w:rPr>
        <w:t xml:space="preserve"> </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-0.1,</w:t>
      </w:r>
      <w:r w:rsidR="00CE165C" w:rsidRPr="003D3CF9">
        <w:rPr>
          <w:rFonts w:ascii="Times New Roman" w:eastAsia="Times New Roman" w:hAnsi="Times New Roman" w:cs="Times New Roman"/>
          <w:color w:val="000000" w:themeColor="text1"/>
          <w:lang w:val="en-US" w:eastAsia="en-GB"/>
        </w:rPr>
        <w:t xml:space="preserve"> </w:t>
      </w:r>
      <w:r w:rsidR="0074682A" w:rsidRPr="003D3CF9">
        <w:rPr>
          <w:rFonts w:ascii="Times New Roman" w:eastAsia="Times New Roman" w:hAnsi="Times New Roman" w:cs="Times New Roman"/>
          <w:color w:val="000000" w:themeColor="text1"/>
          <w:lang w:val="en-US" w:eastAsia="en-GB"/>
        </w:rPr>
        <w:t>-0.7</w:t>
      </w:r>
      <w:r w:rsidR="00CE165C" w:rsidRPr="003D3CF9">
        <w:rPr>
          <w:rFonts w:ascii="Times New Roman" w:eastAsia="Times New Roman" w:hAnsi="Times New Roman" w:cs="Times New Roman"/>
          <w:color w:val="000000" w:themeColor="text1"/>
          <w:lang w:val="en-US" w:eastAsia="en-GB"/>
        </w:rPr>
        <w:t>]</w:t>
      </w:r>
      <w:r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=0.</w:t>
      </w:r>
      <w:r w:rsidR="0074682A" w:rsidRPr="003D3CF9">
        <w:rPr>
          <w:rFonts w:ascii="Times New Roman" w:eastAsia="Times New Roman" w:hAnsi="Times New Roman" w:cs="Times New Roman"/>
          <w:color w:val="000000" w:themeColor="text1"/>
          <w:lang w:val="en-US" w:eastAsia="en-GB"/>
        </w:rPr>
        <w:t>007</w:t>
      </w:r>
      <w:r w:rsidRPr="003D3CF9">
        <w:rPr>
          <w:rFonts w:ascii="Times New Roman" w:eastAsia="Times New Roman" w:hAnsi="Times New Roman" w:cs="Times New Roman"/>
          <w:color w:val="000000" w:themeColor="text1"/>
          <w:lang w:val="en-US" w:eastAsia="en-GB"/>
        </w:rPr>
        <w:t xml:space="preserve">; RTc: </w:t>
      </w:r>
      <w:r w:rsidRPr="003D3CF9">
        <w:rPr>
          <w:rFonts w:ascii="Times New Roman" w:eastAsia="Times New Roman" w:hAnsi="Times New Roman" w:cs="Times New Roman"/>
          <w:i/>
          <w:iCs/>
          <w:color w:val="000000" w:themeColor="text1"/>
          <w:lang w:val="en-US" w:eastAsia="en-GB"/>
        </w:rPr>
        <w:t>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=-0.50</w:t>
      </w:r>
      <w:r w:rsidR="0074682A" w:rsidRPr="003D3CF9">
        <w:rPr>
          <w:rFonts w:ascii="Times New Roman" w:eastAsia="Times New Roman" w:hAnsi="Times New Roman" w:cs="Times New Roman"/>
          <w:color w:val="000000" w:themeColor="text1"/>
          <w:lang w:val="en-US" w:eastAsia="en-GB"/>
        </w:rPr>
        <w:t xml:space="preserve"> </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-0.2, -0.7</w:t>
      </w:r>
      <w:r w:rsidR="00CE165C" w:rsidRPr="003D3CF9">
        <w:rPr>
          <w:rFonts w:ascii="Times New Roman" w:eastAsia="Times New Roman" w:hAnsi="Times New Roman" w:cs="Times New Roman"/>
          <w:color w:val="000000" w:themeColor="text1"/>
          <w:lang w:val="en-US" w:eastAsia="en-GB"/>
        </w:rPr>
        <w:t>]</w:t>
      </w:r>
      <w:r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 xml:space="preserve">=0.002).  Male sex was inversely associated with </w:t>
      </w:r>
      <w:r w:rsidR="0074682A" w:rsidRPr="003D3CF9">
        <w:rPr>
          <w:rFonts w:ascii="Times New Roman" w:eastAsia="Times New Roman" w:hAnsi="Times New Roman" w:cs="Times New Roman"/>
          <w:color w:val="000000" w:themeColor="text1"/>
          <w:lang w:val="en-US" w:eastAsia="en-GB"/>
        </w:rPr>
        <w:t>mean G</w:t>
      </w:r>
      <w:r w:rsidR="0074682A" w:rsidRPr="003D3CF9">
        <w:rPr>
          <w:rFonts w:ascii="Times New Roman" w:eastAsia="Times New Roman" w:hAnsi="Times New Roman" w:cs="Times New Roman"/>
          <w:color w:val="000000" w:themeColor="text1"/>
          <w:vertAlign w:val="subscript"/>
          <w:lang w:val="en-US" w:eastAsia="en-GB"/>
        </w:rPr>
        <w:t xml:space="preserve">RTc </w:t>
      </w:r>
      <w:r w:rsidRPr="003D3CF9">
        <w:rPr>
          <w:rFonts w:ascii="Times New Roman" w:eastAsia="Times New Roman" w:hAnsi="Times New Roman" w:cs="Times New Roman"/>
          <w:color w:val="000000" w:themeColor="text1"/>
          <w:lang w:val="en-US" w:eastAsia="en-GB"/>
        </w:rPr>
        <w:t>(</w:t>
      </w:r>
      <w:r w:rsidRPr="003D3CF9">
        <w:rPr>
          <w:rFonts w:ascii="Times New Roman" w:eastAsia="Times New Roman" w:hAnsi="Times New Roman" w:cs="Times New Roman"/>
          <w:i/>
          <w:iCs/>
          <w:color w:val="000000" w:themeColor="text1"/>
          <w:lang w:val="en-US" w:eastAsia="en-GB"/>
        </w:rPr>
        <w:t>r</w:t>
      </w:r>
      <w:r w:rsidRPr="003D3CF9">
        <w:rPr>
          <w:rFonts w:ascii="Times New Roman" w:eastAsia="Times New Roman" w:hAnsi="Times New Roman" w:cs="Times New Roman"/>
          <w:color w:val="000000" w:themeColor="text1"/>
          <w:vertAlign w:val="subscript"/>
          <w:lang w:val="en-US" w:eastAsia="en-GB"/>
        </w:rPr>
        <w:t>s</w:t>
      </w:r>
      <w:r w:rsidRPr="003D3CF9">
        <w:rPr>
          <w:rFonts w:ascii="Times New Roman" w:eastAsia="Times New Roman" w:hAnsi="Times New Roman" w:cs="Times New Roman"/>
          <w:color w:val="000000" w:themeColor="text1"/>
          <w:lang w:val="en-US" w:eastAsia="en-GB"/>
        </w:rPr>
        <w:t>=-0.38</w:t>
      </w:r>
      <w:r w:rsidR="0074682A" w:rsidRPr="003D3CF9">
        <w:rPr>
          <w:rFonts w:ascii="Times New Roman" w:eastAsia="Times New Roman" w:hAnsi="Times New Roman" w:cs="Times New Roman"/>
          <w:color w:val="000000" w:themeColor="text1"/>
          <w:lang w:val="en-US" w:eastAsia="en-GB"/>
        </w:rPr>
        <w:t xml:space="preserve"> </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 xml:space="preserve"> -0.05, -0.6</w:t>
      </w:r>
      <w:r w:rsidR="00CE165C" w:rsidRPr="003D3CF9">
        <w:rPr>
          <w:rFonts w:ascii="Times New Roman" w:eastAsia="Times New Roman" w:hAnsi="Times New Roman" w:cs="Times New Roman"/>
          <w:color w:val="000000" w:themeColor="text1"/>
          <w:lang w:val="en-US" w:eastAsia="en-GB"/>
        </w:rPr>
        <w:t>]</w:t>
      </w:r>
      <w:r w:rsidR="0074682A"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 xml:space="preserve">=0.022).    </w:t>
      </w:r>
    </w:p>
    <w:p w14:paraId="21BBB949" w14:textId="77777777" w:rsidR="00462106" w:rsidRPr="003D3CF9" w:rsidRDefault="00462106" w:rsidP="00C907B2">
      <w:pPr>
        <w:pStyle w:val="NoSpacing"/>
        <w:jc w:val="both"/>
        <w:rPr>
          <w:rFonts w:ascii="Times New Roman" w:eastAsia="Times New Roman" w:hAnsi="Times New Roman" w:cs="Times New Roman"/>
          <w:color w:val="000000" w:themeColor="text1"/>
          <w:lang w:val="en-US" w:eastAsia="en-GB"/>
        </w:rPr>
      </w:pPr>
      <w:r w:rsidRPr="003D3CF9">
        <w:rPr>
          <w:rFonts w:ascii="Times New Roman" w:eastAsia="Times New Roman" w:hAnsi="Times New Roman" w:cs="Times New Roman"/>
          <w:color w:val="000000" w:themeColor="text1"/>
          <w:lang w:val="en-US" w:eastAsia="en-GB"/>
        </w:rPr>
        <w:t>Ethnicity, BSA and BMI were not associated with any ECGI parameter.</w:t>
      </w:r>
    </w:p>
    <w:p w14:paraId="39BFE848" w14:textId="77777777" w:rsidR="00462106" w:rsidRPr="003D3CF9" w:rsidRDefault="00462106" w:rsidP="00C907B2">
      <w:pPr>
        <w:pStyle w:val="NoSpacing"/>
        <w:jc w:val="both"/>
        <w:rPr>
          <w:rFonts w:ascii="Times New Roman" w:eastAsia="Times New Roman" w:hAnsi="Times New Roman" w:cs="Times New Roman"/>
          <w:b/>
          <w:bCs/>
          <w:color w:val="000000" w:themeColor="text1"/>
          <w:u w:val="single"/>
          <w:lang w:val="en-US" w:eastAsia="en-GB"/>
        </w:rPr>
      </w:pPr>
    </w:p>
    <w:p w14:paraId="123EE5EE" w14:textId="77777777" w:rsidR="00462106" w:rsidRPr="003D3CF9" w:rsidRDefault="00462106" w:rsidP="00C907B2">
      <w:pPr>
        <w:pStyle w:val="NoSpacing"/>
        <w:jc w:val="both"/>
        <w:rPr>
          <w:rFonts w:ascii="Times New Roman" w:hAnsi="Times New Roman" w:cs="Times New Roman"/>
          <w:b/>
          <w:bCs/>
          <w:color w:val="000000" w:themeColor="text1"/>
          <w:lang w:val="en-US"/>
        </w:rPr>
      </w:pPr>
      <w:r w:rsidRPr="003D3CF9">
        <w:rPr>
          <w:rFonts w:ascii="Times New Roman" w:eastAsia="Times New Roman" w:hAnsi="Times New Roman" w:cs="Times New Roman"/>
          <w:b/>
          <w:bCs/>
          <w:color w:val="000000" w:themeColor="text1"/>
          <w:lang w:val="en-US" w:eastAsia="en-GB"/>
        </w:rPr>
        <w:t>Overt HCM with NSVT subgroup analysis</w:t>
      </w:r>
    </w:p>
    <w:p w14:paraId="120791C9" w14:textId="3D590848" w:rsidR="00462106" w:rsidRPr="003D3CF9" w:rsidRDefault="00462106" w:rsidP="00C907B2">
      <w:pPr>
        <w:pStyle w:val="NoSpacing"/>
        <w:jc w:val="both"/>
        <w:rPr>
          <w:rFonts w:ascii="Times New Roman" w:hAnsi="Times New Roman" w:cs="Times New Roman"/>
          <w:color w:val="000000" w:themeColor="text1"/>
          <w:lang w:val="en-US"/>
        </w:rPr>
      </w:pPr>
      <w:r w:rsidRPr="003D3CF9">
        <w:rPr>
          <w:rFonts w:ascii="Times New Roman" w:hAnsi="Times New Roman" w:cs="Times New Roman"/>
          <w:color w:val="000000" w:themeColor="text1"/>
          <w:lang w:val="en-US"/>
        </w:rPr>
        <w:t>16(15%)</w:t>
      </w:r>
      <w:r w:rsidR="00A35FA7" w:rsidRPr="003D3CF9">
        <w:rPr>
          <w:rFonts w:ascii="Times New Roman" w:hAnsi="Times New Roman" w:cs="Times New Roman"/>
          <w:color w:val="000000" w:themeColor="text1"/>
          <w:lang w:val="en-US"/>
        </w:rPr>
        <w:t xml:space="preserve"> of</w:t>
      </w:r>
      <w:r w:rsidRPr="003D3CF9">
        <w:rPr>
          <w:rFonts w:ascii="Times New Roman" w:hAnsi="Times New Roman" w:cs="Times New Roman"/>
          <w:color w:val="000000" w:themeColor="text1"/>
          <w:lang w:val="en-US"/>
        </w:rPr>
        <w:t xml:space="preserve"> patients with overt HCM had NSVT.  </w:t>
      </w:r>
      <w:r w:rsidR="00EA6534" w:rsidRPr="003D3CF9">
        <w:rPr>
          <w:rFonts w:ascii="Times New Roman" w:hAnsi="Times New Roman" w:cs="Times New Roman"/>
          <w:color w:val="000000" w:themeColor="text1"/>
          <w:lang w:val="en-US"/>
        </w:rPr>
        <w:t>Compared to those without NSVT, t</w:t>
      </w:r>
      <w:r w:rsidRPr="003D3CF9">
        <w:rPr>
          <w:rFonts w:ascii="Times New Roman" w:hAnsi="Times New Roman" w:cs="Times New Roman"/>
          <w:color w:val="000000" w:themeColor="text1"/>
          <w:lang w:val="en-US"/>
        </w:rPr>
        <w:t xml:space="preserve">hese </w:t>
      </w:r>
      <w:r w:rsidR="00EA6534" w:rsidRPr="003D3CF9">
        <w:rPr>
          <w:rFonts w:ascii="Times New Roman" w:hAnsi="Times New Roman" w:cs="Times New Roman"/>
          <w:color w:val="000000" w:themeColor="text1"/>
          <w:lang w:val="en-US"/>
        </w:rPr>
        <w:t xml:space="preserve">patients </w:t>
      </w:r>
      <w:r w:rsidRPr="003D3CF9">
        <w:rPr>
          <w:rFonts w:ascii="Times New Roman" w:hAnsi="Times New Roman" w:cs="Times New Roman"/>
          <w:color w:val="000000" w:themeColor="text1"/>
          <w:lang w:val="en-US"/>
        </w:rPr>
        <w:t xml:space="preserve">were similar in </w:t>
      </w:r>
      <w:r w:rsidR="00EA6534" w:rsidRPr="003D3CF9">
        <w:rPr>
          <w:rFonts w:ascii="Times New Roman" w:hAnsi="Times New Roman" w:cs="Times New Roman"/>
          <w:color w:val="000000" w:themeColor="text1"/>
          <w:lang w:val="en-US"/>
        </w:rPr>
        <w:t xml:space="preserve">terms of </w:t>
      </w:r>
      <w:r w:rsidRPr="003D3CF9">
        <w:rPr>
          <w:rFonts w:ascii="Times New Roman" w:hAnsi="Times New Roman" w:cs="Times New Roman"/>
          <w:color w:val="000000" w:themeColor="text1"/>
          <w:lang w:val="en-US"/>
        </w:rPr>
        <w:t>age (</w:t>
      </w:r>
      <w:r w:rsidRPr="003D3CF9">
        <w:rPr>
          <w:rFonts w:ascii="Times New Roman" w:hAnsi="Times New Roman" w:cs="Times New Roman"/>
          <w:i/>
          <w:iCs/>
          <w:color w:val="000000" w:themeColor="text1"/>
          <w:lang w:val="en-US"/>
        </w:rPr>
        <w:t>p</w:t>
      </w:r>
      <w:r w:rsidRPr="003D3CF9">
        <w:rPr>
          <w:rFonts w:ascii="Times New Roman" w:hAnsi="Times New Roman" w:cs="Times New Roman"/>
          <w:color w:val="000000" w:themeColor="text1"/>
          <w:lang w:val="en-US"/>
        </w:rPr>
        <w:t>=0.07), sex (</w:t>
      </w:r>
      <w:r w:rsidRPr="003D3CF9">
        <w:rPr>
          <w:rFonts w:ascii="Times New Roman" w:hAnsi="Times New Roman" w:cs="Times New Roman"/>
          <w:i/>
          <w:iCs/>
          <w:color w:val="000000" w:themeColor="text1"/>
          <w:lang w:val="en-US"/>
        </w:rPr>
        <w:t>p</w:t>
      </w:r>
      <w:r w:rsidRPr="003D3CF9">
        <w:rPr>
          <w:rFonts w:ascii="Times New Roman" w:hAnsi="Times New Roman" w:cs="Times New Roman"/>
          <w:color w:val="000000" w:themeColor="text1"/>
          <w:lang w:val="en-US"/>
        </w:rPr>
        <w:t>=0.46) and ethnicity (</w:t>
      </w:r>
      <w:r w:rsidRPr="003D3CF9">
        <w:rPr>
          <w:rFonts w:ascii="Times New Roman" w:hAnsi="Times New Roman" w:cs="Times New Roman"/>
          <w:i/>
          <w:iCs/>
          <w:color w:val="000000" w:themeColor="text1"/>
          <w:lang w:val="en-US"/>
        </w:rPr>
        <w:t>p</w:t>
      </w:r>
      <w:r w:rsidRPr="003D3CF9">
        <w:rPr>
          <w:rFonts w:ascii="Times New Roman" w:hAnsi="Times New Roman" w:cs="Times New Roman"/>
          <w:color w:val="000000" w:themeColor="text1"/>
          <w:lang w:val="en-US"/>
        </w:rPr>
        <w:t xml:space="preserve">=0.46), </w:t>
      </w:r>
      <w:r w:rsidR="00EA6534" w:rsidRPr="003D3CF9">
        <w:rPr>
          <w:rFonts w:ascii="Times New Roman" w:hAnsi="Times New Roman" w:cs="Times New Roman"/>
          <w:color w:val="000000" w:themeColor="text1"/>
          <w:lang w:val="en-US"/>
        </w:rPr>
        <w:t xml:space="preserve">but they  </w:t>
      </w:r>
      <w:r w:rsidRPr="003D3CF9">
        <w:rPr>
          <w:rFonts w:ascii="Times New Roman" w:hAnsi="Times New Roman" w:cs="Times New Roman"/>
          <w:color w:val="000000" w:themeColor="text1"/>
          <w:lang w:val="en-US"/>
        </w:rPr>
        <w:t>had higher MWT (</w:t>
      </w:r>
      <w:r w:rsidR="000508B4" w:rsidRPr="003D3CF9">
        <w:rPr>
          <w:rFonts w:ascii="Times New Roman" w:hAnsi="Times New Roman" w:cs="Times New Roman"/>
          <w:color w:val="000000" w:themeColor="text1"/>
          <w:lang w:val="en-US"/>
        </w:rPr>
        <w:t xml:space="preserve">19.0(17-24)mm vs </w:t>
      </w:r>
      <w:r w:rsidRPr="003D3CF9">
        <w:rPr>
          <w:rFonts w:ascii="Times New Roman" w:hAnsi="Times New Roman" w:cs="Times New Roman"/>
          <w:color w:val="000000" w:themeColor="text1"/>
          <w:lang w:val="en-US"/>
        </w:rPr>
        <w:t xml:space="preserve">13.5(10-18)mm </w:t>
      </w:r>
      <w:r w:rsidRPr="003D3CF9">
        <w:rPr>
          <w:rFonts w:ascii="Times New Roman" w:hAnsi="Times New Roman" w:cs="Times New Roman"/>
          <w:i/>
          <w:iCs/>
          <w:color w:val="000000" w:themeColor="text1"/>
          <w:lang w:val="en-US"/>
        </w:rPr>
        <w:t>p</w:t>
      </w:r>
      <w:r w:rsidRPr="003D3CF9">
        <w:rPr>
          <w:rFonts w:ascii="Times New Roman" w:hAnsi="Times New Roman" w:cs="Times New Roman"/>
          <w:color w:val="000000" w:themeColor="text1"/>
          <w:lang w:val="en-US"/>
        </w:rPr>
        <w:t>=0.01) and LGE volume (</w:t>
      </w:r>
      <w:r w:rsidR="000508B4" w:rsidRPr="003D3CF9">
        <w:rPr>
          <w:rFonts w:ascii="Times New Roman" w:hAnsi="Times New Roman" w:cs="Times New Roman"/>
          <w:color w:val="000000" w:themeColor="text1"/>
          <w:lang w:val="en-US"/>
        </w:rPr>
        <w:t>16.6(9-32)g vs 1.6</w:t>
      </w:r>
      <w:r w:rsidRPr="003D3CF9">
        <w:rPr>
          <w:rFonts w:ascii="Times New Roman" w:hAnsi="Times New Roman" w:cs="Times New Roman"/>
          <w:color w:val="000000" w:themeColor="text1"/>
          <w:lang w:val="en-US"/>
        </w:rPr>
        <w:t>(</w:t>
      </w:r>
      <w:r w:rsidR="000508B4" w:rsidRPr="003D3CF9">
        <w:rPr>
          <w:rFonts w:ascii="Times New Roman" w:hAnsi="Times New Roman" w:cs="Times New Roman"/>
          <w:color w:val="000000" w:themeColor="text1"/>
          <w:lang w:val="en-US"/>
        </w:rPr>
        <w:t>0</w:t>
      </w:r>
      <w:r w:rsidRPr="003D3CF9">
        <w:rPr>
          <w:rFonts w:ascii="Times New Roman" w:hAnsi="Times New Roman" w:cs="Times New Roman"/>
          <w:color w:val="000000" w:themeColor="text1"/>
          <w:lang w:val="en-US"/>
        </w:rPr>
        <w:t>-13)g</w:t>
      </w:r>
      <w:r w:rsidR="000508B4" w:rsidRPr="003D3CF9">
        <w:rPr>
          <w:rFonts w:ascii="Times New Roman" w:hAnsi="Times New Roman" w:cs="Times New Roman"/>
          <w:color w:val="000000" w:themeColor="text1"/>
          <w:lang w:val="en-US"/>
        </w:rPr>
        <w:t>,</w:t>
      </w:r>
      <w:r w:rsidRPr="003D3CF9">
        <w:rPr>
          <w:rFonts w:ascii="Times New Roman" w:hAnsi="Times New Roman" w:cs="Times New Roman"/>
          <w:color w:val="000000" w:themeColor="text1"/>
          <w:lang w:val="en-US"/>
        </w:rPr>
        <w:t xml:space="preserve"> </w:t>
      </w:r>
      <w:r w:rsidRPr="003D3CF9">
        <w:rPr>
          <w:rFonts w:ascii="Times New Roman" w:hAnsi="Times New Roman" w:cs="Times New Roman"/>
          <w:i/>
          <w:iCs/>
          <w:color w:val="000000" w:themeColor="text1"/>
          <w:lang w:val="en-US"/>
        </w:rPr>
        <w:t>p</w:t>
      </w:r>
      <w:r w:rsidRPr="003D3CF9">
        <w:rPr>
          <w:rFonts w:ascii="Times New Roman" w:hAnsi="Times New Roman" w:cs="Times New Roman"/>
          <w:color w:val="000000" w:themeColor="text1"/>
          <w:lang w:val="en-US"/>
        </w:rPr>
        <w:t>&lt;0.001) and more spatially heterogenous conduction (G</w:t>
      </w:r>
      <w:r w:rsidRPr="003D3CF9">
        <w:rPr>
          <w:rFonts w:ascii="Times New Roman" w:hAnsi="Times New Roman" w:cs="Times New Roman"/>
          <w:color w:val="000000" w:themeColor="text1"/>
          <w:vertAlign w:val="subscript"/>
          <w:lang w:val="en-US"/>
        </w:rPr>
        <w:t>ATmax</w:t>
      </w:r>
      <w:r w:rsidR="000508B4" w:rsidRPr="003D3CF9">
        <w:rPr>
          <w:rFonts w:ascii="Times New Roman" w:hAnsi="Times New Roman" w:cs="Times New Roman"/>
          <w:color w:val="000000" w:themeColor="text1"/>
          <w:lang w:val="en-US"/>
        </w:rPr>
        <w:t>:</w:t>
      </w:r>
      <w:r w:rsidRPr="003D3CF9">
        <w:rPr>
          <w:rFonts w:ascii="Times New Roman" w:hAnsi="Times New Roman" w:cs="Times New Roman"/>
          <w:color w:val="000000" w:themeColor="text1"/>
          <w:lang w:val="en-US"/>
        </w:rPr>
        <w:t xml:space="preserve"> </w:t>
      </w:r>
      <w:r w:rsidRPr="003D3CF9">
        <w:rPr>
          <w:rFonts w:ascii="Times New Roman" w:hAnsi="Times New Roman" w:cs="Times New Roman"/>
          <w:i/>
          <w:iCs/>
          <w:color w:val="000000" w:themeColor="text1"/>
          <w:lang w:val="en-US"/>
        </w:rPr>
        <w:t>p</w:t>
      </w:r>
      <w:r w:rsidRPr="003D3CF9">
        <w:rPr>
          <w:rFonts w:ascii="Times New Roman" w:hAnsi="Times New Roman" w:cs="Times New Roman"/>
          <w:color w:val="000000" w:themeColor="text1"/>
          <w:lang w:val="en-US"/>
        </w:rPr>
        <w:t>=0.</w:t>
      </w:r>
      <w:r w:rsidR="000508B4" w:rsidRPr="003D3CF9">
        <w:rPr>
          <w:rFonts w:ascii="Times New Roman" w:hAnsi="Times New Roman" w:cs="Times New Roman"/>
          <w:color w:val="000000" w:themeColor="text1"/>
          <w:lang w:val="en-US"/>
        </w:rPr>
        <w:t>012</w:t>
      </w:r>
      <w:r w:rsidRPr="003D3CF9">
        <w:rPr>
          <w:rFonts w:ascii="Times New Roman" w:hAnsi="Times New Roman" w:cs="Times New Roman"/>
          <w:color w:val="000000" w:themeColor="text1"/>
          <w:lang w:val="en-US"/>
        </w:rPr>
        <w:t xml:space="preserve">).  Differences remained after adjustment for MWT and LGE volume </w:t>
      </w:r>
      <w:r w:rsidR="005A6DE7" w:rsidRPr="003D3CF9">
        <w:rPr>
          <w:rFonts w:ascii="Times New Roman" w:hAnsi="Times New Roman" w:cs="Times New Roman"/>
          <w:color w:val="000000" w:themeColor="text1"/>
          <w:lang w:val="en-US"/>
        </w:rPr>
        <w:t>(</w:t>
      </w:r>
      <w:r w:rsidR="005F20BD" w:rsidRPr="003D3CF9">
        <w:rPr>
          <w:rFonts w:ascii="Times New Roman" w:hAnsi="Times New Roman" w:cs="Times New Roman"/>
          <w:color w:val="000000" w:themeColor="text1"/>
          <w:lang w:val="en-US"/>
        </w:rPr>
        <w:t>ß</w:t>
      </w:r>
      <w:r w:rsidRPr="003D3CF9">
        <w:rPr>
          <w:rFonts w:ascii="Times New Roman" w:hAnsi="Times New Roman" w:cs="Times New Roman"/>
          <w:color w:val="000000" w:themeColor="text1"/>
          <w:lang w:val="en-US"/>
        </w:rPr>
        <w:t xml:space="preserve">=0.026 </w:t>
      </w:r>
      <w:r w:rsidR="005A6DE7" w:rsidRPr="003D3CF9">
        <w:rPr>
          <w:rFonts w:ascii="Times New Roman" w:hAnsi="Times New Roman" w:cs="Times New Roman"/>
          <w:color w:val="000000" w:themeColor="text1"/>
          <w:lang w:val="en-US"/>
        </w:rPr>
        <w:t>[</w:t>
      </w:r>
      <w:r w:rsidRPr="003D3CF9">
        <w:rPr>
          <w:rFonts w:ascii="Times New Roman" w:hAnsi="Times New Roman" w:cs="Times New Roman"/>
          <w:color w:val="000000" w:themeColor="text1"/>
          <w:lang w:val="en-US"/>
        </w:rPr>
        <w:t>0.1,</w:t>
      </w:r>
      <w:r w:rsidR="005A6DE7" w:rsidRPr="003D3CF9">
        <w:rPr>
          <w:rFonts w:ascii="Times New Roman" w:hAnsi="Times New Roman" w:cs="Times New Roman"/>
          <w:color w:val="000000" w:themeColor="text1"/>
          <w:lang w:val="en-US"/>
        </w:rPr>
        <w:t xml:space="preserve"> </w:t>
      </w:r>
      <w:r w:rsidRPr="003D3CF9">
        <w:rPr>
          <w:rFonts w:ascii="Times New Roman" w:hAnsi="Times New Roman" w:cs="Times New Roman"/>
          <w:color w:val="000000" w:themeColor="text1"/>
          <w:lang w:val="en-US"/>
        </w:rPr>
        <w:t>0.5</w:t>
      </w:r>
      <w:r w:rsidR="005A6DE7" w:rsidRPr="003D3CF9">
        <w:rPr>
          <w:rFonts w:ascii="Times New Roman" w:hAnsi="Times New Roman" w:cs="Times New Roman"/>
          <w:color w:val="000000" w:themeColor="text1"/>
          <w:lang w:val="en-US"/>
        </w:rPr>
        <w:t>]</w:t>
      </w:r>
      <w:r w:rsidRPr="003D3CF9">
        <w:rPr>
          <w:rFonts w:ascii="Times New Roman" w:hAnsi="Times New Roman" w:cs="Times New Roman"/>
          <w:color w:val="000000" w:themeColor="text1"/>
          <w:lang w:val="en-US"/>
        </w:rPr>
        <w:t xml:space="preserve"> </w:t>
      </w:r>
      <w:r w:rsidRPr="003D3CF9">
        <w:rPr>
          <w:rFonts w:ascii="Times New Roman" w:hAnsi="Times New Roman" w:cs="Times New Roman"/>
          <w:i/>
          <w:iCs/>
          <w:color w:val="000000" w:themeColor="text1"/>
          <w:lang w:val="en-US"/>
        </w:rPr>
        <w:t>p</w:t>
      </w:r>
      <w:r w:rsidRPr="003D3CF9">
        <w:rPr>
          <w:rFonts w:ascii="Times New Roman" w:hAnsi="Times New Roman" w:cs="Times New Roman"/>
          <w:color w:val="000000" w:themeColor="text1"/>
          <w:lang w:val="en-US"/>
        </w:rPr>
        <w:t>=0.016).</w:t>
      </w:r>
    </w:p>
    <w:p w14:paraId="477099F2" w14:textId="77777777" w:rsidR="00462106" w:rsidRPr="003D3CF9" w:rsidRDefault="00462106" w:rsidP="00C907B2">
      <w:pPr>
        <w:pStyle w:val="NoSpacing"/>
        <w:jc w:val="both"/>
        <w:rPr>
          <w:rFonts w:ascii="Times New Roman" w:eastAsia="Times New Roman" w:hAnsi="Times New Roman" w:cs="Times New Roman"/>
          <w:b/>
          <w:bCs/>
          <w:color w:val="000000" w:themeColor="text1"/>
          <w:u w:val="single"/>
          <w:lang w:val="en-US" w:eastAsia="en-GB"/>
        </w:rPr>
      </w:pPr>
    </w:p>
    <w:p w14:paraId="45CEAF28" w14:textId="77777777" w:rsidR="00462106" w:rsidRPr="003D3CF9" w:rsidRDefault="00462106" w:rsidP="00C907B2">
      <w:pPr>
        <w:pStyle w:val="NoSpacing"/>
        <w:jc w:val="both"/>
        <w:rPr>
          <w:rFonts w:ascii="Times New Roman" w:hAnsi="Times New Roman" w:cs="Times New Roman"/>
          <w:color w:val="000000" w:themeColor="text1"/>
          <w:lang w:val="en-US"/>
        </w:rPr>
      </w:pPr>
      <w:r w:rsidRPr="003D3CF9">
        <w:rPr>
          <w:rFonts w:ascii="Times New Roman" w:hAnsi="Times New Roman" w:cs="Times New Roman"/>
          <w:b/>
          <w:bCs/>
          <w:color w:val="000000" w:themeColor="text1"/>
          <w:lang w:val="en-US"/>
        </w:rPr>
        <w:t>Gene Specific Analysis</w:t>
      </w:r>
    </w:p>
    <w:p w14:paraId="25226DFF" w14:textId="4F6C2E1B" w:rsidR="00462106" w:rsidRPr="003D3CF9" w:rsidRDefault="00462106" w:rsidP="00C907B2">
      <w:pPr>
        <w:pStyle w:val="NoSpacing"/>
        <w:jc w:val="both"/>
        <w:rPr>
          <w:rFonts w:ascii="Times New Roman" w:eastAsia="Times New Roman" w:hAnsi="Times New Roman" w:cs="Times New Roman"/>
          <w:color w:val="000000" w:themeColor="text1"/>
          <w:lang w:val="en-US" w:eastAsia="en-GB"/>
        </w:rPr>
      </w:pPr>
      <w:r w:rsidRPr="003D3CF9">
        <w:rPr>
          <w:rFonts w:ascii="Times New Roman" w:eastAsia="Times New Roman" w:hAnsi="Times New Roman" w:cs="Times New Roman"/>
          <w:color w:val="000000" w:themeColor="text1"/>
          <w:lang w:val="en-US" w:eastAsia="en-GB"/>
        </w:rPr>
        <w:t xml:space="preserve">There were no differences in ECGI parameters between carriers of </w:t>
      </w:r>
      <w:r w:rsidRPr="003D3CF9">
        <w:rPr>
          <w:rFonts w:ascii="Times New Roman" w:eastAsia="Times New Roman" w:hAnsi="Times New Roman" w:cs="Times New Roman"/>
          <w:i/>
          <w:iCs/>
          <w:color w:val="000000" w:themeColor="text1"/>
          <w:lang w:val="en-US" w:eastAsia="en-GB"/>
        </w:rPr>
        <w:t>MYH7</w:t>
      </w:r>
      <w:r w:rsidRPr="003D3CF9">
        <w:rPr>
          <w:rFonts w:ascii="Times New Roman" w:eastAsia="Times New Roman" w:hAnsi="Times New Roman" w:cs="Times New Roman"/>
          <w:color w:val="000000" w:themeColor="text1"/>
          <w:lang w:val="en-US" w:eastAsia="en-GB"/>
        </w:rPr>
        <w:t xml:space="preserve"> vs </w:t>
      </w:r>
      <w:r w:rsidRPr="003D3CF9">
        <w:rPr>
          <w:rFonts w:ascii="Times New Roman" w:eastAsia="Times New Roman" w:hAnsi="Times New Roman" w:cs="Times New Roman"/>
          <w:i/>
          <w:iCs/>
          <w:color w:val="000000" w:themeColor="text1"/>
          <w:lang w:val="en-US" w:eastAsia="en-GB"/>
        </w:rPr>
        <w:t>MYBPC3</w:t>
      </w:r>
      <w:r w:rsidRPr="003D3CF9">
        <w:rPr>
          <w:rFonts w:ascii="Times New Roman" w:eastAsia="Times New Roman" w:hAnsi="Times New Roman" w:cs="Times New Roman"/>
          <w:color w:val="000000" w:themeColor="text1"/>
          <w:lang w:val="en-US" w:eastAsia="en-GB"/>
        </w:rPr>
        <w:t xml:space="preserve"> variants in both subclinical and overt disease.  However, across all genotype positive participants (LVH+/LVH-), </w:t>
      </w:r>
      <w:r w:rsidRPr="003D3CF9">
        <w:rPr>
          <w:rFonts w:ascii="Times New Roman" w:eastAsia="Times New Roman" w:hAnsi="Times New Roman" w:cs="Times New Roman"/>
          <w:i/>
          <w:iCs/>
          <w:color w:val="000000" w:themeColor="text1"/>
          <w:lang w:val="en-US" w:eastAsia="en-GB"/>
        </w:rPr>
        <w:t>MYBPC3</w:t>
      </w:r>
      <w:r w:rsidRPr="003D3CF9">
        <w:rPr>
          <w:rFonts w:ascii="Times New Roman" w:eastAsia="Times New Roman" w:hAnsi="Times New Roman" w:cs="Times New Roman"/>
          <w:color w:val="000000" w:themeColor="text1"/>
          <w:lang w:val="en-US" w:eastAsia="en-GB"/>
        </w:rPr>
        <w:t xml:space="preserve"> variant carriers had less fractionation than non-</w:t>
      </w:r>
      <w:r w:rsidRPr="003D3CF9">
        <w:rPr>
          <w:rFonts w:ascii="Times New Roman" w:eastAsia="Times New Roman" w:hAnsi="Times New Roman" w:cs="Times New Roman"/>
          <w:i/>
          <w:iCs/>
          <w:color w:val="000000" w:themeColor="text1"/>
          <w:lang w:val="en-US" w:eastAsia="en-GB"/>
        </w:rPr>
        <w:t>MYBPC3</w:t>
      </w:r>
      <w:r w:rsidRPr="003D3CF9">
        <w:rPr>
          <w:rFonts w:ascii="Times New Roman" w:eastAsia="Times New Roman" w:hAnsi="Times New Roman" w:cs="Times New Roman"/>
          <w:color w:val="000000" w:themeColor="text1"/>
          <w:lang w:val="en-US" w:eastAsia="en-GB"/>
        </w:rPr>
        <w:t xml:space="preserve"> variants (</w:t>
      </w:r>
      <w:r w:rsidRPr="003D3CF9">
        <w:rPr>
          <w:rFonts w:ascii="Times New Roman" w:eastAsia="Times New Roman" w:hAnsi="Times New Roman" w:cs="Times New Roman"/>
          <w:i/>
          <w:iCs/>
          <w:color w:val="000000" w:themeColor="text1"/>
          <w:lang w:val="en-US" w:eastAsia="en-GB"/>
        </w:rPr>
        <w:t>p</w:t>
      </w:r>
      <w:r w:rsidR="0063522D" w:rsidRPr="003D3CF9">
        <w:rPr>
          <w:rFonts w:ascii="Times New Roman" w:eastAsia="Times New Roman" w:hAnsi="Times New Roman" w:cs="Times New Roman"/>
          <w:color w:val="000000" w:themeColor="text1"/>
          <w:lang w:val="en-US" w:eastAsia="en-GB"/>
        </w:rPr>
        <w:t>=</w:t>
      </w:r>
      <w:r w:rsidRPr="003D3CF9">
        <w:rPr>
          <w:rFonts w:ascii="Times New Roman" w:eastAsia="Times New Roman" w:hAnsi="Times New Roman" w:cs="Times New Roman"/>
          <w:color w:val="000000" w:themeColor="text1"/>
          <w:lang w:val="en-US" w:eastAsia="en-GB"/>
        </w:rPr>
        <w:t>0.007).  Differences persisted after adjusting for age, sex, LGE volume and MWT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 xml:space="preserve">=0.003). </w:t>
      </w:r>
      <w:r w:rsidRPr="003D3CF9">
        <w:rPr>
          <w:rFonts w:ascii="Times New Roman" w:eastAsia="Times New Roman" w:hAnsi="Times New Roman" w:cs="Times New Roman"/>
          <w:i/>
          <w:iCs/>
          <w:color w:val="000000" w:themeColor="text1"/>
          <w:lang w:val="en-US" w:eastAsia="en-GB"/>
        </w:rPr>
        <w:t>MYBPC3</w:t>
      </w:r>
      <w:r w:rsidRPr="003D3CF9">
        <w:rPr>
          <w:rFonts w:ascii="Times New Roman" w:eastAsia="Times New Roman" w:hAnsi="Times New Roman" w:cs="Times New Roman"/>
          <w:color w:val="000000" w:themeColor="text1"/>
          <w:lang w:val="en-US" w:eastAsia="en-GB"/>
        </w:rPr>
        <w:t xml:space="preserve"> carriers also had significantly lower RTc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=0.02) and G</w:t>
      </w:r>
      <w:r w:rsidRPr="003D3CF9">
        <w:rPr>
          <w:rFonts w:ascii="Times New Roman" w:eastAsia="Times New Roman" w:hAnsi="Times New Roman" w:cs="Times New Roman"/>
          <w:color w:val="000000" w:themeColor="text1"/>
          <w:vertAlign w:val="subscript"/>
          <w:lang w:val="en-US" w:eastAsia="en-GB"/>
        </w:rPr>
        <w:t>ATmax</w:t>
      </w:r>
      <w:r w:rsidRPr="003D3CF9">
        <w:rPr>
          <w:rFonts w:ascii="Times New Roman" w:eastAsia="Times New Roman" w:hAnsi="Times New Roman" w:cs="Times New Roman"/>
          <w:color w:val="000000" w:themeColor="text1"/>
          <w:lang w:val="en-US" w:eastAsia="en-GB"/>
        </w:rPr>
        <w:t xml:space="preserve"> (</w:t>
      </w:r>
      <w:r w:rsidRPr="003D3CF9">
        <w:rPr>
          <w:rFonts w:ascii="Times New Roman" w:eastAsia="Times New Roman" w:hAnsi="Times New Roman" w:cs="Times New Roman"/>
          <w:i/>
          <w:iCs/>
          <w:color w:val="000000" w:themeColor="text1"/>
          <w:lang w:val="en-US" w:eastAsia="en-GB"/>
        </w:rPr>
        <w:t>p</w:t>
      </w:r>
      <w:r w:rsidRPr="003D3CF9">
        <w:rPr>
          <w:rFonts w:ascii="Times New Roman" w:eastAsia="Times New Roman" w:hAnsi="Times New Roman" w:cs="Times New Roman"/>
          <w:color w:val="000000" w:themeColor="text1"/>
          <w:lang w:val="en-US" w:eastAsia="en-GB"/>
        </w:rPr>
        <w:t>=0.046) compared to non-</w:t>
      </w:r>
      <w:r w:rsidRPr="003D3CF9">
        <w:rPr>
          <w:rFonts w:ascii="Times New Roman" w:eastAsia="Times New Roman" w:hAnsi="Times New Roman" w:cs="Times New Roman"/>
          <w:i/>
          <w:iCs/>
          <w:color w:val="000000" w:themeColor="text1"/>
          <w:lang w:val="en-US" w:eastAsia="en-GB"/>
        </w:rPr>
        <w:t>MYBPC3</w:t>
      </w:r>
      <w:r w:rsidRPr="003D3CF9">
        <w:rPr>
          <w:rFonts w:ascii="Times New Roman" w:eastAsia="Times New Roman" w:hAnsi="Times New Roman" w:cs="Times New Roman"/>
          <w:color w:val="000000" w:themeColor="text1"/>
          <w:lang w:val="en-US" w:eastAsia="en-GB"/>
        </w:rPr>
        <w:t xml:space="preserve"> variant carriers on univariate analysis, but </w:t>
      </w:r>
      <w:r w:rsidR="006A3497" w:rsidRPr="003D3CF9">
        <w:rPr>
          <w:rFonts w:ascii="Times New Roman" w:eastAsia="Times New Roman" w:hAnsi="Times New Roman" w:cs="Times New Roman"/>
          <w:color w:val="000000" w:themeColor="text1"/>
          <w:lang w:val="en-US" w:eastAsia="en-GB"/>
        </w:rPr>
        <w:t xml:space="preserve">these </w:t>
      </w:r>
      <w:r w:rsidRPr="003D3CF9">
        <w:rPr>
          <w:rFonts w:ascii="Times New Roman" w:eastAsia="Times New Roman" w:hAnsi="Times New Roman" w:cs="Times New Roman"/>
          <w:color w:val="000000" w:themeColor="text1"/>
          <w:lang w:val="en-US" w:eastAsia="en-GB"/>
        </w:rPr>
        <w:t>were attenuated in fully adjusted models.</w:t>
      </w:r>
    </w:p>
    <w:p w14:paraId="34E288A8" w14:textId="77777777" w:rsidR="00462106" w:rsidRPr="003D3CF9" w:rsidRDefault="00462106" w:rsidP="00C907B2">
      <w:pPr>
        <w:pStyle w:val="NoSpacing"/>
        <w:jc w:val="both"/>
        <w:rPr>
          <w:rFonts w:ascii="Times New Roman" w:eastAsia="Times New Roman" w:hAnsi="Times New Roman" w:cs="Times New Roman"/>
          <w:b/>
          <w:bCs/>
          <w:color w:val="000000" w:themeColor="text1"/>
          <w:u w:val="single"/>
          <w:lang w:val="en-US" w:eastAsia="en-GB"/>
        </w:rPr>
      </w:pPr>
    </w:p>
    <w:p w14:paraId="71A177A2" w14:textId="5A8D045C" w:rsidR="00462106" w:rsidRPr="003D3CF9" w:rsidRDefault="00462106" w:rsidP="00C907B2">
      <w:pPr>
        <w:pStyle w:val="NoSpacing"/>
        <w:jc w:val="both"/>
        <w:rPr>
          <w:rFonts w:ascii="Times New Roman" w:eastAsia="Times New Roman" w:hAnsi="Times New Roman" w:cs="Times New Roman"/>
          <w:color w:val="000000" w:themeColor="text1"/>
          <w:lang w:val="en-US" w:eastAsia="en-GB"/>
        </w:rPr>
      </w:pPr>
      <w:r w:rsidRPr="003D3CF9">
        <w:rPr>
          <w:rFonts w:ascii="Times New Roman" w:eastAsia="Times New Roman" w:hAnsi="Times New Roman" w:cs="Times New Roman"/>
          <w:b/>
          <w:bCs/>
          <w:color w:val="000000" w:themeColor="text1"/>
          <w:lang w:val="en-US" w:eastAsia="en-GB"/>
        </w:rPr>
        <w:t>Drugs and ECGI parameters</w:t>
      </w:r>
      <w:r w:rsidR="00890201" w:rsidRPr="003D3CF9">
        <w:rPr>
          <w:rFonts w:ascii="Times New Roman" w:eastAsia="Times New Roman" w:hAnsi="Times New Roman" w:cs="Times New Roman"/>
          <w:b/>
          <w:bCs/>
          <w:color w:val="000000" w:themeColor="text1"/>
          <w:lang w:val="en-US" w:eastAsia="en-GB"/>
        </w:rPr>
        <w:t xml:space="preserve"> </w:t>
      </w:r>
    </w:p>
    <w:p w14:paraId="5A77838D" w14:textId="77777777" w:rsidR="00462106" w:rsidRPr="003D3CF9" w:rsidRDefault="00462106" w:rsidP="00C907B2">
      <w:pPr>
        <w:jc w:val="both"/>
        <w:rPr>
          <w:color w:val="000000" w:themeColor="text1"/>
          <w:lang w:val="en-US"/>
        </w:rPr>
      </w:pPr>
      <w:r w:rsidRPr="003D3CF9">
        <w:rPr>
          <w:color w:val="000000" w:themeColor="text1"/>
          <w:lang w:val="en-US"/>
        </w:rPr>
        <w:t xml:space="preserve">68% (71) of participants with overt HCM were on at least one medication (including non-cardiac).  Compared to those without medication, patients with overt HCM on medication were older (58[50-60] vs 48[32-48] years </w:t>
      </w:r>
      <w:r w:rsidRPr="003D3CF9">
        <w:rPr>
          <w:i/>
          <w:iCs/>
          <w:color w:val="000000" w:themeColor="text1"/>
          <w:lang w:val="en-US"/>
        </w:rPr>
        <w:t>p</w:t>
      </w:r>
      <w:r w:rsidRPr="003D3CF9">
        <w:rPr>
          <w:color w:val="000000" w:themeColor="text1"/>
          <w:lang w:val="en-US"/>
        </w:rPr>
        <w:t>&lt;0.001) but were similar in terms of sex (</w:t>
      </w:r>
      <w:r w:rsidRPr="003D3CF9">
        <w:rPr>
          <w:i/>
          <w:iCs/>
          <w:color w:val="000000" w:themeColor="text1"/>
          <w:lang w:val="en-US"/>
        </w:rPr>
        <w:t>p</w:t>
      </w:r>
      <w:r w:rsidRPr="003D3CF9">
        <w:rPr>
          <w:color w:val="000000" w:themeColor="text1"/>
          <w:lang w:val="en-US"/>
        </w:rPr>
        <w:t>=0.81), BMI (</w:t>
      </w:r>
      <w:r w:rsidRPr="003D3CF9">
        <w:rPr>
          <w:i/>
          <w:iCs/>
          <w:color w:val="000000" w:themeColor="text1"/>
          <w:lang w:val="en-US"/>
        </w:rPr>
        <w:t>p</w:t>
      </w:r>
      <w:r w:rsidRPr="003D3CF9">
        <w:rPr>
          <w:color w:val="000000" w:themeColor="text1"/>
          <w:lang w:val="en-US"/>
        </w:rPr>
        <w:t>=0.13), ethnicity, MWT (</w:t>
      </w:r>
      <w:r w:rsidRPr="003D3CF9">
        <w:rPr>
          <w:i/>
          <w:iCs/>
          <w:color w:val="000000" w:themeColor="text1"/>
          <w:lang w:val="en-US"/>
        </w:rPr>
        <w:t>p</w:t>
      </w:r>
      <w:r w:rsidRPr="003D3CF9">
        <w:rPr>
          <w:color w:val="000000" w:themeColor="text1"/>
          <w:lang w:val="en-US"/>
        </w:rPr>
        <w:t>=0.09), LGE burden (</w:t>
      </w:r>
      <w:r w:rsidRPr="003D3CF9">
        <w:rPr>
          <w:i/>
          <w:iCs/>
          <w:color w:val="000000" w:themeColor="text1"/>
          <w:lang w:val="en-US"/>
        </w:rPr>
        <w:t>p</w:t>
      </w:r>
      <w:r w:rsidRPr="003D3CF9">
        <w:rPr>
          <w:color w:val="000000" w:themeColor="text1"/>
          <w:lang w:val="en-US"/>
        </w:rPr>
        <w:t>=0.71) and presence of LVOTO (</w:t>
      </w:r>
      <w:r w:rsidRPr="003D3CF9">
        <w:rPr>
          <w:i/>
          <w:iCs/>
          <w:color w:val="000000" w:themeColor="text1"/>
          <w:lang w:val="en-US"/>
        </w:rPr>
        <w:t>p</w:t>
      </w:r>
      <w:r w:rsidRPr="003D3CF9">
        <w:rPr>
          <w:color w:val="000000" w:themeColor="text1"/>
          <w:lang w:val="en-US"/>
        </w:rPr>
        <w:t xml:space="preserve">=0.46).  </w:t>
      </w:r>
    </w:p>
    <w:p w14:paraId="35FEA23F" w14:textId="77777777" w:rsidR="00462106" w:rsidRPr="003D3CF9" w:rsidRDefault="00462106" w:rsidP="00C907B2">
      <w:pPr>
        <w:jc w:val="both"/>
        <w:rPr>
          <w:color w:val="000000" w:themeColor="text1"/>
          <w:lang w:val="en-US"/>
        </w:rPr>
      </w:pPr>
      <w:r w:rsidRPr="003D3CF9">
        <w:rPr>
          <w:color w:val="000000" w:themeColor="text1"/>
          <w:lang w:val="en-US"/>
        </w:rPr>
        <w:t>In order to explore whether overt HCM had ECGI changes without medication usage, we compared this group (</w:t>
      </w:r>
      <w:r w:rsidRPr="003D3CF9">
        <w:rPr>
          <w:i/>
          <w:iCs/>
          <w:color w:val="000000" w:themeColor="text1"/>
          <w:lang w:val="en-US"/>
        </w:rPr>
        <w:t>n</w:t>
      </w:r>
      <w:r w:rsidRPr="003D3CF9">
        <w:rPr>
          <w:color w:val="000000" w:themeColor="text1"/>
          <w:lang w:val="en-US"/>
        </w:rPr>
        <w:t>=33) to age-, sex- and ethnicity-matched healthy volunteers (</w:t>
      </w:r>
      <w:r w:rsidRPr="003D3CF9">
        <w:rPr>
          <w:i/>
          <w:iCs/>
          <w:color w:val="000000" w:themeColor="text1"/>
          <w:lang w:val="en-US"/>
        </w:rPr>
        <w:t>n</w:t>
      </w:r>
      <w:r w:rsidRPr="003D3CF9">
        <w:rPr>
          <w:color w:val="000000" w:themeColor="text1"/>
          <w:lang w:val="en-US"/>
        </w:rPr>
        <w:t xml:space="preserve">=22).  Compared to matched HVs, overt HCM patients without medication were of similar age (overt HCM vs HV respectively: 48[32-58] vs 41[36-53] years </w:t>
      </w:r>
      <w:r w:rsidRPr="003D3CF9">
        <w:rPr>
          <w:i/>
          <w:iCs/>
          <w:color w:val="000000" w:themeColor="text1"/>
          <w:lang w:val="en-US"/>
        </w:rPr>
        <w:t>p</w:t>
      </w:r>
      <w:r w:rsidRPr="003D3CF9">
        <w:rPr>
          <w:color w:val="000000" w:themeColor="text1"/>
          <w:lang w:val="en-US"/>
        </w:rPr>
        <w:t xml:space="preserve">=0.34), sex distribution (21% female [7] vs 32% [7] </w:t>
      </w:r>
      <w:r w:rsidRPr="003D3CF9">
        <w:rPr>
          <w:i/>
          <w:iCs/>
          <w:color w:val="000000" w:themeColor="text1"/>
          <w:lang w:val="en-US"/>
        </w:rPr>
        <w:t>p</w:t>
      </w:r>
      <w:r w:rsidRPr="003D3CF9">
        <w:rPr>
          <w:color w:val="000000" w:themeColor="text1"/>
          <w:lang w:val="en-US"/>
        </w:rPr>
        <w:t xml:space="preserve">=0.38) and ethnicity (85% White [28] vs 82%[18] </w:t>
      </w:r>
      <w:r w:rsidRPr="003D3CF9">
        <w:rPr>
          <w:i/>
          <w:iCs/>
          <w:color w:val="000000" w:themeColor="text1"/>
          <w:lang w:val="en-US"/>
        </w:rPr>
        <w:t>p</w:t>
      </w:r>
      <w:r w:rsidRPr="003D3CF9">
        <w:rPr>
          <w:color w:val="000000" w:themeColor="text1"/>
          <w:lang w:val="en-US"/>
        </w:rPr>
        <w:t>=0.77).</w:t>
      </w:r>
    </w:p>
    <w:p w14:paraId="04A3258E" w14:textId="6D3FCAAB" w:rsidR="00462106" w:rsidRPr="003D3CF9" w:rsidRDefault="00462106" w:rsidP="00C907B2">
      <w:pPr>
        <w:jc w:val="both"/>
        <w:rPr>
          <w:color w:val="000000" w:themeColor="text1"/>
          <w:lang w:val="en-US"/>
        </w:rPr>
      </w:pPr>
      <w:r w:rsidRPr="003D3CF9">
        <w:rPr>
          <w:color w:val="000000" w:themeColor="text1"/>
          <w:lang w:val="en-US"/>
        </w:rPr>
        <w:lastRenderedPageBreak/>
        <w:t>Compared to healthy volunteers, drug-free overt HCM had prolonged repolarization (longer ARIc and RTc) and greater maximal repolarization gradients.  All other ECGI parameters were similar</w:t>
      </w:r>
      <w:r w:rsidR="000508B4" w:rsidRPr="003D3CF9">
        <w:rPr>
          <w:color w:val="000000" w:themeColor="text1"/>
          <w:lang w:val="en-US"/>
        </w:rPr>
        <w:t xml:space="preserve"> (</w:t>
      </w:r>
      <w:r w:rsidR="000508B4" w:rsidRPr="003D3CF9">
        <w:rPr>
          <w:b/>
          <w:bCs/>
          <w:color w:val="000000" w:themeColor="text1"/>
          <w:lang w:val="en-US"/>
        </w:rPr>
        <w:t>Supplementa</w:t>
      </w:r>
      <w:r w:rsidR="00376BB7">
        <w:rPr>
          <w:b/>
          <w:bCs/>
          <w:color w:val="000000" w:themeColor="text1"/>
          <w:lang w:val="en-US"/>
        </w:rPr>
        <w:t>l</w:t>
      </w:r>
      <w:r w:rsidR="000508B4" w:rsidRPr="003D3CF9">
        <w:rPr>
          <w:b/>
          <w:bCs/>
          <w:color w:val="000000" w:themeColor="text1"/>
          <w:lang w:val="en-US"/>
        </w:rPr>
        <w:t xml:space="preserve"> Table 2</w:t>
      </w:r>
      <w:r w:rsidR="000508B4" w:rsidRPr="003D3CF9">
        <w:rPr>
          <w:color w:val="000000" w:themeColor="text1"/>
          <w:lang w:val="en-US"/>
        </w:rPr>
        <w:t>)</w:t>
      </w:r>
      <w:r w:rsidRPr="003D3CF9">
        <w:rPr>
          <w:color w:val="000000" w:themeColor="text1"/>
          <w:lang w:val="en-US"/>
        </w:rPr>
        <w:t xml:space="preserve">.      </w:t>
      </w:r>
    </w:p>
    <w:p w14:paraId="01E463D3" w14:textId="295B6C39" w:rsidR="00462106" w:rsidRPr="003D3CF9" w:rsidRDefault="00462106" w:rsidP="00C907B2">
      <w:pPr>
        <w:jc w:val="both"/>
        <w:rPr>
          <w:color w:val="000000" w:themeColor="text1"/>
          <w:lang w:val="en-US"/>
        </w:rPr>
      </w:pPr>
      <w:r w:rsidRPr="003D3CF9">
        <w:rPr>
          <w:color w:val="000000" w:themeColor="text1"/>
          <w:lang w:val="en-US"/>
        </w:rPr>
        <w:t xml:space="preserve">We performed additional analysis using </w:t>
      </w:r>
      <w:r w:rsidR="009B59FC" w:rsidRPr="003D3CF9">
        <w:rPr>
          <w:color w:val="000000" w:themeColor="text1"/>
          <w:lang w:val="en-US"/>
        </w:rPr>
        <w:t xml:space="preserve">univariate </w:t>
      </w:r>
      <w:r w:rsidRPr="003D3CF9">
        <w:rPr>
          <w:color w:val="000000" w:themeColor="text1"/>
          <w:lang w:val="en-US"/>
        </w:rPr>
        <w:t xml:space="preserve">and </w:t>
      </w:r>
      <w:r w:rsidR="009B59FC" w:rsidRPr="003D3CF9">
        <w:rPr>
          <w:color w:val="000000" w:themeColor="text1"/>
          <w:lang w:val="en-US"/>
        </w:rPr>
        <w:t>multivariable</w:t>
      </w:r>
      <w:r w:rsidRPr="003D3CF9">
        <w:rPr>
          <w:color w:val="000000" w:themeColor="text1"/>
          <w:lang w:val="en-US"/>
        </w:rPr>
        <w:t xml:space="preserve"> regression in overt HCM with MWT, LGE, age, sex and drug class as covariates. Drug classes were beta-blockers, non-dihydropyridine calcium channel blockers, dihydropyridine calcium channel blockers, disopyramide and amiodarone.  We found no associations between ECGI parameters and the differing drug classes.</w:t>
      </w:r>
    </w:p>
    <w:p w14:paraId="602538F0" w14:textId="77777777" w:rsidR="00A5696F" w:rsidRPr="003D3CF9" w:rsidRDefault="00A5696F" w:rsidP="00C907B2">
      <w:pPr>
        <w:jc w:val="both"/>
        <w:rPr>
          <w:color w:val="000000" w:themeColor="text1"/>
          <w:lang w:val="en-US"/>
        </w:rPr>
      </w:pPr>
    </w:p>
    <w:p w14:paraId="4C441D87" w14:textId="2DC0BB22" w:rsidR="00A5696F" w:rsidRPr="003D3CF9" w:rsidRDefault="00A5696F" w:rsidP="00C907B2">
      <w:pPr>
        <w:jc w:val="both"/>
        <w:rPr>
          <w:b/>
          <w:bCs/>
          <w:color w:val="000000" w:themeColor="text1"/>
          <w:lang w:val="en-US"/>
        </w:rPr>
      </w:pPr>
      <w:r w:rsidRPr="003D3CF9">
        <w:rPr>
          <w:b/>
          <w:bCs/>
          <w:color w:val="000000" w:themeColor="text1"/>
          <w:lang w:val="en-US"/>
        </w:rPr>
        <w:t>LV Morphology and ECGI relationships</w:t>
      </w:r>
      <w:r w:rsidRPr="003D3CF9">
        <w:rPr>
          <w:i/>
          <w:iCs/>
          <w:color w:val="000000" w:themeColor="text1"/>
          <w:lang w:val="en-US"/>
        </w:rPr>
        <w:t xml:space="preserve"> </w:t>
      </w:r>
    </w:p>
    <w:p w14:paraId="64227F38" w14:textId="5C9DA2D9" w:rsidR="00A5696F" w:rsidRPr="003D3CF9" w:rsidRDefault="00A5696F" w:rsidP="00C907B2">
      <w:pPr>
        <w:jc w:val="both"/>
        <w:rPr>
          <w:color w:val="000000" w:themeColor="text1"/>
          <w:lang w:val="en-US"/>
        </w:rPr>
      </w:pPr>
      <w:r w:rsidRPr="003D3CF9">
        <w:rPr>
          <w:color w:val="000000" w:themeColor="text1"/>
          <w:lang w:val="en-US"/>
        </w:rPr>
        <w:t>Compared to isolated basal LVH, reverse septal morphology had higher signal amplitude and more prolonged repolarization.   Compared to Other morphology (defined as concentric or mixed apical LVH), reverse septal curvature had lower signal ampl</w:t>
      </w:r>
      <w:r w:rsidR="00162F3C" w:rsidRPr="003D3CF9">
        <w:rPr>
          <w:color w:val="000000" w:themeColor="text1"/>
          <w:lang w:val="en-US"/>
        </w:rPr>
        <w:t>itude.  Other morphology had higher signal amplitude, more prolonged activation and repolarization times compared to isolated basal septal LVH.</w:t>
      </w:r>
      <w:r w:rsidR="001B075D" w:rsidRPr="003D3CF9">
        <w:rPr>
          <w:color w:val="000000" w:themeColor="text1"/>
          <w:lang w:val="en-US"/>
        </w:rPr>
        <w:t xml:space="preserve"> </w:t>
      </w:r>
      <w:r w:rsidR="001B075D" w:rsidRPr="003D3CF9">
        <w:rPr>
          <w:b/>
          <w:bCs/>
          <w:color w:val="000000" w:themeColor="text1"/>
          <w:lang w:val="en-US"/>
        </w:rPr>
        <w:t>(Supplementa</w:t>
      </w:r>
      <w:r w:rsidR="00376BB7">
        <w:rPr>
          <w:b/>
          <w:bCs/>
          <w:color w:val="000000" w:themeColor="text1"/>
          <w:lang w:val="en-US"/>
        </w:rPr>
        <w:t>l</w:t>
      </w:r>
      <w:r w:rsidR="001B075D" w:rsidRPr="003D3CF9">
        <w:rPr>
          <w:b/>
          <w:bCs/>
          <w:color w:val="000000" w:themeColor="text1"/>
          <w:lang w:val="en-US"/>
        </w:rPr>
        <w:t xml:space="preserve"> Table 3)</w:t>
      </w:r>
    </w:p>
    <w:p w14:paraId="0C29DCD6" w14:textId="77777777" w:rsidR="00A5696F" w:rsidRPr="003D3CF9" w:rsidRDefault="00A5696F" w:rsidP="00C907B2">
      <w:pPr>
        <w:jc w:val="both"/>
        <w:rPr>
          <w:b/>
          <w:bCs/>
          <w:color w:val="000000" w:themeColor="text1"/>
          <w:lang w:val="en-US"/>
        </w:rPr>
      </w:pPr>
    </w:p>
    <w:p w14:paraId="60FEA08E" w14:textId="77777777" w:rsidR="00A5696F" w:rsidRPr="003D3CF9" w:rsidRDefault="00A5696F" w:rsidP="00C907B2">
      <w:pPr>
        <w:jc w:val="both"/>
        <w:rPr>
          <w:b/>
          <w:bCs/>
          <w:color w:val="000000" w:themeColor="text1"/>
          <w:lang w:val="en-US"/>
        </w:rPr>
      </w:pPr>
    </w:p>
    <w:p w14:paraId="03A3B578" w14:textId="77777777" w:rsidR="00462106" w:rsidRPr="003D3CF9" w:rsidRDefault="00462106" w:rsidP="0038444F">
      <w:pPr>
        <w:jc w:val="both"/>
        <w:rPr>
          <w:b/>
          <w:bCs/>
          <w:color w:val="000000" w:themeColor="text1"/>
          <w:lang w:val="en-US"/>
        </w:rPr>
      </w:pPr>
      <w:r w:rsidRPr="003D3CF9">
        <w:rPr>
          <w:b/>
          <w:bCs/>
          <w:color w:val="000000" w:themeColor="text1"/>
          <w:lang w:val="en-US"/>
        </w:rPr>
        <w:t>Machine Learning Classification of ECGI HCM subtypes</w:t>
      </w:r>
    </w:p>
    <w:p w14:paraId="0D65A2FE" w14:textId="386D48EB" w:rsidR="0063522D" w:rsidRPr="003D3CF9" w:rsidRDefault="0063522D" w:rsidP="0063522D">
      <w:pPr>
        <w:jc w:val="both"/>
        <w:rPr>
          <w:color w:val="000000" w:themeColor="text1"/>
          <w:lang w:val="en-US"/>
        </w:rPr>
      </w:pPr>
      <w:r w:rsidRPr="003D3CF9">
        <w:rPr>
          <w:color w:val="000000" w:themeColor="text1"/>
          <w:lang w:val="en-US"/>
        </w:rPr>
        <w:t>As expected, diagnostic cut-points for individual ECGI biomarkers tasked with discriminating subclinical HCM from controls were not sufficiently accurate, with the exception of max G</w:t>
      </w:r>
      <w:r w:rsidRPr="003D3CF9">
        <w:rPr>
          <w:color w:val="000000" w:themeColor="text1"/>
          <w:vertAlign w:val="subscript"/>
          <w:lang w:val="en-US"/>
        </w:rPr>
        <w:t xml:space="preserve">RTc </w:t>
      </w:r>
      <w:r w:rsidRPr="003D3CF9">
        <w:rPr>
          <w:color w:val="000000" w:themeColor="text1"/>
          <w:lang w:val="en-US"/>
        </w:rPr>
        <w:t>and mean AT with accuracies of 73% [63–82%] and 79% [69–86%] respectively (</w:t>
      </w:r>
      <w:r w:rsidRPr="003D3CF9">
        <w:rPr>
          <w:b/>
          <w:bCs/>
          <w:color w:val="000000" w:themeColor="text1"/>
          <w:lang w:val="en-US"/>
        </w:rPr>
        <w:t>Supplementa</w:t>
      </w:r>
      <w:r w:rsidR="00376BB7">
        <w:rPr>
          <w:b/>
          <w:bCs/>
          <w:color w:val="000000" w:themeColor="text1"/>
          <w:lang w:val="en-US"/>
        </w:rPr>
        <w:t>l</w:t>
      </w:r>
      <w:r w:rsidRPr="003D3CF9">
        <w:rPr>
          <w:b/>
          <w:bCs/>
          <w:color w:val="000000" w:themeColor="text1"/>
          <w:lang w:val="en-US"/>
        </w:rPr>
        <w:t xml:space="preserve"> Table 4</w:t>
      </w:r>
      <w:r w:rsidRPr="003D3CF9">
        <w:rPr>
          <w:color w:val="000000" w:themeColor="text1"/>
          <w:lang w:val="en-US"/>
        </w:rPr>
        <w:t>).  Therefore, we explored the use of supervised machine learning applied to the combined 12-biomarker ECGI electrotype in subclinical HCM and HV. This SVM differentiated subclinical HCM from HV with an AUC of 0.96 (bootstrap 95% confidence interval: 94–98%;</w:t>
      </w:r>
      <w:r w:rsidRPr="003D3CF9">
        <w:rPr>
          <w:color w:val="000000" w:themeColor="text1"/>
          <w:sz w:val="20"/>
          <w:szCs w:val="20"/>
          <w:lang w:val="en-US"/>
        </w:rPr>
        <w:t xml:space="preserve"> </w:t>
      </w:r>
      <w:r w:rsidRPr="003D3CF9">
        <w:rPr>
          <w:color w:val="000000" w:themeColor="text1"/>
          <w:lang w:val="en-US"/>
        </w:rPr>
        <w:t xml:space="preserve">sensitivity 100% [93–100%], specificity 91% [76–98%], positive predictive value [PPV] 96% [87–99%], negative predictive value [NPV] 100% [87–100%], balanced accuracy 95.7%, </w:t>
      </w:r>
      <w:r w:rsidRPr="003D3CF9">
        <w:rPr>
          <w:b/>
          <w:bCs/>
          <w:color w:val="000000" w:themeColor="text1"/>
          <w:lang w:val="en-US"/>
        </w:rPr>
        <w:t>Supplementa</w:t>
      </w:r>
      <w:r w:rsidR="00376BB7">
        <w:rPr>
          <w:b/>
          <w:bCs/>
          <w:color w:val="000000" w:themeColor="text1"/>
          <w:lang w:val="en-US"/>
        </w:rPr>
        <w:t>l</w:t>
      </w:r>
      <w:r w:rsidRPr="003D3CF9">
        <w:rPr>
          <w:b/>
          <w:bCs/>
          <w:color w:val="000000" w:themeColor="text1"/>
          <w:lang w:val="en-US"/>
        </w:rPr>
        <w:t xml:space="preserve"> Table 6</w:t>
      </w:r>
      <w:r w:rsidRPr="003D3CF9">
        <w:rPr>
          <w:color w:val="000000" w:themeColor="text1"/>
          <w:lang w:val="en-US"/>
        </w:rPr>
        <w:t xml:space="preserve"> and </w:t>
      </w:r>
      <w:r w:rsidRPr="003D3CF9">
        <w:rPr>
          <w:b/>
          <w:bCs/>
          <w:color w:val="000000" w:themeColor="text1"/>
          <w:lang w:val="en-US"/>
        </w:rPr>
        <w:t>Supplementa</w:t>
      </w:r>
      <w:r w:rsidR="00376BB7">
        <w:rPr>
          <w:b/>
          <w:bCs/>
          <w:color w:val="000000" w:themeColor="text1"/>
          <w:lang w:val="en-US"/>
        </w:rPr>
        <w:t>l</w:t>
      </w:r>
      <w:r w:rsidRPr="003D3CF9">
        <w:rPr>
          <w:b/>
          <w:bCs/>
          <w:color w:val="000000" w:themeColor="text1"/>
          <w:lang w:val="en-US"/>
        </w:rPr>
        <w:t xml:space="preserve"> Figure 1</w:t>
      </w:r>
      <w:r w:rsidRPr="003D3CF9">
        <w:rPr>
          <w:color w:val="000000" w:themeColor="text1"/>
          <w:lang w:val="en-US"/>
        </w:rPr>
        <w:t>) and an accuracy of 80% after 10-fold cross-validation [73–85%]. This ECGI biomarker panel was able to identify HCM patients at greater risk of SCD (because of prior NSVT or intermediate/high ESC SCD risk status) compared to low-risk patients, with an AUC of 0.97 (bootstrap 95% CI: 96–98%;</w:t>
      </w:r>
      <w:r w:rsidRPr="003D3CF9">
        <w:rPr>
          <w:color w:val="000000" w:themeColor="text1"/>
          <w:sz w:val="20"/>
          <w:szCs w:val="20"/>
          <w:lang w:val="en-US"/>
        </w:rPr>
        <w:t xml:space="preserve"> </w:t>
      </w:r>
      <w:r w:rsidRPr="003D3CF9">
        <w:rPr>
          <w:color w:val="000000" w:themeColor="text1"/>
          <w:lang w:val="en-US"/>
        </w:rPr>
        <w:t xml:space="preserve">sensitivity 94% [71–99%], specificity 100% [95–100%], PPV 100% [77–100%], NPV [99–93%], balanced accuracy 97.2%, </w:t>
      </w:r>
      <w:r w:rsidRPr="003D3CF9">
        <w:rPr>
          <w:b/>
          <w:bCs/>
          <w:color w:val="000000" w:themeColor="text1"/>
          <w:lang w:val="en-US"/>
        </w:rPr>
        <w:t>Supplementa</w:t>
      </w:r>
      <w:r w:rsidR="00376BB7">
        <w:rPr>
          <w:b/>
          <w:bCs/>
          <w:color w:val="000000" w:themeColor="text1"/>
          <w:lang w:val="en-US"/>
        </w:rPr>
        <w:t>l</w:t>
      </w:r>
      <w:r w:rsidRPr="003D3CF9">
        <w:rPr>
          <w:b/>
          <w:bCs/>
          <w:color w:val="000000" w:themeColor="text1"/>
          <w:lang w:val="en-US"/>
        </w:rPr>
        <w:t xml:space="preserve"> Table 6</w:t>
      </w:r>
      <w:r w:rsidRPr="003D3CF9">
        <w:rPr>
          <w:color w:val="000000" w:themeColor="text1"/>
          <w:lang w:val="en-US"/>
        </w:rPr>
        <w:t>) and an accuracy of 82% after 10-fold cross-validation [78–86%].</w:t>
      </w:r>
    </w:p>
    <w:p w14:paraId="08715EC6" w14:textId="77777777" w:rsidR="008B4B78" w:rsidRPr="003D3CF9" w:rsidRDefault="008B4B78" w:rsidP="00462106">
      <w:pPr>
        <w:rPr>
          <w:b/>
          <w:bCs/>
          <w:lang w:val="en-US"/>
        </w:rPr>
        <w:sectPr w:rsidR="008B4B78" w:rsidRPr="003D3CF9" w:rsidSect="008865DA">
          <w:footerReference w:type="even" r:id="rId10"/>
          <w:footerReference w:type="default" r:id="rId11"/>
          <w:pgSz w:w="11906" w:h="16838"/>
          <w:pgMar w:top="1440" w:right="1440" w:bottom="1440" w:left="1440" w:header="708" w:footer="708" w:gutter="0"/>
          <w:cols w:space="708"/>
          <w:docGrid w:linePitch="360"/>
        </w:sectPr>
      </w:pPr>
    </w:p>
    <w:p w14:paraId="492BF376" w14:textId="7B979D6D" w:rsidR="00462106" w:rsidRPr="003D3CF9" w:rsidRDefault="00462106" w:rsidP="00462106">
      <w:pPr>
        <w:rPr>
          <w:b/>
          <w:bCs/>
          <w:lang w:val="en-US"/>
        </w:rPr>
      </w:pPr>
      <w:r w:rsidRPr="003D3CF9">
        <w:rPr>
          <w:b/>
          <w:bCs/>
          <w:lang w:val="en-US"/>
        </w:rPr>
        <w:lastRenderedPageBreak/>
        <w:t>Supplementa</w:t>
      </w:r>
      <w:r w:rsidR="006C402C">
        <w:rPr>
          <w:b/>
          <w:bCs/>
          <w:lang w:val="en-US"/>
        </w:rPr>
        <w:t>l</w:t>
      </w:r>
      <w:r w:rsidRPr="003D3CF9">
        <w:rPr>
          <w:b/>
          <w:bCs/>
          <w:lang w:val="en-US"/>
        </w:rPr>
        <w:t xml:space="preserve"> Table 1</w:t>
      </w:r>
      <w:r w:rsidR="001A40D6" w:rsidRPr="003D3CF9">
        <w:rPr>
          <w:b/>
          <w:bCs/>
          <w:lang w:val="en-US"/>
        </w:rPr>
        <w:t xml:space="preserve"> – </w:t>
      </w:r>
      <w:r w:rsidRPr="003D3CF9">
        <w:rPr>
          <w:b/>
          <w:bCs/>
          <w:lang w:val="en-US"/>
        </w:rPr>
        <w:t>ECGI biomarkers in G+LVH+ vs matched healthy volunteers.</w:t>
      </w:r>
    </w:p>
    <w:p w14:paraId="3627D002" w14:textId="77777777" w:rsidR="00462106" w:rsidRPr="003D3CF9" w:rsidRDefault="00462106" w:rsidP="00462106">
      <w:pPr>
        <w:rPr>
          <w:b/>
          <w:bCs/>
          <w:lang w:val="en-US"/>
        </w:rPr>
      </w:pPr>
      <w:r w:rsidRPr="003D3CF9">
        <w:rPr>
          <w:color w:val="000000" w:themeColor="text1"/>
          <w:lang w:val="en-US"/>
        </w:rPr>
        <w:t xml:space="preserve"> </w:t>
      </w:r>
    </w:p>
    <w:tbl>
      <w:tblPr>
        <w:tblW w:w="11482" w:type="dxa"/>
        <w:tblLook w:val="04A0" w:firstRow="1" w:lastRow="0" w:firstColumn="1" w:lastColumn="0" w:noHBand="0" w:noVBand="1"/>
      </w:tblPr>
      <w:tblGrid>
        <w:gridCol w:w="1945"/>
        <w:gridCol w:w="1948"/>
        <w:gridCol w:w="3204"/>
        <w:gridCol w:w="2401"/>
        <w:gridCol w:w="1984"/>
      </w:tblGrid>
      <w:tr w:rsidR="00462106" w:rsidRPr="003D3CF9" w14:paraId="005F3733" w14:textId="77777777" w:rsidTr="00B123BA">
        <w:trPr>
          <w:trHeight w:val="109"/>
        </w:trPr>
        <w:tc>
          <w:tcPr>
            <w:tcW w:w="3893" w:type="dxa"/>
            <w:gridSpan w:val="2"/>
            <w:tcBorders>
              <w:left w:val="nil"/>
            </w:tcBorders>
            <w:shd w:val="clear" w:color="auto" w:fill="auto"/>
            <w:noWrap/>
            <w:vAlign w:val="bottom"/>
          </w:tcPr>
          <w:p w14:paraId="3063A3E9" w14:textId="77777777" w:rsidR="00462106" w:rsidRPr="003D3CF9" w:rsidRDefault="00462106" w:rsidP="00B123BA">
            <w:pPr>
              <w:rPr>
                <w:color w:val="000000" w:themeColor="text1"/>
                <w:lang w:val="en-US"/>
              </w:rPr>
            </w:pPr>
          </w:p>
        </w:tc>
        <w:tc>
          <w:tcPr>
            <w:tcW w:w="3204" w:type="dxa"/>
            <w:shd w:val="clear" w:color="auto" w:fill="auto"/>
            <w:vAlign w:val="bottom"/>
          </w:tcPr>
          <w:p w14:paraId="7993EA8C" w14:textId="77777777" w:rsidR="00462106" w:rsidRPr="003D3CF9" w:rsidRDefault="00462106" w:rsidP="00B123BA">
            <w:pPr>
              <w:jc w:val="center"/>
              <w:rPr>
                <w:b/>
                <w:bCs/>
                <w:color w:val="000000" w:themeColor="text1"/>
                <w:lang w:val="en-US"/>
              </w:rPr>
            </w:pPr>
          </w:p>
        </w:tc>
        <w:tc>
          <w:tcPr>
            <w:tcW w:w="2401" w:type="dxa"/>
            <w:shd w:val="clear" w:color="auto" w:fill="auto"/>
            <w:vAlign w:val="bottom"/>
          </w:tcPr>
          <w:p w14:paraId="3A99F2F2" w14:textId="77777777" w:rsidR="00462106" w:rsidRPr="003D3CF9" w:rsidRDefault="00462106" w:rsidP="00B123BA">
            <w:pPr>
              <w:jc w:val="center"/>
              <w:rPr>
                <w:b/>
                <w:bCs/>
                <w:color w:val="000000" w:themeColor="text1"/>
                <w:lang w:val="en-US"/>
              </w:rPr>
            </w:pPr>
          </w:p>
        </w:tc>
        <w:tc>
          <w:tcPr>
            <w:tcW w:w="1984" w:type="dxa"/>
            <w:tcBorders>
              <w:right w:val="nil"/>
            </w:tcBorders>
            <w:shd w:val="clear" w:color="auto" w:fill="auto"/>
            <w:vAlign w:val="bottom"/>
          </w:tcPr>
          <w:p w14:paraId="3F0A11F2" w14:textId="77777777" w:rsidR="00462106" w:rsidRPr="003D3CF9" w:rsidRDefault="00462106" w:rsidP="00B123BA">
            <w:pPr>
              <w:jc w:val="center"/>
              <w:rPr>
                <w:b/>
                <w:bCs/>
                <w:color w:val="000000" w:themeColor="text1"/>
                <w:lang w:val="en-US"/>
              </w:rPr>
            </w:pPr>
          </w:p>
        </w:tc>
      </w:tr>
      <w:tr w:rsidR="00462106" w:rsidRPr="003D3CF9" w14:paraId="6320849B" w14:textId="77777777" w:rsidTr="00B123BA">
        <w:trPr>
          <w:trHeight w:val="128"/>
        </w:trPr>
        <w:tc>
          <w:tcPr>
            <w:tcW w:w="1945" w:type="dxa"/>
            <w:tcBorders>
              <w:left w:val="nil"/>
              <w:bottom w:val="single" w:sz="4" w:space="0" w:color="auto"/>
            </w:tcBorders>
            <w:shd w:val="clear" w:color="auto" w:fill="auto"/>
            <w:noWrap/>
            <w:vAlign w:val="bottom"/>
            <w:hideMark/>
          </w:tcPr>
          <w:p w14:paraId="5FD5618A" w14:textId="77777777" w:rsidR="00462106" w:rsidRPr="003D3CF9" w:rsidRDefault="00462106" w:rsidP="00B123BA">
            <w:pPr>
              <w:rPr>
                <w:color w:val="000000" w:themeColor="text1"/>
                <w:lang w:val="en-US"/>
              </w:rPr>
            </w:pPr>
          </w:p>
          <w:p w14:paraId="180BC5F3" w14:textId="77777777" w:rsidR="00462106" w:rsidRPr="003D3CF9" w:rsidRDefault="00462106" w:rsidP="00B123BA">
            <w:pPr>
              <w:rPr>
                <w:color w:val="000000" w:themeColor="text1"/>
                <w:lang w:val="en-US"/>
              </w:rPr>
            </w:pPr>
          </w:p>
        </w:tc>
        <w:tc>
          <w:tcPr>
            <w:tcW w:w="1948" w:type="dxa"/>
            <w:tcBorders>
              <w:bottom w:val="single" w:sz="4" w:space="0" w:color="auto"/>
              <w:right w:val="single" w:sz="4" w:space="0" w:color="auto"/>
            </w:tcBorders>
            <w:shd w:val="clear" w:color="auto" w:fill="auto"/>
            <w:vAlign w:val="bottom"/>
          </w:tcPr>
          <w:p w14:paraId="16B5C2D6" w14:textId="77777777" w:rsidR="00462106" w:rsidRPr="003D3CF9" w:rsidRDefault="00462106" w:rsidP="00B123BA">
            <w:pPr>
              <w:rPr>
                <w:color w:val="000000" w:themeColor="text1"/>
                <w:lang w:val="en-US"/>
              </w:rPr>
            </w:pPr>
          </w:p>
          <w:p w14:paraId="56005120" w14:textId="77777777" w:rsidR="00462106" w:rsidRPr="003D3CF9" w:rsidRDefault="00462106" w:rsidP="00B123BA">
            <w:pPr>
              <w:rPr>
                <w:color w:val="000000" w:themeColor="text1"/>
                <w:lang w:val="en-US"/>
              </w:rPr>
            </w:pPr>
            <w:r w:rsidRPr="003D3CF9">
              <w:rPr>
                <w:color w:val="000000" w:themeColor="text1"/>
                <w:lang w:val="en-US"/>
              </w:rPr>
              <w:t> </w:t>
            </w:r>
          </w:p>
        </w:tc>
        <w:tc>
          <w:tcPr>
            <w:tcW w:w="3204" w:type="dxa"/>
            <w:tcBorders>
              <w:left w:val="single" w:sz="4" w:space="0" w:color="auto"/>
              <w:bottom w:val="single" w:sz="4" w:space="0" w:color="auto"/>
            </w:tcBorders>
            <w:shd w:val="clear" w:color="auto" w:fill="auto"/>
            <w:vAlign w:val="bottom"/>
            <w:hideMark/>
          </w:tcPr>
          <w:p w14:paraId="65351A1B" w14:textId="77777777" w:rsidR="00462106" w:rsidRPr="003D3CF9" w:rsidRDefault="00462106" w:rsidP="00B123BA">
            <w:pPr>
              <w:jc w:val="center"/>
              <w:rPr>
                <w:b/>
                <w:bCs/>
                <w:color w:val="000000" w:themeColor="text1"/>
                <w:lang w:val="en-US"/>
              </w:rPr>
            </w:pPr>
            <w:r w:rsidRPr="003D3CF9">
              <w:rPr>
                <w:b/>
                <w:bCs/>
                <w:color w:val="000000" w:themeColor="text1"/>
                <w:lang w:val="en-US"/>
              </w:rPr>
              <w:t>HV (n=23)</w:t>
            </w:r>
          </w:p>
        </w:tc>
        <w:tc>
          <w:tcPr>
            <w:tcW w:w="2401" w:type="dxa"/>
            <w:tcBorders>
              <w:bottom w:val="single" w:sz="4" w:space="0" w:color="auto"/>
            </w:tcBorders>
            <w:shd w:val="clear" w:color="auto" w:fill="auto"/>
            <w:vAlign w:val="bottom"/>
            <w:hideMark/>
          </w:tcPr>
          <w:p w14:paraId="413763B6" w14:textId="77777777" w:rsidR="00462106" w:rsidRPr="003D3CF9" w:rsidRDefault="00462106" w:rsidP="00B123BA">
            <w:pPr>
              <w:jc w:val="center"/>
              <w:rPr>
                <w:b/>
                <w:bCs/>
                <w:color w:val="000000" w:themeColor="text1"/>
                <w:lang w:val="en-US"/>
              </w:rPr>
            </w:pPr>
            <w:r w:rsidRPr="003D3CF9">
              <w:rPr>
                <w:b/>
                <w:bCs/>
                <w:color w:val="000000" w:themeColor="text1"/>
                <w:lang w:val="en-US"/>
              </w:rPr>
              <w:t>G+LVH+ (n=51)</w:t>
            </w:r>
          </w:p>
        </w:tc>
        <w:tc>
          <w:tcPr>
            <w:tcW w:w="1984" w:type="dxa"/>
            <w:tcBorders>
              <w:bottom w:val="single" w:sz="4" w:space="0" w:color="auto"/>
              <w:right w:val="nil"/>
            </w:tcBorders>
            <w:shd w:val="clear" w:color="auto" w:fill="auto"/>
            <w:vAlign w:val="bottom"/>
            <w:hideMark/>
          </w:tcPr>
          <w:p w14:paraId="04F91829" w14:textId="77777777" w:rsidR="00462106" w:rsidRPr="003D3CF9" w:rsidRDefault="00462106" w:rsidP="00B123BA">
            <w:pPr>
              <w:jc w:val="center"/>
              <w:rPr>
                <w:b/>
                <w:bCs/>
                <w:color w:val="000000" w:themeColor="text1"/>
                <w:lang w:val="en-US"/>
              </w:rPr>
            </w:pPr>
            <w:r w:rsidRPr="003D3CF9">
              <w:rPr>
                <w:b/>
                <w:bCs/>
                <w:i/>
                <w:iCs/>
                <w:color w:val="000000" w:themeColor="text1"/>
                <w:lang w:val="en-US"/>
              </w:rPr>
              <w:t>p</w:t>
            </w:r>
            <w:r w:rsidRPr="003D3CF9">
              <w:rPr>
                <w:b/>
                <w:bCs/>
                <w:color w:val="000000" w:themeColor="text1"/>
                <w:lang w:val="en-US"/>
              </w:rPr>
              <w:t xml:space="preserve"> value</w:t>
            </w:r>
          </w:p>
        </w:tc>
      </w:tr>
      <w:tr w:rsidR="00462106" w:rsidRPr="003D3CF9" w14:paraId="656258A4" w14:textId="77777777" w:rsidTr="00B123BA">
        <w:trPr>
          <w:trHeight w:val="346"/>
        </w:trPr>
        <w:tc>
          <w:tcPr>
            <w:tcW w:w="3893" w:type="dxa"/>
            <w:gridSpan w:val="2"/>
            <w:tcBorders>
              <w:top w:val="single" w:sz="4" w:space="0" w:color="auto"/>
              <w:left w:val="nil"/>
              <w:bottom w:val="nil"/>
              <w:right w:val="single" w:sz="4" w:space="0" w:color="auto"/>
            </w:tcBorders>
            <w:shd w:val="clear" w:color="auto" w:fill="auto"/>
            <w:noWrap/>
            <w:vAlign w:val="bottom"/>
            <w:hideMark/>
          </w:tcPr>
          <w:p w14:paraId="718C127C" w14:textId="77777777" w:rsidR="00462106" w:rsidRPr="003D3CF9" w:rsidRDefault="00462106" w:rsidP="00B123BA">
            <w:pPr>
              <w:rPr>
                <w:color w:val="000000" w:themeColor="text1"/>
                <w:lang w:val="en-US"/>
              </w:rPr>
            </w:pPr>
            <w:r w:rsidRPr="003D3CF9">
              <w:rPr>
                <w:color w:val="000000" w:themeColor="text1"/>
                <w:lang w:val="en-US"/>
              </w:rPr>
              <w:t>Amp, mV</w:t>
            </w:r>
          </w:p>
        </w:tc>
        <w:tc>
          <w:tcPr>
            <w:tcW w:w="3204" w:type="dxa"/>
            <w:tcBorders>
              <w:top w:val="single" w:sz="4" w:space="0" w:color="auto"/>
              <w:left w:val="nil"/>
              <w:bottom w:val="nil"/>
              <w:right w:val="nil"/>
            </w:tcBorders>
            <w:shd w:val="clear" w:color="auto" w:fill="auto"/>
            <w:noWrap/>
            <w:vAlign w:val="bottom"/>
            <w:hideMark/>
          </w:tcPr>
          <w:p w14:paraId="25AE19A2" w14:textId="77777777" w:rsidR="00462106" w:rsidRPr="003D3CF9" w:rsidRDefault="00462106" w:rsidP="00B123BA">
            <w:pPr>
              <w:jc w:val="center"/>
              <w:rPr>
                <w:color w:val="000000" w:themeColor="text1"/>
                <w:lang w:val="en-US"/>
              </w:rPr>
            </w:pPr>
            <w:r w:rsidRPr="003D3CF9">
              <w:rPr>
                <w:color w:val="000000" w:themeColor="text1"/>
                <w:lang w:val="en-US"/>
              </w:rPr>
              <w:t>1.7(1.1-1.8)</w:t>
            </w:r>
          </w:p>
        </w:tc>
        <w:tc>
          <w:tcPr>
            <w:tcW w:w="2401" w:type="dxa"/>
            <w:tcBorders>
              <w:top w:val="single" w:sz="4" w:space="0" w:color="auto"/>
              <w:left w:val="nil"/>
              <w:bottom w:val="nil"/>
              <w:right w:val="nil"/>
            </w:tcBorders>
            <w:shd w:val="clear" w:color="auto" w:fill="auto"/>
            <w:noWrap/>
            <w:vAlign w:val="bottom"/>
            <w:hideMark/>
          </w:tcPr>
          <w:p w14:paraId="231A15A0" w14:textId="77777777" w:rsidR="00462106" w:rsidRPr="003D3CF9" w:rsidRDefault="00462106" w:rsidP="00B123BA">
            <w:pPr>
              <w:jc w:val="center"/>
              <w:rPr>
                <w:color w:val="000000" w:themeColor="text1"/>
                <w:lang w:val="en-US"/>
              </w:rPr>
            </w:pPr>
            <w:r w:rsidRPr="003D3CF9">
              <w:rPr>
                <w:color w:val="000000" w:themeColor="text1"/>
                <w:lang w:val="en-US"/>
              </w:rPr>
              <w:t>1.6(1.2-1.9)</w:t>
            </w:r>
          </w:p>
        </w:tc>
        <w:tc>
          <w:tcPr>
            <w:tcW w:w="1984" w:type="dxa"/>
            <w:tcBorders>
              <w:top w:val="single" w:sz="4" w:space="0" w:color="auto"/>
              <w:left w:val="nil"/>
              <w:bottom w:val="nil"/>
              <w:right w:val="nil"/>
            </w:tcBorders>
            <w:shd w:val="clear" w:color="auto" w:fill="auto"/>
            <w:noWrap/>
            <w:vAlign w:val="bottom"/>
            <w:hideMark/>
          </w:tcPr>
          <w:p w14:paraId="3ABC5053" w14:textId="77777777" w:rsidR="00462106" w:rsidRPr="003D3CF9" w:rsidRDefault="00462106" w:rsidP="00B123BA">
            <w:pPr>
              <w:jc w:val="center"/>
              <w:rPr>
                <w:color w:val="000000" w:themeColor="text1"/>
                <w:lang w:val="en-US"/>
              </w:rPr>
            </w:pPr>
            <w:r w:rsidRPr="003D3CF9">
              <w:rPr>
                <w:color w:val="000000" w:themeColor="text1"/>
                <w:lang w:val="en-US"/>
              </w:rPr>
              <w:t>0.96</w:t>
            </w:r>
          </w:p>
        </w:tc>
      </w:tr>
      <w:tr w:rsidR="00462106" w:rsidRPr="003D3CF9" w14:paraId="04F318D8"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08EF7947" w14:textId="77777777" w:rsidR="00462106" w:rsidRPr="003D3CF9" w:rsidRDefault="00462106" w:rsidP="00B123BA">
            <w:pPr>
              <w:rPr>
                <w:color w:val="000000" w:themeColor="text1"/>
                <w:lang w:val="en-US"/>
              </w:rPr>
            </w:pPr>
            <w:r w:rsidRPr="003D3CF9">
              <w:rPr>
                <w:color w:val="000000" w:themeColor="text1"/>
                <w:lang w:val="en-US"/>
              </w:rPr>
              <w:t>Fractionation (n/1000)</w:t>
            </w:r>
          </w:p>
        </w:tc>
        <w:tc>
          <w:tcPr>
            <w:tcW w:w="3204" w:type="dxa"/>
            <w:tcBorders>
              <w:top w:val="nil"/>
              <w:left w:val="nil"/>
              <w:bottom w:val="nil"/>
              <w:right w:val="nil"/>
            </w:tcBorders>
            <w:shd w:val="clear" w:color="auto" w:fill="auto"/>
            <w:noWrap/>
            <w:vAlign w:val="bottom"/>
            <w:hideMark/>
          </w:tcPr>
          <w:p w14:paraId="660C4945" w14:textId="77777777" w:rsidR="00462106" w:rsidRPr="003D3CF9" w:rsidRDefault="00462106" w:rsidP="00B123BA">
            <w:pPr>
              <w:jc w:val="center"/>
              <w:rPr>
                <w:color w:val="000000" w:themeColor="text1"/>
                <w:lang w:val="en-US"/>
              </w:rPr>
            </w:pPr>
            <w:r w:rsidRPr="003D3CF9">
              <w:rPr>
                <w:color w:val="000000" w:themeColor="text1"/>
                <w:lang w:val="en-US"/>
              </w:rPr>
              <w:t>0(0-21)</w:t>
            </w:r>
          </w:p>
        </w:tc>
        <w:tc>
          <w:tcPr>
            <w:tcW w:w="2401" w:type="dxa"/>
            <w:tcBorders>
              <w:top w:val="nil"/>
              <w:left w:val="nil"/>
              <w:bottom w:val="nil"/>
              <w:right w:val="nil"/>
            </w:tcBorders>
            <w:shd w:val="clear" w:color="auto" w:fill="auto"/>
            <w:noWrap/>
            <w:vAlign w:val="bottom"/>
            <w:hideMark/>
          </w:tcPr>
          <w:p w14:paraId="0063C9EA" w14:textId="77777777" w:rsidR="00462106" w:rsidRPr="003D3CF9" w:rsidRDefault="00462106" w:rsidP="00B123BA">
            <w:pPr>
              <w:jc w:val="center"/>
              <w:rPr>
                <w:color w:val="000000" w:themeColor="text1"/>
                <w:lang w:val="en-US"/>
              </w:rPr>
            </w:pPr>
            <w:r w:rsidRPr="003D3CF9">
              <w:rPr>
                <w:color w:val="000000" w:themeColor="text1"/>
                <w:lang w:val="en-US"/>
              </w:rPr>
              <w:t>13(2-27)</w:t>
            </w:r>
          </w:p>
        </w:tc>
        <w:tc>
          <w:tcPr>
            <w:tcW w:w="1984" w:type="dxa"/>
            <w:tcBorders>
              <w:top w:val="nil"/>
              <w:left w:val="nil"/>
              <w:bottom w:val="nil"/>
              <w:right w:val="nil"/>
            </w:tcBorders>
            <w:shd w:val="clear" w:color="auto" w:fill="auto"/>
            <w:noWrap/>
            <w:vAlign w:val="bottom"/>
            <w:hideMark/>
          </w:tcPr>
          <w:p w14:paraId="0F45D46D" w14:textId="77777777" w:rsidR="00462106" w:rsidRPr="003D3CF9" w:rsidRDefault="00462106" w:rsidP="00B123BA">
            <w:pPr>
              <w:jc w:val="center"/>
              <w:rPr>
                <w:b/>
                <w:bCs/>
                <w:color w:val="000000" w:themeColor="text1"/>
                <w:lang w:val="en-US"/>
              </w:rPr>
            </w:pPr>
            <w:r w:rsidRPr="003D3CF9">
              <w:rPr>
                <w:b/>
                <w:bCs/>
                <w:color w:val="000000" w:themeColor="text1"/>
                <w:lang w:val="en-US"/>
              </w:rPr>
              <w:t>0.003</w:t>
            </w:r>
          </w:p>
        </w:tc>
      </w:tr>
      <w:tr w:rsidR="00462106" w:rsidRPr="003D3CF9" w14:paraId="5F27D741"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tcPr>
          <w:p w14:paraId="7D0CBDA2" w14:textId="77777777" w:rsidR="00462106" w:rsidRPr="003D3CF9" w:rsidRDefault="00462106" w:rsidP="00B123BA">
            <w:pPr>
              <w:rPr>
                <w:color w:val="000000" w:themeColor="text1"/>
                <w:highlight w:val="yellow"/>
                <w:lang w:val="en-US"/>
              </w:rPr>
            </w:pPr>
            <w:r w:rsidRPr="003D3CF9">
              <w:rPr>
                <w:color w:val="000000" w:themeColor="text1"/>
                <w:lang w:val="en-US"/>
              </w:rPr>
              <w:t>Mean AT, ms</w:t>
            </w:r>
          </w:p>
        </w:tc>
        <w:tc>
          <w:tcPr>
            <w:tcW w:w="3204" w:type="dxa"/>
            <w:tcBorders>
              <w:top w:val="nil"/>
              <w:left w:val="nil"/>
              <w:bottom w:val="nil"/>
              <w:right w:val="nil"/>
            </w:tcBorders>
            <w:shd w:val="clear" w:color="auto" w:fill="auto"/>
            <w:noWrap/>
            <w:vAlign w:val="bottom"/>
          </w:tcPr>
          <w:p w14:paraId="6CD3F7D3" w14:textId="77777777" w:rsidR="00462106" w:rsidRPr="003D3CF9" w:rsidRDefault="00462106" w:rsidP="00B123BA">
            <w:pPr>
              <w:jc w:val="center"/>
              <w:rPr>
                <w:color w:val="000000" w:themeColor="text1"/>
                <w:highlight w:val="yellow"/>
                <w:lang w:val="en-US"/>
              </w:rPr>
            </w:pPr>
            <w:r w:rsidRPr="003D3CF9">
              <w:rPr>
                <w:color w:val="000000" w:themeColor="text1"/>
                <w:lang w:val="en-US"/>
              </w:rPr>
              <w:t>39(34-43)</w:t>
            </w:r>
          </w:p>
        </w:tc>
        <w:tc>
          <w:tcPr>
            <w:tcW w:w="2401" w:type="dxa"/>
            <w:tcBorders>
              <w:top w:val="nil"/>
              <w:left w:val="nil"/>
              <w:bottom w:val="nil"/>
              <w:right w:val="nil"/>
            </w:tcBorders>
            <w:shd w:val="clear" w:color="auto" w:fill="auto"/>
            <w:noWrap/>
            <w:vAlign w:val="bottom"/>
          </w:tcPr>
          <w:p w14:paraId="1AD7555D" w14:textId="77777777" w:rsidR="00462106" w:rsidRPr="003D3CF9" w:rsidRDefault="00462106" w:rsidP="00B123BA">
            <w:pPr>
              <w:jc w:val="center"/>
              <w:rPr>
                <w:color w:val="000000" w:themeColor="text1"/>
                <w:lang w:val="en-US"/>
              </w:rPr>
            </w:pPr>
            <w:r w:rsidRPr="003D3CF9">
              <w:rPr>
                <w:color w:val="000000" w:themeColor="text1"/>
                <w:lang w:val="en-US"/>
              </w:rPr>
              <w:t>41(37-45)</w:t>
            </w:r>
          </w:p>
        </w:tc>
        <w:tc>
          <w:tcPr>
            <w:tcW w:w="1984" w:type="dxa"/>
            <w:tcBorders>
              <w:top w:val="nil"/>
              <w:left w:val="nil"/>
              <w:bottom w:val="nil"/>
              <w:right w:val="nil"/>
            </w:tcBorders>
            <w:shd w:val="clear" w:color="auto" w:fill="auto"/>
            <w:noWrap/>
            <w:vAlign w:val="bottom"/>
          </w:tcPr>
          <w:p w14:paraId="51F28010" w14:textId="77777777" w:rsidR="00462106" w:rsidRPr="003D3CF9" w:rsidRDefault="00462106" w:rsidP="00B123BA">
            <w:pPr>
              <w:jc w:val="center"/>
              <w:rPr>
                <w:color w:val="000000" w:themeColor="text1"/>
                <w:lang w:val="en-US"/>
              </w:rPr>
            </w:pPr>
            <w:r w:rsidRPr="003D3CF9">
              <w:rPr>
                <w:color w:val="000000" w:themeColor="text1"/>
                <w:lang w:val="en-US"/>
              </w:rPr>
              <w:t>0.28</w:t>
            </w:r>
          </w:p>
        </w:tc>
      </w:tr>
      <w:tr w:rsidR="00462106" w:rsidRPr="003D3CF9" w14:paraId="663D5A23" w14:textId="77777777" w:rsidTr="00B123BA">
        <w:trPr>
          <w:trHeight w:val="364"/>
        </w:trPr>
        <w:tc>
          <w:tcPr>
            <w:tcW w:w="3893" w:type="dxa"/>
            <w:gridSpan w:val="2"/>
            <w:tcBorders>
              <w:top w:val="nil"/>
              <w:left w:val="nil"/>
              <w:bottom w:val="nil"/>
              <w:right w:val="single" w:sz="4" w:space="0" w:color="auto"/>
            </w:tcBorders>
            <w:shd w:val="clear" w:color="auto" w:fill="auto"/>
            <w:noWrap/>
            <w:vAlign w:val="bottom"/>
          </w:tcPr>
          <w:p w14:paraId="1679B29B" w14:textId="77777777" w:rsidR="00462106" w:rsidRPr="003D3CF9" w:rsidRDefault="00462106" w:rsidP="00B123BA">
            <w:pPr>
              <w:rPr>
                <w:color w:val="000000" w:themeColor="text1"/>
                <w:lang w:val="en-US"/>
              </w:rPr>
            </w:pPr>
            <w:r w:rsidRPr="003D3CF9">
              <w:rPr>
                <w:color w:val="000000" w:themeColor="text1"/>
                <w:lang w:val="en-US"/>
              </w:rPr>
              <w:t>ΔAT, ms</w:t>
            </w:r>
          </w:p>
        </w:tc>
        <w:tc>
          <w:tcPr>
            <w:tcW w:w="3204" w:type="dxa"/>
            <w:tcBorders>
              <w:top w:val="nil"/>
              <w:left w:val="nil"/>
              <w:bottom w:val="nil"/>
              <w:right w:val="nil"/>
            </w:tcBorders>
            <w:shd w:val="clear" w:color="auto" w:fill="auto"/>
            <w:noWrap/>
            <w:vAlign w:val="bottom"/>
          </w:tcPr>
          <w:p w14:paraId="55C59D8E" w14:textId="77777777" w:rsidR="00462106" w:rsidRPr="003D3CF9" w:rsidRDefault="00462106" w:rsidP="00B123BA">
            <w:pPr>
              <w:jc w:val="center"/>
              <w:rPr>
                <w:color w:val="000000" w:themeColor="text1"/>
                <w:lang w:val="en-US"/>
              </w:rPr>
            </w:pPr>
            <w:r w:rsidRPr="003D3CF9">
              <w:rPr>
                <w:color w:val="000000" w:themeColor="text1"/>
                <w:lang w:val="en-US"/>
              </w:rPr>
              <w:t>136(61-188)</w:t>
            </w:r>
          </w:p>
        </w:tc>
        <w:tc>
          <w:tcPr>
            <w:tcW w:w="2401" w:type="dxa"/>
            <w:tcBorders>
              <w:top w:val="nil"/>
              <w:left w:val="nil"/>
              <w:bottom w:val="nil"/>
              <w:right w:val="nil"/>
            </w:tcBorders>
            <w:shd w:val="clear" w:color="auto" w:fill="auto"/>
            <w:noWrap/>
            <w:vAlign w:val="bottom"/>
          </w:tcPr>
          <w:p w14:paraId="193A21BC" w14:textId="77777777" w:rsidR="00462106" w:rsidRPr="003D3CF9" w:rsidRDefault="00462106" w:rsidP="00B123BA">
            <w:pPr>
              <w:jc w:val="center"/>
              <w:rPr>
                <w:color w:val="000000" w:themeColor="text1"/>
                <w:lang w:val="en-US"/>
              </w:rPr>
            </w:pPr>
            <w:r w:rsidRPr="003D3CF9">
              <w:rPr>
                <w:color w:val="000000" w:themeColor="text1"/>
                <w:lang w:val="en-US"/>
              </w:rPr>
              <w:t>183(162-208)</w:t>
            </w:r>
          </w:p>
        </w:tc>
        <w:tc>
          <w:tcPr>
            <w:tcW w:w="1984" w:type="dxa"/>
            <w:tcBorders>
              <w:top w:val="nil"/>
              <w:left w:val="nil"/>
              <w:bottom w:val="nil"/>
              <w:right w:val="nil"/>
            </w:tcBorders>
            <w:shd w:val="clear" w:color="auto" w:fill="auto"/>
            <w:noWrap/>
            <w:vAlign w:val="bottom"/>
          </w:tcPr>
          <w:p w14:paraId="662CF845" w14:textId="77777777" w:rsidR="00462106" w:rsidRPr="003D3CF9" w:rsidRDefault="00462106" w:rsidP="00B123BA">
            <w:pPr>
              <w:jc w:val="center"/>
              <w:rPr>
                <w:b/>
                <w:bCs/>
                <w:color w:val="000000" w:themeColor="text1"/>
                <w:lang w:val="en-US"/>
              </w:rPr>
            </w:pPr>
            <w:r w:rsidRPr="003D3CF9">
              <w:rPr>
                <w:b/>
                <w:bCs/>
                <w:color w:val="000000" w:themeColor="text1"/>
                <w:lang w:val="en-US"/>
              </w:rPr>
              <w:t>&lt;0.001</w:t>
            </w:r>
          </w:p>
        </w:tc>
      </w:tr>
      <w:tr w:rsidR="00462106" w:rsidRPr="003D3CF9" w14:paraId="0732F045"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tcPr>
          <w:p w14:paraId="5AB7E035" w14:textId="77777777" w:rsidR="00462106" w:rsidRPr="003D3CF9" w:rsidRDefault="00462106" w:rsidP="00B123BA">
            <w:pPr>
              <w:rPr>
                <w:color w:val="000000" w:themeColor="text1"/>
                <w:lang w:val="en-US"/>
              </w:rPr>
            </w:pPr>
            <w:r w:rsidRPr="003D3CF9">
              <w:rPr>
                <w:color w:val="000000" w:themeColor="text1"/>
                <w:lang w:val="en-US"/>
              </w:rPr>
              <w:t>Mean RTc, ms</w:t>
            </w:r>
          </w:p>
        </w:tc>
        <w:tc>
          <w:tcPr>
            <w:tcW w:w="3204" w:type="dxa"/>
            <w:tcBorders>
              <w:top w:val="nil"/>
              <w:left w:val="nil"/>
              <w:bottom w:val="nil"/>
              <w:right w:val="nil"/>
            </w:tcBorders>
            <w:shd w:val="clear" w:color="auto" w:fill="auto"/>
            <w:noWrap/>
            <w:vAlign w:val="bottom"/>
          </w:tcPr>
          <w:p w14:paraId="5B2135E2" w14:textId="77777777" w:rsidR="00462106" w:rsidRPr="003D3CF9" w:rsidRDefault="00462106" w:rsidP="00B123BA">
            <w:pPr>
              <w:jc w:val="center"/>
              <w:rPr>
                <w:color w:val="000000" w:themeColor="text1"/>
                <w:lang w:val="en-US"/>
              </w:rPr>
            </w:pPr>
            <w:r w:rsidRPr="003D3CF9">
              <w:rPr>
                <w:color w:val="000000" w:themeColor="text1"/>
                <w:lang w:val="en-US"/>
              </w:rPr>
              <w:t>272(261-281)</w:t>
            </w:r>
          </w:p>
        </w:tc>
        <w:tc>
          <w:tcPr>
            <w:tcW w:w="2401" w:type="dxa"/>
            <w:tcBorders>
              <w:top w:val="nil"/>
              <w:left w:val="nil"/>
              <w:bottom w:val="nil"/>
              <w:right w:val="nil"/>
            </w:tcBorders>
            <w:shd w:val="clear" w:color="auto" w:fill="auto"/>
            <w:noWrap/>
            <w:vAlign w:val="bottom"/>
          </w:tcPr>
          <w:p w14:paraId="241CF6C5" w14:textId="77777777" w:rsidR="00462106" w:rsidRPr="003D3CF9" w:rsidRDefault="00462106" w:rsidP="00B123BA">
            <w:pPr>
              <w:jc w:val="center"/>
              <w:rPr>
                <w:color w:val="000000" w:themeColor="text1"/>
                <w:lang w:val="en-US"/>
              </w:rPr>
            </w:pPr>
            <w:r w:rsidRPr="003D3CF9">
              <w:rPr>
                <w:color w:val="000000" w:themeColor="text1"/>
                <w:lang w:val="en-US"/>
              </w:rPr>
              <w:t>322(296-340)</w:t>
            </w:r>
          </w:p>
        </w:tc>
        <w:tc>
          <w:tcPr>
            <w:tcW w:w="1984" w:type="dxa"/>
            <w:tcBorders>
              <w:top w:val="nil"/>
              <w:left w:val="nil"/>
              <w:bottom w:val="nil"/>
              <w:right w:val="nil"/>
            </w:tcBorders>
            <w:shd w:val="clear" w:color="auto" w:fill="auto"/>
            <w:noWrap/>
            <w:vAlign w:val="bottom"/>
          </w:tcPr>
          <w:p w14:paraId="0633AAFA" w14:textId="77777777" w:rsidR="00462106" w:rsidRPr="003D3CF9" w:rsidRDefault="00462106" w:rsidP="00B123BA">
            <w:pPr>
              <w:jc w:val="center"/>
              <w:rPr>
                <w:b/>
                <w:bCs/>
                <w:color w:val="000000" w:themeColor="text1"/>
                <w:lang w:val="en-US"/>
              </w:rPr>
            </w:pPr>
            <w:r w:rsidRPr="003D3CF9">
              <w:rPr>
                <w:b/>
                <w:bCs/>
                <w:color w:val="000000" w:themeColor="text1"/>
                <w:lang w:val="en-US"/>
              </w:rPr>
              <w:t>&lt;0.001</w:t>
            </w:r>
          </w:p>
        </w:tc>
      </w:tr>
      <w:tr w:rsidR="00462106" w:rsidRPr="003D3CF9" w14:paraId="51DC6168"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48384A6D" w14:textId="77777777" w:rsidR="00462106" w:rsidRPr="003D3CF9" w:rsidRDefault="00462106" w:rsidP="00B123BA">
            <w:pPr>
              <w:rPr>
                <w:color w:val="000000" w:themeColor="text1"/>
                <w:lang w:val="en-US"/>
              </w:rPr>
            </w:pPr>
            <w:r w:rsidRPr="003D3CF9">
              <w:rPr>
                <w:color w:val="000000" w:themeColor="text1"/>
                <w:lang w:val="en-US"/>
              </w:rPr>
              <w:t>ΔRTc, ms</w:t>
            </w:r>
          </w:p>
        </w:tc>
        <w:tc>
          <w:tcPr>
            <w:tcW w:w="3204" w:type="dxa"/>
            <w:tcBorders>
              <w:top w:val="nil"/>
              <w:left w:val="nil"/>
              <w:bottom w:val="nil"/>
              <w:right w:val="nil"/>
            </w:tcBorders>
            <w:shd w:val="clear" w:color="auto" w:fill="auto"/>
            <w:noWrap/>
            <w:vAlign w:val="bottom"/>
            <w:hideMark/>
          </w:tcPr>
          <w:p w14:paraId="328C1CC1" w14:textId="77777777" w:rsidR="00462106" w:rsidRPr="003D3CF9" w:rsidRDefault="00462106" w:rsidP="00B123BA">
            <w:pPr>
              <w:jc w:val="center"/>
              <w:rPr>
                <w:color w:val="000000" w:themeColor="text1"/>
                <w:lang w:val="en-US"/>
              </w:rPr>
            </w:pPr>
            <w:r w:rsidRPr="003D3CF9">
              <w:rPr>
                <w:color w:val="000000" w:themeColor="text1"/>
                <w:lang w:val="en-US"/>
              </w:rPr>
              <w:t>150(119-170)</w:t>
            </w:r>
          </w:p>
        </w:tc>
        <w:tc>
          <w:tcPr>
            <w:tcW w:w="2401" w:type="dxa"/>
            <w:tcBorders>
              <w:top w:val="nil"/>
              <w:left w:val="nil"/>
              <w:bottom w:val="nil"/>
              <w:right w:val="nil"/>
            </w:tcBorders>
            <w:shd w:val="clear" w:color="auto" w:fill="auto"/>
            <w:noWrap/>
            <w:vAlign w:val="bottom"/>
            <w:hideMark/>
          </w:tcPr>
          <w:p w14:paraId="4437D3D5" w14:textId="77777777" w:rsidR="00462106" w:rsidRPr="003D3CF9" w:rsidRDefault="00462106" w:rsidP="00B123BA">
            <w:pPr>
              <w:jc w:val="center"/>
              <w:rPr>
                <w:color w:val="000000" w:themeColor="text1"/>
                <w:lang w:val="en-US"/>
              </w:rPr>
            </w:pPr>
            <w:r w:rsidRPr="003D3CF9">
              <w:rPr>
                <w:color w:val="000000" w:themeColor="text1"/>
                <w:lang w:val="en-US"/>
              </w:rPr>
              <w:t>165(150-178)</w:t>
            </w:r>
          </w:p>
        </w:tc>
        <w:tc>
          <w:tcPr>
            <w:tcW w:w="1984" w:type="dxa"/>
            <w:tcBorders>
              <w:top w:val="nil"/>
              <w:left w:val="nil"/>
              <w:bottom w:val="nil"/>
              <w:right w:val="nil"/>
            </w:tcBorders>
            <w:shd w:val="clear" w:color="auto" w:fill="auto"/>
            <w:noWrap/>
            <w:vAlign w:val="bottom"/>
            <w:hideMark/>
          </w:tcPr>
          <w:p w14:paraId="2CC6634E" w14:textId="77777777" w:rsidR="00462106" w:rsidRPr="003D3CF9" w:rsidRDefault="00462106" w:rsidP="00B123BA">
            <w:pPr>
              <w:jc w:val="center"/>
              <w:rPr>
                <w:b/>
                <w:bCs/>
                <w:color w:val="000000" w:themeColor="text1"/>
                <w:highlight w:val="yellow"/>
                <w:lang w:val="en-US"/>
              </w:rPr>
            </w:pPr>
            <w:r w:rsidRPr="003D3CF9">
              <w:rPr>
                <w:b/>
                <w:bCs/>
                <w:color w:val="000000" w:themeColor="text1"/>
                <w:lang w:val="en-US"/>
              </w:rPr>
              <w:t>0.023</w:t>
            </w:r>
          </w:p>
        </w:tc>
      </w:tr>
      <w:tr w:rsidR="00462106" w:rsidRPr="003D3CF9" w14:paraId="6593C755" w14:textId="77777777" w:rsidTr="00B123BA">
        <w:trPr>
          <w:trHeight w:val="422"/>
        </w:trPr>
        <w:tc>
          <w:tcPr>
            <w:tcW w:w="3893" w:type="dxa"/>
            <w:gridSpan w:val="2"/>
            <w:tcBorders>
              <w:top w:val="nil"/>
              <w:left w:val="nil"/>
              <w:bottom w:val="nil"/>
              <w:right w:val="single" w:sz="4" w:space="0" w:color="auto"/>
            </w:tcBorders>
            <w:shd w:val="clear" w:color="auto" w:fill="auto"/>
            <w:noWrap/>
            <w:vAlign w:val="bottom"/>
          </w:tcPr>
          <w:p w14:paraId="0E91A3DB" w14:textId="77777777" w:rsidR="00462106" w:rsidRPr="003D3CF9" w:rsidRDefault="00462106" w:rsidP="00B123BA">
            <w:pPr>
              <w:rPr>
                <w:color w:val="000000" w:themeColor="text1"/>
                <w:lang w:val="en-US"/>
              </w:rPr>
            </w:pPr>
            <w:r w:rsidRPr="003D3CF9">
              <w:rPr>
                <w:color w:val="000000" w:themeColor="text1"/>
                <w:lang w:val="en-US"/>
              </w:rPr>
              <w:t>Mean ARIc, ms</w:t>
            </w:r>
          </w:p>
        </w:tc>
        <w:tc>
          <w:tcPr>
            <w:tcW w:w="3204" w:type="dxa"/>
            <w:tcBorders>
              <w:top w:val="nil"/>
              <w:left w:val="nil"/>
              <w:bottom w:val="nil"/>
              <w:right w:val="nil"/>
            </w:tcBorders>
            <w:shd w:val="clear" w:color="auto" w:fill="auto"/>
            <w:noWrap/>
            <w:vAlign w:val="bottom"/>
          </w:tcPr>
          <w:p w14:paraId="0447D092" w14:textId="77777777" w:rsidR="00462106" w:rsidRPr="003D3CF9" w:rsidRDefault="00462106" w:rsidP="00B123BA">
            <w:pPr>
              <w:jc w:val="center"/>
              <w:rPr>
                <w:color w:val="000000" w:themeColor="text1"/>
                <w:lang w:val="en-US"/>
              </w:rPr>
            </w:pPr>
            <w:r w:rsidRPr="003D3CF9">
              <w:rPr>
                <w:color w:val="000000" w:themeColor="text1"/>
                <w:lang w:val="en-US"/>
              </w:rPr>
              <w:t>232±21</w:t>
            </w:r>
          </w:p>
        </w:tc>
        <w:tc>
          <w:tcPr>
            <w:tcW w:w="2401" w:type="dxa"/>
            <w:tcBorders>
              <w:top w:val="nil"/>
              <w:left w:val="nil"/>
              <w:bottom w:val="nil"/>
              <w:right w:val="nil"/>
            </w:tcBorders>
            <w:shd w:val="clear" w:color="auto" w:fill="auto"/>
            <w:noWrap/>
            <w:vAlign w:val="bottom"/>
          </w:tcPr>
          <w:p w14:paraId="52191381" w14:textId="77777777" w:rsidR="00462106" w:rsidRPr="003D3CF9" w:rsidRDefault="00462106" w:rsidP="00B123BA">
            <w:pPr>
              <w:jc w:val="center"/>
              <w:rPr>
                <w:color w:val="000000" w:themeColor="text1"/>
                <w:lang w:val="en-US"/>
              </w:rPr>
            </w:pPr>
            <w:r w:rsidRPr="003D3CF9">
              <w:rPr>
                <w:color w:val="000000" w:themeColor="text1"/>
                <w:lang w:val="en-US"/>
              </w:rPr>
              <w:t>276±29</w:t>
            </w:r>
          </w:p>
        </w:tc>
        <w:tc>
          <w:tcPr>
            <w:tcW w:w="1984" w:type="dxa"/>
            <w:tcBorders>
              <w:top w:val="nil"/>
              <w:left w:val="nil"/>
              <w:bottom w:val="nil"/>
              <w:right w:val="nil"/>
            </w:tcBorders>
            <w:shd w:val="clear" w:color="auto" w:fill="auto"/>
            <w:noWrap/>
            <w:vAlign w:val="bottom"/>
          </w:tcPr>
          <w:p w14:paraId="270E2AFC" w14:textId="77777777" w:rsidR="00462106" w:rsidRPr="003D3CF9" w:rsidRDefault="00462106" w:rsidP="00B123BA">
            <w:pPr>
              <w:jc w:val="center"/>
              <w:rPr>
                <w:b/>
                <w:bCs/>
                <w:color w:val="000000" w:themeColor="text1"/>
                <w:lang w:val="en-US"/>
              </w:rPr>
            </w:pPr>
            <w:r w:rsidRPr="003D3CF9">
              <w:rPr>
                <w:b/>
                <w:bCs/>
                <w:color w:val="000000" w:themeColor="text1"/>
                <w:lang w:val="en-US"/>
              </w:rPr>
              <w:t>&lt;0.001</w:t>
            </w:r>
          </w:p>
        </w:tc>
      </w:tr>
      <w:tr w:rsidR="00462106" w:rsidRPr="003D3CF9" w14:paraId="2F5E92B1"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7152F426" w14:textId="77777777" w:rsidR="00462106" w:rsidRPr="003D3CF9" w:rsidRDefault="00462106" w:rsidP="00B123BA">
            <w:pPr>
              <w:rPr>
                <w:color w:val="000000" w:themeColor="text1"/>
                <w:lang w:val="en-US"/>
              </w:rPr>
            </w:pPr>
            <w:r w:rsidRPr="003D3CF9">
              <w:rPr>
                <w:color w:val="000000" w:themeColor="text1"/>
                <w:lang w:val="en-US"/>
              </w:rPr>
              <w:t>ΔARIc, ms</w:t>
            </w:r>
          </w:p>
        </w:tc>
        <w:tc>
          <w:tcPr>
            <w:tcW w:w="3204" w:type="dxa"/>
            <w:tcBorders>
              <w:top w:val="nil"/>
              <w:left w:val="nil"/>
              <w:bottom w:val="nil"/>
              <w:right w:val="nil"/>
            </w:tcBorders>
            <w:shd w:val="clear" w:color="auto" w:fill="auto"/>
            <w:noWrap/>
            <w:vAlign w:val="bottom"/>
            <w:hideMark/>
          </w:tcPr>
          <w:p w14:paraId="166D41B4" w14:textId="77777777" w:rsidR="00462106" w:rsidRPr="003D3CF9" w:rsidRDefault="00462106" w:rsidP="00B123BA">
            <w:pPr>
              <w:jc w:val="center"/>
              <w:rPr>
                <w:color w:val="000000" w:themeColor="text1"/>
                <w:lang w:val="en-US"/>
              </w:rPr>
            </w:pPr>
            <w:r w:rsidRPr="003D3CF9">
              <w:rPr>
                <w:color w:val="000000" w:themeColor="text1"/>
                <w:lang w:val="en-US"/>
              </w:rPr>
              <w:t>161(141-194)</w:t>
            </w:r>
          </w:p>
        </w:tc>
        <w:tc>
          <w:tcPr>
            <w:tcW w:w="2401" w:type="dxa"/>
            <w:tcBorders>
              <w:top w:val="nil"/>
              <w:left w:val="nil"/>
              <w:bottom w:val="nil"/>
              <w:right w:val="nil"/>
            </w:tcBorders>
            <w:shd w:val="clear" w:color="auto" w:fill="auto"/>
            <w:noWrap/>
            <w:vAlign w:val="bottom"/>
            <w:hideMark/>
          </w:tcPr>
          <w:p w14:paraId="787E5F71" w14:textId="77777777" w:rsidR="00462106" w:rsidRPr="003D3CF9" w:rsidRDefault="00462106" w:rsidP="00B123BA">
            <w:pPr>
              <w:jc w:val="center"/>
              <w:rPr>
                <w:color w:val="000000" w:themeColor="text1"/>
                <w:lang w:val="en-US"/>
              </w:rPr>
            </w:pPr>
            <w:r w:rsidRPr="003D3CF9">
              <w:rPr>
                <w:color w:val="000000" w:themeColor="text1"/>
                <w:lang w:val="en-US"/>
              </w:rPr>
              <w:t>183(162-208)</w:t>
            </w:r>
          </w:p>
        </w:tc>
        <w:tc>
          <w:tcPr>
            <w:tcW w:w="1984" w:type="dxa"/>
            <w:tcBorders>
              <w:top w:val="nil"/>
              <w:left w:val="nil"/>
              <w:bottom w:val="nil"/>
              <w:right w:val="nil"/>
            </w:tcBorders>
            <w:shd w:val="clear" w:color="auto" w:fill="auto"/>
            <w:noWrap/>
            <w:vAlign w:val="bottom"/>
            <w:hideMark/>
          </w:tcPr>
          <w:p w14:paraId="23207614" w14:textId="77777777" w:rsidR="00462106" w:rsidRPr="003D3CF9" w:rsidRDefault="00462106" w:rsidP="00B123BA">
            <w:pPr>
              <w:jc w:val="center"/>
              <w:rPr>
                <w:color w:val="000000" w:themeColor="text1"/>
                <w:lang w:val="en-US"/>
              </w:rPr>
            </w:pPr>
            <w:r w:rsidRPr="003D3CF9">
              <w:rPr>
                <w:color w:val="000000" w:themeColor="text1"/>
                <w:lang w:val="en-US"/>
              </w:rPr>
              <w:t>0.053</w:t>
            </w:r>
          </w:p>
        </w:tc>
      </w:tr>
      <w:tr w:rsidR="00462106" w:rsidRPr="003D3CF9" w14:paraId="23BA4879"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5A2E5755" w14:textId="77777777" w:rsidR="00462106" w:rsidRPr="003D3CF9" w:rsidRDefault="00462106" w:rsidP="00B123BA">
            <w:pPr>
              <w:rPr>
                <w:color w:val="000000" w:themeColor="text1"/>
                <w:lang w:val="en-US"/>
              </w:rPr>
            </w:pPr>
            <w:r w:rsidRPr="003D3CF9">
              <w:rPr>
                <w:color w:val="000000" w:themeColor="text1"/>
                <w:lang w:val="en-US"/>
              </w:rPr>
              <w:t>mean G</w:t>
            </w:r>
            <w:r w:rsidRPr="003D3CF9">
              <w:rPr>
                <w:color w:val="000000" w:themeColor="text1"/>
                <w:vertAlign w:val="subscript"/>
                <w:lang w:val="en-US"/>
              </w:rPr>
              <w:t>AT</w:t>
            </w:r>
            <w:r w:rsidRPr="003D3CF9">
              <w:rPr>
                <w:color w:val="000000" w:themeColor="text1"/>
                <w:lang w:val="en-US"/>
              </w:rPr>
              <w:t>, ms/mm</w:t>
            </w:r>
          </w:p>
        </w:tc>
        <w:tc>
          <w:tcPr>
            <w:tcW w:w="3204" w:type="dxa"/>
            <w:tcBorders>
              <w:top w:val="nil"/>
              <w:left w:val="nil"/>
              <w:bottom w:val="nil"/>
              <w:right w:val="nil"/>
            </w:tcBorders>
            <w:shd w:val="clear" w:color="auto" w:fill="auto"/>
            <w:noWrap/>
            <w:vAlign w:val="bottom"/>
            <w:hideMark/>
          </w:tcPr>
          <w:p w14:paraId="3ED93936" w14:textId="77777777" w:rsidR="00462106" w:rsidRPr="003D3CF9" w:rsidRDefault="00462106" w:rsidP="00B123BA">
            <w:pPr>
              <w:jc w:val="center"/>
              <w:rPr>
                <w:color w:val="000000" w:themeColor="text1"/>
                <w:lang w:val="en-US"/>
              </w:rPr>
            </w:pPr>
            <w:r w:rsidRPr="003D3CF9">
              <w:rPr>
                <w:color w:val="000000" w:themeColor="text1"/>
                <w:lang w:val="en-US"/>
              </w:rPr>
              <w:t>0.39(0.25-0.46)</w:t>
            </w:r>
          </w:p>
        </w:tc>
        <w:tc>
          <w:tcPr>
            <w:tcW w:w="2401" w:type="dxa"/>
            <w:tcBorders>
              <w:top w:val="nil"/>
              <w:left w:val="nil"/>
              <w:bottom w:val="nil"/>
              <w:right w:val="nil"/>
            </w:tcBorders>
            <w:shd w:val="clear" w:color="auto" w:fill="auto"/>
            <w:noWrap/>
            <w:vAlign w:val="bottom"/>
            <w:hideMark/>
          </w:tcPr>
          <w:p w14:paraId="2E74A496" w14:textId="77777777" w:rsidR="00462106" w:rsidRPr="003D3CF9" w:rsidRDefault="00462106" w:rsidP="00B123BA">
            <w:pPr>
              <w:jc w:val="center"/>
              <w:rPr>
                <w:color w:val="000000" w:themeColor="text1"/>
                <w:lang w:val="en-US"/>
              </w:rPr>
            </w:pPr>
            <w:r w:rsidRPr="003D3CF9">
              <w:rPr>
                <w:color w:val="000000" w:themeColor="text1"/>
                <w:lang w:val="en-US"/>
              </w:rPr>
              <w:t>0.40(0.35-0.46)</w:t>
            </w:r>
          </w:p>
        </w:tc>
        <w:tc>
          <w:tcPr>
            <w:tcW w:w="1984" w:type="dxa"/>
            <w:tcBorders>
              <w:top w:val="nil"/>
              <w:left w:val="nil"/>
              <w:bottom w:val="nil"/>
              <w:right w:val="nil"/>
            </w:tcBorders>
            <w:shd w:val="clear" w:color="auto" w:fill="auto"/>
            <w:noWrap/>
            <w:vAlign w:val="bottom"/>
            <w:hideMark/>
          </w:tcPr>
          <w:p w14:paraId="4BDACB69" w14:textId="77777777" w:rsidR="00462106" w:rsidRPr="003D3CF9" w:rsidRDefault="00462106" w:rsidP="00B123BA">
            <w:pPr>
              <w:jc w:val="center"/>
              <w:rPr>
                <w:color w:val="000000" w:themeColor="text1"/>
                <w:lang w:val="en-US"/>
              </w:rPr>
            </w:pPr>
            <w:r w:rsidRPr="003D3CF9">
              <w:rPr>
                <w:color w:val="000000" w:themeColor="text1"/>
                <w:lang w:val="en-US"/>
              </w:rPr>
              <w:t>0.07</w:t>
            </w:r>
          </w:p>
        </w:tc>
      </w:tr>
      <w:tr w:rsidR="00462106" w:rsidRPr="003D3CF9" w14:paraId="4BD80CED"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3C7B0ED1" w14:textId="77777777" w:rsidR="00462106" w:rsidRPr="003D3CF9" w:rsidRDefault="00462106" w:rsidP="00B123BA">
            <w:pPr>
              <w:rPr>
                <w:color w:val="000000" w:themeColor="text1"/>
                <w:lang w:val="en-US"/>
              </w:rPr>
            </w:pPr>
            <w:r w:rsidRPr="003D3CF9">
              <w:rPr>
                <w:color w:val="000000" w:themeColor="text1"/>
                <w:lang w:val="en-US"/>
              </w:rPr>
              <w:t>max G</w:t>
            </w:r>
            <w:r w:rsidRPr="003D3CF9">
              <w:rPr>
                <w:color w:val="000000" w:themeColor="text1"/>
                <w:vertAlign w:val="subscript"/>
                <w:lang w:val="en-US"/>
              </w:rPr>
              <w:t>AT</w:t>
            </w:r>
            <w:r w:rsidRPr="003D3CF9">
              <w:rPr>
                <w:color w:val="000000" w:themeColor="text1"/>
                <w:lang w:val="en-US"/>
              </w:rPr>
              <w:t>, ms/mm</w:t>
            </w:r>
          </w:p>
        </w:tc>
        <w:tc>
          <w:tcPr>
            <w:tcW w:w="3204" w:type="dxa"/>
            <w:tcBorders>
              <w:top w:val="nil"/>
              <w:left w:val="nil"/>
              <w:bottom w:val="nil"/>
              <w:right w:val="nil"/>
            </w:tcBorders>
            <w:shd w:val="clear" w:color="auto" w:fill="auto"/>
            <w:noWrap/>
            <w:vAlign w:val="bottom"/>
            <w:hideMark/>
          </w:tcPr>
          <w:p w14:paraId="57F43EFE" w14:textId="77777777" w:rsidR="00462106" w:rsidRPr="003D3CF9" w:rsidRDefault="00462106" w:rsidP="00B123BA">
            <w:pPr>
              <w:jc w:val="center"/>
              <w:rPr>
                <w:color w:val="000000" w:themeColor="text1"/>
                <w:lang w:val="en-US"/>
              </w:rPr>
            </w:pPr>
            <w:r w:rsidRPr="003D3CF9">
              <w:rPr>
                <w:color w:val="000000" w:themeColor="text1"/>
                <w:lang w:val="en-US"/>
              </w:rPr>
              <w:t>4.7(3.9-5.9)</w:t>
            </w:r>
          </w:p>
        </w:tc>
        <w:tc>
          <w:tcPr>
            <w:tcW w:w="2401" w:type="dxa"/>
            <w:tcBorders>
              <w:top w:val="nil"/>
              <w:left w:val="nil"/>
              <w:bottom w:val="nil"/>
              <w:right w:val="nil"/>
            </w:tcBorders>
            <w:shd w:val="clear" w:color="auto" w:fill="auto"/>
            <w:noWrap/>
            <w:vAlign w:val="bottom"/>
            <w:hideMark/>
          </w:tcPr>
          <w:p w14:paraId="502172A9" w14:textId="77777777" w:rsidR="00462106" w:rsidRPr="003D3CF9" w:rsidRDefault="00462106" w:rsidP="00B123BA">
            <w:pPr>
              <w:jc w:val="center"/>
              <w:rPr>
                <w:color w:val="000000" w:themeColor="text1"/>
                <w:lang w:val="en-US"/>
              </w:rPr>
            </w:pPr>
            <w:r w:rsidRPr="003D3CF9">
              <w:rPr>
                <w:color w:val="000000" w:themeColor="text1"/>
                <w:lang w:val="en-US"/>
              </w:rPr>
              <w:t>5.1(4.2-5.8)</w:t>
            </w:r>
          </w:p>
        </w:tc>
        <w:tc>
          <w:tcPr>
            <w:tcW w:w="1984" w:type="dxa"/>
            <w:tcBorders>
              <w:top w:val="nil"/>
              <w:left w:val="nil"/>
              <w:bottom w:val="nil"/>
              <w:right w:val="nil"/>
            </w:tcBorders>
            <w:shd w:val="clear" w:color="auto" w:fill="auto"/>
            <w:noWrap/>
            <w:vAlign w:val="bottom"/>
            <w:hideMark/>
          </w:tcPr>
          <w:p w14:paraId="2E3895D0" w14:textId="77777777" w:rsidR="00462106" w:rsidRPr="003D3CF9" w:rsidRDefault="00462106" w:rsidP="00B123BA">
            <w:pPr>
              <w:jc w:val="center"/>
              <w:rPr>
                <w:color w:val="000000" w:themeColor="text1"/>
                <w:lang w:val="en-US"/>
              </w:rPr>
            </w:pPr>
            <w:r w:rsidRPr="003D3CF9">
              <w:rPr>
                <w:color w:val="000000" w:themeColor="text1"/>
                <w:lang w:val="en-US"/>
              </w:rPr>
              <w:t>0.37</w:t>
            </w:r>
          </w:p>
        </w:tc>
      </w:tr>
      <w:tr w:rsidR="00462106" w:rsidRPr="003D3CF9" w14:paraId="69DC4A2B"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3A74BB10" w14:textId="77777777" w:rsidR="00462106" w:rsidRPr="003D3CF9" w:rsidRDefault="00462106" w:rsidP="00B123BA">
            <w:pPr>
              <w:rPr>
                <w:color w:val="000000" w:themeColor="text1"/>
                <w:lang w:val="en-US"/>
              </w:rPr>
            </w:pPr>
            <w:r w:rsidRPr="003D3CF9">
              <w:rPr>
                <w:color w:val="000000" w:themeColor="text1"/>
                <w:lang w:val="en-US"/>
              </w:rPr>
              <w:t>mean G</w:t>
            </w:r>
            <w:r w:rsidRPr="003D3CF9">
              <w:rPr>
                <w:color w:val="000000" w:themeColor="text1"/>
                <w:vertAlign w:val="subscript"/>
                <w:lang w:val="en-US"/>
              </w:rPr>
              <w:t>RTc</w:t>
            </w:r>
            <w:r w:rsidRPr="003D3CF9">
              <w:rPr>
                <w:color w:val="000000" w:themeColor="text1"/>
                <w:lang w:val="en-US"/>
              </w:rPr>
              <w:t>, ms/mm</w:t>
            </w:r>
          </w:p>
        </w:tc>
        <w:tc>
          <w:tcPr>
            <w:tcW w:w="3204" w:type="dxa"/>
            <w:tcBorders>
              <w:top w:val="nil"/>
              <w:left w:val="nil"/>
              <w:bottom w:val="nil"/>
              <w:right w:val="nil"/>
            </w:tcBorders>
            <w:shd w:val="clear" w:color="auto" w:fill="auto"/>
            <w:noWrap/>
            <w:vAlign w:val="bottom"/>
            <w:hideMark/>
          </w:tcPr>
          <w:p w14:paraId="2B391BEC" w14:textId="77777777" w:rsidR="00462106" w:rsidRPr="003D3CF9" w:rsidRDefault="00462106" w:rsidP="00B123BA">
            <w:pPr>
              <w:jc w:val="center"/>
              <w:rPr>
                <w:color w:val="000000" w:themeColor="text1"/>
                <w:lang w:val="en-US"/>
              </w:rPr>
            </w:pPr>
            <w:r w:rsidRPr="003D3CF9">
              <w:rPr>
                <w:color w:val="000000" w:themeColor="text1"/>
                <w:lang w:val="en-US"/>
              </w:rPr>
              <w:t>0.9±0.3</w:t>
            </w:r>
          </w:p>
        </w:tc>
        <w:tc>
          <w:tcPr>
            <w:tcW w:w="2401" w:type="dxa"/>
            <w:tcBorders>
              <w:top w:val="nil"/>
              <w:left w:val="nil"/>
              <w:bottom w:val="nil"/>
              <w:right w:val="nil"/>
            </w:tcBorders>
            <w:shd w:val="clear" w:color="auto" w:fill="auto"/>
            <w:noWrap/>
            <w:vAlign w:val="bottom"/>
            <w:hideMark/>
          </w:tcPr>
          <w:p w14:paraId="48F0EEAC" w14:textId="77777777" w:rsidR="00462106" w:rsidRPr="003D3CF9" w:rsidRDefault="00462106" w:rsidP="00B123BA">
            <w:pPr>
              <w:jc w:val="center"/>
              <w:rPr>
                <w:color w:val="000000" w:themeColor="text1"/>
                <w:lang w:val="en-US"/>
              </w:rPr>
            </w:pPr>
            <w:r w:rsidRPr="003D3CF9">
              <w:rPr>
                <w:color w:val="000000" w:themeColor="text1"/>
                <w:lang w:val="en-US"/>
              </w:rPr>
              <w:t>1.0±0.3</w:t>
            </w:r>
          </w:p>
        </w:tc>
        <w:tc>
          <w:tcPr>
            <w:tcW w:w="1984" w:type="dxa"/>
            <w:tcBorders>
              <w:top w:val="nil"/>
              <w:left w:val="nil"/>
              <w:bottom w:val="nil"/>
              <w:right w:val="nil"/>
            </w:tcBorders>
            <w:shd w:val="clear" w:color="auto" w:fill="auto"/>
            <w:noWrap/>
            <w:vAlign w:val="bottom"/>
            <w:hideMark/>
          </w:tcPr>
          <w:p w14:paraId="5E011054" w14:textId="77777777" w:rsidR="00462106" w:rsidRPr="003D3CF9" w:rsidRDefault="00462106" w:rsidP="00B123BA">
            <w:pPr>
              <w:jc w:val="center"/>
              <w:rPr>
                <w:b/>
                <w:bCs/>
                <w:color w:val="000000" w:themeColor="text1"/>
                <w:lang w:val="en-US"/>
              </w:rPr>
            </w:pPr>
            <w:r w:rsidRPr="003D3CF9">
              <w:rPr>
                <w:b/>
                <w:bCs/>
                <w:color w:val="000000" w:themeColor="text1"/>
                <w:lang w:val="en-US"/>
              </w:rPr>
              <w:t>0.019</w:t>
            </w:r>
          </w:p>
        </w:tc>
      </w:tr>
      <w:tr w:rsidR="00462106" w:rsidRPr="003D3CF9" w14:paraId="02B49A00"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431643CA" w14:textId="77777777" w:rsidR="00462106" w:rsidRPr="003D3CF9" w:rsidRDefault="00462106" w:rsidP="00B123BA">
            <w:pPr>
              <w:rPr>
                <w:color w:val="000000" w:themeColor="text1"/>
                <w:lang w:val="en-US"/>
              </w:rPr>
            </w:pPr>
            <w:r w:rsidRPr="003D3CF9">
              <w:rPr>
                <w:color w:val="000000" w:themeColor="text1"/>
                <w:lang w:val="en-US"/>
              </w:rPr>
              <w:t>max G</w:t>
            </w:r>
            <w:r w:rsidRPr="003D3CF9">
              <w:rPr>
                <w:color w:val="000000" w:themeColor="text1"/>
                <w:vertAlign w:val="subscript"/>
                <w:lang w:val="en-US"/>
              </w:rPr>
              <w:t>RTc</w:t>
            </w:r>
            <w:r w:rsidRPr="003D3CF9">
              <w:rPr>
                <w:color w:val="000000" w:themeColor="text1"/>
                <w:lang w:val="en-US"/>
              </w:rPr>
              <w:t>, ms/mm</w:t>
            </w:r>
          </w:p>
        </w:tc>
        <w:tc>
          <w:tcPr>
            <w:tcW w:w="3204" w:type="dxa"/>
            <w:tcBorders>
              <w:top w:val="nil"/>
              <w:left w:val="nil"/>
              <w:bottom w:val="nil"/>
              <w:right w:val="nil"/>
            </w:tcBorders>
            <w:shd w:val="clear" w:color="auto" w:fill="auto"/>
            <w:noWrap/>
            <w:vAlign w:val="bottom"/>
            <w:hideMark/>
          </w:tcPr>
          <w:p w14:paraId="48337300" w14:textId="77777777" w:rsidR="00462106" w:rsidRPr="003D3CF9" w:rsidRDefault="00462106" w:rsidP="00B123BA">
            <w:pPr>
              <w:jc w:val="center"/>
              <w:rPr>
                <w:color w:val="000000" w:themeColor="text1"/>
                <w:lang w:val="en-US"/>
              </w:rPr>
            </w:pPr>
            <w:r w:rsidRPr="003D3CF9">
              <w:rPr>
                <w:color w:val="000000" w:themeColor="text1"/>
                <w:lang w:val="en-US"/>
              </w:rPr>
              <w:t>9.0(7.9-10.5)</w:t>
            </w:r>
          </w:p>
        </w:tc>
        <w:tc>
          <w:tcPr>
            <w:tcW w:w="2401" w:type="dxa"/>
            <w:tcBorders>
              <w:top w:val="nil"/>
              <w:left w:val="nil"/>
              <w:bottom w:val="nil"/>
              <w:right w:val="nil"/>
            </w:tcBorders>
            <w:shd w:val="clear" w:color="auto" w:fill="auto"/>
            <w:noWrap/>
            <w:vAlign w:val="bottom"/>
            <w:hideMark/>
          </w:tcPr>
          <w:p w14:paraId="78CF9FF0" w14:textId="77777777" w:rsidR="00462106" w:rsidRPr="003D3CF9" w:rsidRDefault="00462106" w:rsidP="00B123BA">
            <w:pPr>
              <w:jc w:val="center"/>
              <w:rPr>
                <w:color w:val="000000" w:themeColor="text1"/>
                <w:lang w:val="en-US"/>
              </w:rPr>
            </w:pPr>
            <w:r w:rsidRPr="003D3CF9">
              <w:rPr>
                <w:color w:val="000000" w:themeColor="text1"/>
                <w:lang w:val="en-US"/>
              </w:rPr>
              <w:t>11.3(9.9-12.7)</w:t>
            </w:r>
          </w:p>
        </w:tc>
        <w:tc>
          <w:tcPr>
            <w:tcW w:w="1984" w:type="dxa"/>
            <w:tcBorders>
              <w:top w:val="nil"/>
              <w:left w:val="nil"/>
              <w:bottom w:val="nil"/>
              <w:right w:val="nil"/>
            </w:tcBorders>
            <w:shd w:val="clear" w:color="auto" w:fill="auto"/>
            <w:noWrap/>
            <w:vAlign w:val="bottom"/>
            <w:hideMark/>
          </w:tcPr>
          <w:p w14:paraId="5037AB54" w14:textId="77777777" w:rsidR="00462106" w:rsidRPr="003D3CF9" w:rsidRDefault="00462106" w:rsidP="00B123BA">
            <w:pPr>
              <w:jc w:val="center"/>
              <w:rPr>
                <w:b/>
                <w:bCs/>
                <w:color w:val="000000" w:themeColor="text1"/>
                <w:lang w:val="en-US"/>
              </w:rPr>
            </w:pPr>
            <w:r w:rsidRPr="003D3CF9">
              <w:rPr>
                <w:b/>
                <w:bCs/>
                <w:color w:val="000000" w:themeColor="text1"/>
                <w:lang w:val="en-US"/>
              </w:rPr>
              <w:t>&lt;0.001</w:t>
            </w:r>
          </w:p>
        </w:tc>
      </w:tr>
    </w:tbl>
    <w:p w14:paraId="6584955D" w14:textId="77777777" w:rsidR="00462106" w:rsidRPr="003D3CF9" w:rsidRDefault="00462106" w:rsidP="00462106">
      <w:pPr>
        <w:rPr>
          <w:b/>
          <w:bCs/>
          <w:lang w:val="en-US"/>
        </w:rPr>
      </w:pPr>
    </w:p>
    <w:p w14:paraId="2A6306CD" w14:textId="77777777" w:rsidR="00462106" w:rsidRPr="003D3CF9" w:rsidRDefault="00462106" w:rsidP="00462106">
      <w:pPr>
        <w:jc w:val="both"/>
        <w:rPr>
          <w:color w:val="000000" w:themeColor="text1"/>
          <w:lang w:val="en-US"/>
        </w:rPr>
      </w:pPr>
      <w:r w:rsidRPr="003D3CF9">
        <w:rPr>
          <w:color w:val="000000" w:themeColor="text1"/>
          <w:lang w:val="en-US"/>
        </w:rPr>
        <w:t>Values are median(interquartile range) or mean±standard deviation.</w:t>
      </w:r>
    </w:p>
    <w:p w14:paraId="3408B42D" w14:textId="77777777" w:rsidR="00462106" w:rsidRPr="003D3CF9" w:rsidRDefault="00462106" w:rsidP="00462106">
      <w:pPr>
        <w:jc w:val="both"/>
        <w:rPr>
          <w:i/>
          <w:iCs/>
          <w:lang w:val="en-US"/>
        </w:rPr>
      </w:pPr>
      <w:r w:rsidRPr="003D3CF9">
        <w:rPr>
          <w:i/>
          <w:iCs/>
          <w:color w:val="000000" w:themeColor="text1"/>
          <w:lang w:val="en-US"/>
        </w:rPr>
        <w:t xml:space="preserve">Amp, amplitude; AT, activation time; </w:t>
      </w:r>
      <w:r w:rsidRPr="003D3CF9">
        <w:rPr>
          <w:i/>
          <w:iCs/>
          <w:color w:val="202124"/>
          <w:lang w:val="en-US"/>
        </w:rPr>
        <w:t xml:space="preserve">Δ, dispersion; G+LVH+, gene variant positive left ventricular hypertrophy positive; HV, healthy volunteer; max, maximum; RTc, repolarization time corrected for heart rate; ARIc, activation recovery interval corrected; G, gradient. </w:t>
      </w:r>
    </w:p>
    <w:p w14:paraId="4CF4E3AF" w14:textId="77777777" w:rsidR="00462106" w:rsidRPr="003D3CF9" w:rsidRDefault="00462106" w:rsidP="00462106">
      <w:pPr>
        <w:rPr>
          <w:highlight w:val="yellow"/>
          <w:lang w:val="en-US"/>
        </w:rPr>
      </w:pPr>
      <w:r w:rsidRPr="003D3CF9">
        <w:rPr>
          <w:highlight w:val="yellow"/>
          <w:lang w:val="en-US"/>
        </w:rPr>
        <w:br w:type="page"/>
      </w:r>
    </w:p>
    <w:tbl>
      <w:tblPr>
        <w:tblW w:w="11482" w:type="dxa"/>
        <w:tblLayout w:type="fixed"/>
        <w:tblLook w:val="04A0" w:firstRow="1" w:lastRow="0" w:firstColumn="1" w:lastColumn="0" w:noHBand="0" w:noVBand="1"/>
      </w:tblPr>
      <w:tblGrid>
        <w:gridCol w:w="1945"/>
        <w:gridCol w:w="1948"/>
        <w:gridCol w:w="3204"/>
        <w:gridCol w:w="3109"/>
        <w:gridCol w:w="1276"/>
      </w:tblGrid>
      <w:tr w:rsidR="00462106" w:rsidRPr="003D3CF9" w14:paraId="2C5A683A" w14:textId="77777777" w:rsidTr="00B123BA">
        <w:trPr>
          <w:trHeight w:val="109"/>
        </w:trPr>
        <w:tc>
          <w:tcPr>
            <w:tcW w:w="10206" w:type="dxa"/>
            <w:gridSpan w:val="4"/>
            <w:tcBorders>
              <w:left w:val="nil"/>
            </w:tcBorders>
            <w:shd w:val="clear" w:color="auto" w:fill="auto"/>
            <w:noWrap/>
            <w:vAlign w:val="bottom"/>
          </w:tcPr>
          <w:p w14:paraId="69CF9966" w14:textId="5D86364F" w:rsidR="00462106" w:rsidRPr="003D3CF9" w:rsidRDefault="00462106" w:rsidP="00B123BA">
            <w:pPr>
              <w:rPr>
                <w:lang w:val="en-US"/>
              </w:rPr>
            </w:pPr>
            <w:r w:rsidRPr="003D3CF9">
              <w:rPr>
                <w:b/>
                <w:bCs/>
                <w:lang w:val="en-US"/>
              </w:rPr>
              <w:lastRenderedPageBreak/>
              <w:t>Supplementa</w:t>
            </w:r>
            <w:r w:rsidR="006C402C">
              <w:rPr>
                <w:b/>
                <w:bCs/>
                <w:lang w:val="en-US"/>
              </w:rPr>
              <w:t>l</w:t>
            </w:r>
            <w:r w:rsidRPr="003D3CF9">
              <w:rPr>
                <w:b/>
                <w:bCs/>
                <w:lang w:val="en-US"/>
              </w:rPr>
              <w:t xml:space="preserve"> Table 2</w:t>
            </w:r>
            <w:r w:rsidR="001A40D6" w:rsidRPr="003D3CF9">
              <w:rPr>
                <w:b/>
                <w:bCs/>
                <w:lang w:val="en-US"/>
              </w:rPr>
              <w:t xml:space="preserve"> –</w:t>
            </w:r>
            <w:r w:rsidRPr="003D3CF9">
              <w:rPr>
                <w:lang w:val="en-US"/>
              </w:rPr>
              <w:t xml:space="preserve"> </w:t>
            </w:r>
            <w:r w:rsidRPr="003D3CF9">
              <w:rPr>
                <w:b/>
                <w:bCs/>
                <w:lang w:val="en-US"/>
              </w:rPr>
              <w:t>Drug-Free HCM vs matched healthy volunteers</w:t>
            </w:r>
            <w:r w:rsidR="001B075D" w:rsidRPr="003D3CF9">
              <w:rPr>
                <w:b/>
                <w:bCs/>
                <w:lang w:val="en-US"/>
              </w:rPr>
              <w:t>.</w:t>
            </w:r>
          </w:p>
          <w:p w14:paraId="5C3CBC50" w14:textId="77777777" w:rsidR="00462106" w:rsidRPr="003D3CF9" w:rsidRDefault="00462106" w:rsidP="00B123BA">
            <w:pPr>
              <w:jc w:val="center"/>
              <w:rPr>
                <w:b/>
                <w:bCs/>
                <w:color w:val="FF0000"/>
                <w:lang w:val="en-US"/>
              </w:rPr>
            </w:pPr>
          </w:p>
        </w:tc>
        <w:tc>
          <w:tcPr>
            <w:tcW w:w="1276" w:type="dxa"/>
            <w:tcBorders>
              <w:right w:val="nil"/>
            </w:tcBorders>
            <w:shd w:val="clear" w:color="auto" w:fill="auto"/>
            <w:vAlign w:val="bottom"/>
          </w:tcPr>
          <w:p w14:paraId="2111363C" w14:textId="77777777" w:rsidR="00462106" w:rsidRPr="003D3CF9" w:rsidRDefault="00462106" w:rsidP="00B123BA">
            <w:pPr>
              <w:jc w:val="center"/>
              <w:rPr>
                <w:b/>
                <w:bCs/>
                <w:color w:val="FF0000"/>
                <w:lang w:val="en-US"/>
              </w:rPr>
            </w:pPr>
          </w:p>
        </w:tc>
      </w:tr>
      <w:tr w:rsidR="00462106" w:rsidRPr="003D3CF9" w14:paraId="3FE69A33" w14:textId="77777777" w:rsidTr="00B123BA">
        <w:trPr>
          <w:trHeight w:val="128"/>
        </w:trPr>
        <w:tc>
          <w:tcPr>
            <w:tcW w:w="1945" w:type="dxa"/>
            <w:tcBorders>
              <w:left w:val="nil"/>
              <w:bottom w:val="single" w:sz="4" w:space="0" w:color="auto"/>
            </w:tcBorders>
            <w:shd w:val="clear" w:color="auto" w:fill="auto"/>
            <w:noWrap/>
            <w:vAlign w:val="bottom"/>
            <w:hideMark/>
          </w:tcPr>
          <w:p w14:paraId="235D370A" w14:textId="77777777" w:rsidR="00462106" w:rsidRPr="003D3CF9" w:rsidRDefault="00462106" w:rsidP="00B123BA">
            <w:pPr>
              <w:rPr>
                <w:color w:val="000000" w:themeColor="text1"/>
                <w:lang w:val="en-US"/>
              </w:rPr>
            </w:pPr>
          </w:p>
          <w:p w14:paraId="4A15366D" w14:textId="77777777" w:rsidR="00462106" w:rsidRPr="003D3CF9" w:rsidRDefault="00462106" w:rsidP="00B123BA">
            <w:pPr>
              <w:rPr>
                <w:color w:val="000000" w:themeColor="text1"/>
                <w:lang w:val="en-US"/>
              </w:rPr>
            </w:pPr>
          </w:p>
        </w:tc>
        <w:tc>
          <w:tcPr>
            <w:tcW w:w="1948" w:type="dxa"/>
            <w:tcBorders>
              <w:bottom w:val="single" w:sz="4" w:space="0" w:color="auto"/>
              <w:right w:val="single" w:sz="4" w:space="0" w:color="auto"/>
            </w:tcBorders>
            <w:shd w:val="clear" w:color="auto" w:fill="auto"/>
            <w:vAlign w:val="bottom"/>
          </w:tcPr>
          <w:p w14:paraId="2AD5CB7D" w14:textId="77777777" w:rsidR="00462106" w:rsidRPr="003D3CF9" w:rsidRDefault="00462106" w:rsidP="00B123BA">
            <w:pPr>
              <w:rPr>
                <w:color w:val="000000" w:themeColor="text1"/>
                <w:lang w:val="en-US"/>
              </w:rPr>
            </w:pPr>
          </w:p>
          <w:p w14:paraId="66EC56B8" w14:textId="77777777" w:rsidR="00462106" w:rsidRPr="003D3CF9" w:rsidRDefault="00462106" w:rsidP="00B123BA">
            <w:pPr>
              <w:rPr>
                <w:color w:val="000000" w:themeColor="text1"/>
                <w:lang w:val="en-US"/>
              </w:rPr>
            </w:pPr>
            <w:r w:rsidRPr="003D3CF9">
              <w:rPr>
                <w:color w:val="000000" w:themeColor="text1"/>
                <w:lang w:val="en-US"/>
              </w:rPr>
              <w:t> </w:t>
            </w:r>
          </w:p>
        </w:tc>
        <w:tc>
          <w:tcPr>
            <w:tcW w:w="3204" w:type="dxa"/>
            <w:tcBorders>
              <w:left w:val="single" w:sz="4" w:space="0" w:color="auto"/>
              <w:bottom w:val="single" w:sz="4" w:space="0" w:color="auto"/>
            </w:tcBorders>
            <w:shd w:val="clear" w:color="auto" w:fill="auto"/>
            <w:vAlign w:val="bottom"/>
            <w:hideMark/>
          </w:tcPr>
          <w:p w14:paraId="13C7C8A8" w14:textId="77777777" w:rsidR="00462106" w:rsidRPr="003D3CF9" w:rsidRDefault="00462106" w:rsidP="00B123BA">
            <w:pPr>
              <w:jc w:val="center"/>
              <w:rPr>
                <w:b/>
                <w:bCs/>
                <w:color w:val="000000" w:themeColor="text1"/>
                <w:lang w:val="en-US"/>
              </w:rPr>
            </w:pPr>
            <w:r w:rsidRPr="003D3CF9">
              <w:rPr>
                <w:b/>
                <w:bCs/>
                <w:color w:val="000000" w:themeColor="text1"/>
                <w:lang w:val="en-US"/>
              </w:rPr>
              <w:t>Healthy Volunteers (n=22)</w:t>
            </w:r>
          </w:p>
        </w:tc>
        <w:tc>
          <w:tcPr>
            <w:tcW w:w="3109" w:type="dxa"/>
            <w:tcBorders>
              <w:bottom w:val="single" w:sz="4" w:space="0" w:color="auto"/>
            </w:tcBorders>
            <w:shd w:val="clear" w:color="auto" w:fill="auto"/>
            <w:vAlign w:val="bottom"/>
            <w:hideMark/>
          </w:tcPr>
          <w:p w14:paraId="72699983" w14:textId="77777777" w:rsidR="00462106" w:rsidRPr="003D3CF9" w:rsidRDefault="00462106" w:rsidP="00B123BA">
            <w:pPr>
              <w:jc w:val="center"/>
              <w:rPr>
                <w:b/>
                <w:bCs/>
                <w:color w:val="000000" w:themeColor="text1"/>
                <w:lang w:val="en-US"/>
              </w:rPr>
            </w:pPr>
            <w:r w:rsidRPr="003D3CF9">
              <w:rPr>
                <w:b/>
                <w:bCs/>
                <w:color w:val="000000" w:themeColor="text1"/>
                <w:lang w:val="en-US"/>
              </w:rPr>
              <w:t>Drug-Free Overt HCM  (n=33)</w:t>
            </w:r>
          </w:p>
        </w:tc>
        <w:tc>
          <w:tcPr>
            <w:tcW w:w="1276" w:type="dxa"/>
            <w:tcBorders>
              <w:bottom w:val="single" w:sz="4" w:space="0" w:color="auto"/>
              <w:right w:val="nil"/>
            </w:tcBorders>
            <w:shd w:val="clear" w:color="auto" w:fill="auto"/>
            <w:vAlign w:val="bottom"/>
            <w:hideMark/>
          </w:tcPr>
          <w:p w14:paraId="5833378A" w14:textId="77777777" w:rsidR="00462106" w:rsidRPr="003D3CF9" w:rsidRDefault="00462106" w:rsidP="00B123BA">
            <w:pPr>
              <w:jc w:val="center"/>
              <w:rPr>
                <w:b/>
                <w:bCs/>
                <w:color w:val="000000" w:themeColor="text1"/>
                <w:lang w:val="en-US"/>
              </w:rPr>
            </w:pPr>
            <w:r w:rsidRPr="003D3CF9">
              <w:rPr>
                <w:b/>
                <w:bCs/>
                <w:i/>
                <w:iCs/>
                <w:color w:val="000000" w:themeColor="text1"/>
                <w:lang w:val="en-US"/>
              </w:rPr>
              <w:t>p</w:t>
            </w:r>
            <w:r w:rsidRPr="003D3CF9">
              <w:rPr>
                <w:b/>
                <w:bCs/>
                <w:color w:val="000000" w:themeColor="text1"/>
                <w:lang w:val="en-US"/>
              </w:rPr>
              <w:t xml:space="preserve"> value</w:t>
            </w:r>
            <w:r w:rsidRPr="003D3CF9" w:rsidDel="00F20144">
              <w:rPr>
                <w:b/>
                <w:bCs/>
                <w:color w:val="000000" w:themeColor="text1"/>
                <w:lang w:val="en-US"/>
              </w:rPr>
              <w:t xml:space="preserve"> </w:t>
            </w:r>
          </w:p>
        </w:tc>
      </w:tr>
      <w:tr w:rsidR="00462106" w:rsidRPr="003D3CF9" w14:paraId="38051686" w14:textId="77777777" w:rsidTr="00B123BA">
        <w:trPr>
          <w:trHeight w:val="346"/>
        </w:trPr>
        <w:tc>
          <w:tcPr>
            <w:tcW w:w="3893" w:type="dxa"/>
            <w:gridSpan w:val="2"/>
            <w:tcBorders>
              <w:top w:val="single" w:sz="4" w:space="0" w:color="auto"/>
              <w:left w:val="nil"/>
              <w:bottom w:val="nil"/>
              <w:right w:val="single" w:sz="4" w:space="0" w:color="auto"/>
            </w:tcBorders>
            <w:shd w:val="clear" w:color="auto" w:fill="auto"/>
            <w:noWrap/>
            <w:vAlign w:val="bottom"/>
            <w:hideMark/>
          </w:tcPr>
          <w:p w14:paraId="0CB6740B" w14:textId="77777777" w:rsidR="00462106" w:rsidRPr="003D3CF9" w:rsidRDefault="00462106" w:rsidP="00B123BA">
            <w:pPr>
              <w:rPr>
                <w:color w:val="000000" w:themeColor="text1"/>
                <w:lang w:val="en-US"/>
              </w:rPr>
            </w:pPr>
            <w:r w:rsidRPr="003D3CF9">
              <w:rPr>
                <w:color w:val="000000" w:themeColor="text1"/>
                <w:lang w:val="en-US"/>
              </w:rPr>
              <w:t>Amp, mV</w:t>
            </w:r>
          </w:p>
        </w:tc>
        <w:tc>
          <w:tcPr>
            <w:tcW w:w="3204" w:type="dxa"/>
            <w:tcBorders>
              <w:top w:val="single" w:sz="4" w:space="0" w:color="auto"/>
              <w:left w:val="nil"/>
              <w:bottom w:val="nil"/>
              <w:right w:val="nil"/>
            </w:tcBorders>
            <w:shd w:val="clear" w:color="auto" w:fill="auto"/>
            <w:noWrap/>
            <w:vAlign w:val="bottom"/>
            <w:hideMark/>
          </w:tcPr>
          <w:p w14:paraId="4E8E717C" w14:textId="77777777" w:rsidR="00462106" w:rsidRPr="003D3CF9" w:rsidRDefault="00462106" w:rsidP="00B123BA">
            <w:pPr>
              <w:jc w:val="center"/>
              <w:rPr>
                <w:color w:val="000000" w:themeColor="text1"/>
                <w:lang w:val="en-US"/>
              </w:rPr>
            </w:pPr>
            <w:r w:rsidRPr="003D3CF9">
              <w:rPr>
                <w:color w:val="000000" w:themeColor="text1"/>
                <w:lang w:val="en-US"/>
              </w:rPr>
              <w:t>1.6(1.1-1.8)</w:t>
            </w:r>
          </w:p>
        </w:tc>
        <w:tc>
          <w:tcPr>
            <w:tcW w:w="3109" w:type="dxa"/>
            <w:tcBorders>
              <w:top w:val="single" w:sz="4" w:space="0" w:color="auto"/>
              <w:left w:val="nil"/>
              <w:bottom w:val="nil"/>
              <w:right w:val="nil"/>
            </w:tcBorders>
            <w:shd w:val="clear" w:color="auto" w:fill="auto"/>
            <w:noWrap/>
            <w:vAlign w:val="bottom"/>
            <w:hideMark/>
          </w:tcPr>
          <w:p w14:paraId="49A47152" w14:textId="77777777" w:rsidR="00462106" w:rsidRPr="003D3CF9" w:rsidRDefault="00462106" w:rsidP="00B123BA">
            <w:pPr>
              <w:jc w:val="center"/>
              <w:rPr>
                <w:color w:val="000000" w:themeColor="text1"/>
                <w:lang w:val="en-US"/>
              </w:rPr>
            </w:pPr>
            <w:r w:rsidRPr="003D3CF9">
              <w:rPr>
                <w:color w:val="000000" w:themeColor="text1"/>
                <w:lang w:val="en-US"/>
              </w:rPr>
              <w:t>1.6(1.2-1.9)</w:t>
            </w:r>
          </w:p>
        </w:tc>
        <w:tc>
          <w:tcPr>
            <w:tcW w:w="1276" w:type="dxa"/>
            <w:tcBorders>
              <w:top w:val="single" w:sz="4" w:space="0" w:color="auto"/>
              <w:left w:val="nil"/>
              <w:bottom w:val="nil"/>
              <w:right w:val="nil"/>
            </w:tcBorders>
            <w:shd w:val="clear" w:color="auto" w:fill="auto"/>
            <w:noWrap/>
            <w:vAlign w:val="bottom"/>
            <w:hideMark/>
          </w:tcPr>
          <w:p w14:paraId="449C375F" w14:textId="77777777" w:rsidR="00462106" w:rsidRPr="003D3CF9" w:rsidRDefault="00462106" w:rsidP="00B123BA">
            <w:pPr>
              <w:jc w:val="center"/>
              <w:rPr>
                <w:bCs/>
                <w:color w:val="000000" w:themeColor="text1"/>
                <w:lang w:val="en-US"/>
              </w:rPr>
            </w:pPr>
            <w:r w:rsidRPr="003D3CF9">
              <w:rPr>
                <w:bCs/>
                <w:color w:val="000000" w:themeColor="text1"/>
                <w:lang w:val="en-US"/>
              </w:rPr>
              <w:t>0.57</w:t>
            </w:r>
          </w:p>
        </w:tc>
      </w:tr>
      <w:tr w:rsidR="00462106" w:rsidRPr="003D3CF9" w14:paraId="1B8A05BE"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363DD272" w14:textId="77777777" w:rsidR="00462106" w:rsidRPr="003D3CF9" w:rsidRDefault="00462106" w:rsidP="00B123BA">
            <w:pPr>
              <w:rPr>
                <w:color w:val="000000" w:themeColor="text1"/>
                <w:lang w:val="en-US"/>
              </w:rPr>
            </w:pPr>
            <w:r w:rsidRPr="003D3CF9">
              <w:rPr>
                <w:color w:val="000000" w:themeColor="text1"/>
                <w:lang w:val="en-US"/>
              </w:rPr>
              <w:t>Fractionation (n/1000)</w:t>
            </w:r>
          </w:p>
        </w:tc>
        <w:tc>
          <w:tcPr>
            <w:tcW w:w="3204" w:type="dxa"/>
            <w:tcBorders>
              <w:top w:val="nil"/>
              <w:left w:val="nil"/>
              <w:bottom w:val="nil"/>
              <w:right w:val="nil"/>
            </w:tcBorders>
            <w:shd w:val="clear" w:color="auto" w:fill="auto"/>
            <w:noWrap/>
            <w:vAlign w:val="bottom"/>
            <w:hideMark/>
          </w:tcPr>
          <w:p w14:paraId="7CBF28FE" w14:textId="77777777" w:rsidR="00462106" w:rsidRPr="003D3CF9" w:rsidRDefault="00462106" w:rsidP="00B123BA">
            <w:pPr>
              <w:jc w:val="center"/>
              <w:rPr>
                <w:color w:val="000000" w:themeColor="text1"/>
                <w:lang w:val="en-US"/>
              </w:rPr>
            </w:pPr>
            <w:r w:rsidRPr="003D3CF9">
              <w:rPr>
                <w:color w:val="000000" w:themeColor="text1"/>
                <w:lang w:val="en-US"/>
              </w:rPr>
              <w:t>15(1-30)</w:t>
            </w:r>
          </w:p>
        </w:tc>
        <w:tc>
          <w:tcPr>
            <w:tcW w:w="3109" w:type="dxa"/>
            <w:tcBorders>
              <w:top w:val="nil"/>
              <w:left w:val="nil"/>
              <w:bottom w:val="nil"/>
              <w:right w:val="nil"/>
            </w:tcBorders>
            <w:shd w:val="clear" w:color="auto" w:fill="auto"/>
            <w:noWrap/>
            <w:vAlign w:val="bottom"/>
            <w:hideMark/>
          </w:tcPr>
          <w:p w14:paraId="4C948059" w14:textId="77777777" w:rsidR="00462106" w:rsidRPr="003D3CF9" w:rsidRDefault="00462106" w:rsidP="00B123BA">
            <w:pPr>
              <w:jc w:val="center"/>
              <w:rPr>
                <w:color w:val="000000" w:themeColor="text1"/>
                <w:lang w:val="en-US"/>
              </w:rPr>
            </w:pPr>
            <w:r w:rsidRPr="003D3CF9">
              <w:rPr>
                <w:color w:val="000000" w:themeColor="text1"/>
                <w:lang w:val="en-US"/>
              </w:rPr>
              <w:t>7(1-25)</w:t>
            </w:r>
          </w:p>
        </w:tc>
        <w:tc>
          <w:tcPr>
            <w:tcW w:w="1276" w:type="dxa"/>
            <w:tcBorders>
              <w:top w:val="nil"/>
              <w:left w:val="nil"/>
              <w:bottom w:val="nil"/>
              <w:right w:val="nil"/>
            </w:tcBorders>
            <w:shd w:val="clear" w:color="auto" w:fill="auto"/>
            <w:noWrap/>
            <w:vAlign w:val="bottom"/>
            <w:hideMark/>
          </w:tcPr>
          <w:p w14:paraId="780CBBB5" w14:textId="77777777" w:rsidR="00462106" w:rsidRPr="003D3CF9" w:rsidRDefault="00462106" w:rsidP="00B123BA">
            <w:pPr>
              <w:jc w:val="center"/>
              <w:rPr>
                <w:bCs/>
                <w:color w:val="000000" w:themeColor="text1"/>
                <w:lang w:val="en-US"/>
              </w:rPr>
            </w:pPr>
            <w:r w:rsidRPr="003D3CF9">
              <w:rPr>
                <w:bCs/>
                <w:color w:val="000000" w:themeColor="text1"/>
                <w:lang w:val="en-US"/>
              </w:rPr>
              <w:t>0.22</w:t>
            </w:r>
          </w:p>
        </w:tc>
      </w:tr>
      <w:tr w:rsidR="00462106" w:rsidRPr="003D3CF9" w14:paraId="558B9454"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tcPr>
          <w:p w14:paraId="190B0E96" w14:textId="77777777" w:rsidR="00462106" w:rsidRPr="003D3CF9" w:rsidRDefault="00462106" w:rsidP="00B123BA">
            <w:pPr>
              <w:rPr>
                <w:color w:val="000000" w:themeColor="text1"/>
                <w:lang w:val="en-US"/>
              </w:rPr>
            </w:pPr>
            <w:r w:rsidRPr="003D3CF9">
              <w:rPr>
                <w:color w:val="000000" w:themeColor="text1"/>
                <w:lang w:val="en-US"/>
              </w:rPr>
              <w:t>Mean AT, ms</w:t>
            </w:r>
          </w:p>
        </w:tc>
        <w:tc>
          <w:tcPr>
            <w:tcW w:w="3204" w:type="dxa"/>
            <w:tcBorders>
              <w:top w:val="nil"/>
              <w:left w:val="nil"/>
              <w:bottom w:val="nil"/>
              <w:right w:val="nil"/>
            </w:tcBorders>
            <w:shd w:val="clear" w:color="auto" w:fill="auto"/>
            <w:noWrap/>
            <w:vAlign w:val="bottom"/>
          </w:tcPr>
          <w:p w14:paraId="583B4BAF" w14:textId="77777777" w:rsidR="00462106" w:rsidRPr="003D3CF9" w:rsidRDefault="00462106" w:rsidP="00B123BA">
            <w:pPr>
              <w:jc w:val="center"/>
              <w:rPr>
                <w:color w:val="000000" w:themeColor="text1"/>
                <w:lang w:val="en-US"/>
              </w:rPr>
            </w:pPr>
            <w:r w:rsidRPr="003D3CF9">
              <w:rPr>
                <w:color w:val="000000" w:themeColor="text1"/>
                <w:lang w:val="en-US"/>
              </w:rPr>
              <w:t>40(33-43)</w:t>
            </w:r>
          </w:p>
        </w:tc>
        <w:tc>
          <w:tcPr>
            <w:tcW w:w="3109" w:type="dxa"/>
            <w:tcBorders>
              <w:top w:val="nil"/>
              <w:left w:val="nil"/>
              <w:bottom w:val="nil"/>
              <w:right w:val="nil"/>
            </w:tcBorders>
            <w:shd w:val="clear" w:color="auto" w:fill="auto"/>
            <w:noWrap/>
            <w:vAlign w:val="bottom"/>
          </w:tcPr>
          <w:p w14:paraId="75D36571" w14:textId="77777777" w:rsidR="00462106" w:rsidRPr="003D3CF9" w:rsidRDefault="00462106" w:rsidP="00B123BA">
            <w:pPr>
              <w:jc w:val="center"/>
              <w:rPr>
                <w:color w:val="000000" w:themeColor="text1"/>
                <w:lang w:val="en-US"/>
              </w:rPr>
            </w:pPr>
            <w:r w:rsidRPr="003D3CF9">
              <w:rPr>
                <w:color w:val="000000" w:themeColor="text1"/>
                <w:lang w:val="en-US"/>
              </w:rPr>
              <w:t>41(36-44)</w:t>
            </w:r>
          </w:p>
        </w:tc>
        <w:tc>
          <w:tcPr>
            <w:tcW w:w="1276" w:type="dxa"/>
            <w:tcBorders>
              <w:top w:val="nil"/>
              <w:left w:val="nil"/>
              <w:bottom w:val="nil"/>
              <w:right w:val="nil"/>
            </w:tcBorders>
            <w:shd w:val="clear" w:color="auto" w:fill="auto"/>
            <w:noWrap/>
            <w:vAlign w:val="bottom"/>
          </w:tcPr>
          <w:p w14:paraId="49E79D55" w14:textId="77777777" w:rsidR="00462106" w:rsidRPr="003D3CF9" w:rsidRDefault="00462106" w:rsidP="00B123BA">
            <w:pPr>
              <w:jc w:val="center"/>
              <w:rPr>
                <w:color w:val="000000" w:themeColor="text1"/>
                <w:lang w:val="en-US"/>
              </w:rPr>
            </w:pPr>
            <w:r w:rsidRPr="003D3CF9">
              <w:rPr>
                <w:color w:val="000000" w:themeColor="text1"/>
                <w:lang w:val="en-US"/>
              </w:rPr>
              <w:t>0.36</w:t>
            </w:r>
          </w:p>
        </w:tc>
      </w:tr>
      <w:tr w:rsidR="00462106" w:rsidRPr="003D3CF9" w14:paraId="63423891" w14:textId="77777777" w:rsidTr="00B123BA">
        <w:trPr>
          <w:trHeight w:val="304"/>
        </w:trPr>
        <w:tc>
          <w:tcPr>
            <w:tcW w:w="3893" w:type="dxa"/>
            <w:gridSpan w:val="2"/>
            <w:tcBorders>
              <w:top w:val="nil"/>
              <w:left w:val="nil"/>
              <w:bottom w:val="nil"/>
              <w:right w:val="single" w:sz="4" w:space="0" w:color="auto"/>
            </w:tcBorders>
            <w:shd w:val="clear" w:color="auto" w:fill="auto"/>
            <w:noWrap/>
            <w:vAlign w:val="bottom"/>
          </w:tcPr>
          <w:p w14:paraId="66C63B2C" w14:textId="77777777" w:rsidR="00462106" w:rsidRPr="003D3CF9" w:rsidRDefault="00462106" w:rsidP="00B123BA">
            <w:pPr>
              <w:rPr>
                <w:color w:val="000000" w:themeColor="text1"/>
                <w:lang w:val="en-US"/>
              </w:rPr>
            </w:pPr>
            <w:r w:rsidRPr="003D3CF9">
              <w:rPr>
                <w:color w:val="000000" w:themeColor="text1"/>
                <w:lang w:val="en-US"/>
              </w:rPr>
              <w:t>ΔAT, ms</w:t>
            </w:r>
          </w:p>
        </w:tc>
        <w:tc>
          <w:tcPr>
            <w:tcW w:w="3204" w:type="dxa"/>
            <w:tcBorders>
              <w:top w:val="nil"/>
              <w:left w:val="nil"/>
              <w:bottom w:val="nil"/>
              <w:right w:val="nil"/>
            </w:tcBorders>
            <w:shd w:val="clear" w:color="auto" w:fill="auto"/>
            <w:noWrap/>
            <w:vAlign w:val="bottom"/>
          </w:tcPr>
          <w:p w14:paraId="5DD8ECF6" w14:textId="77777777" w:rsidR="00462106" w:rsidRPr="003D3CF9" w:rsidRDefault="00462106" w:rsidP="00B123BA">
            <w:pPr>
              <w:jc w:val="center"/>
              <w:rPr>
                <w:color w:val="000000" w:themeColor="text1"/>
                <w:lang w:val="en-US"/>
              </w:rPr>
            </w:pPr>
            <w:r w:rsidRPr="003D3CF9">
              <w:rPr>
                <w:color w:val="000000" w:themeColor="text1"/>
                <w:lang w:val="en-US"/>
              </w:rPr>
              <w:t>157(62-193)</w:t>
            </w:r>
          </w:p>
        </w:tc>
        <w:tc>
          <w:tcPr>
            <w:tcW w:w="3109" w:type="dxa"/>
            <w:tcBorders>
              <w:top w:val="nil"/>
              <w:left w:val="nil"/>
              <w:bottom w:val="nil"/>
              <w:right w:val="nil"/>
            </w:tcBorders>
            <w:shd w:val="clear" w:color="auto" w:fill="auto"/>
            <w:noWrap/>
            <w:vAlign w:val="bottom"/>
          </w:tcPr>
          <w:p w14:paraId="66077B5F" w14:textId="77777777" w:rsidR="00462106" w:rsidRPr="003D3CF9" w:rsidRDefault="00462106" w:rsidP="00B123BA">
            <w:pPr>
              <w:jc w:val="center"/>
              <w:rPr>
                <w:color w:val="000000" w:themeColor="text1"/>
                <w:lang w:val="en-US"/>
              </w:rPr>
            </w:pPr>
            <w:r w:rsidRPr="003D3CF9">
              <w:rPr>
                <w:color w:val="000000" w:themeColor="text1"/>
                <w:lang w:val="en-US"/>
              </w:rPr>
              <w:t>180(152-194)</w:t>
            </w:r>
          </w:p>
        </w:tc>
        <w:tc>
          <w:tcPr>
            <w:tcW w:w="1276" w:type="dxa"/>
            <w:tcBorders>
              <w:top w:val="nil"/>
              <w:left w:val="nil"/>
              <w:bottom w:val="nil"/>
              <w:right w:val="nil"/>
            </w:tcBorders>
            <w:shd w:val="clear" w:color="auto" w:fill="auto"/>
            <w:noWrap/>
            <w:vAlign w:val="bottom"/>
          </w:tcPr>
          <w:p w14:paraId="4814DBD4" w14:textId="77777777" w:rsidR="00462106" w:rsidRPr="003D3CF9" w:rsidRDefault="00462106" w:rsidP="00B123BA">
            <w:pPr>
              <w:jc w:val="center"/>
              <w:rPr>
                <w:color w:val="000000" w:themeColor="text1"/>
                <w:lang w:val="en-US"/>
              </w:rPr>
            </w:pPr>
            <w:r w:rsidRPr="003D3CF9">
              <w:rPr>
                <w:color w:val="000000" w:themeColor="text1"/>
                <w:lang w:val="en-US"/>
              </w:rPr>
              <w:t>0.08</w:t>
            </w:r>
          </w:p>
        </w:tc>
      </w:tr>
      <w:tr w:rsidR="00462106" w:rsidRPr="003D3CF9" w14:paraId="12469C60"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tcPr>
          <w:p w14:paraId="7E8109BC" w14:textId="77777777" w:rsidR="00462106" w:rsidRPr="003D3CF9" w:rsidRDefault="00462106" w:rsidP="00B123BA">
            <w:pPr>
              <w:rPr>
                <w:color w:val="000000" w:themeColor="text1"/>
                <w:lang w:val="en-US"/>
              </w:rPr>
            </w:pPr>
            <w:r w:rsidRPr="003D3CF9">
              <w:rPr>
                <w:color w:val="000000" w:themeColor="text1"/>
                <w:lang w:val="en-US"/>
              </w:rPr>
              <w:t>Mean RTc, ms</w:t>
            </w:r>
          </w:p>
        </w:tc>
        <w:tc>
          <w:tcPr>
            <w:tcW w:w="3204" w:type="dxa"/>
            <w:tcBorders>
              <w:top w:val="nil"/>
              <w:left w:val="nil"/>
              <w:bottom w:val="nil"/>
              <w:right w:val="nil"/>
            </w:tcBorders>
            <w:shd w:val="clear" w:color="auto" w:fill="auto"/>
            <w:noWrap/>
            <w:vAlign w:val="bottom"/>
          </w:tcPr>
          <w:p w14:paraId="375F6330" w14:textId="77777777" w:rsidR="00462106" w:rsidRPr="003D3CF9" w:rsidRDefault="00462106" w:rsidP="00B123BA">
            <w:pPr>
              <w:jc w:val="center"/>
              <w:rPr>
                <w:color w:val="000000" w:themeColor="text1"/>
                <w:lang w:val="en-US"/>
              </w:rPr>
            </w:pPr>
            <w:r w:rsidRPr="003D3CF9">
              <w:rPr>
                <w:color w:val="000000" w:themeColor="text1"/>
                <w:lang w:val="en-US"/>
              </w:rPr>
              <w:t>267(257-288)</w:t>
            </w:r>
          </w:p>
        </w:tc>
        <w:tc>
          <w:tcPr>
            <w:tcW w:w="3109" w:type="dxa"/>
            <w:tcBorders>
              <w:top w:val="nil"/>
              <w:left w:val="nil"/>
              <w:bottom w:val="nil"/>
              <w:right w:val="nil"/>
            </w:tcBorders>
            <w:shd w:val="clear" w:color="auto" w:fill="auto"/>
            <w:noWrap/>
            <w:vAlign w:val="bottom"/>
          </w:tcPr>
          <w:p w14:paraId="616D05DF" w14:textId="77777777" w:rsidR="00462106" w:rsidRPr="003D3CF9" w:rsidRDefault="00462106" w:rsidP="00B123BA">
            <w:pPr>
              <w:jc w:val="center"/>
              <w:rPr>
                <w:color w:val="000000" w:themeColor="text1"/>
                <w:lang w:val="en-US"/>
              </w:rPr>
            </w:pPr>
            <w:r w:rsidRPr="003D3CF9">
              <w:rPr>
                <w:color w:val="000000" w:themeColor="text1"/>
                <w:lang w:val="en-US"/>
              </w:rPr>
              <w:t>317(298-343)</w:t>
            </w:r>
          </w:p>
        </w:tc>
        <w:tc>
          <w:tcPr>
            <w:tcW w:w="1276" w:type="dxa"/>
            <w:tcBorders>
              <w:top w:val="nil"/>
              <w:left w:val="nil"/>
              <w:bottom w:val="nil"/>
              <w:right w:val="nil"/>
            </w:tcBorders>
            <w:shd w:val="clear" w:color="auto" w:fill="auto"/>
            <w:noWrap/>
            <w:vAlign w:val="bottom"/>
          </w:tcPr>
          <w:p w14:paraId="2E872942" w14:textId="77777777" w:rsidR="00462106" w:rsidRPr="003D3CF9" w:rsidRDefault="00462106" w:rsidP="00B123BA">
            <w:pPr>
              <w:jc w:val="center"/>
              <w:rPr>
                <w:b/>
                <w:bCs/>
                <w:color w:val="000000" w:themeColor="text1"/>
                <w:lang w:val="en-US"/>
              </w:rPr>
            </w:pPr>
            <w:r w:rsidRPr="003D3CF9">
              <w:rPr>
                <w:b/>
                <w:bCs/>
                <w:color w:val="000000" w:themeColor="text1"/>
                <w:lang w:val="en-US"/>
              </w:rPr>
              <w:t>&lt;0.001</w:t>
            </w:r>
          </w:p>
        </w:tc>
      </w:tr>
      <w:tr w:rsidR="00462106" w:rsidRPr="003D3CF9" w14:paraId="1105B28B"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39E9C8B8" w14:textId="77777777" w:rsidR="00462106" w:rsidRPr="003D3CF9" w:rsidRDefault="00462106" w:rsidP="00B123BA">
            <w:pPr>
              <w:rPr>
                <w:color w:val="000000" w:themeColor="text1"/>
                <w:lang w:val="en-US"/>
              </w:rPr>
            </w:pPr>
            <w:r w:rsidRPr="003D3CF9">
              <w:rPr>
                <w:color w:val="000000" w:themeColor="text1"/>
                <w:lang w:val="en-US"/>
              </w:rPr>
              <w:t>ΔRTc, ms</w:t>
            </w:r>
          </w:p>
        </w:tc>
        <w:tc>
          <w:tcPr>
            <w:tcW w:w="3204" w:type="dxa"/>
            <w:tcBorders>
              <w:top w:val="nil"/>
              <w:left w:val="nil"/>
              <w:bottom w:val="nil"/>
              <w:right w:val="nil"/>
            </w:tcBorders>
            <w:shd w:val="clear" w:color="auto" w:fill="auto"/>
            <w:noWrap/>
            <w:vAlign w:val="bottom"/>
            <w:hideMark/>
          </w:tcPr>
          <w:p w14:paraId="58C61D60" w14:textId="77777777" w:rsidR="00462106" w:rsidRPr="003D3CF9" w:rsidRDefault="00462106" w:rsidP="00B123BA">
            <w:pPr>
              <w:jc w:val="center"/>
              <w:rPr>
                <w:color w:val="000000" w:themeColor="text1"/>
                <w:lang w:val="en-US"/>
              </w:rPr>
            </w:pPr>
            <w:r w:rsidRPr="003D3CF9">
              <w:rPr>
                <w:color w:val="000000" w:themeColor="text1"/>
                <w:lang w:val="en-US"/>
              </w:rPr>
              <w:t>153(126-174)</w:t>
            </w:r>
          </w:p>
        </w:tc>
        <w:tc>
          <w:tcPr>
            <w:tcW w:w="3109" w:type="dxa"/>
            <w:tcBorders>
              <w:top w:val="nil"/>
              <w:left w:val="nil"/>
              <w:bottom w:val="nil"/>
              <w:right w:val="nil"/>
            </w:tcBorders>
            <w:shd w:val="clear" w:color="auto" w:fill="auto"/>
            <w:noWrap/>
            <w:vAlign w:val="bottom"/>
            <w:hideMark/>
          </w:tcPr>
          <w:p w14:paraId="4361C03F" w14:textId="77777777" w:rsidR="00462106" w:rsidRPr="003D3CF9" w:rsidRDefault="00462106" w:rsidP="00B123BA">
            <w:pPr>
              <w:jc w:val="center"/>
              <w:rPr>
                <w:color w:val="000000" w:themeColor="text1"/>
                <w:lang w:val="en-US"/>
              </w:rPr>
            </w:pPr>
            <w:r w:rsidRPr="003D3CF9">
              <w:rPr>
                <w:color w:val="000000" w:themeColor="text1"/>
                <w:lang w:val="en-US"/>
              </w:rPr>
              <w:t>161(143-185)</w:t>
            </w:r>
          </w:p>
        </w:tc>
        <w:tc>
          <w:tcPr>
            <w:tcW w:w="1276" w:type="dxa"/>
            <w:tcBorders>
              <w:top w:val="nil"/>
              <w:left w:val="nil"/>
              <w:bottom w:val="nil"/>
              <w:right w:val="nil"/>
            </w:tcBorders>
            <w:shd w:val="clear" w:color="auto" w:fill="auto"/>
            <w:noWrap/>
            <w:vAlign w:val="bottom"/>
            <w:hideMark/>
          </w:tcPr>
          <w:p w14:paraId="1818F899" w14:textId="77777777" w:rsidR="00462106" w:rsidRPr="003D3CF9" w:rsidRDefault="00462106" w:rsidP="00B123BA">
            <w:pPr>
              <w:jc w:val="center"/>
              <w:rPr>
                <w:color w:val="000000" w:themeColor="text1"/>
                <w:lang w:val="en-US"/>
              </w:rPr>
            </w:pPr>
            <w:r w:rsidRPr="003D3CF9">
              <w:rPr>
                <w:color w:val="000000" w:themeColor="text1"/>
                <w:lang w:val="en-US"/>
              </w:rPr>
              <w:t>0.31</w:t>
            </w:r>
          </w:p>
        </w:tc>
      </w:tr>
      <w:tr w:rsidR="00462106" w:rsidRPr="003D3CF9" w14:paraId="50008F08"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tcPr>
          <w:p w14:paraId="229F3160" w14:textId="77777777" w:rsidR="00462106" w:rsidRPr="003D3CF9" w:rsidRDefault="00462106" w:rsidP="00B123BA">
            <w:pPr>
              <w:rPr>
                <w:color w:val="000000" w:themeColor="text1"/>
                <w:lang w:val="en-US"/>
              </w:rPr>
            </w:pPr>
            <w:r w:rsidRPr="003D3CF9">
              <w:rPr>
                <w:color w:val="000000" w:themeColor="text1"/>
                <w:lang w:val="en-US"/>
              </w:rPr>
              <w:t>Mean ARIc, ms</w:t>
            </w:r>
          </w:p>
        </w:tc>
        <w:tc>
          <w:tcPr>
            <w:tcW w:w="3204" w:type="dxa"/>
            <w:tcBorders>
              <w:top w:val="nil"/>
              <w:left w:val="nil"/>
              <w:bottom w:val="nil"/>
              <w:right w:val="nil"/>
            </w:tcBorders>
            <w:shd w:val="clear" w:color="auto" w:fill="auto"/>
            <w:noWrap/>
            <w:vAlign w:val="bottom"/>
          </w:tcPr>
          <w:p w14:paraId="5035F02A" w14:textId="77777777" w:rsidR="00462106" w:rsidRPr="003D3CF9" w:rsidRDefault="00462106" w:rsidP="00B123BA">
            <w:pPr>
              <w:jc w:val="center"/>
              <w:rPr>
                <w:color w:val="000000" w:themeColor="text1"/>
                <w:lang w:val="en-US"/>
              </w:rPr>
            </w:pPr>
            <w:r w:rsidRPr="003D3CF9">
              <w:rPr>
                <w:color w:val="000000" w:themeColor="text1"/>
                <w:lang w:val="en-US"/>
              </w:rPr>
              <w:t>232±22</w:t>
            </w:r>
          </w:p>
        </w:tc>
        <w:tc>
          <w:tcPr>
            <w:tcW w:w="3109" w:type="dxa"/>
            <w:tcBorders>
              <w:top w:val="nil"/>
              <w:left w:val="nil"/>
              <w:bottom w:val="nil"/>
              <w:right w:val="nil"/>
            </w:tcBorders>
            <w:shd w:val="clear" w:color="auto" w:fill="auto"/>
            <w:noWrap/>
            <w:vAlign w:val="bottom"/>
          </w:tcPr>
          <w:p w14:paraId="404B4F41" w14:textId="77777777" w:rsidR="00462106" w:rsidRPr="003D3CF9" w:rsidRDefault="00462106" w:rsidP="00B123BA">
            <w:pPr>
              <w:jc w:val="center"/>
              <w:rPr>
                <w:color w:val="000000" w:themeColor="text1"/>
                <w:lang w:val="en-US"/>
              </w:rPr>
            </w:pPr>
            <w:r w:rsidRPr="003D3CF9">
              <w:rPr>
                <w:color w:val="000000" w:themeColor="text1"/>
                <w:lang w:val="en-US"/>
              </w:rPr>
              <w:t>275±27</w:t>
            </w:r>
          </w:p>
        </w:tc>
        <w:tc>
          <w:tcPr>
            <w:tcW w:w="1276" w:type="dxa"/>
            <w:tcBorders>
              <w:top w:val="nil"/>
              <w:left w:val="nil"/>
              <w:bottom w:val="nil"/>
              <w:right w:val="nil"/>
            </w:tcBorders>
            <w:shd w:val="clear" w:color="auto" w:fill="auto"/>
            <w:noWrap/>
            <w:vAlign w:val="bottom"/>
          </w:tcPr>
          <w:p w14:paraId="242C3BD8" w14:textId="77777777" w:rsidR="00462106" w:rsidRPr="003D3CF9" w:rsidRDefault="00462106" w:rsidP="00B123BA">
            <w:pPr>
              <w:jc w:val="center"/>
              <w:rPr>
                <w:b/>
                <w:bCs/>
                <w:color w:val="000000" w:themeColor="text1"/>
                <w:lang w:val="en-US"/>
              </w:rPr>
            </w:pPr>
            <w:r w:rsidRPr="003D3CF9">
              <w:rPr>
                <w:b/>
                <w:bCs/>
                <w:color w:val="000000" w:themeColor="text1"/>
                <w:lang w:val="en-US"/>
              </w:rPr>
              <w:t>&lt;0.001</w:t>
            </w:r>
          </w:p>
        </w:tc>
      </w:tr>
      <w:tr w:rsidR="00462106" w:rsidRPr="003D3CF9" w14:paraId="0E1A2F75"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407BFD46" w14:textId="77777777" w:rsidR="00462106" w:rsidRPr="003D3CF9" w:rsidRDefault="00462106" w:rsidP="00B123BA">
            <w:pPr>
              <w:rPr>
                <w:color w:val="000000" w:themeColor="text1"/>
                <w:lang w:val="en-US"/>
              </w:rPr>
            </w:pPr>
            <w:r w:rsidRPr="003D3CF9">
              <w:rPr>
                <w:color w:val="000000" w:themeColor="text1"/>
                <w:lang w:val="en-US"/>
              </w:rPr>
              <w:t>ΔARIc, ms</w:t>
            </w:r>
          </w:p>
        </w:tc>
        <w:tc>
          <w:tcPr>
            <w:tcW w:w="3204" w:type="dxa"/>
            <w:tcBorders>
              <w:top w:val="nil"/>
              <w:left w:val="nil"/>
              <w:bottom w:val="nil"/>
              <w:right w:val="nil"/>
            </w:tcBorders>
            <w:shd w:val="clear" w:color="auto" w:fill="auto"/>
            <w:noWrap/>
            <w:vAlign w:val="bottom"/>
            <w:hideMark/>
          </w:tcPr>
          <w:p w14:paraId="6FB03853" w14:textId="77777777" w:rsidR="00462106" w:rsidRPr="003D3CF9" w:rsidRDefault="00462106" w:rsidP="00B123BA">
            <w:pPr>
              <w:jc w:val="center"/>
              <w:rPr>
                <w:color w:val="000000" w:themeColor="text1"/>
                <w:lang w:val="en-US"/>
              </w:rPr>
            </w:pPr>
            <w:r w:rsidRPr="003D3CF9">
              <w:rPr>
                <w:color w:val="000000" w:themeColor="text1"/>
                <w:lang w:val="en-US"/>
              </w:rPr>
              <w:t>171(153-203)</w:t>
            </w:r>
          </w:p>
        </w:tc>
        <w:tc>
          <w:tcPr>
            <w:tcW w:w="3109" w:type="dxa"/>
            <w:tcBorders>
              <w:top w:val="nil"/>
              <w:left w:val="nil"/>
              <w:bottom w:val="nil"/>
              <w:right w:val="nil"/>
            </w:tcBorders>
            <w:shd w:val="clear" w:color="auto" w:fill="auto"/>
            <w:noWrap/>
            <w:vAlign w:val="bottom"/>
            <w:hideMark/>
          </w:tcPr>
          <w:p w14:paraId="566DB672" w14:textId="77777777" w:rsidR="00462106" w:rsidRPr="003D3CF9" w:rsidRDefault="00462106" w:rsidP="00B123BA">
            <w:pPr>
              <w:jc w:val="center"/>
              <w:rPr>
                <w:color w:val="000000" w:themeColor="text1"/>
                <w:lang w:val="en-US"/>
              </w:rPr>
            </w:pPr>
            <w:r w:rsidRPr="003D3CF9">
              <w:rPr>
                <w:color w:val="000000" w:themeColor="text1"/>
                <w:lang w:val="en-US"/>
              </w:rPr>
              <w:t>179(156-196)</w:t>
            </w:r>
          </w:p>
        </w:tc>
        <w:tc>
          <w:tcPr>
            <w:tcW w:w="1276" w:type="dxa"/>
            <w:tcBorders>
              <w:top w:val="nil"/>
              <w:left w:val="nil"/>
              <w:bottom w:val="nil"/>
              <w:right w:val="nil"/>
            </w:tcBorders>
            <w:shd w:val="clear" w:color="auto" w:fill="auto"/>
            <w:noWrap/>
            <w:vAlign w:val="bottom"/>
            <w:hideMark/>
          </w:tcPr>
          <w:p w14:paraId="49FD1BA4" w14:textId="77777777" w:rsidR="00462106" w:rsidRPr="003D3CF9" w:rsidRDefault="00462106" w:rsidP="00B123BA">
            <w:pPr>
              <w:jc w:val="center"/>
              <w:rPr>
                <w:color w:val="000000" w:themeColor="text1"/>
                <w:lang w:val="en-US"/>
              </w:rPr>
            </w:pPr>
            <w:r w:rsidRPr="003D3CF9">
              <w:rPr>
                <w:color w:val="000000" w:themeColor="text1"/>
                <w:lang w:val="en-US"/>
              </w:rPr>
              <w:t>0.88</w:t>
            </w:r>
          </w:p>
        </w:tc>
      </w:tr>
      <w:tr w:rsidR="00462106" w:rsidRPr="003D3CF9" w14:paraId="7EA6211E"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1D9B5CEB" w14:textId="77777777" w:rsidR="00462106" w:rsidRPr="003D3CF9" w:rsidRDefault="00462106" w:rsidP="00B123BA">
            <w:pPr>
              <w:rPr>
                <w:color w:val="000000" w:themeColor="text1"/>
                <w:lang w:val="en-US"/>
              </w:rPr>
            </w:pPr>
            <w:r w:rsidRPr="003D3CF9">
              <w:rPr>
                <w:color w:val="000000" w:themeColor="text1"/>
                <w:lang w:val="en-US"/>
              </w:rPr>
              <w:t>mean G</w:t>
            </w:r>
            <w:r w:rsidRPr="003D3CF9">
              <w:rPr>
                <w:color w:val="000000" w:themeColor="text1"/>
                <w:vertAlign w:val="subscript"/>
                <w:lang w:val="en-US"/>
              </w:rPr>
              <w:t>AT</w:t>
            </w:r>
            <w:r w:rsidRPr="003D3CF9">
              <w:rPr>
                <w:color w:val="000000" w:themeColor="text1"/>
                <w:lang w:val="en-US"/>
              </w:rPr>
              <w:t>, ms/mm</w:t>
            </w:r>
          </w:p>
        </w:tc>
        <w:tc>
          <w:tcPr>
            <w:tcW w:w="3204" w:type="dxa"/>
            <w:tcBorders>
              <w:top w:val="nil"/>
              <w:left w:val="nil"/>
              <w:bottom w:val="nil"/>
              <w:right w:val="nil"/>
            </w:tcBorders>
            <w:shd w:val="clear" w:color="auto" w:fill="auto"/>
            <w:noWrap/>
            <w:vAlign w:val="bottom"/>
            <w:hideMark/>
          </w:tcPr>
          <w:p w14:paraId="6C486CCC" w14:textId="77777777" w:rsidR="00462106" w:rsidRPr="003D3CF9" w:rsidRDefault="00462106" w:rsidP="00B123BA">
            <w:pPr>
              <w:jc w:val="center"/>
              <w:rPr>
                <w:color w:val="000000" w:themeColor="text1"/>
                <w:lang w:val="en-US"/>
              </w:rPr>
            </w:pPr>
            <w:r w:rsidRPr="003D3CF9">
              <w:rPr>
                <w:color w:val="000000" w:themeColor="text1"/>
                <w:lang w:val="en-US"/>
              </w:rPr>
              <w:t>0.39(0.26-0.46)</w:t>
            </w:r>
          </w:p>
        </w:tc>
        <w:tc>
          <w:tcPr>
            <w:tcW w:w="3109" w:type="dxa"/>
            <w:tcBorders>
              <w:top w:val="nil"/>
              <w:left w:val="nil"/>
              <w:bottom w:val="nil"/>
              <w:right w:val="nil"/>
            </w:tcBorders>
            <w:shd w:val="clear" w:color="auto" w:fill="auto"/>
            <w:noWrap/>
            <w:vAlign w:val="bottom"/>
            <w:hideMark/>
          </w:tcPr>
          <w:p w14:paraId="3182CE9D" w14:textId="77777777" w:rsidR="00462106" w:rsidRPr="003D3CF9" w:rsidRDefault="00462106" w:rsidP="00B123BA">
            <w:pPr>
              <w:jc w:val="center"/>
              <w:rPr>
                <w:color w:val="000000" w:themeColor="text1"/>
                <w:lang w:val="en-US"/>
              </w:rPr>
            </w:pPr>
            <w:r w:rsidRPr="003D3CF9">
              <w:rPr>
                <w:color w:val="000000" w:themeColor="text1"/>
                <w:lang w:val="en-US"/>
              </w:rPr>
              <w:t>0.36(0.30-0.41)</w:t>
            </w:r>
          </w:p>
        </w:tc>
        <w:tc>
          <w:tcPr>
            <w:tcW w:w="1276" w:type="dxa"/>
            <w:tcBorders>
              <w:top w:val="nil"/>
              <w:left w:val="nil"/>
              <w:bottom w:val="nil"/>
              <w:right w:val="nil"/>
            </w:tcBorders>
            <w:shd w:val="clear" w:color="auto" w:fill="auto"/>
            <w:noWrap/>
            <w:vAlign w:val="bottom"/>
            <w:hideMark/>
          </w:tcPr>
          <w:p w14:paraId="023D244C" w14:textId="77777777" w:rsidR="00462106" w:rsidRPr="003D3CF9" w:rsidRDefault="00462106" w:rsidP="00B123BA">
            <w:pPr>
              <w:jc w:val="center"/>
              <w:rPr>
                <w:color w:val="000000" w:themeColor="text1"/>
                <w:lang w:val="en-US"/>
              </w:rPr>
            </w:pPr>
            <w:r w:rsidRPr="003D3CF9">
              <w:rPr>
                <w:color w:val="000000" w:themeColor="text1"/>
                <w:lang w:val="en-US"/>
              </w:rPr>
              <w:t>0.96</w:t>
            </w:r>
          </w:p>
        </w:tc>
      </w:tr>
      <w:tr w:rsidR="00462106" w:rsidRPr="003D3CF9" w14:paraId="5B2D6C23"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46516DDE" w14:textId="77777777" w:rsidR="00462106" w:rsidRPr="003D3CF9" w:rsidRDefault="00462106" w:rsidP="00B123BA">
            <w:pPr>
              <w:rPr>
                <w:color w:val="000000" w:themeColor="text1"/>
                <w:lang w:val="en-US"/>
              </w:rPr>
            </w:pPr>
            <w:r w:rsidRPr="003D3CF9">
              <w:rPr>
                <w:color w:val="000000" w:themeColor="text1"/>
                <w:lang w:val="en-US"/>
              </w:rPr>
              <w:t>max G</w:t>
            </w:r>
            <w:r w:rsidRPr="003D3CF9">
              <w:rPr>
                <w:color w:val="000000" w:themeColor="text1"/>
                <w:vertAlign w:val="subscript"/>
                <w:lang w:val="en-US"/>
              </w:rPr>
              <w:t>AT</w:t>
            </w:r>
            <w:r w:rsidRPr="003D3CF9">
              <w:rPr>
                <w:color w:val="000000" w:themeColor="text1"/>
                <w:lang w:val="en-US"/>
              </w:rPr>
              <w:t>, ms/mm</w:t>
            </w:r>
          </w:p>
        </w:tc>
        <w:tc>
          <w:tcPr>
            <w:tcW w:w="3204" w:type="dxa"/>
            <w:tcBorders>
              <w:top w:val="nil"/>
              <w:left w:val="nil"/>
              <w:bottom w:val="nil"/>
              <w:right w:val="nil"/>
            </w:tcBorders>
            <w:shd w:val="clear" w:color="auto" w:fill="auto"/>
            <w:noWrap/>
            <w:vAlign w:val="bottom"/>
            <w:hideMark/>
          </w:tcPr>
          <w:p w14:paraId="3CF0B2B1" w14:textId="77777777" w:rsidR="00462106" w:rsidRPr="003D3CF9" w:rsidRDefault="00462106" w:rsidP="00B123BA">
            <w:pPr>
              <w:jc w:val="center"/>
              <w:rPr>
                <w:color w:val="000000" w:themeColor="text1"/>
                <w:lang w:val="en-US"/>
              </w:rPr>
            </w:pPr>
            <w:r w:rsidRPr="003D3CF9">
              <w:rPr>
                <w:color w:val="000000" w:themeColor="text1"/>
                <w:lang w:val="en-US"/>
              </w:rPr>
              <w:t>4.6(3.9-6.0)</w:t>
            </w:r>
          </w:p>
        </w:tc>
        <w:tc>
          <w:tcPr>
            <w:tcW w:w="3109" w:type="dxa"/>
            <w:tcBorders>
              <w:top w:val="nil"/>
              <w:left w:val="nil"/>
              <w:bottom w:val="nil"/>
              <w:right w:val="nil"/>
            </w:tcBorders>
            <w:shd w:val="clear" w:color="auto" w:fill="auto"/>
            <w:noWrap/>
            <w:vAlign w:val="bottom"/>
            <w:hideMark/>
          </w:tcPr>
          <w:p w14:paraId="7904105B" w14:textId="77777777" w:rsidR="00462106" w:rsidRPr="003D3CF9" w:rsidRDefault="00462106" w:rsidP="00B123BA">
            <w:pPr>
              <w:jc w:val="center"/>
              <w:rPr>
                <w:color w:val="000000" w:themeColor="text1"/>
                <w:lang w:val="en-US"/>
              </w:rPr>
            </w:pPr>
            <w:r w:rsidRPr="003D3CF9">
              <w:rPr>
                <w:color w:val="000000" w:themeColor="text1"/>
                <w:lang w:val="en-US"/>
              </w:rPr>
              <w:t>4.7(4.2-5.3)</w:t>
            </w:r>
          </w:p>
        </w:tc>
        <w:tc>
          <w:tcPr>
            <w:tcW w:w="1276" w:type="dxa"/>
            <w:tcBorders>
              <w:top w:val="nil"/>
              <w:left w:val="nil"/>
              <w:bottom w:val="nil"/>
              <w:right w:val="nil"/>
            </w:tcBorders>
            <w:shd w:val="clear" w:color="auto" w:fill="auto"/>
            <w:noWrap/>
            <w:vAlign w:val="bottom"/>
            <w:hideMark/>
          </w:tcPr>
          <w:p w14:paraId="2BF46E04" w14:textId="77777777" w:rsidR="00462106" w:rsidRPr="003D3CF9" w:rsidRDefault="00462106" w:rsidP="00B123BA">
            <w:pPr>
              <w:jc w:val="center"/>
              <w:rPr>
                <w:color w:val="000000" w:themeColor="text1"/>
                <w:lang w:val="en-US"/>
              </w:rPr>
            </w:pPr>
            <w:r w:rsidRPr="003D3CF9">
              <w:rPr>
                <w:color w:val="000000" w:themeColor="text1"/>
                <w:lang w:val="en-US"/>
              </w:rPr>
              <w:t>0.75</w:t>
            </w:r>
          </w:p>
        </w:tc>
      </w:tr>
      <w:tr w:rsidR="00462106" w:rsidRPr="003D3CF9" w14:paraId="6927DBC5"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789A6F00" w14:textId="77777777" w:rsidR="00462106" w:rsidRPr="003D3CF9" w:rsidRDefault="00462106" w:rsidP="00B123BA">
            <w:pPr>
              <w:rPr>
                <w:color w:val="000000" w:themeColor="text1"/>
                <w:lang w:val="en-US"/>
              </w:rPr>
            </w:pPr>
            <w:r w:rsidRPr="003D3CF9">
              <w:rPr>
                <w:color w:val="000000" w:themeColor="text1"/>
                <w:lang w:val="en-US"/>
              </w:rPr>
              <w:t>mean G</w:t>
            </w:r>
            <w:r w:rsidRPr="003D3CF9">
              <w:rPr>
                <w:color w:val="000000" w:themeColor="text1"/>
                <w:vertAlign w:val="subscript"/>
                <w:lang w:val="en-US"/>
              </w:rPr>
              <w:t>RTc</w:t>
            </w:r>
            <w:r w:rsidRPr="003D3CF9">
              <w:rPr>
                <w:color w:val="000000" w:themeColor="text1"/>
                <w:lang w:val="en-US"/>
              </w:rPr>
              <w:t>, ms/mm</w:t>
            </w:r>
          </w:p>
        </w:tc>
        <w:tc>
          <w:tcPr>
            <w:tcW w:w="3204" w:type="dxa"/>
            <w:tcBorders>
              <w:top w:val="nil"/>
              <w:left w:val="nil"/>
              <w:bottom w:val="nil"/>
              <w:right w:val="nil"/>
            </w:tcBorders>
            <w:shd w:val="clear" w:color="auto" w:fill="auto"/>
            <w:noWrap/>
            <w:vAlign w:val="bottom"/>
            <w:hideMark/>
          </w:tcPr>
          <w:p w14:paraId="57A14F9B" w14:textId="77777777" w:rsidR="00462106" w:rsidRPr="003D3CF9" w:rsidRDefault="00462106" w:rsidP="00B123BA">
            <w:pPr>
              <w:jc w:val="center"/>
              <w:rPr>
                <w:color w:val="000000" w:themeColor="text1"/>
                <w:lang w:val="en-US"/>
              </w:rPr>
            </w:pPr>
            <w:r w:rsidRPr="003D3CF9">
              <w:rPr>
                <w:color w:val="000000" w:themeColor="text1"/>
                <w:lang w:val="en-US"/>
              </w:rPr>
              <w:t>1.0(0.7-1.2)</w:t>
            </w:r>
          </w:p>
        </w:tc>
        <w:tc>
          <w:tcPr>
            <w:tcW w:w="3109" w:type="dxa"/>
            <w:tcBorders>
              <w:top w:val="nil"/>
              <w:left w:val="nil"/>
              <w:bottom w:val="nil"/>
              <w:right w:val="nil"/>
            </w:tcBorders>
            <w:shd w:val="clear" w:color="auto" w:fill="auto"/>
            <w:noWrap/>
            <w:vAlign w:val="bottom"/>
            <w:hideMark/>
          </w:tcPr>
          <w:p w14:paraId="6277C9D8" w14:textId="77777777" w:rsidR="00462106" w:rsidRPr="003D3CF9" w:rsidRDefault="00462106" w:rsidP="00B123BA">
            <w:pPr>
              <w:jc w:val="center"/>
              <w:rPr>
                <w:color w:val="000000" w:themeColor="text1"/>
                <w:lang w:val="en-US"/>
              </w:rPr>
            </w:pPr>
            <w:r w:rsidRPr="003D3CF9">
              <w:rPr>
                <w:color w:val="000000" w:themeColor="text1"/>
                <w:lang w:val="en-US"/>
              </w:rPr>
              <w:t>1.0(0.8-1.2)</w:t>
            </w:r>
          </w:p>
        </w:tc>
        <w:tc>
          <w:tcPr>
            <w:tcW w:w="1276" w:type="dxa"/>
            <w:tcBorders>
              <w:top w:val="nil"/>
              <w:left w:val="nil"/>
              <w:bottom w:val="nil"/>
              <w:right w:val="nil"/>
            </w:tcBorders>
            <w:shd w:val="clear" w:color="auto" w:fill="auto"/>
            <w:noWrap/>
            <w:vAlign w:val="bottom"/>
            <w:hideMark/>
          </w:tcPr>
          <w:p w14:paraId="288749D3" w14:textId="77777777" w:rsidR="00462106" w:rsidRPr="003D3CF9" w:rsidRDefault="00462106" w:rsidP="00B123BA">
            <w:pPr>
              <w:jc w:val="center"/>
              <w:rPr>
                <w:color w:val="000000" w:themeColor="text1"/>
                <w:lang w:val="en-US"/>
              </w:rPr>
            </w:pPr>
            <w:r w:rsidRPr="003D3CF9">
              <w:rPr>
                <w:color w:val="000000" w:themeColor="text1"/>
                <w:lang w:val="en-US"/>
              </w:rPr>
              <w:t>0.46</w:t>
            </w:r>
          </w:p>
        </w:tc>
      </w:tr>
      <w:tr w:rsidR="00462106" w:rsidRPr="003D3CF9" w14:paraId="1B6C8EC2" w14:textId="77777777" w:rsidTr="00B123BA">
        <w:trPr>
          <w:trHeight w:val="346"/>
        </w:trPr>
        <w:tc>
          <w:tcPr>
            <w:tcW w:w="3893" w:type="dxa"/>
            <w:gridSpan w:val="2"/>
            <w:tcBorders>
              <w:top w:val="nil"/>
              <w:left w:val="nil"/>
              <w:bottom w:val="nil"/>
              <w:right w:val="single" w:sz="4" w:space="0" w:color="auto"/>
            </w:tcBorders>
            <w:shd w:val="clear" w:color="auto" w:fill="auto"/>
            <w:noWrap/>
            <w:vAlign w:val="bottom"/>
            <w:hideMark/>
          </w:tcPr>
          <w:p w14:paraId="392716A5" w14:textId="77777777" w:rsidR="00462106" w:rsidRPr="003D3CF9" w:rsidRDefault="00462106" w:rsidP="00B123BA">
            <w:pPr>
              <w:rPr>
                <w:color w:val="000000" w:themeColor="text1"/>
                <w:lang w:val="en-US"/>
              </w:rPr>
            </w:pPr>
            <w:r w:rsidRPr="003D3CF9">
              <w:rPr>
                <w:color w:val="000000" w:themeColor="text1"/>
                <w:lang w:val="en-US"/>
              </w:rPr>
              <w:t>max G</w:t>
            </w:r>
            <w:r w:rsidRPr="003D3CF9">
              <w:rPr>
                <w:color w:val="000000" w:themeColor="text1"/>
                <w:vertAlign w:val="subscript"/>
                <w:lang w:val="en-US"/>
              </w:rPr>
              <w:t>RTc</w:t>
            </w:r>
            <w:r w:rsidRPr="003D3CF9">
              <w:rPr>
                <w:color w:val="000000" w:themeColor="text1"/>
                <w:lang w:val="en-US"/>
              </w:rPr>
              <w:t>, ms/mm</w:t>
            </w:r>
          </w:p>
        </w:tc>
        <w:tc>
          <w:tcPr>
            <w:tcW w:w="3204" w:type="dxa"/>
            <w:tcBorders>
              <w:top w:val="nil"/>
              <w:left w:val="nil"/>
              <w:bottom w:val="nil"/>
              <w:right w:val="nil"/>
            </w:tcBorders>
            <w:shd w:val="clear" w:color="auto" w:fill="auto"/>
            <w:noWrap/>
            <w:vAlign w:val="bottom"/>
            <w:hideMark/>
          </w:tcPr>
          <w:p w14:paraId="2B9C7802" w14:textId="77777777" w:rsidR="00462106" w:rsidRPr="003D3CF9" w:rsidRDefault="00462106" w:rsidP="00B123BA">
            <w:pPr>
              <w:jc w:val="center"/>
              <w:rPr>
                <w:color w:val="000000" w:themeColor="text1"/>
                <w:lang w:val="en-US"/>
              </w:rPr>
            </w:pPr>
            <w:r w:rsidRPr="003D3CF9">
              <w:rPr>
                <w:color w:val="000000" w:themeColor="text1"/>
                <w:lang w:val="en-US"/>
              </w:rPr>
              <w:t>9.1(8.3-10.6)</w:t>
            </w:r>
          </w:p>
        </w:tc>
        <w:tc>
          <w:tcPr>
            <w:tcW w:w="3109" w:type="dxa"/>
            <w:tcBorders>
              <w:top w:val="nil"/>
              <w:left w:val="nil"/>
              <w:bottom w:val="nil"/>
              <w:right w:val="nil"/>
            </w:tcBorders>
            <w:shd w:val="clear" w:color="auto" w:fill="auto"/>
            <w:noWrap/>
            <w:vAlign w:val="bottom"/>
            <w:hideMark/>
          </w:tcPr>
          <w:p w14:paraId="2CB4A3D1" w14:textId="77777777" w:rsidR="00462106" w:rsidRPr="003D3CF9" w:rsidRDefault="00462106" w:rsidP="00B123BA">
            <w:pPr>
              <w:jc w:val="center"/>
              <w:rPr>
                <w:color w:val="000000" w:themeColor="text1"/>
                <w:lang w:val="en-US"/>
              </w:rPr>
            </w:pPr>
            <w:r w:rsidRPr="003D3CF9">
              <w:rPr>
                <w:color w:val="000000" w:themeColor="text1"/>
                <w:lang w:val="en-US"/>
              </w:rPr>
              <w:t>10.9(9.5-13.7)</w:t>
            </w:r>
          </w:p>
        </w:tc>
        <w:tc>
          <w:tcPr>
            <w:tcW w:w="1276" w:type="dxa"/>
            <w:tcBorders>
              <w:top w:val="nil"/>
              <w:left w:val="nil"/>
              <w:bottom w:val="nil"/>
              <w:right w:val="nil"/>
            </w:tcBorders>
            <w:shd w:val="clear" w:color="auto" w:fill="auto"/>
            <w:noWrap/>
            <w:vAlign w:val="bottom"/>
            <w:hideMark/>
          </w:tcPr>
          <w:p w14:paraId="28FD6085" w14:textId="77777777" w:rsidR="00462106" w:rsidRPr="003D3CF9" w:rsidRDefault="00462106" w:rsidP="00B123BA">
            <w:pPr>
              <w:jc w:val="center"/>
              <w:rPr>
                <w:b/>
                <w:bCs/>
                <w:color w:val="000000" w:themeColor="text1"/>
                <w:lang w:val="en-US"/>
              </w:rPr>
            </w:pPr>
            <w:r w:rsidRPr="003D3CF9">
              <w:rPr>
                <w:b/>
                <w:bCs/>
                <w:color w:val="000000" w:themeColor="text1"/>
                <w:lang w:val="en-US"/>
              </w:rPr>
              <w:t>0.008</w:t>
            </w:r>
          </w:p>
        </w:tc>
      </w:tr>
    </w:tbl>
    <w:p w14:paraId="2EAD640C" w14:textId="77777777" w:rsidR="00462106" w:rsidRPr="003D3CF9" w:rsidRDefault="00462106" w:rsidP="00462106">
      <w:pPr>
        <w:rPr>
          <w:b/>
          <w:bCs/>
          <w:color w:val="FF0000"/>
          <w:lang w:val="en-US"/>
        </w:rPr>
      </w:pPr>
    </w:p>
    <w:p w14:paraId="4CE3E358" w14:textId="77777777" w:rsidR="00462106" w:rsidRPr="003D3CF9" w:rsidRDefault="00462106" w:rsidP="00462106">
      <w:pPr>
        <w:jc w:val="both"/>
        <w:rPr>
          <w:color w:val="000000" w:themeColor="text1"/>
          <w:lang w:val="en-US"/>
        </w:rPr>
      </w:pPr>
      <w:r w:rsidRPr="003D3CF9">
        <w:rPr>
          <w:color w:val="000000" w:themeColor="text1"/>
          <w:lang w:val="en-US"/>
        </w:rPr>
        <w:t>Values are median(interquartile range) or mean±standard deviation.</w:t>
      </w:r>
    </w:p>
    <w:p w14:paraId="5D958FA4" w14:textId="74C88B34" w:rsidR="00462106" w:rsidRPr="003D3CF9" w:rsidRDefault="00462106" w:rsidP="00462106">
      <w:pPr>
        <w:jc w:val="both"/>
        <w:rPr>
          <w:i/>
          <w:iCs/>
          <w:lang w:val="en-US"/>
        </w:rPr>
      </w:pPr>
      <w:r w:rsidRPr="003D3CF9">
        <w:rPr>
          <w:i/>
          <w:iCs/>
          <w:color w:val="000000" w:themeColor="text1"/>
          <w:lang w:val="en-US"/>
        </w:rPr>
        <w:t xml:space="preserve">Abbreviations as in </w:t>
      </w:r>
      <w:r w:rsidRPr="003D3CF9">
        <w:rPr>
          <w:b/>
          <w:bCs/>
          <w:i/>
          <w:iCs/>
          <w:color w:val="000000" w:themeColor="text1"/>
          <w:lang w:val="en-US"/>
        </w:rPr>
        <w:t>Supplementa</w:t>
      </w:r>
      <w:r w:rsidR="006C402C">
        <w:rPr>
          <w:b/>
          <w:bCs/>
          <w:i/>
          <w:iCs/>
          <w:color w:val="000000" w:themeColor="text1"/>
          <w:lang w:val="en-US"/>
        </w:rPr>
        <w:t>l</w:t>
      </w:r>
      <w:r w:rsidRPr="003D3CF9">
        <w:rPr>
          <w:b/>
          <w:bCs/>
          <w:i/>
          <w:iCs/>
          <w:color w:val="000000" w:themeColor="text1"/>
          <w:lang w:val="en-US"/>
        </w:rPr>
        <w:t xml:space="preserve"> Table 1</w:t>
      </w:r>
      <w:r w:rsidRPr="003D3CF9">
        <w:rPr>
          <w:i/>
          <w:iCs/>
          <w:color w:val="000000" w:themeColor="text1"/>
          <w:lang w:val="en-US"/>
        </w:rPr>
        <w:t>.</w:t>
      </w:r>
    </w:p>
    <w:p w14:paraId="4DB47D44" w14:textId="77777777" w:rsidR="00462106" w:rsidRPr="003D3CF9" w:rsidRDefault="00462106" w:rsidP="00462106">
      <w:pPr>
        <w:rPr>
          <w:lang w:val="en-US"/>
        </w:rPr>
      </w:pPr>
      <w:r w:rsidRPr="003D3CF9">
        <w:rPr>
          <w:lang w:val="en-US"/>
        </w:rPr>
        <w:br w:type="page"/>
      </w:r>
    </w:p>
    <w:tbl>
      <w:tblPr>
        <w:tblpPr w:leftFromText="180" w:rightFromText="180" w:horzAnchor="margin" w:tblpY="480"/>
        <w:tblW w:w="13611" w:type="dxa"/>
        <w:tblLook w:val="04A0" w:firstRow="1" w:lastRow="0" w:firstColumn="1" w:lastColumn="0" w:noHBand="0" w:noVBand="1"/>
      </w:tblPr>
      <w:tblGrid>
        <w:gridCol w:w="2410"/>
        <w:gridCol w:w="2023"/>
        <w:gridCol w:w="2182"/>
        <w:gridCol w:w="2243"/>
        <w:gridCol w:w="1096"/>
        <w:gridCol w:w="1229"/>
        <w:gridCol w:w="1199"/>
        <w:gridCol w:w="1229"/>
      </w:tblGrid>
      <w:tr w:rsidR="00C907B2" w:rsidRPr="003D3CF9" w14:paraId="6DD873F4" w14:textId="77777777" w:rsidTr="00C907B2">
        <w:trPr>
          <w:trHeight w:val="326"/>
        </w:trPr>
        <w:tc>
          <w:tcPr>
            <w:tcW w:w="2410" w:type="dxa"/>
            <w:tcBorders>
              <w:top w:val="nil"/>
              <w:left w:val="nil"/>
              <w:right w:val="single" w:sz="4" w:space="0" w:color="auto"/>
            </w:tcBorders>
            <w:shd w:val="clear" w:color="auto" w:fill="auto"/>
            <w:noWrap/>
            <w:vAlign w:val="center"/>
          </w:tcPr>
          <w:p w14:paraId="203668C1" w14:textId="77777777" w:rsidR="00462106" w:rsidRPr="003D3CF9" w:rsidRDefault="00462106" w:rsidP="00B123BA">
            <w:pPr>
              <w:rPr>
                <w:color w:val="000000"/>
                <w:lang w:val="en-US"/>
              </w:rPr>
            </w:pPr>
          </w:p>
        </w:tc>
        <w:tc>
          <w:tcPr>
            <w:tcW w:w="2023" w:type="dxa"/>
            <w:tcBorders>
              <w:top w:val="nil"/>
              <w:left w:val="nil"/>
              <w:right w:val="nil"/>
            </w:tcBorders>
            <w:shd w:val="clear" w:color="auto" w:fill="auto"/>
            <w:noWrap/>
            <w:vAlign w:val="bottom"/>
          </w:tcPr>
          <w:p w14:paraId="625D7FCA" w14:textId="77777777" w:rsidR="00462106" w:rsidRPr="003D3CF9" w:rsidRDefault="00462106" w:rsidP="00B123BA">
            <w:pPr>
              <w:rPr>
                <w:color w:val="000000"/>
                <w:lang w:val="en-US"/>
              </w:rPr>
            </w:pPr>
          </w:p>
        </w:tc>
        <w:tc>
          <w:tcPr>
            <w:tcW w:w="2182" w:type="dxa"/>
            <w:tcBorders>
              <w:top w:val="nil"/>
              <w:left w:val="nil"/>
              <w:right w:val="nil"/>
            </w:tcBorders>
            <w:shd w:val="clear" w:color="auto" w:fill="auto"/>
            <w:noWrap/>
            <w:vAlign w:val="bottom"/>
          </w:tcPr>
          <w:p w14:paraId="37FC53C2" w14:textId="77777777" w:rsidR="00462106" w:rsidRPr="003D3CF9" w:rsidRDefault="00462106" w:rsidP="00B123BA">
            <w:pPr>
              <w:rPr>
                <w:color w:val="000000"/>
                <w:lang w:val="en-US"/>
              </w:rPr>
            </w:pPr>
          </w:p>
        </w:tc>
        <w:tc>
          <w:tcPr>
            <w:tcW w:w="2243" w:type="dxa"/>
            <w:tcBorders>
              <w:top w:val="nil"/>
              <w:left w:val="nil"/>
              <w:right w:val="single" w:sz="4" w:space="0" w:color="auto"/>
            </w:tcBorders>
            <w:shd w:val="clear" w:color="auto" w:fill="auto"/>
            <w:noWrap/>
            <w:vAlign w:val="bottom"/>
          </w:tcPr>
          <w:p w14:paraId="6625F81D" w14:textId="77777777" w:rsidR="00462106" w:rsidRPr="003D3CF9" w:rsidRDefault="00462106" w:rsidP="00B123BA">
            <w:pPr>
              <w:rPr>
                <w:color w:val="000000"/>
                <w:lang w:val="en-US"/>
              </w:rPr>
            </w:pPr>
          </w:p>
        </w:tc>
        <w:tc>
          <w:tcPr>
            <w:tcW w:w="1096" w:type="dxa"/>
            <w:tcBorders>
              <w:top w:val="nil"/>
              <w:left w:val="nil"/>
              <w:right w:val="nil"/>
            </w:tcBorders>
            <w:shd w:val="clear" w:color="auto" w:fill="auto"/>
            <w:noWrap/>
            <w:vAlign w:val="bottom"/>
          </w:tcPr>
          <w:p w14:paraId="59AC6B0B" w14:textId="77777777" w:rsidR="00462106" w:rsidRPr="003D3CF9" w:rsidRDefault="00462106" w:rsidP="00B123BA">
            <w:pPr>
              <w:jc w:val="right"/>
              <w:rPr>
                <w:b/>
                <w:bCs/>
                <w:color w:val="000000"/>
                <w:lang w:val="en-US"/>
              </w:rPr>
            </w:pPr>
          </w:p>
        </w:tc>
        <w:tc>
          <w:tcPr>
            <w:tcW w:w="1229" w:type="dxa"/>
            <w:tcBorders>
              <w:top w:val="nil"/>
              <w:left w:val="nil"/>
              <w:right w:val="nil"/>
            </w:tcBorders>
            <w:shd w:val="clear" w:color="auto" w:fill="auto"/>
            <w:noWrap/>
            <w:vAlign w:val="bottom"/>
          </w:tcPr>
          <w:p w14:paraId="46935E29" w14:textId="77777777" w:rsidR="00462106" w:rsidRPr="003D3CF9" w:rsidRDefault="00462106" w:rsidP="00B123BA">
            <w:pPr>
              <w:jc w:val="right"/>
              <w:rPr>
                <w:b/>
                <w:bCs/>
                <w:color w:val="000000"/>
                <w:lang w:val="en-US"/>
              </w:rPr>
            </w:pPr>
          </w:p>
        </w:tc>
        <w:tc>
          <w:tcPr>
            <w:tcW w:w="1199" w:type="dxa"/>
            <w:tcBorders>
              <w:top w:val="nil"/>
              <w:left w:val="nil"/>
              <w:right w:val="nil"/>
            </w:tcBorders>
            <w:shd w:val="clear" w:color="auto" w:fill="auto"/>
            <w:noWrap/>
            <w:vAlign w:val="bottom"/>
          </w:tcPr>
          <w:p w14:paraId="1E902A95" w14:textId="77777777" w:rsidR="00462106" w:rsidRPr="003D3CF9" w:rsidRDefault="00462106" w:rsidP="00B123BA">
            <w:pPr>
              <w:jc w:val="right"/>
              <w:rPr>
                <w:b/>
                <w:bCs/>
                <w:color w:val="000000"/>
                <w:lang w:val="en-US"/>
              </w:rPr>
            </w:pPr>
            <w:r w:rsidRPr="003D3CF9">
              <w:rPr>
                <w:b/>
                <w:bCs/>
                <w:i/>
                <w:iCs/>
                <w:color w:val="000000"/>
                <w:lang w:val="en-US"/>
              </w:rPr>
              <w:t>p</w:t>
            </w:r>
            <w:r w:rsidRPr="003D3CF9">
              <w:rPr>
                <w:b/>
                <w:bCs/>
                <w:color w:val="000000"/>
                <w:lang w:val="en-US"/>
              </w:rPr>
              <w:t>-values</w:t>
            </w:r>
          </w:p>
        </w:tc>
        <w:tc>
          <w:tcPr>
            <w:tcW w:w="1229" w:type="dxa"/>
            <w:tcBorders>
              <w:top w:val="nil"/>
              <w:left w:val="nil"/>
              <w:right w:val="nil"/>
            </w:tcBorders>
            <w:shd w:val="clear" w:color="auto" w:fill="auto"/>
            <w:noWrap/>
            <w:vAlign w:val="bottom"/>
          </w:tcPr>
          <w:p w14:paraId="1BBE47E2" w14:textId="77777777" w:rsidR="00462106" w:rsidRPr="003D3CF9" w:rsidRDefault="00462106" w:rsidP="00B123BA">
            <w:pPr>
              <w:jc w:val="right"/>
              <w:rPr>
                <w:b/>
                <w:bCs/>
                <w:color w:val="000000"/>
                <w:lang w:val="en-US"/>
              </w:rPr>
            </w:pPr>
          </w:p>
        </w:tc>
      </w:tr>
      <w:tr w:rsidR="00C907B2" w:rsidRPr="003D3CF9" w14:paraId="0819D0B1" w14:textId="77777777" w:rsidTr="00C907B2">
        <w:trPr>
          <w:trHeight w:val="326"/>
        </w:trPr>
        <w:tc>
          <w:tcPr>
            <w:tcW w:w="2410" w:type="dxa"/>
            <w:tcBorders>
              <w:top w:val="nil"/>
              <w:left w:val="nil"/>
              <w:bottom w:val="single" w:sz="4" w:space="0" w:color="auto"/>
              <w:right w:val="single" w:sz="4" w:space="0" w:color="auto"/>
            </w:tcBorders>
            <w:shd w:val="clear" w:color="auto" w:fill="auto"/>
            <w:noWrap/>
            <w:vAlign w:val="center"/>
          </w:tcPr>
          <w:p w14:paraId="23E54317" w14:textId="77777777" w:rsidR="00462106" w:rsidRPr="003D3CF9" w:rsidRDefault="00462106" w:rsidP="00B123BA">
            <w:pPr>
              <w:rPr>
                <w:color w:val="000000"/>
                <w:lang w:val="en-US"/>
              </w:rPr>
            </w:pPr>
          </w:p>
        </w:tc>
        <w:tc>
          <w:tcPr>
            <w:tcW w:w="2023" w:type="dxa"/>
            <w:tcBorders>
              <w:top w:val="nil"/>
              <w:left w:val="nil"/>
              <w:bottom w:val="single" w:sz="4" w:space="0" w:color="auto"/>
              <w:right w:val="nil"/>
            </w:tcBorders>
            <w:shd w:val="clear" w:color="auto" w:fill="auto"/>
            <w:noWrap/>
            <w:vAlign w:val="bottom"/>
          </w:tcPr>
          <w:p w14:paraId="2D4B8EF7" w14:textId="77777777" w:rsidR="00462106" w:rsidRPr="003D3CF9" w:rsidRDefault="00462106" w:rsidP="00B123BA">
            <w:pPr>
              <w:jc w:val="center"/>
              <w:rPr>
                <w:b/>
                <w:bCs/>
                <w:color w:val="000000"/>
                <w:lang w:val="en-US"/>
              </w:rPr>
            </w:pPr>
            <w:r w:rsidRPr="003D3CF9">
              <w:rPr>
                <w:b/>
                <w:bCs/>
                <w:color w:val="000000"/>
                <w:lang w:val="en-US"/>
              </w:rPr>
              <w:t>Isolated Basal Septal LVH</w:t>
            </w:r>
          </w:p>
          <w:p w14:paraId="46B869C1" w14:textId="77777777" w:rsidR="00462106" w:rsidRPr="003D3CF9" w:rsidRDefault="00462106" w:rsidP="00B123BA">
            <w:pPr>
              <w:jc w:val="center"/>
              <w:rPr>
                <w:color w:val="000000"/>
                <w:lang w:val="en-US"/>
              </w:rPr>
            </w:pPr>
            <w:r w:rsidRPr="003D3CF9">
              <w:rPr>
                <w:b/>
                <w:bCs/>
                <w:color w:val="000000"/>
                <w:lang w:val="en-US"/>
              </w:rPr>
              <w:t>(n=52)</w:t>
            </w:r>
          </w:p>
        </w:tc>
        <w:tc>
          <w:tcPr>
            <w:tcW w:w="2182" w:type="dxa"/>
            <w:tcBorders>
              <w:top w:val="nil"/>
              <w:left w:val="nil"/>
              <w:bottom w:val="single" w:sz="4" w:space="0" w:color="auto"/>
              <w:right w:val="nil"/>
            </w:tcBorders>
            <w:shd w:val="clear" w:color="auto" w:fill="auto"/>
            <w:noWrap/>
            <w:vAlign w:val="bottom"/>
          </w:tcPr>
          <w:p w14:paraId="2BBDEAA7" w14:textId="77777777" w:rsidR="00462106" w:rsidRPr="003D3CF9" w:rsidRDefault="00462106" w:rsidP="00B123BA">
            <w:pPr>
              <w:jc w:val="center"/>
              <w:rPr>
                <w:b/>
                <w:bCs/>
                <w:color w:val="000000"/>
                <w:lang w:val="en-US"/>
              </w:rPr>
            </w:pPr>
            <w:r w:rsidRPr="003D3CF9">
              <w:rPr>
                <w:b/>
                <w:bCs/>
                <w:color w:val="000000"/>
                <w:lang w:val="en-US"/>
              </w:rPr>
              <w:t>Reverse Septal Curvature</w:t>
            </w:r>
          </w:p>
          <w:p w14:paraId="2FDFE4D5" w14:textId="77777777" w:rsidR="00462106" w:rsidRPr="003D3CF9" w:rsidRDefault="00462106" w:rsidP="00B123BA">
            <w:pPr>
              <w:jc w:val="center"/>
              <w:rPr>
                <w:color w:val="000000"/>
                <w:lang w:val="en-US"/>
              </w:rPr>
            </w:pPr>
            <w:r w:rsidRPr="003D3CF9">
              <w:rPr>
                <w:b/>
                <w:bCs/>
                <w:color w:val="000000"/>
                <w:lang w:val="en-US"/>
              </w:rPr>
              <w:t>(n=37)</w:t>
            </w:r>
          </w:p>
        </w:tc>
        <w:tc>
          <w:tcPr>
            <w:tcW w:w="2243" w:type="dxa"/>
            <w:tcBorders>
              <w:top w:val="nil"/>
              <w:left w:val="nil"/>
              <w:bottom w:val="single" w:sz="4" w:space="0" w:color="auto"/>
              <w:right w:val="single" w:sz="4" w:space="0" w:color="auto"/>
            </w:tcBorders>
            <w:shd w:val="clear" w:color="auto" w:fill="auto"/>
            <w:noWrap/>
            <w:vAlign w:val="bottom"/>
          </w:tcPr>
          <w:p w14:paraId="3B5A82E4" w14:textId="77777777" w:rsidR="00462106" w:rsidRPr="003D3CF9" w:rsidRDefault="00462106" w:rsidP="00B123BA">
            <w:pPr>
              <w:jc w:val="center"/>
              <w:rPr>
                <w:b/>
                <w:bCs/>
                <w:color w:val="000000"/>
                <w:lang w:val="en-US"/>
              </w:rPr>
            </w:pPr>
            <w:r w:rsidRPr="003D3CF9">
              <w:rPr>
                <w:b/>
                <w:bCs/>
                <w:color w:val="000000"/>
                <w:lang w:val="en-US"/>
              </w:rPr>
              <w:t>Other (Apical/Concentric)</w:t>
            </w:r>
          </w:p>
          <w:p w14:paraId="1A5C318F" w14:textId="77777777" w:rsidR="00462106" w:rsidRPr="003D3CF9" w:rsidRDefault="00462106" w:rsidP="00B123BA">
            <w:pPr>
              <w:jc w:val="center"/>
              <w:rPr>
                <w:color w:val="000000"/>
                <w:lang w:val="en-US"/>
              </w:rPr>
            </w:pPr>
            <w:r w:rsidRPr="003D3CF9">
              <w:rPr>
                <w:b/>
                <w:bCs/>
                <w:color w:val="000000"/>
                <w:lang w:val="en-US"/>
              </w:rPr>
              <w:t>(n=15)</w:t>
            </w:r>
          </w:p>
        </w:tc>
        <w:tc>
          <w:tcPr>
            <w:tcW w:w="1096" w:type="dxa"/>
            <w:tcBorders>
              <w:top w:val="nil"/>
              <w:left w:val="nil"/>
              <w:bottom w:val="single" w:sz="4" w:space="0" w:color="auto"/>
              <w:right w:val="nil"/>
            </w:tcBorders>
            <w:shd w:val="clear" w:color="auto" w:fill="auto"/>
            <w:noWrap/>
            <w:vAlign w:val="bottom"/>
          </w:tcPr>
          <w:p w14:paraId="5DE5EE6C" w14:textId="77777777" w:rsidR="00462106" w:rsidRPr="003D3CF9" w:rsidRDefault="00462106" w:rsidP="00B123BA">
            <w:pPr>
              <w:jc w:val="right"/>
              <w:rPr>
                <w:b/>
                <w:bCs/>
                <w:color w:val="000000"/>
                <w:lang w:val="en-US"/>
              </w:rPr>
            </w:pPr>
            <w:r w:rsidRPr="003D3CF9">
              <w:rPr>
                <w:b/>
                <w:bCs/>
                <w:color w:val="000000"/>
                <w:lang w:val="en-US"/>
              </w:rPr>
              <w:t>ANOVA</w:t>
            </w:r>
          </w:p>
        </w:tc>
        <w:tc>
          <w:tcPr>
            <w:tcW w:w="1229" w:type="dxa"/>
            <w:tcBorders>
              <w:top w:val="nil"/>
              <w:left w:val="nil"/>
              <w:bottom w:val="single" w:sz="4" w:space="0" w:color="auto"/>
              <w:right w:val="nil"/>
            </w:tcBorders>
            <w:shd w:val="clear" w:color="auto" w:fill="auto"/>
            <w:noWrap/>
            <w:vAlign w:val="bottom"/>
          </w:tcPr>
          <w:p w14:paraId="58F89D45" w14:textId="77777777" w:rsidR="00462106" w:rsidRPr="003D3CF9" w:rsidRDefault="00462106" w:rsidP="00B123BA">
            <w:pPr>
              <w:jc w:val="right"/>
              <w:rPr>
                <w:b/>
                <w:bCs/>
                <w:color w:val="000000"/>
                <w:lang w:val="en-US"/>
              </w:rPr>
            </w:pPr>
            <w:r w:rsidRPr="003D3CF9">
              <w:rPr>
                <w:b/>
                <w:bCs/>
                <w:color w:val="000000"/>
                <w:lang w:val="en-US"/>
              </w:rPr>
              <w:t>Isolated basal LVH vs reverse septal curvature</w:t>
            </w:r>
          </w:p>
        </w:tc>
        <w:tc>
          <w:tcPr>
            <w:tcW w:w="1199" w:type="dxa"/>
            <w:tcBorders>
              <w:top w:val="nil"/>
              <w:left w:val="nil"/>
              <w:bottom w:val="single" w:sz="4" w:space="0" w:color="auto"/>
              <w:right w:val="nil"/>
            </w:tcBorders>
            <w:shd w:val="clear" w:color="auto" w:fill="auto"/>
            <w:noWrap/>
            <w:vAlign w:val="bottom"/>
          </w:tcPr>
          <w:p w14:paraId="54B63974" w14:textId="77777777" w:rsidR="00462106" w:rsidRPr="003D3CF9" w:rsidRDefault="00462106" w:rsidP="00B123BA">
            <w:pPr>
              <w:jc w:val="right"/>
              <w:rPr>
                <w:b/>
                <w:bCs/>
                <w:color w:val="000000"/>
                <w:lang w:val="en-US"/>
              </w:rPr>
            </w:pPr>
            <w:r w:rsidRPr="003D3CF9">
              <w:rPr>
                <w:b/>
                <w:bCs/>
                <w:color w:val="000000"/>
                <w:lang w:val="en-US"/>
              </w:rPr>
              <w:t>Isolated basal LVH vs Other</w:t>
            </w:r>
          </w:p>
        </w:tc>
        <w:tc>
          <w:tcPr>
            <w:tcW w:w="1229" w:type="dxa"/>
            <w:tcBorders>
              <w:top w:val="nil"/>
              <w:left w:val="nil"/>
              <w:bottom w:val="single" w:sz="4" w:space="0" w:color="auto"/>
              <w:right w:val="nil"/>
            </w:tcBorders>
            <w:shd w:val="clear" w:color="auto" w:fill="auto"/>
            <w:noWrap/>
            <w:vAlign w:val="bottom"/>
          </w:tcPr>
          <w:p w14:paraId="6DC70BBA" w14:textId="77777777" w:rsidR="00462106" w:rsidRPr="003D3CF9" w:rsidRDefault="00462106" w:rsidP="00B123BA">
            <w:pPr>
              <w:jc w:val="right"/>
              <w:rPr>
                <w:b/>
                <w:bCs/>
                <w:color w:val="000000"/>
                <w:lang w:val="en-US"/>
              </w:rPr>
            </w:pPr>
            <w:r w:rsidRPr="003D3CF9">
              <w:rPr>
                <w:b/>
                <w:bCs/>
                <w:color w:val="000000"/>
                <w:lang w:val="en-US"/>
              </w:rPr>
              <w:t>Reverse septal curvature vs Other</w:t>
            </w:r>
          </w:p>
        </w:tc>
      </w:tr>
      <w:tr w:rsidR="00C907B2" w:rsidRPr="003D3CF9" w14:paraId="7EFA67C6" w14:textId="77777777" w:rsidTr="00C907B2">
        <w:trPr>
          <w:trHeight w:val="326"/>
        </w:trPr>
        <w:tc>
          <w:tcPr>
            <w:tcW w:w="2410" w:type="dxa"/>
            <w:tcBorders>
              <w:top w:val="single" w:sz="4" w:space="0" w:color="auto"/>
              <w:left w:val="nil"/>
              <w:bottom w:val="nil"/>
              <w:right w:val="single" w:sz="4" w:space="0" w:color="auto"/>
            </w:tcBorders>
            <w:shd w:val="clear" w:color="auto" w:fill="auto"/>
            <w:noWrap/>
            <w:vAlign w:val="center"/>
            <w:hideMark/>
          </w:tcPr>
          <w:p w14:paraId="6167BBFD" w14:textId="77777777" w:rsidR="00462106" w:rsidRPr="003D3CF9" w:rsidRDefault="00462106" w:rsidP="00B123BA">
            <w:pPr>
              <w:rPr>
                <w:color w:val="000000"/>
                <w:lang w:val="en-US"/>
              </w:rPr>
            </w:pPr>
            <w:r w:rsidRPr="003D3CF9">
              <w:rPr>
                <w:color w:val="000000"/>
                <w:lang w:val="en-US"/>
              </w:rPr>
              <w:t>Amp, mV</w:t>
            </w:r>
          </w:p>
        </w:tc>
        <w:tc>
          <w:tcPr>
            <w:tcW w:w="2023" w:type="dxa"/>
            <w:tcBorders>
              <w:top w:val="single" w:sz="4" w:space="0" w:color="auto"/>
              <w:left w:val="nil"/>
              <w:bottom w:val="nil"/>
              <w:right w:val="nil"/>
            </w:tcBorders>
            <w:shd w:val="clear" w:color="auto" w:fill="auto"/>
            <w:noWrap/>
            <w:vAlign w:val="bottom"/>
            <w:hideMark/>
          </w:tcPr>
          <w:p w14:paraId="63A3C0C2" w14:textId="6D0E60E2" w:rsidR="00462106" w:rsidRPr="003D3CF9" w:rsidRDefault="00462106" w:rsidP="00B123BA">
            <w:pPr>
              <w:rPr>
                <w:color w:val="000000"/>
                <w:lang w:val="en-US"/>
              </w:rPr>
            </w:pPr>
            <w:r w:rsidRPr="003D3CF9">
              <w:rPr>
                <w:color w:val="000000"/>
                <w:lang w:val="en-US"/>
              </w:rPr>
              <w:t>1.</w:t>
            </w:r>
            <w:r w:rsidR="00FF72CB" w:rsidRPr="003D3CF9">
              <w:rPr>
                <w:color w:val="000000"/>
                <w:lang w:val="en-US"/>
              </w:rPr>
              <w:t>5</w:t>
            </w:r>
            <w:r w:rsidRPr="003D3CF9">
              <w:rPr>
                <w:color w:val="000000"/>
                <w:lang w:val="en-US"/>
              </w:rPr>
              <w:t>(1.2-1.</w:t>
            </w:r>
            <w:r w:rsidR="00FF72CB" w:rsidRPr="003D3CF9">
              <w:rPr>
                <w:color w:val="000000"/>
                <w:lang w:val="en-US"/>
              </w:rPr>
              <w:t>9</w:t>
            </w:r>
            <w:r w:rsidRPr="003D3CF9">
              <w:rPr>
                <w:color w:val="000000"/>
                <w:lang w:val="en-US"/>
              </w:rPr>
              <w:t>)</w:t>
            </w:r>
          </w:p>
        </w:tc>
        <w:tc>
          <w:tcPr>
            <w:tcW w:w="2182" w:type="dxa"/>
            <w:tcBorders>
              <w:top w:val="single" w:sz="4" w:space="0" w:color="auto"/>
              <w:left w:val="nil"/>
              <w:bottom w:val="nil"/>
              <w:right w:val="nil"/>
            </w:tcBorders>
            <w:shd w:val="clear" w:color="auto" w:fill="auto"/>
            <w:noWrap/>
            <w:vAlign w:val="bottom"/>
            <w:hideMark/>
          </w:tcPr>
          <w:p w14:paraId="1C26C93E" w14:textId="184B714B" w:rsidR="00462106" w:rsidRPr="003D3CF9" w:rsidRDefault="00462106" w:rsidP="00B123BA">
            <w:pPr>
              <w:rPr>
                <w:color w:val="000000"/>
                <w:lang w:val="en-US"/>
              </w:rPr>
            </w:pPr>
            <w:r w:rsidRPr="003D3CF9">
              <w:rPr>
                <w:color w:val="000000"/>
                <w:lang w:val="en-US"/>
              </w:rPr>
              <w:t>1.</w:t>
            </w:r>
            <w:r w:rsidR="00FF72CB" w:rsidRPr="003D3CF9">
              <w:rPr>
                <w:color w:val="000000"/>
                <w:lang w:val="en-US"/>
              </w:rPr>
              <w:t>8</w:t>
            </w:r>
            <w:r w:rsidRPr="003D3CF9">
              <w:rPr>
                <w:color w:val="000000"/>
                <w:lang w:val="en-US"/>
              </w:rPr>
              <w:t>(1.</w:t>
            </w:r>
            <w:r w:rsidR="00FF72CB" w:rsidRPr="003D3CF9">
              <w:rPr>
                <w:color w:val="000000"/>
                <w:lang w:val="en-US"/>
              </w:rPr>
              <w:t>4</w:t>
            </w:r>
            <w:r w:rsidRPr="003D3CF9">
              <w:rPr>
                <w:color w:val="000000"/>
                <w:lang w:val="en-US"/>
              </w:rPr>
              <w:t>-2.4)</w:t>
            </w:r>
          </w:p>
        </w:tc>
        <w:tc>
          <w:tcPr>
            <w:tcW w:w="2243" w:type="dxa"/>
            <w:tcBorders>
              <w:top w:val="single" w:sz="4" w:space="0" w:color="auto"/>
              <w:left w:val="nil"/>
              <w:bottom w:val="nil"/>
              <w:right w:val="single" w:sz="4" w:space="0" w:color="auto"/>
            </w:tcBorders>
            <w:shd w:val="clear" w:color="auto" w:fill="auto"/>
            <w:noWrap/>
            <w:vAlign w:val="bottom"/>
            <w:hideMark/>
          </w:tcPr>
          <w:p w14:paraId="1702FF2E" w14:textId="7835FBA3" w:rsidR="00462106" w:rsidRPr="003D3CF9" w:rsidRDefault="00462106" w:rsidP="00B123BA">
            <w:pPr>
              <w:rPr>
                <w:color w:val="000000"/>
                <w:lang w:val="en-US"/>
              </w:rPr>
            </w:pPr>
            <w:r w:rsidRPr="003D3CF9">
              <w:rPr>
                <w:color w:val="000000"/>
                <w:lang w:val="en-US"/>
              </w:rPr>
              <w:t>2.0</w:t>
            </w:r>
            <w:r w:rsidR="00FF72CB" w:rsidRPr="003D3CF9">
              <w:rPr>
                <w:color w:val="000000"/>
                <w:lang w:val="en-US"/>
              </w:rPr>
              <w:t xml:space="preserve"> </w:t>
            </w:r>
            <w:r w:rsidRPr="003D3CF9">
              <w:rPr>
                <w:color w:val="000000"/>
                <w:lang w:val="en-US"/>
              </w:rPr>
              <w:t>(1.7-2.</w:t>
            </w:r>
            <w:r w:rsidR="00FF72CB" w:rsidRPr="003D3CF9">
              <w:rPr>
                <w:color w:val="000000"/>
                <w:lang w:val="en-US"/>
              </w:rPr>
              <w:t xml:space="preserve"> </w:t>
            </w:r>
            <w:r w:rsidRPr="003D3CF9">
              <w:rPr>
                <w:color w:val="000000"/>
                <w:lang w:val="en-US"/>
              </w:rPr>
              <w:t>6)</w:t>
            </w:r>
          </w:p>
        </w:tc>
        <w:tc>
          <w:tcPr>
            <w:tcW w:w="1096" w:type="dxa"/>
            <w:tcBorders>
              <w:top w:val="single" w:sz="4" w:space="0" w:color="auto"/>
              <w:left w:val="nil"/>
              <w:bottom w:val="nil"/>
              <w:right w:val="nil"/>
            </w:tcBorders>
            <w:shd w:val="clear" w:color="auto" w:fill="auto"/>
            <w:noWrap/>
            <w:vAlign w:val="bottom"/>
            <w:hideMark/>
          </w:tcPr>
          <w:p w14:paraId="69044F44" w14:textId="77777777" w:rsidR="00462106" w:rsidRPr="003D3CF9" w:rsidRDefault="00462106" w:rsidP="00B123BA">
            <w:pPr>
              <w:jc w:val="right"/>
              <w:rPr>
                <w:b/>
                <w:bCs/>
                <w:color w:val="000000"/>
                <w:lang w:val="en-US"/>
              </w:rPr>
            </w:pPr>
            <w:r w:rsidRPr="003D3CF9">
              <w:rPr>
                <w:b/>
                <w:bCs/>
                <w:color w:val="000000"/>
                <w:lang w:val="en-US"/>
              </w:rPr>
              <w:t>&lt;0.001</w:t>
            </w:r>
          </w:p>
        </w:tc>
        <w:tc>
          <w:tcPr>
            <w:tcW w:w="1229" w:type="dxa"/>
            <w:tcBorders>
              <w:top w:val="single" w:sz="4" w:space="0" w:color="auto"/>
              <w:left w:val="nil"/>
              <w:bottom w:val="nil"/>
              <w:right w:val="nil"/>
            </w:tcBorders>
            <w:shd w:val="clear" w:color="auto" w:fill="auto"/>
            <w:noWrap/>
            <w:vAlign w:val="bottom"/>
            <w:hideMark/>
          </w:tcPr>
          <w:p w14:paraId="6561CF73" w14:textId="77777777" w:rsidR="00462106" w:rsidRPr="003D3CF9" w:rsidRDefault="00462106" w:rsidP="00B123BA">
            <w:pPr>
              <w:jc w:val="right"/>
              <w:rPr>
                <w:b/>
                <w:bCs/>
                <w:color w:val="000000"/>
                <w:lang w:val="en-US"/>
              </w:rPr>
            </w:pPr>
            <w:r w:rsidRPr="003D3CF9">
              <w:rPr>
                <w:b/>
                <w:bCs/>
                <w:color w:val="000000"/>
                <w:lang w:val="en-US"/>
              </w:rPr>
              <w:t>0.009</w:t>
            </w:r>
          </w:p>
        </w:tc>
        <w:tc>
          <w:tcPr>
            <w:tcW w:w="1199" w:type="dxa"/>
            <w:tcBorders>
              <w:top w:val="single" w:sz="4" w:space="0" w:color="auto"/>
              <w:left w:val="nil"/>
              <w:bottom w:val="nil"/>
              <w:right w:val="nil"/>
            </w:tcBorders>
            <w:shd w:val="clear" w:color="auto" w:fill="auto"/>
            <w:noWrap/>
            <w:vAlign w:val="bottom"/>
            <w:hideMark/>
          </w:tcPr>
          <w:p w14:paraId="74605042" w14:textId="77777777" w:rsidR="00462106" w:rsidRPr="003D3CF9" w:rsidRDefault="00462106" w:rsidP="00B123BA">
            <w:pPr>
              <w:jc w:val="right"/>
              <w:rPr>
                <w:b/>
                <w:bCs/>
                <w:color w:val="000000"/>
                <w:lang w:val="en-US"/>
              </w:rPr>
            </w:pPr>
            <w:r w:rsidRPr="003D3CF9">
              <w:rPr>
                <w:b/>
                <w:bCs/>
                <w:color w:val="000000"/>
                <w:lang w:val="en-US"/>
              </w:rPr>
              <w:t>&lt;0.001</w:t>
            </w:r>
          </w:p>
        </w:tc>
        <w:tc>
          <w:tcPr>
            <w:tcW w:w="1229" w:type="dxa"/>
            <w:tcBorders>
              <w:top w:val="single" w:sz="4" w:space="0" w:color="auto"/>
              <w:left w:val="nil"/>
              <w:bottom w:val="nil"/>
              <w:right w:val="nil"/>
            </w:tcBorders>
            <w:shd w:val="clear" w:color="auto" w:fill="auto"/>
            <w:noWrap/>
            <w:vAlign w:val="bottom"/>
            <w:hideMark/>
          </w:tcPr>
          <w:p w14:paraId="2DF3D9E1" w14:textId="77777777" w:rsidR="00462106" w:rsidRPr="003D3CF9" w:rsidRDefault="00462106" w:rsidP="00B123BA">
            <w:pPr>
              <w:jc w:val="right"/>
              <w:rPr>
                <w:b/>
                <w:bCs/>
                <w:color w:val="000000"/>
                <w:lang w:val="en-US"/>
              </w:rPr>
            </w:pPr>
            <w:r w:rsidRPr="003D3CF9">
              <w:rPr>
                <w:b/>
                <w:bCs/>
                <w:color w:val="000000"/>
                <w:lang w:val="en-US"/>
              </w:rPr>
              <w:t>0.021</w:t>
            </w:r>
          </w:p>
        </w:tc>
      </w:tr>
      <w:tr w:rsidR="00C907B2" w:rsidRPr="003D3CF9" w14:paraId="6463128C"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676C0B5E" w14:textId="77777777" w:rsidR="00462106" w:rsidRPr="003D3CF9" w:rsidRDefault="00462106" w:rsidP="00B123BA">
            <w:pPr>
              <w:rPr>
                <w:color w:val="000000"/>
                <w:lang w:val="en-US"/>
              </w:rPr>
            </w:pPr>
            <w:r w:rsidRPr="003D3CF9">
              <w:rPr>
                <w:color w:val="000000"/>
                <w:lang w:val="en-US"/>
              </w:rPr>
              <w:t>Fractionation (n/1000)</w:t>
            </w:r>
          </w:p>
        </w:tc>
        <w:tc>
          <w:tcPr>
            <w:tcW w:w="2023" w:type="dxa"/>
            <w:tcBorders>
              <w:top w:val="nil"/>
              <w:left w:val="nil"/>
              <w:bottom w:val="nil"/>
              <w:right w:val="nil"/>
            </w:tcBorders>
            <w:shd w:val="clear" w:color="auto" w:fill="auto"/>
            <w:noWrap/>
            <w:vAlign w:val="bottom"/>
            <w:hideMark/>
          </w:tcPr>
          <w:p w14:paraId="36FCF954" w14:textId="77777777" w:rsidR="00462106" w:rsidRPr="003D3CF9" w:rsidRDefault="00462106" w:rsidP="00B123BA">
            <w:pPr>
              <w:rPr>
                <w:color w:val="000000"/>
                <w:lang w:val="en-US"/>
              </w:rPr>
            </w:pPr>
            <w:r w:rsidRPr="003D3CF9">
              <w:rPr>
                <w:color w:val="000000"/>
                <w:lang w:val="en-US"/>
              </w:rPr>
              <w:t>5(0-22)</w:t>
            </w:r>
          </w:p>
        </w:tc>
        <w:tc>
          <w:tcPr>
            <w:tcW w:w="2182" w:type="dxa"/>
            <w:tcBorders>
              <w:top w:val="nil"/>
              <w:left w:val="nil"/>
              <w:bottom w:val="nil"/>
              <w:right w:val="nil"/>
            </w:tcBorders>
            <w:shd w:val="clear" w:color="auto" w:fill="auto"/>
            <w:noWrap/>
            <w:vAlign w:val="bottom"/>
            <w:hideMark/>
          </w:tcPr>
          <w:p w14:paraId="21F5DFBD" w14:textId="77777777" w:rsidR="00462106" w:rsidRPr="003D3CF9" w:rsidRDefault="00462106" w:rsidP="00B123BA">
            <w:pPr>
              <w:rPr>
                <w:color w:val="000000"/>
                <w:lang w:val="en-US"/>
              </w:rPr>
            </w:pPr>
            <w:r w:rsidRPr="003D3CF9">
              <w:rPr>
                <w:color w:val="000000"/>
                <w:lang w:val="en-US"/>
              </w:rPr>
              <w:t>1(0-36)</w:t>
            </w:r>
          </w:p>
        </w:tc>
        <w:tc>
          <w:tcPr>
            <w:tcW w:w="2243" w:type="dxa"/>
            <w:tcBorders>
              <w:top w:val="nil"/>
              <w:left w:val="nil"/>
              <w:bottom w:val="nil"/>
              <w:right w:val="single" w:sz="4" w:space="0" w:color="auto"/>
            </w:tcBorders>
            <w:shd w:val="clear" w:color="auto" w:fill="auto"/>
            <w:noWrap/>
            <w:vAlign w:val="bottom"/>
            <w:hideMark/>
          </w:tcPr>
          <w:p w14:paraId="70950F6D" w14:textId="77777777" w:rsidR="00462106" w:rsidRPr="003D3CF9" w:rsidRDefault="00462106" w:rsidP="00B123BA">
            <w:pPr>
              <w:rPr>
                <w:color w:val="000000"/>
                <w:lang w:val="en-US"/>
              </w:rPr>
            </w:pPr>
            <w:r w:rsidRPr="003D3CF9">
              <w:rPr>
                <w:color w:val="000000"/>
                <w:lang w:val="en-US"/>
              </w:rPr>
              <w:t>1(0-25)</w:t>
            </w:r>
          </w:p>
        </w:tc>
        <w:tc>
          <w:tcPr>
            <w:tcW w:w="1096" w:type="dxa"/>
            <w:tcBorders>
              <w:top w:val="nil"/>
              <w:left w:val="nil"/>
              <w:bottom w:val="nil"/>
              <w:right w:val="nil"/>
            </w:tcBorders>
            <w:shd w:val="clear" w:color="auto" w:fill="auto"/>
            <w:noWrap/>
            <w:vAlign w:val="bottom"/>
            <w:hideMark/>
          </w:tcPr>
          <w:p w14:paraId="217DCA87" w14:textId="77777777" w:rsidR="00462106" w:rsidRPr="003D3CF9" w:rsidRDefault="00462106" w:rsidP="00B123BA">
            <w:pPr>
              <w:jc w:val="right"/>
              <w:rPr>
                <w:color w:val="000000"/>
                <w:lang w:val="en-US"/>
              </w:rPr>
            </w:pPr>
            <w:r w:rsidRPr="003D3CF9">
              <w:rPr>
                <w:color w:val="000000"/>
                <w:lang w:val="en-US"/>
              </w:rPr>
              <w:t>0.77</w:t>
            </w:r>
          </w:p>
        </w:tc>
        <w:tc>
          <w:tcPr>
            <w:tcW w:w="1229" w:type="dxa"/>
            <w:tcBorders>
              <w:top w:val="nil"/>
              <w:left w:val="nil"/>
              <w:bottom w:val="nil"/>
              <w:right w:val="nil"/>
            </w:tcBorders>
            <w:shd w:val="clear" w:color="auto" w:fill="auto"/>
            <w:noWrap/>
            <w:vAlign w:val="bottom"/>
            <w:hideMark/>
          </w:tcPr>
          <w:p w14:paraId="71CF4F2B" w14:textId="77777777" w:rsidR="00462106" w:rsidRPr="003D3CF9" w:rsidRDefault="00462106" w:rsidP="00B123BA">
            <w:pPr>
              <w:jc w:val="right"/>
              <w:rPr>
                <w:color w:val="000000"/>
                <w:lang w:val="en-US"/>
              </w:rPr>
            </w:pPr>
          </w:p>
        </w:tc>
        <w:tc>
          <w:tcPr>
            <w:tcW w:w="1199" w:type="dxa"/>
            <w:tcBorders>
              <w:top w:val="nil"/>
              <w:left w:val="nil"/>
              <w:bottom w:val="nil"/>
              <w:right w:val="nil"/>
            </w:tcBorders>
            <w:shd w:val="clear" w:color="auto" w:fill="auto"/>
            <w:noWrap/>
            <w:vAlign w:val="bottom"/>
            <w:hideMark/>
          </w:tcPr>
          <w:p w14:paraId="391D1251" w14:textId="77777777" w:rsidR="00462106" w:rsidRPr="003D3CF9" w:rsidRDefault="00462106" w:rsidP="00B123BA">
            <w:pPr>
              <w:rPr>
                <w:lang w:val="en-US"/>
              </w:rPr>
            </w:pPr>
          </w:p>
        </w:tc>
        <w:tc>
          <w:tcPr>
            <w:tcW w:w="1229" w:type="dxa"/>
            <w:tcBorders>
              <w:top w:val="nil"/>
              <w:left w:val="nil"/>
              <w:bottom w:val="nil"/>
              <w:right w:val="nil"/>
            </w:tcBorders>
            <w:shd w:val="clear" w:color="auto" w:fill="auto"/>
            <w:noWrap/>
            <w:vAlign w:val="bottom"/>
            <w:hideMark/>
          </w:tcPr>
          <w:p w14:paraId="2B548445" w14:textId="77777777" w:rsidR="00462106" w:rsidRPr="003D3CF9" w:rsidRDefault="00462106" w:rsidP="00B123BA">
            <w:pPr>
              <w:jc w:val="right"/>
              <w:rPr>
                <w:lang w:val="en-US"/>
              </w:rPr>
            </w:pPr>
          </w:p>
        </w:tc>
      </w:tr>
      <w:tr w:rsidR="00C907B2" w:rsidRPr="003D3CF9" w14:paraId="2E5AB9C3"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47CB69A3" w14:textId="77777777" w:rsidR="00462106" w:rsidRPr="003D3CF9" w:rsidRDefault="00462106" w:rsidP="00B123BA">
            <w:pPr>
              <w:rPr>
                <w:color w:val="000000"/>
                <w:lang w:val="en-US"/>
              </w:rPr>
            </w:pPr>
            <w:r w:rsidRPr="003D3CF9">
              <w:rPr>
                <w:color w:val="000000"/>
                <w:lang w:val="en-US"/>
              </w:rPr>
              <w:t>Mean AT, ms</w:t>
            </w:r>
          </w:p>
        </w:tc>
        <w:tc>
          <w:tcPr>
            <w:tcW w:w="2023" w:type="dxa"/>
            <w:tcBorders>
              <w:top w:val="nil"/>
              <w:left w:val="nil"/>
              <w:bottom w:val="nil"/>
              <w:right w:val="nil"/>
            </w:tcBorders>
            <w:shd w:val="clear" w:color="auto" w:fill="auto"/>
            <w:noWrap/>
            <w:vAlign w:val="bottom"/>
            <w:hideMark/>
          </w:tcPr>
          <w:p w14:paraId="61A077D1" w14:textId="77777777" w:rsidR="00462106" w:rsidRPr="003D3CF9" w:rsidRDefault="00462106" w:rsidP="00B123BA">
            <w:pPr>
              <w:rPr>
                <w:color w:val="000000"/>
                <w:lang w:val="en-US"/>
              </w:rPr>
            </w:pPr>
            <w:r w:rsidRPr="003D3CF9">
              <w:rPr>
                <w:color w:val="000000"/>
                <w:lang w:val="en-US"/>
              </w:rPr>
              <w:t>41(36-45)</w:t>
            </w:r>
          </w:p>
        </w:tc>
        <w:tc>
          <w:tcPr>
            <w:tcW w:w="2182" w:type="dxa"/>
            <w:tcBorders>
              <w:top w:val="nil"/>
              <w:left w:val="nil"/>
              <w:bottom w:val="nil"/>
              <w:right w:val="nil"/>
            </w:tcBorders>
            <w:shd w:val="clear" w:color="auto" w:fill="auto"/>
            <w:noWrap/>
            <w:vAlign w:val="bottom"/>
            <w:hideMark/>
          </w:tcPr>
          <w:p w14:paraId="64217274" w14:textId="77777777" w:rsidR="00462106" w:rsidRPr="003D3CF9" w:rsidRDefault="00462106" w:rsidP="00B123BA">
            <w:pPr>
              <w:rPr>
                <w:color w:val="000000"/>
                <w:lang w:val="en-US"/>
              </w:rPr>
            </w:pPr>
            <w:r w:rsidRPr="003D3CF9">
              <w:rPr>
                <w:color w:val="000000"/>
                <w:lang w:val="en-US"/>
              </w:rPr>
              <w:t>41(38-45)</w:t>
            </w:r>
          </w:p>
        </w:tc>
        <w:tc>
          <w:tcPr>
            <w:tcW w:w="2243" w:type="dxa"/>
            <w:tcBorders>
              <w:top w:val="nil"/>
              <w:left w:val="nil"/>
              <w:bottom w:val="nil"/>
              <w:right w:val="single" w:sz="4" w:space="0" w:color="auto"/>
            </w:tcBorders>
            <w:shd w:val="clear" w:color="auto" w:fill="auto"/>
            <w:noWrap/>
            <w:vAlign w:val="bottom"/>
            <w:hideMark/>
          </w:tcPr>
          <w:p w14:paraId="7230AAB3" w14:textId="77777777" w:rsidR="00462106" w:rsidRPr="003D3CF9" w:rsidRDefault="00462106" w:rsidP="00B123BA">
            <w:pPr>
              <w:rPr>
                <w:color w:val="000000"/>
                <w:lang w:val="en-US"/>
              </w:rPr>
            </w:pPr>
            <w:r w:rsidRPr="003D3CF9">
              <w:rPr>
                <w:color w:val="000000"/>
                <w:lang w:val="en-US"/>
              </w:rPr>
              <w:t>49(38-54)</w:t>
            </w:r>
          </w:p>
        </w:tc>
        <w:tc>
          <w:tcPr>
            <w:tcW w:w="1096" w:type="dxa"/>
            <w:tcBorders>
              <w:top w:val="nil"/>
              <w:left w:val="nil"/>
              <w:bottom w:val="nil"/>
              <w:right w:val="nil"/>
            </w:tcBorders>
            <w:shd w:val="clear" w:color="auto" w:fill="auto"/>
            <w:noWrap/>
            <w:vAlign w:val="bottom"/>
            <w:hideMark/>
          </w:tcPr>
          <w:p w14:paraId="501177B5" w14:textId="77777777" w:rsidR="00462106" w:rsidRPr="003D3CF9" w:rsidRDefault="00462106" w:rsidP="00B123BA">
            <w:pPr>
              <w:jc w:val="right"/>
              <w:rPr>
                <w:b/>
                <w:bCs/>
                <w:color w:val="000000"/>
                <w:lang w:val="en-US"/>
              </w:rPr>
            </w:pPr>
            <w:r w:rsidRPr="003D3CF9">
              <w:rPr>
                <w:b/>
                <w:bCs/>
                <w:color w:val="000000"/>
                <w:lang w:val="en-US"/>
              </w:rPr>
              <w:t>0.002</w:t>
            </w:r>
          </w:p>
        </w:tc>
        <w:tc>
          <w:tcPr>
            <w:tcW w:w="1229" w:type="dxa"/>
            <w:tcBorders>
              <w:top w:val="nil"/>
              <w:left w:val="nil"/>
              <w:bottom w:val="nil"/>
              <w:right w:val="nil"/>
            </w:tcBorders>
            <w:shd w:val="clear" w:color="auto" w:fill="auto"/>
            <w:noWrap/>
            <w:vAlign w:val="bottom"/>
            <w:hideMark/>
          </w:tcPr>
          <w:p w14:paraId="492A3D22" w14:textId="77777777" w:rsidR="00462106" w:rsidRPr="003D3CF9" w:rsidRDefault="00462106" w:rsidP="00B123BA">
            <w:pPr>
              <w:jc w:val="right"/>
              <w:rPr>
                <w:color w:val="000000"/>
                <w:lang w:val="en-US"/>
              </w:rPr>
            </w:pPr>
            <w:r w:rsidRPr="003D3CF9">
              <w:rPr>
                <w:color w:val="000000"/>
                <w:lang w:val="en-US"/>
              </w:rPr>
              <w:t>0.203</w:t>
            </w:r>
          </w:p>
        </w:tc>
        <w:tc>
          <w:tcPr>
            <w:tcW w:w="1199" w:type="dxa"/>
            <w:tcBorders>
              <w:top w:val="nil"/>
              <w:left w:val="nil"/>
              <w:bottom w:val="nil"/>
              <w:right w:val="nil"/>
            </w:tcBorders>
            <w:shd w:val="clear" w:color="auto" w:fill="auto"/>
            <w:noWrap/>
            <w:vAlign w:val="bottom"/>
            <w:hideMark/>
          </w:tcPr>
          <w:p w14:paraId="74782E25" w14:textId="77777777" w:rsidR="00462106" w:rsidRPr="003D3CF9" w:rsidRDefault="00462106" w:rsidP="00B123BA">
            <w:pPr>
              <w:jc w:val="right"/>
              <w:rPr>
                <w:b/>
                <w:bCs/>
                <w:color w:val="000000"/>
                <w:lang w:val="en-US"/>
              </w:rPr>
            </w:pPr>
            <w:r w:rsidRPr="003D3CF9">
              <w:rPr>
                <w:b/>
                <w:bCs/>
                <w:color w:val="000000"/>
                <w:lang w:val="en-US"/>
              </w:rPr>
              <w:t>0.008</w:t>
            </w:r>
          </w:p>
        </w:tc>
        <w:tc>
          <w:tcPr>
            <w:tcW w:w="1229" w:type="dxa"/>
            <w:tcBorders>
              <w:top w:val="nil"/>
              <w:left w:val="nil"/>
              <w:bottom w:val="nil"/>
              <w:right w:val="nil"/>
            </w:tcBorders>
            <w:shd w:val="clear" w:color="auto" w:fill="auto"/>
            <w:noWrap/>
            <w:vAlign w:val="bottom"/>
            <w:hideMark/>
          </w:tcPr>
          <w:p w14:paraId="418F37C1" w14:textId="77777777" w:rsidR="00462106" w:rsidRPr="003D3CF9" w:rsidRDefault="00462106" w:rsidP="00B123BA">
            <w:pPr>
              <w:jc w:val="right"/>
              <w:rPr>
                <w:color w:val="000000"/>
                <w:lang w:val="en-US"/>
              </w:rPr>
            </w:pPr>
            <w:r w:rsidRPr="003D3CF9">
              <w:rPr>
                <w:color w:val="000000"/>
                <w:lang w:val="en-US"/>
              </w:rPr>
              <w:t>0.11</w:t>
            </w:r>
          </w:p>
        </w:tc>
      </w:tr>
      <w:tr w:rsidR="00C907B2" w:rsidRPr="003D3CF9" w14:paraId="160EBE2E"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69952EBA" w14:textId="77777777" w:rsidR="00462106" w:rsidRPr="003D3CF9" w:rsidRDefault="00462106" w:rsidP="00B123BA">
            <w:pPr>
              <w:rPr>
                <w:color w:val="000000"/>
                <w:lang w:val="en-US"/>
              </w:rPr>
            </w:pPr>
            <w:r w:rsidRPr="003D3CF9">
              <w:rPr>
                <w:color w:val="000000"/>
                <w:lang w:val="en-US"/>
              </w:rPr>
              <w:t>ΔAT, ms</w:t>
            </w:r>
          </w:p>
        </w:tc>
        <w:tc>
          <w:tcPr>
            <w:tcW w:w="2023" w:type="dxa"/>
            <w:tcBorders>
              <w:top w:val="nil"/>
              <w:left w:val="nil"/>
              <w:bottom w:val="nil"/>
              <w:right w:val="nil"/>
            </w:tcBorders>
            <w:shd w:val="clear" w:color="auto" w:fill="auto"/>
            <w:noWrap/>
            <w:vAlign w:val="bottom"/>
            <w:hideMark/>
          </w:tcPr>
          <w:p w14:paraId="1B2E7AF3" w14:textId="77777777" w:rsidR="00462106" w:rsidRPr="003D3CF9" w:rsidRDefault="00462106" w:rsidP="00B123BA">
            <w:pPr>
              <w:rPr>
                <w:color w:val="000000"/>
                <w:lang w:val="en-US"/>
              </w:rPr>
            </w:pPr>
            <w:r w:rsidRPr="003D3CF9">
              <w:rPr>
                <w:color w:val="000000"/>
                <w:lang w:val="en-US"/>
              </w:rPr>
              <w:t>181(156-197)</w:t>
            </w:r>
          </w:p>
        </w:tc>
        <w:tc>
          <w:tcPr>
            <w:tcW w:w="2182" w:type="dxa"/>
            <w:tcBorders>
              <w:top w:val="nil"/>
              <w:left w:val="nil"/>
              <w:bottom w:val="nil"/>
              <w:right w:val="nil"/>
            </w:tcBorders>
            <w:shd w:val="clear" w:color="auto" w:fill="auto"/>
            <w:noWrap/>
            <w:vAlign w:val="bottom"/>
            <w:hideMark/>
          </w:tcPr>
          <w:p w14:paraId="612F8CE6" w14:textId="77777777" w:rsidR="00462106" w:rsidRPr="003D3CF9" w:rsidRDefault="00462106" w:rsidP="00B123BA">
            <w:pPr>
              <w:rPr>
                <w:color w:val="000000"/>
                <w:lang w:val="en-US"/>
              </w:rPr>
            </w:pPr>
            <w:r w:rsidRPr="003D3CF9">
              <w:rPr>
                <w:color w:val="000000"/>
                <w:lang w:val="en-US"/>
              </w:rPr>
              <w:t>196(162-213)</w:t>
            </w:r>
          </w:p>
        </w:tc>
        <w:tc>
          <w:tcPr>
            <w:tcW w:w="2243" w:type="dxa"/>
            <w:tcBorders>
              <w:top w:val="nil"/>
              <w:left w:val="nil"/>
              <w:bottom w:val="nil"/>
              <w:right w:val="single" w:sz="4" w:space="0" w:color="auto"/>
            </w:tcBorders>
            <w:shd w:val="clear" w:color="auto" w:fill="auto"/>
            <w:noWrap/>
            <w:vAlign w:val="bottom"/>
            <w:hideMark/>
          </w:tcPr>
          <w:p w14:paraId="783D3E79" w14:textId="77777777" w:rsidR="00462106" w:rsidRPr="003D3CF9" w:rsidRDefault="00462106" w:rsidP="00B123BA">
            <w:pPr>
              <w:rPr>
                <w:color w:val="000000"/>
                <w:lang w:val="en-US"/>
              </w:rPr>
            </w:pPr>
            <w:r w:rsidRPr="003D3CF9">
              <w:rPr>
                <w:color w:val="000000"/>
                <w:lang w:val="en-US"/>
              </w:rPr>
              <w:t>188(167-214)</w:t>
            </w:r>
          </w:p>
        </w:tc>
        <w:tc>
          <w:tcPr>
            <w:tcW w:w="1096" w:type="dxa"/>
            <w:tcBorders>
              <w:top w:val="nil"/>
              <w:left w:val="nil"/>
              <w:bottom w:val="nil"/>
              <w:right w:val="nil"/>
            </w:tcBorders>
            <w:shd w:val="clear" w:color="auto" w:fill="auto"/>
            <w:noWrap/>
            <w:vAlign w:val="bottom"/>
            <w:hideMark/>
          </w:tcPr>
          <w:p w14:paraId="6092AFE0" w14:textId="77777777" w:rsidR="00462106" w:rsidRPr="003D3CF9" w:rsidRDefault="00462106" w:rsidP="00B123BA">
            <w:pPr>
              <w:jc w:val="right"/>
              <w:rPr>
                <w:color w:val="000000"/>
                <w:lang w:val="en-US"/>
              </w:rPr>
            </w:pPr>
            <w:r w:rsidRPr="003D3CF9">
              <w:rPr>
                <w:color w:val="000000"/>
                <w:lang w:val="en-US"/>
              </w:rPr>
              <w:t>0.38</w:t>
            </w:r>
          </w:p>
        </w:tc>
        <w:tc>
          <w:tcPr>
            <w:tcW w:w="1229" w:type="dxa"/>
            <w:tcBorders>
              <w:top w:val="nil"/>
              <w:left w:val="nil"/>
              <w:bottom w:val="nil"/>
              <w:right w:val="nil"/>
            </w:tcBorders>
            <w:shd w:val="clear" w:color="auto" w:fill="auto"/>
            <w:noWrap/>
            <w:vAlign w:val="bottom"/>
            <w:hideMark/>
          </w:tcPr>
          <w:p w14:paraId="7672113E" w14:textId="77777777" w:rsidR="00462106" w:rsidRPr="003D3CF9" w:rsidRDefault="00462106" w:rsidP="00B123BA">
            <w:pPr>
              <w:jc w:val="right"/>
              <w:rPr>
                <w:color w:val="000000"/>
                <w:lang w:val="en-US"/>
              </w:rPr>
            </w:pPr>
          </w:p>
        </w:tc>
        <w:tc>
          <w:tcPr>
            <w:tcW w:w="1199" w:type="dxa"/>
            <w:tcBorders>
              <w:top w:val="nil"/>
              <w:left w:val="nil"/>
              <w:bottom w:val="nil"/>
              <w:right w:val="nil"/>
            </w:tcBorders>
            <w:shd w:val="clear" w:color="auto" w:fill="auto"/>
            <w:noWrap/>
            <w:vAlign w:val="bottom"/>
            <w:hideMark/>
          </w:tcPr>
          <w:p w14:paraId="110C74CF" w14:textId="77777777" w:rsidR="00462106" w:rsidRPr="003D3CF9" w:rsidRDefault="00462106" w:rsidP="00B123BA">
            <w:pPr>
              <w:rPr>
                <w:lang w:val="en-US"/>
              </w:rPr>
            </w:pPr>
          </w:p>
        </w:tc>
        <w:tc>
          <w:tcPr>
            <w:tcW w:w="1229" w:type="dxa"/>
            <w:tcBorders>
              <w:top w:val="nil"/>
              <w:left w:val="nil"/>
              <w:bottom w:val="nil"/>
              <w:right w:val="nil"/>
            </w:tcBorders>
            <w:shd w:val="clear" w:color="auto" w:fill="auto"/>
            <w:noWrap/>
            <w:vAlign w:val="bottom"/>
            <w:hideMark/>
          </w:tcPr>
          <w:p w14:paraId="25E9D14A" w14:textId="77777777" w:rsidR="00462106" w:rsidRPr="003D3CF9" w:rsidRDefault="00462106" w:rsidP="00B123BA">
            <w:pPr>
              <w:jc w:val="right"/>
              <w:rPr>
                <w:lang w:val="en-US"/>
              </w:rPr>
            </w:pPr>
          </w:p>
        </w:tc>
      </w:tr>
      <w:tr w:rsidR="00C907B2" w:rsidRPr="003D3CF9" w14:paraId="51422BDC"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4EA2AA53" w14:textId="77777777" w:rsidR="00462106" w:rsidRPr="003D3CF9" w:rsidRDefault="00462106" w:rsidP="00B123BA">
            <w:pPr>
              <w:rPr>
                <w:color w:val="000000"/>
                <w:lang w:val="en-US"/>
              </w:rPr>
            </w:pPr>
            <w:r w:rsidRPr="003D3CF9">
              <w:rPr>
                <w:color w:val="000000"/>
                <w:lang w:val="en-US"/>
              </w:rPr>
              <w:t>Mean RTc, ms</w:t>
            </w:r>
          </w:p>
        </w:tc>
        <w:tc>
          <w:tcPr>
            <w:tcW w:w="2023" w:type="dxa"/>
            <w:tcBorders>
              <w:top w:val="nil"/>
              <w:left w:val="nil"/>
              <w:bottom w:val="nil"/>
              <w:right w:val="nil"/>
            </w:tcBorders>
            <w:shd w:val="clear" w:color="auto" w:fill="auto"/>
            <w:noWrap/>
            <w:vAlign w:val="bottom"/>
            <w:hideMark/>
          </w:tcPr>
          <w:p w14:paraId="516D1428" w14:textId="77777777" w:rsidR="00462106" w:rsidRPr="003D3CF9" w:rsidRDefault="00462106" w:rsidP="00B123BA">
            <w:pPr>
              <w:rPr>
                <w:color w:val="000000"/>
                <w:lang w:val="en-US"/>
              </w:rPr>
            </w:pPr>
            <w:r w:rsidRPr="003D3CF9">
              <w:rPr>
                <w:color w:val="000000"/>
                <w:lang w:val="en-US"/>
              </w:rPr>
              <w:t>314(296-332)</w:t>
            </w:r>
          </w:p>
        </w:tc>
        <w:tc>
          <w:tcPr>
            <w:tcW w:w="2182" w:type="dxa"/>
            <w:tcBorders>
              <w:top w:val="nil"/>
              <w:left w:val="nil"/>
              <w:bottom w:val="nil"/>
              <w:right w:val="nil"/>
            </w:tcBorders>
            <w:shd w:val="clear" w:color="auto" w:fill="auto"/>
            <w:noWrap/>
            <w:vAlign w:val="bottom"/>
            <w:hideMark/>
          </w:tcPr>
          <w:p w14:paraId="60AB32D9" w14:textId="77777777" w:rsidR="00462106" w:rsidRPr="003D3CF9" w:rsidRDefault="00462106" w:rsidP="00B123BA">
            <w:pPr>
              <w:rPr>
                <w:color w:val="000000"/>
                <w:lang w:val="en-US"/>
              </w:rPr>
            </w:pPr>
            <w:r w:rsidRPr="003D3CF9">
              <w:rPr>
                <w:color w:val="000000"/>
                <w:lang w:val="en-US"/>
              </w:rPr>
              <w:t>330(314-347)</w:t>
            </w:r>
          </w:p>
        </w:tc>
        <w:tc>
          <w:tcPr>
            <w:tcW w:w="2243" w:type="dxa"/>
            <w:tcBorders>
              <w:top w:val="nil"/>
              <w:left w:val="nil"/>
              <w:bottom w:val="nil"/>
              <w:right w:val="single" w:sz="4" w:space="0" w:color="auto"/>
            </w:tcBorders>
            <w:shd w:val="clear" w:color="auto" w:fill="auto"/>
            <w:noWrap/>
            <w:vAlign w:val="bottom"/>
            <w:hideMark/>
          </w:tcPr>
          <w:p w14:paraId="22CA9363" w14:textId="77777777" w:rsidR="00462106" w:rsidRPr="003D3CF9" w:rsidRDefault="00462106" w:rsidP="00B123BA">
            <w:pPr>
              <w:rPr>
                <w:color w:val="000000"/>
                <w:lang w:val="en-US"/>
              </w:rPr>
            </w:pPr>
            <w:r w:rsidRPr="003D3CF9">
              <w:rPr>
                <w:color w:val="000000"/>
                <w:lang w:val="en-US"/>
              </w:rPr>
              <w:t>341(326-347)</w:t>
            </w:r>
          </w:p>
        </w:tc>
        <w:tc>
          <w:tcPr>
            <w:tcW w:w="1096" w:type="dxa"/>
            <w:tcBorders>
              <w:top w:val="nil"/>
              <w:left w:val="nil"/>
              <w:bottom w:val="nil"/>
              <w:right w:val="nil"/>
            </w:tcBorders>
            <w:shd w:val="clear" w:color="auto" w:fill="auto"/>
            <w:noWrap/>
            <w:vAlign w:val="bottom"/>
            <w:hideMark/>
          </w:tcPr>
          <w:p w14:paraId="50850DA9" w14:textId="77777777" w:rsidR="00462106" w:rsidRPr="003D3CF9" w:rsidRDefault="00462106" w:rsidP="00B123BA">
            <w:pPr>
              <w:jc w:val="right"/>
              <w:rPr>
                <w:b/>
                <w:bCs/>
                <w:color w:val="000000"/>
                <w:lang w:val="en-US"/>
              </w:rPr>
            </w:pPr>
            <w:r w:rsidRPr="003D3CF9">
              <w:rPr>
                <w:b/>
                <w:bCs/>
                <w:color w:val="000000"/>
                <w:lang w:val="en-US"/>
              </w:rPr>
              <w:t>&lt;0.001</w:t>
            </w:r>
          </w:p>
        </w:tc>
        <w:tc>
          <w:tcPr>
            <w:tcW w:w="1229" w:type="dxa"/>
            <w:tcBorders>
              <w:top w:val="nil"/>
              <w:left w:val="nil"/>
              <w:bottom w:val="nil"/>
              <w:right w:val="nil"/>
            </w:tcBorders>
            <w:shd w:val="clear" w:color="auto" w:fill="auto"/>
            <w:noWrap/>
            <w:vAlign w:val="bottom"/>
            <w:hideMark/>
          </w:tcPr>
          <w:p w14:paraId="1B69FE4A" w14:textId="77777777" w:rsidR="00462106" w:rsidRPr="003D3CF9" w:rsidRDefault="00462106" w:rsidP="00B123BA">
            <w:pPr>
              <w:jc w:val="right"/>
              <w:rPr>
                <w:b/>
                <w:bCs/>
                <w:color w:val="000000"/>
                <w:lang w:val="en-US"/>
              </w:rPr>
            </w:pPr>
            <w:r w:rsidRPr="003D3CF9">
              <w:rPr>
                <w:b/>
                <w:bCs/>
                <w:color w:val="000000"/>
                <w:lang w:val="en-US"/>
              </w:rPr>
              <w:t>0.009</w:t>
            </w:r>
          </w:p>
        </w:tc>
        <w:tc>
          <w:tcPr>
            <w:tcW w:w="1199" w:type="dxa"/>
            <w:tcBorders>
              <w:top w:val="nil"/>
              <w:left w:val="nil"/>
              <w:bottom w:val="nil"/>
              <w:right w:val="nil"/>
            </w:tcBorders>
            <w:shd w:val="clear" w:color="auto" w:fill="auto"/>
            <w:noWrap/>
            <w:vAlign w:val="bottom"/>
            <w:hideMark/>
          </w:tcPr>
          <w:p w14:paraId="4C4D13F4" w14:textId="77777777" w:rsidR="00462106" w:rsidRPr="003D3CF9" w:rsidRDefault="00462106" w:rsidP="00B123BA">
            <w:pPr>
              <w:jc w:val="right"/>
              <w:rPr>
                <w:b/>
                <w:bCs/>
                <w:color w:val="000000"/>
                <w:lang w:val="en-US"/>
              </w:rPr>
            </w:pPr>
            <w:r w:rsidRPr="003D3CF9">
              <w:rPr>
                <w:b/>
                <w:bCs/>
                <w:color w:val="000000"/>
                <w:lang w:val="en-US"/>
              </w:rPr>
              <w:t>&lt;0.001</w:t>
            </w:r>
          </w:p>
        </w:tc>
        <w:tc>
          <w:tcPr>
            <w:tcW w:w="1229" w:type="dxa"/>
            <w:tcBorders>
              <w:top w:val="nil"/>
              <w:left w:val="nil"/>
              <w:bottom w:val="nil"/>
              <w:right w:val="nil"/>
            </w:tcBorders>
            <w:shd w:val="clear" w:color="auto" w:fill="auto"/>
            <w:noWrap/>
            <w:vAlign w:val="bottom"/>
            <w:hideMark/>
          </w:tcPr>
          <w:p w14:paraId="440364E3" w14:textId="77777777" w:rsidR="00462106" w:rsidRPr="003D3CF9" w:rsidRDefault="00462106" w:rsidP="00B123BA">
            <w:pPr>
              <w:jc w:val="right"/>
              <w:rPr>
                <w:color w:val="000000"/>
                <w:lang w:val="en-US"/>
              </w:rPr>
            </w:pPr>
            <w:r w:rsidRPr="003D3CF9">
              <w:rPr>
                <w:color w:val="000000"/>
                <w:lang w:val="en-US"/>
              </w:rPr>
              <w:t>0.25</w:t>
            </w:r>
          </w:p>
        </w:tc>
      </w:tr>
      <w:tr w:rsidR="00C907B2" w:rsidRPr="003D3CF9" w14:paraId="5A674408"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72997721" w14:textId="77777777" w:rsidR="00462106" w:rsidRPr="003D3CF9" w:rsidRDefault="00462106" w:rsidP="00B123BA">
            <w:pPr>
              <w:rPr>
                <w:color w:val="000000"/>
                <w:lang w:val="en-US"/>
              </w:rPr>
            </w:pPr>
            <w:r w:rsidRPr="003D3CF9">
              <w:rPr>
                <w:color w:val="000000"/>
                <w:lang w:val="en-US"/>
              </w:rPr>
              <w:t>ΔRTc, ms</w:t>
            </w:r>
          </w:p>
        </w:tc>
        <w:tc>
          <w:tcPr>
            <w:tcW w:w="2023" w:type="dxa"/>
            <w:tcBorders>
              <w:top w:val="nil"/>
              <w:left w:val="nil"/>
              <w:bottom w:val="nil"/>
              <w:right w:val="nil"/>
            </w:tcBorders>
            <w:shd w:val="clear" w:color="auto" w:fill="auto"/>
            <w:noWrap/>
            <w:vAlign w:val="bottom"/>
            <w:hideMark/>
          </w:tcPr>
          <w:p w14:paraId="047C0F86" w14:textId="77777777" w:rsidR="00462106" w:rsidRPr="003D3CF9" w:rsidRDefault="00462106" w:rsidP="00B123BA">
            <w:pPr>
              <w:rPr>
                <w:color w:val="000000"/>
                <w:lang w:val="en-US"/>
              </w:rPr>
            </w:pPr>
            <w:r w:rsidRPr="003D3CF9">
              <w:rPr>
                <w:color w:val="000000"/>
                <w:lang w:val="en-US"/>
              </w:rPr>
              <w:t>159(145-184)</w:t>
            </w:r>
          </w:p>
        </w:tc>
        <w:tc>
          <w:tcPr>
            <w:tcW w:w="2182" w:type="dxa"/>
            <w:tcBorders>
              <w:top w:val="nil"/>
              <w:left w:val="nil"/>
              <w:bottom w:val="nil"/>
              <w:right w:val="nil"/>
            </w:tcBorders>
            <w:shd w:val="clear" w:color="auto" w:fill="auto"/>
            <w:noWrap/>
            <w:vAlign w:val="bottom"/>
            <w:hideMark/>
          </w:tcPr>
          <w:p w14:paraId="266C35C3" w14:textId="77777777" w:rsidR="00462106" w:rsidRPr="003D3CF9" w:rsidRDefault="00462106" w:rsidP="00B123BA">
            <w:pPr>
              <w:rPr>
                <w:color w:val="000000"/>
                <w:lang w:val="en-US"/>
              </w:rPr>
            </w:pPr>
            <w:r w:rsidRPr="003D3CF9">
              <w:rPr>
                <w:color w:val="000000"/>
                <w:lang w:val="en-US"/>
              </w:rPr>
              <w:t>171(157-194)</w:t>
            </w:r>
          </w:p>
        </w:tc>
        <w:tc>
          <w:tcPr>
            <w:tcW w:w="2243" w:type="dxa"/>
            <w:tcBorders>
              <w:top w:val="nil"/>
              <w:left w:val="nil"/>
              <w:bottom w:val="nil"/>
              <w:right w:val="single" w:sz="4" w:space="0" w:color="auto"/>
            </w:tcBorders>
            <w:shd w:val="clear" w:color="auto" w:fill="auto"/>
            <w:noWrap/>
            <w:vAlign w:val="bottom"/>
            <w:hideMark/>
          </w:tcPr>
          <w:p w14:paraId="20574884" w14:textId="77777777" w:rsidR="00462106" w:rsidRPr="003D3CF9" w:rsidRDefault="00462106" w:rsidP="00B123BA">
            <w:pPr>
              <w:rPr>
                <w:color w:val="000000"/>
                <w:lang w:val="en-US"/>
              </w:rPr>
            </w:pPr>
            <w:r w:rsidRPr="003D3CF9">
              <w:rPr>
                <w:color w:val="000000"/>
                <w:lang w:val="en-US"/>
              </w:rPr>
              <w:t>171(163-180)</w:t>
            </w:r>
          </w:p>
        </w:tc>
        <w:tc>
          <w:tcPr>
            <w:tcW w:w="1096" w:type="dxa"/>
            <w:tcBorders>
              <w:top w:val="nil"/>
              <w:left w:val="nil"/>
              <w:bottom w:val="nil"/>
              <w:right w:val="nil"/>
            </w:tcBorders>
            <w:shd w:val="clear" w:color="auto" w:fill="auto"/>
            <w:noWrap/>
            <w:vAlign w:val="bottom"/>
            <w:hideMark/>
          </w:tcPr>
          <w:p w14:paraId="4F85BF27" w14:textId="77777777" w:rsidR="00462106" w:rsidRPr="003D3CF9" w:rsidRDefault="00462106" w:rsidP="00B123BA">
            <w:pPr>
              <w:jc w:val="right"/>
              <w:rPr>
                <w:color w:val="000000"/>
                <w:lang w:val="en-US"/>
              </w:rPr>
            </w:pPr>
            <w:r w:rsidRPr="003D3CF9">
              <w:rPr>
                <w:color w:val="000000"/>
                <w:lang w:val="en-US"/>
              </w:rPr>
              <w:t>0.21</w:t>
            </w:r>
          </w:p>
        </w:tc>
        <w:tc>
          <w:tcPr>
            <w:tcW w:w="1229" w:type="dxa"/>
            <w:tcBorders>
              <w:top w:val="nil"/>
              <w:left w:val="nil"/>
              <w:bottom w:val="nil"/>
              <w:right w:val="nil"/>
            </w:tcBorders>
            <w:shd w:val="clear" w:color="auto" w:fill="auto"/>
            <w:noWrap/>
            <w:vAlign w:val="bottom"/>
            <w:hideMark/>
          </w:tcPr>
          <w:p w14:paraId="590314C8" w14:textId="77777777" w:rsidR="00462106" w:rsidRPr="003D3CF9" w:rsidRDefault="00462106" w:rsidP="00B123BA">
            <w:pPr>
              <w:jc w:val="right"/>
              <w:rPr>
                <w:color w:val="000000"/>
                <w:lang w:val="en-US"/>
              </w:rPr>
            </w:pPr>
          </w:p>
        </w:tc>
        <w:tc>
          <w:tcPr>
            <w:tcW w:w="1199" w:type="dxa"/>
            <w:tcBorders>
              <w:top w:val="nil"/>
              <w:left w:val="nil"/>
              <w:bottom w:val="nil"/>
              <w:right w:val="nil"/>
            </w:tcBorders>
            <w:shd w:val="clear" w:color="auto" w:fill="auto"/>
            <w:noWrap/>
            <w:vAlign w:val="bottom"/>
            <w:hideMark/>
          </w:tcPr>
          <w:p w14:paraId="66411FC9" w14:textId="77777777" w:rsidR="00462106" w:rsidRPr="003D3CF9" w:rsidRDefault="00462106" w:rsidP="00B123BA">
            <w:pPr>
              <w:rPr>
                <w:lang w:val="en-US"/>
              </w:rPr>
            </w:pPr>
          </w:p>
        </w:tc>
        <w:tc>
          <w:tcPr>
            <w:tcW w:w="1229" w:type="dxa"/>
            <w:tcBorders>
              <w:top w:val="nil"/>
              <w:left w:val="nil"/>
              <w:bottom w:val="nil"/>
              <w:right w:val="nil"/>
            </w:tcBorders>
            <w:shd w:val="clear" w:color="auto" w:fill="auto"/>
            <w:noWrap/>
            <w:vAlign w:val="bottom"/>
            <w:hideMark/>
          </w:tcPr>
          <w:p w14:paraId="6B6D47C5" w14:textId="77777777" w:rsidR="00462106" w:rsidRPr="003D3CF9" w:rsidRDefault="00462106" w:rsidP="00B123BA">
            <w:pPr>
              <w:jc w:val="right"/>
              <w:rPr>
                <w:lang w:val="en-US"/>
              </w:rPr>
            </w:pPr>
          </w:p>
        </w:tc>
      </w:tr>
      <w:tr w:rsidR="00C907B2" w:rsidRPr="003D3CF9" w14:paraId="248A1CC1"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46A9BD4C" w14:textId="77777777" w:rsidR="00462106" w:rsidRPr="003D3CF9" w:rsidRDefault="00462106" w:rsidP="00B123BA">
            <w:pPr>
              <w:rPr>
                <w:color w:val="000000"/>
                <w:lang w:val="en-US"/>
              </w:rPr>
            </w:pPr>
            <w:r w:rsidRPr="003D3CF9">
              <w:rPr>
                <w:color w:val="000000"/>
                <w:lang w:val="en-US"/>
              </w:rPr>
              <w:t>Mean ARIc, ms</w:t>
            </w:r>
          </w:p>
        </w:tc>
        <w:tc>
          <w:tcPr>
            <w:tcW w:w="2023" w:type="dxa"/>
            <w:tcBorders>
              <w:top w:val="nil"/>
              <w:left w:val="nil"/>
              <w:bottom w:val="nil"/>
              <w:right w:val="nil"/>
            </w:tcBorders>
            <w:shd w:val="clear" w:color="auto" w:fill="auto"/>
            <w:noWrap/>
            <w:vAlign w:val="bottom"/>
            <w:hideMark/>
          </w:tcPr>
          <w:p w14:paraId="78CFF701" w14:textId="77777777" w:rsidR="00462106" w:rsidRPr="003D3CF9" w:rsidRDefault="00462106" w:rsidP="00B123BA">
            <w:pPr>
              <w:rPr>
                <w:color w:val="000000"/>
                <w:lang w:val="en-US"/>
              </w:rPr>
            </w:pPr>
            <w:r w:rsidRPr="003D3CF9">
              <w:rPr>
                <w:color w:val="000000"/>
                <w:lang w:val="en-US"/>
              </w:rPr>
              <w:t>183±31</w:t>
            </w:r>
          </w:p>
        </w:tc>
        <w:tc>
          <w:tcPr>
            <w:tcW w:w="2182" w:type="dxa"/>
            <w:tcBorders>
              <w:top w:val="nil"/>
              <w:left w:val="nil"/>
              <w:bottom w:val="nil"/>
              <w:right w:val="nil"/>
            </w:tcBorders>
            <w:shd w:val="clear" w:color="auto" w:fill="auto"/>
            <w:noWrap/>
            <w:vAlign w:val="bottom"/>
            <w:hideMark/>
          </w:tcPr>
          <w:p w14:paraId="5D43DEDE" w14:textId="77777777" w:rsidR="00462106" w:rsidRPr="003D3CF9" w:rsidRDefault="00462106" w:rsidP="00B123BA">
            <w:pPr>
              <w:rPr>
                <w:color w:val="000000"/>
                <w:lang w:val="en-US"/>
              </w:rPr>
            </w:pPr>
            <w:r w:rsidRPr="003D3CF9">
              <w:rPr>
                <w:color w:val="000000"/>
                <w:lang w:val="en-US"/>
              </w:rPr>
              <w:t>199±40</w:t>
            </w:r>
          </w:p>
        </w:tc>
        <w:tc>
          <w:tcPr>
            <w:tcW w:w="2243" w:type="dxa"/>
            <w:tcBorders>
              <w:top w:val="nil"/>
              <w:left w:val="nil"/>
              <w:bottom w:val="nil"/>
              <w:right w:val="single" w:sz="4" w:space="0" w:color="auto"/>
            </w:tcBorders>
            <w:shd w:val="clear" w:color="auto" w:fill="auto"/>
            <w:noWrap/>
            <w:vAlign w:val="bottom"/>
            <w:hideMark/>
          </w:tcPr>
          <w:p w14:paraId="0FC9CE15" w14:textId="77777777" w:rsidR="00462106" w:rsidRPr="003D3CF9" w:rsidRDefault="00462106" w:rsidP="00B123BA">
            <w:pPr>
              <w:rPr>
                <w:color w:val="000000"/>
                <w:lang w:val="en-US"/>
              </w:rPr>
            </w:pPr>
            <w:r w:rsidRPr="003D3CF9">
              <w:rPr>
                <w:color w:val="000000"/>
                <w:lang w:val="en-US"/>
              </w:rPr>
              <w:t>188±29</w:t>
            </w:r>
          </w:p>
        </w:tc>
        <w:tc>
          <w:tcPr>
            <w:tcW w:w="1096" w:type="dxa"/>
            <w:tcBorders>
              <w:top w:val="nil"/>
              <w:left w:val="nil"/>
              <w:bottom w:val="nil"/>
              <w:right w:val="nil"/>
            </w:tcBorders>
            <w:shd w:val="clear" w:color="auto" w:fill="auto"/>
            <w:noWrap/>
            <w:vAlign w:val="bottom"/>
            <w:hideMark/>
          </w:tcPr>
          <w:p w14:paraId="4BF3B087" w14:textId="77777777" w:rsidR="00462106" w:rsidRPr="003D3CF9" w:rsidRDefault="00462106" w:rsidP="00B123BA">
            <w:pPr>
              <w:jc w:val="right"/>
              <w:rPr>
                <w:b/>
                <w:bCs/>
                <w:color w:val="000000"/>
                <w:lang w:val="en-US"/>
              </w:rPr>
            </w:pPr>
            <w:r w:rsidRPr="003D3CF9">
              <w:rPr>
                <w:b/>
                <w:bCs/>
                <w:color w:val="000000"/>
                <w:lang w:val="en-US"/>
              </w:rPr>
              <w:t>0.013</w:t>
            </w:r>
          </w:p>
        </w:tc>
        <w:tc>
          <w:tcPr>
            <w:tcW w:w="1229" w:type="dxa"/>
            <w:tcBorders>
              <w:top w:val="nil"/>
              <w:left w:val="nil"/>
              <w:bottom w:val="nil"/>
              <w:right w:val="nil"/>
            </w:tcBorders>
            <w:shd w:val="clear" w:color="auto" w:fill="auto"/>
            <w:noWrap/>
            <w:vAlign w:val="bottom"/>
            <w:hideMark/>
          </w:tcPr>
          <w:p w14:paraId="5EC80E06" w14:textId="77777777" w:rsidR="00462106" w:rsidRPr="003D3CF9" w:rsidRDefault="00462106" w:rsidP="00B123BA">
            <w:pPr>
              <w:jc w:val="right"/>
              <w:rPr>
                <w:b/>
                <w:bCs/>
                <w:color w:val="000000"/>
                <w:lang w:val="en-US"/>
              </w:rPr>
            </w:pPr>
            <w:r w:rsidRPr="003D3CF9">
              <w:rPr>
                <w:b/>
                <w:bCs/>
                <w:color w:val="000000"/>
                <w:lang w:val="en-US"/>
              </w:rPr>
              <w:t>0.019</w:t>
            </w:r>
          </w:p>
        </w:tc>
        <w:tc>
          <w:tcPr>
            <w:tcW w:w="1199" w:type="dxa"/>
            <w:tcBorders>
              <w:top w:val="nil"/>
              <w:left w:val="nil"/>
              <w:bottom w:val="nil"/>
              <w:right w:val="nil"/>
            </w:tcBorders>
            <w:shd w:val="clear" w:color="auto" w:fill="auto"/>
            <w:noWrap/>
            <w:vAlign w:val="bottom"/>
            <w:hideMark/>
          </w:tcPr>
          <w:p w14:paraId="3BCED3FF" w14:textId="77777777" w:rsidR="00462106" w:rsidRPr="003D3CF9" w:rsidRDefault="00462106" w:rsidP="00B123BA">
            <w:pPr>
              <w:jc w:val="right"/>
              <w:rPr>
                <w:b/>
                <w:bCs/>
                <w:color w:val="000000"/>
                <w:lang w:val="en-US"/>
              </w:rPr>
            </w:pPr>
            <w:r w:rsidRPr="003D3CF9">
              <w:rPr>
                <w:b/>
                <w:bCs/>
                <w:color w:val="000000"/>
                <w:lang w:val="en-US"/>
              </w:rPr>
              <w:t>0.014</w:t>
            </w:r>
          </w:p>
        </w:tc>
        <w:tc>
          <w:tcPr>
            <w:tcW w:w="1229" w:type="dxa"/>
            <w:tcBorders>
              <w:top w:val="nil"/>
              <w:left w:val="nil"/>
              <w:bottom w:val="nil"/>
              <w:right w:val="nil"/>
            </w:tcBorders>
            <w:shd w:val="clear" w:color="auto" w:fill="auto"/>
            <w:noWrap/>
            <w:vAlign w:val="bottom"/>
            <w:hideMark/>
          </w:tcPr>
          <w:p w14:paraId="08A7B2FC" w14:textId="77777777" w:rsidR="00462106" w:rsidRPr="003D3CF9" w:rsidRDefault="00462106" w:rsidP="00B123BA">
            <w:pPr>
              <w:jc w:val="right"/>
              <w:rPr>
                <w:color w:val="000000"/>
                <w:lang w:val="en-US"/>
              </w:rPr>
            </w:pPr>
            <w:r w:rsidRPr="003D3CF9">
              <w:rPr>
                <w:color w:val="000000"/>
                <w:lang w:val="en-US"/>
              </w:rPr>
              <w:t>0.57</w:t>
            </w:r>
          </w:p>
        </w:tc>
      </w:tr>
      <w:tr w:rsidR="00C907B2" w:rsidRPr="003D3CF9" w14:paraId="12FD88F9"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617DDC39" w14:textId="77777777" w:rsidR="00462106" w:rsidRPr="003D3CF9" w:rsidRDefault="00462106" w:rsidP="00B123BA">
            <w:pPr>
              <w:rPr>
                <w:color w:val="000000"/>
                <w:lang w:val="en-US"/>
              </w:rPr>
            </w:pPr>
            <w:r w:rsidRPr="003D3CF9">
              <w:rPr>
                <w:color w:val="000000"/>
                <w:lang w:val="en-US"/>
              </w:rPr>
              <w:t>ΔARIc, ms</w:t>
            </w:r>
          </w:p>
        </w:tc>
        <w:tc>
          <w:tcPr>
            <w:tcW w:w="2023" w:type="dxa"/>
            <w:tcBorders>
              <w:top w:val="nil"/>
              <w:left w:val="nil"/>
              <w:bottom w:val="nil"/>
              <w:right w:val="nil"/>
            </w:tcBorders>
            <w:shd w:val="clear" w:color="auto" w:fill="auto"/>
            <w:noWrap/>
            <w:vAlign w:val="bottom"/>
            <w:hideMark/>
          </w:tcPr>
          <w:p w14:paraId="347654D1" w14:textId="77777777" w:rsidR="00462106" w:rsidRPr="003D3CF9" w:rsidRDefault="00462106" w:rsidP="00B123BA">
            <w:pPr>
              <w:rPr>
                <w:color w:val="000000"/>
                <w:lang w:val="en-US"/>
              </w:rPr>
            </w:pPr>
            <w:r w:rsidRPr="003D3CF9">
              <w:rPr>
                <w:color w:val="000000"/>
                <w:lang w:val="en-US"/>
              </w:rPr>
              <w:t>183(158-202)</w:t>
            </w:r>
          </w:p>
        </w:tc>
        <w:tc>
          <w:tcPr>
            <w:tcW w:w="2182" w:type="dxa"/>
            <w:tcBorders>
              <w:top w:val="nil"/>
              <w:left w:val="nil"/>
              <w:bottom w:val="nil"/>
              <w:right w:val="nil"/>
            </w:tcBorders>
            <w:shd w:val="clear" w:color="auto" w:fill="auto"/>
            <w:noWrap/>
            <w:vAlign w:val="bottom"/>
            <w:hideMark/>
          </w:tcPr>
          <w:p w14:paraId="3AA0B529" w14:textId="77777777" w:rsidR="00462106" w:rsidRPr="003D3CF9" w:rsidRDefault="00462106" w:rsidP="00B123BA">
            <w:pPr>
              <w:rPr>
                <w:color w:val="000000"/>
                <w:lang w:val="en-US"/>
              </w:rPr>
            </w:pPr>
            <w:r w:rsidRPr="003D3CF9">
              <w:rPr>
                <w:color w:val="000000"/>
                <w:lang w:val="en-US"/>
              </w:rPr>
              <w:t>197(173-225)</w:t>
            </w:r>
          </w:p>
        </w:tc>
        <w:tc>
          <w:tcPr>
            <w:tcW w:w="2243" w:type="dxa"/>
            <w:tcBorders>
              <w:top w:val="nil"/>
              <w:left w:val="nil"/>
              <w:bottom w:val="nil"/>
              <w:right w:val="single" w:sz="4" w:space="0" w:color="auto"/>
            </w:tcBorders>
            <w:shd w:val="clear" w:color="auto" w:fill="auto"/>
            <w:noWrap/>
            <w:vAlign w:val="bottom"/>
            <w:hideMark/>
          </w:tcPr>
          <w:p w14:paraId="4252BA90" w14:textId="77777777" w:rsidR="00462106" w:rsidRPr="003D3CF9" w:rsidRDefault="00462106" w:rsidP="00B123BA">
            <w:pPr>
              <w:rPr>
                <w:color w:val="000000"/>
                <w:lang w:val="en-US"/>
              </w:rPr>
            </w:pPr>
            <w:r w:rsidRPr="003D3CF9">
              <w:rPr>
                <w:color w:val="000000"/>
                <w:lang w:val="en-US"/>
              </w:rPr>
              <w:t>188(162-211)</w:t>
            </w:r>
          </w:p>
        </w:tc>
        <w:tc>
          <w:tcPr>
            <w:tcW w:w="1096" w:type="dxa"/>
            <w:tcBorders>
              <w:top w:val="nil"/>
              <w:left w:val="nil"/>
              <w:bottom w:val="nil"/>
              <w:right w:val="nil"/>
            </w:tcBorders>
            <w:shd w:val="clear" w:color="auto" w:fill="auto"/>
            <w:noWrap/>
            <w:vAlign w:val="bottom"/>
            <w:hideMark/>
          </w:tcPr>
          <w:p w14:paraId="7ACC09E4" w14:textId="77777777" w:rsidR="00462106" w:rsidRPr="003D3CF9" w:rsidRDefault="00462106" w:rsidP="00B123BA">
            <w:pPr>
              <w:jc w:val="right"/>
              <w:rPr>
                <w:color w:val="000000"/>
                <w:lang w:val="en-US"/>
              </w:rPr>
            </w:pPr>
            <w:r w:rsidRPr="003D3CF9">
              <w:rPr>
                <w:color w:val="000000"/>
                <w:lang w:val="en-US"/>
              </w:rPr>
              <w:t>0.093</w:t>
            </w:r>
          </w:p>
        </w:tc>
        <w:tc>
          <w:tcPr>
            <w:tcW w:w="1229" w:type="dxa"/>
            <w:tcBorders>
              <w:top w:val="nil"/>
              <w:left w:val="nil"/>
              <w:bottom w:val="nil"/>
              <w:right w:val="nil"/>
            </w:tcBorders>
            <w:shd w:val="clear" w:color="auto" w:fill="auto"/>
            <w:noWrap/>
            <w:vAlign w:val="bottom"/>
            <w:hideMark/>
          </w:tcPr>
          <w:p w14:paraId="00A45908" w14:textId="77777777" w:rsidR="00462106" w:rsidRPr="003D3CF9" w:rsidRDefault="00462106" w:rsidP="00B123BA">
            <w:pPr>
              <w:jc w:val="right"/>
              <w:rPr>
                <w:color w:val="000000"/>
                <w:lang w:val="en-US"/>
              </w:rPr>
            </w:pPr>
          </w:p>
        </w:tc>
        <w:tc>
          <w:tcPr>
            <w:tcW w:w="1199" w:type="dxa"/>
            <w:tcBorders>
              <w:top w:val="nil"/>
              <w:left w:val="nil"/>
              <w:bottom w:val="nil"/>
              <w:right w:val="nil"/>
            </w:tcBorders>
            <w:shd w:val="clear" w:color="auto" w:fill="auto"/>
            <w:noWrap/>
            <w:vAlign w:val="bottom"/>
            <w:hideMark/>
          </w:tcPr>
          <w:p w14:paraId="3BF83C48" w14:textId="77777777" w:rsidR="00462106" w:rsidRPr="003D3CF9" w:rsidRDefault="00462106" w:rsidP="00B123BA">
            <w:pPr>
              <w:rPr>
                <w:lang w:val="en-US"/>
              </w:rPr>
            </w:pPr>
          </w:p>
        </w:tc>
        <w:tc>
          <w:tcPr>
            <w:tcW w:w="1229" w:type="dxa"/>
            <w:tcBorders>
              <w:top w:val="nil"/>
              <w:left w:val="nil"/>
              <w:bottom w:val="nil"/>
              <w:right w:val="nil"/>
            </w:tcBorders>
            <w:shd w:val="clear" w:color="auto" w:fill="auto"/>
            <w:noWrap/>
            <w:vAlign w:val="bottom"/>
            <w:hideMark/>
          </w:tcPr>
          <w:p w14:paraId="3D2D6EB9" w14:textId="77777777" w:rsidR="00462106" w:rsidRPr="003D3CF9" w:rsidRDefault="00462106" w:rsidP="00B123BA">
            <w:pPr>
              <w:rPr>
                <w:lang w:val="en-US"/>
              </w:rPr>
            </w:pPr>
          </w:p>
        </w:tc>
      </w:tr>
      <w:tr w:rsidR="00C907B2" w:rsidRPr="003D3CF9" w14:paraId="7A57D5F7"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237C832A" w14:textId="77777777" w:rsidR="00462106" w:rsidRPr="003D3CF9" w:rsidRDefault="00462106" w:rsidP="00B123BA">
            <w:pPr>
              <w:rPr>
                <w:color w:val="000000"/>
                <w:lang w:val="en-US"/>
              </w:rPr>
            </w:pPr>
            <w:r w:rsidRPr="003D3CF9">
              <w:rPr>
                <w:color w:val="000000"/>
                <w:lang w:val="en-US"/>
              </w:rPr>
              <w:t>mean G</w:t>
            </w:r>
            <w:r w:rsidRPr="003D3CF9">
              <w:rPr>
                <w:color w:val="000000"/>
                <w:vertAlign w:val="subscript"/>
                <w:lang w:val="en-US"/>
              </w:rPr>
              <w:t>AT</w:t>
            </w:r>
            <w:r w:rsidRPr="003D3CF9">
              <w:rPr>
                <w:color w:val="000000"/>
                <w:lang w:val="en-US"/>
              </w:rPr>
              <w:t>, ms/mm</w:t>
            </w:r>
          </w:p>
        </w:tc>
        <w:tc>
          <w:tcPr>
            <w:tcW w:w="2023" w:type="dxa"/>
            <w:tcBorders>
              <w:top w:val="nil"/>
              <w:left w:val="nil"/>
              <w:bottom w:val="nil"/>
              <w:right w:val="nil"/>
            </w:tcBorders>
            <w:shd w:val="clear" w:color="auto" w:fill="auto"/>
            <w:noWrap/>
            <w:vAlign w:val="bottom"/>
            <w:hideMark/>
          </w:tcPr>
          <w:p w14:paraId="7AC09967" w14:textId="77777777" w:rsidR="00462106" w:rsidRPr="003D3CF9" w:rsidRDefault="00462106" w:rsidP="00B123BA">
            <w:pPr>
              <w:rPr>
                <w:color w:val="000000"/>
                <w:lang w:val="en-US"/>
              </w:rPr>
            </w:pPr>
            <w:r w:rsidRPr="003D3CF9">
              <w:rPr>
                <w:color w:val="000000"/>
                <w:lang w:val="en-US"/>
              </w:rPr>
              <w:t>0.40(0.30-0.49)</w:t>
            </w:r>
          </w:p>
        </w:tc>
        <w:tc>
          <w:tcPr>
            <w:tcW w:w="2182" w:type="dxa"/>
            <w:tcBorders>
              <w:top w:val="nil"/>
              <w:left w:val="nil"/>
              <w:bottom w:val="nil"/>
              <w:right w:val="nil"/>
            </w:tcBorders>
            <w:shd w:val="clear" w:color="auto" w:fill="auto"/>
            <w:noWrap/>
            <w:vAlign w:val="bottom"/>
            <w:hideMark/>
          </w:tcPr>
          <w:p w14:paraId="49C9F8A2" w14:textId="77777777" w:rsidR="00462106" w:rsidRPr="003D3CF9" w:rsidRDefault="00462106" w:rsidP="00B123BA">
            <w:pPr>
              <w:rPr>
                <w:color w:val="000000"/>
                <w:lang w:val="en-US"/>
              </w:rPr>
            </w:pPr>
            <w:r w:rsidRPr="003D3CF9">
              <w:rPr>
                <w:color w:val="000000"/>
                <w:lang w:val="en-US"/>
              </w:rPr>
              <w:t>0.42(0.35-0.53)</w:t>
            </w:r>
          </w:p>
        </w:tc>
        <w:tc>
          <w:tcPr>
            <w:tcW w:w="2243" w:type="dxa"/>
            <w:tcBorders>
              <w:top w:val="nil"/>
              <w:left w:val="nil"/>
              <w:bottom w:val="nil"/>
              <w:right w:val="single" w:sz="4" w:space="0" w:color="auto"/>
            </w:tcBorders>
            <w:shd w:val="clear" w:color="auto" w:fill="auto"/>
            <w:noWrap/>
            <w:vAlign w:val="bottom"/>
            <w:hideMark/>
          </w:tcPr>
          <w:p w14:paraId="64542E33" w14:textId="77777777" w:rsidR="00462106" w:rsidRPr="003D3CF9" w:rsidRDefault="00462106" w:rsidP="00B123BA">
            <w:pPr>
              <w:rPr>
                <w:color w:val="000000"/>
                <w:lang w:val="en-US"/>
              </w:rPr>
            </w:pPr>
            <w:r w:rsidRPr="003D3CF9">
              <w:rPr>
                <w:color w:val="000000"/>
                <w:lang w:val="en-US"/>
              </w:rPr>
              <w:t>0.40(0.32-0.56)</w:t>
            </w:r>
          </w:p>
        </w:tc>
        <w:tc>
          <w:tcPr>
            <w:tcW w:w="1096" w:type="dxa"/>
            <w:tcBorders>
              <w:top w:val="nil"/>
              <w:left w:val="nil"/>
              <w:bottom w:val="nil"/>
              <w:right w:val="nil"/>
            </w:tcBorders>
            <w:shd w:val="clear" w:color="auto" w:fill="auto"/>
            <w:noWrap/>
            <w:vAlign w:val="bottom"/>
            <w:hideMark/>
          </w:tcPr>
          <w:p w14:paraId="0C7D4215" w14:textId="77777777" w:rsidR="00462106" w:rsidRPr="003D3CF9" w:rsidRDefault="00462106" w:rsidP="00B123BA">
            <w:pPr>
              <w:jc w:val="right"/>
              <w:rPr>
                <w:color w:val="000000"/>
                <w:lang w:val="en-US"/>
              </w:rPr>
            </w:pPr>
            <w:r w:rsidRPr="003D3CF9">
              <w:rPr>
                <w:color w:val="000000"/>
                <w:lang w:val="en-US"/>
              </w:rPr>
              <w:t>0.84</w:t>
            </w:r>
          </w:p>
        </w:tc>
        <w:tc>
          <w:tcPr>
            <w:tcW w:w="1229" w:type="dxa"/>
            <w:tcBorders>
              <w:top w:val="nil"/>
              <w:left w:val="nil"/>
              <w:bottom w:val="nil"/>
              <w:right w:val="nil"/>
            </w:tcBorders>
            <w:shd w:val="clear" w:color="auto" w:fill="auto"/>
            <w:noWrap/>
            <w:vAlign w:val="bottom"/>
            <w:hideMark/>
          </w:tcPr>
          <w:p w14:paraId="3C5CD427" w14:textId="77777777" w:rsidR="00462106" w:rsidRPr="003D3CF9" w:rsidRDefault="00462106" w:rsidP="00B123BA">
            <w:pPr>
              <w:jc w:val="right"/>
              <w:rPr>
                <w:color w:val="000000"/>
                <w:lang w:val="en-US"/>
              </w:rPr>
            </w:pPr>
          </w:p>
        </w:tc>
        <w:tc>
          <w:tcPr>
            <w:tcW w:w="1199" w:type="dxa"/>
            <w:tcBorders>
              <w:top w:val="nil"/>
              <w:left w:val="nil"/>
              <w:bottom w:val="nil"/>
              <w:right w:val="nil"/>
            </w:tcBorders>
            <w:shd w:val="clear" w:color="auto" w:fill="auto"/>
            <w:noWrap/>
            <w:vAlign w:val="bottom"/>
            <w:hideMark/>
          </w:tcPr>
          <w:p w14:paraId="5043C2AB" w14:textId="77777777" w:rsidR="00462106" w:rsidRPr="003D3CF9" w:rsidRDefault="00462106" w:rsidP="00B123BA">
            <w:pPr>
              <w:rPr>
                <w:lang w:val="en-US"/>
              </w:rPr>
            </w:pPr>
          </w:p>
        </w:tc>
        <w:tc>
          <w:tcPr>
            <w:tcW w:w="1229" w:type="dxa"/>
            <w:tcBorders>
              <w:top w:val="nil"/>
              <w:left w:val="nil"/>
              <w:bottom w:val="nil"/>
              <w:right w:val="nil"/>
            </w:tcBorders>
            <w:shd w:val="clear" w:color="auto" w:fill="auto"/>
            <w:noWrap/>
            <w:vAlign w:val="bottom"/>
            <w:hideMark/>
          </w:tcPr>
          <w:p w14:paraId="5290068B" w14:textId="77777777" w:rsidR="00462106" w:rsidRPr="003D3CF9" w:rsidRDefault="00462106" w:rsidP="00B123BA">
            <w:pPr>
              <w:rPr>
                <w:lang w:val="en-US"/>
              </w:rPr>
            </w:pPr>
          </w:p>
        </w:tc>
      </w:tr>
      <w:tr w:rsidR="00C907B2" w:rsidRPr="003D3CF9" w14:paraId="571EC32E"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16B84BE9" w14:textId="77777777" w:rsidR="00462106" w:rsidRPr="003D3CF9" w:rsidRDefault="00462106" w:rsidP="00B123BA">
            <w:pPr>
              <w:rPr>
                <w:color w:val="000000"/>
                <w:lang w:val="en-US"/>
              </w:rPr>
            </w:pPr>
            <w:r w:rsidRPr="003D3CF9">
              <w:rPr>
                <w:color w:val="000000"/>
                <w:lang w:val="en-US"/>
              </w:rPr>
              <w:t>max G</w:t>
            </w:r>
            <w:r w:rsidRPr="003D3CF9">
              <w:rPr>
                <w:color w:val="000000"/>
                <w:vertAlign w:val="subscript"/>
                <w:lang w:val="en-US"/>
              </w:rPr>
              <w:t>AT</w:t>
            </w:r>
            <w:r w:rsidRPr="003D3CF9">
              <w:rPr>
                <w:color w:val="000000"/>
                <w:lang w:val="en-US"/>
              </w:rPr>
              <w:t>, ms/mm</w:t>
            </w:r>
          </w:p>
        </w:tc>
        <w:tc>
          <w:tcPr>
            <w:tcW w:w="2023" w:type="dxa"/>
            <w:tcBorders>
              <w:top w:val="nil"/>
              <w:left w:val="nil"/>
              <w:bottom w:val="nil"/>
              <w:right w:val="nil"/>
            </w:tcBorders>
            <w:shd w:val="clear" w:color="auto" w:fill="auto"/>
            <w:noWrap/>
            <w:vAlign w:val="bottom"/>
            <w:hideMark/>
          </w:tcPr>
          <w:p w14:paraId="3744E1C4" w14:textId="77777777" w:rsidR="00462106" w:rsidRPr="003D3CF9" w:rsidRDefault="00462106" w:rsidP="00B123BA">
            <w:pPr>
              <w:rPr>
                <w:color w:val="000000"/>
                <w:lang w:val="en-US"/>
              </w:rPr>
            </w:pPr>
            <w:r w:rsidRPr="003D3CF9">
              <w:rPr>
                <w:color w:val="000000"/>
                <w:lang w:val="en-US"/>
              </w:rPr>
              <w:t>5.1(4.3-5.8)</w:t>
            </w:r>
          </w:p>
        </w:tc>
        <w:tc>
          <w:tcPr>
            <w:tcW w:w="2182" w:type="dxa"/>
            <w:tcBorders>
              <w:top w:val="nil"/>
              <w:left w:val="nil"/>
              <w:bottom w:val="nil"/>
              <w:right w:val="nil"/>
            </w:tcBorders>
            <w:shd w:val="clear" w:color="auto" w:fill="auto"/>
            <w:noWrap/>
            <w:vAlign w:val="bottom"/>
            <w:hideMark/>
          </w:tcPr>
          <w:p w14:paraId="6895F7EA" w14:textId="77777777" w:rsidR="00462106" w:rsidRPr="003D3CF9" w:rsidRDefault="00462106" w:rsidP="00B123BA">
            <w:pPr>
              <w:rPr>
                <w:color w:val="000000"/>
                <w:lang w:val="en-US"/>
              </w:rPr>
            </w:pPr>
            <w:r w:rsidRPr="003D3CF9">
              <w:rPr>
                <w:color w:val="000000"/>
                <w:lang w:val="en-US"/>
              </w:rPr>
              <w:t>5.0(4.3-6.0)</w:t>
            </w:r>
          </w:p>
        </w:tc>
        <w:tc>
          <w:tcPr>
            <w:tcW w:w="2243" w:type="dxa"/>
            <w:tcBorders>
              <w:top w:val="nil"/>
              <w:left w:val="nil"/>
              <w:bottom w:val="nil"/>
              <w:right w:val="single" w:sz="4" w:space="0" w:color="auto"/>
            </w:tcBorders>
            <w:shd w:val="clear" w:color="auto" w:fill="auto"/>
            <w:noWrap/>
            <w:vAlign w:val="bottom"/>
            <w:hideMark/>
          </w:tcPr>
          <w:p w14:paraId="5C54B26F" w14:textId="77777777" w:rsidR="00462106" w:rsidRPr="003D3CF9" w:rsidRDefault="00462106" w:rsidP="00B123BA">
            <w:pPr>
              <w:rPr>
                <w:color w:val="000000"/>
                <w:lang w:val="en-US"/>
              </w:rPr>
            </w:pPr>
            <w:r w:rsidRPr="003D3CF9">
              <w:rPr>
                <w:color w:val="000000"/>
                <w:lang w:val="en-US"/>
              </w:rPr>
              <w:t>5.0(4.2-6.4)</w:t>
            </w:r>
          </w:p>
        </w:tc>
        <w:tc>
          <w:tcPr>
            <w:tcW w:w="1096" w:type="dxa"/>
            <w:tcBorders>
              <w:top w:val="nil"/>
              <w:left w:val="nil"/>
              <w:bottom w:val="nil"/>
              <w:right w:val="nil"/>
            </w:tcBorders>
            <w:shd w:val="clear" w:color="auto" w:fill="auto"/>
            <w:noWrap/>
            <w:vAlign w:val="bottom"/>
            <w:hideMark/>
          </w:tcPr>
          <w:p w14:paraId="384E31C7" w14:textId="77777777" w:rsidR="00462106" w:rsidRPr="003D3CF9" w:rsidRDefault="00462106" w:rsidP="00B123BA">
            <w:pPr>
              <w:jc w:val="right"/>
              <w:rPr>
                <w:color w:val="000000"/>
                <w:lang w:val="en-US"/>
              </w:rPr>
            </w:pPr>
            <w:r w:rsidRPr="003D3CF9">
              <w:rPr>
                <w:color w:val="000000"/>
                <w:lang w:val="en-US"/>
              </w:rPr>
              <w:t>0.96</w:t>
            </w:r>
          </w:p>
        </w:tc>
        <w:tc>
          <w:tcPr>
            <w:tcW w:w="1229" w:type="dxa"/>
            <w:tcBorders>
              <w:top w:val="nil"/>
              <w:left w:val="nil"/>
              <w:bottom w:val="nil"/>
              <w:right w:val="nil"/>
            </w:tcBorders>
            <w:shd w:val="clear" w:color="auto" w:fill="auto"/>
            <w:noWrap/>
            <w:vAlign w:val="bottom"/>
            <w:hideMark/>
          </w:tcPr>
          <w:p w14:paraId="2AD876E3" w14:textId="77777777" w:rsidR="00462106" w:rsidRPr="003D3CF9" w:rsidRDefault="00462106" w:rsidP="00B123BA">
            <w:pPr>
              <w:jc w:val="right"/>
              <w:rPr>
                <w:color w:val="000000"/>
                <w:lang w:val="en-US"/>
              </w:rPr>
            </w:pPr>
          </w:p>
        </w:tc>
        <w:tc>
          <w:tcPr>
            <w:tcW w:w="1199" w:type="dxa"/>
            <w:tcBorders>
              <w:top w:val="nil"/>
              <w:left w:val="nil"/>
              <w:bottom w:val="nil"/>
              <w:right w:val="nil"/>
            </w:tcBorders>
            <w:shd w:val="clear" w:color="auto" w:fill="auto"/>
            <w:noWrap/>
            <w:vAlign w:val="bottom"/>
            <w:hideMark/>
          </w:tcPr>
          <w:p w14:paraId="4D55A2E7" w14:textId="77777777" w:rsidR="00462106" w:rsidRPr="003D3CF9" w:rsidRDefault="00462106" w:rsidP="00B123BA">
            <w:pPr>
              <w:rPr>
                <w:lang w:val="en-US"/>
              </w:rPr>
            </w:pPr>
          </w:p>
        </w:tc>
        <w:tc>
          <w:tcPr>
            <w:tcW w:w="1229" w:type="dxa"/>
            <w:tcBorders>
              <w:top w:val="nil"/>
              <w:left w:val="nil"/>
              <w:bottom w:val="nil"/>
              <w:right w:val="nil"/>
            </w:tcBorders>
            <w:shd w:val="clear" w:color="auto" w:fill="auto"/>
            <w:noWrap/>
            <w:vAlign w:val="bottom"/>
            <w:hideMark/>
          </w:tcPr>
          <w:p w14:paraId="695759D9" w14:textId="77777777" w:rsidR="00462106" w:rsidRPr="003D3CF9" w:rsidRDefault="00462106" w:rsidP="00B123BA">
            <w:pPr>
              <w:rPr>
                <w:lang w:val="en-US"/>
              </w:rPr>
            </w:pPr>
          </w:p>
        </w:tc>
      </w:tr>
      <w:tr w:rsidR="00C907B2" w:rsidRPr="003D3CF9" w14:paraId="7F4EC8F9"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5232A463" w14:textId="77777777" w:rsidR="00462106" w:rsidRPr="003D3CF9" w:rsidRDefault="00462106" w:rsidP="00B123BA">
            <w:pPr>
              <w:rPr>
                <w:color w:val="000000"/>
                <w:lang w:val="en-US"/>
              </w:rPr>
            </w:pPr>
            <w:r w:rsidRPr="003D3CF9">
              <w:rPr>
                <w:color w:val="000000"/>
                <w:lang w:val="en-US"/>
              </w:rPr>
              <w:t>mean G</w:t>
            </w:r>
            <w:r w:rsidRPr="003D3CF9">
              <w:rPr>
                <w:color w:val="000000"/>
                <w:vertAlign w:val="subscript"/>
                <w:lang w:val="en-US"/>
              </w:rPr>
              <w:t>RTc</w:t>
            </w:r>
            <w:r w:rsidRPr="003D3CF9">
              <w:rPr>
                <w:color w:val="000000"/>
                <w:lang w:val="en-US"/>
              </w:rPr>
              <w:t>, ms/mm</w:t>
            </w:r>
          </w:p>
        </w:tc>
        <w:tc>
          <w:tcPr>
            <w:tcW w:w="2023" w:type="dxa"/>
            <w:tcBorders>
              <w:top w:val="nil"/>
              <w:left w:val="nil"/>
              <w:bottom w:val="nil"/>
              <w:right w:val="nil"/>
            </w:tcBorders>
            <w:shd w:val="clear" w:color="auto" w:fill="auto"/>
            <w:noWrap/>
            <w:vAlign w:val="bottom"/>
            <w:hideMark/>
          </w:tcPr>
          <w:p w14:paraId="7BD93A49" w14:textId="77777777" w:rsidR="00462106" w:rsidRPr="003D3CF9" w:rsidRDefault="00462106" w:rsidP="00B123BA">
            <w:pPr>
              <w:rPr>
                <w:color w:val="000000"/>
                <w:lang w:val="en-US"/>
              </w:rPr>
            </w:pPr>
            <w:r w:rsidRPr="003D3CF9">
              <w:rPr>
                <w:color w:val="000000"/>
                <w:lang w:val="en-US"/>
              </w:rPr>
              <w:t>1.01(0.86-1.19)</w:t>
            </w:r>
          </w:p>
        </w:tc>
        <w:tc>
          <w:tcPr>
            <w:tcW w:w="2182" w:type="dxa"/>
            <w:tcBorders>
              <w:top w:val="nil"/>
              <w:left w:val="nil"/>
              <w:bottom w:val="nil"/>
              <w:right w:val="nil"/>
            </w:tcBorders>
            <w:shd w:val="clear" w:color="auto" w:fill="auto"/>
            <w:noWrap/>
            <w:vAlign w:val="bottom"/>
            <w:hideMark/>
          </w:tcPr>
          <w:p w14:paraId="579DF7EE" w14:textId="77777777" w:rsidR="00462106" w:rsidRPr="003D3CF9" w:rsidRDefault="00462106" w:rsidP="00B123BA">
            <w:pPr>
              <w:rPr>
                <w:color w:val="000000"/>
                <w:lang w:val="en-US"/>
              </w:rPr>
            </w:pPr>
            <w:r w:rsidRPr="003D3CF9">
              <w:rPr>
                <w:color w:val="000000"/>
                <w:lang w:val="en-US"/>
              </w:rPr>
              <w:t>1.08(0.77-1.25)</w:t>
            </w:r>
          </w:p>
        </w:tc>
        <w:tc>
          <w:tcPr>
            <w:tcW w:w="2243" w:type="dxa"/>
            <w:tcBorders>
              <w:top w:val="nil"/>
              <w:left w:val="nil"/>
              <w:bottom w:val="nil"/>
              <w:right w:val="single" w:sz="4" w:space="0" w:color="auto"/>
            </w:tcBorders>
            <w:shd w:val="clear" w:color="auto" w:fill="auto"/>
            <w:noWrap/>
            <w:vAlign w:val="bottom"/>
            <w:hideMark/>
          </w:tcPr>
          <w:p w14:paraId="623D5793" w14:textId="77777777" w:rsidR="00462106" w:rsidRPr="003D3CF9" w:rsidRDefault="00462106" w:rsidP="00B123BA">
            <w:pPr>
              <w:rPr>
                <w:color w:val="000000"/>
                <w:lang w:val="en-US"/>
              </w:rPr>
            </w:pPr>
            <w:r w:rsidRPr="003D3CF9">
              <w:rPr>
                <w:color w:val="000000"/>
                <w:lang w:val="en-US"/>
              </w:rPr>
              <w:t>1.01(0.82-1.24)</w:t>
            </w:r>
          </w:p>
        </w:tc>
        <w:tc>
          <w:tcPr>
            <w:tcW w:w="1096" w:type="dxa"/>
            <w:tcBorders>
              <w:top w:val="nil"/>
              <w:left w:val="nil"/>
              <w:bottom w:val="nil"/>
              <w:right w:val="nil"/>
            </w:tcBorders>
            <w:shd w:val="clear" w:color="auto" w:fill="auto"/>
            <w:noWrap/>
            <w:vAlign w:val="bottom"/>
            <w:hideMark/>
          </w:tcPr>
          <w:p w14:paraId="665594BE" w14:textId="77777777" w:rsidR="00462106" w:rsidRPr="003D3CF9" w:rsidRDefault="00462106" w:rsidP="00B123BA">
            <w:pPr>
              <w:jc w:val="right"/>
              <w:rPr>
                <w:color w:val="000000"/>
                <w:lang w:val="en-US"/>
              </w:rPr>
            </w:pPr>
            <w:r w:rsidRPr="003D3CF9">
              <w:rPr>
                <w:color w:val="000000"/>
                <w:lang w:val="en-US"/>
              </w:rPr>
              <w:t>0.89</w:t>
            </w:r>
          </w:p>
        </w:tc>
        <w:tc>
          <w:tcPr>
            <w:tcW w:w="1229" w:type="dxa"/>
            <w:tcBorders>
              <w:top w:val="nil"/>
              <w:left w:val="nil"/>
              <w:bottom w:val="nil"/>
              <w:right w:val="nil"/>
            </w:tcBorders>
            <w:shd w:val="clear" w:color="auto" w:fill="auto"/>
            <w:noWrap/>
            <w:vAlign w:val="bottom"/>
            <w:hideMark/>
          </w:tcPr>
          <w:p w14:paraId="7C381DE7" w14:textId="77777777" w:rsidR="00462106" w:rsidRPr="003D3CF9" w:rsidRDefault="00462106" w:rsidP="00B123BA">
            <w:pPr>
              <w:jc w:val="right"/>
              <w:rPr>
                <w:color w:val="000000"/>
                <w:lang w:val="en-US"/>
              </w:rPr>
            </w:pPr>
          </w:p>
        </w:tc>
        <w:tc>
          <w:tcPr>
            <w:tcW w:w="1199" w:type="dxa"/>
            <w:tcBorders>
              <w:top w:val="nil"/>
              <w:left w:val="nil"/>
              <w:bottom w:val="nil"/>
              <w:right w:val="nil"/>
            </w:tcBorders>
            <w:shd w:val="clear" w:color="auto" w:fill="auto"/>
            <w:noWrap/>
            <w:vAlign w:val="bottom"/>
            <w:hideMark/>
          </w:tcPr>
          <w:p w14:paraId="0FE021CE" w14:textId="77777777" w:rsidR="00462106" w:rsidRPr="003D3CF9" w:rsidRDefault="00462106" w:rsidP="00B123BA">
            <w:pPr>
              <w:rPr>
                <w:lang w:val="en-US"/>
              </w:rPr>
            </w:pPr>
          </w:p>
        </w:tc>
        <w:tc>
          <w:tcPr>
            <w:tcW w:w="1229" w:type="dxa"/>
            <w:tcBorders>
              <w:top w:val="nil"/>
              <w:left w:val="nil"/>
              <w:bottom w:val="nil"/>
              <w:right w:val="nil"/>
            </w:tcBorders>
            <w:shd w:val="clear" w:color="auto" w:fill="auto"/>
            <w:noWrap/>
            <w:vAlign w:val="bottom"/>
            <w:hideMark/>
          </w:tcPr>
          <w:p w14:paraId="247D8B1E" w14:textId="77777777" w:rsidR="00462106" w:rsidRPr="003D3CF9" w:rsidRDefault="00462106" w:rsidP="00B123BA">
            <w:pPr>
              <w:rPr>
                <w:lang w:val="en-US"/>
              </w:rPr>
            </w:pPr>
          </w:p>
        </w:tc>
      </w:tr>
      <w:tr w:rsidR="00C907B2" w:rsidRPr="003D3CF9" w14:paraId="0280373B" w14:textId="77777777" w:rsidTr="00C907B2">
        <w:trPr>
          <w:trHeight w:val="326"/>
        </w:trPr>
        <w:tc>
          <w:tcPr>
            <w:tcW w:w="2410" w:type="dxa"/>
            <w:tcBorders>
              <w:top w:val="nil"/>
              <w:left w:val="nil"/>
              <w:bottom w:val="nil"/>
              <w:right w:val="single" w:sz="4" w:space="0" w:color="auto"/>
            </w:tcBorders>
            <w:shd w:val="clear" w:color="auto" w:fill="auto"/>
            <w:noWrap/>
            <w:vAlign w:val="center"/>
            <w:hideMark/>
          </w:tcPr>
          <w:p w14:paraId="0C80F8D0" w14:textId="77777777" w:rsidR="00462106" w:rsidRPr="003D3CF9" w:rsidRDefault="00462106" w:rsidP="00B123BA">
            <w:pPr>
              <w:rPr>
                <w:color w:val="000000"/>
                <w:lang w:val="en-US"/>
              </w:rPr>
            </w:pPr>
            <w:r w:rsidRPr="003D3CF9">
              <w:rPr>
                <w:color w:val="000000"/>
                <w:lang w:val="en-US"/>
              </w:rPr>
              <w:t>max G</w:t>
            </w:r>
            <w:r w:rsidRPr="003D3CF9">
              <w:rPr>
                <w:color w:val="000000"/>
                <w:vertAlign w:val="subscript"/>
                <w:lang w:val="en-US"/>
              </w:rPr>
              <w:t>RTc</w:t>
            </w:r>
            <w:r w:rsidRPr="003D3CF9">
              <w:rPr>
                <w:color w:val="000000"/>
                <w:lang w:val="en-US"/>
              </w:rPr>
              <w:t>, ms/mm</w:t>
            </w:r>
          </w:p>
        </w:tc>
        <w:tc>
          <w:tcPr>
            <w:tcW w:w="2023" w:type="dxa"/>
            <w:tcBorders>
              <w:top w:val="nil"/>
              <w:left w:val="nil"/>
              <w:bottom w:val="nil"/>
              <w:right w:val="nil"/>
            </w:tcBorders>
            <w:shd w:val="clear" w:color="auto" w:fill="auto"/>
            <w:noWrap/>
            <w:vAlign w:val="bottom"/>
            <w:hideMark/>
          </w:tcPr>
          <w:p w14:paraId="4AD5FCE2" w14:textId="77777777" w:rsidR="00462106" w:rsidRPr="003D3CF9" w:rsidRDefault="00462106" w:rsidP="00B123BA">
            <w:pPr>
              <w:rPr>
                <w:color w:val="000000"/>
                <w:lang w:val="en-US"/>
              </w:rPr>
            </w:pPr>
            <w:r w:rsidRPr="003D3CF9">
              <w:rPr>
                <w:color w:val="000000"/>
                <w:lang w:val="en-US"/>
              </w:rPr>
              <w:t>10.9(9.3-13.3)</w:t>
            </w:r>
          </w:p>
        </w:tc>
        <w:tc>
          <w:tcPr>
            <w:tcW w:w="2182" w:type="dxa"/>
            <w:tcBorders>
              <w:top w:val="nil"/>
              <w:left w:val="nil"/>
              <w:bottom w:val="nil"/>
              <w:right w:val="nil"/>
            </w:tcBorders>
            <w:shd w:val="clear" w:color="auto" w:fill="auto"/>
            <w:noWrap/>
            <w:vAlign w:val="bottom"/>
            <w:hideMark/>
          </w:tcPr>
          <w:p w14:paraId="0E534238" w14:textId="77777777" w:rsidR="00462106" w:rsidRPr="003D3CF9" w:rsidRDefault="00462106" w:rsidP="00B123BA">
            <w:pPr>
              <w:rPr>
                <w:color w:val="000000"/>
                <w:lang w:val="en-US"/>
              </w:rPr>
            </w:pPr>
            <w:r w:rsidRPr="003D3CF9">
              <w:rPr>
                <w:color w:val="000000"/>
                <w:lang w:val="en-US"/>
              </w:rPr>
              <w:t>11.5(9.6-13.5)</w:t>
            </w:r>
          </w:p>
        </w:tc>
        <w:tc>
          <w:tcPr>
            <w:tcW w:w="2243" w:type="dxa"/>
            <w:tcBorders>
              <w:top w:val="nil"/>
              <w:left w:val="nil"/>
              <w:bottom w:val="nil"/>
              <w:right w:val="single" w:sz="4" w:space="0" w:color="auto"/>
            </w:tcBorders>
            <w:shd w:val="clear" w:color="auto" w:fill="auto"/>
            <w:noWrap/>
            <w:vAlign w:val="bottom"/>
            <w:hideMark/>
          </w:tcPr>
          <w:p w14:paraId="2B202933" w14:textId="77777777" w:rsidR="00462106" w:rsidRPr="003D3CF9" w:rsidRDefault="00462106" w:rsidP="00B123BA">
            <w:pPr>
              <w:rPr>
                <w:color w:val="000000"/>
                <w:lang w:val="en-US"/>
              </w:rPr>
            </w:pPr>
            <w:r w:rsidRPr="003D3CF9">
              <w:rPr>
                <w:color w:val="000000"/>
                <w:lang w:val="en-US"/>
              </w:rPr>
              <w:t>11.2(9.5-13.0)</w:t>
            </w:r>
          </w:p>
        </w:tc>
        <w:tc>
          <w:tcPr>
            <w:tcW w:w="1096" w:type="dxa"/>
            <w:tcBorders>
              <w:top w:val="nil"/>
              <w:left w:val="nil"/>
              <w:bottom w:val="nil"/>
              <w:right w:val="nil"/>
            </w:tcBorders>
            <w:shd w:val="clear" w:color="auto" w:fill="auto"/>
            <w:noWrap/>
            <w:vAlign w:val="bottom"/>
            <w:hideMark/>
          </w:tcPr>
          <w:p w14:paraId="0BD94E9D" w14:textId="77777777" w:rsidR="00462106" w:rsidRPr="003D3CF9" w:rsidRDefault="00462106" w:rsidP="00B123BA">
            <w:pPr>
              <w:jc w:val="right"/>
              <w:rPr>
                <w:color w:val="000000"/>
                <w:lang w:val="en-US"/>
              </w:rPr>
            </w:pPr>
            <w:r w:rsidRPr="003D3CF9">
              <w:rPr>
                <w:color w:val="000000"/>
                <w:lang w:val="en-US"/>
              </w:rPr>
              <w:t>0.9</w:t>
            </w:r>
          </w:p>
        </w:tc>
        <w:tc>
          <w:tcPr>
            <w:tcW w:w="1229" w:type="dxa"/>
            <w:tcBorders>
              <w:top w:val="nil"/>
              <w:left w:val="nil"/>
              <w:bottom w:val="nil"/>
              <w:right w:val="nil"/>
            </w:tcBorders>
            <w:shd w:val="clear" w:color="auto" w:fill="auto"/>
            <w:noWrap/>
            <w:vAlign w:val="bottom"/>
            <w:hideMark/>
          </w:tcPr>
          <w:p w14:paraId="2AA9A2A5" w14:textId="77777777" w:rsidR="00462106" w:rsidRPr="003D3CF9" w:rsidRDefault="00462106" w:rsidP="00B123BA">
            <w:pPr>
              <w:jc w:val="right"/>
              <w:rPr>
                <w:color w:val="000000"/>
                <w:lang w:val="en-US"/>
              </w:rPr>
            </w:pPr>
          </w:p>
        </w:tc>
        <w:tc>
          <w:tcPr>
            <w:tcW w:w="1199" w:type="dxa"/>
            <w:tcBorders>
              <w:top w:val="nil"/>
              <w:left w:val="nil"/>
              <w:bottom w:val="nil"/>
              <w:right w:val="nil"/>
            </w:tcBorders>
            <w:shd w:val="clear" w:color="auto" w:fill="auto"/>
            <w:noWrap/>
            <w:vAlign w:val="bottom"/>
            <w:hideMark/>
          </w:tcPr>
          <w:p w14:paraId="48D163F7" w14:textId="77777777" w:rsidR="00462106" w:rsidRPr="003D3CF9" w:rsidRDefault="00462106" w:rsidP="00B123BA">
            <w:pPr>
              <w:rPr>
                <w:lang w:val="en-US"/>
              </w:rPr>
            </w:pPr>
          </w:p>
        </w:tc>
        <w:tc>
          <w:tcPr>
            <w:tcW w:w="1229" w:type="dxa"/>
            <w:tcBorders>
              <w:top w:val="nil"/>
              <w:left w:val="nil"/>
              <w:bottom w:val="nil"/>
              <w:right w:val="nil"/>
            </w:tcBorders>
            <w:shd w:val="clear" w:color="auto" w:fill="auto"/>
            <w:noWrap/>
            <w:vAlign w:val="bottom"/>
            <w:hideMark/>
          </w:tcPr>
          <w:p w14:paraId="23F4D446" w14:textId="77777777" w:rsidR="00462106" w:rsidRPr="003D3CF9" w:rsidRDefault="00462106" w:rsidP="00B123BA">
            <w:pPr>
              <w:rPr>
                <w:lang w:val="en-US"/>
              </w:rPr>
            </w:pPr>
          </w:p>
        </w:tc>
      </w:tr>
    </w:tbl>
    <w:p w14:paraId="0BD395F3" w14:textId="6C5B336B" w:rsidR="00462106" w:rsidRPr="003D3CF9" w:rsidRDefault="00462106" w:rsidP="00462106">
      <w:pPr>
        <w:rPr>
          <w:b/>
          <w:bCs/>
          <w:lang w:val="en-US"/>
        </w:rPr>
      </w:pPr>
      <w:r w:rsidRPr="003D3CF9">
        <w:rPr>
          <w:b/>
          <w:bCs/>
          <w:lang w:val="en-US"/>
        </w:rPr>
        <w:t>Supplementa</w:t>
      </w:r>
      <w:r w:rsidR="006C402C">
        <w:rPr>
          <w:b/>
          <w:bCs/>
          <w:lang w:val="en-US"/>
        </w:rPr>
        <w:t>l</w:t>
      </w:r>
      <w:r w:rsidRPr="003D3CF9">
        <w:rPr>
          <w:b/>
          <w:bCs/>
          <w:lang w:val="en-US"/>
        </w:rPr>
        <w:t xml:space="preserve"> Table 3 – </w:t>
      </w:r>
      <w:r w:rsidR="001A40D6" w:rsidRPr="003D3CF9">
        <w:rPr>
          <w:b/>
          <w:bCs/>
          <w:lang w:val="en-US"/>
        </w:rPr>
        <w:t>R</w:t>
      </w:r>
      <w:r w:rsidRPr="003D3CF9">
        <w:rPr>
          <w:b/>
          <w:bCs/>
          <w:lang w:val="en-US"/>
        </w:rPr>
        <w:t>elationship between LV morphology and ECGI parameters</w:t>
      </w:r>
      <w:r w:rsidR="001B075D" w:rsidRPr="003D3CF9">
        <w:rPr>
          <w:b/>
          <w:bCs/>
          <w:lang w:val="en-US"/>
        </w:rPr>
        <w:t>.</w:t>
      </w:r>
    </w:p>
    <w:p w14:paraId="4F2C31A4" w14:textId="77777777" w:rsidR="00462106" w:rsidRPr="003D3CF9" w:rsidRDefault="00462106" w:rsidP="00462106">
      <w:pPr>
        <w:rPr>
          <w:lang w:val="en-US"/>
        </w:rPr>
      </w:pPr>
    </w:p>
    <w:p w14:paraId="6D795169" w14:textId="77777777" w:rsidR="00462106" w:rsidRPr="003D3CF9" w:rsidRDefault="00462106" w:rsidP="00462106">
      <w:pPr>
        <w:jc w:val="both"/>
        <w:rPr>
          <w:color w:val="000000" w:themeColor="text1"/>
          <w:lang w:val="en-US"/>
        </w:rPr>
      </w:pPr>
      <w:r w:rsidRPr="003D3CF9">
        <w:rPr>
          <w:color w:val="000000" w:themeColor="text1"/>
          <w:lang w:val="en-US"/>
        </w:rPr>
        <w:t>Values are median(interquartile range) or mean±standard deviation.</w:t>
      </w:r>
    </w:p>
    <w:p w14:paraId="623508D4" w14:textId="130476D7" w:rsidR="00462106" w:rsidRPr="003D3CF9" w:rsidRDefault="00462106" w:rsidP="00462106">
      <w:pPr>
        <w:jc w:val="both"/>
        <w:rPr>
          <w:i/>
          <w:iCs/>
          <w:lang w:val="en-US"/>
        </w:rPr>
      </w:pPr>
      <w:r w:rsidRPr="003D3CF9">
        <w:rPr>
          <w:i/>
          <w:iCs/>
          <w:color w:val="000000" w:themeColor="text1"/>
          <w:lang w:val="en-US"/>
        </w:rPr>
        <w:t xml:space="preserve">Abbreviations as in </w:t>
      </w:r>
      <w:r w:rsidRPr="003D3CF9">
        <w:rPr>
          <w:b/>
          <w:bCs/>
          <w:i/>
          <w:iCs/>
          <w:color w:val="000000" w:themeColor="text1"/>
          <w:lang w:val="en-US"/>
        </w:rPr>
        <w:t>Supplementa</w:t>
      </w:r>
      <w:r w:rsidR="006C402C">
        <w:rPr>
          <w:b/>
          <w:bCs/>
          <w:i/>
          <w:iCs/>
          <w:color w:val="000000" w:themeColor="text1"/>
          <w:lang w:val="en-US"/>
        </w:rPr>
        <w:t>l</w:t>
      </w:r>
      <w:r w:rsidRPr="003D3CF9">
        <w:rPr>
          <w:b/>
          <w:bCs/>
          <w:i/>
          <w:iCs/>
          <w:color w:val="000000" w:themeColor="text1"/>
          <w:lang w:val="en-US"/>
        </w:rPr>
        <w:t xml:space="preserve"> Table 1</w:t>
      </w:r>
      <w:r w:rsidRPr="003D3CF9">
        <w:rPr>
          <w:i/>
          <w:iCs/>
          <w:color w:val="000000" w:themeColor="text1"/>
          <w:lang w:val="en-US"/>
        </w:rPr>
        <w:t>, Other is mixed ASH-apical LVH or concentric LVH</w:t>
      </w:r>
    </w:p>
    <w:p w14:paraId="54231413" w14:textId="4DEB269A" w:rsidR="00462106" w:rsidRPr="003D3CF9" w:rsidRDefault="00462106" w:rsidP="00462106">
      <w:pPr>
        <w:rPr>
          <w:b/>
          <w:bCs/>
          <w:lang w:val="en-US"/>
        </w:rPr>
      </w:pPr>
      <w:r w:rsidRPr="003D3CF9">
        <w:rPr>
          <w:b/>
          <w:bCs/>
          <w:lang w:val="en-US"/>
        </w:rPr>
        <w:br w:type="page"/>
      </w:r>
    </w:p>
    <w:p w14:paraId="4FA2D0BE" w14:textId="78D98831" w:rsidR="00E04AE1" w:rsidRPr="003D3CF9" w:rsidRDefault="00E04AE1" w:rsidP="005466D3">
      <w:pPr>
        <w:pStyle w:val="NormalWeb"/>
        <w:jc w:val="both"/>
        <w:rPr>
          <w:b/>
          <w:bCs/>
          <w:lang w:val="en-US"/>
        </w:rPr>
      </w:pPr>
      <w:r w:rsidRPr="003D3CF9">
        <w:rPr>
          <w:b/>
          <w:bCs/>
          <w:lang w:val="en-US"/>
        </w:rPr>
        <w:lastRenderedPageBreak/>
        <w:t>Supplementa</w:t>
      </w:r>
      <w:r w:rsidR="006C402C">
        <w:rPr>
          <w:b/>
          <w:bCs/>
          <w:lang w:val="en-US"/>
        </w:rPr>
        <w:t>l</w:t>
      </w:r>
      <w:r w:rsidRPr="003D3CF9">
        <w:rPr>
          <w:b/>
          <w:bCs/>
          <w:lang w:val="en-US"/>
        </w:rPr>
        <w:t xml:space="preserve"> Table 4 – Diagnostic cut-points for individual ECGI biomarkers</w:t>
      </w:r>
      <w:r w:rsidR="001B075D" w:rsidRPr="003D3CF9">
        <w:rPr>
          <w:b/>
          <w:bCs/>
          <w:lang w:val="en-US"/>
        </w:rPr>
        <w:t>.</w:t>
      </w:r>
    </w:p>
    <w:tbl>
      <w:tblPr>
        <w:tblW w:w="8125" w:type="dxa"/>
        <w:tblInd w:w="720" w:type="dxa"/>
        <w:tblLook w:val="0600" w:firstRow="0" w:lastRow="0" w:firstColumn="0" w:lastColumn="0" w:noHBand="1" w:noVBand="1"/>
      </w:tblPr>
      <w:tblGrid>
        <w:gridCol w:w="1589"/>
        <w:gridCol w:w="3468"/>
        <w:gridCol w:w="3068"/>
      </w:tblGrid>
      <w:tr w:rsidR="001A40D6" w:rsidRPr="003D3CF9" w14:paraId="3D499C68" w14:textId="77777777" w:rsidTr="00E04AE1">
        <w:trPr>
          <w:trHeight w:val="546"/>
        </w:trPr>
        <w:tc>
          <w:tcPr>
            <w:tcW w:w="1934" w:type="dxa"/>
            <w:tcBorders>
              <w:top w:val="nil"/>
              <w:left w:val="nil"/>
              <w:bottom w:val="single" w:sz="4" w:space="0" w:color="auto"/>
              <w:right w:val="single" w:sz="4" w:space="0" w:color="auto"/>
            </w:tcBorders>
            <w:shd w:val="clear" w:color="auto" w:fill="auto"/>
            <w:vAlign w:val="center"/>
            <w:hideMark/>
          </w:tcPr>
          <w:p w14:paraId="342ED9F2" w14:textId="77777777" w:rsidR="00E04AE1" w:rsidRPr="003D3CF9" w:rsidRDefault="00E04AE1" w:rsidP="00350353">
            <w:pPr>
              <w:snapToGrid w:val="0"/>
              <w:rPr>
                <w:color w:val="000000"/>
                <w:sz w:val="20"/>
                <w:szCs w:val="20"/>
                <w:lang w:val="en-US"/>
              </w:rPr>
            </w:pPr>
            <w:r w:rsidRPr="003D3CF9">
              <w:rPr>
                <w:color w:val="000000"/>
                <w:kern w:val="24"/>
                <w:sz w:val="20"/>
                <w:szCs w:val="20"/>
                <w:lang w:val="en-US"/>
              </w:rPr>
              <w:t> </w:t>
            </w:r>
          </w:p>
        </w:tc>
        <w:tc>
          <w:tcPr>
            <w:tcW w:w="6191" w:type="dxa"/>
            <w:gridSpan w:val="2"/>
            <w:tcBorders>
              <w:top w:val="nil"/>
              <w:left w:val="nil"/>
              <w:bottom w:val="single" w:sz="4" w:space="0" w:color="auto"/>
            </w:tcBorders>
            <w:shd w:val="clear" w:color="auto" w:fill="auto"/>
            <w:vAlign w:val="center"/>
            <w:hideMark/>
          </w:tcPr>
          <w:p w14:paraId="046BF95A" w14:textId="77777777" w:rsidR="00E04AE1" w:rsidRPr="003D3CF9" w:rsidRDefault="00E04AE1" w:rsidP="00350353">
            <w:pPr>
              <w:snapToGrid w:val="0"/>
              <w:rPr>
                <w:b/>
                <w:bCs/>
                <w:color w:val="000000"/>
                <w:kern w:val="24"/>
                <w:sz w:val="20"/>
                <w:szCs w:val="20"/>
                <w:lang w:val="en-US"/>
              </w:rPr>
            </w:pPr>
            <w:r w:rsidRPr="003D3CF9">
              <w:rPr>
                <w:b/>
                <w:bCs/>
                <w:color w:val="000000"/>
                <w:kern w:val="24"/>
                <w:sz w:val="20"/>
                <w:szCs w:val="20"/>
                <w:lang w:val="en-US"/>
              </w:rPr>
              <w:t xml:space="preserve">Diagnostic ECGI cut-off points </w:t>
            </w:r>
          </w:p>
        </w:tc>
      </w:tr>
      <w:tr w:rsidR="001A40D6" w:rsidRPr="003D3CF9" w14:paraId="1EE66D73" w14:textId="77777777" w:rsidTr="00E04AE1">
        <w:trPr>
          <w:trHeight w:val="264"/>
        </w:trPr>
        <w:tc>
          <w:tcPr>
            <w:tcW w:w="1934" w:type="dxa"/>
            <w:tcBorders>
              <w:top w:val="nil"/>
              <w:left w:val="nil"/>
              <w:bottom w:val="nil"/>
              <w:right w:val="single" w:sz="4" w:space="0" w:color="auto"/>
            </w:tcBorders>
            <w:shd w:val="clear" w:color="auto" w:fill="auto"/>
            <w:hideMark/>
          </w:tcPr>
          <w:p w14:paraId="4C0209C9" w14:textId="77777777" w:rsidR="00E04AE1" w:rsidRPr="003D3CF9" w:rsidRDefault="00E04AE1" w:rsidP="00350353">
            <w:pPr>
              <w:snapToGrid w:val="0"/>
              <w:rPr>
                <w:b/>
                <w:bCs/>
                <w:color w:val="000000"/>
                <w:sz w:val="20"/>
                <w:szCs w:val="20"/>
                <w:lang w:val="en-US"/>
              </w:rPr>
            </w:pPr>
            <w:r w:rsidRPr="003D3CF9">
              <w:rPr>
                <w:b/>
                <w:bCs/>
                <w:color w:val="000000"/>
                <w:kern w:val="24"/>
                <w:sz w:val="20"/>
                <w:szCs w:val="20"/>
                <w:lang w:val="en-US"/>
              </w:rPr>
              <w:t>Conduction</w:t>
            </w:r>
          </w:p>
        </w:tc>
        <w:tc>
          <w:tcPr>
            <w:tcW w:w="3223" w:type="dxa"/>
            <w:tcBorders>
              <w:top w:val="nil"/>
              <w:left w:val="nil"/>
              <w:bottom w:val="nil"/>
            </w:tcBorders>
            <w:shd w:val="clear" w:color="auto" w:fill="auto"/>
            <w:hideMark/>
          </w:tcPr>
          <w:p w14:paraId="053E5338" w14:textId="77777777" w:rsidR="00E04AE1" w:rsidRPr="003D3CF9" w:rsidRDefault="00E04AE1" w:rsidP="00350353">
            <w:pPr>
              <w:snapToGrid w:val="0"/>
              <w:rPr>
                <w:b/>
                <w:bCs/>
                <w:color w:val="000000"/>
                <w:sz w:val="20"/>
                <w:szCs w:val="20"/>
                <w:lang w:val="en-US"/>
              </w:rPr>
            </w:pPr>
          </w:p>
        </w:tc>
        <w:tc>
          <w:tcPr>
            <w:tcW w:w="2967" w:type="dxa"/>
            <w:tcBorders>
              <w:top w:val="nil"/>
              <w:left w:val="nil"/>
              <w:bottom w:val="nil"/>
            </w:tcBorders>
          </w:tcPr>
          <w:p w14:paraId="430B2DBC" w14:textId="77777777" w:rsidR="00E04AE1" w:rsidRPr="003D3CF9" w:rsidRDefault="00E04AE1" w:rsidP="00350353">
            <w:pPr>
              <w:snapToGrid w:val="0"/>
              <w:rPr>
                <w:b/>
                <w:bCs/>
                <w:color w:val="000000"/>
                <w:sz w:val="20"/>
                <w:szCs w:val="20"/>
                <w:lang w:val="en-US"/>
              </w:rPr>
            </w:pPr>
          </w:p>
        </w:tc>
      </w:tr>
      <w:tr w:rsidR="001A40D6" w:rsidRPr="003D3CF9" w14:paraId="6EC94602" w14:textId="77777777" w:rsidTr="00E04AE1">
        <w:trPr>
          <w:trHeight w:val="264"/>
        </w:trPr>
        <w:tc>
          <w:tcPr>
            <w:tcW w:w="1934" w:type="dxa"/>
            <w:tcBorders>
              <w:top w:val="nil"/>
              <w:left w:val="nil"/>
              <w:bottom w:val="nil"/>
              <w:right w:val="single" w:sz="4" w:space="0" w:color="auto"/>
            </w:tcBorders>
            <w:shd w:val="clear" w:color="auto" w:fill="auto"/>
            <w:hideMark/>
          </w:tcPr>
          <w:p w14:paraId="09019AB0" w14:textId="7DA14F24" w:rsidR="00E04AE1" w:rsidRPr="003D3CF9" w:rsidRDefault="00E04AE1" w:rsidP="00350353">
            <w:pPr>
              <w:snapToGrid w:val="0"/>
              <w:rPr>
                <w:color w:val="000000"/>
                <w:sz w:val="20"/>
                <w:szCs w:val="20"/>
                <w:lang w:val="en-US"/>
              </w:rPr>
            </w:pPr>
            <w:r w:rsidRPr="003D3CF9">
              <w:rPr>
                <w:color w:val="000000"/>
                <w:kern w:val="24"/>
                <w:sz w:val="20"/>
                <w:szCs w:val="20"/>
                <w:lang w:val="en-US"/>
              </w:rPr>
              <w:t xml:space="preserve"> Mean AT, ms</w:t>
            </w:r>
          </w:p>
        </w:tc>
        <w:tc>
          <w:tcPr>
            <w:tcW w:w="6191" w:type="dxa"/>
            <w:gridSpan w:val="2"/>
            <w:tcBorders>
              <w:top w:val="nil"/>
              <w:left w:val="nil"/>
              <w:bottom w:val="nil"/>
            </w:tcBorders>
            <w:shd w:val="clear" w:color="auto" w:fill="auto"/>
            <w:hideMark/>
          </w:tcPr>
          <w:p w14:paraId="1D981779" w14:textId="5FB50861" w:rsidR="00E04AE1" w:rsidRPr="003D3CF9" w:rsidRDefault="004A2095" w:rsidP="00350353">
            <w:pPr>
              <w:snapToGrid w:val="0"/>
              <w:rPr>
                <w:color w:val="000000"/>
                <w:kern w:val="24"/>
                <w:sz w:val="20"/>
                <w:szCs w:val="20"/>
                <w:lang w:val="en-US"/>
              </w:rPr>
            </w:pPr>
            <w:r w:rsidRPr="003D3CF9">
              <w:rPr>
                <w:noProof/>
                <w:color w:val="000000"/>
                <w:kern w:val="24"/>
                <w:sz w:val="20"/>
                <w:szCs w:val="20"/>
                <w:lang w:val="en-US"/>
              </w:rPr>
              <w:drawing>
                <wp:inline distT="0" distB="0" distL="0" distR="0" wp14:anchorId="3F0F683A" wp14:editId="7E6EA6B2">
                  <wp:extent cx="4009292" cy="1900428"/>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49948" cy="1919699"/>
                          </a:xfrm>
                          <a:prstGeom prst="rect">
                            <a:avLst/>
                          </a:prstGeom>
                        </pic:spPr>
                      </pic:pic>
                    </a:graphicData>
                  </a:graphic>
                </wp:inline>
              </w:drawing>
            </w:r>
          </w:p>
        </w:tc>
      </w:tr>
      <w:tr w:rsidR="001A40D6" w:rsidRPr="003D3CF9" w14:paraId="2763CC97" w14:textId="77777777" w:rsidTr="00E04AE1">
        <w:trPr>
          <w:trHeight w:val="264"/>
        </w:trPr>
        <w:tc>
          <w:tcPr>
            <w:tcW w:w="1934" w:type="dxa"/>
            <w:tcBorders>
              <w:top w:val="nil"/>
              <w:left w:val="nil"/>
              <w:bottom w:val="single" w:sz="4" w:space="0" w:color="auto"/>
              <w:right w:val="single" w:sz="4" w:space="0" w:color="auto"/>
            </w:tcBorders>
            <w:shd w:val="clear" w:color="auto" w:fill="auto"/>
            <w:hideMark/>
          </w:tcPr>
          <w:p w14:paraId="3A8FBEC0" w14:textId="77777777" w:rsidR="00E04AE1" w:rsidRPr="003D3CF9" w:rsidRDefault="00E04AE1" w:rsidP="00350353">
            <w:pPr>
              <w:snapToGrid w:val="0"/>
              <w:rPr>
                <w:color w:val="000000"/>
                <w:sz w:val="20"/>
                <w:szCs w:val="20"/>
                <w:lang w:val="en-US"/>
              </w:rPr>
            </w:pPr>
            <w:r w:rsidRPr="003D3CF9">
              <w:rPr>
                <w:color w:val="000000"/>
                <w:kern w:val="24"/>
                <w:sz w:val="20"/>
                <w:szCs w:val="20"/>
                <w:lang w:val="en-US"/>
              </w:rPr>
              <w:t> </w:t>
            </w:r>
          </w:p>
        </w:tc>
        <w:tc>
          <w:tcPr>
            <w:tcW w:w="3223" w:type="dxa"/>
            <w:tcBorders>
              <w:top w:val="nil"/>
              <w:left w:val="nil"/>
              <w:bottom w:val="single" w:sz="4" w:space="0" w:color="auto"/>
            </w:tcBorders>
            <w:shd w:val="clear" w:color="auto" w:fill="auto"/>
            <w:hideMark/>
          </w:tcPr>
          <w:p w14:paraId="3795A78A" w14:textId="77777777" w:rsidR="00E04AE1" w:rsidRPr="003D3CF9" w:rsidRDefault="00E04AE1" w:rsidP="00350353">
            <w:pPr>
              <w:snapToGrid w:val="0"/>
              <w:rPr>
                <w:color w:val="000000"/>
                <w:sz w:val="20"/>
                <w:szCs w:val="20"/>
                <w:lang w:val="en-US"/>
              </w:rPr>
            </w:pPr>
          </w:p>
        </w:tc>
        <w:tc>
          <w:tcPr>
            <w:tcW w:w="2967" w:type="dxa"/>
            <w:tcBorders>
              <w:top w:val="nil"/>
              <w:left w:val="nil"/>
              <w:bottom w:val="single" w:sz="4" w:space="0" w:color="auto"/>
            </w:tcBorders>
          </w:tcPr>
          <w:p w14:paraId="0349202B" w14:textId="77777777" w:rsidR="00E04AE1" w:rsidRPr="003D3CF9" w:rsidRDefault="00E04AE1" w:rsidP="00350353">
            <w:pPr>
              <w:snapToGrid w:val="0"/>
              <w:rPr>
                <w:color w:val="000000"/>
                <w:sz w:val="20"/>
                <w:szCs w:val="20"/>
                <w:lang w:val="en-US"/>
              </w:rPr>
            </w:pPr>
          </w:p>
        </w:tc>
      </w:tr>
      <w:tr w:rsidR="001A40D6" w:rsidRPr="003D3CF9" w14:paraId="49FA6471" w14:textId="77777777" w:rsidTr="00E04AE1">
        <w:trPr>
          <w:trHeight w:val="264"/>
        </w:trPr>
        <w:tc>
          <w:tcPr>
            <w:tcW w:w="1934" w:type="dxa"/>
            <w:tcBorders>
              <w:top w:val="single" w:sz="4" w:space="0" w:color="auto"/>
              <w:left w:val="nil"/>
              <w:bottom w:val="nil"/>
              <w:right w:val="single" w:sz="4" w:space="0" w:color="auto"/>
            </w:tcBorders>
            <w:shd w:val="clear" w:color="auto" w:fill="auto"/>
            <w:hideMark/>
          </w:tcPr>
          <w:p w14:paraId="3AAC94D3" w14:textId="77777777" w:rsidR="00E04AE1" w:rsidRPr="003D3CF9" w:rsidRDefault="00E04AE1" w:rsidP="00350353">
            <w:pPr>
              <w:snapToGrid w:val="0"/>
              <w:rPr>
                <w:b/>
                <w:bCs/>
                <w:color w:val="000000"/>
                <w:sz w:val="20"/>
                <w:szCs w:val="20"/>
                <w:lang w:val="en-US"/>
              </w:rPr>
            </w:pPr>
            <w:r w:rsidRPr="003D3CF9">
              <w:rPr>
                <w:b/>
                <w:bCs/>
                <w:color w:val="000000"/>
                <w:kern w:val="24"/>
                <w:sz w:val="20"/>
                <w:szCs w:val="20"/>
                <w:lang w:val="en-US"/>
              </w:rPr>
              <w:t>Repolarization</w:t>
            </w:r>
          </w:p>
        </w:tc>
        <w:tc>
          <w:tcPr>
            <w:tcW w:w="3223" w:type="dxa"/>
            <w:tcBorders>
              <w:top w:val="single" w:sz="4" w:space="0" w:color="auto"/>
              <w:left w:val="nil"/>
              <w:bottom w:val="nil"/>
            </w:tcBorders>
            <w:shd w:val="clear" w:color="auto" w:fill="auto"/>
            <w:hideMark/>
          </w:tcPr>
          <w:p w14:paraId="09D63693" w14:textId="77777777" w:rsidR="00E04AE1" w:rsidRPr="003D3CF9" w:rsidRDefault="00E04AE1" w:rsidP="00350353">
            <w:pPr>
              <w:snapToGrid w:val="0"/>
              <w:rPr>
                <w:b/>
                <w:bCs/>
                <w:color w:val="000000"/>
                <w:sz w:val="20"/>
                <w:szCs w:val="20"/>
                <w:lang w:val="en-US"/>
              </w:rPr>
            </w:pPr>
          </w:p>
        </w:tc>
        <w:tc>
          <w:tcPr>
            <w:tcW w:w="2967" w:type="dxa"/>
            <w:tcBorders>
              <w:top w:val="single" w:sz="4" w:space="0" w:color="auto"/>
              <w:left w:val="nil"/>
              <w:bottom w:val="nil"/>
            </w:tcBorders>
          </w:tcPr>
          <w:p w14:paraId="79F869A9" w14:textId="77777777" w:rsidR="00E04AE1" w:rsidRPr="003D3CF9" w:rsidRDefault="00E04AE1" w:rsidP="00350353">
            <w:pPr>
              <w:snapToGrid w:val="0"/>
              <w:rPr>
                <w:b/>
                <w:bCs/>
                <w:color w:val="000000"/>
                <w:sz w:val="20"/>
                <w:szCs w:val="20"/>
                <w:lang w:val="en-US"/>
              </w:rPr>
            </w:pPr>
          </w:p>
        </w:tc>
      </w:tr>
      <w:tr w:rsidR="001A40D6" w:rsidRPr="003D3CF9" w14:paraId="1133D80C" w14:textId="77777777" w:rsidTr="00E04AE1">
        <w:trPr>
          <w:trHeight w:val="264"/>
        </w:trPr>
        <w:tc>
          <w:tcPr>
            <w:tcW w:w="1934" w:type="dxa"/>
            <w:tcBorders>
              <w:top w:val="nil"/>
              <w:left w:val="nil"/>
              <w:bottom w:val="nil"/>
              <w:right w:val="single" w:sz="4" w:space="0" w:color="auto"/>
            </w:tcBorders>
            <w:shd w:val="clear" w:color="auto" w:fill="auto"/>
            <w:hideMark/>
          </w:tcPr>
          <w:p w14:paraId="25EC1A0B" w14:textId="306FECAB" w:rsidR="00E04AE1" w:rsidRPr="003D3CF9" w:rsidRDefault="00FF5B43" w:rsidP="00350353">
            <w:pPr>
              <w:snapToGrid w:val="0"/>
              <w:rPr>
                <w:color w:val="000000"/>
                <w:sz w:val="20"/>
                <w:szCs w:val="20"/>
                <w:lang w:val="en-US"/>
              </w:rPr>
            </w:pPr>
            <w:r w:rsidRPr="003D3CF9">
              <w:rPr>
                <w:color w:val="000000"/>
                <w:kern w:val="24"/>
                <w:sz w:val="20"/>
                <w:szCs w:val="20"/>
                <w:lang w:val="en-US"/>
              </w:rPr>
              <w:t>M</w:t>
            </w:r>
            <w:r w:rsidR="00E04AE1" w:rsidRPr="003D3CF9">
              <w:rPr>
                <w:color w:val="000000"/>
                <w:kern w:val="24"/>
                <w:sz w:val="20"/>
                <w:szCs w:val="20"/>
                <w:lang w:val="en-US"/>
              </w:rPr>
              <w:t>ax G</w:t>
            </w:r>
            <w:r w:rsidR="00E04AE1" w:rsidRPr="003D3CF9">
              <w:rPr>
                <w:color w:val="000000"/>
                <w:kern w:val="24"/>
                <w:sz w:val="20"/>
                <w:szCs w:val="20"/>
                <w:vertAlign w:val="subscript"/>
                <w:lang w:val="en-US"/>
              </w:rPr>
              <w:t>RTc</w:t>
            </w:r>
            <w:r w:rsidR="00E04AE1" w:rsidRPr="003D3CF9">
              <w:rPr>
                <w:color w:val="000000"/>
                <w:kern w:val="24"/>
                <w:sz w:val="20"/>
                <w:szCs w:val="20"/>
                <w:lang w:val="en-US"/>
              </w:rPr>
              <w:t>, ms/mm</w:t>
            </w:r>
          </w:p>
        </w:tc>
        <w:tc>
          <w:tcPr>
            <w:tcW w:w="6191" w:type="dxa"/>
            <w:gridSpan w:val="2"/>
            <w:tcBorders>
              <w:top w:val="nil"/>
              <w:left w:val="nil"/>
              <w:bottom w:val="nil"/>
            </w:tcBorders>
            <w:shd w:val="clear" w:color="auto" w:fill="auto"/>
            <w:hideMark/>
          </w:tcPr>
          <w:p w14:paraId="6DAFED69" w14:textId="4C1671B2" w:rsidR="00E04AE1" w:rsidRPr="003D3CF9" w:rsidRDefault="004A2095" w:rsidP="00350353">
            <w:pPr>
              <w:snapToGrid w:val="0"/>
              <w:rPr>
                <w:color w:val="000000"/>
                <w:kern w:val="24"/>
                <w:sz w:val="20"/>
                <w:szCs w:val="20"/>
                <w:lang w:val="en-US"/>
              </w:rPr>
            </w:pPr>
            <w:r w:rsidRPr="003D3CF9">
              <w:rPr>
                <w:noProof/>
                <w:color w:val="000000"/>
                <w:kern w:val="24"/>
                <w:sz w:val="20"/>
                <w:szCs w:val="20"/>
                <w:lang w:val="en-US"/>
              </w:rPr>
              <w:drawing>
                <wp:inline distT="0" distB="0" distL="0" distR="0" wp14:anchorId="696B46D7" wp14:editId="3AA65FB7">
                  <wp:extent cx="4008755" cy="197363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61353" cy="1999532"/>
                          </a:xfrm>
                          <a:prstGeom prst="rect">
                            <a:avLst/>
                          </a:prstGeom>
                        </pic:spPr>
                      </pic:pic>
                    </a:graphicData>
                  </a:graphic>
                </wp:inline>
              </w:drawing>
            </w:r>
          </w:p>
        </w:tc>
      </w:tr>
    </w:tbl>
    <w:p w14:paraId="268F8A7E" w14:textId="77777777" w:rsidR="00B17525" w:rsidRPr="003D3CF9" w:rsidRDefault="00B17525" w:rsidP="00B17525">
      <w:pPr>
        <w:pStyle w:val="NormalWeb"/>
        <w:spacing w:before="0" w:beforeAutospacing="0" w:after="0" w:afterAutospacing="0"/>
        <w:ind w:left="720"/>
        <w:rPr>
          <w:sz w:val="20"/>
          <w:szCs w:val="20"/>
          <w:lang w:val="en-US"/>
        </w:rPr>
      </w:pPr>
    </w:p>
    <w:p w14:paraId="41F09501" w14:textId="319B1C0A" w:rsidR="00B17525" w:rsidRPr="003D3CF9" w:rsidRDefault="00E04AE1" w:rsidP="0092039F">
      <w:pPr>
        <w:pStyle w:val="NormalWeb"/>
        <w:spacing w:before="0" w:beforeAutospacing="0" w:after="0" w:afterAutospacing="0"/>
        <w:ind w:left="720"/>
        <w:rPr>
          <w:sz w:val="20"/>
          <w:szCs w:val="20"/>
          <w:lang w:val="en-US"/>
        </w:rPr>
      </w:pPr>
      <w:r w:rsidRPr="003D3CF9">
        <w:rPr>
          <w:sz w:val="20"/>
          <w:szCs w:val="20"/>
          <w:lang w:val="en-US"/>
        </w:rPr>
        <w:t xml:space="preserve">Accuracy defined as = True Positive + True Negative / True Positive + True Negative + False Positive + False Negative. </w:t>
      </w:r>
    </w:p>
    <w:p w14:paraId="004D7A2C" w14:textId="1A7A8B20" w:rsidR="00462106" w:rsidRPr="003D3CF9" w:rsidRDefault="00E04AE1" w:rsidP="0092039F">
      <w:pPr>
        <w:pStyle w:val="NormalWeb"/>
        <w:spacing w:before="0" w:beforeAutospacing="0" w:after="0" w:afterAutospacing="0"/>
        <w:ind w:left="720"/>
        <w:rPr>
          <w:b/>
          <w:color w:val="000000"/>
          <w:lang w:val="en-US"/>
        </w:rPr>
        <w:sectPr w:rsidR="00462106" w:rsidRPr="003D3CF9" w:rsidSect="008865DA">
          <w:pgSz w:w="16838" w:h="11906" w:orient="landscape"/>
          <w:pgMar w:top="1440" w:right="1440" w:bottom="1440" w:left="1440" w:header="709" w:footer="709" w:gutter="0"/>
          <w:cols w:space="708"/>
          <w:docGrid w:linePitch="360"/>
        </w:sectPr>
      </w:pPr>
      <w:r w:rsidRPr="003D3CF9">
        <w:rPr>
          <w:b/>
          <w:bCs/>
          <w:sz w:val="20"/>
          <w:szCs w:val="20"/>
          <w:lang w:val="en-US"/>
        </w:rPr>
        <w:t>Abbreviations as in Supplementa</w:t>
      </w:r>
      <w:r w:rsidR="006C402C">
        <w:rPr>
          <w:b/>
          <w:bCs/>
          <w:sz w:val="20"/>
          <w:szCs w:val="20"/>
          <w:lang w:val="en-US"/>
        </w:rPr>
        <w:t>l</w:t>
      </w:r>
      <w:r w:rsidRPr="003D3CF9">
        <w:rPr>
          <w:b/>
          <w:bCs/>
          <w:sz w:val="20"/>
          <w:szCs w:val="20"/>
          <w:lang w:val="en-US"/>
        </w:rPr>
        <w:t xml:space="preserve"> Table 1.</w:t>
      </w:r>
    </w:p>
    <w:p w14:paraId="67BC503D" w14:textId="4B184F3B" w:rsidR="00AE2CB3" w:rsidRPr="003D3CF9" w:rsidRDefault="00AE2CB3" w:rsidP="00462106">
      <w:pPr>
        <w:pStyle w:val="NormalWeb"/>
        <w:adjustRightInd w:val="0"/>
        <w:spacing w:before="0" w:beforeAutospacing="0" w:after="0" w:afterAutospacing="0"/>
        <w:jc w:val="both"/>
        <w:rPr>
          <w:b/>
          <w:color w:val="000000"/>
          <w:lang w:val="en-US"/>
        </w:rPr>
      </w:pPr>
      <w:r w:rsidRPr="003D3CF9">
        <w:rPr>
          <w:b/>
          <w:color w:val="000000"/>
          <w:lang w:val="en-US"/>
        </w:rPr>
        <w:lastRenderedPageBreak/>
        <w:t>Supplementa</w:t>
      </w:r>
      <w:r w:rsidR="006C402C">
        <w:rPr>
          <w:b/>
          <w:color w:val="000000"/>
          <w:lang w:val="en-US"/>
        </w:rPr>
        <w:t>l</w:t>
      </w:r>
      <w:r w:rsidRPr="003D3CF9">
        <w:rPr>
          <w:b/>
          <w:color w:val="000000"/>
          <w:lang w:val="en-US"/>
        </w:rPr>
        <w:t xml:space="preserve"> Table 5</w:t>
      </w:r>
      <w:r w:rsidR="001A40D6" w:rsidRPr="003D3CF9">
        <w:rPr>
          <w:b/>
          <w:color w:val="000000"/>
          <w:lang w:val="en-US"/>
        </w:rPr>
        <w:t xml:space="preserve"> – </w:t>
      </w:r>
      <w:r w:rsidRPr="003D3CF9">
        <w:rPr>
          <w:b/>
          <w:color w:val="000000"/>
          <w:lang w:val="en-US"/>
        </w:rPr>
        <w:t>Comparative kernel performance after best</w:t>
      </w:r>
      <w:r w:rsidR="00BB274F" w:rsidRPr="003D3CF9">
        <w:rPr>
          <w:b/>
          <w:color w:val="000000"/>
          <w:lang w:val="en-US"/>
        </w:rPr>
        <w:t>-</w:t>
      </w:r>
      <w:r w:rsidRPr="003D3CF9">
        <w:rPr>
          <w:b/>
          <w:color w:val="000000"/>
          <w:lang w:val="en-US"/>
        </w:rPr>
        <w:t>model tune.</w:t>
      </w:r>
    </w:p>
    <w:p w14:paraId="620C3F3B" w14:textId="0AE2AD14" w:rsidR="00AE2CB3" w:rsidRPr="003D3CF9" w:rsidRDefault="00AE2CB3" w:rsidP="00462106">
      <w:pPr>
        <w:pStyle w:val="NormalWeb"/>
        <w:adjustRightInd w:val="0"/>
        <w:spacing w:before="0" w:beforeAutospacing="0" w:after="0" w:afterAutospacing="0"/>
        <w:jc w:val="both"/>
        <w:rPr>
          <w:b/>
          <w:color w:val="000000"/>
          <w:lang w:val="en-US"/>
        </w:rPr>
      </w:pPr>
    </w:p>
    <w:tbl>
      <w:tblPr>
        <w:tblStyle w:val="TableGrid"/>
        <w:tblW w:w="0" w:type="auto"/>
        <w:tblLook w:val="04A0" w:firstRow="1" w:lastRow="0" w:firstColumn="1" w:lastColumn="0" w:noHBand="0" w:noVBand="1"/>
      </w:tblPr>
      <w:tblGrid>
        <w:gridCol w:w="1496"/>
        <w:gridCol w:w="1927"/>
        <w:gridCol w:w="1868"/>
        <w:gridCol w:w="2217"/>
        <w:gridCol w:w="1508"/>
      </w:tblGrid>
      <w:tr w:rsidR="00B17525" w:rsidRPr="003D3CF9" w14:paraId="17D4975E" w14:textId="77777777" w:rsidTr="00360325">
        <w:tc>
          <w:tcPr>
            <w:tcW w:w="1496" w:type="dxa"/>
          </w:tcPr>
          <w:p w14:paraId="0865FB0A"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Model</w:t>
            </w:r>
          </w:p>
        </w:tc>
        <w:tc>
          <w:tcPr>
            <w:tcW w:w="1927" w:type="dxa"/>
          </w:tcPr>
          <w:p w14:paraId="4B5C6482"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Kernel</w:t>
            </w:r>
          </w:p>
        </w:tc>
        <w:tc>
          <w:tcPr>
            <w:tcW w:w="1868" w:type="dxa"/>
          </w:tcPr>
          <w:p w14:paraId="328899B5"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Optimum Cost</w:t>
            </w:r>
          </w:p>
        </w:tc>
        <w:tc>
          <w:tcPr>
            <w:tcW w:w="2217" w:type="dxa"/>
          </w:tcPr>
          <w:p w14:paraId="3D7D7D5C"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Optimum Gamma</w:t>
            </w:r>
          </w:p>
        </w:tc>
        <w:tc>
          <w:tcPr>
            <w:tcW w:w="1508" w:type="dxa"/>
          </w:tcPr>
          <w:p w14:paraId="123F0CA3"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AUC</w:t>
            </w:r>
          </w:p>
        </w:tc>
      </w:tr>
      <w:tr w:rsidR="00B17525" w:rsidRPr="003D3CF9" w14:paraId="21B61C64" w14:textId="77777777" w:rsidTr="00360325">
        <w:tc>
          <w:tcPr>
            <w:tcW w:w="1496" w:type="dxa"/>
            <w:vMerge w:val="restart"/>
          </w:tcPr>
          <w:p w14:paraId="51BFB5EF" w14:textId="77777777" w:rsidR="00B17525" w:rsidRPr="003D3CF9" w:rsidRDefault="00B17525" w:rsidP="00360325">
            <w:pPr>
              <w:pStyle w:val="NormalWeb"/>
              <w:adjustRightInd w:val="0"/>
              <w:spacing w:before="0" w:after="0"/>
              <w:jc w:val="both"/>
              <w:rPr>
                <w:b/>
                <w:color w:val="000000"/>
                <w:sz w:val="20"/>
                <w:szCs w:val="20"/>
                <w:lang w:val="en-US"/>
              </w:rPr>
            </w:pPr>
            <w:r w:rsidRPr="003D3CF9">
              <w:rPr>
                <w:b/>
                <w:color w:val="000000"/>
                <w:sz w:val="20"/>
                <w:szCs w:val="20"/>
                <w:lang w:val="en-US"/>
              </w:rPr>
              <w:t>Subclinical Model</w:t>
            </w:r>
          </w:p>
        </w:tc>
        <w:tc>
          <w:tcPr>
            <w:tcW w:w="1927" w:type="dxa"/>
          </w:tcPr>
          <w:p w14:paraId="42B361EC"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Linear</w:t>
            </w:r>
          </w:p>
        </w:tc>
        <w:tc>
          <w:tcPr>
            <w:tcW w:w="1868" w:type="dxa"/>
          </w:tcPr>
          <w:p w14:paraId="76C07B3D"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0.4</w:t>
            </w:r>
          </w:p>
        </w:tc>
        <w:tc>
          <w:tcPr>
            <w:tcW w:w="2217" w:type="dxa"/>
          </w:tcPr>
          <w:p w14:paraId="5144D190"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0.1</w:t>
            </w:r>
          </w:p>
        </w:tc>
        <w:tc>
          <w:tcPr>
            <w:tcW w:w="1508" w:type="dxa"/>
          </w:tcPr>
          <w:p w14:paraId="58286BA2"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0.79</w:t>
            </w:r>
          </w:p>
        </w:tc>
      </w:tr>
      <w:tr w:rsidR="00B17525" w:rsidRPr="003D3CF9" w14:paraId="5D594BB0" w14:textId="77777777" w:rsidTr="00360325">
        <w:tc>
          <w:tcPr>
            <w:tcW w:w="1496" w:type="dxa"/>
            <w:vMerge/>
          </w:tcPr>
          <w:p w14:paraId="626BE970"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p>
        </w:tc>
        <w:tc>
          <w:tcPr>
            <w:tcW w:w="1927" w:type="dxa"/>
          </w:tcPr>
          <w:p w14:paraId="60E767F8"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Radial basis</w:t>
            </w:r>
          </w:p>
        </w:tc>
        <w:tc>
          <w:tcPr>
            <w:tcW w:w="1868" w:type="dxa"/>
          </w:tcPr>
          <w:p w14:paraId="288C7FB8"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1</w:t>
            </w:r>
          </w:p>
        </w:tc>
        <w:tc>
          <w:tcPr>
            <w:tcW w:w="2217" w:type="dxa"/>
          </w:tcPr>
          <w:p w14:paraId="310C7B87"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0.1</w:t>
            </w:r>
          </w:p>
        </w:tc>
        <w:tc>
          <w:tcPr>
            <w:tcW w:w="1508" w:type="dxa"/>
          </w:tcPr>
          <w:p w14:paraId="46EBC109"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0.80</w:t>
            </w:r>
          </w:p>
        </w:tc>
      </w:tr>
      <w:tr w:rsidR="00B17525" w:rsidRPr="003D3CF9" w14:paraId="59ACBBC2" w14:textId="77777777" w:rsidTr="00360325">
        <w:tc>
          <w:tcPr>
            <w:tcW w:w="1496" w:type="dxa"/>
            <w:vMerge/>
          </w:tcPr>
          <w:p w14:paraId="45B97B79"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p>
        </w:tc>
        <w:tc>
          <w:tcPr>
            <w:tcW w:w="1927" w:type="dxa"/>
          </w:tcPr>
          <w:p w14:paraId="77C2B74E"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Polynomial</w:t>
            </w:r>
          </w:p>
        </w:tc>
        <w:tc>
          <w:tcPr>
            <w:tcW w:w="1868" w:type="dxa"/>
          </w:tcPr>
          <w:p w14:paraId="03FF3030"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10</w:t>
            </w:r>
          </w:p>
        </w:tc>
        <w:tc>
          <w:tcPr>
            <w:tcW w:w="2217" w:type="dxa"/>
          </w:tcPr>
          <w:p w14:paraId="6FE856DC"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0.1</w:t>
            </w:r>
          </w:p>
        </w:tc>
        <w:tc>
          <w:tcPr>
            <w:tcW w:w="1508" w:type="dxa"/>
          </w:tcPr>
          <w:p w14:paraId="3F592351"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0.96</w:t>
            </w:r>
          </w:p>
        </w:tc>
      </w:tr>
      <w:tr w:rsidR="00B17525" w:rsidRPr="003D3CF9" w14:paraId="2B96F27C" w14:textId="77777777" w:rsidTr="00360325">
        <w:tc>
          <w:tcPr>
            <w:tcW w:w="1496" w:type="dxa"/>
            <w:vMerge/>
            <w:tcBorders>
              <w:bottom w:val="single" w:sz="12" w:space="0" w:color="auto"/>
            </w:tcBorders>
          </w:tcPr>
          <w:p w14:paraId="52ABD971"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p>
        </w:tc>
        <w:tc>
          <w:tcPr>
            <w:tcW w:w="1927" w:type="dxa"/>
            <w:tcBorders>
              <w:bottom w:val="single" w:sz="12" w:space="0" w:color="auto"/>
            </w:tcBorders>
          </w:tcPr>
          <w:p w14:paraId="25C1A755"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Sigmoid</w:t>
            </w:r>
          </w:p>
        </w:tc>
        <w:tc>
          <w:tcPr>
            <w:tcW w:w="1868" w:type="dxa"/>
            <w:tcBorders>
              <w:bottom w:val="single" w:sz="12" w:space="0" w:color="auto"/>
            </w:tcBorders>
          </w:tcPr>
          <w:p w14:paraId="113D3535"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1</w:t>
            </w:r>
          </w:p>
        </w:tc>
        <w:tc>
          <w:tcPr>
            <w:tcW w:w="2217" w:type="dxa"/>
            <w:tcBorders>
              <w:bottom w:val="single" w:sz="12" w:space="0" w:color="auto"/>
            </w:tcBorders>
          </w:tcPr>
          <w:p w14:paraId="742EF71C"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0.1</w:t>
            </w:r>
          </w:p>
        </w:tc>
        <w:tc>
          <w:tcPr>
            <w:tcW w:w="1508" w:type="dxa"/>
            <w:tcBorders>
              <w:bottom w:val="single" w:sz="12" w:space="0" w:color="auto"/>
            </w:tcBorders>
          </w:tcPr>
          <w:p w14:paraId="48CAEA9A"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0.69</w:t>
            </w:r>
          </w:p>
        </w:tc>
      </w:tr>
      <w:tr w:rsidR="00B17525" w:rsidRPr="003D3CF9" w14:paraId="1EBBC870" w14:textId="77777777" w:rsidTr="00360325">
        <w:tc>
          <w:tcPr>
            <w:tcW w:w="1496" w:type="dxa"/>
            <w:vMerge w:val="restart"/>
            <w:tcBorders>
              <w:top w:val="single" w:sz="12" w:space="0" w:color="auto"/>
            </w:tcBorders>
          </w:tcPr>
          <w:p w14:paraId="58E13F09"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HCM-Risk Model</w:t>
            </w:r>
          </w:p>
        </w:tc>
        <w:tc>
          <w:tcPr>
            <w:tcW w:w="1927" w:type="dxa"/>
            <w:tcBorders>
              <w:top w:val="single" w:sz="12" w:space="0" w:color="auto"/>
            </w:tcBorders>
          </w:tcPr>
          <w:p w14:paraId="543C1AC1"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Linear</w:t>
            </w:r>
          </w:p>
        </w:tc>
        <w:tc>
          <w:tcPr>
            <w:tcW w:w="1868" w:type="dxa"/>
            <w:tcBorders>
              <w:top w:val="single" w:sz="12" w:space="0" w:color="auto"/>
            </w:tcBorders>
          </w:tcPr>
          <w:p w14:paraId="20DB39D4"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0.1</w:t>
            </w:r>
          </w:p>
        </w:tc>
        <w:tc>
          <w:tcPr>
            <w:tcW w:w="2217" w:type="dxa"/>
            <w:tcBorders>
              <w:top w:val="single" w:sz="12" w:space="0" w:color="auto"/>
            </w:tcBorders>
          </w:tcPr>
          <w:p w14:paraId="15463A15"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0.1</w:t>
            </w:r>
          </w:p>
        </w:tc>
        <w:tc>
          <w:tcPr>
            <w:tcW w:w="1508" w:type="dxa"/>
            <w:tcBorders>
              <w:top w:val="single" w:sz="12" w:space="0" w:color="auto"/>
            </w:tcBorders>
          </w:tcPr>
          <w:p w14:paraId="422EF6B8"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0.50</w:t>
            </w:r>
          </w:p>
        </w:tc>
      </w:tr>
      <w:tr w:rsidR="00B17525" w:rsidRPr="003D3CF9" w14:paraId="15547EB4" w14:textId="77777777" w:rsidTr="00360325">
        <w:trPr>
          <w:trHeight w:val="73"/>
        </w:trPr>
        <w:tc>
          <w:tcPr>
            <w:tcW w:w="1496" w:type="dxa"/>
            <w:vMerge/>
          </w:tcPr>
          <w:p w14:paraId="25053121"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p>
        </w:tc>
        <w:tc>
          <w:tcPr>
            <w:tcW w:w="1927" w:type="dxa"/>
          </w:tcPr>
          <w:p w14:paraId="533A7A8E"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Radial basis</w:t>
            </w:r>
          </w:p>
        </w:tc>
        <w:tc>
          <w:tcPr>
            <w:tcW w:w="1868" w:type="dxa"/>
          </w:tcPr>
          <w:p w14:paraId="057C82F0"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1</w:t>
            </w:r>
          </w:p>
        </w:tc>
        <w:tc>
          <w:tcPr>
            <w:tcW w:w="2217" w:type="dxa"/>
          </w:tcPr>
          <w:p w14:paraId="14B7F381"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0.6</w:t>
            </w:r>
          </w:p>
        </w:tc>
        <w:tc>
          <w:tcPr>
            <w:tcW w:w="1508" w:type="dxa"/>
          </w:tcPr>
          <w:p w14:paraId="700545D2"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
                <w:color w:val="000000"/>
                <w:sz w:val="20"/>
                <w:szCs w:val="20"/>
                <w:lang w:val="en-US"/>
              </w:rPr>
              <w:t>0.97</w:t>
            </w:r>
          </w:p>
        </w:tc>
      </w:tr>
      <w:tr w:rsidR="00B17525" w:rsidRPr="003D3CF9" w14:paraId="576D7A83" w14:textId="77777777" w:rsidTr="00360325">
        <w:trPr>
          <w:trHeight w:val="73"/>
        </w:trPr>
        <w:tc>
          <w:tcPr>
            <w:tcW w:w="1496" w:type="dxa"/>
            <w:vMerge/>
          </w:tcPr>
          <w:p w14:paraId="658D8B24"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p>
        </w:tc>
        <w:tc>
          <w:tcPr>
            <w:tcW w:w="1927" w:type="dxa"/>
          </w:tcPr>
          <w:p w14:paraId="021FD66C"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Polynomial</w:t>
            </w:r>
          </w:p>
        </w:tc>
        <w:tc>
          <w:tcPr>
            <w:tcW w:w="1868" w:type="dxa"/>
          </w:tcPr>
          <w:p w14:paraId="1A71A7C2"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0.1</w:t>
            </w:r>
          </w:p>
        </w:tc>
        <w:tc>
          <w:tcPr>
            <w:tcW w:w="2217" w:type="dxa"/>
          </w:tcPr>
          <w:p w14:paraId="153D6BA3"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0.1</w:t>
            </w:r>
          </w:p>
        </w:tc>
        <w:tc>
          <w:tcPr>
            <w:tcW w:w="1508" w:type="dxa"/>
          </w:tcPr>
          <w:p w14:paraId="7057127F"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0.78</w:t>
            </w:r>
          </w:p>
        </w:tc>
      </w:tr>
      <w:tr w:rsidR="00B17525" w:rsidRPr="003D3CF9" w14:paraId="7C3F949A" w14:textId="77777777" w:rsidTr="00360325">
        <w:tc>
          <w:tcPr>
            <w:tcW w:w="1496" w:type="dxa"/>
            <w:vMerge/>
          </w:tcPr>
          <w:p w14:paraId="1E01CE7B"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p>
        </w:tc>
        <w:tc>
          <w:tcPr>
            <w:tcW w:w="1927" w:type="dxa"/>
          </w:tcPr>
          <w:p w14:paraId="465B04D2" w14:textId="77777777" w:rsidR="00B17525" w:rsidRPr="003D3CF9" w:rsidRDefault="00B17525" w:rsidP="00360325">
            <w:pPr>
              <w:pStyle w:val="NormalWeb"/>
              <w:adjustRightInd w:val="0"/>
              <w:spacing w:before="0" w:beforeAutospacing="0" w:after="0" w:afterAutospacing="0"/>
              <w:jc w:val="both"/>
              <w:rPr>
                <w:b/>
                <w:color w:val="000000"/>
                <w:sz w:val="20"/>
                <w:szCs w:val="20"/>
                <w:lang w:val="en-US"/>
              </w:rPr>
            </w:pPr>
            <w:r w:rsidRPr="003D3CF9">
              <w:rPr>
                <w:b/>
                <w:color w:val="000000"/>
                <w:sz w:val="20"/>
                <w:szCs w:val="20"/>
                <w:lang w:val="en-US"/>
              </w:rPr>
              <w:t>Sigmoid</w:t>
            </w:r>
          </w:p>
        </w:tc>
        <w:tc>
          <w:tcPr>
            <w:tcW w:w="1868" w:type="dxa"/>
          </w:tcPr>
          <w:p w14:paraId="2CD4D8B6"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0.6</w:t>
            </w:r>
          </w:p>
        </w:tc>
        <w:tc>
          <w:tcPr>
            <w:tcW w:w="2217" w:type="dxa"/>
          </w:tcPr>
          <w:p w14:paraId="7C8A9195"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0.6</w:t>
            </w:r>
          </w:p>
        </w:tc>
        <w:tc>
          <w:tcPr>
            <w:tcW w:w="1508" w:type="dxa"/>
          </w:tcPr>
          <w:p w14:paraId="6B000EAB" w14:textId="77777777" w:rsidR="00B17525" w:rsidRPr="003D3CF9" w:rsidRDefault="00B17525" w:rsidP="00360325">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0.42</w:t>
            </w:r>
          </w:p>
        </w:tc>
      </w:tr>
    </w:tbl>
    <w:p w14:paraId="1F62478F" w14:textId="58FB4703" w:rsidR="00A645E1" w:rsidRPr="003D3CF9" w:rsidRDefault="00A645E1" w:rsidP="00462106">
      <w:pPr>
        <w:pStyle w:val="NormalWeb"/>
        <w:adjustRightInd w:val="0"/>
        <w:spacing w:before="0" w:beforeAutospacing="0" w:after="0" w:afterAutospacing="0"/>
        <w:jc w:val="both"/>
        <w:rPr>
          <w:bCs/>
          <w:color w:val="000000"/>
          <w:sz w:val="20"/>
          <w:szCs w:val="20"/>
          <w:lang w:val="en-US"/>
        </w:rPr>
      </w:pPr>
      <w:r w:rsidRPr="003D3CF9">
        <w:rPr>
          <w:bCs/>
          <w:color w:val="000000"/>
          <w:sz w:val="20"/>
          <w:szCs w:val="20"/>
          <w:lang w:val="en-US"/>
        </w:rPr>
        <w:t xml:space="preserve">AUC highlighted in bold indicate the final </w:t>
      </w:r>
      <w:r w:rsidR="00DF7542" w:rsidRPr="003D3CF9">
        <w:rPr>
          <w:bCs/>
          <w:color w:val="000000"/>
          <w:sz w:val="20"/>
          <w:szCs w:val="20"/>
          <w:lang w:val="en-US"/>
        </w:rPr>
        <w:t xml:space="preserve">kernel and </w:t>
      </w:r>
      <w:r w:rsidRPr="003D3CF9">
        <w:rPr>
          <w:bCs/>
          <w:color w:val="000000"/>
          <w:sz w:val="20"/>
          <w:szCs w:val="20"/>
          <w:lang w:val="en-US"/>
        </w:rPr>
        <w:t>model parameters</w:t>
      </w:r>
      <w:r w:rsidR="00DF7542" w:rsidRPr="003D3CF9">
        <w:rPr>
          <w:bCs/>
          <w:color w:val="000000"/>
          <w:sz w:val="20"/>
          <w:szCs w:val="20"/>
          <w:lang w:val="en-US"/>
        </w:rPr>
        <w:t xml:space="preserve"> selected</w:t>
      </w:r>
      <w:r w:rsidRPr="003D3CF9">
        <w:rPr>
          <w:bCs/>
          <w:color w:val="000000"/>
          <w:sz w:val="20"/>
          <w:szCs w:val="20"/>
          <w:lang w:val="en-US"/>
        </w:rPr>
        <w:t xml:space="preserve">. </w:t>
      </w:r>
    </w:p>
    <w:p w14:paraId="3516884C" w14:textId="6FB8CB75" w:rsidR="00AE2CB3" w:rsidRPr="003D3CF9" w:rsidRDefault="00A645E1" w:rsidP="00462106">
      <w:pPr>
        <w:pStyle w:val="NormalWeb"/>
        <w:adjustRightInd w:val="0"/>
        <w:spacing w:before="0" w:beforeAutospacing="0" w:after="0" w:afterAutospacing="0"/>
        <w:jc w:val="both"/>
        <w:rPr>
          <w:bCs/>
          <w:i/>
          <w:iCs/>
          <w:color w:val="000000"/>
          <w:sz w:val="20"/>
          <w:szCs w:val="20"/>
          <w:lang w:val="en-US"/>
        </w:rPr>
      </w:pPr>
      <w:r w:rsidRPr="003D3CF9">
        <w:rPr>
          <w:bCs/>
          <w:i/>
          <w:iCs/>
          <w:color w:val="000000"/>
          <w:sz w:val="20"/>
          <w:szCs w:val="20"/>
          <w:lang w:val="en-US"/>
        </w:rPr>
        <w:t>AUC, area under the curve.</w:t>
      </w:r>
    </w:p>
    <w:p w14:paraId="64B94D58" w14:textId="77777777" w:rsidR="00AE2CB3" w:rsidRPr="003D3CF9" w:rsidRDefault="00AE2CB3" w:rsidP="00462106">
      <w:pPr>
        <w:pStyle w:val="NormalWeb"/>
        <w:adjustRightInd w:val="0"/>
        <w:spacing w:before="0" w:beforeAutospacing="0" w:after="0" w:afterAutospacing="0"/>
        <w:jc w:val="both"/>
        <w:rPr>
          <w:b/>
          <w:color w:val="000000"/>
          <w:lang w:val="en-US"/>
        </w:rPr>
      </w:pPr>
    </w:p>
    <w:p w14:paraId="0C5519BD" w14:textId="29ABCEEA" w:rsidR="00A20D57" w:rsidRPr="003D3CF9" w:rsidRDefault="00A20D57" w:rsidP="00462106">
      <w:pPr>
        <w:pStyle w:val="NormalWeb"/>
        <w:adjustRightInd w:val="0"/>
        <w:spacing w:before="0" w:beforeAutospacing="0" w:after="0" w:afterAutospacing="0"/>
        <w:jc w:val="both"/>
        <w:rPr>
          <w:b/>
          <w:color w:val="000000"/>
          <w:lang w:val="en-US"/>
        </w:rPr>
      </w:pPr>
      <w:r w:rsidRPr="003D3CF9">
        <w:rPr>
          <w:b/>
          <w:color w:val="000000"/>
          <w:lang w:val="en-US"/>
        </w:rPr>
        <w:t>Supplementa</w:t>
      </w:r>
      <w:r w:rsidR="006C402C">
        <w:rPr>
          <w:b/>
          <w:color w:val="000000"/>
          <w:lang w:val="en-US"/>
        </w:rPr>
        <w:t>l</w:t>
      </w:r>
      <w:r w:rsidRPr="003D3CF9">
        <w:rPr>
          <w:b/>
          <w:color w:val="000000"/>
          <w:lang w:val="en-US"/>
        </w:rPr>
        <w:t xml:space="preserve"> Table </w:t>
      </w:r>
      <w:r w:rsidR="00AE2CB3" w:rsidRPr="003D3CF9">
        <w:rPr>
          <w:b/>
          <w:color w:val="000000"/>
          <w:lang w:val="en-US"/>
        </w:rPr>
        <w:t>6</w:t>
      </w:r>
      <w:r w:rsidR="001A40D6" w:rsidRPr="003D3CF9">
        <w:rPr>
          <w:b/>
          <w:color w:val="000000"/>
          <w:lang w:val="en-US"/>
        </w:rPr>
        <w:t xml:space="preserve"> – </w:t>
      </w:r>
      <w:r w:rsidRPr="003D3CF9">
        <w:rPr>
          <w:b/>
          <w:color w:val="000000"/>
          <w:lang w:val="en-US"/>
        </w:rPr>
        <w:t xml:space="preserve">Confusion matrices for the two </w:t>
      </w:r>
      <w:r w:rsidR="00BB274F" w:rsidRPr="003D3CF9">
        <w:rPr>
          <w:b/>
          <w:color w:val="000000"/>
          <w:lang w:val="en-US"/>
        </w:rPr>
        <w:t xml:space="preserve">final </w:t>
      </w:r>
      <w:r w:rsidRPr="003D3CF9">
        <w:rPr>
          <w:b/>
          <w:color w:val="000000"/>
          <w:lang w:val="en-US"/>
        </w:rPr>
        <w:t>SVM models.</w:t>
      </w:r>
    </w:p>
    <w:p w14:paraId="0E29C7B5" w14:textId="73DF2053" w:rsidR="00A20D57" w:rsidRPr="003D3CF9" w:rsidRDefault="00A20D57" w:rsidP="00462106">
      <w:pPr>
        <w:pStyle w:val="NormalWeb"/>
        <w:adjustRightInd w:val="0"/>
        <w:spacing w:before="0" w:beforeAutospacing="0" w:after="0" w:afterAutospacing="0"/>
        <w:jc w:val="both"/>
        <w:rPr>
          <w:b/>
          <w:color w:val="000000"/>
          <w:lang w:val="en-US"/>
        </w:rPr>
      </w:pPr>
    </w:p>
    <w:tbl>
      <w:tblPr>
        <w:tblStyle w:val="TableGrid"/>
        <w:tblW w:w="0" w:type="auto"/>
        <w:tblLook w:val="04A0" w:firstRow="1" w:lastRow="0" w:firstColumn="1" w:lastColumn="0" w:noHBand="0" w:noVBand="1"/>
      </w:tblPr>
      <w:tblGrid>
        <w:gridCol w:w="2254"/>
        <w:gridCol w:w="1852"/>
        <w:gridCol w:w="2656"/>
        <w:gridCol w:w="2254"/>
      </w:tblGrid>
      <w:tr w:rsidR="00A20D57" w:rsidRPr="003D3CF9" w14:paraId="0D416806" w14:textId="77777777" w:rsidTr="00A32C46">
        <w:tc>
          <w:tcPr>
            <w:tcW w:w="9016" w:type="dxa"/>
            <w:gridSpan w:val="4"/>
            <w:shd w:val="clear" w:color="auto" w:fill="F2F2F2" w:themeFill="background1" w:themeFillShade="F2"/>
          </w:tcPr>
          <w:p w14:paraId="36F26CB7" w14:textId="74CFC4A8" w:rsidR="00A20D57" w:rsidRPr="003D3CF9" w:rsidRDefault="00A20D57" w:rsidP="00462106">
            <w:pPr>
              <w:pStyle w:val="NormalWeb"/>
              <w:adjustRightInd w:val="0"/>
              <w:spacing w:before="0" w:beforeAutospacing="0" w:after="0" w:afterAutospacing="0"/>
              <w:jc w:val="both"/>
              <w:rPr>
                <w:b/>
                <w:color w:val="000000"/>
                <w:lang w:val="en-US"/>
              </w:rPr>
            </w:pPr>
            <w:r w:rsidRPr="003D3CF9">
              <w:rPr>
                <w:b/>
                <w:color w:val="000000"/>
                <w:lang w:val="en-US"/>
              </w:rPr>
              <w:t xml:space="preserve">SVM model </w:t>
            </w:r>
            <w:r w:rsidR="00F92BE5" w:rsidRPr="003D3CF9">
              <w:rPr>
                <w:b/>
                <w:color w:val="000000"/>
                <w:lang w:val="en-US"/>
              </w:rPr>
              <w:t>distinguishing subclinical HCM from controls</w:t>
            </w:r>
          </w:p>
        </w:tc>
      </w:tr>
      <w:tr w:rsidR="006D6EF0" w:rsidRPr="003D3CF9" w14:paraId="3DED653D" w14:textId="77777777" w:rsidTr="0092704A">
        <w:tc>
          <w:tcPr>
            <w:tcW w:w="2254" w:type="dxa"/>
          </w:tcPr>
          <w:p w14:paraId="50DD01EA" w14:textId="77777777" w:rsidR="006D6EF0" w:rsidRPr="003D3CF9" w:rsidRDefault="006D6EF0" w:rsidP="00462106">
            <w:pPr>
              <w:pStyle w:val="NormalWeb"/>
              <w:adjustRightInd w:val="0"/>
              <w:spacing w:before="0" w:beforeAutospacing="0" w:after="0" w:afterAutospacing="0"/>
              <w:jc w:val="both"/>
              <w:rPr>
                <w:b/>
                <w:color w:val="000000"/>
                <w:lang w:val="en-US"/>
              </w:rPr>
            </w:pPr>
          </w:p>
        </w:tc>
        <w:tc>
          <w:tcPr>
            <w:tcW w:w="1852" w:type="dxa"/>
          </w:tcPr>
          <w:p w14:paraId="499F45C0" w14:textId="5705FF3B" w:rsidR="006D6EF0" w:rsidRPr="003D3CF9" w:rsidRDefault="0092704A" w:rsidP="00A32C46">
            <w:pPr>
              <w:pStyle w:val="NormalWeb"/>
              <w:adjustRightInd w:val="0"/>
              <w:spacing w:before="0" w:beforeAutospacing="0" w:after="0" w:afterAutospacing="0"/>
              <w:jc w:val="center"/>
              <w:rPr>
                <w:b/>
                <w:color w:val="000000"/>
                <w:lang w:val="en-US"/>
              </w:rPr>
            </w:pPr>
            <w:r w:rsidRPr="003D3CF9">
              <w:rPr>
                <w:b/>
                <w:color w:val="000000"/>
                <w:lang w:val="en-US"/>
              </w:rPr>
              <w:t>Control</w:t>
            </w:r>
          </w:p>
        </w:tc>
        <w:tc>
          <w:tcPr>
            <w:tcW w:w="2656" w:type="dxa"/>
          </w:tcPr>
          <w:p w14:paraId="7E43A51F" w14:textId="0C7747B1" w:rsidR="006D6EF0" w:rsidRPr="003D3CF9" w:rsidRDefault="0092704A" w:rsidP="00A32C46">
            <w:pPr>
              <w:pStyle w:val="NormalWeb"/>
              <w:adjustRightInd w:val="0"/>
              <w:spacing w:before="0" w:beforeAutospacing="0" w:after="0" w:afterAutospacing="0"/>
              <w:jc w:val="center"/>
              <w:rPr>
                <w:b/>
                <w:color w:val="000000"/>
                <w:lang w:val="en-US"/>
              </w:rPr>
            </w:pPr>
            <w:r w:rsidRPr="003D3CF9">
              <w:rPr>
                <w:b/>
                <w:color w:val="000000"/>
                <w:lang w:val="en-US"/>
              </w:rPr>
              <w:t>Subclinical HCM</w:t>
            </w:r>
          </w:p>
        </w:tc>
        <w:tc>
          <w:tcPr>
            <w:tcW w:w="2254" w:type="dxa"/>
          </w:tcPr>
          <w:p w14:paraId="04229651" w14:textId="4C3230AF" w:rsidR="006D6EF0" w:rsidRPr="003D3CF9" w:rsidRDefault="006D6EF0" w:rsidP="00A32C46">
            <w:pPr>
              <w:pStyle w:val="NormalWeb"/>
              <w:adjustRightInd w:val="0"/>
              <w:spacing w:before="0" w:beforeAutospacing="0" w:after="0" w:afterAutospacing="0"/>
              <w:jc w:val="center"/>
              <w:rPr>
                <w:b/>
                <w:color w:val="000000"/>
                <w:lang w:val="en-US"/>
              </w:rPr>
            </w:pPr>
            <w:r w:rsidRPr="003D3CF9">
              <w:rPr>
                <w:b/>
                <w:color w:val="000000"/>
                <w:lang w:val="en-US"/>
              </w:rPr>
              <w:t>Totals</w:t>
            </w:r>
          </w:p>
        </w:tc>
      </w:tr>
      <w:tr w:rsidR="00A20D57" w:rsidRPr="003D3CF9" w14:paraId="603C16C2" w14:textId="77777777" w:rsidTr="0092704A">
        <w:tc>
          <w:tcPr>
            <w:tcW w:w="2254" w:type="dxa"/>
          </w:tcPr>
          <w:p w14:paraId="214062DB" w14:textId="53C73976" w:rsidR="00A20D57" w:rsidRPr="003D3CF9" w:rsidRDefault="006D6EF0" w:rsidP="0092704A">
            <w:pPr>
              <w:pStyle w:val="NormalWeb"/>
              <w:adjustRightInd w:val="0"/>
              <w:spacing w:before="0" w:beforeAutospacing="0" w:after="0" w:afterAutospacing="0"/>
              <w:jc w:val="right"/>
              <w:rPr>
                <w:b/>
                <w:color w:val="000000"/>
                <w:lang w:val="en-US"/>
              </w:rPr>
            </w:pPr>
            <w:r w:rsidRPr="003D3CF9">
              <w:rPr>
                <w:b/>
                <w:color w:val="000000"/>
                <w:lang w:val="en-US"/>
              </w:rPr>
              <w:t>Test Positive</w:t>
            </w:r>
          </w:p>
        </w:tc>
        <w:tc>
          <w:tcPr>
            <w:tcW w:w="1852" w:type="dxa"/>
          </w:tcPr>
          <w:p w14:paraId="3E1D39A2" w14:textId="3030067A"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3</w:t>
            </w:r>
          </w:p>
        </w:tc>
        <w:tc>
          <w:tcPr>
            <w:tcW w:w="2656" w:type="dxa"/>
          </w:tcPr>
          <w:p w14:paraId="0238E009" w14:textId="1EA5B335"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68</w:t>
            </w:r>
          </w:p>
        </w:tc>
        <w:tc>
          <w:tcPr>
            <w:tcW w:w="2254" w:type="dxa"/>
          </w:tcPr>
          <w:p w14:paraId="5AF76720" w14:textId="67A0F786"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71</w:t>
            </w:r>
          </w:p>
        </w:tc>
      </w:tr>
      <w:tr w:rsidR="00A20D57" w:rsidRPr="003D3CF9" w14:paraId="2D60D199" w14:textId="77777777" w:rsidTr="0092704A">
        <w:tc>
          <w:tcPr>
            <w:tcW w:w="2254" w:type="dxa"/>
          </w:tcPr>
          <w:p w14:paraId="7C42030A" w14:textId="20072A54" w:rsidR="00A20D57" w:rsidRPr="003D3CF9" w:rsidRDefault="006D6EF0" w:rsidP="0092704A">
            <w:pPr>
              <w:pStyle w:val="NormalWeb"/>
              <w:adjustRightInd w:val="0"/>
              <w:spacing w:before="0" w:beforeAutospacing="0" w:after="0" w:afterAutospacing="0"/>
              <w:jc w:val="right"/>
              <w:rPr>
                <w:b/>
                <w:color w:val="000000"/>
                <w:lang w:val="en-US"/>
              </w:rPr>
            </w:pPr>
            <w:r w:rsidRPr="003D3CF9">
              <w:rPr>
                <w:b/>
                <w:color w:val="000000"/>
                <w:lang w:val="en-US"/>
              </w:rPr>
              <w:t>Test Negative</w:t>
            </w:r>
          </w:p>
        </w:tc>
        <w:tc>
          <w:tcPr>
            <w:tcW w:w="1852" w:type="dxa"/>
          </w:tcPr>
          <w:p w14:paraId="0B7B8C6C" w14:textId="5962DD20"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32</w:t>
            </w:r>
          </w:p>
        </w:tc>
        <w:tc>
          <w:tcPr>
            <w:tcW w:w="2656" w:type="dxa"/>
          </w:tcPr>
          <w:p w14:paraId="1DC6D365" w14:textId="55D8A91B"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0</w:t>
            </w:r>
          </w:p>
        </w:tc>
        <w:tc>
          <w:tcPr>
            <w:tcW w:w="2254" w:type="dxa"/>
          </w:tcPr>
          <w:p w14:paraId="6FA87A18" w14:textId="58390D31"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32</w:t>
            </w:r>
          </w:p>
        </w:tc>
      </w:tr>
      <w:tr w:rsidR="00A20D57" w:rsidRPr="003D3CF9" w14:paraId="149F427C" w14:textId="77777777" w:rsidTr="0092704A">
        <w:tc>
          <w:tcPr>
            <w:tcW w:w="2254" w:type="dxa"/>
          </w:tcPr>
          <w:p w14:paraId="76559D31" w14:textId="073F201B" w:rsidR="00A20D57" w:rsidRPr="003D3CF9" w:rsidRDefault="006D6EF0" w:rsidP="0092704A">
            <w:pPr>
              <w:pStyle w:val="NormalWeb"/>
              <w:adjustRightInd w:val="0"/>
              <w:spacing w:before="0" w:beforeAutospacing="0" w:after="0" w:afterAutospacing="0"/>
              <w:jc w:val="right"/>
              <w:rPr>
                <w:b/>
                <w:color w:val="000000"/>
                <w:lang w:val="en-US"/>
              </w:rPr>
            </w:pPr>
            <w:r w:rsidRPr="003D3CF9">
              <w:rPr>
                <w:b/>
                <w:color w:val="000000"/>
                <w:lang w:val="en-US"/>
              </w:rPr>
              <w:t>Totals</w:t>
            </w:r>
          </w:p>
        </w:tc>
        <w:tc>
          <w:tcPr>
            <w:tcW w:w="1852" w:type="dxa"/>
          </w:tcPr>
          <w:p w14:paraId="4D7C4CFF" w14:textId="1E46C2A8"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35</w:t>
            </w:r>
          </w:p>
        </w:tc>
        <w:tc>
          <w:tcPr>
            <w:tcW w:w="2656" w:type="dxa"/>
          </w:tcPr>
          <w:p w14:paraId="34A2B791" w14:textId="5A43C3DE"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68</w:t>
            </w:r>
          </w:p>
        </w:tc>
        <w:tc>
          <w:tcPr>
            <w:tcW w:w="2254" w:type="dxa"/>
          </w:tcPr>
          <w:p w14:paraId="616902DA" w14:textId="5C52032C" w:rsidR="00A20D57" w:rsidRPr="003D3CF9" w:rsidRDefault="00A32C46" w:rsidP="00A32C46">
            <w:pPr>
              <w:pStyle w:val="NormalWeb"/>
              <w:adjustRightInd w:val="0"/>
              <w:spacing w:before="0" w:beforeAutospacing="0" w:after="0" w:afterAutospacing="0"/>
              <w:jc w:val="center"/>
              <w:rPr>
                <w:bCs/>
                <w:color w:val="000000"/>
                <w:lang w:val="en-US"/>
              </w:rPr>
            </w:pPr>
            <w:r w:rsidRPr="003D3CF9">
              <w:rPr>
                <w:bCs/>
                <w:color w:val="000000"/>
                <w:lang w:val="en-US"/>
              </w:rPr>
              <w:t>103</w:t>
            </w:r>
          </w:p>
        </w:tc>
      </w:tr>
      <w:tr w:rsidR="00F92BE5" w:rsidRPr="003D3CF9" w14:paraId="0A91F209" w14:textId="77777777" w:rsidTr="00A32C46">
        <w:tc>
          <w:tcPr>
            <w:tcW w:w="9016" w:type="dxa"/>
            <w:gridSpan w:val="4"/>
            <w:shd w:val="clear" w:color="auto" w:fill="F2F2F2" w:themeFill="background1" w:themeFillShade="F2"/>
          </w:tcPr>
          <w:p w14:paraId="773A1704" w14:textId="0FCF0957" w:rsidR="00F92BE5" w:rsidRPr="003D3CF9" w:rsidRDefault="00F92BE5" w:rsidP="00462106">
            <w:pPr>
              <w:pStyle w:val="NormalWeb"/>
              <w:adjustRightInd w:val="0"/>
              <w:spacing w:before="0" w:beforeAutospacing="0" w:after="0" w:afterAutospacing="0"/>
              <w:jc w:val="both"/>
              <w:rPr>
                <w:b/>
                <w:color w:val="000000"/>
                <w:lang w:val="en-US"/>
              </w:rPr>
            </w:pPr>
            <w:r w:rsidRPr="003D3CF9">
              <w:rPr>
                <w:b/>
                <w:color w:val="000000"/>
                <w:lang w:val="en-US"/>
              </w:rPr>
              <w:t xml:space="preserve">SVM model distinguishing </w:t>
            </w:r>
            <w:r w:rsidR="004F228E" w:rsidRPr="003D3CF9">
              <w:rPr>
                <w:b/>
                <w:color w:val="000000"/>
                <w:lang w:val="en-US"/>
              </w:rPr>
              <w:t xml:space="preserve">NSVT+ or </w:t>
            </w:r>
            <w:r w:rsidRPr="003D3CF9">
              <w:rPr>
                <w:b/>
                <w:color w:val="000000"/>
                <w:lang w:val="en-US"/>
              </w:rPr>
              <w:t>intermediate</w:t>
            </w:r>
            <w:r w:rsidR="001C73AE" w:rsidRPr="003D3CF9">
              <w:rPr>
                <w:b/>
                <w:color w:val="000000"/>
                <w:lang w:val="en-US"/>
              </w:rPr>
              <w:t>/high</w:t>
            </w:r>
            <w:r w:rsidR="0092704A" w:rsidRPr="003D3CF9">
              <w:rPr>
                <w:b/>
                <w:color w:val="000000"/>
                <w:lang w:val="en-US"/>
              </w:rPr>
              <w:t>-</w:t>
            </w:r>
            <w:r w:rsidRPr="003D3CF9">
              <w:rPr>
                <w:b/>
                <w:color w:val="000000"/>
                <w:lang w:val="en-US"/>
              </w:rPr>
              <w:t>risk from low</w:t>
            </w:r>
            <w:r w:rsidR="0092704A" w:rsidRPr="003D3CF9">
              <w:rPr>
                <w:b/>
                <w:color w:val="000000"/>
                <w:lang w:val="en-US"/>
              </w:rPr>
              <w:t>-</w:t>
            </w:r>
            <w:r w:rsidRPr="003D3CF9">
              <w:rPr>
                <w:b/>
                <w:color w:val="000000"/>
                <w:lang w:val="en-US"/>
              </w:rPr>
              <w:t xml:space="preserve">risk patients </w:t>
            </w:r>
          </w:p>
        </w:tc>
      </w:tr>
      <w:tr w:rsidR="006D6EF0" w:rsidRPr="003D3CF9" w14:paraId="6079BC60" w14:textId="77777777" w:rsidTr="0092704A">
        <w:tc>
          <w:tcPr>
            <w:tcW w:w="2254" w:type="dxa"/>
          </w:tcPr>
          <w:p w14:paraId="37D9DDDD" w14:textId="77777777" w:rsidR="006D6EF0" w:rsidRPr="003D3CF9" w:rsidRDefault="006D6EF0" w:rsidP="006D6EF0">
            <w:pPr>
              <w:pStyle w:val="NormalWeb"/>
              <w:adjustRightInd w:val="0"/>
              <w:spacing w:before="0" w:beforeAutospacing="0" w:after="0" w:afterAutospacing="0"/>
              <w:jc w:val="both"/>
              <w:rPr>
                <w:b/>
                <w:color w:val="000000"/>
                <w:lang w:val="en-US"/>
              </w:rPr>
            </w:pPr>
          </w:p>
        </w:tc>
        <w:tc>
          <w:tcPr>
            <w:tcW w:w="1852" w:type="dxa"/>
          </w:tcPr>
          <w:p w14:paraId="3C21453F" w14:textId="7A28B6A9" w:rsidR="006D6EF0" w:rsidRPr="003D3CF9" w:rsidRDefault="0092704A" w:rsidP="00A32C46">
            <w:pPr>
              <w:pStyle w:val="NormalWeb"/>
              <w:adjustRightInd w:val="0"/>
              <w:spacing w:before="0" w:beforeAutospacing="0" w:after="0" w:afterAutospacing="0"/>
              <w:jc w:val="center"/>
              <w:rPr>
                <w:b/>
                <w:color w:val="000000"/>
                <w:lang w:val="en-US"/>
              </w:rPr>
            </w:pPr>
            <w:r w:rsidRPr="003D3CF9">
              <w:rPr>
                <w:b/>
                <w:color w:val="000000"/>
                <w:lang w:val="en-US"/>
              </w:rPr>
              <w:t>Low-risk</w:t>
            </w:r>
          </w:p>
        </w:tc>
        <w:tc>
          <w:tcPr>
            <w:tcW w:w="2656" w:type="dxa"/>
          </w:tcPr>
          <w:p w14:paraId="636A532F" w14:textId="67043962" w:rsidR="006D6EF0" w:rsidRPr="003D3CF9" w:rsidRDefault="001C73AE" w:rsidP="00A32C46">
            <w:pPr>
              <w:pStyle w:val="NormalWeb"/>
              <w:adjustRightInd w:val="0"/>
              <w:spacing w:before="0" w:beforeAutospacing="0" w:after="0" w:afterAutospacing="0"/>
              <w:jc w:val="center"/>
              <w:rPr>
                <w:b/>
                <w:color w:val="000000"/>
                <w:lang w:val="en-US"/>
              </w:rPr>
            </w:pPr>
            <w:r w:rsidRPr="003D3CF9">
              <w:rPr>
                <w:b/>
                <w:color w:val="000000"/>
                <w:lang w:val="en-US"/>
              </w:rPr>
              <w:t>I</w:t>
            </w:r>
            <w:r w:rsidR="0092704A" w:rsidRPr="003D3CF9">
              <w:rPr>
                <w:b/>
                <w:color w:val="000000"/>
                <w:lang w:val="en-US"/>
              </w:rPr>
              <w:t>ntermediate</w:t>
            </w:r>
            <w:r w:rsidRPr="003D3CF9">
              <w:rPr>
                <w:b/>
                <w:color w:val="000000"/>
                <w:lang w:val="en-US"/>
              </w:rPr>
              <w:t>/high</w:t>
            </w:r>
            <w:r w:rsidR="0092704A" w:rsidRPr="003D3CF9">
              <w:rPr>
                <w:b/>
                <w:color w:val="000000"/>
                <w:lang w:val="en-US"/>
              </w:rPr>
              <w:t>-risk</w:t>
            </w:r>
          </w:p>
        </w:tc>
        <w:tc>
          <w:tcPr>
            <w:tcW w:w="2254" w:type="dxa"/>
          </w:tcPr>
          <w:p w14:paraId="01060EFD" w14:textId="5FD83268" w:rsidR="006D6EF0" w:rsidRPr="003D3CF9" w:rsidRDefault="006D6EF0" w:rsidP="00A32C46">
            <w:pPr>
              <w:pStyle w:val="NormalWeb"/>
              <w:adjustRightInd w:val="0"/>
              <w:spacing w:before="0" w:beforeAutospacing="0" w:after="0" w:afterAutospacing="0"/>
              <w:jc w:val="center"/>
              <w:rPr>
                <w:b/>
                <w:color w:val="000000"/>
                <w:lang w:val="en-US"/>
              </w:rPr>
            </w:pPr>
            <w:r w:rsidRPr="003D3CF9">
              <w:rPr>
                <w:b/>
                <w:color w:val="000000"/>
                <w:lang w:val="en-US"/>
              </w:rPr>
              <w:t>Totals</w:t>
            </w:r>
          </w:p>
        </w:tc>
      </w:tr>
      <w:tr w:rsidR="006D6EF0" w:rsidRPr="003D3CF9" w14:paraId="625BAECF" w14:textId="77777777" w:rsidTr="0092704A">
        <w:tc>
          <w:tcPr>
            <w:tcW w:w="2254" w:type="dxa"/>
          </w:tcPr>
          <w:p w14:paraId="1BFF073B" w14:textId="0412B63F" w:rsidR="006D6EF0" w:rsidRPr="003D3CF9" w:rsidRDefault="006D6EF0" w:rsidP="0092704A">
            <w:pPr>
              <w:pStyle w:val="NormalWeb"/>
              <w:adjustRightInd w:val="0"/>
              <w:spacing w:before="0" w:beforeAutospacing="0" w:after="0" w:afterAutospacing="0"/>
              <w:jc w:val="right"/>
              <w:rPr>
                <w:b/>
                <w:color w:val="000000"/>
                <w:lang w:val="en-US"/>
              </w:rPr>
            </w:pPr>
            <w:r w:rsidRPr="003D3CF9">
              <w:rPr>
                <w:b/>
                <w:color w:val="000000"/>
                <w:lang w:val="en-US"/>
              </w:rPr>
              <w:t>Test Positive</w:t>
            </w:r>
          </w:p>
        </w:tc>
        <w:tc>
          <w:tcPr>
            <w:tcW w:w="1852" w:type="dxa"/>
          </w:tcPr>
          <w:p w14:paraId="21C5329C" w14:textId="6BC40568"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0</w:t>
            </w:r>
          </w:p>
        </w:tc>
        <w:tc>
          <w:tcPr>
            <w:tcW w:w="2656" w:type="dxa"/>
          </w:tcPr>
          <w:p w14:paraId="25334BC9" w14:textId="2FA008C6"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17</w:t>
            </w:r>
          </w:p>
        </w:tc>
        <w:tc>
          <w:tcPr>
            <w:tcW w:w="2254" w:type="dxa"/>
          </w:tcPr>
          <w:p w14:paraId="3BEF31F1" w14:textId="6C903742"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17</w:t>
            </w:r>
          </w:p>
        </w:tc>
      </w:tr>
      <w:tr w:rsidR="006D6EF0" w:rsidRPr="003D3CF9" w14:paraId="2BBD5A6C" w14:textId="77777777" w:rsidTr="0092704A">
        <w:tc>
          <w:tcPr>
            <w:tcW w:w="2254" w:type="dxa"/>
          </w:tcPr>
          <w:p w14:paraId="724E273E" w14:textId="5CE64908" w:rsidR="006D6EF0" w:rsidRPr="003D3CF9" w:rsidRDefault="006D6EF0" w:rsidP="0092704A">
            <w:pPr>
              <w:pStyle w:val="NormalWeb"/>
              <w:adjustRightInd w:val="0"/>
              <w:spacing w:before="0" w:beforeAutospacing="0" w:after="0" w:afterAutospacing="0"/>
              <w:jc w:val="right"/>
              <w:rPr>
                <w:b/>
                <w:color w:val="000000"/>
                <w:lang w:val="en-US"/>
              </w:rPr>
            </w:pPr>
            <w:r w:rsidRPr="003D3CF9">
              <w:rPr>
                <w:b/>
                <w:color w:val="000000"/>
                <w:lang w:val="en-US"/>
              </w:rPr>
              <w:t>Test Negative</w:t>
            </w:r>
          </w:p>
        </w:tc>
        <w:tc>
          <w:tcPr>
            <w:tcW w:w="1852" w:type="dxa"/>
          </w:tcPr>
          <w:p w14:paraId="3B4472E1" w14:textId="3EC22BF5"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85</w:t>
            </w:r>
          </w:p>
        </w:tc>
        <w:tc>
          <w:tcPr>
            <w:tcW w:w="2656" w:type="dxa"/>
          </w:tcPr>
          <w:p w14:paraId="4BF7F73B" w14:textId="297D6634"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1</w:t>
            </w:r>
          </w:p>
        </w:tc>
        <w:tc>
          <w:tcPr>
            <w:tcW w:w="2254" w:type="dxa"/>
          </w:tcPr>
          <w:p w14:paraId="02D475F1" w14:textId="166C00F6"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86</w:t>
            </w:r>
          </w:p>
        </w:tc>
      </w:tr>
      <w:tr w:rsidR="006D6EF0" w:rsidRPr="003D3CF9" w14:paraId="0CE17D69" w14:textId="77777777" w:rsidTr="0092704A">
        <w:tc>
          <w:tcPr>
            <w:tcW w:w="2254" w:type="dxa"/>
          </w:tcPr>
          <w:p w14:paraId="1A4299BC" w14:textId="098C8FF3" w:rsidR="006D6EF0" w:rsidRPr="003D3CF9" w:rsidRDefault="006D6EF0" w:rsidP="0092704A">
            <w:pPr>
              <w:pStyle w:val="NormalWeb"/>
              <w:adjustRightInd w:val="0"/>
              <w:spacing w:before="0" w:beforeAutospacing="0" w:after="0" w:afterAutospacing="0"/>
              <w:jc w:val="right"/>
              <w:rPr>
                <w:b/>
                <w:color w:val="000000"/>
                <w:lang w:val="en-US"/>
              </w:rPr>
            </w:pPr>
            <w:r w:rsidRPr="003D3CF9">
              <w:rPr>
                <w:b/>
                <w:color w:val="000000"/>
                <w:lang w:val="en-US"/>
              </w:rPr>
              <w:t>Totals</w:t>
            </w:r>
          </w:p>
        </w:tc>
        <w:tc>
          <w:tcPr>
            <w:tcW w:w="1852" w:type="dxa"/>
          </w:tcPr>
          <w:p w14:paraId="08108A22" w14:textId="0BC16EA7"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85</w:t>
            </w:r>
          </w:p>
        </w:tc>
        <w:tc>
          <w:tcPr>
            <w:tcW w:w="2656" w:type="dxa"/>
          </w:tcPr>
          <w:p w14:paraId="7D8FDCBD" w14:textId="408D6698"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18</w:t>
            </w:r>
          </w:p>
        </w:tc>
        <w:tc>
          <w:tcPr>
            <w:tcW w:w="2254" w:type="dxa"/>
          </w:tcPr>
          <w:p w14:paraId="13144D2D" w14:textId="1D9BF3F2" w:rsidR="006D6EF0" w:rsidRPr="003D3CF9" w:rsidRDefault="00D4357B" w:rsidP="00A32C46">
            <w:pPr>
              <w:pStyle w:val="NormalWeb"/>
              <w:adjustRightInd w:val="0"/>
              <w:spacing w:before="0" w:beforeAutospacing="0" w:after="0" w:afterAutospacing="0"/>
              <w:jc w:val="center"/>
              <w:rPr>
                <w:bCs/>
                <w:color w:val="000000"/>
                <w:lang w:val="en-US"/>
              </w:rPr>
            </w:pPr>
            <w:r w:rsidRPr="003D3CF9">
              <w:rPr>
                <w:bCs/>
                <w:color w:val="000000"/>
                <w:lang w:val="en-US"/>
              </w:rPr>
              <w:t>103</w:t>
            </w:r>
          </w:p>
        </w:tc>
      </w:tr>
    </w:tbl>
    <w:p w14:paraId="51E80B7C" w14:textId="77777777" w:rsidR="00A20D57" w:rsidRPr="003D3CF9" w:rsidRDefault="00A20D57" w:rsidP="00462106">
      <w:pPr>
        <w:pStyle w:val="NormalWeb"/>
        <w:adjustRightInd w:val="0"/>
        <w:spacing w:before="0" w:beforeAutospacing="0" w:after="0" w:afterAutospacing="0"/>
        <w:jc w:val="both"/>
        <w:rPr>
          <w:b/>
          <w:color w:val="000000"/>
          <w:lang w:val="en-US"/>
        </w:rPr>
      </w:pPr>
    </w:p>
    <w:p w14:paraId="3B0BA065" w14:textId="33483B0D" w:rsidR="00A20D57" w:rsidRPr="003D3CF9" w:rsidRDefault="00A01D19" w:rsidP="00462106">
      <w:pPr>
        <w:pStyle w:val="NormalWeb"/>
        <w:adjustRightInd w:val="0"/>
        <w:spacing w:before="0" w:beforeAutospacing="0" w:after="0" w:afterAutospacing="0"/>
        <w:jc w:val="both"/>
        <w:rPr>
          <w:b/>
          <w:color w:val="000000"/>
          <w:lang w:val="en-US"/>
        </w:rPr>
      </w:pPr>
      <w:r w:rsidRPr="003D3CF9">
        <w:rPr>
          <w:b/>
          <w:color w:val="000000"/>
          <w:lang w:val="en-US"/>
        </w:rPr>
        <w:t>Supplementa</w:t>
      </w:r>
      <w:r w:rsidR="006C402C">
        <w:rPr>
          <w:b/>
          <w:color w:val="000000"/>
          <w:lang w:val="en-US"/>
        </w:rPr>
        <w:t>l</w:t>
      </w:r>
      <w:r w:rsidRPr="003D3CF9">
        <w:rPr>
          <w:b/>
          <w:color w:val="000000"/>
          <w:lang w:val="en-US"/>
        </w:rPr>
        <w:t xml:space="preserve"> Table 7</w:t>
      </w:r>
      <w:r w:rsidR="001A40D6" w:rsidRPr="003D3CF9">
        <w:rPr>
          <w:b/>
          <w:color w:val="000000"/>
          <w:lang w:val="en-US"/>
        </w:rPr>
        <w:t xml:space="preserve"> – </w:t>
      </w:r>
      <w:r w:rsidRPr="003D3CF9">
        <w:rPr>
          <w:b/>
          <w:color w:val="000000"/>
          <w:lang w:val="en-US"/>
        </w:rPr>
        <w:t>Contribution of each ECGI determinant to the predictive capacity of the subclinical vs control SVM model.</w:t>
      </w:r>
    </w:p>
    <w:p w14:paraId="45AAE5DC" w14:textId="4840F858" w:rsidR="00A01D19" w:rsidRPr="003D3CF9" w:rsidRDefault="00A01D19" w:rsidP="00462106">
      <w:pPr>
        <w:pStyle w:val="NormalWeb"/>
        <w:adjustRightInd w:val="0"/>
        <w:spacing w:before="0" w:beforeAutospacing="0" w:after="0" w:afterAutospacing="0"/>
        <w:jc w:val="both"/>
        <w:rPr>
          <w:b/>
          <w:color w:val="000000"/>
          <w:lang w:val="en-US"/>
        </w:rPr>
      </w:pPr>
    </w:p>
    <w:tbl>
      <w:tblPr>
        <w:tblStyle w:val="TableGrid"/>
        <w:tblW w:w="0" w:type="auto"/>
        <w:tblLook w:val="04A0" w:firstRow="1" w:lastRow="0" w:firstColumn="1" w:lastColumn="0" w:noHBand="0" w:noVBand="1"/>
      </w:tblPr>
      <w:tblGrid>
        <w:gridCol w:w="2972"/>
        <w:gridCol w:w="2835"/>
      </w:tblGrid>
      <w:tr w:rsidR="00D1125C" w:rsidRPr="003D3CF9" w14:paraId="280C9220" w14:textId="77777777" w:rsidTr="00720963">
        <w:tc>
          <w:tcPr>
            <w:tcW w:w="2972" w:type="dxa"/>
            <w:vAlign w:val="bottom"/>
          </w:tcPr>
          <w:p w14:paraId="30191832" w14:textId="35F7E33D" w:rsidR="00D1125C" w:rsidRPr="003D3CF9" w:rsidRDefault="00D1125C" w:rsidP="00006889">
            <w:pPr>
              <w:pStyle w:val="NormalWeb"/>
              <w:adjustRightInd w:val="0"/>
              <w:spacing w:before="0" w:beforeAutospacing="0" w:after="0" w:afterAutospacing="0"/>
              <w:jc w:val="both"/>
              <w:rPr>
                <w:b/>
                <w:bCs/>
                <w:color w:val="000000"/>
                <w:lang w:val="en-US"/>
              </w:rPr>
            </w:pPr>
            <w:r w:rsidRPr="003D3CF9">
              <w:rPr>
                <w:b/>
                <w:bCs/>
                <w:color w:val="000000"/>
                <w:lang w:val="en-US"/>
              </w:rPr>
              <w:t>Ranked ECGI Parameter</w:t>
            </w:r>
          </w:p>
        </w:tc>
        <w:tc>
          <w:tcPr>
            <w:tcW w:w="2835" w:type="dxa"/>
            <w:vAlign w:val="bottom"/>
          </w:tcPr>
          <w:p w14:paraId="4DC20A28" w14:textId="75F3E202" w:rsidR="00D1125C" w:rsidRPr="003D3CF9" w:rsidRDefault="00D1125C" w:rsidP="00006889">
            <w:pPr>
              <w:pStyle w:val="NormalWeb"/>
              <w:adjustRightInd w:val="0"/>
              <w:spacing w:before="0" w:beforeAutospacing="0" w:after="0" w:afterAutospacing="0"/>
              <w:jc w:val="both"/>
              <w:rPr>
                <w:b/>
                <w:bCs/>
                <w:color w:val="000000"/>
                <w:lang w:val="en-US"/>
              </w:rPr>
            </w:pPr>
            <w:r w:rsidRPr="003D3CF9">
              <w:rPr>
                <w:b/>
                <w:bCs/>
                <w:color w:val="000000"/>
                <w:lang w:val="en-US"/>
              </w:rPr>
              <w:t>Importance coefficient</w:t>
            </w:r>
          </w:p>
        </w:tc>
      </w:tr>
      <w:tr w:rsidR="00006889" w:rsidRPr="003D3CF9" w14:paraId="120E083A" w14:textId="77777777" w:rsidTr="00720963">
        <w:tc>
          <w:tcPr>
            <w:tcW w:w="2972" w:type="dxa"/>
            <w:vAlign w:val="bottom"/>
          </w:tcPr>
          <w:p w14:paraId="2E14D459" w14:textId="02EBFD30" w:rsidR="00006889" w:rsidRPr="003D3CF9" w:rsidRDefault="009F41F0" w:rsidP="00006889">
            <w:pPr>
              <w:pStyle w:val="NormalWeb"/>
              <w:adjustRightInd w:val="0"/>
              <w:spacing w:before="0" w:beforeAutospacing="0" w:after="0" w:afterAutospacing="0"/>
              <w:jc w:val="both"/>
              <w:rPr>
                <w:b/>
                <w:color w:val="000000"/>
                <w:lang w:val="en-US"/>
              </w:rPr>
            </w:pPr>
            <w:r w:rsidRPr="003D3CF9">
              <w:rPr>
                <w:color w:val="000000"/>
                <w:lang w:val="en-US"/>
              </w:rPr>
              <w:t>Mean AT</w:t>
            </w:r>
          </w:p>
        </w:tc>
        <w:tc>
          <w:tcPr>
            <w:tcW w:w="2835" w:type="dxa"/>
            <w:vAlign w:val="bottom"/>
          </w:tcPr>
          <w:p w14:paraId="70233751" w14:textId="5BF2FD81"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0.30</w:t>
            </w:r>
            <w:r w:rsidR="00D1125C" w:rsidRPr="003D3CF9">
              <w:rPr>
                <w:color w:val="000000"/>
                <w:lang w:val="en-US"/>
              </w:rPr>
              <w:t>6</w:t>
            </w:r>
          </w:p>
        </w:tc>
      </w:tr>
      <w:tr w:rsidR="00006889" w:rsidRPr="003D3CF9" w14:paraId="28F2F01F" w14:textId="77777777" w:rsidTr="00720963">
        <w:tc>
          <w:tcPr>
            <w:tcW w:w="2972" w:type="dxa"/>
            <w:vAlign w:val="bottom"/>
          </w:tcPr>
          <w:p w14:paraId="3F5E5ED4" w14:textId="3A0FC30B" w:rsidR="00006889" w:rsidRPr="003D3CF9" w:rsidRDefault="006A2A00" w:rsidP="00006889">
            <w:pPr>
              <w:pStyle w:val="NormalWeb"/>
              <w:adjustRightInd w:val="0"/>
              <w:spacing w:before="0" w:beforeAutospacing="0" w:after="0" w:afterAutospacing="0"/>
              <w:jc w:val="both"/>
              <w:rPr>
                <w:b/>
                <w:color w:val="000000"/>
                <w:lang w:val="en-US"/>
              </w:rPr>
            </w:pPr>
            <w:r w:rsidRPr="003D3CF9">
              <w:rPr>
                <w:color w:val="000000"/>
                <w:lang w:val="en-US"/>
              </w:rPr>
              <w:t>Mean G</w:t>
            </w:r>
            <w:r w:rsidRPr="003D3CF9">
              <w:rPr>
                <w:color w:val="000000"/>
                <w:vertAlign w:val="subscript"/>
                <w:lang w:val="en-US"/>
              </w:rPr>
              <w:t>RTc</w:t>
            </w:r>
          </w:p>
        </w:tc>
        <w:tc>
          <w:tcPr>
            <w:tcW w:w="2835" w:type="dxa"/>
            <w:vAlign w:val="bottom"/>
          </w:tcPr>
          <w:p w14:paraId="2268C8FA" w14:textId="1AD0116E"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0.26</w:t>
            </w:r>
            <w:r w:rsidR="00D1125C" w:rsidRPr="003D3CF9">
              <w:rPr>
                <w:color w:val="000000"/>
                <w:lang w:val="en-US"/>
              </w:rPr>
              <w:t>3</w:t>
            </w:r>
          </w:p>
        </w:tc>
      </w:tr>
      <w:tr w:rsidR="00006889" w:rsidRPr="003D3CF9" w14:paraId="5297D23B" w14:textId="77777777" w:rsidTr="00720963">
        <w:tc>
          <w:tcPr>
            <w:tcW w:w="2972" w:type="dxa"/>
            <w:vAlign w:val="bottom"/>
          </w:tcPr>
          <w:p w14:paraId="6C7AE42B" w14:textId="1B9B0D44" w:rsidR="00006889" w:rsidRPr="003D3CF9" w:rsidRDefault="00720963" w:rsidP="00006889">
            <w:pPr>
              <w:pStyle w:val="NormalWeb"/>
              <w:adjustRightInd w:val="0"/>
              <w:spacing w:before="0" w:beforeAutospacing="0" w:after="0" w:afterAutospacing="0"/>
              <w:jc w:val="both"/>
              <w:rPr>
                <w:b/>
                <w:color w:val="000000"/>
                <w:lang w:val="en-US"/>
              </w:rPr>
            </w:pPr>
            <w:r w:rsidRPr="003D3CF9">
              <w:rPr>
                <w:color w:val="000000"/>
                <w:lang w:val="en-US"/>
              </w:rPr>
              <w:t>Fractionation</w:t>
            </w:r>
          </w:p>
        </w:tc>
        <w:tc>
          <w:tcPr>
            <w:tcW w:w="2835" w:type="dxa"/>
            <w:vAlign w:val="bottom"/>
          </w:tcPr>
          <w:p w14:paraId="41902993" w14:textId="2425D4A5"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0.16</w:t>
            </w:r>
            <w:r w:rsidR="00D1125C" w:rsidRPr="003D3CF9">
              <w:rPr>
                <w:color w:val="000000"/>
                <w:lang w:val="en-US"/>
              </w:rPr>
              <w:t>7</w:t>
            </w:r>
          </w:p>
        </w:tc>
      </w:tr>
      <w:tr w:rsidR="00006889" w:rsidRPr="003D3CF9" w14:paraId="0581D570" w14:textId="77777777" w:rsidTr="00720963">
        <w:tc>
          <w:tcPr>
            <w:tcW w:w="2972" w:type="dxa"/>
            <w:vAlign w:val="bottom"/>
          </w:tcPr>
          <w:p w14:paraId="62D0AB40" w14:textId="572D24AC" w:rsidR="00006889" w:rsidRPr="003D3CF9" w:rsidRDefault="009A6266" w:rsidP="00006889">
            <w:pPr>
              <w:pStyle w:val="NormalWeb"/>
              <w:adjustRightInd w:val="0"/>
              <w:spacing w:before="0" w:beforeAutospacing="0" w:after="0" w:afterAutospacing="0"/>
              <w:jc w:val="both"/>
              <w:rPr>
                <w:b/>
                <w:color w:val="000000"/>
                <w:lang w:val="en-US"/>
              </w:rPr>
            </w:pPr>
            <w:r w:rsidRPr="003D3CF9">
              <w:rPr>
                <w:color w:val="000000"/>
                <w:lang w:val="en-US"/>
              </w:rPr>
              <w:t>Max G</w:t>
            </w:r>
            <w:r w:rsidRPr="003D3CF9">
              <w:rPr>
                <w:color w:val="000000"/>
                <w:vertAlign w:val="subscript"/>
                <w:lang w:val="en-US"/>
              </w:rPr>
              <w:t>RTc</w:t>
            </w:r>
          </w:p>
        </w:tc>
        <w:tc>
          <w:tcPr>
            <w:tcW w:w="2835" w:type="dxa"/>
            <w:vAlign w:val="bottom"/>
          </w:tcPr>
          <w:p w14:paraId="7A46B45A" w14:textId="5A5B7BD5"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0.067</w:t>
            </w:r>
          </w:p>
        </w:tc>
      </w:tr>
      <w:tr w:rsidR="00006889" w:rsidRPr="003D3CF9" w14:paraId="623CA3EE" w14:textId="77777777" w:rsidTr="00720963">
        <w:tc>
          <w:tcPr>
            <w:tcW w:w="2972" w:type="dxa"/>
            <w:vAlign w:val="bottom"/>
          </w:tcPr>
          <w:p w14:paraId="72ED34D9" w14:textId="0CA0CD1D" w:rsidR="00006889" w:rsidRPr="003D3CF9" w:rsidRDefault="009A6266" w:rsidP="00006889">
            <w:pPr>
              <w:pStyle w:val="NormalWeb"/>
              <w:adjustRightInd w:val="0"/>
              <w:spacing w:before="0" w:beforeAutospacing="0" w:after="0" w:afterAutospacing="0"/>
              <w:jc w:val="both"/>
              <w:rPr>
                <w:b/>
                <w:color w:val="000000"/>
                <w:lang w:val="en-US"/>
              </w:rPr>
            </w:pPr>
            <w:r w:rsidRPr="003D3CF9">
              <w:rPr>
                <w:color w:val="202124"/>
                <w:lang w:val="en-US"/>
              </w:rPr>
              <w:t>Δ</w:t>
            </w:r>
            <w:r w:rsidRPr="003D3CF9">
              <w:rPr>
                <w:color w:val="000000"/>
                <w:lang w:val="en-US"/>
              </w:rPr>
              <w:t>AT</w:t>
            </w:r>
          </w:p>
        </w:tc>
        <w:tc>
          <w:tcPr>
            <w:tcW w:w="2835" w:type="dxa"/>
            <w:vAlign w:val="bottom"/>
          </w:tcPr>
          <w:p w14:paraId="11115D80" w14:textId="02AA7592"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0.062</w:t>
            </w:r>
          </w:p>
        </w:tc>
      </w:tr>
      <w:tr w:rsidR="00006889" w:rsidRPr="003D3CF9" w14:paraId="7775453E" w14:textId="77777777" w:rsidTr="00720963">
        <w:tc>
          <w:tcPr>
            <w:tcW w:w="2972" w:type="dxa"/>
            <w:vAlign w:val="bottom"/>
          </w:tcPr>
          <w:p w14:paraId="14F86F6D" w14:textId="5284F2DB" w:rsidR="00006889" w:rsidRPr="003D3CF9" w:rsidRDefault="009A6266" w:rsidP="00006889">
            <w:pPr>
              <w:pStyle w:val="NormalWeb"/>
              <w:adjustRightInd w:val="0"/>
              <w:spacing w:before="0" w:beforeAutospacing="0" w:after="0" w:afterAutospacing="0"/>
              <w:jc w:val="both"/>
              <w:rPr>
                <w:b/>
                <w:color w:val="000000"/>
                <w:lang w:val="en-US"/>
              </w:rPr>
            </w:pPr>
            <w:r w:rsidRPr="003D3CF9">
              <w:rPr>
                <w:color w:val="000000"/>
                <w:lang w:val="en-US"/>
              </w:rPr>
              <w:t>Max G</w:t>
            </w:r>
            <w:r w:rsidRPr="003D3CF9">
              <w:rPr>
                <w:color w:val="000000"/>
                <w:vertAlign w:val="subscript"/>
                <w:lang w:val="en-US"/>
              </w:rPr>
              <w:t>AT</w:t>
            </w:r>
          </w:p>
        </w:tc>
        <w:tc>
          <w:tcPr>
            <w:tcW w:w="2835" w:type="dxa"/>
            <w:vAlign w:val="bottom"/>
          </w:tcPr>
          <w:p w14:paraId="19D7661E" w14:textId="606D17B0"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0.062</w:t>
            </w:r>
          </w:p>
        </w:tc>
      </w:tr>
      <w:tr w:rsidR="00006889" w:rsidRPr="003D3CF9" w14:paraId="16B25B01" w14:textId="77777777" w:rsidTr="00720963">
        <w:tc>
          <w:tcPr>
            <w:tcW w:w="2972" w:type="dxa"/>
            <w:vAlign w:val="bottom"/>
          </w:tcPr>
          <w:p w14:paraId="2B45BA87" w14:textId="16F43863" w:rsidR="00006889" w:rsidRPr="003D3CF9" w:rsidRDefault="006C6F6C" w:rsidP="00006889">
            <w:pPr>
              <w:pStyle w:val="NormalWeb"/>
              <w:adjustRightInd w:val="0"/>
              <w:spacing w:before="0" w:beforeAutospacing="0" w:after="0" w:afterAutospacing="0"/>
              <w:jc w:val="both"/>
              <w:rPr>
                <w:b/>
                <w:color w:val="000000"/>
                <w:lang w:val="en-US"/>
              </w:rPr>
            </w:pPr>
            <w:r w:rsidRPr="003D3CF9">
              <w:rPr>
                <w:color w:val="000000"/>
                <w:lang w:val="en-US"/>
              </w:rPr>
              <w:t>Mean RTc</w:t>
            </w:r>
          </w:p>
        </w:tc>
        <w:tc>
          <w:tcPr>
            <w:tcW w:w="2835" w:type="dxa"/>
            <w:vAlign w:val="bottom"/>
          </w:tcPr>
          <w:p w14:paraId="2D1195F3" w14:textId="33D2FB59"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0.03</w:t>
            </w:r>
            <w:r w:rsidR="00D1125C" w:rsidRPr="003D3CF9">
              <w:rPr>
                <w:color w:val="000000"/>
                <w:lang w:val="en-US"/>
              </w:rPr>
              <w:t>8</w:t>
            </w:r>
          </w:p>
        </w:tc>
      </w:tr>
      <w:tr w:rsidR="00006889" w:rsidRPr="003D3CF9" w14:paraId="0D3C5169" w14:textId="77777777" w:rsidTr="00720963">
        <w:tc>
          <w:tcPr>
            <w:tcW w:w="2972" w:type="dxa"/>
            <w:vAlign w:val="bottom"/>
          </w:tcPr>
          <w:p w14:paraId="292459D0" w14:textId="59754516" w:rsidR="00006889" w:rsidRPr="003D3CF9" w:rsidRDefault="009A6266" w:rsidP="00006889">
            <w:pPr>
              <w:pStyle w:val="NormalWeb"/>
              <w:adjustRightInd w:val="0"/>
              <w:spacing w:before="0" w:beforeAutospacing="0" w:after="0" w:afterAutospacing="0"/>
              <w:jc w:val="both"/>
              <w:rPr>
                <w:b/>
                <w:color w:val="000000"/>
                <w:lang w:val="en-US"/>
              </w:rPr>
            </w:pPr>
            <w:r w:rsidRPr="003D3CF9">
              <w:rPr>
                <w:color w:val="202124"/>
                <w:lang w:val="en-US"/>
              </w:rPr>
              <w:t>Δ</w:t>
            </w:r>
            <w:r w:rsidRPr="003D3CF9">
              <w:rPr>
                <w:color w:val="000000"/>
                <w:lang w:val="en-US"/>
              </w:rPr>
              <w:t>ARIc</w:t>
            </w:r>
          </w:p>
        </w:tc>
        <w:tc>
          <w:tcPr>
            <w:tcW w:w="2835" w:type="dxa"/>
            <w:vAlign w:val="bottom"/>
          </w:tcPr>
          <w:p w14:paraId="72965B5F" w14:textId="0E345D9A"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0.01</w:t>
            </w:r>
            <w:r w:rsidR="00D1125C" w:rsidRPr="003D3CF9">
              <w:rPr>
                <w:color w:val="000000"/>
                <w:lang w:val="en-US"/>
              </w:rPr>
              <w:t>7</w:t>
            </w:r>
          </w:p>
        </w:tc>
      </w:tr>
      <w:tr w:rsidR="00006889" w:rsidRPr="003D3CF9" w14:paraId="582725AE" w14:textId="77777777" w:rsidTr="00720963">
        <w:tc>
          <w:tcPr>
            <w:tcW w:w="2972" w:type="dxa"/>
            <w:vAlign w:val="bottom"/>
          </w:tcPr>
          <w:p w14:paraId="1844E77A" w14:textId="4E39096C" w:rsidR="00006889" w:rsidRPr="003D3CF9" w:rsidRDefault="00720963" w:rsidP="00006889">
            <w:pPr>
              <w:pStyle w:val="NormalWeb"/>
              <w:adjustRightInd w:val="0"/>
              <w:spacing w:before="0" w:beforeAutospacing="0" w:after="0" w:afterAutospacing="0"/>
              <w:jc w:val="both"/>
              <w:rPr>
                <w:b/>
                <w:color w:val="000000"/>
                <w:lang w:val="en-US"/>
              </w:rPr>
            </w:pPr>
            <w:r w:rsidRPr="003D3CF9">
              <w:rPr>
                <w:color w:val="202124"/>
                <w:lang w:val="en-US"/>
              </w:rPr>
              <w:t>Δ</w:t>
            </w:r>
            <w:r w:rsidRPr="003D3CF9">
              <w:rPr>
                <w:color w:val="000000"/>
                <w:lang w:val="en-US"/>
              </w:rPr>
              <w:t>RTc</w:t>
            </w:r>
          </w:p>
        </w:tc>
        <w:tc>
          <w:tcPr>
            <w:tcW w:w="2835" w:type="dxa"/>
            <w:vAlign w:val="bottom"/>
          </w:tcPr>
          <w:p w14:paraId="26710059" w14:textId="09F792BF"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0.011</w:t>
            </w:r>
          </w:p>
        </w:tc>
      </w:tr>
      <w:tr w:rsidR="00006889" w:rsidRPr="003D3CF9" w14:paraId="0148909A" w14:textId="77777777" w:rsidTr="00720963">
        <w:tc>
          <w:tcPr>
            <w:tcW w:w="2972" w:type="dxa"/>
            <w:vAlign w:val="bottom"/>
          </w:tcPr>
          <w:p w14:paraId="231BB026" w14:textId="13FD4C83" w:rsidR="00006889" w:rsidRPr="003D3CF9" w:rsidRDefault="006C6F6C" w:rsidP="00006889">
            <w:pPr>
              <w:pStyle w:val="NormalWeb"/>
              <w:adjustRightInd w:val="0"/>
              <w:spacing w:before="0" w:beforeAutospacing="0" w:after="0" w:afterAutospacing="0"/>
              <w:jc w:val="both"/>
              <w:rPr>
                <w:b/>
                <w:color w:val="000000"/>
                <w:lang w:val="en-US"/>
              </w:rPr>
            </w:pPr>
            <w:r w:rsidRPr="003D3CF9">
              <w:rPr>
                <w:color w:val="000000"/>
                <w:lang w:val="en-US"/>
              </w:rPr>
              <w:t>Mean Amplitude</w:t>
            </w:r>
          </w:p>
        </w:tc>
        <w:tc>
          <w:tcPr>
            <w:tcW w:w="2835" w:type="dxa"/>
            <w:vAlign w:val="bottom"/>
          </w:tcPr>
          <w:p w14:paraId="78416EE7" w14:textId="79C56CE5"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0.005</w:t>
            </w:r>
          </w:p>
        </w:tc>
      </w:tr>
      <w:tr w:rsidR="00006889" w:rsidRPr="003D3CF9" w14:paraId="03B4DA74" w14:textId="77777777" w:rsidTr="00720963">
        <w:tc>
          <w:tcPr>
            <w:tcW w:w="2972" w:type="dxa"/>
            <w:vAlign w:val="bottom"/>
          </w:tcPr>
          <w:p w14:paraId="7EDAAA23" w14:textId="52D2FDAF" w:rsidR="00006889" w:rsidRPr="003D3CF9" w:rsidRDefault="009F41F0" w:rsidP="00006889">
            <w:pPr>
              <w:pStyle w:val="NormalWeb"/>
              <w:adjustRightInd w:val="0"/>
              <w:spacing w:before="0" w:beforeAutospacing="0" w:after="0" w:afterAutospacing="0"/>
              <w:jc w:val="both"/>
              <w:rPr>
                <w:b/>
                <w:color w:val="000000"/>
                <w:lang w:val="en-US"/>
              </w:rPr>
            </w:pPr>
            <w:r w:rsidRPr="003D3CF9">
              <w:rPr>
                <w:color w:val="000000"/>
                <w:lang w:val="en-US"/>
              </w:rPr>
              <w:t>Mean G</w:t>
            </w:r>
            <w:r w:rsidRPr="003D3CF9">
              <w:rPr>
                <w:color w:val="000000"/>
                <w:vertAlign w:val="subscript"/>
                <w:lang w:val="en-US"/>
              </w:rPr>
              <w:t>AT</w:t>
            </w:r>
          </w:p>
        </w:tc>
        <w:tc>
          <w:tcPr>
            <w:tcW w:w="2835" w:type="dxa"/>
            <w:vAlign w:val="bottom"/>
          </w:tcPr>
          <w:p w14:paraId="25BDF6E1" w14:textId="701923FE"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0.00</w:t>
            </w:r>
            <w:r w:rsidR="00D1125C" w:rsidRPr="003D3CF9">
              <w:rPr>
                <w:color w:val="000000"/>
                <w:lang w:val="en-US"/>
              </w:rPr>
              <w:t>2</w:t>
            </w:r>
          </w:p>
        </w:tc>
      </w:tr>
      <w:tr w:rsidR="00006889" w:rsidRPr="003D3CF9" w14:paraId="55C67D25" w14:textId="77777777" w:rsidTr="00720963">
        <w:tc>
          <w:tcPr>
            <w:tcW w:w="2972" w:type="dxa"/>
            <w:vAlign w:val="bottom"/>
          </w:tcPr>
          <w:p w14:paraId="08CD3050" w14:textId="037CD1A0" w:rsidR="00006889" w:rsidRPr="003D3CF9" w:rsidRDefault="009F41F0" w:rsidP="00006889">
            <w:pPr>
              <w:pStyle w:val="NormalWeb"/>
              <w:adjustRightInd w:val="0"/>
              <w:spacing w:before="0" w:beforeAutospacing="0" w:after="0" w:afterAutospacing="0"/>
              <w:jc w:val="both"/>
              <w:rPr>
                <w:b/>
                <w:color w:val="000000"/>
                <w:lang w:val="en-US"/>
              </w:rPr>
            </w:pPr>
            <w:r w:rsidRPr="003D3CF9">
              <w:rPr>
                <w:color w:val="000000"/>
                <w:lang w:val="en-US"/>
              </w:rPr>
              <w:t>Mean ARIc</w:t>
            </w:r>
          </w:p>
        </w:tc>
        <w:tc>
          <w:tcPr>
            <w:tcW w:w="2835" w:type="dxa"/>
            <w:vAlign w:val="bottom"/>
          </w:tcPr>
          <w:p w14:paraId="42C3349F" w14:textId="3F66133D" w:rsidR="00006889" w:rsidRPr="003D3CF9" w:rsidRDefault="00006889" w:rsidP="00006889">
            <w:pPr>
              <w:pStyle w:val="NormalWeb"/>
              <w:adjustRightInd w:val="0"/>
              <w:spacing w:before="0" w:beforeAutospacing="0" w:after="0" w:afterAutospacing="0"/>
              <w:jc w:val="both"/>
              <w:rPr>
                <w:b/>
                <w:color w:val="000000"/>
                <w:lang w:val="en-US"/>
              </w:rPr>
            </w:pPr>
            <w:r w:rsidRPr="003D3CF9">
              <w:rPr>
                <w:color w:val="000000"/>
                <w:lang w:val="en-US"/>
              </w:rPr>
              <w:t>0.00</w:t>
            </w:r>
            <w:r w:rsidR="00D1125C" w:rsidRPr="003D3CF9">
              <w:rPr>
                <w:color w:val="000000"/>
                <w:lang w:val="en-US"/>
              </w:rPr>
              <w:t>1</w:t>
            </w:r>
          </w:p>
        </w:tc>
      </w:tr>
    </w:tbl>
    <w:p w14:paraId="7F624757" w14:textId="11B5A654" w:rsidR="00A01D19" w:rsidRPr="003D3CF9" w:rsidRDefault="00A01D19" w:rsidP="00462106">
      <w:pPr>
        <w:pStyle w:val="NormalWeb"/>
        <w:adjustRightInd w:val="0"/>
        <w:spacing w:before="0" w:beforeAutospacing="0" w:after="0" w:afterAutospacing="0"/>
        <w:jc w:val="both"/>
        <w:rPr>
          <w:b/>
          <w:color w:val="000000"/>
          <w:lang w:val="en-US"/>
        </w:rPr>
      </w:pPr>
    </w:p>
    <w:p w14:paraId="1E6CEC2C" w14:textId="77777777" w:rsidR="00677F09" w:rsidRPr="003D3CF9" w:rsidRDefault="00677F09" w:rsidP="00A01D19">
      <w:pPr>
        <w:pStyle w:val="NormalWeb"/>
        <w:adjustRightInd w:val="0"/>
        <w:spacing w:before="0" w:beforeAutospacing="0" w:after="0" w:afterAutospacing="0"/>
        <w:jc w:val="both"/>
        <w:rPr>
          <w:b/>
          <w:color w:val="000000"/>
          <w:lang w:val="en-US"/>
        </w:rPr>
      </w:pPr>
    </w:p>
    <w:p w14:paraId="3106BFE7" w14:textId="77777777" w:rsidR="00677F09" w:rsidRPr="003D3CF9" w:rsidRDefault="00677F09" w:rsidP="00A01D19">
      <w:pPr>
        <w:pStyle w:val="NormalWeb"/>
        <w:adjustRightInd w:val="0"/>
        <w:spacing w:before="0" w:beforeAutospacing="0" w:after="0" w:afterAutospacing="0"/>
        <w:jc w:val="both"/>
        <w:rPr>
          <w:b/>
          <w:color w:val="000000"/>
          <w:lang w:val="en-US"/>
        </w:rPr>
      </w:pPr>
    </w:p>
    <w:p w14:paraId="7D78C327" w14:textId="77777777" w:rsidR="00677F09" w:rsidRPr="003D3CF9" w:rsidRDefault="00677F09" w:rsidP="00A01D19">
      <w:pPr>
        <w:pStyle w:val="NormalWeb"/>
        <w:adjustRightInd w:val="0"/>
        <w:spacing w:before="0" w:beforeAutospacing="0" w:after="0" w:afterAutospacing="0"/>
        <w:jc w:val="both"/>
        <w:rPr>
          <w:b/>
          <w:color w:val="000000"/>
          <w:lang w:val="en-US"/>
        </w:rPr>
      </w:pPr>
    </w:p>
    <w:p w14:paraId="6233CAA4" w14:textId="77777777" w:rsidR="00677F09" w:rsidRPr="003D3CF9" w:rsidRDefault="00677F09" w:rsidP="00A01D19">
      <w:pPr>
        <w:pStyle w:val="NormalWeb"/>
        <w:adjustRightInd w:val="0"/>
        <w:spacing w:before="0" w:beforeAutospacing="0" w:after="0" w:afterAutospacing="0"/>
        <w:jc w:val="both"/>
        <w:rPr>
          <w:b/>
          <w:color w:val="000000"/>
          <w:lang w:val="en-US"/>
        </w:rPr>
      </w:pPr>
    </w:p>
    <w:p w14:paraId="15D10977" w14:textId="77777777" w:rsidR="00677F09" w:rsidRPr="003D3CF9" w:rsidRDefault="00677F09" w:rsidP="00A01D19">
      <w:pPr>
        <w:pStyle w:val="NormalWeb"/>
        <w:adjustRightInd w:val="0"/>
        <w:spacing w:before="0" w:beforeAutospacing="0" w:after="0" w:afterAutospacing="0"/>
        <w:jc w:val="both"/>
        <w:rPr>
          <w:b/>
          <w:color w:val="000000"/>
          <w:lang w:val="en-US"/>
        </w:rPr>
      </w:pPr>
    </w:p>
    <w:p w14:paraId="29512922" w14:textId="77777777" w:rsidR="00677F09" w:rsidRPr="003D3CF9" w:rsidRDefault="00677F09" w:rsidP="00A01D19">
      <w:pPr>
        <w:pStyle w:val="NormalWeb"/>
        <w:adjustRightInd w:val="0"/>
        <w:spacing w:before="0" w:beforeAutospacing="0" w:after="0" w:afterAutospacing="0"/>
        <w:jc w:val="both"/>
        <w:rPr>
          <w:b/>
          <w:color w:val="000000"/>
          <w:lang w:val="en-US"/>
        </w:rPr>
      </w:pPr>
    </w:p>
    <w:p w14:paraId="0D04CA2B" w14:textId="77777777" w:rsidR="00677F09" w:rsidRPr="003D3CF9" w:rsidRDefault="00677F09" w:rsidP="00A01D19">
      <w:pPr>
        <w:pStyle w:val="NormalWeb"/>
        <w:adjustRightInd w:val="0"/>
        <w:spacing w:before="0" w:beforeAutospacing="0" w:after="0" w:afterAutospacing="0"/>
        <w:jc w:val="both"/>
        <w:rPr>
          <w:b/>
          <w:color w:val="000000"/>
          <w:lang w:val="en-US"/>
        </w:rPr>
      </w:pPr>
    </w:p>
    <w:p w14:paraId="1200F5F7" w14:textId="204E3F65" w:rsidR="00A01D19" w:rsidRPr="003D3CF9" w:rsidRDefault="00A01D19" w:rsidP="00A01D19">
      <w:pPr>
        <w:pStyle w:val="NormalWeb"/>
        <w:adjustRightInd w:val="0"/>
        <w:spacing w:before="0" w:beforeAutospacing="0" w:after="0" w:afterAutospacing="0"/>
        <w:jc w:val="both"/>
        <w:rPr>
          <w:b/>
          <w:color w:val="000000"/>
          <w:lang w:val="en-US"/>
        </w:rPr>
      </w:pPr>
      <w:r w:rsidRPr="003D3CF9">
        <w:rPr>
          <w:b/>
          <w:color w:val="000000"/>
          <w:lang w:val="en-US"/>
        </w:rPr>
        <w:lastRenderedPageBreak/>
        <w:t>Supplementa</w:t>
      </w:r>
      <w:r w:rsidR="006C402C">
        <w:rPr>
          <w:b/>
          <w:color w:val="000000"/>
          <w:lang w:val="en-US"/>
        </w:rPr>
        <w:t>l</w:t>
      </w:r>
      <w:r w:rsidRPr="003D3CF9">
        <w:rPr>
          <w:b/>
          <w:color w:val="000000"/>
          <w:lang w:val="en-US"/>
        </w:rPr>
        <w:t xml:space="preserve"> Table 8</w:t>
      </w:r>
      <w:r w:rsidR="001A40D6" w:rsidRPr="003D3CF9">
        <w:rPr>
          <w:b/>
          <w:color w:val="000000"/>
          <w:lang w:val="en-US"/>
        </w:rPr>
        <w:t xml:space="preserve"> – </w:t>
      </w:r>
      <w:r w:rsidRPr="003D3CF9">
        <w:rPr>
          <w:b/>
          <w:color w:val="000000"/>
          <w:lang w:val="en-US"/>
        </w:rPr>
        <w:t>Contribution of each ECGI determinant to the predictive capacity of the low vs intermediate/high-risk HCM SVM model.</w:t>
      </w:r>
    </w:p>
    <w:p w14:paraId="3EC3EEA3" w14:textId="77777777" w:rsidR="00677F09" w:rsidRPr="003D3CF9" w:rsidRDefault="00677F09" w:rsidP="00A01D19">
      <w:pPr>
        <w:pStyle w:val="NormalWeb"/>
        <w:adjustRightInd w:val="0"/>
        <w:spacing w:before="0" w:beforeAutospacing="0" w:after="0" w:afterAutospacing="0"/>
        <w:jc w:val="both"/>
        <w:rPr>
          <w:b/>
          <w:color w:val="000000"/>
          <w:lang w:val="en-US"/>
        </w:rPr>
      </w:pPr>
    </w:p>
    <w:tbl>
      <w:tblPr>
        <w:tblStyle w:val="TableGrid"/>
        <w:tblW w:w="0" w:type="auto"/>
        <w:tblLook w:val="04A0" w:firstRow="1" w:lastRow="0" w:firstColumn="1" w:lastColumn="0" w:noHBand="0" w:noVBand="1"/>
      </w:tblPr>
      <w:tblGrid>
        <w:gridCol w:w="3256"/>
        <w:gridCol w:w="2976"/>
      </w:tblGrid>
      <w:tr w:rsidR="00FB46ED" w:rsidRPr="003D3CF9" w14:paraId="6C4E0883" w14:textId="77777777" w:rsidTr="00FB46ED">
        <w:tc>
          <w:tcPr>
            <w:tcW w:w="3256" w:type="dxa"/>
          </w:tcPr>
          <w:p w14:paraId="14647A27" w14:textId="77777777" w:rsidR="00FB46ED" w:rsidRPr="003D3CF9" w:rsidRDefault="00FB46ED" w:rsidP="00360325">
            <w:pPr>
              <w:pStyle w:val="NormalWeb"/>
              <w:adjustRightInd w:val="0"/>
              <w:spacing w:before="0" w:beforeAutospacing="0" w:after="0" w:afterAutospacing="0"/>
              <w:jc w:val="both"/>
              <w:rPr>
                <w:b/>
                <w:bCs/>
                <w:color w:val="000000" w:themeColor="text1"/>
                <w:lang w:val="en-US"/>
              </w:rPr>
            </w:pPr>
            <w:r w:rsidRPr="003D3CF9">
              <w:rPr>
                <w:b/>
                <w:bCs/>
                <w:color w:val="000000" w:themeColor="text1"/>
                <w:lang w:val="en-US"/>
              </w:rPr>
              <w:t>Ranked ECGI Parameter</w:t>
            </w:r>
          </w:p>
        </w:tc>
        <w:tc>
          <w:tcPr>
            <w:tcW w:w="2976" w:type="dxa"/>
          </w:tcPr>
          <w:p w14:paraId="6DAEF731" w14:textId="77777777" w:rsidR="00FB46ED" w:rsidRPr="003D3CF9" w:rsidRDefault="00FB46ED" w:rsidP="00360325">
            <w:pPr>
              <w:pStyle w:val="NormalWeb"/>
              <w:adjustRightInd w:val="0"/>
              <w:spacing w:before="0" w:beforeAutospacing="0" w:after="0" w:afterAutospacing="0"/>
              <w:jc w:val="both"/>
              <w:rPr>
                <w:b/>
                <w:bCs/>
                <w:color w:val="000000" w:themeColor="text1"/>
                <w:lang w:val="en-US"/>
              </w:rPr>
            </w:pPr>
            <w:r w:rsidRPr="003D3CF9">
              <w:rPr>
                <w:b/>
                <w:bCs/>
                <w:color w:val="000000" w:themeColor="text1"/>
                <w:lang w:val="en-US"/>
              </w:rPr>
              <w:t>Importance coefficient</w:t>
            </w:r>
          </w:p>
        </w:tc>
      </w:tr>
      <w:tr w:rsidR="00FB46ED" w:rsidRPr="003D3CF9" w14:paraId="48ECCFFE" w14:textId="77777777" w:rsidTr="00FB46ED">
        <w:tc>
          <w:tcPr>
            <w:tcW w:w="3256" w:type="dxa"/>
          </w:tcPr>
          <w:p w14:paraId="08A97138"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Max G</w:t>
            </w:r>
            <w:r w:rsidRPr="003D3CF9">
              <w:rPr>
                <w:color w:val="000000"/>
                <w:vertAlign w:val="subscript"/>
                <w:lang w:val="en-US"/>
              </w:rPr>
              <w:t>AT</w:t>
            </w:r>
          </w:p>
        </w:tc>
        <w:tc>
          <w:tcPr>
            <w:tcW w:w="2976" w:type="dxa"/>
          </w:tcPr>
          <w:p w14:paraId="67692CE9"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0.197</w:t>
            </w:r>
          </w:p>
        </w:tc>
      </w:tr>
      <w:tr w:rsidR="00FB46ED" w:rsidRPr="003D3CF9" w14:paraId="5A16B7FE" w14:textId="77777777" w:rsidTr="00FB46ED">
        <w:tc>
          <w:tcPr>
            <w:tcW w:w="3256" w:type="dxa"/>
          </w:tcPr>
          <w:p w14:paraId="3FF42BF3"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202124"/>
                <w:lang w:val="en-US"/>
              </w:rPr>
              <w:t>Δ</w:t>
            </w:r>
            <w:r w:rsidRPr="003D3CF9">
              <w:rPr>
                <w:color w:val="000000"/>
                <w:lang w:val="en-US"/>
              </w:rPr>
              <w:t>AT</w:t>
            </w:r>
          </w:p>
        </w:tc>
        <w:tc>
          <w:tcPr>
            <w:tcW w:w="2976" w:type="dxa"/>
          </w:tcPr>
          <w:p w14:paraId="1546D99A"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0.155</w:t>
            </w:r>
          </w:p>
        </w:tc>
      </w:tr>
      <w:tr w:rsidR="00FB46ED" w:rsidRPr="003D3CF9" w14:paraId="7D89F453" w14:textId="77777777" w:rsidTr="00FB46ED">
        <w:tc>
          <w:tcPr>
            <w:tcW w:w="3256" w:type="dxa"/>
          </w:tcPr>
          <w:p w14:paraId="349D7D51"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Mean AT</w:t>
            </w:r>
          </w:p>
        </w:tc>
        <w:tc>
          <w:tcPr>
            <w:tcW w:w="2976" w:type="dxa"/>
          </w:tcPr>
          <w:p w14:paraId="18DD5170"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0.127</w:t>
            </w:r>
          </w:p>
        </w:tc>
      </w:tr>
      <w:tr w:rsidR="00FB46ED" w:rsidRPr="003D3CF9" w14:paraId="19132782" w14:textId="77777777" w:rsidTr="00FB46ED">
        <w:tc>
          <w:tcPr>
            <w:tcW w:w="3256" w:type="dxa"/>
          </w:tcPr>
          <w:p w14:paraId="306F0EA9"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Mean ARIc</w:t>
            </w:r>
          </w:p>
        </w:tc>
        <w:tc>
          <w:tcPr>
            <w:tcW w:w="2976" w:type="dxa"/>
          </w:tcPr>
          <w:p w14:paraId="2F9242A3"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0.086</w:t>
            </w:r>
          </w:p>
        </w:tc>
      </w:tr>
      <w:tr w:rsidR="00FB46ED" w:rsidRPr="003D3CF9" w14:paraId="40439BBB" w14:textId="77777777" w:rsidTr="00FB46ED">
        <w:tc>
          <w:tcPr>
            <w:tcW w:w="3256" w:type="dxa"/>
          </w:tcPr>
          <w:p w14:paraId="0EDF53DC"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Mean G</w:t>
            </w:r>
            <w:r w:rsidRPr="003D3CF9">
              <w:rPr>
                <w:color w:val="000000"/>
                <w:vertAlign w:val="subscript"/>
                <w:lang w:val="en-US"/>
              </w:rPr>
              <w:t>RTc</w:t>
            </w:r>
          </w:p>
        </w:tc>
        <w:tc>
          <w:tcPr>
            <w:tcW w:w="2976" w:type="dxa"/>
          </w:tcPr>
          <w:p w14:paraId="28A0EA27"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0.077</w:t>
            </w:r>
          </w:p>
        </w:tc>
      </w:tr>
      <w:tr w:rsidR="00FB46ED" w:rsidRPr="003D3CF9" w14:paraId="4531CE05" w14:textId="77777777" w:rsidTr="00FB46ED">
        <w:tc>
          <w:tcPr>
            <w:tcW w:w="3256" w:type="dxa"/>
          </w:tcPr>
          <w:p w14:paraId="7CBA2C4C"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Fractionation</w:t>
            </w:r>
          </w:p>
        </w:tc>
        <w:tc>
          <w:tcPr>
            <w:tcW w:w="2976" w:type="dxa"/>
          </w:tcPr>
          <w:p w14:paraId="0D4257DF"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0.076</w:t>
            </w:r>
          </w:p>
        </w:tc>
      </w:tr>
      <w:tr w:rsidR="00FB46ED" w:rsidRPr="003D3CF9" w14:paraId="4EC45A99" w14:textId="77777777" w:rsidTr="00FB46ED">
        <w:tc>
          <w:tcPr>
            <w:tcW w:w="3256" w:type="dxa"/>
          </w:tcPr>
          <w:p w14:paraId="22B95EA6"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202124"/>
                <w:lang w:val="en-US"/>
              </w:rPr>
              <w:t>Δ</w:t>
            </w:r>
            <w:r w:rsidRPr="003D3CF9">
              <w:rPr>
                <w:color w:val="000000"/>
                <w:lang w:val="en-US"/>
              </w:rPr>
              <w:t>ARIc</w:t>
            </w:r>
          </w:p>
        </w:tc>
        <w:tc>
          <w:tcPr>
            <w:tcW w:w="2976" w:type="dxa"/>
          </w:tcPr>
          <w:p w14:paraId="3C70CF10"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0.074</w:t>
            </w:r>
          </w:p>
        </w:tc>
      </w:tr>
      <w:tr w:rsidR="00FB46ED" w:rsidRPr="003D3CF9" w14:paraId="0A8A5FC7" w14:textId="77777777" w:rsidTr="00FB46ED">
        <w:tc>
          <w:tcPr>
            <w:tcW w:w="3256" w:type="dxa"/>
          </w:tcPr>
          <w:p w14:paraId="5DD48BDA"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Mean G</w:t>
            </w:r>
            <w:r w:rsidRPr="003D3CF9">
              <w:rPr>
                <w:color w:val="000000"/>
                <w:vertAlign w:val="subscript"/>
                <w:lang w:val="en-US"/>
              </w:rPr>
              <w:t>AT</w:t>
            </w:r>
          </w:p>
        </w:tc>
        <w:tc>
          <w:tcPr>
            <w:tcW w:w="2976" w:type="dxa"/>
          </w:tcPr>
          <w:p w14:paraId="3E061618"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0.073</w:t>
            </w:r>
          </w:p>
        </w:tc>
      </w:tr>
      <w:tr w:rsidR="00FB46ED" w:rsidRPr="003D3CF9" w14:paraId="49E7F90C" w14:textId="77777777" w:rsidTr="00FB46ED">
        <w:tc>
          <w:tcPr>
            <w:tcW w:w="3256" w:type="dxa"/>
          </w:tcPr>
          <w:p w14:paraId="79890C96"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Max G</w:t>
            </w:r>
            <w:r w:rsidRPr="003D3CF9">
              <w:rPr>
                <w:color w:val="000000"/>
                <w:vertAlign w:val="subscript"/>
                <w:lang w:val="en-US"/>
              </w:rPr>
              <w:t>RTc</w:t>
            </w:r>
          </w:p>
        </w:tc>
        <w:tc>
          <w:tcPr>
            <w:tcW w:w="2976" w:type="dxa"/>
          </w:tcPr>
          <w:p w14:paraId="19B4D8A5"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0.049</w:t>
            </w:r>
          </w:p>
        </w:tc>
      </w:tr>
      <w:tr w:rsidR="00FB46ED" w:rsidRPr="003D3CF9" w14:paraId="6E3B63D0" w14:textId="77777777" w:rsidTr="00FB46ED">
        <w:tc>
          <w:tcPr>
            <w:tcW w:w="3256" w:type="dxa"/>
          </w:tcPr>
          <w:p w14:paraId="634A29A8"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Mean Amplitude</w:t>
            </w:r>
          </w:p>
        </w:tc>
        <w:tc>
          <w:tcPr>
            <w:tcW w:w="2976" w:type="dxa"/>
          </w:tcPr>
          <w:p w14:paraId="2F2D0C3E"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0.035</w:t>
            </w:r>
          </w:p>
        </w:tc>
      </w:tr>
      <w:tr w:rsidR="00FB46ED" w:rsidRPr="003D3CF9" w14:paraId="39B5E81C" w14:textId="77777777" w:rsidTr="00FB46ED">
        <w:tc>
          <w:tcPr>
            <w:tcW w:w="3256" w:type="dxa"/>
          </w:tcPr>
          <w:p w14:paraId="777112BA" w14:textId="77777777" w:rsidR="00FB46ED" w:rsidRPr="003D3CF9" w:rsidRDefault="00FB46ED" w:rsidP="00360325">
            <w:pPr>
              <w:pStyle w:val="NormalWeb"/>
              <w:adjustRightInd w:val="0"/>
              <w:spacing w:before="0" w:beforeAutospacing="0" w:after="0" w:afterAutospacing="0"/>
              <w:jc w:val="both"/>
              <w:rPr>
                <w:color w:val="202124"/>
                <w:lang w:val="en-US"/>
              </w:rPr>
            </w:pPr>
            <w:r w:rsidRPr="003D3CF9">
              <w:rPr>
                <w:color w:val="202124"/>
                <w:lang w:val="en-US"/>
              </w:rPr>
              <w:t>Δ</w:t>
            </w:r>
            <w:r w:rsidRPr="003D3CF9">
              <w:rPr>
                <w:color w:val="000000"/>
                <w:lang w:val="en-US"/>
              </w:rPr>
              <w:t>RTc</w:t>
            </w:r>
          </w:p>
        </w:tc>
        <w:tc>
          <w:tcPr>
            <w:tcW w:w="2976" w:type="dxa"/>
          </w:tcPr>
          <w:p w14:paraId="47E866A0" w14:textId="77777777" w:rsidR="00FB46ED" w:rsidRPr="003D3CF9" w:rsidRDefault="00FB46ED" w:rsidP="00360325">
            <w:pPr>
              <w:pStyle w:val="NormalWeb"/>
              <w:adjustRightInd w:val="0"/>
              <w:spacing w:before="0" w:beforeAutospacing="0" w:after="0" w:afterAutospacing="0"/>
              <w:jc w:val="both"/>
              <w:rPr>
                <w:color w:val="000000"/>
                <w:lang w:val="en-US"/>
              </w:rPr>
            </w:pPr>
            <w:r w:rsidRPr="003D3CF9">
              <w:rPr>
                <w:lang w:val="en-US"/>
              </w:rPr>
              <w:t>0.026</w:t>
            </w:r>
          </w:p>
        </w:tc>
      </w:tr>
      <w:tr w:rsidR="00FB46ED" w:rsidRPr="003D3CF9" w14:paraId="704A4E0C" w14:textId="77777777" w:rsidTr="00FB46ED">
        <w:tc>
          <w:tcPr>
            <w:tcW w:w="3256" w:type="dxa"/>
          </w:tcPr>
          <w:p w14:paraId="129647CD"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color w:val="000000"/>
                <w:lang w:val="en-US"/>
              </w:rPr>
              <w:t>Mean RTc</w:t>
            </w:r>
          </w:p>
        </w:tc>
        <w:tc>
          <w:tcPr>
            <w:tcW w:w="2976" w:type="dxa"/>
          </w:tcPr>
          <w:p w14:paraId="2A4D3DD8" w14:textId="77777777" w:rsidR="00FB46ED" w:rsidRPr="003D3CF9" w:rsidRDefault="00FB46ED" w:rsidP="00360325">
            <w:pPr>
              <w:pStyle w:val="NormalWeb"/>
              <w:adjustRightInd w:val="0"/>
              <w:spacing w:before="0" w:beforeAutospacing="0" w:after="0" w:afterAutospacing="0"/>
              <w:jc w:val="both"/>
              <w:rPr>
                <w:b/>
                <w:color w:val="000000"/>
                <w:lang w:val="en-US"/>
              </w:rPr>
            </w:pPr>
            <w:r w:rsidRPr="003D3CF9">
              <w:rPr>
                <w:lang w:val="en-US"/>
              </w:rPr>
              <w:t>0.025</w:t>
            </w:r>
          </w:p>
        </w:tc>
      </w:tr>
    </w:tbl>
    <w:p w14:paraId="59C01B39" w14:textId="77777777" w:rsidR="00A01D19" w:rsidRPr="003D3CF9" w:rsidRDefault="00A01D19" w:rsidP="00462106">
      <w:pPr>
        <w:pStyle w:val="NormalWeb"/>
        <w:adjustRightInd w:val="0"/>
        <w:spacing w:before="0" w:beforeAutospacing="0" w:after="0" w:afterAutospacing="0"/>
        <w:jc w:val="both"/>
        <w:rPr>
          <w:b/>
          <w:color w:val="000000"/>
          <w:lang w:val="en-US"/>
        </w:rPr>
      </w:pPr>
    </w:p>
    <w:p w14:paraId="338F854E" w14:textId="104228E3" w:rsidR="00462106" w:rsidRPr="003D3CF9" w:rsidRDefault="00462106" w:rsidP="00462106">
      <w:pPr>
        <w:pStyle w:val="NormalWeb"/>
        <w:adjustRightInd w:val="0"/>
        <w:spacing w:before="0" w:beforeAutospacing="0" w:after="0" w:afterAutospacing="0"/>
        <w:jc w:val="both"/>
        <w:rPr>
          <w:b/>
          <w:color w:val="000000"/>
          <w:lang w:val="en-US"/>
        </w:rPr>
      </w:pPr>
      <w:r w:rsidRPr="003D3CF9">
        <w:rPr>
          <w:b/>
          <w:color w:val="000000"/>
          <w:lang w:val="en-US"/>
        </w:rPr>
        <w:t>Supplementa</w:t>
      </w:r>
      <w:r w:rsidR="006C402C">
        <w:rPr>
          <w:b/>
          <w:color w:val="000000"/>
          <w:lang w:val="en-US"/>
        </w:rPr>
        <w:t>l</w:t>
      </w:r>
      <w:r w:rsidRPr="003D3CF9">
        <w:rPr>
          <w:b/>
          <w:color w:val="000000"/>
          <w:lang w:val="en-US"/>
        </w:rPr>
        <w:t xml:space="preserve"> Figure 1. ECGI signature potentially distinguishes subclinical HCM from controls and identifies patients at greater risk of SCD.</w:t>
      </w:r>
    </w:p>
    <w:p w14:paraId="23F9CFB7" w14:textId="0E7AE0F1" w:rsidR="00462106" w:rsidRPr="003D3CF9" w:rsidRDefault="00462106" w:rsidP="00462106">
      <w:pPr>
        <w:pStyle w:val="NormalWeb"/>
        <w:adjustRightInd w:val="0"/>
        <w:spacing w:before="0" w:beforeAutospacing="0" w:after="0" w:afterAutospacing="0"/>
        <w:jc w:val="both"/>
        <w:rPr>
          <w:color w:val="000000"/>
          <w:lang w:val="en-US"/>
        </w:rPr>
      </w:pPr>
      <w:r w:rsidRPr="003D3CF9">
        <w:rPr>
          <w:color w:val="000000"/>
          <w:lang w:val="en-US"/>
        </w:rPr>
        <w:t xml:space="preserve">ROC curve </w:t>
      </w:r>
      <w:r w:rsidR="00CD4DE5" w:rsidRPr="003D3CF9">
        <w:rPr>
          <w:bCs/>
          <w:color w:val="000000"/>
          <w:lang w:val="en-US"/>
        </w:rPr>
        <w:t>(</w:t>
      </w:r>
      <w:r w:rsidR="00CD4DE5" w:rsidRPr="003D3CF9">
        <w:rPr>
          <w:b/>
          <w:color w:val="000000"/>
          <w:lang w:val="en-US"/>
        </w:rPr>
        <w:t>a</w:t>
      </w:r>
      <w:r w:rsidR="00CD4DE5" w:rsidRPr="003D3CF9">
        <w:rPr>
          <w:bCs/>
          <w:color w:val="000000"/>
          <w:lang w:val="en-US"/>
        </w:rPr>
        <w:t xml:space="preserve">) </w:t>
      </w:r>
      <w:r w:rsidRPr="003D3CF9">
        <w:rPr>
          <w:color w:val="000000"/>
          <w:lang w:val="en-US"/>
        </w:rPr>
        <w:t>showing the performance of the support vector machine supervised machine learning method applied to all combined ECGI biomarkers in distinguishing patients with subclinical HCM from healthy volunteers</w:t>
      </w:r>
      <w:r w:rsidR="00CD4DE5" w:rsidRPr="003D3CF9">
        <w:rPr>
          <w:color w:val="000000"/>
          <w:lang w:val="en-US"/>
        </w:rPr>
        <w:t xml:space="preserve"> (</w:t>
      </w:r>
      <w:r w:rsidRPr="003D3CF9">
        <w:rPr>
          <w:color w:val="000000"/>
          <w:lang w:val="en-US"/>
        </w:rPr>
        <w:t>2 subclinical HCM patients and 2 HV were excluded due to missing ECGI parameters</w:t>
      </w:r>
      <w:r w:rsidR="00CD4DE5" w:rsidRPr="003D3CF9">
        <w:rPr>
          <w:color w:val="000000"/>
          <w:lang w:val="en-US"/>
        </w:rPr>
        <w:t>)</w:t>
      </w:r>
      <w:r w:rsidRPr="003D3CF9">
        <w:rPr>
          <w:color w:val="000000"/>
          <w:lang w:val="en-US"/>
        </w:rPr>
        <w:t>. ROC curve (</w:t>
      </w:r>
      <w:r w:rsidR="005E070D" w:rsidRPr="003D3CF9">
        <w:rPr>
          <w:b/>
          <w:bCs/>
          <w:color w:val="000000"/>
          <w:lang w:val="en-US"/>
        </w:rPr>
        <w:t>b</w:t>
      </w:r>
      <w:r w:rsidRPr="003D3CF9">
        <w:rPr>
          <w:color w:val="000000"/>
          <w:lang w:val="en-US"/>
        </w:rPr>
        <w:t>) showing the ability of this ECGI electrotype to identify patients with HCM at intermediate/high risk for SCD or with prior documented NSVT from low-risk patients</w:t>
      </w:r>
      <w:r w:rsidR="00D8541B" w:rsidRPr="003D3CF9">
        <w:rPr>
          <w:color w:val="000000"/>
          <w:lang w:val="en-US"/>
        </w:rPr>
        <w:t xml:space="preserve"> (</w:t>
      </w:r>
      <w:r w:rsidR="00EE0FC9" w:rsidRPr="003D3CF9">
        <w:rPr>
          <w:color w:val="000000"/>
          <w:lang w:val="en-US"/>
        </w:rPr>
        <w:t>1</w:t>
      </w:r>
      <w:r w:rsidR="00D8541B" w:rsidRPr="003D3CF9">
        <w:rPr>
          <w:color w:val="000000"/>
          <w:lang w:val="en-US"/>
        </w:rPr>
        <w:t xml:space="preserve"> overt HCM patient excluded due to missing ECGI parameters)</w:t>
      </w:r>
      <w:r w:rsidRPr="003D3CF9">
        <w:rPr>
          <w:color w:val="000000"/>
          <w:lang w:val="en-US"/>
        </w:rPr>
        <w:t>, with an accuracy of 99% (AUC 0.97</w:t>
      </w:r>
      <w:r w:rsidR="00870A21" w:rsidRPr="003D3CF9">
        <w:rPr>
          <w:color w:val="000000"/>
          <w:lang w:val="en-US"/>
        </w:rPr>
        <w:t xml:space="preserve">, </w:t>
      </w:r>
      <w:r w:rsidR="00870A21" w:rsidRPr="003D3CF9">
        <w:rPr>
          <w:color w:val="000000" w:themeColor="text1"/>
          <w:lang w:val="en-US"/>
        </w:rPr>
        <w:t>bootstrap 95% CI: 96–98%</w:t>
      </w:r>
      <w:r w:rsidRPr="003D3CF9">
        <w:rPr>
          <w:color w:val="000000"/>
          <w:lang w:val="en-US"/>
        </w:rPr>
        <w:t>), which on 10-fold cross validation maintained a mean accuracy across the 10 folds of 82%</w:t>
      </w:r>
      <w:r w:rsidR="00870A21" w:rsidRPr="003D3CF9">
        <w:rPr>
          <w:color w:val="000000"/>
          <w:lang w:val="en-US"/>
        </w:rPr>
        <w:t xml:space="preserve"> </w:t>
      </w:r>
      <w:r w:rsidR="00870A21" w:rsidRPr="003D3CF9">
        <w:rPr>
          <w:color w:val="000000" w:themeColor="text1"/>
          <w:lang w:val="en-US"/>
        </w:rPr>
        <w:t>[78–86%]</w:t>
      </w:r>
      <w:r w:rsidRPr="003D3CF9">
        <w:rPr>
          <w:color w:val="000000"/>
          <w:lang w:val="en-US"/>
        </w:rPr>
        <w:t xml:space="preserve">. </w:t>
      </w:r>
    </w:p>
    <w:p w14:paraId="41A25E4F" w14:textId="77777777" w:rsidR="00462106" w:rsidRPr="003D3CF9" w:rsidRDefault="00462106" w:rsidP="00462106">
      <w:pPr>
        <w:pStyle w:val="NormalWeb"/>
        <w:adjustRightInd w:val="0"/>
        <w:spacing w:before="0" w:beforeAutospacing="0" w:after="0" w:afterAutospacing="0"/>
        <w:jc w:val="both"/>
        <w:rPr>
          <w:color w:val="000000"/>
          <w:lang w:val="en-US"/>
        </w:rPr>
      </w:pPr>
    </w:p>
    <w:p w14:paraId="3510D964" w14:textId="7259F1C9" w:rsidR="00462106" w:rsidRPr="003D3CF9" w:rsidRDefault="00CD4DE5" w:rsidP="00CD4DE5">
      <w:pPr>
        <w:pStyle w:val="NormalWeb"/>
        <w:adjustRightInd w:val="0"/>
        <w:spacing w:before="0" w:beforeAutospacing="0" w:after="0" w:afterAutospacing="0"/>
        <w:ind w:left="2552"/>
        <w:jc w:val="both"/>
        <w:rPr>
          <w:color w:val="000000"/>
          <w:lang w:val="en-US"/>
        </w:rPr>
      </w:pPr>
      <w:r w:rsidRPr="003D3CF9">
        <w:rPr>
          <w:noProof/>
          <w:color w:val="000000"/>
          <w:lang w:val="en-US"/>
        </w:rPr>
        <w:drawing>
          <wp:inline distT="0" distB="0" distL="0" distR="0" wp14:anchorId="7F9DA327" wp14:editId="1941A10F">
            <wp:extent cx="1941341" cy="339522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9663" cy="3497220"/>
                    </a:xfrm>
                    <a:prstGeom prst="rect">
                      <a:avLst/>
                    </a:prstGeom>
                  </pic:spPr>
                </pic:pic>
              </a:graphicData>
            </a:graphic>
          </wp:inline>
        </w:drawing>
      </w:r>
    </w:p>
    <w:p w14:paraId="608E51DA" w14:textId="77777777" w:rsidR="00CD4DE5" w:rsidRPr="003D3CF9" w:rsidRDefault="00CD4DE5">
      <w:pPr>
        <w:rPr>
          <w:lang w:val="en-US"/>
        </w:rPr>
      </w:pPr>
    </w:p>
    <w:p w14:paraId="33A3BCEE" w14:textId="77777777" w:rsidR="00870A21" w:rsidRPr="003D3CF9" w:rsidRDefault="00870A21">
      <w:pPr>
        <w:rPr>
          <w:b/>
          <w:bCs/>
          <w:lang w:val="en-US"/>
        </w:rPr>
      </w:pPr>
    </w:p>
    <w:p w14:paraId="06EA41DC" w14:textId="29A4D59D" w:rsidR="009E605C" w:rsidRPr="003D3CF9" w:rsidRDefault="009E605C">
      <w:pPr>
        <w:rPr>
          <w:b/>
          <w:bCs/>
          <w:lang w:val="en-US"/>
        </w:rPr>
      </w:pPr>
      <w:r w:rsidRPr="003D3CF9">
        <w:rPr>
          <w:b/>
          <w:bCs/>
          <w:lang w:val="en-US"/>
        </w:rPr>
        <w:lastRenderedPageBreak/>
        <w:t>REFERENCES</w:t>
      </w:r>
    </w:p>
    <w:p w14:paraId="3B8B8D59" w14:textId="77777777" w:rsidR="009E605C" w:rsidRPr="003D3CF9" w:rsidRDefault="009E605C">
      <w:pPr>
        <w:rPr>
          <w:b/>
          <w:bCs/>
          <w:lang w:val="en-US"/>
        </w:rPr>
      </w:pPr>
    </w:p>
    <w:p w14:paraId="2B029BBB" w14:textId="569F490C" w:rsidR="00E21513" w:rsidRPr="003D3CF9" w:rsidRDefault="00E21513" w:rsidP="00E21513">
      <w:pPr>
        <w:ind w:left="426" w:hanging="426"/>
        <w:rPr>
          <w:lang w:val="en-US"/>
        </w:rPr>
      </w:pPr>
      <w:r w:rsidRPr="003D3CF9">
        <w:rPr>
          <w:lang w:val="en-US"/>
        </w:rPr>
        <w:t>1.</w:t>
      </w:r>
      <w:r w:rsidRPr="003D3CF9">
        <w:rPr>
          <w:lang w:val="en-US"/>
        </w:rPr>
        <w:tab/>
        <w:t xml:space="preserve">Hollander Z, Dai DLY, Putko BN, Yogasundaram H, Wilson-McManus JE, Thompson RB, et al. Gender-specific plasma proteomic biomarkers in patients with Anderson–Fabry disease. Eur J Heart Fail. 2015 Mar 1;17(3):291–300. </w:t>
      </w:r>
    </w:p>
    <w:p w14:paraId="1E1D1B5E" w14:textId="5160B51A" w:rsidR="00E21513" w:rsidRPr="003D3CF9" w:rsidRDefault="00E21513" w:rsidP="00E21513">
      <w:pPr>
        <w:ind w:left="426" w:hanging="426"/>
        <w:rPr>
          <w:lang w:val="en-US"/>
        </w:rPr>
      </w:pPr>
      <w:r w:rsidRPr="003D3CF9">
        <w:rPr>
          <w:lang w:val="en-US"/>
        </w:rPr>
        <w:t>2.</w:t>
      </w:r>
      <w:r w:rsidRPr="003D3CF9">
        <w:rPr>
          <w:lang w:val="en-US"/>
        </w:rPr>
        <w:tab/>
        <w:t xml:space="preserve">Liu HX, Zhang RS, Luan F, Yao XJ, Liu MC, Hu ZD, et al. Diagnosing Breast Cancer Based on Support Vector Machines. J Chem Inf Comput Sci. 2003 May 1;43(3):900–7. </w:t>
      </w:r>
    </w:p>
    <w:p w14:paraId="5DAFB518" w14:textId="3E3185B4" w:rsidR="00E21513" w:rsidRPr="003D3CF9" w:rsidRDefault="00E21513" w:rsidP="00E21513">
      <w:pPr>
        <w:ind w:left="426" w:hanging="426"/>
        <w:rPr>
          <w:lang w:val="en-US"/>
        </w:rPr>
      </w:pPr>
      <w:r w:rsidRPr="003D3CF9">
        <w:rPr>
          <w:lang w:val="en-US"/>
        </w:rPr>
        <w:t>3.</w:t>
      </w:r>
      <w:r w:rsidRPr="003D3CF9">
        <w:rPr>
          <w:lang w:val="en-US"/>
        </w:rPr>
        <w:tab/>
        <w:t xml:space="preserve">Swan AL, Mobasheri A, Allaway D, Liddell S, Bacardit J. Application of Machine Learning to Proteomics Data: Classification and Biomarker Identification in Postgenomics Biology. OMICS J Integr Biol. 2013 Dec 1;17(12):595–610. </w:t>
      </w:r>
    </w:p>
    <w:p w14:paraId="4E95CEDC" w14:textId="6F7DC87D" w:rsidR="009E605C" w:rsidRPr="003D3CF9" w:rsidRDefault="00E21513" w:rsidP="00E21513">
      <w:pPr>
        <w:ind w:left="426" w:hanging="426"/>
        <w:rPr>
          <w:lang w:val="en-US"/>
        </w:rPr>
      </w:pPr>
      <w:r w:rsidRPr="003D3CF9">
        <w:rPr>
          <w:lang w:val="en-US"/>
        </w:rPr>
        <w:t>4.</w:t>
      </w:r>
      <w:r w:rsidRPr="003D3CF9">
        <w:rPr>
          <w:lang w:val="en-US"/>
        </w:rPr>
        <w:tab/>
        <w:t>Cawley G, Talbot N. Preventing Over-Fitting during Model Selection via Bayesian Regularisation of the Hyper-Parameters. J Mach Learn Res. 2007 Apr 1;8:841–61.</w:t>
      </w:r>
    </w:p>
    <w:sectPr w:rsidR="009E605C" w:rsidRPr="003D3C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790A" w14:textId="77777777" w:rsidR="008865DA" w:rsidRDefault="008865DA" w:rsidP="008B4B78">
      <w:r>
        <w:separator/>
      </w:r>
    </w:p>
  </w:endnote>
  <w:endnote w:type="continuationSeparator" w:id="0">
    <w:p w14:paraId="75DEE834" w14:textId="77777777" w:rsidR="008865DA" w:rsidRDefault="008865DA" w:rsidP="008B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6471143"/>
      <w:docPartObj>
        <w:docPartGallery w:val="Page Numbers (Bottom of Page)"/>
        <w:docPartUnique/>
      </w:docPartObj>
    </w:sdtPr>
    <w:sdtContent>
      <w:p w14:paraId="000049D1" w14:textId="7F638766" w:rsidR="008B4B78" w:rsidRDefault="008B4B78" w:rsidP="00D42F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B46ED">
          <w:rPr>
            <w:rStyle w:val="PageNumber"/>
            <w:noProof/>
          </w:rPr>
          <w:t>1</w:t>
        </w:r>
        <w:r>
          <w:rPr>
            <w:rStyle w:val="PageNumber"/>
          </w:rPr>
          <w:fldChar w:fldCharType="end"/>
        </w:r>
      </w:p>
    </w:sdtContent>
  </w:sdt>
  <w:p w14:paraId="2C133EE3" w14:textId="77777777" w:rsidR="008B4B78" w:rsidRDefault="008B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1351663"/>
      <w:docPartObj>
        <w:docPartGallery w:val="Page Numbers (Bottom of Page)"/>
        <w:docPartUnique/>
      </w:docPartObj>
    </w:sdtPr>
    <w:sdtContent>
      <w:p w14:paraId="7BA636A6" w14:textId="382C9422" w:rsidR="008B4B78" w:rsidRDefault="008B4B78" w:rsidP="00D42F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5F5CBD" w14:textId="77777777" w:rsidR="008B4B78" w:rsidRDefault="008B4B78" w:rsidP="008B4B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E6BC" w14:textId="77777777" w:rsidR="008865DA" w:rsidRDefault="008865DA" w:rsidP="008B4B78">
      <w:r>
        <w:separator/>
      </w:r>
    </w:p>
  </w:footnote>
  <w:footnote w:type="continuationSeparator" w:id="0">
    <w:p w14:paraId="7BCB1284" w14:textId="77777777" w:rsidR="008865DA" w:rsidRDefault="008865DA" w:rsidP="008B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06"/>
    <w:rsid w:val="00006889"/>
    <w:rsid w:val="00025A7A"/>
    <w:rsid w:val="00035C66"/>
    <w:rsid w:val="000508B4"/>
    <w:rsid w:val="00061FD5"/>
    <w:rsid w:val="00066ACD"/>
    <w:rsid w:val="00081738"/>
    <w:rsid w:val="000B5E48"/>
    <w:rsid w:val="000B758C"/>
    <w:rsid w:val="0010737D"/>
    <w:rsid w:val="00107C56"/>
    <w:rsid w:val="0011185B"/>
    <w:rsid w:val="001304FD"/>
    <w:rsid w:val="00134401"/>
    <w:rsid w:val="00147844"/>
    <w:rsid w:val="00161ED1"/>
    <w:rsid w:val="00162F3C"/>
    <w:rsid w:val="001A40D6"/>
    <w:rsid w:val="001B075D"/>
    <w:rsid w:val="001B207B"/>
    <w:rsid w:val="001C73AE"/>
    <w:rsid w:val="001D497B"/>
    <w:rsid w:val="001E19CE"/>
    <w:rsid w:val="001F77AC"/>
    <w:rsid w:val="00202446"/>
    <w:rsid w:val="0022540A"/>
    <w:rsid w:val="00237906"/>
    <w:rsid w:val="00242917"/>
    <w:rsid w:val="002B279E"/>
    <w:rsid w:val="002E571D"/>
    <w:rsid w:val="00376BB7"/>
    <w:rsid w:val="0038444F"/>
    <w:rsid w:val="00395506"/>
    <w:rsid w:val="003B4A0E"/>
    <w:rsid w:val="003D3CF9"/>
    <w:rsid w:val="003E3B7A"/>
    <w:rsid w:val="003F0F75"/>
    <w:rsid w:val="003F79B5"/>
    <w:rsid w:val="00403E21"/>
    <w:rsid w:val="004338A1"/>
    <w:rsid w:val="00462106"/>
    <w:rsid w:val="004A2095"/>
    <w:rsid w:val="004F228E"/>
    <w:rsid w:val="004F49E6"/>
    <w:rsid w:val="004F733B"/>
    <w:rsid w:val="005366CC"/>
    <w:rsid w:val="005466D3"/>
    <w:rsid w:val="005473CD"/>
    <w:rsid w:val="005836FE"/>
    <w:rsid w:val="005A6DE7"/>
    <w:rsid w:val="005A7D82"/>
    <w:rsid w:val="005C0CFF"/>
    <w:rsid w:val="005E070D"/>
    <w:rsid w:val="005F20BD"/>
    <w:rsid w:val="00620B73"/>
    <w:rsid w:val="0063522D"/>
    <w:rsid w:val="00663000"/>
    <w:rsid w:val="00677F09"/>
    <w:rsid w:val="006A2A00"/>
    <w:rsid w:val="006A3497"/>
    <w:rsid w:val="006B7FB9"/>
    <w:rsid w:val="006C348C"/>
    <w:rsid w:val="006C402C"/>
    <w:rsid w:val="006C6F6C"/>
    <w:rsid w:val="006D6EF0"/>
    <w:rsid w:val="007015F3"/>
    <w:rsid w:val="00704C0F"/>
    <w:rsid w:val="007116FF"/>
    <w:rsid w:val="00720963"/>
    <w:rsid w:val="0074682A"/>
    <w:rsid w:val="0075739C"/>
    <w:rsid w:val="00766D08"/>
    <w:rsid w:val="007F7147"/>
    <w:rsid w:val="00870A21"/>
    <w:rsid w:val="008865DA"/>
    <w:rsid w:val="00886655"/>
    <w:rsid w:val="00890201"/>
    <w:rsid w:val="008A23C4"/>
    <w:rsid w:val="008B4B78"/>
    <w:rsid w:val="008D67BF"/>
    <w:rsid w:val="008F5D82"/>
    <w:rsid w:val="00911C3A"/>
    <w:rsid w:val="0092039F"/>
    <w:rsid w:val="00925E5F"/>
    <w:rsid w:val="0092704A"/>
    <w:rsid w:val="00976078"/>
    <w:rsid w:val="00981D2A"/>
    <w:rsid w:val="009965FC"/>
    <w:rsid w:val="009A0981"/>
    <w:rsid w:val="009A6266"/>
    <w:rsid w:val="009B59FC"/>
    <w:rsid w:val="009D6C91"/>
    <w:rsid w:val="009E605C"/>
    <w:rsid w:val="009E6109"/>
    <w:rsid w:val="009E7C1C"/>
    <w:rsid w:val="009F41F0"/>
    <w:rsid w:val="00A01D19"/>
    <w:rsid w:val="00A103D6"/>
    <w:rsid w:val="00A20D57"/>
    <w:rsid w:val="00A3133C"/>
    <w:rsid w:val="00A32B85"/>
    <w:rsid w:val="00A32C46"/>
    <w:rsid w:val="00A35FA7"/>
    <w:rsid w:val="00A5696F"/>
    <w:rsid w:val="00A645E1"/>
    <w:rsid w:val="00A773E8"/>
    <w:rsid w:val="00AA5370"/>
    <w:rsid w:val="00AA76D1"/>
    <w:rsid w:val="00AB48A9"/>
    <w:rsid w:val="00AE2CB3"/>
    <w:rsid w:val="00AF2810"/>
    <w:rsid w:val="00B03DD7"/>
    <w:rsid w:val="00B17525"/>
    <w:rsid w:val="00B25956"/>
    <w:rsid w:val="00B26753"/>
    <w:rsid w:val="00B353A2"/>
    <w:rsid w:val="00B477C0"/>
    <w:rsid w:val="00B53390"/>
    <w:rsid w:val="00BA1CD3"/>
    <w:rsid w:val="00BB274F"/>
    <w:rsid w:val="00BE013D"/>
    <w:rsid w:val="00BF0A71"/>
    <w:rsid w:val="00C11050"/>
    <w:rsid w:val="00C907B2"/>
    <w:rsid w:val="00C93462"/>
    <w:rsid w:val="00CA5B30"/>
    <w:rsid w:val="00CC7DAB"/>
    <w:rsid w:val="00CD4DE5"/>
    <w:rsid w:val="00CD6C9B"/>
    <w:rsid w:val="00CE165C"/>
    <w:rsid w:val="00D001CA"/>
    <w:rsid w:val="00D1125C"/>
    <w:rsid w:val="00D3376C"/>
    <w:rsid w:val="00D4338E"/>
    <w:rsid w:val="00D4357B"/>
    <w:rsid w:val="00D8191D"/>
    <w:rsid w:val="00D8541B"/>
    <w:rsid w:val="00DB2FD3"/>
    <w:rsid w:val="00DB7E82"/>
    <w:rsid w:val="00DC19D9"/>
    <w:rsid w:val="00DF7542"/>
    <w:rsid w:val="00E04AE1"/>
    <w:rsid w:val="00E075D4"/>
    <w:rsid w:val="00E21513"/>
    <w:rsid w:val="00E33F65"/>
    <w:rsid w:val="00E5218E"/>
    <w:rsid w:val="00E84F98"/>
    <w:rsid w:val="00EA6534"/>
    <w:rsid w:val="00ED3A2B"/>
    <w:rsid w:val="00EE0FC9"/>
    <w:rsid w:val="00EF415E"/>
    <w:rsid w:val="00F45DF3"/>
    <w:rsid w:val="00F71238"/>
    <w:rsid w:val="00F76DD4"/>
    <w:rsid w:val="00F77B2F"/>
    <w:rsid w:val="00F91E3B"/>
    <w:rsid w:val="00F92BE5"/>
    <w:rsid w:val="00FA73C8"/>
    <w:rsid w:val="00FB46ED"/>
    <w:rsid w:val="00FE0911"/>
    <w:rsid w:val="00FF5B43"/>
    <w:rsid w:val="00FF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FD68"/>
  <w15:chartTrackingRefBased/>
  <w15:docId w15:val="{3A291522-9A17-254D-8A46-8FA28168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10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2106"/>
    <w:pPr>
      <w:spacing w:before="100" w:beforeAutospacing="1" w:after="100" w:afterAutospacing="1"/>
    </w:pPr>
    <w:rPr>
      <w:lang w:eastAsia="zh-CN"/>
    </w:rPr>
  </w:style>
  <w:style w:type="paragraph" w:styleId="NoSpacing">
    <w:name w:val="No Spacing"/>
    <w:uiPriority w:val="1"/>
    <w:qFormat/>
    <w:rsid w:val="00462106"/>
    <w:rPr>
      <w:rFonts w:eastAsiaTheme="minorEastAsia"/>
      <w:lang w:eastAsia="zh-CN"/>
    </w:rPr>
  </w:style>
  <w:style w:type="paragraph" w:styleId="Header">
    <w:name w:val="header"/>
    <w:basedOn w:val="Normal"/>
    <w:link w:val="HeaderChar"/>
    <w:uiPriority w:val="99"/>
    <w:unhideWhenUsed/>
    <w:rsid w:val="008B4B78"/>
    <w:pPr>
      <w:tabs>
        <w:tab w:val="center" w:pos="4513"/>
        <w:tab w:val="right" w:pos="9026"/>
      </w:tabs>
    </w:pPr>
  </w:style>
  <w:style w:type="character" w:customStyle="1" w:styleId="HeaderChar">
    <w:name w:val="Header Char"/>
    <w:basedOn w:val="DefaultParagraphFont"/>
    <w:link w:val="Header"/>
    <w:uiPriority w:val="99"/>
    <w:rsid w:val="008B4B78"/>
    <w:rPr>
      <w:rFonts w:ascii="Times New Roman" w:eastAsia="Times New Roman" w:hAnsi="Times New Roman" w:cs="Times New Roman"/>
      <w:lang w:eastAsia="en-GB"/>
    </w:rPr>
  </w:style>
  <w:style w:type="paragraph" w:styleId="Footer">
    <w:name w:val="footer"/>
    <w:basedOn w:val="Normal"/>
    <w:link w:val="FooterChar"/>
    <w:uiPriority w:val="99"/>
    <w:unhideWhenUsed/>
    <w:rsid w:val="008B4B78"/>
    <w:pPr>
      <w:tabs>
        <w:tab w:val="center" w:pos="4513"/>
        <w:tab w:val="right" w:pos="9026"/>
      </w:tabs>
    </w:pPr>
  </w:style>
  <w:style w:type="character" w:customStyle="1" w:styleId="FooterChar">
    <w:name w:val="Footer Char"/>
    <w:basedOn w:val="DefaultParagraphFont"/>
    <w:link w:val="Footer"/>
    <w:uiPriority w:val="99"/>
    <w:rsid w:val="008B4B78"/>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8B4B78"/>
  </w:style>
  <w:style w:type="character" w:styleId="Hyperlink">
    <w:name w:val="Hyperlink"/>
    <w:basedOn w:val="DefaultParagraphFont"/>
    <w:uiPriority w:val="99"/>
    <w:unhideWhenUsed/>
    <w:rsid w:val="00AA76D1"/>
    <w:rPr>
      <w:color w:val="0563C1" w:themeColor="hyperlink"/>
      <w:u w:val="single"/>
    </w:rPr>
  </w:style>
  <w:style w:type="character" w:styleId="UnresolvedMention">
    <w:name w:val="Unresolved Mention"/>
    <w:basedOn w:val="DefaultParagraphFont"/>
    <w:uiPriority w:val="99"/>
    <w:semiHidden/>
    <w:unhideWhenUsed/>
    <w:rsid w:val="00AA76D1"/>
    <w:rPr>
      <w:color w:val="605E5C"/>
      <w:shd w:val="clear" w:color="auto" w:fill="E1DFDD"/>
    </w:rPr>
  </w:style>
  <w:style w:type="character" w:styleId="FollowedHyperlink">
    <w:name w:val="FollowedHyperlink"/>
    <w:basedOn w:val="DefaultParagraphFont"/>
    <w:uiPriority w:val="99"/>
    <w:semiHidden/>
    <w:unhideWhenUsed/>
    <w:rsid w:val="00AA76D1"/>
    <w:rPr>
      <w:color w:val="954F72" w:themeColor="followedHyperlink"/>
      <w:u w:val="single"/>
    </w:rPr>
  </w:style>
  <w:style w:type="table" w:styleId="TableGrid">
    <w:name w:val="Table Grid"/>
    <w:basedOn w:val="TableNormal"/>
    <w:uiPriority w:val="39"/>
    <w:rsid w:val="00A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376C"/>
    <w:rPr>
      <w:rFonts w:ascii="Times New Roman" w:eastAsia="Times New Roman" w:hAnsi="Times New Roman" w:cs="Times New Roman"/>
      <w:lang w:eastAsia="en-GB"/>
    </w:rPr>
  </w:style>
  <w:style w:type="character" w:customStyle="1" w:styleId="apple-converted-space">
    <w:name w:val="apple-converted-space"/>
    <w:basedOn w:val="DefaultParagraphFont"/>
    <w:rsid w:val="00B26753"/>
  </w:style>
  <w:style w:type="character" w:styleId="CommentReference">
    <w:name w:val="annotation reference"/>
    <w:basedOn w:val="DefaultParagraphFont"/>
    <w:uiPriority w:val="99"/>
    <w:semiHidden/>
    <w:unhideWhenUsed/>
    <w:rsid w:val="003F0F75"/>
    <w:rPr>
      <w:sz w:val="16"/>
      <w:szCs w:val="16"/>
    </w:rPr>
  </w:style>
  <w:style w:type="paragraph" w:styleId="CommentText">
    <w:name w:val="annotation text"/>
    <w:basedOn w:val="Normal"/>
    <w:link w:val="CommentTextChar"/>
    <w:uiPriority w:val="99"/>
    <w:semiHidden/>
    <w:unhideWhenUsed/>
    <w:rsid w:val="003F0F75"/>
    <w:rPr>
      <w:sz w:val="20"/>
      <w:szCs w:val="20"/>
    </w:rPr>
  </w:style>
  <w:style w:type="character" w:customStyle="1" w:styleId="CommentTextChar">
    <w:name w:val="Comment Text Char"/>
    <w:basedOn w:val="DefaultParagraphFont"/>
    <w:link w:val="CommentText"/>
    <w:uiPriority w:val="99"/>
    <w:semiHidden/>
    <w:rsid w:val="003F0F7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0F75"/>
    <w:rPr>
      <w:b/>
      <w:bCs/>
    </w:rPr>
  </w:style>
  <w:style w:type="character" w:customStyle="1" w:styleId="CommentSubjectChar">
    <w:name w:val="Comment Subject Char"/>
    <w:basedOn w:val="CommentTextChar"/>
    <w:link w:val="CommentSubject"/>
    <w:uiPriority w:val="99"/>
    <w:semiHidden/>
    <w:rsid w:val="003F0F7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34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ithub.com/georgejoyucl/HCM-ECGI" TargetMode="Externa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E07FD03048543840440A36D86068B" ma:contentTypeVersion="21" ma:contentTypeDescription="Create a new document." ma:contentTypeScope="" ma:versionID="8a4e676cdf7bafc2a8dd135c13028ad9">
  <xsd:schema xmlns:xsd="http://www.w3.org/2001/XMLSchema" xmlns:xs="http://www.w3.org/2001/XMLSchema" xmlns:p="http://schemas.microsoft.com/office/2006/metadata/properties" xmlns:ns2="b65216f0-f428-42a7-9c8f-754749f300df" xmlns:ns3="d93d0c5f-365f-43d4-9a0c-e9cc1a6fe1a4" xmlns:ns4="046fb8c9-eddb-46dc-a2ab-849d6f219386" targetNamespace="http://schemas.microsoft.com/office/2006/metadata/properties" ma:root="true" ma:fieldsID="895e41bd5df22b9496a204d5d291a3f8" ns2:_="" ns3:_="" ns4:_="">
    <xsd:import namespace="b65216f0-f428-42a7-9c8f-754749f300df"/>
    <xsd:import namespace="d93d0c5f-365f-43d4-9a0c-e9cc1a6fe1a4"/>
    <xsd:import namespace="046fb8c9-eddb-46dc-a2ab-849d6f2193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otes" minOccurs="0"/>
                <xsd:element ref="ns2:Comments"/>
                <xsd:element ref="ns2:Comments2"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216f0-f428-42a7-9c8f-754749f30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JLR, MCPRO, JBC details for rejected submissions" ma:format="Dropdown" ma:internalName="Notes">
      <xsd:simpleType>
        <xsd:restriction base="dms:Note">
          <xsd:maxLength value="255"/>
        </xsd:restriction>
      </xsd:simpleType>
    </xsd:element>
    <xsd:element name="Comments" ma:index="22" ma:displayName="Comments" ma:default="Comment?" ma:format="Dropdown" ma:internalName="Comments">
      <xsd:simpleType>
        <xsd:restriction base="dms:Note">
          <xsd:maxLength value="255"/>
        </xsd:restriction>
      </xsd:simpleType>
    </xsd:element>
    <xsd:element name="Comments2" ma:index="23" nillable="true" ma:displayName="Comments 2" ma:format="Dropdown" ma:internalName="Comments2">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d0c5f-365f-43d4-9a0c-e9cc1a6fe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fb8c9-eddb-46dc-a2ab-849d6f21938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d2c52c8-eadb-4fb6-a4af-3c1a5aad3714}" ma:internalName="TaxCatchAll" ma:showField="CatchAllData" ma:web="046fb8c9-eddb-46dc-a2ab-849d6f219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5216f0-f428-42a7-9c8f-754749f300df">
      <Terms xmlns="http://schemas.microsoft.com/office/infopath/2007/PartnerControls"/>
    </lcf76f155ced4ddcb4097134ff3c332f>
    <Comments2 xmlns="b65216f0-f428-42a7-9c8f-754749f300df" xsi:nil="true"/>
    <Notes xmlns="b65216f0-f428-42a7-9c8f-754749f300df" xsi:nil="true"/>
    <TaxCatchAll xmlns="046fb8c9-eddb-46dc-a2ab-849d6f219386" xsi:nil="true"/>
    <Comments xmlns="b65216f0-f428-42a7-9c8f-754749f300df">Comment?</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46EF1-0EAF-489A-A1F8-925C6002C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216f0-f428-42a7-9c8f-754749f300df"/>
    <ds:schemaRef ds:uri="d93d0c5f-365f-43d4-9a0c-e9cc1a6fe1a4"/>
    <ds:schemaRef ds:uri="046fb8c9-eddb-46dc-a2ab-849d6f219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3C6BA-E378-40FF-B6C0-99676C112AFC}">
  <ds:schemaRefs>
    <ds:schemaRef ds:uri="http://schemas.microsoft.com/office/2006/metadata/properties"/>
    <ds:schemaRef ds:uri="http://schemas.microsoft.com/office/infopath/2007/PartnerControls"/>
    <ds:schemaRef ds:uri="b65216f0-f428-42a7-9c8f-754749f300df"/>
    <ds:schemaRef ds:uri="046fb8c9-eddb-46dc-a2ab-849d6f219386"/>
  </ds:schemaRefs>
</ds:datastoreItem>
</file>

<file path=customXml/itemProps3.xml><?xml version="1.0" encoding="utf-8"?>
<ds:datastoreItem xmlns:ds="http://schemas.openxmlformats.org/officeDocument/2006/customXml" ds:itemID="{42B58450-C8A8-448D-BF9B-EF70A830C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Joy</dc:creator>
  <cp:keywords/>
  <dc:description/>
  <cp:lastModifiedBy>Hastings, Ryan J. (ELS-HBE)</cp:lastModifiedBy>
  <cp:revision>5</cp:revision>
  <dcterms:created xsi:type="dcterms:W3CDTF">2024-01-17T15:05:00Z</dcterms:created>
  <dcterms:modified xsi:type="dcterms:W3CDTF">2024-01-24T19:11:00Z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0x0101000E2E07FD03048543840440A36D86068B</vt:lpwstr>
  </property>
  <property fmtid="{D5CDD505-2E9C-101B-9397-08002B2CF9AE}" pid="3" name="MSIP_Label_549ac42a-3eb4-4074-b885-aea26bd6241e_Enabled">
    <vt:lpwstr>true</vt:lpwstr>
  </property>
  <property fmtid="{D5CDD505-2E9C-101B-9397-08002B2CF9AE}" pid="4" name="MSIP_Label_549ac42a-3eb4-4074-b885-aea26bd6241e_SetDate">
    <vt:lpwstr>2024-01-24T19:09:45Z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f37a6c75-a592-410d-a08b-6904b181db7c</vt:lpwstr>
  </property>
  <property fmtid="{D5CDD505-2E9C-101B-9397-08002B2CF9AE}" pid="9" name="MSIP_Label_549ac42a-3eb4-4074-b885-aea26bd6241e_ContentBits">
    <vt:lpwstr>0</vt:lpwstr>
  </property>
  <property fmtid="{D5CDD505-2E9C-101B-9397-08002B2CF9AE}" pid="10" name="MediaServiceImageTags">
    <vt:lpwstr/>
  </property>
</Properties>
</file>