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A600C" w14:textId="77777777" w:rsidR="000124C6" w:rsidRDefault="000124C6"/>
    <w:p w14:paraId="1DE3944A" w14:textId="77777777" w:rsidR="007F3087" w:rsidRDefault="007F3087" w:rsidP="007F3087">
      <w:r w:rsidRPr="00A04977">
        <w:rPr>
          <w:b/>
        </w:rPr>
        <w:t>Table 2</w:t>
      </w:r>
      <w:r>
        <w:t xml:space="preserve">. </w:t>
      </w:r>
      <w:r w:rsidRPr="00315D76">
        <w:t>Characteristics of the Intervention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019"/>
        <w:gridCol w:w="2035"/>
        <w:gridCol w:w="1432"/>
        <w:gridCol w:w="2364"/>
        <w:gridCol w:w="1725"/>
        <w:gridCol w:w="1750"/>
        <w:gridCol w:w="1744"/>
      </w:tblGrid>
      <w:tr w:rsidR="007F3087" w:rsidRPr="00A94C4D" w14:paraId="07A16C31" w14:textId="77777777" w:rsidTr="00282336"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BC8BE3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Study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F555C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Intervention theoretical domains &amp; Constructs</w:t>
            </w:r>
          </w:p>
          <w:p w14:paraId="188A98B8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118CB5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Link Worker Training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4FC8A1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Link worker qualifications &amp; backgrounds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D0B044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Services provided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6EA35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Intervention location, duration &amp; follow ups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53D45C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Intervention delivery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06B6D8" w14:textId="77777777" w:rsidR="007F3087" w:rsidRPr="00A94C4D" w:rsidRDefault="007F3087" w:rsidP="0028233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94C4D">
              <w:rPr>
                <w:b/>
                <w:sz w:val="18"/>
                <w:szCs w:val="18"/>
              </w:rPr>
              <w:t>Mode of intervention delivery</w:t>
            </w:r>
          </w:p>
        </w:tc>
      </w:tr>
      <w:tr w:rsidR="007F3087" w:rsidRPr="00A94C4D" w14:paraId="58837A78" w14:textId="77777777" w:rsidTr="00282336"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0409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1.Gray et al 2021</w:t>
            </w:r>
          </w:p>
          <w:p w14:paraId="287B6BFA" w14:textId="77777777" w:rsidR="007F3087" w:rsidRPr="00A94C4D" w:rsidRDefault="007F3087" w:rsidP="0028233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1EA1E5A" w14:textId="77777777" w:rsidR="007F3087" w:rsidRPr="00A94C4D" w:rsidRDefault="007F3087" w:rsidP="0028233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D9B35F1" w14:textId="77777777" w:rsidR="007F3087" w:rsidRPr="00A94C4D" w:rsidRDefault="007F3087" w:rsidP="0028233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7130D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Shaping knowledge, feedback and monitoring, goal setting, social support, advocacy, navigation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AD31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40 hr of comprehensive</w:t>
            </w:r>
          </w:p>
          <w:p w14:paraId="302FE06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training, including didactic sessions,</w:t>
            </w:r>
          </w:p>
          <w:p w14:paraId="37C1D11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In-class exercises and field practice. </w:t>
            </w:r>
          </w:p>
          <w:p w14:paraId="217E9C1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Health coaching and motivational</w:t>
            </w:r>
          </w:p>
          <w:p w14:paraId="1136340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interviewing delivered by a professional health</w:t>
            </w:r>
          </w:p>
          <w:p w14:paraId="6776FA6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coach and Certified Diabetes Educator,</w:t>
            </w:r>
          </w:p>
          <w:p w14:paraId="5A71706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Diabetes self-management education</w:t>
            </w:r>
          </w:p>
          <w:p w14:paraId="4CF0F1B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Competency Test prior to working with clients. Biweekly training sessions with Health coach</w:t>
            </w:r>
          </w:p>
          <w:p w14:paraId="5276917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9B83A3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9ED0C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High school or equivalent degrees and</w:t>
            </w:r>
          </w:p>
          <w:p w14:paraId="36BB8ED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5–8 years of experience as CLWs, Latina and bilingual in Spanish/English, from the communities the project served.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63012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education, assistance, client advocacy, social support,</w:t>
            </w:r>
          </w:p>
          <w:p w14:paraId="7530207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informal counselling, and linkages to community resources, blood glucose monitoring, healthy eating, physical activity, medication</w:t>
            </w:r>
          </w:p>
          <w:p w14:paraId="525A534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taking, and smoking cessation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39300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Home based, community resource locations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4F5C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</w:t>
            </w:r>
            <w:r>
              <w:rPr>
                <w:sz w:val="18"/>
                <w:szCs w:val="18"/>
              </w:rPr>
              <w:t xml:space="preserve">Ws met </w:t>
            </w:r>
            <w:r w:rsidRPr="00A94C4D">
              <w:rPr>
                <w:sz w:val="18"/>
                <w:szCs w:val="18"/>
              </w:rPr>
              <w:t>with participants in their homes at ba</w:t>
            </w:r>
            <w:r>
              <w:rPr>
                <w:sz w:val="18"/>
                <w:szCs w:val="18"/>
              </w:rPr>
              <w:t xml:space="preserve">seline, with </w:t>
            </w:r>
            <w:r w:rsidRPr="00A94C4D">
              <w:rPr>
                <w:sz w:val="18"/>
                <w:szCs w:val="18"/>
              </w:rPr>
              <w:t>follow-up visits at 0.5, 1.5, 3.5, and 7 months and an optional 10-month visit.</w:t>
            </w:r>
          </w:p>
          <w:p w14:paraId="2A84CC5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3A0470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</w:t>
            </w:r>
          </w:p>
          <w:p w14:paraId="76D0AE9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All but one received at least four CLW visits.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64CF7" w14:textId="77777777" w:rsidR="007F3087" w:rsidRPr="00A94C4D" w:rsidRDefault="007F3087" w:rsidP="002823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Face to Face</w:t>
            </w:r>
          </w:p>
        </w:tc>
      </w:tr>
      <w:tr w:rsidR="007F3087" w:rsidRPr="00A94C4D" w14:paraId="61CD890D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E262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</w:rPr>
              <w:t>2.</w:t>
            </w:r>
            <w:r w:rsidRPr="00A94C4D">
              <w:rPr>
                <w:sz w:val="18"/>
                <w:szCs w:val="18"/>
              </w:rPr>
              <w:t>Bossche et al (2021)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AC13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Social support, coaching, advocacy, navigation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AA26DE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2 online training modules of 2 hrs with entailed communication skills, signposting, recognizing alarming signals presented by patients and safety measures to prevent COVID- 19 infection</w:t>
            </w:r>
          </w:p>
          <w:p w14:paraId="445E655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61DC1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  <w:p w14:paraId="6946693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D3FB98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0BC3EC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Offer presence to patients who were socially isolated or who felt lonely or anxious, information on social distancing, navigation to healthcare facilities</w:t>
            </w:r>
          </w:p>
          <w:p w14:paraId="70C0A1D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290CCD1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Community resource locations</w:t>
            </w:r>
          </w:p>
          <w:p w14:paraId="6B255A2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13005FB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8 weeks duration</w:t>
            </w:r>
          </w:p>
          <w:p w14:paraId="106599E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4CEB86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8 weeks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985B7D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Aimed for a total of 8 contacts up to 2 hours per contact over 8 weeks </w:t>
            </w:r>
          </w:p>
          <w:p w14:paraId="09EB6EB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802CBE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297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Telephone, text messages, WhatsApp</w:t>
            </w:r>
          </w:p>
          <w:p w14:paraId="1A80FF4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messages, e-mails or postcards, Skype meetings, park walks</w:t>
            </w:r>
          </w:p>
        </w:tc>
      </w:tr>
      <w:tr w:rsidR="007F3087" w:rsidRPr="00A94C4D" w14:paraId="30688D1A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F9E2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3.Ramirez et al (2020)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6332FD4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Community-based participatory research methods drawing on theoretical frameworks such as social cognitive theory, stress and coping theory, and health behaviour change theory</w:t>
            </w:r>
          </w:p>
          <w:p w14:paraId="362AA49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F8357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86B4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75F9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Social work and psychosocial services referrals, child /elderly care, transportation, and financial services; accessing and planning future medical appointments for treatment follow-up, fertility education, guidebook, journaling, onward referral to community services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60B596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Community resource locations</w:t>
            </w:r>
          </w:p>
          <w:p w14:paraId="4C71C90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43A71C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12 months duration</w:t>
            </w:r>
          </w:p>
          <w:p w14:paraId="112CB84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3, 9, 15 months</w:t>
            </w:r>
          </w:p>
          <w:p w14:paraId="7BA5C6A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1C3704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Survivors in the PN-LCNS group accessed the standard services (PN-only services) 2.70 times on average (median, 2; range, 1-9) and the LCNS services about twice on average (median, 2; range, 0-</w:t>
            </w:r>
            <w:r w:rsidRPr="00A94C4D">
              <w:rPr>
                <w:sz w:val="18"/>
                <w:szCs w:val="18"/>
              </w:rPr>
              <w:lastRenderedPageBreak/>
              <w:t>16). PN-only survivors accessed the PN-only services on average 2.69 times (median, 2; range, 1-11), and there were 3 PN-only survivors who accessed the LCNS services (2, 3, and 9 times).</w:t>
            </w:r>
          </w:p>
          <w:p w14:paraId="61B72BD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B1974A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  <w:p w14:paraId="2A9C0DB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62AE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Telephone</w:t>
            </w:r>
          </w:p>
        </w:tc>
      </w:tr>
      <w:tr w:rsidR="007F3087" w:rsidRPr="00A94C4D" w14:paraId="48BAB53E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F9E63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4.Mercer et al (2019)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2195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The Glasgow Deep End Links Worker</w:t>
            </w:r>
          </w:p>
          <w:p w14:paraId="1E93B38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Programme (LWP); theory of community-oriented primary care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B9C2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2A15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0A75702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Forge relationships between general practices and community organizations, and support patients to access the nonmedical services and encourage self determination</w:t>
            </w:r>
          </w:p>
          <w:p w14:paraId="565BB22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6CE47E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Clinics; home visits; community resource locations</w:t>
            </w:r>
          </w:p>
          <w:p w14:paraId="02AA2D1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58F69B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9 months duration</w:t>
            </w:r>
          </w:p>
          <w:p w14:paraId="79D8A14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06B0DA7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9 months</w:t>
            </w:r>
          </w:p>
          <w:p w14:paraId="49B9086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A83373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As required</w:t>
            </w:r>
          </w:p>
          <w:p w14:paraId="76EA523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1660A68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868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24D4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One to one, face to face, telephone</w:t>
            </w:r>
          </w:p>
        </w:tc>
      </w:tr>
      <w:tr w:rsidR="007F3087" w:rsidRPr="00A94C4D" w14:paraId="447746B6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7E45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5.Kangovi et al (2018)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EB44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Individualized Management for Patient-Centred Targets (IMPaCT) is a standardized intervention based on Participatory action research framework to help low-income patients achieve health goals within the domains of coaching, social support, and advocacy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A6816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One month-long training that covers topics such as action planning and motivational interviewing.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FB9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High school diploma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3323337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CLWs helped patients identify long-term supports for after the intervention ended. Included neighbours, family members, church, or a weekly CLW-facilitated support group, exercising and helping participants apply for social services; sourcing lower cost medication; onward referral to community based mental health care and drug addiction treatment.</w:t>
            </w:r>
          </w:p>
          <w:p w14:paraId="6879EF7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28E55C0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 NR</w:t>
            </w:r>
          </w:p>
          <w:p w14:paraId="0208A60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0D53AF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6 months duration</w:t>
            </w:r>
          </w:p>
          <w:p w14:paraId="2F4333C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02720C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6, 9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82256C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Min 24 contacts; </w:t>
            </w:r>
          </w:p>
          <w:p w14:paraId="1868D9C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09768E7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349E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Individualised or group face to face; telephone</w:t>
            </w:r>
          </w:p>
        </w:tc>
      </w:tr>
      <w:tr w:rsidR="007F3087" w:rsidRPr="00A94C4D" w14:paraId="6361E185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0908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6.Spencer et al (2018)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47D4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The Racial and Ethnic</w:t>
            </w:r>
          </w:p>
          <w:p w14:paraId="4516F38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Approaches to Community Health (REACH)</w:t>
            </w:r>
          </w:p>
          <w:p w14:paraId="1C89105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Detroit Partnership is a community-based</w:t>
            </w:r>
          </w:p>
          <w:p w14:paraId="5145412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participatory research (CBPR) approach;</w:t>
            </w:r>
            <w:r w:rsidRPr="00A94C4D">
              <w:t xml:space="preserve"> </w:t>
            </w:r>
            <w:r w:rsidRPr="00A94C4D">
              <w:rPr>
                <w:sz w:val="18"/>
                <w:szCs w:val="18"/>
              </w:rPr>
              <w:t xml:space="preserve">DSME curriculum, “Journey to Health/El </w:t>
            </w:r>
            <w:r w:rsidRPr="00A94C4D">
              <w:rPr>
                <w:sz w:val="18"/>
                <w:szCs w:val="18"/>
              </w:rPr>
              <w:lastRenderedPageBreak/>
              <w:t>Camino a La Salud, ”grounded in the</w:t>
            </w:r>
          </w:p>
          <w:p w14:paraId="68E0998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empowerment method that emphasizes a collaborative approach to facilitate self-directed behaviour change among individuals with long-term health issues</w:t>
            </w:r>
          </w:p>
          <w:p w14:paraId="0B6ECAA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03C4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CLWs underwent 160 h of CLW training; 80 h of diabetes education; home visit experiences; training in human subjects protocols; behaviour modification strategies; cultural competency and CPBR principles; trained in empowerment-based</w:t>
            </w:r>
          </w:p>
          <w:p w14:paraId="6AF48B8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Approaches; motivational interviewing and goal setting.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9A05A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Spanish-fluent Latinas who had completed</w:t>
            </w:r>
          </w:p>
          <w:p w14:paraId="29D6928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high school or had a GED; recruited from the southwest Detroit</w:t>
            </w:r>
          </w:p>
          <w:p w14:paraId="27C0493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community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5ACB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Improve communication skills with their providers and facilitated necessary referrals to other service systems; set goals using the five-step goal-setting model, which included 1) exploring a participant-identified problem,2) discussing the emotional impact of the problem, 3) selecting a self-</w:t>
            </w:r>
            <w:r w:rsidRPr="00A94C4D">
              <w:rPr>
                <w:sz w:val="18"/>
                <w:szCs w:val="18"/>
              </w:rPr>
              <w:lastRenderedPageBreak/>
              <w:t>management goal,4 ) developing an action plan 5) executing and evaluating the action plan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87F5A8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Community resource locations</w:t>
            </w:r>
          </w:p>
          <w:p w14:paraId="08C1689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7ED5C6A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6 months duration</w:t>
            </w:r>
          </w:p>
          <w:p w14:paraId="6A342E5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6EE3C3A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6, 12, 18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2D5F95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11 x  2-hr group sessions of 8–10 participants held every 2 weeks; 2 x 60-min home visits each month; 1 clinic visit with the participant</w:t>
            </w:r>
          </w:p>
          <w:p w14:paraId="55CC765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and his or her primary care </w:t>
            </w:r>
            <w:r w:rsidRPr="00A94C4D">
              <w:rPr>
                <w:sz w:val="18"/>
                <w:szCs w:val="18"/>
              </w:rPr>
              <w:lastRenderedPageBreak/>
              <w:t>provider; phone calls every 2 weeks</w:t>
            </w:r>
          </w:p>
          <w:p w14:paraId="1FE5F19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371972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  <w:p w14:paraId="47C08B9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7B9D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Individualised and group face to face; telephone calls</w:t>
            </w:r>
          </w:p>
        </w:tc>
      </w:tr>
      <w:tr w:rsidR="007F3087" w:rsidRPr="00A94C4D" w14:paraId="775E6A7F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598C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7.Carrasquillo et al (2017)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33F5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Miami Healthy Heart Initiative community-level intervention  in which the CLWs successfully link Latinos participants in underserved settings with assistance with nonmedical social services, health education; patient navigation under the framework of chronic care model; self-management support; clinical information; healthcare organization and community resources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100A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75-hour training curriculum, including CLW-specific skills (35 hours); type 2 diabetes clinical and behavioural interventions (20 hours), including</w:t>
            </w:r>
          </w:p>
          <w:p w14:paraId="57B22A8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motivational interviewing training; basic research</w:t>
            </w:r>
          </w:p>
          <w:p w14:paraId="6915928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methods on human participants research</w:t>
            </w:r>
          </w:p>
          <w:p w14:paraId="7BA350B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(20 hours); CLW trainees shadowed 5 patient home visits with another CLW before receiving their initial cases; ongoing periodic CLW training on issues such as CLW skills, clinic and insurance navigation; cardiovascular disease and type 2 diabetes care every 2 months.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C1FC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Lead CLW were non-medical staff; CLW supervisor – MSc qualification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03BB7A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Health education, patient navigation obtaining appointments, reminders; preparation checklists, medication refills, assistance with behavioural health linkages, communication with the clinician about patient care issues, and ≥1 clinic visit with the patient); health coaching (helping patients to prioritize concerns before</w:t>
            </w:r>
          </w:p>
          <w:p w14:paraId="4E029CB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clinician visits, bringing their medications; ensuring they informed clinicians during the visit about elevated home blood pressure or glucose level readings); assisted with nonmedical services, such as housing, employment, legal and financial assistance, food resources; linkages to existing community social service providers. Bimonthly exercise groups.</w:t>
            </w:r>
          </w:p>
          <w:p w14:paraId="5543517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299A13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Domiciliary; clinic; Community resource locations</w:t>
            </w:r>
          </w:p>
          <w:p w14:paraId="2ACAAA6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3BF7E8B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12 months  duration</w:t>
            </w:r>
          </w:p>
          <w:p w14:paraId="30A7904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7566E1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12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9CA966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4 home visits and</w:t>
            </w:r>
          </w:p>
          <w:p w14:paraId="2BF9387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12 calls during the 12 months &amp; bimonthly exercise groups</w:t>
            </w:r>
          </w:p>
          <w:p w14:paraId="12F85D3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 parks</w:t>
            </w:r>
          </w:p>
          <w:p w14:paraId="5D1DBA7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888124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median number of home visits received was 5 (interquartile</w:t>
            </w:r>
          </w:p>
          <w:p w14:paraId="7731B82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range (IQR), 2-7), the median number of CLW visits with the patient to the clinic was 1 (IQR, 0-2), and median number</w:t>
            </w:r>
          </w:p>
          <w:p w14:paraId="4971CCB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of telephone calls was 20 (IQR, 12-32); Participants (126 (84%)) received at least 12 CLW contacts in the year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472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Individualised and group face to face; telephone calls.</w:t>
            </w:r>
          </w:p>
        </w:tc>
      </w:tr>
      <w:tr w:rsidR="007F3087" w:rsidRPr="00A94C4D" w14:paraId="209C6563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8875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8.Kangovi et al (2017)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D028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Individualized Management for Patient-cantered Targets (IMPaCT) is a standardized intervention to help low-income patients achieve health goals within the domains of coaching, social support, and advocacy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EB6BA8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Month-long college accredited training covering topics such as action planning and motivational interviewing. CLWs had on-the-job training through apprenticeship with a senior CLW. Weekly monitoring of CLW by manager.</w:t>
            </w:r>
          </w:p>
          <w:p w14:paraId="731DA8F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3E7543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Recruited from community</w:t>
            </w:r>
          </w:p>
          <w:p w14:paraId="6C965EA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FBB027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Qualifications: 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682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3 stages: action</w:t>
            </w:r>
          </w:p>
          <w:p w14:paraId="61B670F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planning, tailored support, and connection</w:t>
            </w:r>
          </w:p>
          <w:p w14:paraId="2F1959D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with long-term support, Weekly patient support group, CLWs communicated with their patients at least once per week for 6 months through telephone, text, or visits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A97CB2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Domiciliary; community resource locations</w:t>
            </w:r>
          </w:p>
          <w:p w14:paraId="2C5A107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1636184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6 months duration</w:t>
            </w:r>
          </w:p>
          <w:p w14:paraId="344DD8A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6, 9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297D1A0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Average of 38.4</w:t>
            </w:r>
            <w:r>
              <w:rPr>
                <w:sz w:val="18"/>
                <w:szCs w:val="18"/>
              </w:rPr>
              <w:t xml:space="preserve"> h</w:t>
            </w:r>
            <w:r w:rsidRPr="00A94C4D">
              <w:rPr>
                <w:sz w:val="18"/>
                <w:szCs w:val="18"/>
              </w:rPr>
              <w:t>rs with each patient over</w:t>
            </w:r>
            <w:r>
              <w:rPr>
                <w:sz w:val="18"/>
                <w:szCs w:val="18"/>
              </w:rPr>
              <w:t xml:space="preserve"> </w:t>
            </w:r>
            <w:r w:rsidRPr="00A94C4D">
              <w:rPr>
                <w:sz w:val="18"/>
                <w:szCs w:val="18"/>
              </w:rPr>
              <w:t>the 6-month intervention period. 35% participants participated in 3 or</w:t>
            </w:r>
          </w:p>
          <w:p w14:paraId="3F5BF0C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more sessions of the peer-support group</w:t>
            </w:r>
          </w:p>
          <w:p w14:paraId="45300C2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F4E3D0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883D1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Face to face; interviews; meetings; group classes</w:t>
            </w:r>
          </w:p>
        </w:tc>
      </w:tr>
      <w:tr w:rsidR="007F3087" w:rsidRPr="00A94C4D" w14:paraId="519CD034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AEA4C2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14:paraId="7977343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D1A7AC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BE597BD" w14:textId="77777777" w:rsidR="007F3087" w:rsidRPr="00A94C4D" w:rsidRDefault="007F3087" w:rsidP="0028233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21FAE6F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17C034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D976BD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3510691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F3087" w:rsidRPr="00A94C4D" w14:paraId="05D2C6C9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C38D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9.McDermott et al (2015)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DD47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“Getting better at chronic care” which aimed to evaluate the impact of a Health Service Model in which a case management approach by local community-based health workers supported by an Indigenous clinical outreach team in 12 primary care services in remote far north Queensland communities over an 18 month period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0DDC2B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All health workers at the commencement of the study received an intensive 3-week training in clinical aspects of diabetes and other chronic condition</w:t>
            </w:r>
          </w:p>
          <w:p w14:paraId="7682966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care, including how to support patients in self-management skills, advice on medications, routine foot care, nutrition, smoking cessation; follow up referrals to other providers, and scheduled tests; 2 week refresher workshops on “Good clinical and reflective practice”</w:t>
            </w:r>
          </w:p>
          <w:p w14:paraId="0AD0DDA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D47A2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Recruited from community</w:t>
            </w:r>
          </w:p>
          <w:p w14:paraId="375E26B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3201304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6B550" w14:textId="15A9CA08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Indigenous health worker working as part of the primary care team. Roles included helping patients make and keep appointments, understand their medications a</w:t>
            </w:r>
            <w:r>
              <w:rPr>
                <w:sz w:val="18"/>
                <w:szCs w:val="18"/>
              </w:rPr>
              <w:t>nd nutrition</w:t>
            </w:r>
            <w:r w:rsidRPr="00A94C4D">
              <w:rPr>
                <w:sz w:val="18"/>
                <w:szCs w:val="18"/>
              </w:rPr>
              <w:t xml:space="preserve"> the effects of smoking and where appropriate, work with the family to help su</w:t>
            </w:r>
            <w:r w:rsidR="009B0C80">
              <w:rPr>
                <w:sz w:val="18"/>
                <w:szCs w:val="18"/>
              </w:rPr>
              <w:t>pport the patient in self-ma</w:t>
            </w:r>
            <w:r w:rsidR="00123354">
              <w:rPr>
                <w:sz w:val="18"/>
                <w:szCs w:val="18"/>
              </w:rPr>
              <w:t>nage</w:t>
            </w:r>
            <w:bookmarkStart w:id="0" w:name="_GoBack"/>
            <w:bookmarkEnd w:id="0"/>
            <w:r w:rsidRPr="00A94C4D">
              <w:rPr>
                <w:sz w:val="18"/>
                <w:szCs w:val="18"/>
              </w:rPr>
              <w:t>ment.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086B8E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Domiciliary; clinic </w:t>
            </w:r>
          </w:p>
          <w:p w14:paraId="4B6F11C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7F093C0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18 months duration </w:t>
            </w:r>
          </w:p>
          <w:p w14:paraId="204FF9B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372A8A3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18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7605191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Delivery: NR</w:t>
            </w:r>
          </w:p>
          <w:p w14:paraId="3C9FD77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B1A3A9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63F7" w14:textId="77777777" w:rsidR="007F3087" w:rsidRPr="00A94C4D" w:rsidRDefault="007F3087" w:rsidP="00282336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Individualised</w:t>
            </w:r>
            <w:r>
              <w:rPr>
                <w:sz w:val="18"/>
                <w:szCs w:val="18"/>
              </w:rPr>
              <w:t xml:space="preserve"> </w:t>
            </w:r>
            <w:r w:rsidRPr="00A94C4D">
              <w:rPr>
                <w:sz w:val="18"/>
                <w:szCs w:val="18"/>
              </w:rPr>
              <w:t xml:space="preserve">face to face </w:t>
            </w:r>
          </w:p>
        </w:tc>
      </w:tr>
      <w:tr w:rsidR="007F3087" w:rsidRPr="00A94C4D" w14:paraId="41C0C0F1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0CE8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10.Spencer et al (2013)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F21A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CLW Model as part of the Racial and Ethnic Approaches to Community Health (REACH) Detroit Partnership. Using a socioecological model, family, health system, and community-level interventions were</w:t>
            </w:r>
          </w:p>
          <w:p w14:paraId="56D9CD2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developed to address sources of diabetes disparities at each</w:t>
            </w:r>
          </w:p>
          <w:p w14:paraId="7C9FE2F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level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459A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CLW were underwent more than 80 h of training. CLW were trained in</w:t>
            </w:r>
          </w:p>
          <w:p w14:paraId="19814A9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empowerment-based approaches including self-determination and autonomy motivation theory; motivational interviewing used to elicit participants’ goals and help participants formulate their own action plans.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0176FA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Ethnically</w:t>
            </w:r>
          </w:p>
          <w:p w14:paraId="6E23299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matched with their assigned participants</w:t>
            </w:r>
          </w:p>
          <w:p w14:paraId="560064F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682E5E8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Qualifications: 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D321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Reach Detroit community activities provided free, publicly available healthy   eating   demonstrations, physical fitness activity (e.g.,  dance  and  exercise  classes,  walking  clubs); weekly  community  farmers’  produce  market; CLWs helped   participants improve their self-management skills; patient–provider communication  skills; facilitated  necessary  referrals  to  other  service  systems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7A870E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Domiciliary; community resource locations; clinic</w:t>
            </w:r>
          </w:p>
          <w:p w14:paraId="64003D1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78354A4A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12 months duration</w:t>
            </w:r>
          </w:p>
          <w:p w14:paraId="2F6FE10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7218DC5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6, 12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3EC955F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Home visits (2 per month, each about 60 min in length) to address participants’ specific self-management goals; 1 clinic visit with the participant and his or her primary care provider; Eleven culturally tailored 2-h group sessions of 8–10 participants were held every 2 weeks at community locations; CLW phoned once every 2 weeks</w:t>
            </w:r>
          </w:p>
          <w:p w14:paraId="4CF48BD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CA6D65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  <w:p w14:paraId="077A53E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F27007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Individualised and group face to face; telephone</w:t>
            </w:r>
          </w:p>
        </w:tc>
      </w:tr>
      <w:tr w:rsidR="007F3087" w:rsidRPr="00A94C4D" w14:paraId="510749ED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B5E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11.Spencer et al (2011)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6CCB9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CLW Model as part of the Racial and Ethnic Approaches to Community Health (REACH) Detroit Partnership. Using a socioecological model, </w:t>
            </w:r>
            <w:r w:rsidRPr="00A94C4D">
              <w:rPr>
                <w:sz w:val="18"/>
                <w:szCs w:val="18"/>
              </w:rPr>
              <w:lastRenderedPageBreak/>
              <w:t>family, health system, and community-level interventions were</w:t>
            </w:r>
          </w:p>
          <w:p w14:paraId="5ECB189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developed to address sources of diabetes disparities at each</w:t>
            </w:r>
          </w:p>
          <w:p w14:paraId="307AAC9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level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B4FD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CLW were underwent more than 80 h of training. CLW were trained in</w:t>
            </w:r>
          </w:p>
          <w:p w14:paraId="17725C5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Empowerment-based approaches including self-determination and </w:t>
            </w:r>
            <w:r w:rsidRPr="00A94C4D">
              <w:rPr>
                <w:sz w:val="18"/>
                <w:szCs w:val="18"/>
              </w:rPr>
              <w:lastRenderedPageBreak/>
              <w:t>autonomy motivation theory; motivational interviewing used to elicit participants’ goals and help participants formulate their own action plans.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4D7E3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Ethnically</w:t>
            </w:r>
          </w:p>
          <w:p w14:paraId="4CEF496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matched with their assigned participants</w:t>
            </w:r>
          </w:p>
          <w:p w14:paraId="12DF332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17BA575B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Qualifications: NR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5FF0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Trained CLWs, known in this study as family health advocates, promoted healthy lifestyle and diabetes self-management activities as part of the “Reach Detroit Community program”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7B054F2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Domiciliary; community resource locations; clinic</w:t>
            </w:r>
          </w:p>
          <w:p w14:paraId="15BACAC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3A015FD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12 months duration </w:t>
            </w:r>
          </w:p>
          <w:p w14:paraId="61C6ECD5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2778A1E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Follow up: baseline, 6 months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9E75AA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 xml:space="preserve">Home visits (2 per month, each about 60 min in length) to address participants’ specific self-management goals; 1 clinic visit with the </w:t>
            </w:r>
            <w:r w:rsidRPr="00A94C4D">
              <w:rPr>
                <w:sz w:val="18"/>
                <w:szCs w:val="18"/>
              </w:rPr>
              <w:lastRenderedPageBreak/>
              <w:t>participant and his or her primary care provider; Eleven culturally tailored 2-h group sessions of 8–10 participants were held every 2 weeks at community locations; CLW phoned once every 2 weeks</w:t>
            </w:r>
          </w:p>
          <w:p w14:paraId="1B8CB22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7F9C1A1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NR</w:t>
            </w:r>
          </w:p>
          <w:p w14:paraId="22A2224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AA922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lastRenderedPageBreak/>
              <w:t>Individualised and group face to face; telephone</w:t>
            </w:r>
          </w:p>
        </w:tc>
      </w:tr>
      <w:tr w:rsidR="007F3087" w:rsidRPr="00A94C4D" w14:paraId="6E5EFB6F" w14:textId="77777777" w:rsidTr="00282336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BFB5E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12.Babamoto et al (2009)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6F8B3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“Amigos en Salud” (Friends in Health) cultural intervention composed of diabetes educ. and assessment of patients understanding, knowledge deficits, evaluated health behaviours, such as frequency / intensity of physical activity, dietary habits, medication adherence, and self-monitoring practices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90FC3A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6-week training curriculum included clinic policies and procedures, CLW roles and responsibilities, diabetes standards, self-management strategies incorporating patient cultural and spiritual beliefs, health behaviour change theory</w:t>
            </w:r>
            <w:r w:rsidRPr="00A94C4D">
              <w:t xml:space="preserve"> </w:t>
            </w:r>
            <w:r w:rsidRPr="00A94C4D">
              <w:rPr>
                <w:sz w:val="18"/>
              </w:rPr>
              <w:t>to</w:t>
            </w:r>
            <w:r w:rsidRPr="00A94C4D">
              <w:rPr>
                <w:sz w:val="18"/>
                <w:szCs w:val="18"/>
              </w:rPr>
              <w:t xml:space="preserve"> help connect the healthcare system with the community </w:t>
            </w:r>
          </w:p>
          <w:p w14:paraId="3CD24C6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AC966ED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High school degree or a GED degree</w:t>
            </w:r>
          </w:p>
          <w:p w14:paraId="4B7E80B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4F1BE40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Layperson recruited from the surrounding community, clinic, and local organizations.</w:t>
            </w:r>
          </w:p>
          <w:p w14:paraId="7C08100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5C5B9F74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0106E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CLWs conducted individual educational sessions based on ADA standards with participants and their family members. The 10-week ADA education sessions were tailored to the participants’ needs, such as knowledge, identified problems, goals, and level of progress; routine follow-up calls to monitor self-management progress, review barriers and problem solve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C73672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Domiciliary; clinic</w:t>
            </w:r>
          </w:p>
          <w:p w14:paraId="3248E75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31E083FF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 xml:space="preserve">6 months duration </w:t>
            </w:r>
          </w:p>
          <w:p w14:paraId="0D34A3BC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Follow up: baseline, 6 months</w:t>
            </w:r>
          </w:p>
          <w:p w14:paraId="377A0B76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60166F21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Weekly individual ADA educational sessions</w:t>
            </w:r>
          </w:p>
          <w:p w14:paraId="57B226D8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</w:p>
          <w:p w14:paraId="68890ED9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Total interventions: 11.3 mean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0B87A0" w14:textId="77777777" w:rsidR="007F3087" w:rsidRPr="00A94C4D" w:rsidRDefault="007F3087" w:rsidP="00282336">
            <w:pPr>
              <w:spacing w:line="240" w:lineRule="auto"/>
              <w:rPr>
                <w:sz w:val="18"/>
                <w:szCs w:val="18"/>
              </w:rPr>
            </w:pPr>
            <w:r w:rsidRPr="00A94C4D">
              <w:rPr>
                <w:sz w:val="18"/>
                <w:szCs w:val="18"/>
              </w:rPr>
              <w:t>Telephone; face to face</w:t>
            </w:r>
          </w:p>
        </w:tc>
      </w:tr>
    </w:tbl>
    <w:p w14:paraId="4CE0CA55" w14:textId="77777777" w:rsidR="007F3087" w:rsidRDefault="007F3087" w:rsidP="007F3087"/>
    <w:p w14:paraId="66BF0634" w14:textId="77777777" w:rsidR="007F3087" w:rsidRDefault="007F3087" w:rsidP="007F3087"/>
    <w:p w14:paraId="495DE53D" w14:textId="77777777" w:rsidR="007F3087" w:rsidRDefault="007F3087" w:rsidP="007F3087"/>
    <w:p w14:paraId="323021AA" w14:textId="77777777" w:rsidR="007F3087" w:rsidRPr="00A94C4D" w:rsidRDefault="007F3087" w:rsidP="007F3087">
      <w:r w:rsidRPr="00A94C4D">
        <w:rPr>
          <w:sz w:val="18"/>
          <w:szCs w:val="16"/>
        </w:rPr>
        <w:t>CLW- Community Link Worker;</w:t>
      </w:r>
      <w:r w:rsidRPr="00A94C4D">
        <w:rPr>
          <w:sz w:val="18"/>
        </w:rPr>
        <w:t xml:space="preserve"> </w:t>
      </w:r>
      <w:r w:rsidRPr="00A94C4D">
        <w:rPr>
          <w:sz w:val="18"/>
          <w:szCs w:val="16"/>
        </w:rPr>
        <w:t>NR - not reported; PN-LCNS- Patient Navigation-Livestrong Cancer Navigation Services; PN - Patient Navigation; HRQOL- Health Related Quality of Life; CI- confidence Interval; EQ-5D-5L - a standardized measure of self-reported health-related quality of life that assesses 5 dimensions at 5 levels of severity;</w:t>
      </w:r>
      <w:r w:rsidRPr="00A94C4D">
        <w:rPr>
          <w:sz w:val="18"/>
        </w:rPr>
        <w:t xml:space="preserve"> HbA1c-haemoglobin; </w:t>
      </w:r>
      <w:r w:rsidRPr="00A94C4D">
        <w:rPr>
          <w:sz w:val="18"/>
          <w:szCs w:val="16"/>
        </w:rPr>
        <w:t>BMI - body mass index; SBP-systolic blood pressure; CPD-cigarettes per day; PL - Peer leader</w:t>
      </w:r>
      <w:r w:rsidRPr="00A94C4D">
        <w:rPr>
          <w:sz w:val="18"/>
        </w:rPr>
        <w:t xml:space="preserve">; </w:t>
      </w:r>
      <w:r w:rsidRPr="00A94C4D">
        <w:rPr>
          <w:sz w:val="18"/>
          <w:szCs w:val="16"/>
        </w:rPr>
        <w:t>LDLC- low-density lipoprotein cholesterol; EUC-Enhanced Usual care; PHQ-9 Patient Health Questionnaire-9; PHQ 2 Patient Health Questionnaire- 2; LDL- Low Density Liporotein; CDC- Centre for Disease Control; ADA- American Diabetes Association; GED- General Educational Development Tes</w:t>
      </w:r>
      <w:r>
        <w:rPr>
          <w:sz w:val="18"/>
          <w:szCs w:val="16"/>
        </w:rPr>
        <w:t>t.</w:t>
      </w:r>
    </w:p>
    <w:p w14:paraId="7B883BB0" w14:textId="77777777" w:rsidR="007F3087" w:rsidRDefault="007F3087"/>
    <w:sectPr w:rsidR="007F3087" w:rsidSect="007F3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zC3NDM1Nje1MDJW0lEKTi0uzszPAykwqgUAdeMi0CwAAAA="/>
  </w:docVars>
  <w:rsids>
    <w:rsidRoot w:val="007F3087"/>
    <w:rsid w:val="000124C6"/>
    <w:rsid w:val="00123354"/>
    <w:rsid w:val="007F3087"/>
    <w:rsid w:val="009B0C80"/>
    <w:rsid w:val="00D3381D"/>
    <w:rsid w:val="00DC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0E58"/>
  <w15:chartTrackingRefBased/>
  <w15:docId w15:val="{FCFB6387-6804-4A89-88BE-D3FAA02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87"/>
    <w:pPr>
      <w:spacing w:after="0" w:line="48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bad49-c627-49c1-a616-6d8566e63c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26E0CFFF9FE45BD2CB263267B20B8" ma:contentTypeVersion="17" ma:contentTypeDescription="Create a new document." ma:contentTypeScope="" ma:versionID="67daa8f1acec22b257497c3dc82ae468">
  <xsd:schema xmlns:xsd="http://www.w3.org/2001/XMLSchema" xmlns:xs="http://www.w3.org/2001/XMLSchema" xmlns:p="http://schemas.microsoft.com/office/2006/metadata/properties" xmlns:ns3="4d7bad49-c627-49c1-a616-6d8566e63c2b" xmlns:ns4="ded1f8b3-5aa2-4571-9161-4fc26ee1fabc" targetNamespace="http://schemas.microsoft.com/office/2006/metadata/properties" ma:root="true" ma:fieldsID="1e10e6bbb510b69662a0d1c8ad3deaea" ns3:_="" ns4:_="">
    <xsd:import namespace="4d7bad49-c627-49c1-a616-6d8566e63c2b"/>
    <xsd:import namespace="ded1f8b3-5aa2-4571-9161-4fc26ee1f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ad49-c627-49c1-a616-6d8566e63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f8b3-5aa2-4571-9161-4fc26ee1f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4F6F3-9E14-4B28-ABA2-40E1B47FE5C1}">
  <ds:schemaRefs>
    <ds:schemaRef ds:uri="http://purl.org/dc/terms/"/>
    <ds:schemaRef ds:uri="4d7bad49-c627-49c1-a616-6d8566e63c2b"/>
    <ds:schemaRef ds:uri="http://schemas.microsoft.com/office/2006/documentManagement/types"/>
    <ds:schemaRef ds:uri="http://schemas.microsoft.com/office/infopath/2007/PartnerControls"/>
    <ds:schemaRef ds:uri="ded1f8b3-5aa2-4571-9161-4fc26ee1fa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6620E0-C5FF-452B-83B8-FD90110A3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19546-967D-4A8E-9A2E-78867B47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ad49-c627-49c1-a616-6d8566e63c2b"/>
    <ds:schemaRef ds:uri="ded1f8b3-5aa2-4571-9161-4fc26ee1f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Declan</dc:creator>
  <cp:keywords/>
  <dc:description/>
  <cp:lastModifiedBy>O'Sullivan, Declan</cp:lastModifiedBy>
  <cp:revision>2</cp:revision>
  <dcterms:created xsi:type="dcterms:W3CDTF">2024-01-10T11:46:00Z</dcterms:created>
  <dcterms:modified xsi:type="dcterms:W3CDTF">2024-01-10T13:10:00Z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0x010100B9F26E0CFFF9FE45BD2CB263267B20B8</vt:lpwstr>
  </property>
</Properties>
</file>