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82525" w14:textId="77777777" w:rsidR="000124C6" w:rsidRDefault="000124C6"/>
    <w:p w14:paraId="4935AFC4" w14:textId="77777777" w:rsidR="00836718" w:rsidRPr="00A04977" w:rsidRDefault="00836718" w:rsidP="00836718">
      <w:pPr>
        <w:rPr>
          <w:b/>
        </w:rPr>
      </w:pPr>
      <w:r>
        <w:rPr>
          <w:b/>
        </w:rPr>
        <w:t xml:space="preserve">Table 1. </w:t>
      </w:r>
      <w:r>
        <w:t>Data Extraction</w:t>
      </w:r>
      <w:r w:rsidRPr="00315D76">
        <w:t xml:space="preserve"> Table</w:t>
      </w:r>
      <w:r w:rsidRPr="00A04977">
        <w:rPr>
          <w:b/>
        </w:rPr>
        <w:t xml:space="preserve"> </w:t>
      </w:r>
    </w:p>
    <w:tbl>
      <w:tblPr>
        <w:tblW w:w="0" w:type="auto"/>
        <w:tblLook w:val="04A0" w:firstRow="1" w:lastRow="0" w:firstColumn="1" w:lastColumn="0" w:noHBand="0" w:noVBand="1"/>
      </w:tblPr>
      <w:tblGrid>
        <w:gridCol w:w="1127"/>
        <w:gridCol w:w="1666"/>
        <w:gridCol w:w="1406"/>
        <w:gridCol w:w="2854"/>
        <w:gridCol w:w="1863"/>
        <w:gridCol w:w="1283"/>
        <w:gridCol w:w="2494"/>
        <w:gridCol w:w="2705"/>
      </w:tblGrid>
      <w:tr w:rsidR="00836718" w:rsidRPr="00A94C4D" w14:paraId="6FCF5B4D" w14:textId="77777777" w:rsidTr="00282336">
        <w:trPr>
          <w:trHeight w:val="300"/>
        </w:trPr>
        <w:tc>
          <w:tcPr>
            <w:tcW w:w="1121" w:type="dxa"/>
            <w:tcBorders>
              <w:top w:val="single" w:sz="4" w:space="0" w:color="auto"/>
              <w:left w:val="nil"/>
              <w:bottom w:val="single" w:sz="4" w:space="0" w:color="auto"/>
              <w:right w:val="nil"/>
            </w:tcBorders>
            <w:hideMark/>
          </w:tcPr>
          <w:p w14:paraId="2BA4DC4E" w14:textId="77777777" w:rsidR="00836718" w:rsidRPr="00A94C4D" w:rsidRDefault="00836718" w:rsidP="00282336">
            <w:pPr>
              <w:spacing w:line="240" w:lineRule="auto"/>
              <w:rPr>
                <w:b/>
                <w:sz w:val="20"/>
                <w:szCs w:val="16"/>
              </w:rPr>
            </w:pPr>
            <w:r w:rsidRPr="00A94C4D">
              <w:rPr>
                <w:b/>
                <w:sz w:val="20"/>
                <w:szCs w:val="16"/>
              </w:rPr>
              <w:t>Author</w:t>
            </w:r>
          </w:p>
        </w:tc>
        <w:tc>
          <w:tcPr>
            <w:tcW w:w="1669" w:type="dxa"/>
            <w:tcBorders>
              <w:top w:val="single" w:sz="4" w:space="0" w:color="auto"/>
              <w:left w:val="nil"/>
              <w:bottom w:val="single" w:sz="4" w:space="0" w:color="auto"/>
              <w:right w:val="nil"/>
            </w:tcBorders>
            <w:hideMark/>
          </w:tcPr>
          <w:p w14:paraId="6EA4579A" w14:textId="77777777" w:rsidR="00836718" w:rsidRPr="00A94C4D" w:rsidRDefault="00836718" w:rsidP="00282336">
            <w:pPr>
              <w:spacing w:line="240" w:lineRule="auto"/>
              <w:rPr>
                <w:b/>
                <w:sz w:val="20"/>
                <w:szCs w:val="16"/>
              </w:rPr>
            </w:pPr>
            <w:r w:rsidRPr="00A94C4D">
              <w:rPr>
                <w:b/>
                <w:sz w:val="20"/>
                <w:szCs w:val="16"/>
              </w:rPr>
              <w:t>Participants</w:t>
            </w:r>
          </w:p>
        </w:tc>
        <w:tc>
          <w:tcPr>
            <w:tcW w:w="1407" w:type="dxa"/>
            <w:tcBorders>
              <w:top w:val="single" w:sz="4" w:space="0" w:color="auto"/>
              <w:left w:val="nil"/>
              <w:bottom w:val="single" w:sz="4" w:space="0" w:color="auto"/>
              <w:right w:val="nil"/>
            </w:tcBorders>
            <w:hideMark/>
          </w:tcPr>
          <w:p w14:paraId="31C1A2C9" w14:textId="77777777" w:rsidR="00836718" w:rsidRPr="00A94C4D" w:rsidRDefault="00836718" w:rsidP="00282336">
            <w:pPr>
              <w:spacing w:line="240" w:lineRule="auto"/>
              <w:rPr>
                <w:b/>
                <w:sz w:val="20"/>
                <w:szCs w:val="16"/>
              </w:rPr>
            </w:pPr>
            <w:r w:rsidRPr="00A94C4D">
              <w:rPr>
                <w:b/>
                <w:sz w:val="20"/>
                <w:szCs w:val="16"/>
              </w:rPr>
              <w:t>Participant's Background</w:t>
            </w:r>
          </w:p>
        </w:tc>
        <w:tc>
          <w:tcPr>
            <w:tcW w:w="2865" w:type="dxa"/>
            <w:tcBorders>
              <w:top w:val="single" w:sz="4" w:space="0" w:color="auto"/>
              <w:left w:val="nil"/>
              <w:bottom w:val="single" w:sz="4" w:space="0" w:color="auto"/>
              <w:right w:val="nil"/>
            </w:tcBorders>
            <w:hideMark/>
          </w:tcPr>
          <w:p w14:paraId="6C8ECBF6" w14:textId="77777777" w:rsidR="00836718" w:rsidRPr="00A94C4D" w:rsidRDefault="00836718" w:rsidP="00282336">
            <w:pPr>
              <w:spacing w:line="240" w:lineRule="auto"/>
              <w:rPr>
                <w:b/>
                <w:sz w:val="20"/>
                <w:szCs w:val="16"/>
              </w:rPr>
            </w:pPr>
            <w:r w:rsidRPr="00A94C4D">
              <w:rPr>
                <w:b/>
                <w:sz w:val="20"/>
                <w:szCs w:val="16"/>
              </w:rPr>
              <w:t>Intervention</w:t>
            </w:r>
          </w:p>
        </w:tc>
        <w:tc>
          <w:tcPr>
            <w:tcW w:w="1868" w:type="dxa"/>
            <w:tcBorders>
              <w:top w:val="single" w:sz="4" w:space="0" w:color="auto"/>
              <w:left w:val="nil"/>
              <w:bottom w:val="single" w:sz="4" w:space="0" w:color="auto"/>
              <w:right w:val="nil"/>
            </w:tcBorders>
            <w:hideMark/>
          </w:tcPr>
          <w:p w14:paraId="3D339F7E" w14:textId="77777777" w:rsidR="00836718" w:rsidRPr="00A94C4D" w:rsidRDefault="00836718" w:rsidP="00282336">
            <w:pPr>
              <w:spacing w:line="240" w:lineRule="auto"/>
              <w:rPr>
                <w:b/>
                <w:sz w:val="20"/>
                <w:szCs w:val="16"/>
              </w:rPr>
            </w:pPr>
            <w:r w:rsidRPr="00A94C4D">
              <w:rPr>
                <w:b/>
                <w:sz w:val="20"/>
                <w:szCs w:val="16"/>
              </w:rPr>
              <w:t xml:space="preserve">Control </w:t>
            </w:r>
          </w:p>
        </w:tc>
        <w:tc>
          <w:tcPr>
            <w:tcW w:w="1254" w:type="dxa"/>
            <w:tcBorders>
              <w:top w:val="single" w:sz="4" w:space="0" w:color="auto"/>
              <w:left w:val="nil"/>
              <w:bottom w:val="single" w:sz="4" w:space="0" w:color="auto"/>
              <w:right w:val="nil"/>
            </w:tcBorders>
            <w:hideMark/>
          </w:tcPr>
          <w:p w14:paraId="007A79D2" w14:textId="77777777" w:rsidR="00836718" w:rsidRPr="00A94C4D" w:rsidRDefault="00836718" w:rsidP="00282336">
            <w:pPr>
              <w:spacing w:line="240" w:lineRule="auto"/>
              <w:rPr>
                <w:b/>
                <w:sz w:val="20"/>
                <w:szCs w:val="16"/>
              </w:rPr>
            </w:pPr>
            <w:r w:rsidRPr="00A94C4D">
              <w:rPr>
                <w:b/>
                <w:sz w:val="20"/>
                <w:szCs w:val="16"/>
              </w:rPr>
              <w:t>Duration of Intervention</w:t>
            </w:r>
          </w:p>
        </w:tc>
        <w:tc>
          <w:tcPr>
            <w:tcW w:w="2501" w:type="dxa"/>
            <w:tcBorders>
              <w:top w:val="single" w:sz="4" w:space="0" w:color="auto"/>
              <w:left w:val="nil"/>
              <w:bottom w:val="single" w:sz="4" w:space="0" w:color="auto"/>
              <w:right w:val="nil"/>
            </w:tcBorders>
            <w:hideMark/>
          </w:tcPr>
          <w:p w14:paraId="75A026FB" w14:textId="77777777" w:rsidR="00836718" w:rsidRPr="00A94C4D" w:rsidRDefault="00836718" w:rsidP="00282336">
            <w:pPr>
              <w:spacing w:line="240" w:lineRule="auto"/>
              <w:rPr>
                <w:b/>
                <w:sz w:val="20"/>
                <w:szCs w:val="16"/>
              </w:rPr>
            </w:pPr>
            <w:r w:rsidRPr="00A94C4D">
              <w:rPr>
                <w:b/>
                <w:sz w:val="20"/>
                <w:szCs w:val="16"/>
              </w:rPr>
              <w:t>Outcome Measures</w:t>
            </w:r>
          </w:p>
        </w:tc>
        <w:tc>
          <w:tcPr>
            <w:tcW w:w="2713" w:type="dxa"/>
            <w:tcBorders>
              <w:top w:val="single" w:sz="4" w:space="0" w:color="auto"/>
              <w:left w:val="nil"/>
              <w:bottom w:val="single" w:sz="4" w:space="0" w:color="auto"/>
              <w:right w:val="nil"/>
            </w:tcBorders>
            <w:hideMark/>
          </w:tcPr>
          <w:p w14:paraId="1C046625" w14:textId="77777777" w:rsidR="00836718" w:rsidRPr="00A94C4D" w:rsidRDefault="00836718" w:rsidP="00282336">
            <w:pPr>
              <w:spacing w:line="240" w:lineRule="auto"/>
              <w:rPr>
                <w:b/>
                <w:sz w:val="20"/>
                <w:szCs w:val="16"/>
              </w:rPr>
            </w:pPr>
            <w:r w:rsidRPr="00A94C4D">
              <w:rPr>
                <w:b/>
                <w:sz w:val="20"/>
                <w:szCs w:val="16"/>
              </w:rPr>
              <w:t>Results</w:t>
            </w:r>
          </w:p>
        </w:tc>
      </w:tr>
      <w:tr w:rsidR="00836718" w:rsidRPr="00A94C4D" w14:paraId="3F4211ED" w14:textId="77777777" w:rsidTr="00282336">
        <w:trPr>
          <w:trHeight w:val="300"/>
        </w:trPr>
        <w:tc>
          <w:tcPr>
            <w:tcW w:w="1121" w:type="dxa"/>
            <w:tcBorders>
              <w:top w:val="single" w:sz="4" w:space="0" w:color="auto"/>
              <w:left w:val="nil"/>
              <w:bottom w:val="nil"/>
              <w:right w:val="nil"/>
            </w:tcBorders>
            <w:hideMark/>
          </w:tcPr>
          <w:p w14:paraId="00EE8C37" w14:textId="77777777" w:rsidR="00836718" w:rsidRPr="00A94C4D" w:rsidRDefault="00836718" w:rsidP="00282336">
            <w:pPr>
              <w:spacing w:line="240" w:lineRule="auto"/>
              <w:rPr>
                <w:sz w:val="16"/>
                <w:szCs w:val="16"/>
              </w:rPr>
            </w:pPr>
            <w:r w:rsidRPr="00A94C4D">
              <w:rPr>
                <w:sz w:val="16"/>
                <w:szCs w:val="16"/>
              </w:rPr>
              <w:t>1.Gray et al 2021</w:t>
            </w:r>
          </w:p>
        </w:tc>
        <w:tc>
          <w:tcPr>
            <w:tcW w:w="1669" w:type="dxa"/>
            <w:tcBorders>
              <w:top w:val="single" w:sz="4" w:space="0" w:color="auto"/>
              <w:left w:val="nil"/>
              <w:bottom w:val="nil"/>
              <w:right w:val="nil"/>
            </w:tcBorders>
            <w:hideMark/>
          </w:tcPr>
          <w:p w14:paraId="5A85DB8B" w14:textId="77777777" w:rsidR="00836718" w:rsidRPr="00A94C4D" w:rsidRDefault="00836718" w:rsidP="00282336">
            <w:pPr>
              <w:spacing w:line="240" w:lineRule="auto"/>
              <w:rPr>
                <w:sz w:val="16"/>
                <w:szCs w:val="16"/>
              </w:rPr>
            </w:pPr>
            <w:r w:rsidRPr="00A94C4D">
              <w:rPr>
                <w:sz w:val="16"/>
                <w:szCs w:val="16"/>
              </w:rPr>
              <w:t>n=263</w:t>
            </w:r>
          </w:p>
          <w:p w14:paraId="5C443ADD" w14:textId="77777777" w:rsidR="00836718" w:rsidRPr="00A94C4D" w:rsidRDefault="00836718" w:rsidP="00282336">
            <w:pPr>
              <w:spacing w:line="240" w:lineRule="auto"/>
              <w:rPr>
                <w:sz w:val="16"/>
                <w:szCs w:val="16"/>
              </w:rPr>
            </w:pPr>
            <w:r w:rsidRPr="00A94C4D">
              <w:rPr>
                <w:sz w:val="16"/>
                <w:szCs w:val="16"/>
              </w:rPr>
              <w:t>Age(mean); 52.65</w:t>
            </w:r>
          </w:p>
          <w:p w14:paraId="40930DA5" w14:textId="77777777" w:rsidR="00836718" w:rsidRPr="00A94C4D" w:rsidRDefault="00836718" w:rsidP="00282336">
            <w:pPr>
              <w:spacing w:line="240" w:lineRule="auto"/>
              <w:rPr>
                <w:sz w:val="16"/>
                <w:szCs w:val="16"/>
              </w:rPr>
            </w:pPr>
            <w:r w:rsidRPr="00A94C4D">
              <w:rPr>
                <w:sz w:val="16"/>
                <w:szCs w:val="16"/>
              </w:rPr>
              <w:t>Female n (%): 129(49%)</w:t>
            </w:r>
          </w:p>
          <w:p w14:paraId="647F5937" w14:textId="77777777" w:rsidR="00836718" w:rsidRPr="00A94C4D" w:rsidRDefault="00836718" w:rsidP="00282336">
            <w:pPr>
              <w:spacing w:line="240" w:lineRule="auto"/>
              <w:rPr>
                <w:sz w:val="16"/>
                <w:szCs w:val="16"/>
              </w:rPr>
            </w:pPr>
            <w:r w:rsidRPr="00A94C4D">
              <w:rPr>
                <w:sz w:val="16"/>
                <w:szCs w:val="16"/>
              </w:rPr>
              <w:t>Male n (%): 134(51%)</w:t>
            </w:r>
          </w:p>
        </w:tc>
        <w:tc>
          <w:tcPr>
            <w:tcW w:w="1407" w:type="dxa"/>
            <w:tcBorders>
              <w:top w:val="single" w:sz="4" w:space="0" w:color="auto"/>
              <w:left w:val="nil"/>
              <w:bottom w:val="nil"/>
              <w:right w:val="nil"/>
            </w:tcBorders>
            <w:hideMark/>
          </w:tcPr>
          <w:p w14:paraId="048E90DD" w14:textId="77777777" w:rsidR="00836718" w:rsidRPr="00A94C4D" w:rsidRDefault="00836718" w:rsidP="00282336">
            <w:pPr>
              <w:spacing w:line="240" w:lineRule="auto"/>
              <w:rPr>
                <w:sz w:val="16"/>
                <w:szCs w:val="16"/>
              </w:rPr>
            </w:pPr>
            <w:r w:rsidRPr="00A94C4D">
              <w:rPr>
                <w:sz w:val="16"/>
                <w:szCs w:val="16"/>
              </w:rPr>
              <w:t>Urban dwellers, Washington State, USA</w:t>
            </w:r>
          </w:p>
        </w:tc>
        <w:tc>
          <w:tcPr>
            <w:tcW w:w="2865" w:type="dxa"/>
            <w:tcBorders>
              <w:top w:val="single" w:sz="4" w:space="0" w:color="auto"/>
              <w:left w:val="nil"/>
              <w:bottom w:val="nil"/>
              <w:right w:val="nil"/>
            </w:tcBorders>
          </w:tcPr>
          <w:p w14:paraId="6C5827C1" w14:textId="77777777" w:rsidR="00836718" w:rsidRPr="00A94C4D" w:rsidRDefault="00836718" w:rsidP="00282336">
            <w:pPr>
              <w:spacing w:line="240" w:lineRule="auto"/>
              <w:rPr>
                <w:sz w:val="16"/>
                <w:szCs w:val="16"/>
              </w:rPr>
            </w:pPr>
            <w:proofErr w:type="spellStart"/>
            <w:r w:rsidRPr="00A94C4D">
              <w:rPr>
                <w:sz w:val="16"/>
                <w:szCs w:val="16"/>
              </w:rPr>
              <w:t>PeerAID</w:t>
            </w:r>
            <w:proofErr w:type="spellEnd"/>
            <w:r w:rsidRPr="00A94C4D">
              <w:rPr>
                <w:sz w:val="16"/>
                <w:szCs w:val="16"/>
              </w:rPr>
              <w:t xml:space="preserve">, low intensity </w:t>
            </w:r>
            <w:proofErr w:type="spellStart"/>
            <w:r w:rsidRPr="00A94C4D">
              <w:rPr>
                <w:sz w:val="16"/>
                <w:szCs w:val="16"/>
              </w:rPr>
              <w:t>CLW</w:t>
            </w:r>
            <w:proofErr w:type="spellEnd"/>
            <w:r w:rsidRPr="00A94C4D">
              <w:rPr>
                <w:sz w:val="16"/>
                <w:szCs w:val="16"/>
              </w:rPr>
              <w:t xml:space="preserve"> Intervention, promote health education, assistance, client advocacy, social support, informal counselling, linkages to community resources, blood glucose monitoring, healthy eating, physical activity, medication taking, and smoking cessation</w:t>
            </w:r>
          </w:p>
          <w:p w14:paraId="0CF9FD2B" w14:textId="77777777" w:rsidR="00836718" w:rsidRPr="00A94C4D" w:rsidRDefault="00836718" w:rsidP="00282336">
            <w:pPr>
              <w:spacing w:line="240" w:lineRule="auto"/>
              <w:rPr>
                <w:sz w:val="16"/>
                <w:szCs w:val="16"/>
              </w:rPr>
            </w:pPr>
          </w:p>
        </w:tc>
        <w:tc>
          <w:tcPr>
            <w:tcW w:w="1868" w:type="dxa"/>
            <w:tcBorders>
              <w:top w:val="single" w:sz="4" w:space="0" w:color="auto"/>
              <w:left w:val="nil"/>
              <w:bottom w:val="nil"/>
              <w:right w:val="nil"/>
            </w:tcBorders>
            <w:hideMark/>
          </w:tcPr>
          <w:p w14:paraId="6D721D61" w14:textId="77777777" w:rsidR="00836718" w:rsidRPr="00A94C4D" w:rsidRDefault="00836718" w:rsidP="00282336">
            <w:pPr>
              <w:spacing w:line="240" w:lineRule="auto"/>
              <w:rPr>
                <w:sz w:val="16"/>
                <w:szCs w:val="16"/>
              </w:rPr>
            </w:pPr>
            <w:r w:rsidRPr="00A94C4D">
              <w:rPr>
                <w:sz w:val="16"/>
                <w:szCs w:val="16"/>
              </w:rPr>
              <w:t>Usual Care</w:t>
            </w:r>
          </w:p>
        </w:tc>
        <w:tc>
          <w:tcPr>
            <w:tcW w:w="1254" w:type="dxa"/>
            <w:tcBorders>
              <w:top w:val="single" w:sz="4" w:space="0" w:color="auto"/>
              <w:left w:val="nil"/>
              <w:bottom w:val="nil"/>
              <w:right w:val="nil"/>
            </w:tcBorders>
            <w:hideMark/>
          </w:tcPr>
          <w:p w14:paraId="4DDE0C5F" w14:textId="77777777" w:rsidR="00836718" w:rsidRPr="00A94C4D" w:rsidRDefault="00836718" w:rsidP="00282336">
            <w:pPr>
              <w:spacing w:line="240" w:lineRule="auto"/>
              <w:rPr>
                <w:sz w:val="16"/>
                <w:szCs w:val="16"/>
              </w:rPr>
            </w:pPr>
            <w:r w:rsidRPr="00A94C4D">
              <w:rPr>
                <w:sz w:val="16"/>
                <w:szCs w:val="16"/>
              </w:rPr>
              <w:t xml:space="preserve">12 months </w:t>
            </w:r>
          </w:p>
          <w:p w14:paraId="5A8D7559" w14:textId="77777777" w:rsidR="00836718" w:rsidRPr="00A94C4D" w:rsidRDefault="00836718" w:rsidP="00282336">
            <w:pPr>
              <w:spacing w:line="240" w:lineRule="auto"/>
              <w:rPr>
                <w:sz w:val="16"/>
                <w:szCs w:val="16"/>
              </w:rPr>
            </w:pPr>
            <w:r w:rsidRPr="00A94C4D">
              <w:rPr>
                <w:sz w:val="16"/>
                <w:szCs w:val="16"/>
              </w:rPr>
              <w:t xml:space="preserve">Follow up: </w:t>
            </w:r>
          </w:p>
          <w:p w14:paraId="7FDBB331" w14:textId="77777777" w:rsidR="00836718" w:rsidRPr="00A94C4D" w:rsidRDefault="00836718" w:rsidP="00282336">
            <w:pPr>
              <w:spacing w:line="240" w:lineRule="auto"/>
              <w:rPr>
                <w:sz w:val="16"/>
              </w:rPr>
            </w:pPr>
            <w:r w:rsidRPr="00A94C4D">
              <w:rPr>
                <w:sz w:val="16"/>
                <w:szCs w:val="16"/>
              </w:rPr>
              <w:t>Baseline</w:t>
            </w:r>
            <w:r w:rsidRPr="00A94C4D">
              <w:t xml:space="preserve"> </w:t>
            </w:r>
            <w:r w:rsidRPr="00A94C4D">
              <w:rPr>
                <w:sz w:val="16"/>
              </w:rPr>
              <w:t xml:space="preserve">and </w:t>
            </w:r>
          </w:p>
          <w:p w14:paraId="2A76532B" w14:textId="77777777" w:rsidR="00836718" w:rsidRPr="00A94C4D" w:rsidRDefault="00836718" w:rsidP="00282336">
            <w:pPr>
              <w:spacing w:line="240" w:lineRule="auto"/>
              <w:rPr>
                <w:sz w:val="16"/>
                <w:szCs w:val="16"/>
              </w:rPr>
            </w:pPr>
            <w:r w:rsidRPr="00A94C4D">
              <w:rPr>
                <w:sz w:val="16"/>
                <w:szCs w:val="16"/>
              </w:rPr>
              <w:t>12months</w:t>
            </w:r>
          </w:p>
          <w:p w14:paraId="18614F8C" w14:textId="77777777" w:rsidR="00836718" w:rsidRPr="00A94C4D" w:rsidRDefault="00836718" w:rsidP="00282336">
            <w:pPr>
              <w:spacing w:line="240" w:lineRule="auto"/>
              <w:rPr>
                <w:sz w:val="16"/>
                <w:szCs w:val="16"/>
              </w:rPr>
            </w:pPr>
            <w:r w:rsidRPr="00A94C4D">
              <w:rPr>
                <w:sz w:val="16"/>
                <w:szCs w:val="16"/>
              </w:rPr>
              <w:t>Drop out: 9%</w:t>
            </w:r>
          </w:p>
        </w:tc>
        <w:tc>
          <w:tcPr>
            <w:tcW w:w="2501" w:type="dxa"/>
            <w:tcBorders>
              <w:top w:val="single" w:sz="4" w:space="0" w:color="auto"/>
              <w:left w:val="nil"/>
              <w:bottom w:val="nil"/>
              <w:right w:val="nil"/>
            </w:tcBorders>
          </w:tcPr>
          <w:p w14:paraId="683566CE" w14:textId="77777777" w:rsidR="00836718" w:rsidRPr="00A94C4D" w:rsidRDefault="00836718" w:rsidP="00282336">
            <w:pPr>
              <w:spacing w:line="240" w:lineRule="auto"/>
              <w:rPr>
                <w:sz w:val="16"/>
                <w:szCs w:val="16"/>
              </w:rPr>
            </w:pPr>
            <w:r w:rsidRPr="00A94C4D">
              <w:rPr>
                <w:sz w:val="16"/>
                <w:szCs w:val="16"/>
              </w:rPr>
              <w:t>Primary: Self-management (Summary of Diabetes Self-Care) Activities including eating behaviours (Diabetes Self-Management Assessment Report Tool), physical activity (International Physical Activity Questionnaire) medication taking (</w:t>
            </w:r>
            <w:proofErr w:type="spellStart"/>
            <w:r w:rsidRPr="00A94C4D">
              <w:rPr>
                <w:sz w:val="16"/>
                <w:szCs w:val="16"/>
              </w:rPr>
              <w:t>Morisky</w:t>
            </w:r>
            <w:proofErr w:type="spellEnd"/>
            <w:r w:rsidRPr="00A94C4D">
              <w:rPr>
                <w:sz w:val="16"/>
                <w:szCs w:val="16"/>
              </w:rPr>
              <w:t xml:space="preserve"> Medication Adherence Scale), blood glucose monitoring, foot care, and tobacco use (Self-reported).</w:t>
            </w:r>
          </w:p>
          <w:p w14:paraId="63B5C879" w14:textId="77777777" w:rsidR="00836718" w:rsidRPr="00A94C4D" w:rsidRDefault="00836718" w:rsidP="00282336">
            <w:pPr>
              <w:spacing w:line="240" w:lineRule="auto"/>
              <w:rPr>
                <w:sz w:val="16"/>
                <w:szCs w:val="16"/>
              </w:rPr>
            </w:pPr>
          </w:p>
          <w:p w14:paraId="4FD8A96A" w14:textId="77777777" w:rsidR="00836718" w:rsidRPr="00A94C4D" w:rsidRDefault="00836718" w:rsidP="00282336">
            <w:pPr>
              <w:spacing w:line="240" w:lineRule="auto"/>
              <w:rPr>
                <w:sz w:val="16"/>
                <w:szCs w:val="16"/>
              </w:rPr>
            </w:pPr>
            <w:r w:rsidRPr="00A94C4D">
              <w:rPr>
                <w:sz w:val="16"/>
                <w:szCs w:val="16"/>
              </w:rPr>
              <w:t xml:space="preserve">Secondary: Depression (Patient Health Questionnaire depression scale (PHQ-8), Diabetes distress (Diabetes Distress Scale), Self-efficacy (Diabetes Management Self-Efficacy Scale ), Social Support (Multidimensional Diabetes Questionnaire) </w:t>
            </w:r>
          </w:p>
          <w:p w14:paraId="45E83115" w14:textId="77777777" w:rsidR="00836718" w:rsidRPr="00A94C4D" w:rsidRDefault="00836718" w:rsidP="00282336">
            <w:pPr>
              <w:spacing w:line="240" w:lineRule="auto"/>
              <w:rPr>
                <w:sz w:val="16"/>
                <w:szCs w:val="16"/>
              </w:rPr>
            </w:pPr>
          </w:p>
          <w:p w14:paraId="77AFC9D8" w14:textId="77777777" w:rsidR="00836718" w:rsidRPr="00A94C4D" w:rsidRDefault="00836718" w:rsidP="00282336">
            <w:pPr>
              <w:spacing w:line="240" w:lineRule="auto"/>
              <w:rPr>
                <w:sz w:val="16"/>
                <w:szCs w:val="16"/>
              </w:rPr>
            </w:pPr>
          </w:p>
        </w:tc>
        <w:tc>
          <w:tcPr>
            <w:tcW w:w="2713" w:type="dxa"/>
            <w:tcBorders>
              <w:top w:val="single" w:sz="4" w:space="0" w:color="auto"/>
              <w:left w:val="nil"/>
              <w:bottom w:val="nil"/>
              <w:right w:val="nil"/>
            </w:tcBorders>
          </w:tcPr>
          <w:p w14:paraId="2DDF4DCB" w14:textId="77777777" w:rsidR="00836718" w:rsidRPr="00A94C4D" w:rsidRDefault="00836718" w:rsidP="00282336">
            <w:pPr>
              <w:spacing w:line="240" w:lineRule="auto"/>
              <w:rPr>
                <w:sz w:val="16"/>
                <w:szCs w:val="16"/>
              </w:rPr>
            </w:pPr>
            <w:r w:rsidRPr="00A94C4D">
              <w:rPr>
                <w:sz w:val="16"/>
                <w:szCs w:val="16"/>
              </w:rPr>
              <w:t xml:space="preserve">Significant within group improvements from baseline to 12-months in general diet, specific diet, carbohydrate spacing, foot care, </w:t>
            </w:r>
            <w:r>
              <w:rPr>
                <w:sz w:val="16"/>
                <w:szCs w:val="16"/>
              </w:rPr>
              <w:t>and medication taking (p&lt;0.05)</w:t>
            </w:r>
          </w:p>
          <w:p w14:paraId="6AB834FE" w14:textId="77777777" w:rsidR="00836718" w:rsidRPr="00A94C4D" w:rsidRDefault="00836718" w:rsidP="00282336">
            <w:pPr>
              <w:spacing w:line="240" w:lineRule="auto"/>
              <w:rPr>
                <w:sz w:val="16"/>
                <w:szCs w:val="16"/>
              </w:rPr>
            </w:pPr>
          </w:p>
          <w:p w14:paraId="37D5E2B8" w14:textId="77777777" w:rsidR="00836718" w:rsidRPr="00A94C4D" w:rsidRDefault="00836718" w:rsidP="00282336">
            <w:pPr>
              <w:spacing w:line="240" w:lineRule="auto"/>
              <w:rPr>
                <w:sz w:val="16"/>
                <w:szCs w:val="16"/>
              </w:rPr>
            </w:pPr>
            <w:r w:rsidRPr="00A94C4D">
              <w:rPr>
                <w:sz w:val="16"/>
                <w:szCs w:val="16"/>
              </w:rPr>
              <w:t>Intervention arm participants 141 min of additional weekly physical activity (Baseline:12months: 271.3 (421.6)  to 344.2 (455.6) (+72.8) compared to controls (baseline:12months;</w:t>
            </w:r>
            <w:r w:rsidRPr="00A94C4D">
              <w:t xml:space="preserve"> </w:t>
            </w:r>
            <w:r w:rsidRPr="00A94C4D">
              <w:rPr>
                <w:sz w:val="16"/>
                <w:szCs w:val="16"/>
              </w:rPr>
              <w:t>240.1 (364.1) to 199.9 (350.0) (−40.2)) at 12 months  Adjusted intervention effect of 141(95% CI 46.4, 236.4)(p&lt;0.004)</w:t>
            </w:r>
          </w:p>
          <w:p w14:paraId="23677CA5" w14:textId="77777777" w:rsidR="00836718" w:rsidRPr="00A94C4D" w:rsidRDefault="00836718" w:rsidP="00282336">
            <w:pPr>
              <w:spacing w:line="240" w:lineRule="auto"/>
              <w:rPr>
                <w:sz w:val="16"/>
                <w:szCs w:val="16"/>
              </w:rPr>
            </w:pPr>
          </w:p>
          <w:p w14:paraId="54258A93" w14:textId="77777777" w:rsidR="00836718" w:rsidRPr="00A94C4D" w:rsidRDefault="00836718" w:rsidP="00282336">
            <w:pPr>
              <w:spacing w:line="240" w:lineRule="auto"/>
              <w:rPr>
                <w:sz w:val="16"/>
                <w:szCs w:val="16"/>
              </w:rPr>
            </w:pPr>
          </w:p>
        </w:tc>
      </w:tr>
      <w:tr w:rsidR="00836718" w:rsidRPr="00A94C4D" w14:paraId="39ED7E57" w14:textId="77777777" w:rsidTr="00282336">
        <w:trPr>
          <w:trHeight w:val="2760"/>
        </w:trPr>
        <w:tc>
          <w:tcPr>
            <w:tcW w:w="1121" w:type="dxa"/>
            <w:hideMark/>
          </w:tcPr>
          <w:p w14:paraId="64B699D8" w14:textId="77777777" w:rsidR="00836718" w:rsidRPr="00A94C4D" w:rsidRDefault="00836718" w:rsidP="00282336">
            <w:pPr>
              <w:spacing w:line="240" w:lineRule="auto"/>
              <w:rPr>
                <w:sz w:val="16"/>
                <w:szCs w:val="16"/>
              </w:rPr>
            </w:pPr>
            <w:r w:rsidRPr="00A94C4D">
              <w:rPr>
                <w:sz w:val="16"/>
                <w:szCs w:val="16"/>
              </w:rPr>
              <w:t xml:space="preserve">2. </w:t>
            </w:r>
            <w:proofErr w:type="spellStart"/>
            <w:r w:rsidRPr="00A94C4D">
              <w:rPr>
                <w:sz w:val="16"/>
                <w:szCs w:val="16"/>
              </w:rPr>
              <w:t>Bossche</w:t>
            </w:r>
            <w:proofErr w:type="spellEnd"/>
            <w:r w:rsidRPr="00A94C4D">
              <w:rPr>
                <w:sz w:val="16"/>
                <w:szCs w:val="16"/>
              </w:rPr>
              <w:t xml:space="preserve"> et al (2021)</w:t>
            </w:r>
          </w:p>
        </w:tc>
        <w:tc>
          <w:tcPr>
            <w:tcW w:w="1669" w:type="dxa"/>
            <w:hideMark/>
          </w:tcPr>
          <w:p w14:paraId="4C38F120" w14:textId="77777777" w:rsidR="00836718" w:rsidRPr="00A94C4D" w:rsidRDefault="00836718" w:rsidP="00282336">
            <w:pPr>
              <w:spacing w:line="240" w:lineRule="auto"/>
              <w:rPr>
                <w:sz w:val="16"/>
                <w:szCs w:val="16"/>
              </w:rPr>
            </w:pPr>
            <w:r w:rsidRPr="00A94C4D">
              <w:rPr>
                <w:sz w:val="16"/>
                <w:szCs w:val="16"/>
              </w:rPr>
              <w:t>n=135</w:t>
            </w:r>
            <w:r w:rsidRPr="00A94C4D">
              <w:rPr>
                <w:sz w:val="16"/>
                <w:szCs w:val="16"/>
              </w:rPr>
              <w:br/>
              <w:t>Age (mean): 60.04</w:t>
            </w:r>
            <w:r w:rsidRPr="00A94C4D">
              <w:rPr>
                <w:sz w:val="16"/>
                <w:szCs w:val="16"/>
              </w:rPr>
              <w:br/>
              <w:t>Female n(%): 84(62.2)</w:t>
            </w:r>
            <w:r w:rsidRPr="00A94C4D">
              <w:rPr>
                <w:sz w:val="16"/>
                <w:szCs w:val="16"/>
              </w:rPr>
              <w:br/>
              <w:t>Male n(%): 51(37.8)</w:t>
            </w:r>
          </w:p>
        </w:tc>
        <w:tc>
          <w:tcPr>
            <w:tcW w:w="1407" w:type="dxa"/>
            <w:hideMark/>
          </w:tcPr>
          <w:p w14:paraId="3F87238E" w14:textId="77777777" w:rsidR="00836718" w:rsidRPr="00A94C4D" w:rsidRDefault="00836718" w:rsidP="00282336">
            <w:pPr>
              <w:spacing w:line="240" w:lineRule="auto"/>
              <w:rPr>
                <w:sz w:val="16"/>
                <w:szCs w:val="16"/>
              </w:rPr>
            </w:pPr>
            <w:r w:rsidRPr="00A94C4D">
              <w:rPr>
                <w:sz w:val="16"/>
                <w:szCs w:val="16"/>
              </w:rPr>
              <w:t>Urban dwellers, City of Ghent, Belgium requiring psychosocial support</w:t>
            </w:r>
          </w:p>
        </w:tc>
        <w:tc>
          <w:tcPr>
            <w:tcW w:w="2865" w:type="dxa"/>
            <w:hideMark/>
          </w:tcPr>
          <w:p w14:paraId="3E6BCAA3" w14:textId="77777777" w:rsidR="00836718" w:rsidRPr="00A94C4D" w:rsidRDefault="00836718" w:rsidP="00282336">
            <w:pPr>
              <w:spacing w:line="240" w:lineRule="auto"/>
              <w:rPr>
                <w:sz w:val="16"/>
                <w:szCs w:val="16"/>
              </w:rPr>
            </w:pPr>
            <w:proofErr w:type="spellStart"/>
            <w:r w:rsidRPr="00A94C4D">
              <w:rPr>
                <w:sz w:val="16"/>
                <w:szCs w:val="16"/>
              </w:rPr>
              <w:t>CLWs</w:t>
            </w:r>
            <w:proofErr w:type="spellEnd"/>
            <w:r w:rsidRPr="00A94C4D">
              <w:rPr>
                <w:sz w:val="16"/>
                <w:szCs w:val="16"/>
              </w:rPr>
              <w:t xml:space="preserve"> provided 8 weeks hands-on, tailored support spanning the domains of social support, coaching, advocacy, navigation to healthcare. The aim was to assess the effects of the intervention on patients who required emotional support, experienced social isolation, reduced social participation, anxiety and fear of COVID-19</w:t>
            </w:r>
          </w:p>
        </w:tc>
        <w:tc>
          <w:tcPr>
            <w:tcW w:w="1868" w:type="dxa"/>
            <w:hideMark/>
          </w:tcPr>
          <w:p w14:paraId="4849B711" w14:textId="77777777" w:rsidR="00836718" w:rsidRPr="00A94C4D" w:rsidRDefault="00836718" w:rsidP="00282336">
            <w:pPr>
              <w:spacing w:line="240" w:lineRule="auto"/>
              <w:rPr>
                <w:sz w:val="16"/>
                <w:szCs w:val="16"/>
              </w:rPr>
            </w:pPr>
            <w:r w:rsidRPr="00A94C4D">
              <w:rPr>
                <w:sz w:val="16"/>
                <w:szCs w:val="16"/>
              </w:rPr>
              <w:t>Usual care</w:t>
            </w:r>
          </w:p>
        </w:tc>
        <w:tc>
          <w:tcPr>
            <w:tcW w:w="1254" w:type="dxa"/>
            <w:hideMark/>
          </w:tcPr>
          <w:p w14:paraId="4F00D793" w14:textId="77777777" w:rsidR="00836718" w:rsidRPr="00A94C4D" w:rsidRDefault="00836718" w:rsidP="00282336">
            <w:pPr>
              <w:spacing w:line="240" w:lineRule="auto"/>
              <w:rPr>
                <w:sz w:val="16"/>
                <w:szCs w:val="16"/>
              </w:rPr>
            </w:pPr>
            <w:r w:rsidRPr="00A94C4D">
              <w:rPr>
                <w:sz w:val="16"/>
                <w:szCs w:val="16"/>
              </w:rPr>
              <w:t xml:space="preserve">8 weeks </w:t>
            </w:r>
            <w:r w:rsidRPr="00A94C4D">
              <w:rPr>
                <w:sz w:val="16"/>
                <w:szCs w:val="16"/>
              </w:rPr>
              <w:br/>
              <w:t>Follow up: baseline, 8 weeks</w:t>
            </w:r>
            <w:r w:rsidRPr="00A94C4D">
              <w:rPr>
                <w:sz w:val="16"/>
                <w:szCs w:val="16"/>
              </w:rPr>
              <w:br/>
              <w:t>Drop out:17%</w:t>
            </w:r>
          </w:p>
        </w:tc>
        <w:tc>
          <w:tcPr>
            <w:tcW w:w="2501" w:type="dxa"/>
            <w:hideMark/>
          </w:tcPr>
          <w:p w14:paraId="6E5AF86B" w14:textId="77777777" w:rsidR="00836718" w:rsidRPr="00A94C4D" w:rsidRDefault="00836718" w:rsidP="00282336">
            <w:pPr>
              <w:spacing w:line="240" w:lineRule="auto"/>
              <w:rPr>
                <w:sz w:val="16"/>
                <w:szCs w:val="16"/>
              </w:rPr>
            </w:pPr>
            <w:r w:rsidRPr="00A94C4D">
              <w:rPr>
                <w:sz w:val="16"/>
                <w:szCs w:val="16"/>
              </w:rPr>
              <w:t>Primary: change in feelings of emotional support, social isolation, ability to participate in social roles and activities, and anxiety (Patient-Reported</w:t>
            </w:r>
            <w:r w:rsidRPr="00A94C4D">
              <w:rPr>
                <w:sz w:val="16"/>
                <w:szCs w:val="16"/>
              </w:rPr>
              <w:br/>
              <w:t>Outcomes Measurement Information System (</w:t>
            </w:r>
            <w:proofErr w:type="spellStart"/>
            <w:r w:rsidRPr="00A94C4D">
              <w:rPr>
                <w:sz w:val="16"/>
                <w:szCs w:val="16"/>
              </w:rPr>
              <w:t>PROMIS</w:t>
            </w:r>
            <w:proofErr w:type="spellEnd"/>
            <w:r w:rsidRPr="00A94C4D">
              <w:rPr>
                <w:sz w:val="16"/>
                <w:szCs w:val="16"/>
              </w:rPr>
              <w:t>™); (fear of COVID-19 scale)</w:t>
            </w:r>
            <w:r w:rsidRPr="00A94C4D">
              <w:rPr>
                <w:sz w:val="16"/>
                <w:szCs w:val="16"/>
              </w:rPr>
              <w:br/>
            </w:r>
            <w:r w:rsidRPr="00A94C4D">
              <w:rPr>
                <w:sz w:val="16"/>
                <w:szCs w:val="16"/>
              </w:rPr>
              <w:br/>
            </w:r>
            <w:r w:rsidRPr="00A94C4D">
              <w:rPr>
                <w:sz w:val="16"/>
                <w:szCs w:val="16"/>
              </w:rPr>
              <w:br/>
              <w:t>Secondary: NR</w:t>
            </w:r>
          </w:p>
        </w:tc>
        <w:tc>
          <w:tcPr>
            <w:tcW w:w="2713" w:type="dxa"/>
          </w:tcPr>
          <w:p w14:paraId="32F90ECB" w14:textId="77777777" w:rsidR="00836718" w:rsidRPr="00A94C4D" w:rsidRDefault="00836718" w:rsidP="00282336">
            <w:pPr>
              <w:spacing w:line="240" w:lineRule="auto"/>
              <w:rPr>
                <w:sz w:val="16"/>
                <w:szCs w:val="16"/>
              </w:rPr>
            </w:pPr>
            <w:r w:rsidRPr="00A94C4D">
              <w:rPr>
                <w:sz w:val="16"/>
                <w:szCs w:val="16"/>
              </w:rPr>
              <w:t>No significant between-group difference in mean change from baseline in emotional support, social isolation, ability to participate in social roles and activities, anxiety and fear of COVID-19.</w:t>
            </w:r>
            <w:r w:rsidRPr="00A94C4D">
              <w:rPr>
                <w:sz w:val="16"/>
                <w:szCs w:val="16"/>
              </w:rPr>
              <w:br/>
            </w:r>
            <w:r w:rsidRPr="00A94C4D">
              <w:rPr>
                <w:sz w:val="16"/>
                <w:szCs w:val="16"/>
              </w:rPr>
              <w:br/>
              <w:t>Patient Global Impression of Change (</w:t>
            </w:r>
            <w:proofErr w:type="spellStart"/>
            <w:r w:rsidRPr="00A94C4D">
              <w:rPr>
                <w:sz w:val="16"/>
                <w:szCs w:val="16"/>
              </w:rPr>
              <w:t>PGIC</w:t>
            </w:r>
            <w:proofErr w:type="spellEnd"/>
            <w:r w:rsidRPr="00A94C4D">
              <w:rPr>
                <w:sz w:val="16"/>
                <w:szCs w:val="16"/>
              </w:rPr>
              <w:t>) did demonstrate a significant difference between intervention and control group (p = 0.027, 95%CI (-0.81; -0.05)).</w:t>
            </w:r>
          </w:p>
          <w:p w14:paraId="17B94735" w14:textId="77777777" w:rsidR="00836718" w:rsidRPr="00A94C4D" w:rsidRDefault="00836718" w:rsidP="00282336">
            <w:pPr>
              <w:spacing w:line="240" w:lineRule="auto"/>
              <w:rPr>
                <w:sz w:val="16"/>
                <w:szCs w:val="16"/>
              </w:rPr>
            </w:pPr>
          </w:p>
        </w:tc>
      </w:tr>
      <w:tr w:rsidR="00836718" w:rsidRPr="00A94C4D" w14:paraId="7E1AABB0" w14:textId="77777777" w:rsidTr="00282336">
        <w:trPr>
          <w:trHeight w:val="4335"/>
        </w:trPr>
        <w:tc>
          <w:tcPr>
            <w:tcW w:w="1121" w:type="dxa"/>
            <w:hideMark/>
          </w:tcPr>
          <w:p w14:paraId="6714B163" w14:textId="77777777" w:rsidR="00836718" w:rsidRPr="00A94C4D" w:rsidRDefault="00836718" w:rsidP="00282336">
            <w:pPr>
              <w:spacing w:line="240" w:lineRule="auto"/>
              <w:rPr>
                <w:sz w:val="16"/>
                <w:szCs w:val="16"/>
              </w:rPr>
            </w:pPr>
            <w:r w:rsidRPr="00A94C4D">
              <w:rPr>
                <w:sz w:val="16"/>
                <w:szCs w:val="16"/>
              </w:rPr>
              <w:lastRenderedPageBreak/>
              <w:t>3. Ramirez et al (2020)</w:t>
            </w:r>
          </w:p>
        </w:tc>
        <w:tc>
          <w:tcPr>
            <w:tcW w:w="1669" w:type="dxa"/>
            <w:hideMark/>
          </w:tcPr>
          <w:p w14:paraId="1FE5FE61" w14:textId="77777777" w:rsidR="00836718" w:rsidRPr="00A94C4D" w:rsidRDefault="00836718" w:rsidP="00282336">
            <w:pPr>
              <w:spacing w:line="240" w:lineRule="auto"/>
              <w:rPr>
                <w:sz w:val="16"/>
                <w:szCs w:val="16"/>
              </w:rPr>
            </w:pPr>
            <w:r w:rsidRPr="00A94C4D">
              <w:rPr>
                <w:sz w:val="16"/>
                <w:szCs w:val="16"/>
              </w:rPr>
              <w:t>n=288</w:t>
            </w:r>
            <w:r w:rsidRPr="00A94C4D">
              <w:rPr>
                <w:sz w:val="16"/>
                <w:szCs w:val="16"/>
              </w:rPr>
              <w:br/>
              <w:t>Age (mean ± SD): 56.05 (10.20)</w:t>
            </w:r>
            <w:r w:rsidRPr="00A94C4D">
              <w:rPr>
                <w:sz w:val="16"/>
                <w:szCs w:val="16"/>
              </w:rPr>
              <w:br/>
              <w:t>Female n(%):155 (54)</w:t>
            </w:r>
            <w:r w:rsidRPr="00A94C4D">
              <w:rPr>
                <w:sz w:val="16"/>
                <w:szCs w:val="16"/>
              </w:rPr>
              <w:br/>
              <w:t>Male n(%):133 (46.2)</w:t>
            </w:r>
          </w:p>
        </w:tc>
        <w:tc>
          <w:tcPr>
            <w:tcW w:w="1407" w:type="dxa"/>
            <w:hideMark/>
          </w:tcPr>
          <w:p w14:paraId="555C99CA" w14:textId="77777777" w:rsidR="00836718" w:rsidRPr="00A94C4D" w:rsidRDefault="00836718" w:rsidP="00282336">
            <w:pPr>
              <w:spacing w:line="240" w:lineRule="auto"/>
              <w:rPr>
                <w:sz w:val="16"/>
                <w:szCs w:val="16"/>
              </w:rPr>
            </w:pPr>
            <w:r w:rsidRPr="00A94C4D">
              <w:rPr>
                <w:sz w:val="16"/>
                <w:szCs w:val="16"/>
              </w:rPr>
              <w:t>Hispanic/Latino ethnicity in urban Chicago and Texas</w:t>
            </w:r>
          </w:p>
        </w:tc>
        <w:tc>
          <w:tcPr>
            <w:tcW w:w="2865" w:type="dxa"/>
            <w:hideMark/>
          </w:tcPr>
          <w:p w14:paraId="5C84D052" w14:textId="77777777" w:rsidR="00836718" w:rsidRPr="00A94C4D" w:rsidRDefault="00836718" w:rsidP="00282336">
            <w:pPr>
              <w:spacing w:line="240" w:lineRule="auto"/>
              <w:rPr>
                <w:sz w:val="16"/>
                <w:szCs w:val="16"/>
              </w:rPr>
            </w:pPr>
            <w:proofErr w:type="spellStart"/>
            <w:r w:rsidRPr="00A94C4D">
              <w:rPr>
                <w:sz w:val="16"/>
                <w:szCs w:val="16"/>
              </w:rPr>
              <w:t>LIVESTRONG</w:t>
            </w:r>
            <w:proofErr w:type="spellEnd"/>
            <w:r w:rsidRPr="00A94C4D">
              <w:rPr>
                <w:sz w:val="16"/>
                <w:szCs w:val="16"/>
              </w:rPr>
              <w:t xml:space="preserve"> Cancer Navigation Services</w:t>
            </w:r>
            <w:r w:rsidRPr="00A94C4D">
              <w:rPr>
                <w:sz w:val="16"/>
                <w:szCs w:val="16"/>
              </w:rPr>
              <w:br/>
              <w:t>(</w:t>
            </w:r>
            <w:proofErr w:type="spellStart"/>
            <w:r w:rsidRPr="00A94C4D">
              <w:rPr>
                <w:sz w:val="16"/>
                <w:szCs w:val="16"/>
              </w:rPr>
              <w:t>LCNS</w:t>
            </w:r>
            <w:proofErr w:type="spellEnd"/>
            <w:r w:rsidRPr="00A94C4D">
              <w:rPr>
                <w:sz w:val="16"/>
                <w:szCs w:val="16"/>
              </w:rPr>
              <w:t>) is a community-delivered intervention with community-based participatory research methods to address the unique needs of individuals affected by cancer, including Latino cancer survivors</w:t>
            </w:r>
          </w:p>
        </w:tc>
        <w:tc>
          <w:tcPr>
            <w:tcW w:w="1868" w:type="dxa"/>
            <w:hideMark/>
          </w:tcPr>
          <w:p w14:paraId="6E38AFE1" w14:textId="77777777" w:rsidR="00836718" w:rsidRPr="00A94C4D" w:rsidRDefault="00836718" w:rsidP="00282336">
            <w:pPr>
              <w:spacing w:line="240" w:lineRule="auto"/>
              <w:rPr>
                <w:sz w:val="16"/>
                <w:szCs w:val="16"/>
              </w:rPr>
            </w:pPr>
            <w:r w:rsidRPr="00A94C4D">
              <w:rPr>
                <w:sz w:val="16"/>
                <w:szCs w:val="16"/>
              </w:rPr>
              <w:t xml:space="preserve">Limited access to Patient navigators and lay community health workers services but no access to </w:t>
            </w:r>
            <w:proofErr w:type="spellStart"/>
            <w:r w:rsidRPr="00A94C4D">
              <w:rPr>
                <w:sz w:val="16"/>
                <w:szCs w:val="16"/>
              </w:rPr>
              <w:t>LCNS</w:t>
            </w:r>
            <w:proofErr w:type="spellEnd"/>
          </w:p>
        </w:tc>
        <w:tc>
          <w:tcPr>
            <w:tcW w:w="1254" w:type="dxa"/>
            <w:hideMark/>
          </w:tcPr>
          <w:p w14:paraId="0FC03FA1" w14:textId="77777777" w:rsidR="00836718" w:rsidRPr="00A94C4D" w:rsidRDefault="00836718" w:rsidP="00282336">
            <w:pPr>
              <w:spacing w:line="240" w:lineRule="auto"/>
              <w:rPr>
                <w:sz w:val="16"/>
                <w:szCs w:val="16"/>
              </w:rPr>
            </w:pPr>
            <w:r w:rsidRPr="00A94C4D">
              <w:rPr>
                <w:sz w:val="16"/>
                <w:szCs w:val="16"/>
              </w:rPr>
              <w:t>12 months</w:t>
            </w:r>
            <w:r w:rsidRPr="00A94C4D">
              <w:rPr>
                <w:sz w:val="16"/>
                <w:szCs w:val="16"/>
              </w:rPr>
              <w:br/>
              <w:t>Follow up: baseline, 3, 9, 15 months</w:t>
            </w:r>
            <w:r w:rsidRPr="00A94C4D">
              <w:rPr>
                <w:sz w:val="16"/>
                <w:szCs w:val="16"/>
              </w:rPr>
              <w:br/>
              <w:t>Drop out:17%</w:t>
            </w:r>
          </w:p>
        </w:tc>
        <w:tc>
          <w:tcPr>
            <w:tcW w:w="2501" w:type="dxa"/>
            <w:hideMark/>
          </w:tcPr>
          <w:p w14:paraId="5D55C4C0" w14:textId="77777777" w:rsidR="00836718" w:rsidRPr="00A94C4D" w:rsidRDefault="00836718" w:rsidP="00282336">
            <w:pPr>
              <w:spacing w:line="240" w:lineRule="auto"/>
              <w:rPr>
                <w:sz w:val="16"/>
                <w:szCs w:val="16"/>
              </w:rPr>
            </w:pPr>
            <w:r w:rsidRPr="00A94C4D">
              <w:rPr>
                <w:sz w:val="16"/>
                <w:szCs w:val="16"/>
              </w:rPr>
              <w:t xml:space="preserve">Primary: </w:t>
            </w:r>
            <w:proofErr w:type="spellStart"/>
            <w:r w:rsidRPr="00A94C4D">
              <w:rPr>
                <w:sz w:val="16"/>
                <w:szCs w:val="16"/>
              </w:rPr>
              <w:t>HRQOL</w:t>
            </w:r>
            <w:proofErr w:type="spellEnd"/>
            <w:r w:rsidRPr="00A94C4D">
              <w:rPr>
                <w:sz w:val="16"/>
                <w:szCs w:val="16"/>
              </w:rPr>
              <w:t>, including facets of physical, functional, social, and emotional well-being (27-item Functional Assessment of Cancer Therapy– General (FACT-G) scale)</w:t>
            </w:r>
            <w:r w:rsidRPr="00A94C4D">
              <w:rPr>
                <w:sz w:val="16"/>
                <w:szCs w:val="16"/>
              </w:rPr>
              <w:br/>
              <w:t xml:space="preserve">Cancer-specific </w:t>
            </w:r>
            <w:proofErr w:type="spellStart"/>
            <w:r w:rsidRPr="00A94C4D">
              <w:rPr>
                <w:sz w:val="16"/>
                <w:szCs w:val="16"/>
              </w:rPr>
              <w:t>HRQOL</w:t>
            </w:r>
            <w:proofErr w:type="spellEnd"/>
            <w:r w:rsidRPr="00A94C4D">
              <w:rPr>
                <w:sz w:val="16"/>
                <w:szCs w:val="16"/>
              </w:rPr>
              <w:t xml:space="preserve"> in breast cancer survivors (Functional Assessment of Cancer Therapy–Breast); Colorectal cancer survivors (Functional Assessment of Cancer Therapy–Colorectal); Prostate cancer survivors (Functional Assessment of Cancer Therapy–Prostate)</w:t>
            </w:r>
            <w:r w:rsidRPr="00A94C4D">
              <w:rPr>
                <w:sz w:val="16"/>
                <w:szCs w:val="16"/>
              </w:rPr>
              <w:br/>
            </w:r>
            <w:r w:rsidRPr="00A94C4D">
              <w:rPr>
                <w:sz w:val="16"/>
                <w:szCs w:val="16"/>
              </w:rPr>
              <w:br/>
              <w:t>Secondary: NR</w:t>
            </w:r>
          </w:p>
        </w:tc>
        <w:tc>
          <w:tcPr>
            <w:tcW w:w="2713" w:type="dxa"/>
            <w:hideMark/>
          </w:tcPr>
          <w:p w14:paraId="3E69DB9B" w14:textId="77777777" w:rsidR="00836718" w:rsidRPr="00A94C4D" w:rsidRDefault="00836718" w:rsidP="00282336">
            <w:pPr>
              <w:spacing w:line="240" w:lineRule="auto"/>
              <w:rPr>
                <w:sz w:val="16"/>
                <w:szCs w:val="16"/>
              </w:rPr>
            </w:pPr>
            <w:r w:rsidRPr="00A94C4D">
              <w:rPr>
                <w:sz w:val="16"/>
                <w:szCs w:val="16"/>
              </w:rPr>
              <w:t xml:space="preserve">At 3 months males (colorectal cancer) within </w:t>
            </w:r>
            <w:proofErr w:type="spellStart"/>
            <w:r w:rsidRPr="00A94C4D">
              <w:rPr>
                <w:sz w:val="16"/>
                <w:szCs w:val="16"/>
              </w:rPr>
              <w:t>PN-LCNS</w:t>
            </w:r>
            <w:proofErr w:type="spellEnd"/>
            <w:r w:rsidRPr="00A94C4D">
              <w:rPr>
                <w:sz w:val="16"/>
                <w:szCs w:val="16"/>
              </w:rPr>
              <w:t xml:space="preserve"> group significantly greater </w:t>
            </w:r>
            <w:proofErr w:type="spellStart"/>
            <w:r w:rsidRPr="00A94C4D">
              <w:rPr>
                <w:sz w:val="16"/>
                <w:szCs w:val="16"/>
              </w:rPr>
              <w:t>HRQOL</w:t>
            </w:r>
            <w:proofErr w:type="spellEnd"/>
            <w:r w:rsidRPr="00A94C4D">
              <w:rPr>
                <w:sz w:val="16"/>
                <w:szCs w:val="16"/>
              </w:rPr>
              <w:t xml:space="preserve"> (FACT-G) (95% CI, 2.030-18.119; p = .014); Females (breast cancer) within </w:t>
            </w:r>
            <w:proofErr w:type="spellStart"/>
            <w:r w:rsidRPr="00A94C4D">
              <w:rPr>
                <w:sz w:val="16"/>
                <w:szCs w:val="16"/>
              </w:rPr>
              <w:t>PN-LCNS</w:t>
            </w:r>
            <w:proofErr w:type="spellEnd"/>
            <w:r w:rsidRPr="00A94C4D">
              <w:rPr>
                <w:sz w:val="16"/>
                <w:szCs w:val="16"/>
              </w:rPr>
              <w:t xml:space="preserve"> significantly worse </w:t>
            </w:r>
            <w:proofErr w:type="spellStart"/>
            <w:r w:rsidRPr="00A94C4D">
              <w:rPr>
                <w:sz w:val="16"/>
                <w:szCs w:val="16"/>
              </w:rPr>
              <w:t>HRQOL</w:t>
            </w:r>
            <w:proofErr w:type="spellEnd"/>
            <w:r w:rsidRPr="00A94C4D">
              <w:rPr>
                <w:sz w:val="16"/>
                <w:szCs w:val="16"/>
              </w:rPr>
              <w:t xml:space="preserve"> (FACT-G) (95% CI, –9.059 to –1.049; p = .013). than </w:t>
            </w:r>
            <w:proofErr w:type="spellStart"/>
            <w:r w:rsidRPr="00A94C4D">
              <w:rPr>
                <w:sz w:val="16"/>
                <w:szCs w:val="16"/>
              </w:rPr>
              <w:t>PN</w:t>
            </w:r>
            <w:proofErr w:type="spellEnd"/>
            <w:r w:rsidRPr="00A94C4D">
              <w:rPr>
                <w:sz w:val="16"/>
                <w:szCs w:val="16"/>
              </w:rPr>
              <w:t xml:space="preserve"> service alone</w:t>
            </w:r>
            <w:r w:rsidRPr="00A94C4D">
              <w:rPr>
                <w:sz w:val="16"/>
                <w:szCs w:val="16"/>
              </w:rPr>
              <w:br/>
            </w:r>
            <w:r w:rsidRPr="00A94C4D">
              <w:rPr>
                <w:sz w:val="16"/>
                <w:szCs w:val="16"/>
              </w:rPr>
              <w:br/>
              <w:t>At 3, 9, 15 months female (Colorectal Cancer) within N-</w:t>
            </w:r>
            <w:proofErr w:type="spellStart"/>
            <w:r w:rsidRPr="00A94C4D">
              <w:rPr>
                <w:sz w:val="16"/>
                <w:szCs w:val="16"/>
              </w:rPr>
              <w:t>LCNS</w:t>
            </w:r>
            <w:proofErr w:type="spellEnd"/>
            <w:r w:rsidRPr="00A94C4D">
              <w:rPr>
                <w:sz w:val="16"/>
                <w:szCs w:val="16"/>
              </w:rPr>
              <w:t xml:space="preserve"> group significantly greater </w:t>
            </w:r>
            <w:proofErr w:type="spellStart"/>
            <w:r w:rsidRPr="00A94C4D">
              <w:rPr>
                <w:sz w:val="16"/>
                <w:szCs w:val="16"/>
              </w:rPr>
              <w:t>HRQOL</w:t>
            </w:r>
            <w:proofErr w:type="spellEnd"/>
            <w:r w:rsidRPr="00A94C4D">
              <w:rPr>
                <w:sz w:val="16"/>
                <w:szCs w:val="16"/>
              </w:rPr>
              <w:t xml:space="preserve"> (FACT-Colorectal) (3m- 95% CI, 0.030-0.305; p = .017; 9m -95% CI, 0.001-0.293; p = .049; 15m- 95% CI, 0.025-0.317; p = .021) than </w:t>
            </w:r>
            <w:proofErr w:type="spellStart"/>
            <w:r w:rsidRPr="00A94C4D">
              <w:rPr>
                <w:sz w:val="16"/>
                <w:szCs w:val="16"/>
              </w:rPr>
              <w:t>PN</w:t>
            </w:r>
            <w:proofErr w:type="spellEnd"/>
            <w:r w:rsidRPr="00A94C4D">
              <w:rPr>
                <w:sz w:val="16"/>
                <w:szCs w:val="16"/>
              </w:rPr>
              <w:t xml:space="preserve"> group</w:t>
            </w:r>
          </w:p>
        </w:tc>
      </w:tr>
      <w:tr w:rsidR="00836718" w:rsidRPr="00A94C4D" w14:paraId="4D6DAFAE" w14:textId="77777777" w:rsidTr="00282336">
        <w:trPr>
          <w:trHeight w:val="3345"/>
        </w:trPr>
        <w:tc>
          <w:tcPr>
            <w:tcW w:w="1121" w:type="dxa"/>
            <w:hideMark/>
          </w:tcPr>
          <w:p w14:paraId="60396BBB" w14:textId="77777777" w:rsidR="00836718" w:rsidRPr="00A94C4D" w:rsidRDefault="00836718" w:rsidP="00282336">
            <w:pPr>
              <w:spacing w:line="240" w:lineRule="auto"/>
              <w:rPr>
                <w:sz w:val="16"/>
                <w:szCs w:val="16"/>
              </w:rPr>
            </w:pPr>
            <w:r w:rsidRPr="00A94C4D">
              <w:rPr>
                <w:sz w:val="16"/>
                <w:szCs w:val="16"/>
              </w:rPr>
              <w:t>4. Mercer et al (2019)</w:t>
            </w:r>
          </w:p>
        </w:tc>
        <w:tc>
          <w:tcPr>
            <w:tcW w:w="1669" w:type="dxa"/>
            <w:hideMark/>
          </w:tcPr>
          <w:p w14:paraId="15E6DB40" w14:textId="77777777" w:rsidR="00836718" w:rsidRPr="00A94C4D" w:rsidRDefault="00836718" w:rsidP="00282336">
            <w:pPr>
              <w:spacing w:line="240" w:lineRule="auto"/>
              <w:rPr>
                <w:sz w:val="16"/>
                <w:szCs w:val="16"/>
              </w:rPr>
            </w:pPr>
            <w:r w:rsidRPr="00A94C4D">
              <w:rPr>
                <w:sz w:val="16"/>
                <w:szCs w:val="16"/>
              </w:rPr>
              <w:t>n=900</w:t>
            </w:r>
            <w:r w:rsidRPr="00A94C4D">
              <w:rPr>
                <w:sz w:val="16"/>
                <w:szCs w:val="16"/>
              </w:rPr>
              <w:br/>
              <w:t>Mean Age (%): 52.5</w:t>
            </w:r>
            <w:r w:rsidRPr="00A94C4D">
              <w:rPr>
                <w:sz w:val="16"/>
                <w:szCs w:val="16"/>
              </w:rPr>
              <w:br/>
              <w:t>Mean Female n(%):543 (60.3)</w:t>
            </w:r>
            <w:r w:rsidRPr="00A94C4D">
              <w:rPr>
                <w:sz w:val="16"/>
                <w:szCs w:val="16"/>
              </w:rPr>
              <w:br/>
              <w:t>Mean Male n(%): 355(39.4)</w:t>
            </w:r>
          </w:p>
        </w:tc>
        <w:tc>
          <w:tcPr>
            <w:tcW w:w="1407" w:type="dxa"/>
            <w:hideMark/>
          </w:tcPr>
          <w:p w14:paraId="5475D275" w14:textId="77777777" w:rsidR="00836718" w:rsidRPr="00A94C4D" w:rsidRDefault="00836718" w:rsidP="00282336">
            <w:pPr>
              <w:spacing w:line="240" w:lineRule="auto"/>
              <w:rPr>
                <w:sz w:val="16"/>
                <w:szCs w:val="16"/>
              </w:rPr>
            </w:pPr>
            <w:r w:rsidRPr="00A94C4D">
              <w:rPr>
                <w:sz w:val="16"/>
                <w:szCs w:val="16"/>
              </w:rPr>
              <w:t>Glaswegians living within 15% of most-deprived postcodes in Glasgow</w:t>
            </w:r>
          </w:p>
        </w:tc>
        <w:tc>
          <w:tcPr>
            <w:tcW w:w="2865" w:type="dxa"/>
          </w:tcPr>
          <w:p w14:paraId="4717B2C9" w14:textId="77777777" w:rsidR="00836718" w:rsidRPr="00A94C4D" w:rsidRDefault="00836718" w:rsidP="00282336">
            <w:pPr>
              <w:spacing w:line="240" w:lineRule="auto"/>
              <w:rPr>
                <w:sz w:val="16"/>
                <w:szCs w:val="16"/>
              </w:rPr>
            </w:pPr>
            <w:r w:rsidRPr="00A94C4D">
              <w:rPr>
                <w:sz w:val="16"/>
                <w:szCs w:val="16"/>
              </w:rPr>
              <w:t>The Glasgow Deep End Links Worker Programme (</w:t>
            </w:r>
            <w:proofErr w:type="spellStart"/>
            <w:r w:rsidRPr="00A94C4D">
              <w:rPr>
                <w:sz w:val="16"/>
                <w:szCs w:val="16"/>
              </w:rPr>
              <w:t>LWP</w:t>
            </w:r>
            <w:proofErr w:type="spellEnd"/>
            <w:r w:rsidRPr="00A94C4D">
              <w:rPr>
                <w:sz w:val="16"/>
                <w:szCs w:val="16"/>
              </w:rPr>
              <w:t>) aims to help people in areas of deprivation to “live well” in their communities by providing an attached community-links practitioner (CLP) to general practices. CLPs would forge relationships between general practices and community organizations (walking groups, debt management support, welfare rights, drug and alcohol management support, lunch clubs, befriending schemes, crafting clubs, bereavement support), and support patients to access nonmedical services on offer.</w:t>
            </w:r>
          </w:p>
          <w:p w14:paraId="7332B284" w14:textId="77777777" w:rsidR="00836718" w:rsidRPr="00A94C4D" w:rsidRDefault="00836718" w:rsidP="00282336">
            <w:pPr>
              <w:spacing w:line="240" w:lineRule="auto"/>
              <w:rPr>
                <w:sz w:val="16"/>
                <w:szCs w:val="16"/>
              </w:rPr>
            </w:pPr>
          </w:p>
        </w:tc>
        <w:tc>
          <w:tcPr>
            <w:tcW w:w="1868" w:type="dxa"/>
            <w:hideMark/>
          </w:tcPr>
          <w:p w14:paraId="7AF76890" w14:textId="77777777" w:rsidR="00836718" w:rsidRPr="00A94C4D" w:rsidRDefault="00836718" w:rsidP="00282336">
            <w:pPr>
              <w:spacing w:line="240" w:lineRule="auto"/>
              <w:rPr>
                <w:sz w:val="16"/>
                <w:szCs w:val="16"/>
              </w:rPr>
            </w:pPr>
            <w:r w:rsidRPr="00A94C4D">
              <w:rPr>
                <w:sz w:val="16"/>
                <w:szCs w:val="16"/>
              </w:rPr>
              <w:t>Usual care</w:t>
            </w:r>
          </w:p>
        </w:tc>
        <w:tc>
          <w:tcPr>
            <w:tcW w:w="1254" w:type="dxa"/>
            <w:hideMark/>
          </w:tcPr>
          <w:p w14:paraId="00734AD6" w14:textId="77777777" w:rsidR="00836718" w:rsidRPr="00A94C4D" w:rsidRDefault="00836718" w:rsidP="00282336">
            <w:pPr>
              <w:spacing w:line="240" w:lineRule="auto"/>
              <w:rPr>
                <w:sz w:val="16"/>
                <w:szCs w:val="16"/>
              </w:rPr>
            </w:pPr>
            <w:r w:rsidRPr="00A94C4D">
              <w:rPr>
                <w:sz w:val="16"/>
                <w:szCs w:val="16"/>
              </w:rPr>
              <w:t>9 months</w:t>
            </w:r>
            <w:r w:rsidRPr="00A94C4D">
              <w:rPr>
                <w:sz w:val="16"/>
                <w:szCs w:val="16"/>
              </w:rPr>
              <w:br/>
              <w:t>Follow up: baseline, 9 months</w:t>
            </w:r>
            <w:r w:rsidRPr="00A94C4D">
              <w:rPr>
                <w:sz w:val="16"/>
                <w:szCs w:val="16"/>
              </w:rPr>
              <w:br/>
              <w:t>Drop out:14%</w:t>
            </w:r>
          </w:p>
        </w:tc>
        <w:tc>
          <w:tcPr>
            <w:tcW w:w="2501" w:type="dxa"/>
            <w:hideMark/>
          </w:tcPr>
          <w:p w14:paraId="620AA438" w14:textId="77777777" w:rsidR="00836718" w:rsidRPr="00A94C4D" w:rsidRDefault="00836718" w:rsidP="00282336">
            <w:pPr>
              <w:spacing w:line="240" w:lineRule="auto"/>
              <w:rPr>
                <w:sz w:val="16"/>
                <w:szCs w:val="16"/>
              </w:rPr>
            </w:pPr>
            <w:r w:rsidRPr="00A94C4D">
              <w:rPr>
                <w:sz w:val="16"/>
                <w:szCs w:val="16"/>
              </w:rPr>
              <w:t xml:space="preserve">Primary: </w:t>
            </w:r>
            <w:proofErr w:type="spellStart"/>
            <w:r w:rsidRPr="00A94C4D">
              <w:rPr>
                <w:sz w:val="16"/>
                <w:szCs w:val="16"/>
              </w:rPr>
              <w:t>HRQOL</w:t>
            </w:r>
            <w:proofErr w:type="spellEnd"/>
            <w:r w:rsidRPr="00A94C4D">
              <w:rPr>
                <w:sz w:val="16"/>
                <w:szCs w:val="16"/>
              </w:rPr>
              <w:t xml:space="preserve"> (EQ-5D-5L)</w:t>
            </w:r>
            <w:r w:rsidRPr="00A94C4D">
              <w:rPr>
                <w:sz w:val="16"/>
                <w:szCs w:val="16"/>
              </w:rPr>
              <w:br/>
            </w:r>
            <w:r w:rsidRPr="00A94C4D">
              <w:rPr>
                <w:sz w:val="16"/>
                <w:szCs w:val="16"/>
              </w:rPr>
              <w:br/>
            </w:r>
            <w:r w:rsidRPr="00A94C4D">
              <w:rPr>
                <w:sz w:val="16"/>
                <w:szCs w:val="16"/>
              </w:rPr>
              <w:br/>
              <w:t>Secondary: Well-being (Investigating Choice Experiments for the Preferences of Older</w:t>
            </w:r>
            <w:r w:rsidRPr="00A94C4D">
              <w:rPr>
                <w:sz w:val="16"/>
                <w:szCs w:val="16"/>
              </w:rPr>
              <w:br/>
              <w:t>People Capability Measure for Adults (ICECAP-A); Hospital Anxiety and Depression Scale (</w:t>
            </w:r>
            <w:proofErr w:type="spellStart"/>
            <w:r w:rsidRPr="00A94C4D">
              <w:rPr>
                <w:sz w:val="16"/>
                <w:szCs w:val="16"/>
              </w:rPr>
              <w:t>HADS</w:t>
            </w:r>
            <w:proofErr w:type="spellEnd"/>
            <w:r w:rsidRPr="00A94C4D">
              <w:rPr>
                <w:sz w:val="16"/>
                <w:szCs w:val="16"/>
              </w:rPr>
              <w:t xml:space="preserve">-A / </w:t>
            </w:r>
            <w:proofErr w:type="spellStart"/>
            <w:r w:rsidRPr="00A94C4D">
              <w:rPr>
                <w:sz w:val="16"/>
                <w:szCs w:val="16"/>
              </w:rPr>
              <w:t>HADS</w:t>
            </w:r>
            <w:proofErr w:type="spellEnd"/>
            <w:r w:rsidRPr="00A94C4D">
              <w:rPr>
                <w:sz w:val="16"/>
                <w:szCs w:val="16"/>
              </w:rPr>
              <w:t xml:space="preserve">-D); Work and Social Adjustment Scale; burden of </w:t>
            </w:r>
            <w:proofErr w:type="spellStart"/>
            <w:r w:rsidRPr="00A94C4D">
              <w:rPr>
                <w:sz w:val="16"/>
                <w:szCs w:val="16"/>
              </w:rPr>
              <w:t>multimorbidity</w:t>
            </w:r>
            <w:proofErr w:type="spellEnd"/>
            <w:r w:rsidRPr="00A94C4D">
              <w:rPr>
                <w:sz w:val="16"/>
                <w:szCs w:val="16"/>
              </w:rPr>
              <w:t>; self-reported lifestyle activities</w:t>
            </w:r>
          </w:p>
        </w:tc>
        <w:tc>
          <w:tcPr>
            <w:tcW w:w="2713" w:type="dxa"/>
            <w:hideMark/>
          </w:tcPr>
          <w:p w14:paraId="4D4AE630" w14:textId="77777777" w:rsidR="00836718" w:rsidRPr="00A94C4D" w:rsidRDefault="00836718" w:rsidP="00282336">
            <w:pPr>
              <w:spacing w:line="240" w:lineRule="auto"/>
              <w:rPr>
                <w:sz w:val="16"/>
                <w:szCs w:val="16"/>
              </w:rPr>
            </w:pPr>
            <w:r w:rsidRPr="00A94C4D">
              <w:rPr>
                <w:sz w:val="16"/>
                <w:szCs w:val="16"/>
              </w:rPr>
              <w:t>At 9 months no significant effect on any of the outcome measures of interest (EQ-5D-5L 95% CI 0.008 (–0.028 to 0.045) p= .648)</w:t>
            </w:r>
            <w:r w:rsidRPr="00A94C4D">
              <w:rPr>
                <w:sz w:val="16"/>
                <w:szCs w:val="16"/>
              </w:rPr>
              <w:br/>
            </w:r>
            <w:r w:rsidRPr="00A94C4D">
              <w:rPr>
                <w:sz w:val="16"/>
                <w:szCs w:val="16"/>
              </w:rPr>
              <w:br/>
              <w:t xml:space="preserve">Participants who consulted 3 or more times with a CLP demonstrated significant improvements in </w:t>
            </w:r>
            <w:proofErr w:type="spellStart"/>
            <w:r w:rsidRPr="00A94C4D">
              <w:rPr>
                <w:sz w:val="16"/>
                <w:szCs w:val="16"/>
              </w:rPr>
              <w:t>HRQOL</w:t>
            </w:r>
            <w:proofErr w:type="spellEnd"/>
            <w:r w:rsidRPr="00A94C4D">
              <w:rPr>
                <w:sz w:val="16"/>
                <w:szCs w:val="16"/>
              </w:rPr>
              <w:t xml:space="preserve"> (EQ-5D-5L) (CI;0.071 (0.016 to 0.126); p=.011); Anxiety (</w:t>
            </w:r>
            <w:proofErr w:type="spellStart"/>
            <w:r w:rsidRPr="00A94C4D">
              <w:rPr>
                <w:sz w:val="16"/>
                <w:szCs w:val="16"/>
              </w:rPr>
              <w:t>HADS</w:t>
            </w:r>
            <w:proofErr w:type="spellEnd"/>
            <w:r w:rsidRPr="00A94C4D">
              <w:rPr>
                <w:sz w:val="16"/>
                <w:szCs w:val="16"/>
              </w:rPr>
              <w:t>-A) (CI: –1.380 (–2.339 to -0.421); p=.005); Depression (</w:t>
            </w:r>
            <w:proofErr w:type="spellStart"/>
            <w:r w:rsidRPr="00A94C4D">
              <w:rPr>
                <w:sz w:val="16"/>
                <w:szCs w:val="16"/>
              </w:rPr>
              <w:t>HADS</w:t>
            </w:r>
            <w:proofErr w:type="spellEnd"/>
            <w:r w:rsidRPr="00A94C4D">
              <w:rPr>
                <w:sz w:val="16"/>
                <w:szCs w:val="16"/>
              </w:rPr>
              <w:t>-D) (CI:–1.280 (–2.209 to –0.352):p=.007); Exercise (CI:0.339 (0.071 to 0.607);</w:t>
            </w:r>
            <w:r w:rsidRPr="00A94C4D">
              <w:rPr>
                <w:i/>
                <w:iCs/>
                <w:sz w:val="16"/>
                <w:szCs w:val="16"/>
              </w:rPr>
              <w:t xml:space="preserve"> </w:t>
            </w:r>
            <w:r w:rsidRPr="00A94C4D">
              <w:rPr>
                <w:sz w:val="16"/>
                <w:szCs w:val="16"/>
              </w:rPr>
              <w:t>p=.013)</w:t>
            </w:r>
          </w:p>
        </w:tc>
      </w:tr>
      <w:tr w:rsidR="00836718" w:rsidRPr="00A94C4D" w14:paraId="440308AF" w14:textId="77777777" w:rsidTr="00282336">
        <w:trPr>
          <w:trHeight w:val="4530"/>
        </w:trPr>
        <w:tc>
          <w:tcPr>
            <w:tcW w:w="1121" w:type="dxa"/>
            <w:hideMark/>
          </w:tcPr>
          <w:p w14:paraId="03F983CD" w14:textId="77777777" w:rsidR="00836718" w:rsidRPr="00A94C4D" w:rsidRDefault="00836718" w:rsidP="00282336">
            <w:pPr>
              <w:spacing w:line="240" w:lineRule="auto"/>
              <w:rPr>
                <w:sz w:val="16"/>
                <w:szCs w:val="16"/>
              </w:rPr>
            </w:pPr>
            <w:r w:rsidRPr="00A94C4D">
              <w:rPr>
                <w:sz w:val="16"/>
                <w:szCs w:val="16"/>
              </w:rPr>
              <w:lastRenderedPageBreak/>
              <w:t xml:space="preserve">5. </w:t>
            </w:r>
            <w:bookmarkStart w:id="0" w:name="_Hlk96093033"/>
            <w:proofErr w:type="spellStart"/>
            <w:r w:rsidRPr="00A94C4D">
              <w:rPr>
                <w:sz w:val="16"/>
                <w:szCs w:val="16"/>
              </w:rPr>
              <w:t>Kangovi</w:t>
            </w:r>
            <w:proofErr w:type="spellEnd"/>
            <w:r w:rsidRPr="00A94C4D">
              <w:rPr>
                <w:sz w:val="16"/>
                <w:szCs w:val="16"/>
              </w:rPr>
              <w:t xml:space="preserve"> </w:t>
            </w:r>
            <w:bookmarkEnd w:id="0"/>
            <w:r w:rsidRPr="00A94C4D">
              <w:rPr>
                <w:sz w:val="16"/>
                <w:szCs w:val="16"/>
              </w:rPr>
              <w:t>et al (2018)</w:t>
            </w:r>
          </w:p>
        </w:tc>
        <w:tc>
          <w:tcPr>
            <w:tcW w:w="1669" w:type="dxa"/>
            <w:hideMark/>
          </w:tcPr>
          <w:p w14:paraId="1641FDEE" w14:textId="77777777" w:rsidR="00836718" w:rsidRPr="00A94C4D" w:rsidRDefault="00836718" w:rsidP="00282336">
            <w:pPr>
              <w:spacing w:line="240" w:lineRule="auto"/>
              <w:rPr>
                <w:sz w:val="16"/>
                <w:szCs w:val="16"/>
              </w:rPr>
            </w:pPr>
            <w:r w:rsidRPr="00A94C4D">
              <w:rPr>
                <w:sz w:val="16"/>
                <w:szCs w:val="16"/>
              </w:rPr>
              <w:t>n=592</w:t>
            </w:r>
            <w:r w:rsidRPr="00A94C4D">
              <w:rPr>
                <w:sz w:val="16"/>
                <w:szCs w:val="16"/>
              </w:rPr>
              <w:br/>
              <w:t>Age (mean ± SD):52.6 (11.1)</w:t>
            </w:r>
            <w:r w:rsidRPr="00A94C4D">
              <w:rPr>
                <w:sz w:val="16"/>
                <w:szCs w:val="16"/>
              </w:rPr>
              <w:br/>
              <w:t>Female n(%): 370 (62.5)</w:t>
            </w:r>
            <w:r w:rsidRPr="00A94C4D">
              <w:rPr>
                <w:sz w:val="16"/>
                <w:szCs w:val="16"/>
              </w:rPr>
              <w:br/>
              <w:t>Male n(%):222 (37.5)</w:t>
            </w:r>
          </w:p>
        </w:tc>
        <w:tc>
          <w:tcPr>
            <w:tcW w:w="1407" w:type="dxa"/>
            <w:hideMark/>
          </w:tcPr>
          <w:p w14:paraId="7CB75E9C" w14:textId="77777777" w:rsidR="00836718" w:rsidRPr="00A94C4D" w:rsidRDefault="00836718" w:rsidP="00282336">
            <w:pPr>
              <w:spacing w:line="240" w:lineRule="auto"/>
              <w:rPr>
                <w:sz w:val="16"/>
                <w:szCs w:val="16"/>
              </w:rPr>
            </w:pPr>
            <w:r w:rsidRPr="00A94C4D">
              <w:rPr>
                <w:sz w:val="16"/>
                <w:szCs w:val="16"/>
              </w:rPr>
              <w:t>Urban high-poverty zip code Philadelphia, USA</w:t>
            </w:r>
          </w:p>
        </w:tc>
        <w:tc>
          <w:tcPr>
            <w:tcW w:w="2865" w:type="dxa"/>
          </w:tcPr>
          <w:p w14:paraId="21B58DFF" w14:textId="77777777" w:rsidR="00836718" w:rsidRPr="00A94C4D" w:rsidRDefault="00836718" w:rsidP="00282336">
            <w:pPr>
              <w:spacing w:line="240" w:lineRule="auto"/>
              <w:rPr>
                <w:sz w:val="16"/>
                <w:szCs w:val="16"/>
              </w:rPr>
            </w:pPr>
            <w:r w:rsidRPr="00A94C4D">
              <w:rPr>
                <w:sz w:val="16"/>
                <w:szCs w:val="16"/>
              </w:rPr>
              <w:t>Individualized Management for Patient-Centred Targets (</w:t>
            </w:r>
            <w:proofErr w:type="spellStart"/>
            <w:r w:rsidRPr="00A94C4D">
              <w:rPr>
                <w:sz w:val="16"/>
                <w:szCs w:val="16"/>
              </w:rPr>
              <w:t>IMPaCT</w:t>
            </w:r>
            <w:proofErr w:type="spellEnd"/>
            <w:r w:rsidRPr="00A94C4D">
              <w:rPr>
                <w:sz w:val="16"/>
                <w:szCs w:val="16"/>
              </w:rPr>
              <w:t xml:space="preserve">) is a standardized intervention delivered in 3 stages: goal-setting, tailored support and connection with long-term support in which </w:t>
            </w:r>
            <w:proofErr w:type="spellStart"/>
            <w:r w:rsidRPr="00A94C4D">
              <w:rPr>
                <w:sz w:val="16"/>
                <w:szCs w:val="16"/>
              </w:rPr>
              <w:t>CLWs</w:t>
            </w:r>
            <w:proofErr w:type="spellEnd"/>
            <w:r w:rsidRPr="00A94C4D">
              <w:rPr>
                <w:sz w:val="16"/>
                <w:szCs w:val="16"/>
              </w:rPr>
              <w:t xml:space="preserve"> provide specific social support, navigation, and advocacy to help low-income patients achieve health goals spanning the domains of coaching, social support, and advocacy. </w:t>
            </w:r>
            <w:proofErr w:type="spellStart"/>
            <w:r w:rsidRPr="00A94C4D">
              <w:rPr>
                <w:sz w:val="16"/>
                <w:szCs w:val="16"/>
              </w:rPr>
              <w:t>CLWs</w:t>
            </w:r>
            <w:proofErr w:type="spellEnd"/>
            <w:r w:rsidRPr="00A94C4D">
              <w:rPr>
                <w:sz w:val="16"/>
                <w:szCs w:val="16"/>
              </w:rPr>
              <w:t xml:space="preserve"> did not directly provide health education or clinical care. </w:t>
            </w:r>
          </w:p>
          <w:p w14:paraId="4D1524E9" w14:textId="77777777" w:rsidR="00836718" w:rsidRPr="00A94C4D" w:rsidRDefault="00836718" w:rsidP="00282336">
            <w:pPr>
              <w:spacing w:line="240" w:lineRule="auto"/>
              <w:rPr>
                <w:sz w:val="16"/>
                <w:szCs w:val="16"/>
              </w:rPr>
            </w:pPr>
          </w:p>
        </w:tc>
        <w:tc>
          <w:tcPr>
            <w:tcW w:w="1868" w:type="dxa"/>
            <w:hideMark/>
          </w:tcPr>
          <w:p w14:paraId="3F35DE1B" w14:textId="77777777" w:rsidR="00836718" w:rsidRPr="00A94C4D" w:rsidRDefault="00836718" w:rsidP="00282336">
            <w:pPr>
              <w:spacing w:line="240" w:lineRule="auto"/>
              <w:rPr>
                <w:sz w:val="16"/>
                <w:szCs w:val="16"/>
              </w:rPr>
            </w:pPr>
            <w:r w:rsidRPr="00A94C4D">
              <w:rPr>
                <w:sz w:val="16"/>
                <w:szCs w:val="16"/>
              </w:rPr>
              <w:t>Usual care and goal setting only</w:t>
            </w:r>
          </w:p>
        </w:tc>
        <w:tc>
          <w:tcPr>
            <w:tcW w:w="1254" w:type="dxa"/>
            <w:hideMark/>
          </w:tcPr>
          <w:p w14:paraId="10967506" w14:textId="77777777" w:rsidR="00836718" w:rsidRPr="00A94C4D" w:rsidRDefault="00836718" w:rsidP="00282336">
            <w:pPr>
              <w:spacing w:line="240" w:lineRule="auto"/>
              <w:rPr>
                <w:sz w:val="16"/>
                <w:szCs w:val="16"/>
              </w:rPr>
            </w:pPr>
            <w:r w:rsidRPr="00A94C4D">
              <w:rPr>
                <w:sz w:val="16"/>
                <w:szCs w:val="16"/>
              </w:rPr>
              <w:t xml:space="preserve">6 months </w:t>
            </w:r>
            <w:r w:rsidRPr="00A94C4D">
              <w:rPr>
                <w:sz w:val="16"/>
                <w:szCs w:val="16"/>
              </w:rPr>
              <w:br/>
              <w:t>Follow up: baseline, 6, 9 months</w:t>
            </w:r>
            <w:r w:rsidRPr="00A94C4D">
              <w:rPr>
                <w:sz w:val="16"/>
                <w:szCs w:val="16"/>
              </w:rPr>
              <w:br/>
              <w:t>Drop out:21%</w:t>
            </w:r>
          </w:p>
        </w:tc>
        <w:tc>
          <w:tcPr>
            <w:tcW w:w="2501" w:type="dxa"/>
            <w:hideMark/>
          </w:tcPr>
          <w:p w14:paraId="77141808" w14:textId="77777777" w:rsidR="00836718" w:rsidRPr="00A94C4D" w:rsidRDefault="00836718" w:rsidP="00282336">
            <w:pPr>
              <w:spacing w:line="240" w:lineRule="auto"/>
              <w:rPr>
                <w:sz w:val="16"/>
                <w:szCs w:val="16"/>
              </w:rPr>
            </w:pPr>
            <w:r w:rsidRPr="00A94C4D">
              <w:rPr>
                <w:sz w:val="16"/>
                <w:szCs w:val="16"/>
              </w:rPr>
              <w:t>Primary: mean change in self-rated physical health using SF-12v2 Health Survey (Physical Component)</w:t>
            </w:r>
            <w:r w:rsidRPr="00A94C4D">
              <w:rPr>
                <w:sz w:val="16"/>
                <w:szCs w:val="16"/>
              </w:rPr>
              <w:br/>
            </w:r>
            <w:r w:rsidRPr="00A94C4D">
              <w:rPr>
                <w:sz w:val="16"/>
                <w:szCs w:val="16"/>
              </w:rPr>
              <w:br/>
              <w:t>Sec</w:t>
            </w:r>
            <w:r>
              <w:rPr>
                <w:sz w:val="16"/>
                <w:szCs w:val="16"/>
              </w:rPr>
              <w:t>ondary:</w:t>
            </w:r>
            <w:r>
              <w:rPr>
                <w:sz w:val="16"/>
                <w:szCs w:val="16"/>
              </w:rPr>
              <w:br/>
              <w:t xml:space="preserve">-mean change in </w:t>
            </w:r>
            <w:r w:rsidRPr="00A94C4D">
              <w:rPr>
                <w:sz w:val="16"/>
                <w:szCs w:val="16"/>
              </w:rPr>
              <w:t>self-rated mental health using the SF-12v2Health Survey (Men</w:t>
            </w:r>
            <w:r>
              <w:rPr>
                <w:sz w:val="16"/>
                <w:szCs w:val="16"/>
              </w:rPr>
              <w:t>tal Component)</w:t>
            </w:r>
            <w:r>
              <w:rPr>
                <w:sz w:val="16"/>
                <w:szCs w:val="16"/>
              </w:rPr>
              <w:br/>
            </w:r>
            <w:r>
              <w:rPr>
                <w:sz w:val="16"/>
                <w:szCs w:val="16"/>
              </w:rPr>
              <w:br/>
              <w:t xml:space="preserve">-mean change in </w:t>
            </w:r>
            <w:r w:rsidRPr="00A94C4D">
              <w:rPr>
                <w:sz w:val="16"/>
                <w:szCs w:val="16"/>
              </w:rPr>
              <w:t>patient-selected chronic disease (HbA1c,BMI,SBP,or  CPD)</w:t>
            </w:r>
            <w:r w:rsidRPr="00A94C4D">
              <w:rPr>
                <w:sz w:val="16"/>
                <w:szCs w:val="16"/>
              </w:rPr>
              <w:br/>
            </w:r>
            <w:r w:rsidRPr="00A94C4D">
              <w:rPr>
                <w:sz w:val="16"/>
                <w:szCs w:val="16"/>
              </w:rPr>
              <w:br/>
              <w:t>-mean change in patient activation measure,</w:t>
            </w:r>
          </w:p>
        </w:tc>
        <w:tc>
          <w:tcPr>
            <w:tcW w:w="2713" w:type="dxa"/>
            <w:hideMark/>
          </w:tcPr>
          <w:p w14:paraId="58EAD53A" w14:textId="77777777" w:rsidR="00836718" w:rsidRPr="00A94C4D" w:rsidRDefault="00836718" w:rsidP="00282336">
            <w:pPr>
              <w:spacing w:line="240" w:lineRule="auto"/>
              <w:rPr>
                <w:sz w:val="16"/>
                <w:szCs w:val="16"/>
              </w:rPr>
            </w:pPr>
            <w:r w:rsidRPr="00A94C4D">
              <w:rPr>
                <w:sz w:val="16"/>
                <w:szCs w:val="16"/>
              </w:rPr>
              <w:t>At 9 months, both groups had non-significant improvement in self-rated physical health (mean (SD), 1.8 (11.2))vs 1.6 (9.9); P = .89) and self-rated mental health (difference in differences, 0.8; 95% CI, –1.1 to 2.6; P = .41)</w:t>
            </w:r>
            <w:r w:rsidRPr="00A94C4D">
              <w:rPr>
                <w:sz w:val="16"/>
                <w:szCs w:val="16"/>
              </w:rPr>
              <w:br/>
            </w:r>
            <w:r w:rsidRPr="00A94C4D">
              <w:rPr>
                <w:sz w:val="16"/>
                <w:szCs w:val="16"/>
              </w:rPr>
              <w:br/>
              <w:t xml:space="preserve">Intervention arm had significant improvements in chronic disease control (difference in differences: (HbA1c, –0.23%; BMI, –0.15; CPD, –0.50; </w:t>
            </w:r>
            <w:proofErr w:type="spellStart"/>
            <w:r w:rsidRPr="00A94C4D">
              <w:rPr>
                <w:sz w:val="16"/>
                <w:szCs w:val="16"/>
              </w:rPr>
              <w:t>SBP</w:t>
            </w:r>
            <w:proofErr w:type="spellEnd"/>
            <w:r w:rsidRPr="00A94C4D">
              <w:rPr>
                <w:sz w:val="16"/>
                <w:szCs w:val="16"/>
              </w:rPr>
              <w:t>, –6.26 mm Hg; P = .21)</w:t>
            </w:r>
            <w:r w:rsidRPr="00A94C4D">
              <w:rPr>
                <w:sz w:val="16"/>
                <w:szCs w:val="16"/>
              </w:rPr>
              <w:br/>
            </w:r>
            <w:r w:rsidRPr="00A94C4D">
              <w:rPr>
                <w:sz w:val="16"/>
                <w:szCs w:val="16"/>
              </w:rPr>
              <w:br/>
              <w:t>Intervention arm had a greater improvement in patient activation (difference in differences,</w:t>
            </w:r>
            <w:r w:rsidRPr="00A94C4D">
              <w:rPr>
                <w:sz w:val="16"/>
                <w:szCs w:val="16"/>
              </w:rPr>
              <w:br/>
              <w:t>1.9; 95% CI, –0.1 to 3.8; P = .06)</w:t>
            </w:r>
          </w:p>
        </w:tc>
      </w:tr>
      <w:tr w:rsidR="00836718" w:rsidRPr="00A94C4D" w14:paraId="7621BAE9" w14:textId="77777777" w:rsidTr="00282336">
        <w:trPr>
          <w:trHeight w:val="8175"/>
        </w:trPr>
        <w:tc>
          <w:tcPr>
            <w:tcW w:w="1121" w:type="dxa"/>
            <w:hideMark/>
          </w:tcPr>
          <w:p w14:paraId="4370E9A8" w14:textId="77777777" w:rsidR="00836718" w:rsidRPr="00A94C4D" w:rsidRDefault="00836718" w:rsidP="00282336">
            <w:pPr>
              <w:spacing w:line="240" w:lineRule="auto"/>
              <w:rPr>
                <w:sz w:val="16"/>
                <w:szCs w:val="16"/>
              </w:rPr>
            </w:pPr>
            <w:r w:rsidRPr="00A94C4D">
              <w:rPr>
                <w:sz w:val="16"/>
                <w:szCs w:val="16"/>
              </w:rPr>
              <w:lastRenderedPageBreak/>
              <w:t>6. Spencer et al (2018)</w:t>
            </w:r>
          </w:p>
        </w:tc>
        <w:tc>
          <w:tcPr>
            <w:tcW w:w="1669" w:type="dxa"/>
            <w:hideMark/>
          </w:tcPr>
          <w:p w14:paraId="5DC0A1D4" w14:textId="77777777" w:rsidR="00836718" w:rsidRPr="00A94C4D" w:rsidRDefault="00836718" w:rsidP="00282336">
            <w:pPr>
              <w:spacing w:line="240" w:lineRule="auto"/>
              <w:rPr>
                <w:sz w:val="16"/>
                <w:szCs w:val="16"/>
              </w:rPr>
            </w:pPr>
            <w:r w:rsidRPr="00A94C4D">
              <w:rPr>
                <w:sz w:val="16"/>
                <w:szCs w:val="16"/>
              </w:rPr>
              <w:t>n=222</w:t>
            </w:r>
            <w:r w:rsidRPr="00A94C4D">
              <w:rPr>
                <w:sz w:val="16"/>
                <w:szCs w:val="16"/>
              </w:rPr>
              <w:br/>
              <w:t xml:space="preserve">0-6 months - </w:t>
            </w:r>
            <w:proofErr w:type="spellStart"/>
            <w:r w:rsidRPr="00A94C4D">
              <w:rPr>
                <w:sz w:val="16"/>
                <w:szCs w:val="16"/>
              </w:rPr>
              <w:t>CLW</w:t>
            </w:r>
            <w:proofErr w:type="spellEnd"/>
            <w:r w:rsidRPr="00A94C4D">
              <w:rPr>
                <w:sz w:val="16"/>
                <w:szCs w:val="16"/>
              </w:rPr>
              <w:t xml:space="preserve"> led </w:t>
            </w:r>
            <w:proofErr w:type="spellStart"/>
            <w:r w:rsidRPr="00A94C4D">
              <w:rPr>
                <w:sz w:val="16"/>
                <w:szCs w:val="16"/>
              </w:rPr>
              <w:t>DSME</w:t>
            </w:r>
            <w:proofErr w:type="spellEnd"/>
            <w:r w:rsidRPr="00A94C4D">
              <w:rPr>
                <w:sz w:val="16"/>
                <w:szCs w:val="16"/>
              </w:rPr>
              <w:t xml:space="preserve"> program (n= 89) vs </w:t>
            </w:r>
            <w:proofErr w:type="spellStart"/>
            <w:r w:rsidRPr="00A94C4D">
              <w:rPr>
                <w:sz w:val="16"/>
                <w:szCs w:val="16"/>
              </w:rPr>
              <w:t>EUC</w:t>
            </w:r>
            <w:proofErr w:type="spellEnd"/>
            <w:r w:rsidRPr="00A94C4D">
              <w:rPr>
                <w:sz w:val="16"/>
                <w:szCs w:val="16"/>
              </w:rPr>
              <w:t xml:space="preserve">  (n=73)</w:t>
            </w:r>
          </w:p>
          <w:p w14:paraId="420D2D03" w14:textId="77777777" w:rsidR="00836718" w:rsidRPr="00A94C4D" w:rsidRDefault="00836718" w:rsidP="00282336">
            <w:pPr>
              <w:spacing w:line="240" w:lineRule="auto"/>
              <w:rPr>
                <w:sz w:val="16"/>
                <w:szCs w:val="16"/>
              </w:rPr>
            </w:pPr>
            <w:r w:rsidRPr="00A94C4D">
              <w:rPr>
                <w:sz w:val="16"/>
                <w:szCs w:val="16"/>
              </w:rPr>
              <w:br/>
              <w:t xml:space="preserve">6-12-month - </w:t>
            </w:r>
            <w:proofErr w:type="spellStart"/>
            <w:r w:rsidRPr="00A94C4D">
              <w:rPr>
                <w:sz w:val="16"/>
                <w:szCs w:val="16"/>
              </w:rPr>
              <w:t>CLW</w:t>
            </w:r>
            <w:proofErr w:type="spellEnd"/>
            <w:r w:rsidRPr="00A94C4D">
              <w:rPr>
                <w:sz w:val="16"/>
                <w:szCs w:val="16"/>
              </w:rPr>
              <w:t xml:space="preserve"> led telephone call vs 12 months of weekly group sessions delivered by Peer leaders (n=60) Vs </w:t>
            </w:r>
            <w:proofErr w:type="spellStart"/>
            <w:r w:rsidRPr="00A94C4D">
              <w:rPr>
                <w:sz w:val="16"/>
                <w:szCs w:val="16"/>
              </w:rPr>
              <w:t>EUC</w:t>
            </w:r>
            <w:proofErr w:type="spellEnd"/>
            <w:r w:rsidRPr="00A94C4D">
              <w:rPr>
                <w:sz w:val="16"/>
                <w:szCs w:val="16"/>
              </w:rPr>
              <w:t xml:space="preserve"> (n=73)</w:t>
            </w:r>
            <w:r w:rsidRPr="00A94C4D">
              <w:rPr>
                <w:sz w:val="16"/>
                <w:szCs w:val="16"/>
              </w:rPr>
              <w:br/>
            </w:r>
            <w:r w:rsidRPr="00A94C4D">
              <w:rPr>
                <w:sz w:val="16"/>
                <w:szCs w:val="16"/>
              </w:rPr>
              <w:br/>
              <w:t>Age (mean ± SD):48.9 (10.6)</w:t>
            </w:r>
            <w:r w:rsidRPr="00A94C4D">
              <w:rPr>
                <w:sz w:val="16"/>
                <w:szCs w:val="16"/>
              </w:rPr>
              <w:br/>
              <w:t>Female n(%):135 (60.8)</w:t>
            </w:r>
            <w:r w:rsidRPr="00A94C4D">
              <w:rPr>
                <w:sz w:val="16"/>
                <w:szCs w:val="16"/>
              </w:rPr>
              <w:br/>
              <w:t>Male n(%):87 (39.1)</w:t>
            </w:r>
          </w:p>
        </w:tc>
        <w:tc>
          <w:tcPr>
            <w:tcW w:w="1407" w:type="dxa"/>
            <w:hideMark/>
          </w:tcPr>
          <w:p w14:paraId="0E84B49E" w14:textId="77777777" w:rsidR="00836718" w:rsidRPr="00A94C4D" w:rsidRDefault="00836718" w:rsidP="00282336">
            <w:pPr>
              <w:spacing w:line="240" w:lineRule="auto"/>
              <w:rPr>
                <w:sz w:val="16"/>
                <w:szCs w:val="16"/>
              </w:rPr>
            </w:pPr>
            <w:r w:rsidRPr="00A94C4D">
              <w:rPr>
                <w:sz w:val="16"/>
                <w:szCs w:val="16"/>
              </w:rPr>
              <w:t>American Latino/a Southwest Detroit inner city, USA</w:t>
            </w:r>
          </w:p>
        </w:tc>
        <w:tc>
          <w:tcPr>
            <w:tcW w:w="2865" w:type="dxa"/>
            <w:hideMark/>
          </w:tcPr>
          <w:p w14:paraId="1411D3CA" w14:textId="77777777" w:rsidR="00836718" w:rsidRPr="00A94C4D" w:rsidRDefault="00836718" w:rsidP="00282336">
            <w:pPr>
              <w:spacing w:line="240" w:lineRule="auto"/>
              <w:rPr>
                <w:sz w:val="16"/>
                <w:szCs w:val="16"/>
              </w:rPr>
            </w:pPr>
            <w:r w:rsidRPr="00A94C4D">
              <w:rPr>
                <w:sz w:val="16"/>
                <w:szCs w:val="16"/>
              </w:rPr>
              <w:t>Founded in 1999, the Racial and Ethnic</w:t>
            </w:r>
            <w:r w:rsidRPr="00A94C4D">
              <w:rPr>
                <w:sz w:val="16"/>
                <w:szCs w:val="16"/>
              </w:rPr>
              <w:br/>
              <w:t>Approaches to Community Health (REACH) Detroit Partnership is a community-based participatory research (</w:t>
            </w:r>
            <w:proofErr w:type="spellStart"/>
            <w:r w:rsidRPr="00A94C4D">
              <w:rPr>
                <w:sz w:val="16"/>
                <w:szCs w:val="16"/>
              </w:rPr>
              <w:t>CBPR</w:t>
            </w:r>
            <w:proofErr w:type="spellEnd"/>
            <w:r w:rsidRPr="00A94C4D">
              <w:rPr>
                <w:sz w:val="16"/>
                <w:szCs w:val="16"/>
              </w:rPr>
              <w:t xml:space="preserve">) coalition of community organizations, academic institutions, and health care systems that has used </w:t>
            </w:r>
            <w:proofErr w:type="spellStart"/>
            <w:r w:rsidRPr="00A94C4D">
              <w:rPr>
                <w:sz w:val="16"/>
                <w:szCs w:val="16"/>
              </w:rPr>
              <w:t>CBPR</w:t>
            </w:r>
            <w:proofErr w:type="spellEnd"/>
            <w:r w:rsidRPr="00A94C4D">
              <w:rPr>
                <w:sz w:val="16"/>
                <w:szCs w:val="16"/>
              </w:rPr>
              <w:t xml:space="preserve"> approaches to design, implement, and evaluate interventions aimed at improving diabetes care. </w:t>
            </w:r>
            <w:proofErr w:type="spellStart"/>
            <w:r w:rsidRPr="00A94C4D">
              <w:rPr>
                <w:sz w:val="16"/>
                <w:szCs w:val="16"/>
              </w:rPr>
              <w:t>CLW</w:t>
            </w:r>
            <w:proofErr w:type="spellEnd"/>
            <w:r w:rsidRPr="00A94C4D">
              <w:rPr>
                <w:sz w:val="16"/>
                <w:szCs w:val="16"/>
              </w:rPr>
              <w:t xml:space="preserve"> facilitated necessary referrals to other service systems.</w:t>
            </w:r>
          </w:p>
        </w:tc>
        <w:tc>
          <w:tcPr>
            <w:tcW w:w="1868" w:type="dxa"/>
            <w:hideMark/>
          </w:tcPr>
          <w:p w14:paraId="0AF69D51" w14:textId="77777777" w:rsidR="00836718" w:rsidRPr="00A94C4D" w:rsidRDefault="00836718" w:rsidP="00282336">
            <w:pPr>
              <w:spacing w:line="240" w:lineRule="auto"/>
              <w:rPr>
                <w:sz w:val="16"/>
                <w:szCs w:val="16"/>
              </w:rPr>
            </w:pPr>
            <w:r w:rsidRPr="00A94C4D">
              <w:rPr>
                <w:sz w:val="16"/>
                <w:szCs w:val="16"/>
              </w:rPr>
              <w:t xml:space="preserve">0-18 months </w:t>
            </w:r>
            <w:proofErr w:type="spellStart"/>
            <w:r w:rsidRPr="00A94C4D">
              <w:rPr>
                <w:sz w:val="16"/>
                <w:szCs w:val="16"/>
              </w:rPr>
              <w:t>EUC</w:t>
            </w:r>
            <w:proofErr w:type="spellEnd"/>
            <w:r w:rsidRPr="00A94C4D">
              <w:rPr>
                <w:sz w:val="16"/>
                <w:szCs w:val="16"/>
              </w:rPr>
              <w:t>: received a 2-h class conducted by a research assistant covering how to interpret their clinical and anthropometric</w:t>
            </w:r>
            <w:r w:rsidRPr="00A94C4D">
              <w:rPr>
                <w:sz w:val="16"/>
                <w:szCs w:val="16"/>
              </w:rPr>
              <w:br/>
              <w:t xml:space="preserve">results. </w:t>
            </w:r>
            <w:proofErr w:type="spellStart"/>
            <w:r w:rsidRPr="00A94C4D">
              <w:rPr>
                <w:sz w:val="16"/>
                <w:szCs w:val="16"/>
              </w:rPr>
              <w:t>EUC</w:t>
            </w:r>
            <w:proofErr w:type="spellEnd"/>
            <w:r w:rsidRPr="00A94C4D">
              <w:rPr>
                <w:sz w:val="16"/>
                <w:szCs w:val="16"/>
              </w:rPr>
              <w:t xml:space="preserve"> participants contacted once each month to update contact information.</w:t>
            </w:r>
            <w:r w:rsidRPr="00A94C4D">
              <w:rPr>
                <w:sz w:val="16"/>
                <w:szCs w:val="16"/>
              </w:rPr>
              <w:br/>
              <w:t xml:space="preserve"> </w:t>
            </w:r>
            <w:r w:rsidRPr="00A94C4D">
              <w:rPr>
                <w:sz w:val="16"/>
                <w:szCs w:val="16"/>
              </w:rPr>
              <w:br/>
            </w:r>
            <w:proofErr w:type="gramStart"/>
            <w:r w:rsidRPr="00A94C4D">
              <w:rPr>
                <w:sz w:val="16"/>
                <w:szCs w:val="16"/>
              </w:rPr>
              <w:t>Or</w:t>
            </w:r>
            <w:proofErr w:type="gramEnd"/>
            <w:r w:rsidRPr="00A94C4D">
              <w:rPr>
                <w:sz w:val="16"/>
                <w:szCs w:val="16"/>
              </w:rPr>
              <w:t xml:space="preserve"> </w:t>
            </w:r>
            <w:r w:rsidRPr="00A94C4D">
              <w:rPr>
                <w:sz w:val="16"/>
                <w:szCs w:val="16"/>
              </w:rPr>
              <w:br/>
            </w:r>
            <w:r w:rsidRPr="00A94C4D">
              <w:rPr>
                <w:sz w:val="16"/>
                <w:szCs w:val="16"/>
              </w:rPr>
              <w:br/>
              <w:t>6-18 months Community Health Worker &amp; Peer leader provided patients with ongoing emotional</w:t>
            </w:r>
            <w:r w:rsidRPr="00A94C4D">
              <w:rPr>
                <w:sz w:val="16"/>
                <w:szCs w:val="16"/>
              </w:rPr>
              <w:br/>
              <w:t xml:space="preserve">and behavioural support through weekly drop-in group-based sessions, goal setting and follow-up telephone contacts from 6 to 18 months. </w:t>
            </w:r>
            <w:r w:rsidRPr="00A94C4D">
              <w:rPr>
                <w:sz w:val="16"/>
                <w:szCs w:val="16"/>
              </w:rPr>
              <w:br/>
            </w:r>
            <w:r w:rsidRPr="00A94C4D">
              <w:rPr>
                <w:sz w:val="16"/>
                <w:szCs w:val="16"/>
              </w:rPr>
              <w:br/>
            </w:r>
            <w:proofErr w:type="gramStart"/>
            <w:r w:rsidRPr="00A94C4D">
              <w:rPr>
                <w:sz w:val="16"/>
                <w:szCs w:val="16"/>
              </w:rPr>
              <w:t>Or</w:t>
            </w:r>
            <w:proofErr w:type="gramEnd"/>
            <w:r w:rsidRPr="00A94C4D">
              <w:rPr>
                <w:sz w:val="16"/>
                <w:szCs w:val="16"/>
              </w:rPr>
              <w:br/>
            </w:r>
            <w:r w:rsidRPr="00A94C4D">
              <w:rPr>
                <w:sz w:val="16"/>
                <w:szCs w:val="16"/>
              </w:rPr>
              <w:br/>
              <w:t xml:space="preserve">6-18 months Community Health Worker only. After the 6-month intervention, participants randomized to this group received monthly telephone calls from a </w:t>
            </w:r>
            <w:proofErr w:type="spellStart"/>
            <w:r w:rsidRPr="00A94C4D">
              <w:rPr>
                <w:sz w:val="16"/>
                <w:szCs w:val="16"/>
              </w:rPr>
              <w:t>CLW</w:t>
            </w:r>
            <w:proofErr w:type="spellEnd"/>
            <w:r w:rsidRPr="00A94C4D">
              <w:rPr>
                <w:sz w:val="16"/>
                <w:szCs w:val="16"/>
              </w:rPr>
              <w:t xml:space="preserve"> who had led their </w:t>
            </w:r>
            <w:proofErr w:type="spellStart"/>
            <w:r w:rsidRPr="00A94C4D">
              <w:rPr>
                <w:sz w:val="16"/>
                <w:szCs w:val="16"/>
              </w:rPr>
              <w:t>DSME</w:t>
            </w:r>
            <w:proofErr w:type="spellEnd"/>
            <w:r w:rsidRPr="00A94C4D">
              <w:rPr>
                <w:sz w:val="16"/>
                <w:szCs w:val="16"/>
              </w:rPr>
              <w:t xml:space="preserve"> group to check in and assess continued progress in setting and meeting diabetes care goals</w:t>
            </w:r>
          </w:p>
        </w:tc>
        <w:tc>
          <w:tcPr>
            <w:tcW w:w="1254" w:type="dxa"/>
            <w:hideMark/>
          </w:tcPr>
          <w:p w14:paraId="31FDD0FE" w14:textId="77777777" w:rsidR="00836718" w:rsidRPr="00A94C4D" w:rsidRDefault="00836718" w:rsidP="00282336">
            <w:pPr>
              <w:spacing w:line="240" w:lineRule="auto"/>
              <w:rPr>
                <w:sz w:val="16"/>
                <w:szCs w:val="16"/>
              </w:rPr>
            </w:pPr>
            <w:r w:rsidRPr="00A94C4D">
              <w:rPr>
                <w:sz w:val="16"/>
                <w:szCs w:val="16"/>
              </w:rPr>
              <w:t>18 months</w:t>
            </w:r>
            <w:r w:rsidRPr="00A94C4D">
              <w:rPr>
                <w:sz w:val="16"/>
                <w:szCs w:val="16"/>
              </w:rPr>
              <w:br/>
              <w:t>Follow up: baseline, 6, 12, 18 months</w:t>
            </w:r>
            <w:r w:rsidRPr="00A94C4D">
              <w:rPr>
                <w:sz w:val="16"/>
                <w:szCs w:val="16"/>
              </w:rPr>
              <w:br/>
              <w:t>Drop out:29%</w:t>
            </w:r>
          </w:p>
        </w:tc>
        <w:tc>
          <w:tcPr>
            <w:tcW w:w="2501" w:type="dxa"/>
            <w:hideMark/>
          </w:tcPr>
          <w:p w14:paraId="71476C53" w14:textId="77777777" w:rsidR="00836718" w:rsidRPr="00A94C4D" w:rsidRDefault="00836718" w:rsidP="00282336">
            <w:pPr>
              <w:spacing w:line="240" w:lineRule="auto"/>
              <w:rPr>
                <w:sz w:val="16"/>
                <w:szCs w:val="16"/>
              </w:rPr>
            </w:pPr>
            <w:r w:rsidRPr="00A94C4D">
              <w:rPr>
                <w:sz w:val="16"/>
                <w:szCs w:val="16"/>
              </w:rPr>
              <w:t>Primary: HbA1c</w:t>
            </w:r>
            <w:r w:rsidRPr="00A94C4D">
              <w:rPr>
                <w:sz w:val="16"/>
                <w:szCs w:val="16"/>
              </w:rPr>
              <w:br/>
            </w:r>
            <w:r w:rsidRPr="00A94C4D">
              <w:rPr>
                <w:sz w:val="16"/>
                <w:szCs w:val="16"/>
              </w:rPr>
              <w:br/>
            </w:r>
            <w:r w:rsidRPr="00A94C4D">
              <w:rPr>
                <w:sz w:val="16"/>
                <w:szCs w:val="16"/>
              </w:rPr>
              <w:br/>
              <w:t xml:space="preserve">Secondary: total cholesterol; </w:t>
            </w:r>
            <w:proofErr w:type="spellStart"/>
            <w:r w:rsidRPr="00A94C4D">
              <w:rPr>
                <w:sz w:val="16"/>
                <w:szCs w:val="16"/>
              </w:rPr>
              <w:t>LDL</w:t>
            </w:r>
            <w:proofErr w:type="spellEnd"/>
            <w:r w:rsidRPr="00A94C4D">
              <w:rPr>
                <w:sz w:val="16"/>
                <w:szCs w:val="16"/>
              </w:rPr>
              <w:t xml:space="preserve"> cholesterol (</w:t>
            </w:r>
            <w:proofErr w:type="spellStart"/>
            <w:r w:rsidRPr="00A94C4D">
              <w:rPr>
                <w:sz w:val="16"/>
                <w:szCs w:val="16"/>
              </w:rPr>
              <w:t>LDLc</w:t>
            </w:r>
            <w:proofErr w:type="spellEnd"/>
            <w:r w:rsidRPr="00A94C4D">
              <w:rPr>
                <w:sz w:val="16"/>
                <w:szCs w:val="16"/>
              </w:rPr>
              <w:t xml:space="preserve">); </w:t>
            </w:r>
            <w:proofErr w:type="spellStart"/>
            <w:r w:rsidRPr="00A94C4D">
              <w:rPr>
                <w:sz w:val="16"/>
                <w:szCs w:val="16"/>
              </w:rPr>
              <w:t>HDL</w:t>
            </w:r>
            <w:proofErr w:type="spellEnd"/>
            <w:r w:rsidRPr="00A94C4D">
              <w:rPr>
                <w:sz w:val="16"/>
                <w:szCs w:val="16"/>
              </w:rPr>
              <w:t xml:space="preserve"> cholesterol (</w:t>
            </w:r>
            <w:proofErr w:type="spellStart"/>
            <w:r w:rsidRPr="00A94C4D">
              <w:rPr>
                <w:sz w:val="16"/>
                <w:szCs w:val="16"/>
              </w:rPr>
              <w:t>HDLc</w:t>
            </w:r>
            <w:proofErr w:type="spellEnd"/>
            <w:r w:rsidRPr="00A94C4D">
              <w:rPr>
                <w:sz w:val="16"/>
                <w:szCs w:val="16"/>
              </w:rPr>
              <w:t>); Systolic and diastolic blood pressures; BMI; diabetes-related distress (Diabetes Distress Scale); diabetes-specific social support (Diabetes Social Support</w:t>
            </w:r>
            <w:r w:rsidRPr="00A94C4D">
              <w:rPr>
                <w:sz w:val="16"/>
                <w:szCs w:val="16"/>
              </w:rPr>
              <w:br/>
              <w:t>Scale); Depressive</w:t>
            </w:r>
            <w:r w:rsidRPr="00A94C4D">
              <w:rPr>
                <w:sz w:val="16"/>
                <w:szCs w:val="16"/>
              </w:rPr>
              <w:br/>
              <w:t>symptoms (Patient Health Questionnaire-9); diabetes self-management (Diabetes Care Profile)</w:t>
            </w:r>
          </w:p>
        </w:tc>
        <w:tc>
          <w:tcPr>
            <w:tcW w:w="2713" w:type="dxa"/>
            <w:hideMark/>
          </w:tcPr>
          <w:p w14:paraId="5C139400" w14:textId="77777777" w:rsidR="00836718" w:rsidRPr="00A94C4D" w:rsidRDefault="00836718" w:rsidP="00282336">
            <w:pPr>
              <w:spacing w:line="240" w:lineRule="auto"/>
              <w:rPr>
                <w:sz w:val="16"/>
                <w:szCs w:val="16"/>
              </w:rPr>
            </w:pPr>
            <w:proofErr w:type="spellStart"/>
            <w:proofErr w:type="gramStart"/>
            <w:r w:rsidRPr="00A94C4D">
              <w:rPr>
                <w:sz w:val="16"/>
                <w:szCs w:val="16"/>
              </w:rPr>
              <w:t>CLW</w:t>
            </w:r>
            <w:proofErr w:type="spellEnd"/>
            <w:r w:rsidRPr="00A94C4D">
              <w:rPr>
                <w:sz w:val="16"/>
                <w:szCs w:val="16"/>
              </w:rPr>
              <w:t xml:space="preserve"> group, mean HbA1c sig decreased by 20.51% (95% CI,20.75,20.26; P&lt;0.001) vs </w:t>
            </w:r>
            <w:proofErr w:type="spellStart"/>
            <w:r w:rsidRPr="00A94C4D">
              <w:rPr>
                <w:sz w:val="16"/>
                <w:szCs w:val="16"/>
              </w:rPr>
              <w:t>EUC</w:t>
            </w:r>
            <w:proofErr w:type="spellEnd"/>
            <w:r w:rsidRPr="00A94C4D">
              <w:rPr>
                <w:sz w:val="16"/>
                <w:szCs w:val="16"/>
              </w:rPr>
              <w:t xml:space="preserve"> (0.45% (95% CI, 20.87, 20.03); P &lt; 0.05) from baseline to 6 months</w:t>
            </w:r>
            <w:r w:rsidRPr="00A94C4D">
              <w:rPr>
                <w:sz w:val="16"/>
                <w:szCs w:val="16"/>
              </w:rPr>
              <w:br/>
            </w:r>
            <w:r w:rsidRPr="00A94C4D">
              <w:rPr>
                <w:sz w:val="16"/>
                <w:szCs w:val="16"/>
              </w:rPr>
              <w:br/>
              <w:t xml:space="preserve">From 6 to 12 months HbA1c were sustained for </w:t>
            </w:r>
            <w:proofErr w:type="spellStart"/>
            <w:r w:rsidRPr="00A94C4D">
              <w:rPr>
                <w:sz w:val="16"/>
                <w:szCs w:val="16"/>
              </w:rPr>
              <w:t>CLW+PL</w:t>
            </w:r>
            <w:proofErr w:type="spellEnd"/>
            <w:r w:rsidRPr="00A94C4D">
              <w:rPr>
                <w:sz w:val="16"/>
                <w:szCs w:val="16"/>
              </w:rPr>
              <w:t xml:space="preserve"> group (20.63% (95% CI,21.06,20.19); P,0.01) only and continued onto 18 months (20.56% (95% CI 21.06, 20.05); (P&lt;.05)</w:t>
            </w:r>
            <w:r w:rsidRPr="00A94C4D">
              <w:rPr>
                <w:sz w:val="16"/>
                <w:szCs w:val="16"/>
              </w:rPr>
              <w:br/>
            </w:r>
            <w:r w:rsidRPr="00A94C4D">
              <w:rPr>
                <w:sz w:val="16"/>
                <w:szCs w:val="16"/>
              </w:rPr>
              <w:br/>
              <w:t xml:space="preserve">At 18 months </w:t>
            </w:r>
            <w:proofErr w:type="spellStart"/>
            <w:r w:rsidRPr="00A94C4D">
              <w:rPr>
                <w:sz w:val="16"/>
                <w:szCs w:val="16"/>
              </w:rPr>
              <w:t>LDLc</w:t>
            </w:r>
            <w:proofErr w:type="spellEnd"/>
            <w:r w:rsidRPr="00A94C4D">
              <w:rPr>
                <w:sz w:val="16"/>
                <w:szCs w:val="16"/>
              </w:rPr>
              <w:t xml:space="preserve"> decreased significantly from baseline in the </w:t>
            </w:r>
            <w:proofErr w:type="spellStart"/>
            <w:r w:rsidRPr="00A94C4D">
              <w:rPr>
                <w:sz w:val="16"/>
                <w:szCs w:val="16"/>
              </w:rPr>
              <w:t>CLW+PL</w:t>
            </w:r>
            <w:proofErr w:type="spellEnd"/>
            <w:r w:rsidRPr="00A94C4D">
              <w:rPr>
                <w:sz w:val="16"/>
                <w:szCs w:val="16"/>
              </w:rPr>
              <w:t xml:space="preserve"> group (212.3 mg/</w:t>
            </w:r>
            <w:proofErr w:type="spellStart"/>
            <w:r w:rsidRPr="00A94C4D">
              <w:rPr>
                <w:sz w:val="16"/>
                <w:szCs w:val="16"/>
              </w:rPr>
              <w:t>dL</w:t>
            </w:r>
            <w:proofErr w:type="spellEnd"/>
            <w:r w:rsidRPr="00A94C4D">
              <w:rPr>
                <w:sz w:val="16"/>
                <w:szCs w:val="16"/>
              </w:rPr>
              <w:t xml:space="preserve"> (95% CI,223.1, 21.6);P&lt;0.05)</w:t>
            </w:r>
            <w:r w:rsidRPr="00A94C4D">
              <w:rPr>
                <w:sz w:val="16"/>
                <w:szCs w:val="16"/>
              </w:rPr>
              <w:br/>
            </w:r>
            <w:r w:rsidRPr="00A94C4D">
              <w:rPr>
                <w:sz w:val="16"/>
                <w:szCs w:val="16"/>
              </w:rPr>
              <w:br/>
              <w:t xml:space="preserve">Intervention effects were not significant for </w:t>
            </w:r>
            <w:proofErr w:type="spellStart"/>
            <w:r w:rsidRPr="00A94C4D">
              <w:rPr>
                <w:sz w:val="16"/>
                <w:szCs w:val="16"/>
              </w:rPr>
              <w:t>LDLC</w:t>
            </w:r>
            <w:proofErr w:type="spellEnd"/>
            <w:r w:rsidRPr="00A94C4D">
              <w:rPr>
                <w:sz w:val="16"/>
                <w:szCs w:val="16"/>
              </w:rPr>
              <w:t xml:space="preserve">; </w:t>
            </w:r>
            <w:proofErr w:type="spellStart"/>
            <w:r w:rsidRPr="00A94C4D">
              <w:rPr>
                <w:sz w:val="16"/>
                <w:szCs w:val="16"/>
              </w:rPr>
              <w:t>HDLc</w:t>
            </w:r>
            <w:proofErr w:type="spellEnd"/>
            <w:r w:rsidRPr="00A94C4D">
              <w:rPr>
                <w:sz w:val="16"/>
                <w:szCs w:val="16"/>
              </w:rPr>
              <w:t>, total cholesterol; BMI or blood pressure</w:t>
            </w:r>
            <w:r w:rsidRPr="00A94C4D">
              <w:rPr>
                <w:sz w:val="16"/>
                <w:szCs w:val="16"/>
              </w:rPr>
              <w:br/>
            </w:r>
            <w:r w:rsidRPr="00A94C4D">
              <w:rPr>
                <w:sz w:val="16"/>
                <w:szCs w:val="16"/>
              </w:rPr>
              <w:br/>
              <w:t xml:space="preserve">Depressive symptoms significantly decreased in </w:t>
            </w:r>
            <w:proofErr w:type="spellStart"/>
            <w:r w:rsidRPr="00A94C4D">
              <w:rPr>
                <w:sz w:val="16"/>
                <w:szCs w:val="16"/>
              </w:rPr>
              <w:t>CLW</w:t>
            </w:r>
            <w:proofErr w:type="spellEnd"/>
            <w:r w:rsidRPr="00A94C4D">
              <w:rPr>
                <w:sz w:val="16"/>
                <w:szCs w:val="16"/>
              </w:rPr>
              <w:t xml:space="preserve"> intervention from baseline to 6 months (21.1 points (95% CI 21.9, 20.4); P &lt; 0.01)</w:t>
            </w:r>
            <w:r w:rsidRPr="00A94C4D">
              <w:rPr>
                <w:sz w:val="16"/>
                <w:szCs w:val="16"/>
              </w:rPr>
              <w:br/>
            </w:r>
            <w:r w:rsidRPr="00A94C4D">
              <w:rPr>
                <w:sz w:val="16"/>
                <w:szCs w:val="16"/>
              </w:rPr>
              <w:br/>
              <w:t>Diabetes-related distress significantly decreased from baseline to 6 months</w:t>
            </w:r>
            <w:r w:rsidRPr="00A94C4D">
              <w:rPr>
                <w:sz w:val="16"/>
                <w:szCs w:val="16"/>
              </w:rPr>
              <w:br/>
              <w:t xml:space="preserve">for </w:t>
            </w:r>
            <w:proofErr w:type="spellStart"/>
            <w:r w:rsidRPr="00A94C4D">
              <w:rPr>
                <w:sz w:val="16"/>
                <w:szCs w:val="16"/>
              </w:rPr>
              <w:t>CLW</w:t>
            </w:r>
            <w:proofErr w:type="spellEnd"/>
            <w:r w:rsidRPr="00A94C4D">
              <w:rPr>
                <w:sz w:val="16"/>
                <w:szCs w:val="16"/>
              </w:rPr>
              <w:t xml:space="preserve"> group(20.4points (95%CI20.6,20.2); P &lt;0.001), with an intervention effect of 20.3 (95% CI 20.6, 20.03; P , 0.05).</w:t>
            </w:r>
            <w:r w:rsidRPr="00A94C4D">
              <w:rPr>
                <w:sz w:val="16"/>
                <w:szCs w:val="16"/>
              </w:rPr>
              <w:br/>
            </w:r>
            <w:r w:rsidRPr="00A94C4D">
              <w:rPr>
                <w:sz w:val="16"/>
                <w:szCs w:val="16"/>
              </w:rPr>
              <w:br/>
            </w:r>
            <w:proofErr w:type="gramEnd"/>
            <w:r w:rsidRPr="00A94C4D">
              <w:rPr>
                <w:sz w:val="16"/>
                <w:szCs w:val="16"/>
              </w:rPr>
              <w:t xml:space="preserve">Diabetes management showed a significant intervention effect at 6 months, and the intervention effect was sustained to 12 months in the </w:t>
            </w:r>
            <w:proofErr w:type="spellStart"/>
            <w:r w:rsidRPr="00A94C4D">
              <w:rPr>
                <w:sz w:val="16"/>
                <w:szCs w:val="16"/>
              </w:rPr>
              <w:t>CLW+PL</w:t>
            </w:r>
            <w:proofErr w:type="spellEnd"/>
            <w:r w:rsidRPr="00A94C4D">
              <w:rPr>
                <w:sz w:val="16"/>
                <w:szCs w:val="16"/>
              </w:rPr>
              <w:t xml:space="preserve"> group (0.3 (95% CI 0.1, 0.6); P&lt;0.05)</w:t>
            </w:r>
          </w:p>
        </w:tc>
      </w:tr>
      <w:tr w:rsidR="00836718" w:rsidRPr="00A94C4D" w14:paraId="01CC2BE0" w14:textId="77777777" w:rsidTr="00282336">
        <w:trPr>
          <w:trHeight w:val="5110"/>
        </w:trPr>
        <w:tc>
          <w:tcPr>
            <w:tcW w:w="1121" w:type="dxa"/>
            <w:hideMark/>
          </w:tcPr>
          <w:p w14:paraId="070C609A" w14:textId="77777777" w:rsidR="00836718" w:rsidRPr="00A94C4D" w:rsidRDefault="00836718" w:rsidP="00282336">
            <w:pPr>
              <w:spacing w:line="240" w:lineRule="auto"/>
              <w:rPr>
                <w:sz w:val="16"/>
                <w:szCs w:val="16"/>
              </w:rPr>
            </w:pPr>
            <w:r w:rsidRPr="00A94C4D">
              <w:rPr>
                <w:sz w:val="16"/>
                <w:szCs w:val="16"/>
              </w:rPr>
              <w:lastRenderedPageBreak/>
              <w:t>7.</w:t>
            </w:r>
            <w:bookmarkStart w:id="1" w:name="_Hlk95924649"/>
            <w:r w:rsidRPr="00A94C4D">
              <w:rPr>
                <w:sz w:val="16"/>
                <w:szCs w:val="16"/>
              </w:rPr>
              <w:t xml:space="preserve">Carrasquillo </w:t>
            </w:r>
            <w:bookmarkEnd w:id="1"/>
            <w:r w:rsidRPr="00A94C4D">
              <w:rPr>
                <w:sz w:val="16"/>
                <w:szCs w:val="16"/>
              </w:rPr>
              <w:t>et al (2017)</w:t>
            </w:r>
          </w:p>
        </w:tc>
        <w:tc>
          <w:tcPr>
            <w:tcW w:w="1669" w:type="dxa"/>
            <w:hideMark/>
          </w:tcPr>
          <w:p w14:paraId="00E2B36A" w14:textId="77777777" w:rsidR="00836718" w:rsidRPr="00A94C4D" w:rsidRDefault="00836718" w:rsidP="00282336">
            <w:pPr>
              <w:spacing w:line="240" w:lineRule="auto"/>
              <w:rPr>
                <w:sz w:val="16"/>
                <w:szCs w:val="16"/>
              </w:rPr>
            </w:pPr>
            <w:r w:rsidRPr="00A94C4D">
              <w:rPr>
                <w:sz w:val="16"/>
                <w:szCs w:val="16"/>
              </w:rPr>
              <w:t>n=300</w:t>
            </w:r>
            <w:r w:rsidRPr="00A94C4D">
              <w:rPr>
                <w:sz w:val="16"/>
                <w:szCs w:val="16"/>
              </w:rPr>
              <w:br/>
              <w:t>Age (mean ± SD):55.25</w:t>
            </w:r>
            <w:r w:rsidRPr="00A94C4D">
              <w:rPr>
                <w:sz w:val="16"/>
                <w:szCs w:val="16"/>
              </w:rPr>
              <w:br/>
              <w:t>Female n(%):165 (55)</w:t>
            </w:r>
            <w:r w:rsidRPr="00A94C4D">
              <w:rPr>
                <w:sz w:val="16"/>
                <w:szCs w:val="16"/>
              </w:rPr>
              <w:br/>
              <w:t>Male n(%):135 (45)</w:t>
            </w:r>
          </w:p>
        </w:tc>
        <w:tc>
          <w:tcPr>
            <w:tcW w:w="1407" w:type="dxa"/>
            <w:hideMark/>
          </w:tcPr>
          <w:p w14:paraId="14099738" w14:textId="77777777" w:rsidR="00836718" w:rsidRPr="00A94C4D" w:rsidRDefault="00836718" w:rsidP="00282336">
            <w:pPr>
              <w:spacing w:line="240" w:lineRule="auto"/>
              <w:rPr>
                <w:sz w:val="16"/>
                <w:szCs w:val="16"/>
              </w:rPr>
            </w:pPr>
            <w:r w:rsidRPr="00A94C4D">
              <w:rPr>
                <w:sz w:val="16"/>
                <w:szCs w:val="16"/>
              </w:rPr>
              <w:t>Latinos with cardiovascular disease, Miami-Dade County, Florida, USA</w:t>
            </w:r>
          </w:p>
        </w:tc>
        <w:tc>
          <w:tcPr>
            <w:tcW w:w="2865" w:type="dxa"/>
            <w:hideMark/>
          </w:tcPr>
          <w:p w14:paraId="4EFAEB2D" w14:textId="77777777" w:rsidR="00836718" w:rsidRPr="00A94C4D" w:rsidRDefault="00836718" w:rsidP="00282336">
            <w:pPr>
              <w:spacing w:line="240" w:lineRule="auto"/>
              <w:rPr>
                <w:sz w:val="16"/>
                <w:szCs w:val="16"/>
              </w:rPr>
            </w:pPr>
            <w:r w:rsidRPr="00A94C4D">
              <w:rPr>
                <w:sz w:val="16"/>
                <w:szCs w:val="16"/>
              </w:rPr>
              <w:t xml:space="preserve">Miami Healthy Heart Initiative in which participants received 12 months of a personalized </w:t>
            </w:r>
            <w:proofErr w:type="spellStart"/>
            <w:r w:rsidRPr="00A94C4D">
              <w:rPr>
                <w:sz w:val="16"/>
                <w:szCs w:val="16"/>
              </w:rPr>
              <w:t>CLW</w:t>
            </w:r>
            <w:proofErr w:type="spellEnd"/>
            <w:r w:rsidRPr="00A94C4D">
              <w:rPr>
                <w:sz w:val="16"/>
                <w:szCs w:val="16"/>
              </w:rPr>
              <w:t xml:space="preserve"> intervention. </w:t>
            </w:r>
            <w:proofErr w:type="spellStart"/>
            <w:proofErr w:type="gramStart"/>
            <w:r w:rsidRPr="00A94C4D">
              <w:rPr>
                <w:sz w:val="16"/>
                <w:szCs w:val="16"/>
              </w:rPr>
              <w:t>CLW</w:t>
            </w:r>
            <w:proofErr w:type="spellEnd"/>
            <w:r w:rsidRPr="00A94C4D">
              <w:rPr>
                <w:sz w:val="16"/>
                <w:szCs w:val="16"/>
              </w:rPr>
              <w:t xml:space="preserve"> services included health education, patient navigation (help obtaining appointments, appointment reminders, appointment preparation checklists, medication refills, assistance with behavioural health linkages, communication with the clinician about patient care issues, and ≥1 clinic visit with the patient),and health coaching (helping patients to prioritize concerns before clinician visits, bringing all their medications, and ensuring they informed clinicians during the visit about elevated home blood pressure or glucose level readings) </w:t>
            </w:r>
            <w:proofErr w:type="spellStart"/>
            <w:r w:rsidRPr="00A94C4D">
              <w:rPr>
                <w:sz w:val="16"/>
                <w:szCs w:val="16"/>
              </w:rPr>
              <w:t>CLW</w:t>
            </w:r>
            <w:proofErr w:type="spellEnd"/>
            <w:r w:rsidRPr="00A94C4D">
              <w:rPr>
                <w:sz w:val="16"/>
                <w:szCs w:val="16"/>
              </w:rPr>
              <w:t xml:space="preserve"> assisted with non-medical services; housing, employment, legal and financial assistance, food resources, linkages to existing community social service providers.</w:t>
            </w:r>
            <w:proofErr w:type="gramEnd"/>
          </w:p>
        </w:tc>
        <w:tc>
          <w:tcPr>
            <w:tcW w:w="1868" w:type="dxa"/>
            <w:hideMark/>
          </w:tcPr>
          <w:p w14:paraId="0B1D0CA8" w14:textId="77777777" w:rsidR="00836718" w:rsidRPr="00A94C4D" w:rsidRDefault="00836718" w:rsidP="00282336">
            <w:pPr>
              <w:spacing w:line="240" w:lineRule="auto"/>
              <w:rPr>
                <w:sz w:val="16"/>
                <w:szCs w:val="16"/>
              </w:rPr>
            </w:pPr>
            <w:r w:rsidRPr="00A94C4D">
              <w:rPr>
                <w:sz w:val="16"/>
                <w:szCs w:val="16"/>
              </w:rPr>
              <w:t xml:space="preserve">Participants continued to receive care from their primary health care clinician. Resources available included social workers, nurse educators who provided counselling on nutrition, physical activity, type 2 diabetes education, and medication regimen adherence. Also study team mailed </w:t>
            </w:r>
            <w:proofErr w:type="spellStart"/>
            <w:r w:rsidRPr="00A94C4D">
              <w:rPr>
                <w:sz w:val="16"/>
                <w:szCs w:val="16"/>
              </w:rPr>
              <w:t>EUC</w:t>
            </w:r>
            <w:proofErr w:type="spellEnd"/>
            <w:r w:rsidRPr="00A94C4D">
              <w:rPr>
                <w:sz w:val="16"/>
                <w:szCs w:val="16"/>
              </w:rPr>
              <w:t xml:space="preserve"> type 2 diabetes education materials to participants every 3 months.5 Follow-up telephone calls were conducted approx. 2 weeks after each mailing to confirm receipt of mailings and verify contact information</w:t>
            </w:r>
          </w:p>
        </w:tc>
        <w:tc>
          <w:tcPr>
            <w:tcW w:w="1254" w:type="dxa"/>
            <w:hideMark/>
          </w:tcPr>
          <w:p w14:paraId="747B4904" w14:textId="77777777" w:rsidR="00836718" w:rsidRPr="00A94C4D" w:rsidRDefault="00836718" w:rsidP="00282336">
            <w:pPr>
              <w:spacing w:line="240" w:lineRule="auto"/>
              <w:rPr>
                <w:sz w:val="16"/>
                <w:szCs w:val="16"/>
              </w:rPr>
            </w:pPr>
            <w:r w:rsidRPr="00A94C4D">
              <w:rPr>
                <w:sz w:val="16"/>
                <w:szCs w:val="16"/>
              </w:rPr>
              <w:t xml:space="preserve">12 months </w:t>
            </w:r>
            <w:r w:rsidRPr="00A94C4D">
              <w:rPr>
                <w:sz w:val="16"/>
                <w:szCs w:val="16"/>
              </w:rPr>
              <w:br/>
              <w:t>Follow up: baseline, 12 months</w:t>
            </w:r>
            <w:r w:rsidRPr="00A94C4D">
              <w:rPr>
                <w:sz w:val="16"/>
                <w:szCs w:val="16"/>
              </w:rPr>
              <w:br/>
              <w:t>Drop out:29%</w:t>
            </w:r>
          </w:p>
        </w:tc>
        <w:tc>
          <w:tcPr>
            <w:tcW w:w="2501" w:type="dxa"/>
            <w:hideMark/>
          </w:tcPr>
          <w:p w14:paraId="38AD234D" w14:textId="77777777" w:rsidR="00836718" w:rsidRPr="00A94C4D" w:rsidRDefault="00836718" w:rsidP="00282336">
            <w:pPr>
              <w:spacing w:line="240" w:lineRule="auto"/>
              <w:rPr>
                <w:sz w:val="16"/>
                <w:szCs w:val="16"/>
              </w:rPr>
            </w:pPr>
            <w:r w:rsidRPr="00A94C4D">
              <w:rPr>
                <w:sz w:val="16"/>
                <w:szCs w:val="16"/>
              </w:rPr>
              <w:t xml:space="preserve">Primary: HbA1c; </w:t>
            </w:r>
            <w:proofErr w:type="spellStart"/>
            <w:r w:rsidRPr="00A94C4D">
              <w:rPr>
                <w:sz w:val="16"/>
                <w:szCs w:val="16"/>
              </w:rPr>
              <w:t>SBP</w:t>
            </w:r>
            <w:proofErr w:type="spellEnd"/>
            <w:r w:rsidRPr="00A94C4D">
              <w:rPr>
                <w:sz w:val="16"/>
                <w:szCs w:val="16"/>
              </w:rPr>
              <w:t xml:space="preserve">, mm Hg; </w:t>
            </w:r>
            <w:proofErr w:type="spellStart"/>
            <w:r w:rsidRPr="00A94C4D">
              <w:rPr>
                <w:sz w:val="16"/>
                <w:szCs w:val="16"/>
              </w:rPr>
              <w:t>LDLC</w:t>
            </w:r>
            <w:proofErr w:type="spellEnd"/>
            <w:r w:rsidRPr="00A94C4D">
              <w:rPr>
                <w:sz w:val="16"/>
                <w:szCs w:val="16"/>
              </w:rPr>
              <w:t xml:space="preserve"> Level, mg/</w:t>
            </w:r>
            <w:proofErr w:type="spellStart"/>
            <w:r w:rsidRPr="00A94C4D">
              <w:rPr>
                <w:sz w:val="16"/>
                <w:szCs w:val="16"/>
              </w:rPr>
              <w:t>dL</w:t>
            </w:r>
            <w:proofErr w:type="spellEnd"/>
            <w:r w:rsidRPr="00A94C4D">
              <w:rPr>
                <w:sz w:val="16"/>
                <w:szCs w:val="16"/>
              </w:rPr>
              <w:br/>
            </w:r>
            <w:r w:rsidRPr="00A94C4D">
              <w:rPr>
                <w:sz w:val="16"/>
                <w:szCs w:val="16"/>
              </w:rPr>
              <w:br/>
            </w:r>
            <w:r w:rsidRPr="00A94C4D">
              <w:rPr>
                <w:sz w:val="16"/>
                <w:szCs w:val="16"/>
              </w:rPr>
              <w:br/>
              <w:t>Secondary: BMI, self-reported physical activity (International Physical Activity Questionnaire),</w:t>
            </w:r>
            <w:r w:rsidRPr="00A94C4D">
              <w:rPr>
                <w:sz w:val="16"/>
                <w:szCs w:val="16"/>
              </w:rPr>
              <w:br/>
              <w:t>and fruit and vegetable intake (Centres for Disease Control and Prevention Fruit and</w:t>
            </w:r>
            <w:r w:rsidRPr="00A94C4D">
              <w:rPr>
                <w:sz w:val="16"/>
                <w:szCs w:val="16"/>
              </w:rPr>
              <w:br/>
              <w:t>Vegetable Consumption Questionnaire)</w:t>
            </w:r>
          </w:p>
        </w:tc>
        <w:tc>
          <w:tcPr>
            <w:tcW w:w="2713" w:type="dxa"/>
            <w:hideMark/>
          </w:tcPr>
          <w:p w14:paraId="65301CC2" w14:textId="77777777" w:rsidR="00836718" w:rsidRPr="00A94C4D" w:rsidRDefault="00836718" w:rsidP="00282336">
            <w:pPr>
              <w:spacing w:line="240" w:lineRule="auto"/>
              <w:rPr>
                <w:sz w:val="16"/>
                <w:szCs w:val="16"/>
              </w:rPr>
            </w:pPr>
            <w:r w:rsidRPr="00A94C4D">
              <w:rPr>
                <w:sz w:val="16"/>
                <w:szCs w:val="16"/>
              </w:rPr>
              <w:t xml:space="preserve">After adjusting for baseline values and covariates, the </w:t>
            </w:r>
            <w:proofErr w:type="spellStart"/>
            <w:r w:rsidRPr="00A94C4D">
              <w:rPr>
                <w:sz w:val="16"/>
                <w:szCs w:val="16"/>
              </w:rPr>
              <w:t>CLW</w:t>
            </w:r>
            <w:proofErr w:type="spellEnd"/>
            <w:r w:rsidRPr="00A94C4D">
              <w:rPr>
                <w:sz w:val="16"/>
                <w:szCs w:val="16"/>
              </w:rPr>
              <w:t xml:space="preserve"> group had an HbA1c level that was significantly lower </w:t>
            </w:r>
            <w:proofErr w:type="gramStart"/>
            <w:r w:rsidRPr="00A94C4D">
              <w:rPr>
                <w:sz w:val="16"/>
                <w:szCs w:val="16"/>
              </w:rPr>
              <w:t>( 0.51</w:t>
            </w:r>
            <w:proofErr w:type="gramEnd"/>
            <w:r w:rsidRPr="00A94C4D">
              <w:rPr>
                <w:sz w:val="16"/>
                <w:szCs w:val="16"/>
              </w:rPr>
              <w:t xml:space="preserve">%) (95%CI, −0.94%to −0.08%) than that of participants in the </w:t>
            </w:r>
            <w:proofErr w:type="spellStart"/>
            <w:r w:rsidRPr="00A94C4D">
              <w:rPr>
                <w:sz w:val="16"/>
                <w:szCs w:val="16"/>
              </w:rPr>
              <w:t>EUC</w:t>
            </w:r>
            <w:proofErr w:type="spellEnd"/>
            <w:r w:rsidRPr="00A94C4D">
              <w:rPr>
                <w:sz w:val="16"/>
                <w:szCs w:val="16"/>
              </w:rPr>
              <w:t xml:space="preserve"> group −4.62 (−9.01% to −0.24%) (</w:t>
            </w:r>
            <w:r w:rsidRPr="00A94C4D">
              <w:rPr>
                <w:i/>
                <w:iCs/>
                <w:sz w:val="16"/>
                <w:szCs w:val="16"/>
              </w:rPr>
              <w:t>p</w:t>
            </w:r>
            <w:r w:rsidRPr="00A94C4D">
              <w:rPr>
                <w:sz w:val="16"/>
                <w:szCs w:val="16"/>
              </w:rPr>
              <w:t>=.08)</w:t>
            </w:r>
            <w:r w:rsidRPr="00A94C4D">
              <w:rPr>
                <w:sz w:val="16"/>
                <w:szCs w:val="16"/>
              </w:rPr>
              <w:br/>
            </w:r>
            <w:r w:rsidRPr="00A94C4D">
              <w:rPr>
                <w:sz w:val="16"/>
                <w:szCs w:val="16"/>
              </w:rPr>
              <w:br/>
              <w:t xml:space="preserve">No significant differences between </w:t>
            </w:r>
            <w:proofErr w:type="spellStart"/>
            <w:r w:rsidRPr="00A94C4D">
              <w:rPr>
                <w:sz w:val="16"/>
                <w:szCs w:val="16"/>
              </w:rPr>
              <w:t>CLW</w:t>
            </w:r>
            <w:proofErr w:type="spellEnd"/>
            <w:r w:rsidRPr="00A94C4D">
              <w:rPr>
                <w:sz w:val="16"/>
                <w:szCs w:val="16"/>
              </w:rPr>
              <w:t xml:space="preserve"> and </w:t>
            </w:r>
            <w:proofErr w:type="spellStart"/>
            <w:r w:rsidRPr="00A94C4D">
              <w:rPr>
                <w:sz w:val="16"/>
                <w:szCs w:val="16"/>
              </w:rPr>
              <w:t>EUC</w:t>
            </w:r>
            <w:proofErr w:type="spellEnd"/>
            <w:r w:rsidRPr="00A94C4D">
              <w:rPr>
                <w:sz w:val="16"/>
                <w:szCs w:val="16"/>
              </w:rPr>
              <w:t xml:space="preserve"> groups for BMI; physical activity; fruit and veg intake.</w:t>
            </w:r>
          </w:p>
        </w:tc>
      </w:tr>
      <w:tr w:rsidR="00836718" w:rsidRPr="00A94C4D" w14:paraId="2F05498A" w14:textId="77777777" w:rsidTr="00282336">
        <w:trPr>
          <w:trHeight w:val="3977"/>
        </w:trPr>
        <w:tc>
          <w:tcPr>
            <w:tcW w:w="1121" w:type="dxa"/>
            <w:hideMark/>
          </w:tcPr>
          <w:p w14:paraId="10BBEB59" w14:textId="77777777" w:rsidR="00836718" w:rsidRPr="00A94C4D" w:rsidRDefault="00836718" w:rsidP="00282336">
            <w:pPr>
              <w:spacing w:line="240" w:lineRule="auto"/>
              <w:rPr>
                <w:sz w:val="16"/>
                <w:szCs w:val="16"/>
              </w:rPr>
            </w:pPr>
            <w:r w:rsidRPr="00A94C4D">
              <w:rPr>
                <w:sz w:val="16"/>
                <w:szCs w:val="16"/>
              </w:rPr>
              <w:t xml:space="preserve">8. </w:t>
            </w:r>
            <w:proofErr w:type="spellStart"/>
            <w:r w:rsidRPr="00A94C4D">
              <w:rPr>
                <w:sz w:val="16"/>
                <w:szCs w:val="16"/>
              </w:rPr>
              <w:t>Kangovi</w:t>
            </w:r>
            <w:proofErr w:type="spellEnd"/>
            <w:r w:rsidRPr="00A94C4D">
              <w:rPr>
                <w:sz w:val="16"/>
                <w:szCs w:val="16"/>
              </w:rPr>
              <w:t xml:space="preserve"> et al (2017)</w:t>
            </w:r>
          </w:p>
        </w:tc>
        <w:tc>
          <w:tcPr>
            <w:tcW w:w="1669" w:type="dxa"/>
            <w:hideMark/>
          </w:tcPr>
          <w:p w14:paraId="144066F1" w14:textId="77777777" w:rsidR="00836718" w:rsidRPr="00A94C4D" w:rsidRDefault="00836718" w:rsidP="00282336">
            <w:pPr>
              <w:spacing w:line="240" w:lineRule="auto"/>
              <w:rPr>
                <w:sz w:val="16"/>
                <w:szCs w:val="16"/>
              </w:rPr>
            </w:pPr>
            <w:r w:rsidRPr="00A94C4D">
              <w:rPr>
                <w:sz w:val="16"/>
                <w:szCs w:val="16"/>
              </w:rPr>
              <w:t>n=302</w:t>
            </w:r>
            <w:r w:rsidRPr="00A94C4D">
              <w:rPr>
                <w:sz w:val="16"/>
                <w:szCs w:val="16"/>
              </w:rPr>
              <w:br/>
              <w:t>Age (mean ±SD): NR</w:t>
            </w:r>
            <w:r w:rsidRPr="00A94C4D">
              <w:rPr>
                <w:sz w:val="16"/>
                <w:szCs w:val="16"/>
              </w:rPr>
              <w:br/>
              <w:t>Female n(%): 228 (75.4)</w:t>
            </w:r>
            <w:r w:rsidRPr="00A94C4D">
              <w:rPr>
                <w:sz w:val="16"/>
                <w:szCs w:val="16"/>
              </w:rPr>
              <w:br/>
              <w:t xml:space="preserve">Male n(%): 74 (24.5) </w:t>
            </w:r>
          </w:p>
        </w:tc>
        <w:tc>
          <w:tcPr>
            <w:tcW w:w="1407" w:type="dxa"/>
            <w:hideMark/>
          </w:tcPr>
          <w:p w14:paraId="05B9D91C" w14:textId="77777777" w:rsidR="00836718" w:rsidRPr="00A94C4D" w:rsidRDefault="00836718" w:rsidP="00282336">
            <w:pPr>
              <w:spacing w:line="240" w:lineRule="auto"/>
              <w:rPr>
                <w:sz w:val="16"/>
                <w:szCs w:val="16"/>
              </w:rPr>
            </w:pPr>
            <w:r w:rsidRPr="00A94C4D">
              <w:rPr>
                <w:sz w:val="16"/>
                <w:szCs w:val="16"/>
              </w:rPr>
              <w:t>African American / Hispanic; high-poverty neighbourhood</w:t>
            </w:r>
            <w:r w:rsidRPr="00A94C4D">
              <w:rPr>
                <w:sz w:val="16"/>
                <w:szCs w:val="16"/>
              </w:rPr>
              <w:br/>
              <w:t>residents with Diabetes, Philadelphia, USA</w:t>
            </w:r>
          </w:p>
        </w:tc>
        <w:tc>
          <w:tcPr>
            <w:tcW w:w="2865" w:type="dxa"/>
            <w:hideMark/>
          </w:tcPr>
          <w:p w14:paraId="45CACB6E" w14:textId="77777777" w:rsidR="00836718" w:rsidRPr="00A94C4D" w:rsidRDefault="00836718" w:rsidP="00282336">
            <w:pPr>
              <w:spacing w:line="240" w:lineRule="auto"/>
              <w:rPr>
                <w:sz w:val="16"/>
                <w:szCs w:val="16"/>
              </w:rPr>
            </w:pPr>
            <w:proofErr w:type="spellStart"/>
            <w:r w:rsidRPr="00A94C4D">
              <w:rPr>
                <w:sz w:val="16"/>
                <w:szCs w:val="16"/>
              </w:rPr>
              <w:t>CLWs</w:t>
            </w:r>
            <w:proofErr w:type="spellEnd"/>
            <w:r w:rsidRPr="00A94C4D">
              <w:rPr>
                <w:sz w:val="16"/>
                <w:szCs w:val="16"/>
              </w:rPr>
              <w:t xml:space="preserve"> used a semi structured interview guide to get to know the patients holistically and assess their socioeconomic determinants of health (e.g., trauma, food insecurity, housing instability, drug and alcohol use, or family stress) </w:t>
            </w:r>
            <w:proofErr w:type="spellStart"/>
            <w:r w:rsidRPr="00A94C4D">
              <w:rPr>
                <w:sz w:val="16"/>
                <w:szCs w:val="16"/>
              </w:rPr>
              <w:t>CLWs</w:t>
            </w:r>
            <w:proofErr w:type="spellEnd"/>
            <w:r w:rsidRPr="00A94C4D">
              <w:rPr>
                <w:sz w:val="16"/>
                <w:szCs w:val="16"/>
              </w:rPr>
              <w:t xml:space="preserve"> provided 6months of hands-on, tailored support spanning the domains of coaching, social support, advocacy, and navigation to help patients achieve their action plans. </w:t>
            </w:r>
            <w:proofErr w:type="spellStart"/>
            <w:r w:rsidRPr="00A94C4D">
              <w:rPr>
                <w:sz w:val="16"/>
                <w:szCs w:val="16"/>
              </w:rPr>
              <w:t>CLWs</w:t>
            </w:r>
            <w:proofErr w:type="spellEnd"/>
            <w:r w:rsidRPr="00A94C4D">
              <w:rPr>
                <w:sz w:val="16"/>
                <w:szCs w:val="16"/>
              </w:rPr>
              <w:t xml:space="preserve"> did not directly provide </w:t>
            </w:r>
            <w:proofErr w:type="gramStart"/>
            <w:r w:rsidRPr="00A94C4D">
              <w:rPr>
                <w:sz w:val="16"/>
                <w:szCs w:val="16"/>
              </w:rPr>
              <w:t>health education or clinical care, and when these needs arose</w:t>
            </w:r>
            <w:proofErr w:type="gramEnd"/>
            <w:r w:rsidRPr="00A94C4D">
              <w:rPr>
                <w:sz w:val="16"/>
                <w:szCs w:val="16"/>
              </w:rPr>
              <w:t xml:space="preserve">. </w:t>
            </w:r>
            <w:proofErr w:type="spellStart"/>
            <w:r w:rsidRPr="00A94C4D">
              <w:rPr>
                <w:sz w:val="16"/>
                <w:szCs w:val="16"/>
              </w:rPr>
              <w:t>CLWs</w:t>
            </w:r>
            <w:proofErr w:type="spellEnd"/>
            <w:r w:rsidRPr="00A94C4D">
              <w:rPr>
                <w:sz w:val="16"/>
                <w:szCs w:val="16"/>
              </w:rPr>
              <w:t xml:space="preserve"> navigated patients to the appropriate clinician</w:t>
            </w:r>
          </w:p>
        </w:tc>
        <w:tc>
          <w:tcPr>
            <w:tcW w:w="1868" w:type="dxa"/>
            <w:hideMark/>
          </w:tcPr>
          <w:p w14:paraId="0FEB2703" w14:textId="77777777" w:rsidR="00836718" w:rsidRPr="00A94C4D" w:rsidRDefault="00836718" w:rsidP="00282336">
            <w:pPr>
              <w:spacing w:line="240" w:lineRule="auto"/>
              <w:rPr>
                <w:sz w:val="16"/>
                <w:szCs w:val="16"/>
              </w:rPr>
            </w:pPr>
            <w:r w:rsidRPr="00A94C4D">
              <w:rPr>
                <w:sz w:val="16"/>
                <w:szCs w:val="16"/>
              </w:rPr>
              <w:t>Patients assigned to goal setting alone went on to receive usual care in accordance with guidelines at each site (including potential referrals to a social worker or diabetes nutritionist).</w:t>
            </w:r>
          </w:p>
        </w:tc>
        <w:tc>
          <w:tcPr>
            <w:tcW w:w="1254" w:type="dxa"/>
            <w:hideMark/>
          </w:tcPr>
          <w:p w14:paraId="4B444EB8" w14:textId="77777777" w:rsidR="00836718" w:rsidRPr="00A94C4D" w:rsidRDefault="00836718" w:rsidP="00282336">
            <w:pPr>
              <w:spacing w:line="240" w:lineRule="auto"/>
              <w:rPr>
                <w:sz w:val="16"/>
                <w:szCs w:val="16"/>
              </w:rPr>
            </w:pPr>
            <w:r w:rsidRPr="00A94C4D">
              <w:rPr>
                <w:sz w:val="16"/>
                <w:szCs w:val="16"/>
              </w:rPr>
              <w:t>6 months</w:t>
            </w:r>
            <w:r w:rsidRPr="00A94C4D">
              <w:rPr>
                <w:sz w:val="16"/>
                <w:szCs w:val="16"/>
              </w:rPr>
              <w:br/>
              <w:t>Follow up: baseline, 6 months</w:t>
            </w:r>
            <w:r w:rsidRPr="00A94C4D">
              <w:rPr>
                <w:sz w:val="16"/>
                <w:szCs w:val="16"/>
              </w:rPr>
              <w:br/>
              <w:t>Drop out:15%</w:t>
            </w:r>
          </w:p>
        </w:tc>
        <w:tc>
          <w:tcPr>
            <w:tcW w:w="2501" w:type="dxa"/>
            <w:hideMark/>
          </w:tcPr>
          <w:p w14:paraId="168CBE44" w14:textId="77777777" w:rsidR="00836718" w:rsidRPr="00A94C4D" w:rsidRDefault="00836718" w:rsidP="00282336">
            <w:pPr>
              <w:spacing w:line="240" w:lineRule="auto"/>
              <w:rPr>
                <w:sz w:val="16"/>
                <w:szCs w:val="16"/>
              </w:rPr>
            </w:pPr>
            <w:r w:rsidRPr="00A94C4D">
              <w:rPr>
                <w:sz w:val="16"/>
                <w:szCs w:val="16"/>
              </w:rPr>
              <w:t xml:space="preserve">Primary: mean change in HbA1c, BMI, </w:t>
            </w:r>
            <w:proofErr w:type="spellStart"/>
            <w:r w:rsidRPr="00A94C4D">
              <w:rPr>
                <w:sz w:val="16"/>
                <w:szCs w:val="16"/>
              </w:rPr>
              <w:t>SBP</w:t>
            </w:r>
            <w:proofErr w:type="spellEnd"/>
            <w:r w:rsidRPr="00A94C4D">
              <w:rPr>
                <w:sz w:val="16"/>
                <w:szCs w:val="16"/>
              </w:rPr>
              <w:t>, and self-reported number of cigarettes per day between enrolment</w:t>
            </w:r>
            <w:r w:rsidRPr="00A94C4D">
              <w:rPr>
                <w:sz w:val="16"/>
                <w:szCs w:val="16"/>
              </w:rPr>
              <w:br/>
              <w:t>and 6-month follow-up.</w:t>
            </w:r>
            <w:r w:rsidRPr="00A94C4D">
              <w:rPr>
                <w:sz w:val="16"/>
                <w:szCs w:val="16"/>
              </w:rPr>
              <w:br/>
            </w:r>
            <w:r w:rsidRPr="00A94C4D">
              <w:rPr>
                <w:sz w:val="16"/>
                <w:szCs w:val="16"/>
              </w:rPr>
              <w:br/>
            </w:r>
            <w:r w:rsidRPr="00A94C4D">
              <w:rPr>
                <w:sz w:val="16"/>
                <w:szCs w:val="16"/>
              </w:rPr>
              <w:br/>
              <w:t>Secondary: mean change in self-rated health (SF-12) and patient activation measure</w:t>
            </w:r>
          </w:p>
        </w:tc>
        <w:tc>
          <w:tcPr>
            <w:tcW w:w="2713" w:type="dxa"/>
          </w:tcPr>
          <w:p w14:paraId="306BECE1" w14:textId="77777777" w:rsidR="00836718" w:rsidRPr="00A94C4D" w:rsidRDefault="00836718" w:rsidP="00282336">
            <w:pPr>
              <w:spacing w:line="240" w:lineRule="auto"/>
              <w:rPr>
                <w:sz w:val="16"/>
                <w:szCs w:val="16"/>
              </w:rPr>
            </w:pPr>
            <w:proofErr w:type="gramStart"/>
            <w:r w:rsidRPr="00A94C4D">
              <w:rPr>
                <w:sz w:val="16"/>
                <w:szCs w:val="16"/>
              </w:rPr>
              <w:t xml:space="preserve">At 6-months changes in chronic disease control between </w:t>
            </w:r>
            <w:proofErr w:type="spellStart"/>
            <w:r w:rsidRPr="00A94C4D">
              <w:rPr>
                <w:sz w:val="16"/>
                <w:szCs w:val="16"/>
              </w:rPr>
              <w:t>CLW</w:t>
            </w:r>
            <w:proofErr w:type="spellEnd"/>
            <w:r w:rsidRPr="00A94C4D">
              <w:rPr>
                <w:sz w:val="16"/>
                <w:szCs w:val="16"/>
              </w:rPr>
              <w:t xml:space="preserve"> support versus goal setting–alone arms (changes in HbA1c: -0.4 vs 0.0 (-0.4) (95% CI;-1.3, 0.4); BMI: –0.3 vs –0.1</w:t>
            </w:r>
            <w:r w:rsidRPr="00A94C4D">
              <w:t xml:space="preserve"> (</w:t>
            </w:r>
            <w:r w:rsidRPr="00A94C4D">
              <w:rPr>
                <w:sz w:val="16"/>
                <w:szCs w:val="16"/>
              </w:rPr>
              <w:t xml:space="preserve">–0.2 )(95% CI; –0.8, 0.5) ; cigarettes per day: –5.5 vs –1.3 ( –4.3) (95% CI;–9.3, 0.7); </w:t>
            </w:r>
            <w:proofErr w:type="spellStart"/>
            <w:r w:rsidRPr="00A94C4D">
              <w:rPr>
                <w:sz w:val="16"/>
                <w:szCs w:val="16"/>
              </w:rPr>
              <w:t>SBP</w:t>
            </w:r>
            <w:proofErr w:type="spellEnd"/>
            <w:r w:rsidRPr="00A94C4D">
              <w:rPr>
                <w:sz w:val="16"/>
                <w:szCs w:val="16"/>
              </w:rPr>
              <w:t>: –1.8 vs –11.2</w:t>
            </w:r>
            <w:r w:rsidRPr="00A94C4D">
              <w:rPr>
                <w:sz w:val="10"/>
                <w:szCs w:val="16"/>
              </w:rPr>
              <w:t xml:space="preserve"> </w:t>
            </w:r>
            <w:r w:rsidRPr="00A94C4D">
              <w:rPr>
                <w:sz w:val="16"/>
              </w:rPr>
              <w:t>(</w:t>
            </w:r>
            <w:r w:rsidRPr="00A94C4D">
              <w:rPr>
                <w:sz w:val="16"/>
                <w:szCs w:val="16"/>
              </w:rPr>
              <w:t>9.4)(95%CI;–1.6, 20.4) respectively; P = .08)</w:t>
            </w:r>
            <w:r w:rsidRPr="00A94C4D">
              <w:rPr>
                <w:sz w:val="16"/>
                <w:szCs w:val="16"/>
              </w:rPr>
              <w:br/>
            </w:r>
            <w:r w:rsidRPr="00A94C4D">
              <w:rPr>
                <w:sz w:val="16"/>
                <w:szCs w:val="16"/>
              </w:rPr>
              <w:br/>
            </w:r>
            <w:proofErr w:type="spellStart"/>
            <w:r w:rsidRPr="00A94C4D">
              <w:rPr>
                <w:sz w:val="16"/>
                <w:szCs w:val="16"/>
              </w:rPr>
              <w:t>CLW</w:t>
            </w:r>
            <w:proofErr w:type="spellEnd"/>
            <w:r w:rsidRPr="00A94C4D">
              <w:rPr>
                <w:sz w:val="16"/>
                <w:szCs w:val="16"/>
              </w:rPr>
              <w:t xml:space="preserve"> support showed greater improvements in mental health (2.3 vs –0.2; P = .008) and reported higher quality primary care that was comprehensive (49.2% vs 39.7%; P = .010) and supportive of disease self-management (62.9% vs 38%; P &lt; .001)</w:t>
            </w:r>
            <w:r w:rsidRPr="00A94C4D">
              <w:rPr>
                <w:sz w:val="16"/>
                <w:szCs w:val="16"/>
              </w:rPr>
              <w:br/>
            </w:r>
            <w:r w:rsidRPr="00A94C4D">
              <w:rPr>
                <w:sz w:val="16"/>
                <w:szCs w:val="16"/>
              </w:rPr>
              <w:br/>
              <w:t>no differences in change in patient activation (2.2 vs 1.5; P = .66) or change in self-rated physical health (0.9 vs 0.5; P = .67).</w:t>
            </w:r>
            <w:proofErr w:type="gramEnd"/>
          </w:p>
          <w:p w14:paraId="376B33BA" w14:textId="77777777" w:rsidR="00836718" w:rsidRPr="00A94C4D" w:rsidRDefault="00836718" w:rsidP="00282336">
            <w:pPr>
              <w:spacing w:line="240" w:lineRule="auto"/>
              <w:rPr>
                <w:sz w:val="16"/>
                <w:szCs w:val="16"/>
              </w:rPr>
            </w:pPr>
          </w:p>
          <w:p w14:paraId="26AC450F" w14:textId="77777777" w:rsidR="00836718" w:rsidRPr="00A94C4D" w:rsidRDefault="00836718" w:rsidP="00282336">
            <w:pPr>
              <w:spacing w:line="240" w:lineRule="auto"/>
              <w:rPr>
                <w:sz w:val="16"/>
                <w:szCs w:val="16"/>
              </w:rPr>
            </w:pPr>
          </w:p>
          <w:p w14:paraId="39E205CD" w14:textId="77777777" w:rsidR="00836718" w:rsidRPr="00A94C4D" w:rsidRDefault="00836718" w:rsidP="00282336">
            <w:pPr>
              <w:spacing w:line="240" w:lineRule="auto"/>
              <w:rPr>
                <w:sz w:val="16"/>
                <w:szCs w:val="16"/>
              </w:rPr>
            </w:pPr>
            <w:r w:rsidRPr="00A94C4D">
              <w:rPr>
                <w:sz w:val="16"/>
                <w:szCs w:val="16"/>
              </w:rPr>
              <w:br/>
              <w:t xml:space="preserve"> </w:t>
            </w:r>
          </w:p>
        </w:tc>
      </w:tr>
      <w:tr w:rsidR="00836718" w:rsidRPr="00A94C4D" w14:paraId="32E14F5B" w14:textId="77777777" w:rsidTr="00282336">
        <w:trPr>
          <w:trHeight w:val="2505"/>
        </w:trPr>
        <w:tc>
          <w:tcPr>
            <w:tcW w:w="1121" w:type="dxa"/>
            <w:hideMark/>
          </w:tcPr>
          <w:p w14:paraId="78E2F238" w14:textId="77777777" w:rsidR="00836718" w:rsidRPr="00A94C4D" w:rsidRDefault="00836718" w:rsidP="00282336">
            <w:pPr>
              <w:spacing w:line="240" w:lineRule="auto"/>
              <w:rPr>
                <w:sz w:val="16"/>
                <w:szCs w:val="16"/>
              </w:rPr>
            </w:pPr>
            <w:r w:rsidRPr="00A94C4D">
              <w:rPr>
                <w:sz w:val="16"/>
                <w:szCs w:val="16"/>
              </w:rPr>
              <w:lastRenderedPageBreak/>
              <w:t>9.McDermott et al (2015)</w:t>
            </w:r>
          </w:p>
        </w:tc>
        <w:tc>
          <w:tcPr>
            <w:tcW w:w="1669" w:type="dxa"/>
            <w:hideMark/>
          </w:tcPr>
          <w:p w14:paraId="35734C4D" w14:textId="77777777" w:rsidR="00836718" w:rsidRPr="00A94C4D" w:rsidRDefault="00836718" w:rsidP="00282336">
            <w:pPr>
              <w:spacing w:line="240" w:lineRule="auto"/>
              <w:rPr>
                <w:sz w:val="16"/>
                <w:szCs w:val="16"/>
              </w:rPr>
            </w:pPr>
            <w:r w:rsidRPr="00A94C4D">
              <w:rPr>
                <w:sz w:val="16"/>
                <w:szCs w:val="16"/>
              </w:rPr>
              <w:t xml:space="preserve">n=213 </w:t>
            </w:r>
            <w:r w:rsidRPr="00A94C4D">
              <w:rPr>
                <w:sz w:val="16"/>
                <w:szCs w:val="16"/>
              </w:rPr>
              <w:br/>
              <w:t>Age (mean ± SD) (95% CI):47.9 (46.6-49.2)</w:t>
            </w:r>
            <w:r w:rsidRPr="00A94C4D">
              <w:rPr>
                <w:sz w:val="16"/>
                <w:szCs w:val="16"/>
              </w:rPr>
              <w:br/>
              <w:t xml:space="preserve">Female: n%: 133 (62.4) </w:t>
            </w:r>
            <w:r w:rsidRPr="00A94C4D">
              <w:rPr>
                <w:sz w:val="16"/>
                <w:szCs w:val="16"/>
              </w:rPr>
              <w:br/>
              <w:t>Male n(%): 80 (38.6)</w:t>
            </w:r>
          </w:p>
        </w:tc>
        <w:tc>
          <w:tcPr>
            <w:tcW w:w="1407" w:type="dxa"/>
            <w:hideMark/>
          </w:tcPr>
          <w:p w14:paraId="2342E67D" w14:textId="77777777" w:rsidR="00836718" w:rsidRPr="00A94C4D" w:rsidRDefault="00836718" w:rsidP="00282336">
            <w:pPr>
              <w:spacing w:line="240" w:lineRule="auto"/>
              <w:rPr>
                <w:sz w:val="16"/>
                <w:szCs w:val="16"/>
              </w:rPr>
            </w:pPr>
            <w:r w:rsidRPr="00A94C4D">
              <w:rPr>
                <w:sz w:val="16"/>
                <w:szCs w:val="16"/>
              </w:rPr>
              <w:t>Indigenous Australians with Diabetes, Rural remote northern Queensland, Australia</w:t>
            </w:r>
          </w:p>
        </w:tc>
        <w:tc>
          <w:tcPr>
            <w:tcW w:w="2865" w:type="dxa"/>
            <w:hideMark/>
          </w:tcPr>
          <w:p w14:paraId="58910BF2" w14:textId="77777777" w:rsidR="00836718" w:rsidRPr="00A94C4D" w:rsidRDefault="00836718" w:rsidP="00282336">
            <w:pPr>
              <w:spacing w:line="240" w:lineRule="auto"/>
              <w:rPr>
                <w:sz w:val="16"/>
                <w:szCs w:val="16"/>
              </w:rPr>
            </w:pPr>
            <w:r w:rsidRPr="00A94C4D">
              <w:rPr>
                <w:sz w:val="16"/>
                <w:szCs w:val="16"/>
              </w:rPr>
              <w:t>Indigenous health worker resident in the community (selected by the health service) to work as part of the primary care team. Roles included helping patients make and keep appointments, understand their medications and nutrition and the effects of smoking and where appropriate, work with the family to help support the patient in self-management</w:t>
            </w:r>
          </w:p>
        </w:tc>
        <w:tc>
          <w:tcPr>
            <w:tcW w:w="1868" w:type="dxa"/>
            <w:hideMark/>
          </w:tcPr>
          <w:p w14:paraId="4F842824" w14:textId="77777777" w:rsidR="00836718" w:rsidRPr="00A94C4D" w:rsidRDefault="00836718" w:rsidP="00282336">
            <w:pPr>
              <w:spacing w:line="240" w:lineRule="auto"/>
              <w:rPr>
                <w:sz w:val="16"/>
                <w:szCs w:val="16"/>
              </w:rPr>
            </w:pPr>
            <w:r w:rsidRPr="00A94C4D">
              <w:rPr>
                <w:sz w:val="16"/>
                <w:szCs w:val="16"/>
              </w:rPr>
              <w:t>Waitlist control, intervention was provided after 18 months</w:t>
            </w:r>
          </w:p>
        </w:tc>
        <w:tc>
          <w:tcPr>
            <w:tcW w:w="1254" w:type="dxa"/>
            <w:hideMark/>
          </w:tcPr>
          <w:p w14:paraId="1C04D621" w14:textId="77777777" w:rsidR="00836718" w:rsidRPr="00A94C4D" w:rsidRDefault="00836718" w:rsidP="00282336">
            <w:pPr>
              <w:spacing w:line="240" w:lineRule="auto"/>
              <w:rPr>
                <w:sz w:val="16"/>
                <w:szCs w:val="16"/>
              </w:rPr>
            </w:pPr>
            <w:r w:rsidRPr="00A94C4D">
              <w:rPr>
                <w:sz w:val="16"/>
                <w:szCs w:val="16"/>
              </w:rPr>
              <w:t>18 months</w:t>
            </w:r>
            <w:r w:rsidRPr="00A94C4D">
              <w:rPr>
                <w:sz w:val="16"/>
                <w:szCs w:val="16"/>
              </w:rPr>
              <w:br/>
              <w:t>Follow up: baseline, 18 months</w:t>
            </w:r>
            <w:r w:rsidRPr="00A94C4D">
              <w:rPr>
                <w:sz w:val="16"/>
                <w:szCs w:val="16"/>
              </w:rPr>
              <w:br/>
              <w:t>Drop out:10%</w:t>
            </w:r>
          </w:p>
        </w:tc>
        <w:tc>
          <w:tcPr>
            <w:tcW w:w="2501" w:type="dxa"/>
            <w:hideMark/>
          </w:tcPr>
          <w:p w14:paraId="00977CCB" w14:textId="77777777" w:rsidR="00836718" w:rsidRPr="00A94C4D" w:rsidRDefault="00836718" w:rsidP="00282336">
            <w:pPr>
              <w:spacing w:line="240" w:lineRule="auto"/>
              <w:rPr>
                <w:sz w:val="16"/>
                <w:szCs w:val="16"/>
              </w:rPr>
            </w:pPr>
            <w:r w:rsidRPr="00A94C4D">
              <w:rPr>
                <w:sz w:val="16"/>
                <w:szCs w:val="16"/>
              </w:rPr>
              <w:t>Primary: glycaemic</w:t>
            </w:r>
            <w:r w:rsidRPr="00A94C4D">
              <w:rPr>
                <w:sz w:val="16"/>
                <w:szCs w:val="16"/>
              </w:rPr>
              <w:br/>
              <w:t>control (HbA1c)</w:t>
            </w:r>
            <w:r w:rsidRPr="00A94C4D">
              <w:rPr>
                <w:sz w:val="16"/>
                <w:szCs w:val="16"/>
              </w:rPr>
              <w:br/>
            </w:r>
            <w:r w:rsidRPr="00A94C4D">
              <w:rPr>
                <w:sz w:val="16"/>
                <w:szCs w:val="16"/>
              </w:rPr>
              <w:br/>
            </w:r>
            <w:r w:rsidRPr="00A94C4D">
              <w:rPr>
                <w:sz w:val="16"/>
                <w:szCs w:val="16"/>
              </w:rPr>
              <w:br/>
              <w:t>Secondary: Quality of Life (</w:t>
            </w:r>
            <w:proofErr w:type="spellStart"/>
            <w:r w:rsidRPr="00A94C4D">
              <w:rPr>
                <w:sz w:val="16"/>
                <w:szCs w:val="16"/>
              </w:rPr>
              <w:t>AQoL</w:t>
            </w:r>
            <w:proofErr w:type="spellEnd"/>
            <w:r w:rsidRPr="00A94C4D">
              <w:rPr>
                <w:sz w:val="16"/>
                <w:szCs w:val="16"/>
              </w:rPr>
              <w:t>)</w:t>
            </w:r>
          </w:p>
        </w:tc>
        <w:tc>
          <w:tcPr>
            <w:tcW w:w="2713" w:type="dxa"/>
            <w:hideMark/>
          </w:tcPr>
          <w:p w14:paraId="4E9B3231" w14:textId="77777777" w:rsidR="00836718" w:rsidRPr="00A94C4D" w:rsidRDefault="00836718" w:rsidP="00282336">
            <w:pPr>
              <w:spacing w:line="240" w:lineRule="auto"/>
              <w:rPr>
                <w:sz w:val="16"/>
                <w:szCs w:val="16"/>
              </w:rPr>
            </w:pPr>
            <w:r w:rsidRPr="00A94C4D">
              <w:rPr>
                <w:sz w:val="16"/>
                <w:szCs w:val="16"/>
              </w:rPr>
              <w:t xml:space="preserve">Significant decrease in HbA1c of 1% from baseline in the intervention group, from 10.8% (95 </w:t>
            </w:r>
            <w:proofErr w:type="spellStart"/>
            <w:r w:rsidRPr="00A94C4D">
              <w:rPr>
                <w:sz w:val="16"/>
                <w:szCs w:val="16"/>
              </w:rPr>
              <w:t>mmol</w:t>
            </w:r>
            <w:proofErr w:type="spellEnd"/>
            <w:r w:rsidRPr="00A94C4D">
              <w:rPr>
                <w:sz w:val="16"/>
                <w:szCs w:val="16"/>
              </w:rPr>
              <w:t>/</w:t>
            </w:r>
            <w:proofErr w:type="spellStart"/>
            <w:r w:rsidRPr="00A94C4D">
              <w:rPr>
                <w:sz w:val="16"/>
                <w:szCs w:val="16"/>
              </w:rPr>
              <w:t>mol</w:t>
            </w:r>
            <w:proofErr w:type="spellEnd"/>
            <w:r w:rsidRPr="00A94C4D">
              <w:rPr>
                <w:sz w:val="16"/>
                <w:szCs w:val="16"/>
              </w:rPr>
              <w:t xml:space="preserve">) to 9.8% (84 </w:t>
            </w:r>
            <w:proofErr w:type="spellStart"/>
            <w:r w:rsidRPr="00A94C4D">
              <w:rPr>
                <w:sz w:val="16"/>
                <w:szCs w:val="16"/>
              </w:rPr>
              <w:t>mmol</w:t>
            </w:r>
            <w:proofErr w:type="spellEnd"/>
            <w:r w:rsidRPr="00A94C4D">
              <w:rPr>
                <w:sz w:val="16"/>
                <w:szCs w:val="16"/>
              </w:rPr>
              <w:t>/</w:t>
            </w:r>
            <w:proofErr w:type="spellStart"/>
            <w:r w:rsidRPr="00A94C4D">
              <w:rPr>
                <w:sz w:val="16"/>
                <w:szCs w:val="16"/>
              </w:rPr>
              <w:t>mol</w:t>
            </w:r>
            <w:proofErr w:type="spellEnd"/>
            <w:r w:rsidRPr="00A94C4D">
              <w:rPr>
                <w:sz w:val="16"/>
                <w:szCs w:val="16"/>
              </w:rPr>
              <w:t xml:space="preserve">) vs waitlist group  (0.2% from 10.6% (92 </w:t>
            </w:r>
            <w:proofErr w:type="spellStart"/>
            <w:r w:rsidRPr="00A94C4D">
              <w:rPr>
                <w:sz w:val="16"/>
                <w:szCs w:val="16"/>
              </w:rPr>
              <w:t>mmol</w:t>
            </w:r>
            <w:proofErr w:type="spellEnd"/>
            <w:r w:rsidRPr="00A94C4D">
              <w:rPr>
                <w:sz w:val="16"/>
                <w:szCs w:val="16"/>
              </w:rPr>
              <w:t>/</w:t>
            </w:r>
            <w:proofErr w:type="spellStart"/>
            <w:r w:rsidRPr="00A94C4D">
              <w:rPr>
                <w:sz w:val="16"/>
                <w:szCs w:val="16"/>
              </w:rPr>
              <w:t>mol</w:t>
            </w:r>
            <w:proofErr w:type="spellEnd"/>
            <w:r w:rsidRPr="00A94C4D">
              <w:rPr>
                <w:sz w:val="16"/>
                <w:szCs w:val="16"/>
              </w:rPr>
              <w:t xml:space="preserve">) to 10.3% (89 </w:t>
            </w:r>
            <w:proofErr w:type="spellStart"/>
            <w:r w:rsidRPr="00A94C4D">
              <w:rPr>
                <w:sz w:val="16"/>
                <w:szCs w:val="16"/>
              </w:rPr>
              <w:t>mmol</w:t>
            </w:r>
            <w:proofErr w:type="spellEnd"/>
            <w:r w:rsidRPr="00A94C4D">
              <w:rPr>
                <w:sz w:val="16"/>
                <w:szCs w:val="16"/>
              </w:rPr>
              <w:t>/</w:t>
            </w:r>
            <w:proofErr w:type="spellStart"/>
            <w:r w:rsidRPr="00A94C4D">
              <w:rPr>
                <w:sz w:val="16"/>
                <w:szCs w:val="16"/>
              </w:rPr>
              <w:t>mol</w:t>
            </w:r>
            <w:proofErr w:type="spellEnd"/>
            <w:r w:rsidRPr="00A94C4D">
              <w:rPr>
                <w:sz w:val="16"/>
                <w:szCs w:val="16"/>
              </w:rPr>
              <w:t>), (p = 0.018)</w:t>
            </w:r>
            <w:r w:rsidRPr="00A94C4D">
              <w:rPr>
                <w:sz w:val="16"/>
                <w:szCs w:val="16"/>
              </w:rPr>
              <w:br/>
            </w:r>
            <w:r w:rsidRPr="00A94C4D">
              <w:rPr>
                <w:sz w:val="16"/>
                <w:szCs w:val="16"/>
              </w:rPr>
              <w:br/>
            </w:r>
            <w:proofErr w:type="spellStart"/>
            <w:r w:rsidRPr="00A94C4D">
              <w:rPr>
                <w:sz w:val="16"/>
                <w:szCs w:val="16"/>
              </w:rPr>
              <w:t>AQoL</w:t>
            </w:r>
            <w:proofErr w:type="spellEnd"/>
            <w:r w:rsidRPr="00A94C4D">
              <w:rPr>
                <w:sz w:val="16"/>
                <w:szCs w:val="16"/>
              </w:rPr>
              <w:t xml:space="preserve"> - not reported</w:t>
            </w:r>
          </w:p>
        </w:tc>
      </w:tr>
      <w:tr w:rsidR="00836718" w:rsidRPr="00A94C4D" w14:paraId="76E38081" w14:textId="77777777" w:rsidTr="00282336">
        <w:trPr>
          <w:trHeight w:val="610"/>
        </w:trPr>
        <w:tc>
          <w:tcPr>
            <w:tcW w:w="1121" w:type="dxa"/>
          </w:tcPr>
          <w:p w14:paraId="08AE14ED" w14:textId="77777777" w:rsidR="00836718" w:rsidRPr="00A94C4D" w:rsidRDefault="00836718" w:rsidP="00282336">
            <w:pPr>
              <w:spacing w:line="240" w:lineRule="auto"/>
              <w:rPr>
                <w:sz w:val="16"/>
                <w:szCs w:val="16"/>
              </w:rPr>
            </w:pPr>
          </w:p>
        </w:tc>
        <w:tc>
          <w:tcPr>
            <w:tcW w:w="1669" w:type="dxa"/>
          </w:tcPr>
          <w:p w14:paraId="19658AC9" w14:textId="77777777" w:rsidR="00836718" w:rsidRPr="00A94C4D" w:rsidRDefault="00836718" w:rsidP="00282336">
            <w:pPr>
              <w:spacing w:line="240" w:lineRule="auto"/>
              <w:rPr>
                <w:sz w:val="16"/>
                <w:szCs w:val="16"/>
              </w:rPr>
            </w:pPr>
          </w:p>
        </w:tc>
        <w:tc>
          <w:tcPr>
            <w:tcW w:w="1407" w:type="dxa"/>
          </w:tcPr>
          <w:p w14:paraId="678A0DD2" w14:textId="77777777" w:rsidR="00836718" w:rsidRPr="00A94C4D" w:rsidRDefault="00836718" w:rsidP="00282336">
            <w:pPr>
              <w:spacing w:line="240" w:lineRule="auto"/>
              <w:rPr>
                <w:sz w:val="16"/>
                <w:szCs w:val="16"/>
              </w:rPr>
            </w:pPr>
          </w:p>
        </w:tc>
        <w:tc>
          <w:tcPr>
            <w:tcW w:w="2865" w:type="dxa"/>
          </w:tcPr>
          <w:p w14:paraId="36411219" w14:textId="77777777" w:rsidR="00836718" w:rsidRPr="00A94C4D" w:rsidRDefault="00836718" w:rsidP="00282336">
            <w:pPr>
              <w:spacing w:line="240" w:lineRule="auto"/>
              <w:rPr>
                <w:sz w:val="16"/>
                <w:szCs w:val="16"/>
              </w:rPr>
            </w:pPr>
          </w:p>
        </w:tc>
        <w:tc>
          <w:tcPr>
            <w:tcW w:w="1868" w:type="dxa"/>
          </w:tcPr>
          <w:p w14:paraId="796016A1" w14:textId="77777777" w:rsidR="00836718" w:rsidRPr="00A94C4D" w:rsidRDefault="00836718" w:rsidP="00282336">
            <w:pPr>
              <w:spacing w:line="240" w:lineRule="auto"/>
              <w:rPr>
                <w:sz w:val="16"/>
                <w:szCs w:val="16"/>
              </w:rPr>
            </w:pPr>
          </w:p>
        </w:tc>
        <w:tc>
          <w:tcPr>
            <w:tcW w:w="1254" w:type="dxa"/>
          </w:tcPr>
          <w:p w14:paraId="76511E9D" w14:textId="77777777" w:rsidR="00836718" w:rsidRPr="00A94C4D" w:rsidRDefault="00836718" w:rsidP="00282336">
            <w:pPr>
              <w:spacing w:line="240" w:lineRule="auto"/>
              <w:rPr>
                <w:sz w:val="16"/>
                <w:szCs w:val="16"/>
              </w:rPr>
            </w:pPr>
          </w:p>
        </w:tc>
        <w:tc>
          <w:tcPr>
            <w:tcW w:w="2501" w:type="dxa"/>
          </w:tcPr>
          <w:p w14:paraId="21105E41" w14:textId="77777777" w:rsidR="00836718" w:rsidRPr="00A94C4D" w:rsidRDefault="00836718" w:rsidP="00282336">
            <w:pPr>
              <w:spacing w:line="240" w:lineRule="auto"/>
              <w:rPr>
                <w:sz w:val="16"/>
                <w:szCs w:val="16"/>
              </w:rPr>
            </w:pPr>
          </w:p>
        </w:tc>
        <w:tc>
          <w:tcPr>
            <w:tcW w:w="2713" w:type="dxa"/>
          </w:tcPr>
          <w:p w14:paraId="0BFCA8C7" w14:textId="77777777" w:rsidR="00836718" w:rsidRPr="00A94C4D" w:rsidRDefault="00836718" w:rsidP="00282336">
            <w:pPr>
              <w:spacing w:line="240" w:lineRule="auto"/>
              <w:rPr>
                <w:sz w:val="16"/>
                <w:szCs w:val="16"/>
              </w:rPr>
            </w:pPr>
          </w:p>
        </w:tc>
      </w:tr>
      <w:tr w:rsidR="00836718" w:rsidRPr="00A94C4D" w14:paraId="58B1B2E2" w14:textId="77777777" w:rsidTr="00282336">
        <w:trPr>
          <w:trHeight w:val="2835"/>
        </w:trPr>
        <w:tc>
          <w:tcPr>
            <w:tcW w:w="1121" w:type="dxa"/>
            <w:hideMark/>
          </w:tcPr>
          <w:p w14:paraId="10C5C722" w14:textId="77777777" w:rsidR="00836718" w:rsidRPr="00A94C4D" w:rsidRDefault="00836718" w:rsidP="00282336">
            <w:pPr>
              <w:spacing w:line="240" w:lineRule="auto"/>
              <w:rPr>
                <w:rFonts w:eastAsia="Times New Roman"/>
                <w:color w:val="000000"/>
                <w:sz w:val="18"/>
                <w:szCs w:val="18"/>
              </w:rPr>
            </w:pPr>
            <w:r w:rsidRPr="00A94C4D">
              <w:rPr>
                <w:rFonts w:eastAsia="Times New Roman"/>
                <w:color w:val="000000"/>
                <w:sz w:val="18"/>
                <w:szCs w:val="18"/>
              </w:rPr>
              <w:t>10.</w:t>
            </w:r>
            <w:r w:rsidRPr="00A94C4D">
              <w:rPr>
                <w:rFonts w:eastAsia="Times New Roman"/>
                <w:color w:val="000000"/>
                <w:sz w:val="16"/>
                <w:szCs w:val="18"/>
              </w:rPr>
              <w:t>Spencer et al (2013)</w:t>
            </w:r>
          </w:p>
        </w:tc>
        <w:tc>
          <w:tcPr>
            <w:tcW w:w="1669" w:type="dxa"/>
            <w:hideMark/>
          </w:tcPr>
          <w:p w14:paraId="0E7516FB" w14:textId="77777777" w:rsidR="00836718" w:rsidRPr="00A94C4D" w:rsidRDefault="00836718" w:rsidP="00282336">
            <w:pPr>
              <w:spacing w:line="240" w:lineRule="auto"/>
              <w:rPr>
                <w:rFonts w:eastAsia="Times New Roman"/>
                <w:color w:val="000000"/>
                <w:sz w:val="18"/>
                <w:szCs w:val="18"/>
              </w:rPr>
            </w:pPr>
            <w:r w:rsidRPr="00A94C4D">
              <w:rPr>
                <w:rFonts w:eastAsia="Times New Roman"/>
                <w:color w:val="000000"/>
                <w:sz w:val="16"/>
                <w:szCs w:val="18"/>
              </w:rPr>
              <w:t>n=164</w:t>
            </w:r>
            <w:r w:rsidRPr="00A94C4D">
              <w:rPr>
                <w:rFonts w:eastAsia="Times New Roman"/>
                <w:color w:val="000000"/>
                <w:sz w:val="16"/>
                <w:szCs w:val="18"/>
              </w:rPr>
              <w:br/>
              <w:t>Age (mean ± SD):52.5</w:t>
            </w:r>
            <w:r w:rsidRPr="00A94C4D">
              <w:rPr>
                <w:rFonts w:eastAsia="Times New Roman"/>
                <w:color w:val="000000"/>
                <w:sz w:val="16"/>
                <w:szCs w:val="18"/>
              </w:rPr>
              <w:br/>
              <w:t>Female n(%):116(70.7)</w:t>
            </w:r>
            <w:r w:rsidRPr="00A94C4D">
              <w:rPr>
                <w:rFonts w:eastAsia="Times New Roman"/>
                <w:color w:val="000000"/>
                <w:sz w:val="16"/>
                <w:szCs w:val="18"/>
              </w:rPr>
              <w:br/>
              <w:t>Male n(%):48 (29.2)</w:t>
            </w:r>
          </w:p>
        </w:tc>
        <w:tc>
          <w:tcPr>
            <w:tcW w:w="1407" w:type="dxa"/>
            <w:hideMark/>
          </w:tcPr>
          <w:p w14:paraId="3CFF546E" w14:textId="77777777" w:rsidR="00836718" w:rsidRPr="00A94C4D" w:rsidRDefault="00836718" w:rsidP="00282336">
            <w:pPr>
              <w:spacing w:line="240" w:lineRule="auto"/>
              <w:rPr>
                <w:rFonts w:eastAsia="Times New Roman"/>
                <w:color w:val="000000"/>
                <w:sz w:val="18"/>
                <w:szCs w:val="18"/>
              </w:rPr>
            </w:pPr>
            <w:r w:rsidRPr="00A94C4D">
              <w:rPr>
                <w:rFonts w:eastAsia="Times New Roman"/>
                <w:color w:val="000000"/>
                <w:sz w:val="16"/>
                <w:szCs w:val="18"/>
              </w:rPr>
              <w:t>African American / Hispanic Latino with Diabetes and mental health issues, Detroit Inner city, USA</w:t>
            </w:r>
          </w:p>
        </w:tc>
        <w:tc>
          <w:tcPr>
            <w:tcW w:w="2865" w:type="dxa"/>
            <w:hideMark/>
          </w:tcPr>
          <w:p w14:paraId="2A56D11C" w14:textId="77777777" w:rsidR="00836718" w:rsidRPr="00A94C4D" w:rsidRDefault="00836718" w:rsidP="00282336">
            <w:pPr>
              <w:spacing w:line="240" w:lineRule="auto"/>
              <w:rPr>
                <w:rFonts w:eastAsia="Times New Roman"/>
                <w:color w:val="000000"/>
                <w:sz w:val="18"/>
                <w:szCs w:val="18"/>
              </w:rPr>
            </w:pPr>
            <w:proofErr w:type="spellStart"/>
            <w:r w:rsidRPr="00A94C4D">
              <w:rPr>
                <w:rFonts w:eastAsia="Times New Roman"/>
                <w:color w:val="000000"/>
                <w:sz w:val="16"/>
                <w:szCs w:val="18"/>
              </w:rPr>
              <w:t>CLW</w:t>
            </w:r>
            <w:proofErr w:type="spellEnd"/>
            <w:r w:rsidRPr="00A94C4D">
              <w:rPr>
                <w:rFonts w:eastAsia="Times New Roman"/>
                <w:color w:val="000000"/>
                <w:sz w:val="16"/>
                <w:szCs w:val="18"/>
              </w:rPr>
              <w:t xml:space="preserve"> Model as part of the Racial and Ethnic Approaches to Community Health (REACH) Detroit Partnership. Using a socioecological model, family, health system, and community-level interventions were developed to address sources of diabetes disparities at each</w:t>
            </w:r>
            <w:r w:rsidRPr="00A94C4D">
              <w:rPr>
                <w:rFonts w:eastAsia="Times New Roman"/>
                <w:color w:val="000000"/>
                <w:sz w:val="16"/>
                <w:szCs w:val="18"/>
              </w:rPr>
              <w:br/>
              <w:t>level</w:t>
            </w:r>
          </w:p>
        </w:tc>
        <w:tc>
          <w:tcPr>
            <w:tcW w:w="1868" w:type="dxa"/>
            <w:hideMark/>
          </w:tcPr>
          <w:p w14:paraId="5FA0EE25" w14:textId="77777777" w:rsidR="00836718" w:rsidRPr="00A94C4D" w:rsidRDefault="00836718" w:rsidP="00282336">
            <w:pPr>
              <w:spacing w:line="240" w:lineRule="auto"/>
              <w:rPr>
                <w:rFonts w:eastAsia="Times New Roman"/>
                <w:color w:val="000000"/>
                <w:sz w:val="18"/>
                <w:szCs w:val="18"/>
              </w:rPr>
            </w:pPr>
            <w:r w:rsidRPr="00A94C4D">
              <w:rPr>
                <w:rFonts w:eastAsia="Times New Roman"/>
                <w:color w:val="000000"/>
                <w:sz w:val="16"/>
                <w:szCs w:val="18"/>
              </w:rPr>
              <w:t xml:space="preserve">6 months delayed intervention </w:t>
            </w:r>
          </w:p>
        </w:tc>
        <w:tc>
          <w:tcPr>
            <w:tcW w:w="1254" w:type="dxa"/>
            <w:hideMark/>
          </w:tcPr>
          <w:p w14:paraId="3BDCEC84" w14:textId="77777777" w:rsidR="00836718" w:rsidRPr="00A94C4D" w:rsidRDefault="00836718" w:rsidP="00282336">
            <w:pPr>
              <w:spacing w:line="240" w:lineRule="auto"/>
              <w:rPr>
                <w:rFonts w:eastAsia="Times New Roman"/>
                <w:color w:val="000000"/>
                <w:sz w:val="18"/>
                <w:szCs w:val="18"/>
              </w:rPr>
            </w:pPr>
            <w:r w:rsidRPr="00A94C4D">
              <w:rPr>
                <w:rFonts w:eastAsia="Times New Roman"/>
                <w:color w:val="000000"/>
                <w:sz w:val="16"/>
                <w:szCs w:val="18"/>
              </w:rPr>
              <w:t>12 months</w:t>
            </w:r>
            <w:r w:rsidRPr="00A94C4D">
              <w:rPr>
                <w:rFonts w:eastAsia="Times New Roman"/>
                <w:color w:val="000000"/>
                <w:sz w:val="16"/>
                <w:szCs w:val="18"/>
              </w:rPr>
              <w:br/>
              <w:t>Follow up: baseline, 6, 12 months</w:t>
            </w:r>
            <w:r w:rsidRPr="00A94C4D">
              <w:rPr>
                <w:rFonts w:eastAsia="Times New Roman"/>
                <w:color w:val="000000"/>
                <w:sz w:val="16"/>
                <w:szCs w:val="18"/>
              </w:rPr>
              <w:br/>
              <w:t>Drop out:17%</w:t>
            </w:r>
          </w:p>
        </w:tc>
        <w:tc>
          <w:tcPr>
            <w:tcW w:w="2501" w:type="dxa"/>
            <w:hideMark/>
          </w:tcPr>
          <w:p w14:paraId="256A4D16" w14:textId="77777777" w:rsidR="00836718" w:rsidRPr="00A94C4D" w:rsidRDefault="00836718" w:rsidP="00282336">
            <w:pPr>
              <w:spacing w:line="240" w:lineRule="auto"/>
              <w:rPr>
                <w:rFonts w:eastAsia="Times New Roman"/>
                <w:color w:val="000000"/>
                <w:sz w:val="18"/>
                <w:szCs w:val="18"/>
              </w:rPr>
            </w:pPr>
            <w:r w:rsidRPr="00A94C4D">
              <w:rPr>
                <w:rFonts w:eastAsia="Times New Roman"/>
                <w:color w:val="000000"/>
                <w:sz w:val="16"/>
                <w:szCs w:val="18"/>
              </w:rPr>
              <w:t>Primary: diabetes-related</w:t>
            </w:r>
            <w:r w:rsidRPr="00A94C4D">
              <w:rPr>
                <w:rFonts w:eastAsia="Times New Roman"/>
                <w:color w:val="000000"/>
                <w:sz w:val="16"/>
                <w:szCs w:val="18"/>
              </w:rPr>
              <w:br/>
              <w:t>emotional distress  (Problem Areas in Diabetes Scale) (PAID); Depressive severity (PHQ-9) (PHQ-2)</w:t>
            </w:r>
            <w:r w:rsidRPr="00A94C4D">
              <w:rPr>
                <w:rFonts w:eastAsia="Times New Roman"/>
                <w:color w:val="000000"/>
                <w:sz w:val="16"/>
                <w:szCs w:val="18"/>
              </w:rPr>
              <w:br/>
            </w:r>
            <w:r w:rsidRPr="00A94C4D">
              <w:rPr>
                <w:rFonts w:eastAsia="Times New Roman"/>
                <w:color w:val="000000"/>
                <w:sz w:val="16"/>
                <w:szCs w:val="18"/>
              </w:rPr>
              <w:br/>
            </w:r>
            <w:r w:rsidRPr="00A94C4D">
              <w:rPr>
                <w:rFonts w:eastAsia="Times New Roman"/>
                <w:color w:val="000000"/>
                <w:sz w:val="16"/>
                <w:szCs w:val="18"/>
              </w:rPr>
              <w:br/>
            </w:r>
            <w:r w:rsidRPr="00A94C4D">
              <w:rPr>
                <w:rFonts w:eastAsia="Times New Roman"/>
                <w:color w:val="000000"/>
                <w:sz w:val="16"/>
                <w:szCs w:val="18"/>
              </w:rPr>
              <w:br/>
              <w:t>Secondary: NR</w:t>
            </w:r>
          </w:p>
        </w:tc>
        <w:tc>
          <w:tcPr>
            <w:tcW w:w="2713" w:type="dxa"/>
          </w:tcPr>
          <w:p w14:paraId="7A1C0341" w14:textId="77777777" w:rsidR="00836718" w:rsidRPr="00A94C4D" w:rsidRDefault="00836718" w:rsidP="00282336">
            <w:pPr>
              <w:spacing w:line="240" w:lineRule="auto"/>
              <w:rPr>
                <w:rFonts w:eastAsia="Times New Roman"/>
                <w:color w:val="000000"/>
                <w:sz w:val="16"/>
                <w:szCs w:val="18"/>
              </w:rPr>
            </w:pPr>
            <w:r w:rsidRPr="00A94C4D">
              <w:rPr>
                <w:rFonts w:eastAsia="Times New Roman"/>
                <w:color w:val="000000"/>
                <w:sz w:val="16"/>
                <w:szCs w:val="18"/>
              </w:rPr>
              <w:t xml:space="preserve">Adjusted for demographics PAID significantly improved pre-intervention (-6.5 (-11.2, -0.04) (p&lt;.05) to post-intervention -12.3 (-16.4, -6.3) (p&lt;.001) for the </w:t>
            </w:r>
            <w:proofErr w:type="spellStart"/>
            <w:r w:rsidRPr="00A94C4D">
              <w:rPr>
                <w:rFonts w:eastAsia="Times New Roman"/>
                <w:color w:val="000000"/>
                <w:sz w:val="16"/>
                <w:szCs w:val="18"/>
              </w:rPr>
              <w:t>CLW</w:t>
            </w:r>
            <w:proofErr w:type="spellEnd"/>
            <w:r w:rsidRPr="00A94C4D">
              <w:rPr>
                <w:rFonts w:eastAsia="Times New Roman"/>
                <w:color w:val="000000"/>
                <w:sz w:val="16"/>
                <w:szCs w:val="18"/>
              </w:rPr>
              <w:t xml:space="preserve"> group.</w:t>
            </w:r>
            <w:r w:rsidRPr="00A94C4D">
              <w:rPr>
                <w:rFonts w:eastAsia="Times New Roman"/>
                <w:color w:val="000000"/>
                <w:sz w:val="16"/>
                <w:szCs w:val="18"/>
              </w:rPr>
              <w:br/>
            </w:r>
            <w:r w:rsidRPr="00A94C4D">
              <w:rPr>
                <w:rFonts w:eastAsia="Times New Roman"/>
                <w:color w:val="000000"/>
                <w:sz w:val="18"/>
                <w:szCs w:val="18"/>
              </w:rPr>
              <w:br/>
            </w:r>
            <w:proofErr w:type="spellStart"/>
            <w:r w:rsidRPr="00A94C4D">
              <w:rPr>
                <w:rFonts w:eastAsia="Times New Roman"/>
                <w:color w:val="000000"/>
                <w:sz w:val="16"/>
                <w:szCs w:val="18"/>
              </w:rPr>
              <w:t>PHQ</w:t>
            </w:r>
            <w:proofErr w:type="spellEnd"/>
            <w:r w:rsidRPr="00A94C4D">
              <w:rPr>
                <w:rFonts w:eastAsia="Times New Roman"/>
                <w:color w:val="000000"/>
                <w:sz w:val="16"/>
                <w:szCs w:val="18"/>
              </w:rPr>
              <w:t xml:space="preserve"> did not change significantly, but the PHQ-2 had an average intervention effect of-0.3 (p&lt;0.05) in the model adjusted for demographics</w:t>
            </w:r>
          </w:p>
          <w:p w14:paraId="1FB5D2A5" w14:textId="77777777" w:rsidR="00836718" w:rsidRPr="00A94C4D" w:rsidRDefault="00836718" w:rsidP="00282336">
            <w:pPr>
              <w:spacing w:line="240" w:lineRule="auto"/>
              <w:rPr>
                <w:rFonts w:eastAsia="Times New Roman"/>
                <w:color w:val="000000"/>
                <w:sz w:val="16"/>
                <w:szCs w:val="18"/>
              </w:rPr>
            </w:pPr>
          </w:p>
          <w:p w14:paraId="1D5ECB80" w14:textId="77777777" w:rsidR="00836718" w:rsidRPr="00A94C4D" w:rsidRDefault="00836718" w:rsidP="00282336">
            <w:pPr>
              <w:spacing w:line="240" w:lineRule="auto"/>
              <w:rPr>
                <w:rFonts w:eastAsia="Times New Roman"/>
                <w:color w:val="000000"/>
                <w:sz w:val="16"/>
                <w:szCs w:val="18"/>
              </w:rPr>
            </w:pPr>
          </w:p>
        </w:tc>
      </w:tr>
      <w:tr w:rsidR="00836718" w:rsidRPr="00A94C4D" w14:paraId="15788C7D" w14:textId="77777777" w:rsidTr="00282336">
        <w:trPr>
          <w:trHeight w:val="4537"/>
        </w:trPr>
        <w:tc>
          <w:tcPr>
            <w:tcW w:w="1121" w:type="dxa"/>
          </w:tcPr>
          <w:p w14:paraId="34286996" w14:textId="77777777" w:rsidR="00836718" w:rsidRPr="00A94C4D" w:rsidRDefault="00836718" w:rsidP="00282336">
            <w:pPr>
              <w:spacing w:line="240" w:lineRule="auto"/>
              <w:rPr>
                <w:sz w:val="16"/>
                <w:szCs w:val="16"/>
              </w:rPr>
            </w:pPr>
            <w:r w:rsidRPr="00A94C4D">
              <w:rPr>
                <w:sz w:val="16"/>
                <w:szCs w:val="16"/>
              </w:rPr>
              <w:lastRenderedPageBreak/>
              <w:t>11.Spencer et al (2011)</w:t>
            </w:r>
          </w:p>
          <w:p w14:paraId="0D675F09" w14:textId="77777777" w:rsidR="00836718" w:rsidRPr="00A94C4D" w:rsidRDefault="00836718" w:rsidP="00282336">
            <w:pPr>
              <w:spacing w:line="240" w:lineRule="auto"/>
              <w:rPr>
                <w:sz w:val="16"/>
                <w:szCs w:val="16"/>
              </w:rPr>
            </w:pPr>
          </w:p>
          <w:p w14:paraId="51B590F2" w14:textId="77777777" w:rsidR="00836718" w:rsidRPr="00A94C4D" w:rsidRDefault="00836718" w:rsidP="00282336">
            <w:pPr>
              <w:spacing w:line="240" w:lineRule="auto"/>
              <w:rPr>
                <w:sz w:val="16"/>
                <w:szCs w:val="16"/>
              </w:rPr>
            </w:pPr>
          </w:p>
          <w:p w14:paraId="3D8661FD" w14:textId="77777777" w:rsidR="00836718" w:rsidRPr="00A94C4D" w:rsidRDefault="00836718" w:rsidP="00282336">
            <w:pPr>
              <w:spacing w:line="240" w:lineRule="auto"/>
              <w:rPr>
                <w:sz w:val="16"/>
                <w:szCs w:val="16"/>
              </w:rPr>
            </w:pPr>
          </w:p>
          <w:p w14:paraId="676A0B16" w14:textId="77777777" w:rsidR="00836718" w:rsidRPr="00A94C4D" w:rsidRDefault="00836718" w:rsidP="00282336">
            <w:pPr>
              <w:spacing w:line="240" w:lineRule="auto"/>
              <w:rPr>
                <w:sz w:val="16"/>
                <w:szCs w:val="16"/>
              </w:rPr>
            </w:pPr>
          </w:p>
          <w:p w14:paraId="6A384593" w14:textId="77777777" w:rsidR="00836718" w:rsidRPr="00A94C4D" w:rsidRDefault="00836718" w:rsidP="00282336">
            <w:pPr>
              <w:spacing w:line="240" w:lineRule="auto"/>
              <w:rPr>
                <w:sz w:val="16"/>
                <w:szCs w:val="16"/>
              </w:rPr>
            </w:pPr>
          </w:p>
          <w:p w14:paraId="0BD1F88A" w14:textId="77777777" w:rsidR="00836718" w:rsidRPr="00A94C4D" w:rsidRDefault="00836718" w:rsidP="00282336">
            <w:pPr>
              <w:spacing w:line="240" w:lineRule="auto"/>
              <w:rPr>
                <w:sz w:val="16"/>
                <w:szCs w:val="16"/>
              </w:rPr>
            </w:pPr>
          </w:p>
          <w:p w14:paraId="11387B56" w14:textId="77777777" w:rsidR="00836718" w:rsidRPr="00A94C4D" w:rsidRDefault="00836718" w:rsidP="00282336">
            <w:pPr>
              <w:spacing w:line="240" w:lineRule="auto"/>
              <w:rPr>
                <w:sz w:val="16"/>
                <w:szCs w:val="16"/>
              </w:rPr>
            </w:pPr>
          </w:p>
          <w:p w14:paraId="3EE0445F" w14:textId="77777777" w:rsidR="00836718" w:rsidRPr="00A94C4D" w:rsidRDefault="00836718" w:rsidP="00282336">
            <w:pPr>
              <w:spacing w:line="240" w:lineRule="auto"/>
              <w:rPr>
                <w:sz w:val="16"/>
                <w:szCs w:val="16"/>
              </w:rPr>
            </w:pPr>
          </w:p>
          <w:p w14:paraId="3CABB7D8" w14:textId="77777777" w:rsidR="00836718" w:rsidRPr="00A94C4D" w:rsidRDefault="00836718" w:rsidP="00282336">
            <w:pPr>
              <w:spacing w:line="240" w:lineRule="auto"/>
              <w:rPr>
                <w:sz w:val="16"/>
                <w:szCs w:val="16"/>
              </w:rPr>
            </w:pPr>
          </w:p>
          <w:p w14:paraId="22B8B050" w14:textId="77777777" w:rsidR="00836718" w:rsidRPr="00A94C4D" w:rsidRDefault="00836718" w:rsidP="00282336">
            <w:pPr>
              <w:spacing w:line="240" w:lineRule="auto"/>
              <w:rPr>
                <w:sz w:val="16"/>
                <w:szCs w:val="16"/>
              </w:rPr>
            </w:pPr>
          </w:p>
          <w:p w14:paraId="2250B48C" w14:textId="77777777" w:rsidR="00836718" w:rsidRPr="00A94C4D" w:rsidRDefault="00836718" w:rsidP="00282336">
            <w:pPr>
              <w:spacing w:line="240" w:lineRule="auto"/>
              <w:rPr>
                <w:sz w:val="16"/>
                <w:szCs w:val="16"/>
              </w:rPr>
            </w:pPr>
          </w:p>
          <w:p w14:paraId="0D2B1D47" w14:textId="77777777" w:rsidR="00836718" w:rsidRPr="00A94C4D" w:rsidRDefault="00836718" w:rsidP="00282336">
            <w:pPr>
              <w:spacing w:line="240" w:lineRule="auto"/>
              <w:rPr>
                <w:sz w:val="16"/>
                <w:szCs w:val="16"/>
              </w:rPr>
            </w:pPr>
          </w:p>
          <w:p w14:paraId="4A0EEC08" w14:textId="77777777" w:rsidR="00836718" w:rsidRPr="00A94C4D" w:rsidRDefault="00836718" w:rsidP="00282336">
            <w:pPr>
              <w:spacing w:line="240" w:lineRule="auto"/>
              <w:rPr>
                <w:sz w:val="16"/>
                <w:szCs w:val="16"/>
              </w:rPr>
            </w:pPr>
          </w:p>
          <w:p w14:paraId="3981D46F" w14:textId="77777777" w:rsidR="00836718" w:rsidRPr="00A94C4D" w:rsidRDefault="00836718" w:rsidP="00282336">
            <w:pPr>
              <w:spacing w:line="240" w:lineRule="auto"/>
              <w:rPr>
                <w:sz w:val="16"/>
                <w:szCs w:val="16"/>
              </w:rPr>
            </w:pPr>
          </w:p>
          <w:p w14:paraId="44BF84E2" w14:textId="77777777" w:rsidR="00836718" w:rsidRPr="00A94C4D" w:rsidRDefault="00836718" w:rsidP="00282336">
            <w:pPr>
              <w:spacing w:line="240" w:lineRule="auto"/>
              <w:rPr>
                <w:sz w:val="16"/>
                <w:szCs w:val="16"/>
              </w:rPr>
            </w:pPr>
          </w:p>
          <w:p w14:paraId="0259B4C9" w14:textId="77777777" w:rsidR="00836718" w:rsidRPr="00A94C4D" w:rsidRDefault="00836718" w:rsidP="00282336">
            <w:pPr>
              <w:spacing w:line="240" w:lineRule="auto"/>
              <w:rPr>
                <w:sz w:val="16"/>
                <w:szCs w:val="16"/>
              </w:rPr>
            </w:pPr>
          </w:p>
          <w:p w14:paraId="46793EF6" w14:textId="77777777" w:rsidR="00836718" w:rsidRPr="00A94C4D" w:rsidRDefault="00836718" w:rsidP="00282336">
            <w:pPr>
              <w:spacing w:line="240" w:lineRule="auto"/>
              <w:rPr>
                <w:sz w:val="16"/>
                <w:szCs w:val="16"/>
              </w:rPr>
            </w:pPr>
          </w:p>
        </w:tc>
        <w:tc>
          <w:tcPr>
            <w:tcW w:w="1669" w:type="dxa"/>
            <w:hideMark/>
          </w:tcPr>
          <w:p w14:paraId="34714933" w14:textId="77777777" w:rsidR="00836718" w:rsidRPr="00A94C4D" w:rsidRDefault="00836718" w:rsidP="00282336">
            <w:pPr>
              <w:spacing w:line="240" w:lineRule="auto"/>
              <w:rPr>
                <w:sz w:val="16"/>
                <w:szCs w:val="16"/>
              </w:rPr>
            </w:pPr>
            <w:r w:rsidRPr="00A94C4D">
              <w:rPr>
                <w:sz w:val="16"/>
                <w:szCs w:val="16"/>
              </w:rPr>
              <w:t>n=164</w:t>
            </w:r>
            <w:r w:rsidRPr="00A94C4D">
              <w:rPr>
                <w:sz w:val="16"/>
                <w:szCs w:val="16"/>
              </w:rPr>
              <w:br/>
              <w:t>Age (mean): 52.5</w:t>
            </w:r>
            <w:r w:rsidRPr="00A94C4D">
              <w:rPr>
                <w:sz w:val="16"/>
                <w:szCs w:val="16"/>
              </w:rPr>
              <w:br/>
              <w:t>Female n(%): 116 (70.7)</w:t>
            </w:r>
            <w:r w:rsidRPr="00A94C4D">
              <w:rPr>
                <w:sz w:val="16"/>
                <w:szCs w:val="16"/>
              </w:rPr>
              <w:br/>
              <w:t>Male n(%): 48 (29.2)</w:t>
            </w:r>
          </w:p>
        </w:tc>
        <w:tc>
          <w:tcPr>
            <w:tcW w:w="1407" w:type="dxa"/>
            <w:hideMark/>
          </w:tcPr>
          <w:p w14:paraId="7911EE3C" w14:textId="77777777" w:rsidR="00836718" w:rsidRPr="00A94C4D" w:rsidRDefault="00836718" w:rsidP="00282336">
            <w:pPr>
              <w:spacing w:line="240" w:lineRule="auto"/>
              <w:rPr>
                <w:sz w:val="16"/>
                <w:szCs w:val="16"/>
              </w:rPr>
            </w:pPr>
            <w:r w:rsidRPr="00A94C4D">
              <w:rPr>
                <w:sz w:val="16"/>
                <w:szCs w:val="16"/>
              </w:rPr>
              <w:t>African American and Latino populations with Diabetes, urban, Detroit, USA</w:t>
            </w:r>
          </w:p>
        </w:tc>
        <w:tc>
          <w:tcPr>
            <w:tcW w:w="2865" w:type="dxa"/>
          </w:tcPr>
          <w:p w14:paraId="3FED634A" w14:textId="77777777" w:rsidR="00836718" w:rsidRPr="00A94C4D" w:rsidRDefault="00836718" w:rsidP="00282336">
            <w:pPr>
              <w:spacing w:line="240" w:lineRule="auto"/>
              <w:rPr>
                <w:sz w:val="16"/>
                <w:szCs w:val="16"/>
              </w:rPr>
            </w:pPr>
            <w:r w:rsidRPr="00A94C4D">
              <w:rPr>
                <w:sz w:val="16"/>
                <w:szCs w:val="16"/>
              </w:rPr>
              <w:t xml:space="preserve">REACH Detroit partnership recruited </w:t>
            </w:r>
            <w:proofErr w:type="spellStart"/>
            <w:r w:rsidRPr="00A94C4D">
              <w:rPr>
                <w:sz w:val="16"/>
                <w:szCs w:val="16"/>
              </w:rPr>
              <w:t>CLW</w:t>
            </w:r>
            <w:proofErr w:type="spellEnd"/>
            <w:r w:rsidRPr="00A94C4D">
              <w:rPr>
                <w:sz w:val="16"/>
                <w:szCs w:val="16"/>
              </w:rPr>
              <w:t xml:space="preserve"> to implement a culturally tailored behavioural theory based community Diabetes education classes and conduct home visits to facilitate patient goal setting, patient provider communication skills and referral to other services as required.</w:t>
            </w:r>
          </w:p>
          <w:p w14:paraId="1106F284" w14:textId="77777777" w:rsidR="00836718" w:rsidRPr="00A94C4D" w:rsidRDefault="00836718" w:rsidP="00282336">
            <w:pPr>
              <w:spacing w:line="240" w:lineRule="auto"/>
              <w:rPr>
                <w:sz w:val="16"/>
                <w:szCs w:val="16"/>
              </w:rPr>
            </w:pPr>
          </w:p>
          <w:p w14:paraId="52926341" w14:textId="77777777" w:rsidR="00836718" w:rsidRPr="00A94C4D" w:rsidRDefault="00836718" w:rsidP="00282336">
            <w:pPr>
              <w:spacing w:line="240" w:lineRule="auto"/>
              <w:rPr>
                <w:sz w:val="16"/>
                <w:szCs w:val="16"/>
              </w:rPr>
            </w:pPr>
          </w:p>
          <w:p w14:paraId="54F6A262" w14:textId="77777777" w:rsidR="00836718" w:rsidRPr="00A94C4D" w:rsidRDefault="00836718" w:rsidP="00282336">
            <w:pPr>
              <w:spacing w:line="240" w:lineRule="auto"/>
              <w:rPr>
                <w:sz w:val="16"/>
                <w:szCs w:val="16"/>
              </w:rPr>
            </w:pPr>
          </w:p>
          <w:p w14:paraId="14C0676A" w14:textId="77777777" w:rsidR="00836718" w:rsidRPr="00A94C4D" w:rsidRDefault="00836718" w:rsidP="00282336">
            <w:pPr>
              <w:spacing w:line="240" w:lineRule="auto"/>
              <w:rPr>
                <w:sz w:val="16"/>
                <w:szCs w:val="16"/>
              </w:rPr>
            </w:pPr>
          </w:p>
          <w:p w14:paraId="344C10DF" w14:textId="77777777" w:rsidR="00836718" w:rsidRPr="00A94C4D" w:rsidRDefault="00836718" w:rsidP="00282336">
            <w:pPr>
              <w:spacing w:line="240" w:lineRule="auto"/>
              <w:rPr>
                <w:sz w:val="16"/>
                <w:szCs w:val="16"/>
              </w:rPr>
            </w:pPr>
          </w:p>
          <w:p w14:paraId="652FF9CD" w14:textId="77777777" w:rsidR="00836718" w:rsidRPr="00A94C4D" w:rsidRDefault="00836718" w:rsidP="00282336">
            <w:pPr>
              <w:spacing w:line="240" w:lineRule="auto"/>
              <w:rPr>
                <w:sz w:val="16"/>
                <w:szCs w:val="16"/>
              </w:rPr>
            </w:pPr>
          </w:p>
          <w:p w14:paraId="7C8F0F8D" w14:textId="77777777" w:rsidR="00836718" w:rsidRPr="00A94C4D" w:rsidRDefault="00836718" w:rsidP="00282336">
            <w:pPr>
              <w:spacing w:line="240" w:lineRule="auto"/>
              <w:rPr>
                <w:sz w:val="16"/>
                <w:szCs w:val="16"/>
              </w:rPr>
            </w:pPr>
          </w:p>
          <w:p w14:paraId="17548B83" w14:textId="77777777" w:rsidR="00836718" w:rsidRPr="00A94C4D" w:rsidRDefault="00836718" w:rsidP="00282336">
            <w:pPr>
              <w:spacing w:line="240" w:lineRule="auto"/>
              <w:rPr>
                <w:sz w:val="16"/>
                <w:szCs w:val="16"/>
              </w:rPr>
            </w:pPr>
          </w:p>
          <w:p w14:paraId="2178DAA9" w14:textId="77777777" w:rsidR="00836718" w:rsidRPr="00A94C4D" w:rsidRDefault="00836718" w:rsidP="00282336">
            <w:pPr>
              <w:spacing w:line="240" w:lineRule="auto"/>
              <w:rPr>
                <w:sz w:val="16"/>
                <w:szCs w:val="16"/>
              </w:rPr>
            </w:pPr>
          </w:p>
          <w:p w14:paraId="34695678" w14:textId="77777777" w:rsidR="00836718" w:rsidRPr="00A94C4D" w:rsidRDefault="00836718" w:rsidP="00282336">
            <w:pPr>
              <w:spacing w:line="240" w:lineRule="auto"/>
              <w:rPr>
                <w:sz w:val="16"/>
                <w:szCs w:val="16"/>
              </w:rPr>
            </w:pPr>
          </w:p>
          <w:p w14:paraId="4827019A" w14:textId="77777777" w:rsidR="00836718" w:rsidRPr="00A94C4D" w:rsidRDefault="00836718" w:rsidP="00282336">
            <w:pPr>
              <w:spacing w:line="240" w:lineRule="auto"/>
              <w:rPr>
                <w:sz w:val="16"/>
                <w:szCs w:val="16"/>
              </w:rPr>
            </w:pPr>
          </w:p>
          <w:p w14:paraId="1B7539C7" w14:textId="77777777" w:rsidR="00836718" w:rsidRPr="00A94C4D" w:rsidRDefault="00836718" w:rsidP="00282336">
            <w:pPr>
              <w:spacing w:line="240" w:lineRule="auto"/>
              <w:rPr>
                <w:sz w:val="16"/>
                <w:szCs w:val="16"/>
              </w:rPr>
            </w:pPr>
          </w:p>
        </w:tc>
        <w:tc>
          <w:tcPr>
            <w:tcW w:w="1868" w:type="dxa"/>
          </w:tcPr>
          <w:p w14:paraId="7B36500C" w14:textId="77777777" w:rsidR="00836718" w:rsidRPr="00A94C4D" w:rsidRDefault="00836718" w:rsidP="00282336">
            <w:pPr>
              <w:spacing w:line="240" w:lineRule="auto"/>
              <w:rPr>
                <w:sz w:val="16"/>
                <w:szCs w:val="16"/>
              </w:rPr>
            </w:pPr>
            <w:r w:rsidRPr="00A94C4D">
              <w:rPr>
                <w:sz w:val="16"/>
                <w:szCs w:val="16"/>
              </w:rPr>
              <w:t xml:space="preserve">6 months delayed intervention </w:t>
            </w:r>
          </w:p>
          <w:p w14:paraId="6DA9C482" w14:textId="77777777" w:rsidR="00836718" w:rsidRPr="00A94C4D" w:rsidRDefault="00836718" w:rsidP="00282336">
            <w:pPr>
              <w:spacing w:line="240" w:lineRule="auto"/>
              <w:rPr>
                <w:sz w:val="16"/>
                <w:szCs w:val="16"/>
              </w:rPr>
            </w:pPr>
          </w:p>
          <w:p w14:paraId="24E49BA6" w14:textId="77777777" w:rsidR="00836718" w:rsidRPr="00A94C4D" w:rsidRDefault="00836718" w:rsidP="00282336">
            <w:pPr>
              <w:spacing w:line="240" w:lineRule="auto"/>
              <w:rPr>
                <w:sz w:val="16"/>
                <w:szCs w:val="16"/>
              </w:rPr>
            </w:pPr>
          </w:p>
          <w:p w14:paraId="713402D9" w14:textId="77777777" w:rsidR="00836718" w:rsidRPr="00A94C4D" w:rsidRDefault="00836718" w:rsidP="00282336">
            <w:pPr>
              <w:spacing w:line="240" w:lineRule="auto"/>
              <w:rPr>
                <w:sz w:val="16"/>
                <w:szCs w:val="16"/>
              </w:rPr>
            </w:pPr>
          </w:p>
          <w:p w14:paraId="735E2CF9" w14:textId="77777777" w:rsidR="00836718" w:rsidRPr="00A94C4D" w:rsidRDefault="00836718" w:rsidP="00282336">
            <w:pPr>
              <w:spacing w:line="240" w:lineRule="auto"/>
              <w:rPr>
                <w:sz w:val="16"/>
                <w:szCs w:val="16"/>
              </w:rPr>
            </w:pPr>
          </w:p>
          <w:p w14:paraId="7EF04D41" w14:textId="77777777" w:rsidR="00836718" w:rsidRPr="00A94C4D" w:rsidRDefault="00836718" w:rsidP="00282336">
            <w:pPr>
              <w:spacing w:line="240" w:lineRule="auto"/>
              <w:rPr>
                <w:sz w:val="16"/>
                <w:szCs w:val="16"/>
              </w:rPr>
            </w:pPr>
          </w:p>
          <w:p w14:paraId="63D0C01B" w14:textId="77777777" w:rsidR="00836718" w:rsidRPr="00A94C4D" w:rsidRDefault="00836718" w:rsidP="00282336">
            <w:pPr>
              <w:spacing w:line="240" w:lineRule="auto"/>
              <w:rPr>
                <w:sz w:val="16"/>
                <w:szCs w:val="16"/>
              </w:rPr>
            </w:pPr>
          </w:p>
          <w:p w14:paraId="5A66B1A3" w14:textId="77777777" w:rsidR="00836718" w:rsidRPr="00A94C4D" w:rsidRDefault="00836718" w:rsidP="00282336">
            <w:pPr>
              <w:spacing w:line="240" w:lineRule="auto"/>
              <w:rPr>
                <w:sz w:val="16"/>
                <w:szCs w:val="16"/>
              </w:rPr>
            </w:pPr>
          </w:p>
          <w:p w14:paraId="30B98E49" w14:textId="77777777" w:rsidR="00836718" w:rsidRPr="00A94C4D" w:rsidRDefault="00836718" w:rsidP="00282336">
            <w:pPr>
              <w:spacing w:line="240" w:lineRule="auto"/>
              <w:rPr>
                <w:sz w:val="16"/>
                <w:szCs w:val="16"/>
              </w:rPr>
            </w:pPr>
          </w:p>
          <w:p w14:paraId="599458B7" w14:textId="77777777" w:rsidR="00836718" w:rsidRPr="00A94C4D" w:rsidRDefault="00836718" w:rsidP="00282336">
            <w:pPr>
              <w:spacing w:line="240" w:lineRule="auto"/>
              <w:rPr>
                <w:sz w:val="16"/>
                <w:szCs w:val="16"/>
              </w:rPr>
            </w:pPr>
          </w:p>
          <w:p w14:paraId="2B1C4849" w14:textId="77777777" w:rsidR="00836718" w:rsidRPr="00A94C4D" w:rsidRDefault="00836718" w:rsidP="00282336">
            <w:pPr>
              <w:spacing w:line="240" w:lineRule="auto"/>
              <w:rPr>
                <w:sz w:val="16"/>
                <w:szCs w:val="16"/>
              </w:rPr>
            </w:pPr>
          </w:p>
          <w:p w14:paraId="770DF042" w14:textId="77777777" w:rsidR="00836718" w:rsidRPr="00A94C4D" w:rsidRDefault="00836718" w:rsidP="00282336">
            <w:pPr>
              <w:spacing w:line="240" w:lineRule="auto"/>
              <w:rPr>
                <w:sz w:val="16"/>
                <w:szCs w:val="16"/>
              </w:rPr>
            </w:pPr>
          </w:p>
          <w:p w14:paraId="6CC708B6" w14:textId="77777777" w:rsidR="00836718" w:rsidRPr="00A94C4D" w:rsidRDefault="00836718" w:rsidP="00282336">
            <w:pPr>
              <w:spacing w:line="240" w:lineRule="auto"/>
              <w:rPr>
                <w:sz w:val="16"/>
                <w:szCs w:val="16"/>
              </w:rPr>
            </w:pPr>
          </w:p>
          <w:p w14:paraId="2AA62E52" w14:textId="77777777" w:rsidR="00836718" w:rsidRPr="00A94C4D" w:rsidRDefault="00836718" w:rsidP="00282336">
            <w:pPr>
              <w:spacing w:line="240" w:lineRule="auto"/>
              <w:rPr>
                <w:sz w:val="16"/>
                <w:szCs w:val="16"/>
              </w:rPr>
            </w:pPr>
          </w:p>
          <w:p w14:paraId="444BD189" w14:textId="77777777" w:rsidR="00836718" w:rsidRPr="00A94C4D" w:rsidRDefault="00836718" w:rsidP="00282336">
            <w:pPr>
              <w:spacing w:line="240" w:lineRule="auto"/>
              <w:rPr>
                <w:sz w:val="16"/>
                <w:szCs w:val="16"/>
              </w:rPr>
            </w:pPr>
          </w:p>
          <w:p w14:paraId="2BB25521" w14:textId="77777777" w:rsidR="00836718" w:rsidRPr="00A94C4D" w:rsidRDefault="00836718" w:rsidP="00282336">
            <w:pPr>
              <w:spacing w:line="240" w:lineRule="auto"/>
              <w:rPr>
                <w:sz w:val="16"/>
                <w:szCs w:val="16"/>
              </w:rPr>
            </w:pPr>
          </w:p>
          <w:p w14:paraId="73789D17" w14:textId="77777777" w:rsidR="00836718" w:rsidRPr="00A94C4D" w:rsidRDefault="00836718" w:rsidP="00282336">
            <w:pPr>
              <w:spacing w:line="240" w:lineRule="auto"/>
              <w:rPr>
                <w:sz w:val="16"/>
                <w:szCs w:val="16"/>
              </w:rPr>
            </w:pPr>
          </w:p>
          <w:p w14:paraId="752F6DD8" w14:textId="77777777" w:rsidR="00836718" w:rsidRPr="00A94C4D" w:rsidRDefault="00836718" w:rsidP="00282336">
            <w:pPr>
              <w:spacing w:line="240" w:lineRule="auto"/>
              <w:rPr>
                <w:sz w:val="16"/>
                <w:szCs w:val="16"/>
              </w:rPr>
            </w:pPr>
          </w:p>
          <w:p w14:paraId="3795E64A" w14:textId="77777777" w:rsidR="00836718" w:rsidRPr="00A94C4D" w:rsidRDefault="00836718" w:rsidP="00282336">
            <w:pPr>
              <w:spacing w:line="240" w:lineRule="auto"/>
              <w:rPr>
                <w:sz w:val="16"/>
                <w:szCs w:val="16"/>
              </w:rPr>
            </w:pPr>
          </w:p>
        </w:tc>
        <w:tc>
          <w:tcPr>
            <w:tcW w:w="1254" w:type="dxa"/>
          </w:tcPr>
          <w:p w14:paraId="0CB0713D" w14:textId="77777777" w:rsidR="00836718" w:rsidRPr="00A94C4D" w:rsidRDefault="00836718" w:rsidP="00282336">
            <w:pPr>
              <w:spacing w:line="240" w:lineRule="auto"/>
              <w:rPr>
                <w:sz w:val="16"/>
                <w:szCs w:val="16"/>
              </w:rPr>
            </w:pPr>
            <w:r w:rsidRPr="00A94C4D">
              <w:rPr>
                <w:sz w:val="16"/>
                <w:szCs w:val="16"/>
              </w:rPr>
              <w:t>12 months</w:t>
            </w:r>
            <w:r w:rsidRPr="00A94C4D">
              <w:rPr>
                <w:sz w:val="16"/>
                <w:szCs w:val="16"/>
              </w:rPr>
              <w:br/>
              <w:t>Follow up: baseline, 6 months</w:t>
            </w:r>
            <w:r w:rsidRPr="00A94C4D">
              <w:rPr>
                <w:sz w:val="16"/>
                <w:szCs w:val="16"/>
              </w:rPr>
              <w:br/>
              <w:t>Drop out:26%</w:t>
            </w:r>
          </w:p>
          <w:p w14:paraId="67F4E828" w14:textId="77777777" w:rsidR="00836718" w:rsidRPr="00A94C4D" w:rsidRDefault="00836718" w:rsidP="00282336">
            <w:pPr>
              <w:spacing w:line="240" w:lineRule="auto"/>
              <w:rPr>
                <w:sz w:val="16"/>
                <w:szCs w:val="16"/>
              </w:rPr>
            </w:pPr>
          </w:p>
          <w:p w14:paraId="397B2CCF" w14:textId="77777777" w:rsidR="00836718" w:rsidRPr="00A94C4D" w:rsidRDefault="00836718" w:rsidP="00282336">
            <w:pPr>
              <w:spacing w:line="240" w:lineRule="auto"/>
              <w:rPr>
                <w:sz w:val="16"/>
                <w:szCs w:val="16"/>
              </w:rPr>
            </w:pPr>
          </w:p>
          <w:p w14:paraId="4572D8B7" w14:textId="77777777" w:rsidR="00836718" w:rsidRPr="00A94C4D" w:rsidRDefault="00836718" w:rsidP="00282336">
            <w:pPr>
              <w:spacing w:line="240" w:lineRule="auto"/>
              <w:rPr>
                <w:sz w:val="16"/>
                <w:szCs w:val="16"/>
              </w:rPr>
            </w:pPr>
          </w:p>
          <w:p w14:paraId="61F0C450" w14:textId="77777777" w:rsidR="00836718" w:rsidRPr="00A94C4D" w:rsidRDefault="00836718" w:rsidP="00282336">
            <w:pPr>
              <w:spacing w:line="240" w:lineRule="auto"/>
              <w:rPr>
                <w:sz w:val="16"/>
                <w:szCs w:val="16"/>
              </w:rPr>
            </w:pPr>
          </w:p>
          <w:p w14:paraId="6CA8171D" w14:textId="77777777" w:rsidR="00836718" w:rsidRPr="00A94C4D" w:rsidRDefault="00836718" w:rsidP="00282336">
            <w:pPr>
              <w:spacing w:line="240" w:lineRule="auto"/>
              <w:rPr>
                <w:sz w:val="16"/>
                <w:szCs w:val="16"/>
              </w:rPr>
            </w:pPr>
          </w:p>
          <w:p w14:paraId="078B9C83" w14:textId="77777777" w:rsidR="00836718" w:rsidRPr="00A94C4D" w:rsidRDefault="00836718" w:rsidP="00282336">
            <w:pPr>
              <w:spacing w:line="240" w:lineRule="auto"/>
              <w:rPr>
                <w:sz w:val="16"/>
                <w:szCs w:val="16"/>
              </w:rPr>
            </w:pPr>
          </w:p>
          <w:p w14:paraId="12001380" w14:textId="77777777" w:rsidR="00836718" w:rsidRPr="00A94C4D" w:rsidRDefault="00836718" w:rsidP="00282336">
            <w:pPr>
              <w:spacing w:line="240" w:lineRule="auto"/>
              <w:rPr>
                <w:sz w:val="16"/>
                <w:szCs w:val="16"/>
              </w:rPr>
            </w:pPr>
          </w:p>
          <w:p w14:paraId="27F8DB09" w14:textId="77777777" w:rsidR="00836718" w:rsidRPr="00A94C4D" w:rsidRDefault="00836718" w:rsidP="00282336">
            <w:pPr>
              <w:spacing w:line="240" w:lineRule="auto"/>
              <w:rPr>
                <w:sz w:val="16"/>
                <w:szCs w:val="16"/>
              </w:rPr>
            </w:pPr>
          </w:p>
          <w:p w14:paraId="10F7B154" w14:textId="77777777" w:rsidR="00836718" w:rsidRPr="00A94C4D" w:rsidRDefault="00836718" w:rsidP="00282336">
            <w:pPr>
              <w:spacing w:line="240" w:lineRule="auto"/>
              <w:rPr>
                <w:sz w:val="16"/>
                <w:szCs w:val="16"/>
              </w:rPr>
            </w:pPr>
          </w:p>
          <w:p w14:paraId="095A9AD1" w14:textId="77777777" w:rsidR="00836718" w:rsidRPr="00A94C4D" w:rsidRDefault="00836718" w:rsidP="00282336">
            <w:pPr>
              <w:spacing w:line="240" w:lineRule="auto"/>
              <w:rPr>
                <w:sz w:val="16"/>
                <w:szCs w:val="16"/>
              </w:rPr>
            </w:pPr>
          </w:p>
          <w:p w14:paraId="73F1F959" w14:textId="77777777" w:rsidR="00836718" w:rsidRPr="00A94C4D" w:rsidRDefault="00836718" w:rsidP="00282336">
            <w:pPr>
              <w:spacing w:line="240" w:lineRule="auto"/>
              <w:rPr>
                <w:sz w:val="16"/>
                <w:szCs w:val="16"/>
              </w:rPr>
            </w:pPr>
          </w:p>
          <w:p w14:paraId="24F7B8BB" w14:textId="77777777" w:rsidR="00836718" w:rsidRPr="00A94C4D" w:rsidRDefault="00836718" w:rsidP="00282336">
            <w:pPr>
              <w:spacing w:line="240" w:lineRule="auto"/>
              <w:rPr>
                <w:sz w:val="16"/>
                <w:szCs w:val="16"/>
              </w:rPr>
            </w:pPr>
          </w:p>
          <w:p w14:paraId="4E7698E7" w14:textId="77777777" w:rsidR="00836718" w:rsidRPr="00A94C4D" w:rsidRDefault="00836718" w:rsidP="00282336">
            <w:pPr>
              <w:spacing w:line="240" w:lineRule="auto"/>
              <w:rPr>
                <w:sz w:val="16"/>
                <w:szCs w:val="16"/>
              </w:rPr>
            </w:pPr>
          </w:p>
          <w:p w14:paraId="36D4ADE2" w14:textId="77777777" w:rsidR="00836718" w:rsidRPr="00A94C4D" w:rsidRDefault="00836718" w:rsidP="00282336">
            <w:pPr>
              <w:spacing w:line="240" w:lineRule="auto"/>
              <w:rPr>
                <w:sz w:val="16"/>
                <w:szCs w:val="16"/>
              </w:rPr>
            </w:pPr>
          </w:p>
          <w:p w14:paraId="181F9A62" w14:textId="77777777" w:rsidR="00836718" w:rsidRPr="00A94C4D" w:rsidRDefault="00836718" w:rsidP="00282336">
            <w:pPr>
              <w:spacing w:line="240" w:lineRule="auto"/>
              <w:rPr>
                <w:sz w:val="16"/>
                <w:szCs w:val="16"/>
              </w:rPr>
            </w:pPr>
          </w:p>
        </w:tc>
        <w:tc>
          <w:tcPr>
            <w:tcW w:w="2501" w:type="dxa"/>
          </w:tcPr>
          <w:p w14:paraId="0F726EEE" w14:textId="77777777" w:rsidR="00836718" w:rsidRPr="00A94C4D" w:rsidRDefault="00836718" w:rsidP="00282336">
            <w:pPr>
              <w:spacing w:line="240" w:lineRule="auto"/>
              <w:rPr>
                <w:sz w:val="16"/>
                <w:szCs w:val="16"/>
              </w:rPr>
            </w:pPr>
            <w:r w:rsidRPr="00A94C4D">
              <w:rPr>
                <w:sz w:val="16"/>
                <w:szCs w:val="16"/>
              </w:rPr>
              <w:t xml:space="preserve">Primary:HbA1c; </w:t>
            </w:r>
            <w:proofErr w:type="spellStart"/>
            <w:r w:rsidRPr="00A94C4D">
              <w:rPr>
                <w:sz w:val="16"/>
                <w:szCs w:val="16"/>
              </w:rPr>
              <w:t>LDL</w:t>
            </w:r>
            <w:proofErr w:type="spellEnd"/>
            <w:r w:rsidRPr="00A94C4D">
              <w:rPr>
                <w:sz w:val="16"/>
                <w:szCs w:val="16"/>
              </w:rPr>
              <w:t xml:space="preserve"> cholesterol; blood pressure</w:t>
            </w:r>
            <w:r w:rsidRPr="00A94C4D">
              <w:rPr>
                <w:sz w:val="16"/>
                <w:szCs w:val="16"/>
              </w:rPr>
              <w:br/>
            </w:r>
            <w:r w:rsidRPr="00A94C4D">
              <w:rPr>
                <w:sz w:val="16"/>
                <w:szCs w:val="16"/>
              </w:rPr>
              <w:br/>
            </w:r>
            <w:r w:rsidRPr="00A94C4D">
              <w:rPr>
                <w:sz w:val="16"/>
                <w:szCs w:val="16"/>
              </w:rPr>
              <w:br/>
              <w:t>Secondary: Diabetes self-management (Summary</w:t>
            </w:r>
            <w:r w:rsidRPr="00A94C4D">
              <w:rPr>
                <w:sz w:val="16"/>
                <w:szCs w:val="16"/>
              </w:rPr>
              <w:br/>
              <w:t>of Diabetes Self-Care Activ</w:t>
            </w:r>
            <w:r>
              <w:rPr>
                <w:sz w:val="16"/>
                <w:szCs w:val="16"/>
              </w:rPr>
              <w:t xml:space="preserve">ities scale); Diabetes-specific psychological distress (Problem </w:t>
            </w:r>
            <w:r w:rsidRPr="00A94C4D">
              <w:rPr>
                <w:sz w:val="16"/>
                <w:szCs w:val="16"/>
              </w:rPr>
              <w:t>Areas in Diabetes scale); Participant empowerment (Perceived Competence for Diabetes scale); Physical activity and dietary practices (CDC’s Behavioural Risk Factor Surveillance System)</w:t>
            </w:r>
          </w:p>
          <w:p w14:paraId="34166552" w14:textId="77777777" w:rsidR="00836718" w:rsidRPr="00A94C4D" w:rsidRDefault="00836718" w:rsidP="00282336">
            <w:pPr>
              <w:spacing w:line="240" w:lineRule="auto"/>
              <w:rPr>
                <w:sz w:val="16"/>
                <w:szCs w:val="16"/>
              </w:rPr>
            </w:pPr>
          </w:p>
          <w:p w14:paraId="5A39D1DB" w14:textId="77777777" w:rsidR="00836718" w:rsidRPr="00A94C4D" w:rsidRDefault="00836718" w:rsidP="00282336">
            <w:pPr>
              <w:spacing w:line="240" w:lineRule="auto"/>
              <w:rPr>
                <w:sz w:val="16"/>
                <w:szCs w:val="16"/>
              </w:rPr>
            </w:pPr>
          </w:p>
          <w:p w14:paraId="77349AF1" w14:textId="77777777" w:rsidR="00836718" w:rsidRPr="00A94C4D" w:rsidRDefault="00836718" w:rsidP="00282336">
            <w:pPr>
              <w:spacing w:line="240" w:lineRule="auto"/>
              <w:rPr>
                <w:sz w:val="16"/>
                <w:szCs w:val="16"/>
              </w:rPr>
            </w:pPr>
          </w:p>
          <w:p w14:paraId="38290E55" w14:textId="77777777" w:rsidR="00836718" w:rsidRPr="00A94C4D" w:rsidRDefault="00836718" w:rsidP="00282336">
            <w:pPr>
              <w:spacing w:line="240" w:lineRule="auto"/>
              <w:rPr>
                <w:sz w:val="16"/>
                <w:szCs w:val="16"/>
              </w:rPr>
            </w:pPr>
          </w:p>
        </w:tc>
        <w:tc>
          <w:tcPr>
            <w:tcW w:w="2713" w:type="dxa"/>
            <w:hideMark/>
          </w:tcPr>
          <w:p w14:paraId="1A17933F" w14:textId="77777777" w:rsidR="00836718" w:rsidRPr="00A94C4D" w:rsidRDefault="00836718" w:rsidP="00282336">
            <w:pPr>
              <w:spacing w:line="240" w:lineRule="auto"/>
              <w:rPr>
                <w:sz w:val="16"/>
                <w:szCs w:val="16"/>
              </w:rPr>
            </w:pPr>
            <w:r w:rsidRPr="00A94C4D">
              <w:rPr>
                <w:sz w:val="16"/>
                <w:szCs w:val="16"/>
              </w:rPr>
              <w:t>Adjusted mean HbA1c level was 8.6% at baseline in the intervention group; this level significantly improved to 7.8% at 6 months, change of -0.8 percentage points (p&lt;.01)</w:t>
            </w:r>
            <w:r w:rsidRPr="00A94C4D">
              <w:rPr>
                <w:sz w:val="16"/>
                <w:szCs w:val="16"/>
              </w:rPr>
              <w:br/>
            </w:r>
            <w:r w:rsidRPr="00A94C4D">
              <w:rPr>
                <w:sz w:val="16"/>
                <w:szCs w:val="16"/>
              </w:rPr>
              <w:br/>
              <w:t>All groups demonstrated statistically significant increase physical activity: from 37% to 53% for the intervention group (p&lt;.05) and from 32% to 53% for the control group (p&lt;.01). No difference between groups</w:t>
            </w:r>
            <w:r w:rsidRPr="00A94C4D">
              <w:rPr>
                <w:sz w:val="16"/>
                <w:szCs w:val="16"/>
              </w:rPr>
              <w:br/>
            </w:r>
            <w:r w:rsidRPr="00A94C4D">
              <w:rPr>
                <w:sz w:val="16"/>
                <w:szCs w:val="16"/>
              </w:rPr>
              <w:br/>
              <w:t>At 6 months control group only improved dietary practices (p&lt;.05)</w:t>
            </w:r>
            <w:r w:rsidRPr="00A94C4D">
              <w:rPr>
                <w:sz w:val="16"/>
                <w:szCs w:val="16"/>
              </w:rPr>
              <w:br/>
            </w:r>
            <w:r w:rsidRPr="00A94C4D">
              <w:rPr>
                <w:sz w:val="16"/>
                <w:szCs w:val="16"/>
              </w:rPr>
              <w:br/>
              <w:t>At 6 months Diabetes self-care significantly improved between intervention group vs control; feet inspection (49% -77%; p&lt;.01);Significant within intervention group only blood testing (74%-87%; p&lt;.05).</w:t>
            </w:r>
          </w:p>
        </w:tc>
      </w:tr>
      <w:tr w:rsidR="00836718" w:rsidRPr="00A94C4D" w14:paraId="18ACB23B" w14:textId="77777777" w:rsidTr="00282336">
        <w:trPr>
          <w:trHeight w:val="3402"/>
        </w:trPr>
        <w:tc>
          <w:tcPr>
            <w:tcW w:w="1121" w:type="dxa"/>
            <w:hideMark/>
          </w:tcPr>
          <w:p w14:paraId="4CB25E84" w14:textId="77777777" w:rsidR="00836718" w:rsidRPr="00A94C4D" w:rsidRDefault="00836718" w:rsidP="00282336">
            <w:pPr>
              <w:spacing w:line="240" w:lineRule="auto"/>
              <w:rPr>
                <w:sz w:val="16"/>
                <w:szCs w:val="16"/>
              </w:rPr>
            </w:pPr>
            <w:r w:rsidRPr="00A94C4D">
              <w:rPr>
                <w:sz w:val="16"/>
                <w:szCs w:val="16"/>
              </w:rPr>
              <w:t>12.Babamoto et al (2009)</w:t>
            </w:r>
          </w:p>
        </w:tc>
        <w:tc>
          <w:tcPr>
            <w:tcW w:w="1669" w:type="dxa"/>
            <w:hideMark/>
          </w:tcPr>
          <w:p w14:paraId="71E0D640" w14:textId="77777777" w:rsidR="00836718" w:rsidRPr="00A94C4D" w:rsidRDefault="00836718" w:rsidP="00282336">
            <w:pPr>
              <w:spacing w:line="240" w:lineRule="auto"/>
              <w:rPr>
                <w:sz w:val="16"/>
                <w:szCs w:val="16"/>
              </w:rPr>
            </w:pPr>
            <w:r w:rsidRPr="00A94C4D">
              <w:rPr>
                <w:sz w:val="16"/>
                <w:szCs w:val="16"/>
              </w:rPr>
              <w:t>n=189</w:t>
            </w:r>
            <w:r w:rsidRPr="00A94C4D">
              <w:rPr>
                <w:sz w:val="16"/>
                <w:szCs w:val="16"/>
              </w:rPr>
              <w:br/>
              <w:t xml:space="preserve">Age (mean ± SD): 50±11.9, </w:t>
            </w:r>
            <w:r w:rsidRPr="00A94C4D">
              <w:rPr>
                <w:sz w:val="16"/>
                <w:szCs w:val="16"/>
              </w:rPr>
              <w:br/>
              <w:t>Female n(%):121(64)</w:t>
            </w:r>
            <w:r w:rsidRPr="00A94C4D">
              <w:rPr>
                <w:sz w:val="16"/>
                <w:szCs w:val="16"/>
              </w:rPr>
              <w:br/>
              <w:t>Male n(%): 68(36)</w:t>
            </w:r>
          </w:p>
        </w:tc>
        <w:tc>
          <w:tcPr>
            <w:tcW w:w="1407" w:type="dxa"/>
            <w:hideMark/>
          </w:tcPr>
          <w:p w14:paraId="59884F75" w14:textId="77777777" w:rsidR="00836718" w:rsidRPr="00A94C4D" w:rsidRDefault="00836718" w:rsidP="00282336">
            <w:pPr>
              <w:spacing w:line="240" w:lineRule="auto"/>
              <w:rPr>
                <w:sz w:val="16"/>
                <w:szCs w:val="16"/>
              </w:rPr>
            </w:pPr>
            <w:r w:rsidRPr="00A94C4D">
              <w:rPr>
                <w:sz w:val="16"/>
                <w:szCs w:val="16"/>
              </w:rPr>
              <w:t>Low socioeconomic Hispanic/Latino populations with diabetes, urban, Los Angeles, USA</w:t>
            </w:r>
          </w:p>
        </w:tc>
        <w:tc>
          <w:tcPr>
            <w:tcW w:w="2865" w:type="dxa"/>
            <w:hideMark/>
          </w:tcPr>
          <w:p w14:paraId="5D5D1F3B" w14:textId="77777777" w:rsidR="00836718" w:rsidRPr="00A94C4D" w:rsidRDefault="00836718" w:rsidP="00282336">
            <w:pPr>
              <w:spacing w:line="240" w:lineRule="auto"/>
              <w:rPr>
                <w:sz w:val="16"/>
                <w:szCs w:val="16"/>
              </w:rPr>
            </w:pPr>
            <w:r w:rsidRPr="00A94C4D">
              <w:rPr>
                <w:sz w:val="16"/>
                <w:szCs w:val="16"/>
              </w:rPr>
              <w:t xml:space="preserve">6-month </w:t>
            </w:r>
            <w:proofErr w:type="spellStart"/>
            <w:r w:rsidRPr="00A94C4D">
              <w:rPr>
                <w:sz w:val="16"/>
                <w:szCs w:val="16"/>
              </w:rPr>
              <w:t>CLW</w:t>
            </w:r>
            <w:proofErr w:type="spellEnd"/>
            <w:r w:rsidRPr="00A94C4D">
              <w:rPr>
                <w:sz w:val="16"/>
                <w:szCs w:val="16"/>
              </w:rPr>
              <w:t xml:space="preserve"> program, Amigos en </w:t>
            </w:r>
            <w:proofErr w:type="spellStart"/>
            <w:r w:rsidRPr="00A94C4D">
              <w:rPr>
                <w:sz w:val="16"/>
                <w:szCs w:val="16"/>
              </w:rPr>
              <w:t>Salud</w:t>
            </w:r>
            <w:proofErr w:type="spellEnd"/>
            <w:r w:rsidRPr="00A94C4D">
              <w:rPr>
                <w:sz w:val="16"/>
                <w:szCs w:val="16"/>
              </w:rPr>
              <w:t xml:space="preserve"> (Friends in Health), using trained lay people. All </w:t>
            </w:r>
            <w:proofErr w:type="spellStart"/>
            <w:r w:rsidRPr="00A94C4D">
              <w:rPr>
                <w:sz w:val="16"/>
                <w:szCs w:val="16"/>
              </w:rPr>
              <w:t>CLWs</w:t>
            </w:r>
            <w:proofErr w:type="spellEnd"/>
            <w:r w:rsidRPr="00A94C4D">
              <w:rPr>
                <w:sz w:val="16"/>
                <w:szCs w:val="16"/>
              </w:rPr>
              <w:t xml:space="preserve"> received formal program training before the study </w:t>
            </w:r>
            <w:proofErr w:type="gramStart"/>
            <w:r w:rsidRPr="00A94C4D">
              <w:rPr>
                <w:sz w:val="16"/>
                <w:szCs w:val="16"/>
              </w:rPr>
              <w:t>was initiated</w:t>
            </w:r>
            <w:proofErr w:type="gramEnd"/>
            <w:r w:rsidRPr="00A94C4D">
              <w:rPr>
                <w:sz w:val="16"/>
                <w:szCs w:val="16"/>
              </w:rPr>
              <w:t xml:space="preserve">. </w:t>
            </w:r>
            <w:proofErr w:type="spellStart"/>
            <w:r w:rsidRPr="00A94C4D">
              <w:rPr>
                <w:sz w:val="16"/>
                <w:szCs w:val="16"/>
              </w:rPr>
              <w:t>CLWs</w:t>
            </w:r>
            <w:proofErr w:type="spellEnd"/>
            <w:r w:rsidRPr="00A94C4D">
              <w:rPr>
                <w:sz w:val="16"/>
                <w:szCs w:val="16"/>
              </w:rPr>
              <w:t xml:space="preserve"> conducted 10 weekly individual educational sessions based on ADA standards with participants and their family members. Tailored to the participants’ needs, such as knowledge, identified problems, goals, and level of progress.</w:t>
            </w:r>
          </w:p>
        </w:tc>
        <w:tc>
          <w:tcPr>
            <w:tcW w:w="1868" w:type="dxa"/>
            <w:hideMark/>
          </w:tcPr>
          <w:p w14:paraId="58841192" w14:textId="77777777" w:rsidR="00836718" w:rsidRPr="00A94C4D" w:rsidRDefault="00836718" w:rsidP="00282336">
            <w:pPr>
              <w:spacing w:line="240" w:lineRule="auto"/>
              <w:rPr>
                <w:sz w:val="16"/>
                <w:szCs w:val="16"/>
              </w:rPr>
            </w:pPr>
            <w:r w:rsidRPr="00A94C4D">
              <w:rPr>
                <w:sz w:val="16"/>
                <w:szCs w:val="16"/>
              </w:rPr>
              <w:t>Standard provision: a non-contact control group of type 2 diabetes patients who were not enrolled in the study and who received Physician and Nursing care in clinics</w:t>
            </w:r>
            <w:r w:rsidRPr="00A94C4D">
              <w:rPr>
                <w:sz w:val="16"/>
                <w:szCs w:val="16"/>
              </w:rPr>
              <w:br/>
            </w:r>
            <w:r w:rsidRPr="00A94C4D">
              <w:rPr>
                <w:b/>
                <w:bCs/>
                <w:sz w:val="16"/>
                <w:szCs w:val="16"/>
              </w:rPr>
              <w:t>or</w:t>
            </w:r>
            <w:r w:rsidRPr="00A94C4D">
              <w:rPr>
                <w:sz w:val="16"/>
                <w:szCs w:val="16"/>
              </w:rPr>
              <w:br/>
              <w:t>Case management: Registered Nurses worked directly with individual patients, following standardized clinic protocols for diabetes education and monitoring as per ADA guidelines</w:t>
            </w:r>
          </w:p>
        </w:tc>
        <w:tc>
          <w:tcPr>
            <w:tcW w:w="1254" w:type="dxa"/>
            <w:hideMark/>
          </w:tcPr>
          <w:p w14:paraId="5DA2E089" w14:textId="77777777" w:rsidR="00836718" w:rsidRPr="00A94C4D" w:rsidRDefault="00836718" w:rsidP="00282336">
            <w:pPr>
              <w:spacing w:line="240" w:lineRule="auto"/>
              <w:rPr>
                <w:sz w:val="16"/>
                <w:szCs w:val="16"/>
              </w:rPr>
            </w:pPr>
            <w:r w:rsidRPr="00A94C4D">
              <w:rPr>
                <w:sz w:val="16"/>
                <w:szCs w:val="16"/>
              </w:rPr>
              <w:t xml:space="preserve">6 months </w:t>
            </w:r>
            <w:r w:rsidRPr="00A94C4D">
              <w:rPr>
                <w:sz w:val="16"/>
                <w:szCs w:val="16"/>
              </w:rPr>
              <w:br/>
              <w:t>Follow up: baseline, 6 months</w:t>
            </w:r>
            <w:r w:rsidRPr="00A94C4D">
              <w:rPr>
                <w:sz w:val="16"/>
                <w:szCs w:val="16"/>
              </w:rPr>
              <w:br/>
              <w:t>Drop out:10%</w:t>
            </w:r>
          </w:p>
        </w:tc>
        <w:tc>
          <w:tcPr>
            <w:tcW w:w="2501" w:type="dxa"/>
            <w:hideMark/>
          </w:tcPr>
          <w:p w14:paraId="4C8CC115" w14:textId="77777777" w:rsidR="00836718" w:rsidRPr="00A94C4D" w:rsidRDefault="00836718" w:rsidP="00282336">
            <w:pPr>
              <w:spacing w:line="240" w:lineRule="auto"/>
              <w:rPr>
                <w:sz w:val="16"/>
                <w:szCs w:val="16"/>
              </w:rPr>
            </w:pPr>
            <w:r w:rsidRPr="00A94C4D">
              <w:rPr>
                <w:sz w:val="16"/>
                <w:szCs w:val="16"/>
              </w:rPr>
              <w:t>Primary: HbA1c; BMI;  Medication Behaviour &amp; Adherence (</w:t>
            </w:r>
            <w:proofErr w:type="spellStart"/>
            <w:r w:rsidRPr="00A94C4D">
              <w:rPr>
                <w:sz w:val="16"/>
                <w:szCs w:val="16"/>
              </w:rPr>
              <w:t>Morisky</w:t>
            </w:r>
            <w:proofErr w:type="spellEnd"/>
            <w:r w:rsidRPr="00A94C4D">
              <w:rPr>
                <w:sz w:val="16"/>
                <w:szCs w:val="16"/>
              </w:rPr>
              <w:t xml:space="preserve"> Self-Reported Medication behaviour Scale); Diabetes knowledge (Diabetes Knowledge</w:t>
            </w:r>
            <w:r w:rsidRPr="00A94C4D">
              <w:rPr>
                <w:sz w:val="16"/>
                <w:szCs w:val="16"/>
              </w:rPr>
              <w:br/>
              <w:t>Questionnaire)</w:t>
            </w:r>
            <w:r w:rsidRPr="00A94C4D">
              <w:rPr>
                <w:sz w:val="16"/>
                <w:szCs w:val="16"/>
              </w:rPr>
              <w:br/>
            </w:r>
            <w:r w:rsidRPr="00A94C4D">
              <w:rPr>
                <w:sz w:val="16"/>
                <w:szCs w:val="16"/>
              </w:rPr>
              <w:br/>
            </w:r>
            <w:r w:rsidRPr="00A94C4D">
              <w:rPr>
                <w:sz w:val="16"/>
                <w:szCs w:val="16"/>
              </w:rPr>
              <w:br/>
              <w:t>Secondary: NR</w:t>
            </w:r>
          </w:p>
        </w:tc>
        <w:tc>
          <w:tcPr>
            <w:tcW w:w="2713" w:type="dxa"/>
            <w:hideMark/>
          </w:tcPr>
          <w:p w14:paraId="4ED83040" w14:textId="77777777" w:rsidR="00836718" w:rsidRPr="00A94C4D" w:rsidRDefault="00836718" w:rsidP="00282336">
            <w:pPr>
              <w:spacing w:line="240" w:lineRule="auto"/>
              <w:rPr>
                <w:sz w:val="16"/>
                <w:szCs w:val="16"/>
              </w:rPr>
            </w:pPr>
            <w:r w:rsidRPr="00A94C4D">
              <w:rPr>
                <w:sz w:val="16"/>
                <w:szCs w:val="16"/>
              </w:rPr>
              <w:t xml:space="preserve">Mean HbA1c decreased significantly from 8.6% to 7.2% (p &lt; .05) in the </w:t>
            </w:r>
            <w:proofErr w:type="spellStart"/>
            <w:r w:rsidRPr="00A94C4D">
              <w:rPr>
                <w:sz w:val="16"/>
                <w:szCs w:val="16"/>
              </w:rPr>
              <w:t>CLW</w:t>
            </w:r>
            <w:proofErr w:type="spellEnd"/>
            <w:r w:rsidRPr="00A94C4D">
              <w:rPr>
                <w:sz w:val="16"/>
                <w:szCs w:val="16"/>
              </w:rPr>
              <w:t xml:space="preserve"> group, 8.5% to 7.4% (p&lt; .05) in the case management group, and 9.5% to 7.4% (p &lt; .05) in the standard provider care group. No change in non-contact group.</w:t>
            </w:r>
          </w:p>
          <w:p w14:paraId="56BFD71F" w14:textId="77777777" w:rsidR="00836718" w:rsidRPr="00A94C4D" w:rsidRDefault="00836718" w:rsidP="00282336">
            <w:pPr>
              <w:spacing w:line="240" w:lineRule="auto"/>
              <w:rPr>
                <w:sz w:val="16"/>
                <w:szCs w:val="16"/>
              </w:rPr>
            </w:pPr>
            <w:r w:rsidRPr="00A94C4D">
              <w:rPr>
                <w:sz w:val="16"/>
                <w:szCs w:val="16"/>
              </w:rPr>
              <w:t xml:space="preserve">Medication Adherence improved significantly in both the case management group (77%to 55%, </w:t>
            </w:r>
            <w:r w:rsidRPr="00A94C4D">
              <w:rPr>
                <w:i/>
                <w:iCs/>
                <w:sz w:val="16"/>
                <w:szCs w:val="16"/>
              </w:rPr>
              <w:t>p</w:t>
            </w:r>
            <w:r w:rsidRPr="00A94C4D">
              <w:rPr>
                <w:sz w:val="16"/>
                <w:szCs w:val="16"/>
              </w:rPr>
              <w:t xml:space="preserve"> &lt; .05) and standard provider care groups (67% to 50%, p &lt; .05) only. No Change in non-contact group</w:t>
            </w:r>
            <w:r w:rsidRPr="00A94C4D">
              <w:rPr>
                <w:sz w:val="16"/>
                <w:szCs w:val="16"/>
              </w:rPr>
              <w:br/>
            </w:r>
            <w:r w:rsidRPr="00A94C4D">
              <w:rPr>
                <w:sz w:val="16"/>
                <w:szCs w:val="16"/>
              </w:rPr>
              <w:br/>
              <w:t>No change in BMI</w:t>
            </w:r>
            <w:r w:rsidRPr="00A94C4D">
              <w:rPr>
                <w:sz w:val="16"/>
                <w:szCs w:val="16"/>
              </w:rPr>
              <w:br/>
            </w:r>
            <w:r w:rsidRPr="00A94C4D">
              <w:rPr>
                <w:sz w:val="16"/>
                <w:szCs w:val="16"/>
              </w:rPr>
              <w:br/>
              <w:t>Mean Diabetes Knowledge Scale score significantly improved from 10.6 to  14.7* (</w:t>
            </w:r>
            <w:r w:rsidRPr="00A94C4D">
              <w:rPr>
                <w:i/>
                <w:iCs/>
                <w:sz w:val="16"/>
                <w:szCs w:val="16"/>
              </w:rPr>
              <w:t>p</w:t>
            </w:r>
            <w:r w:rsidRPr="00A94C4D">
              <w:rPr>
                <w:sz w:val="16"/>
                <w:szCs w:val="16"/>
              </w:rPr>
              <w:t xml:space="preserve">&lt;.05) in the </w:t>
            </w:r>
            <w:proofErr w:type="spellStart"/>
            <w:r w:rsidRPr="00A94C4D">
              <w:rPr>
                <w:sz w:val="16"/>
                <w:szCs w:val="16"/>
              </w:rPr>
              <w:t>CLW</w:t>
            </w:r>
            <w:proofErr w:type="spellEnd"/>
            <w:r w:rsidRPr="00A94C4D">
              <w:rPr>
                <w:sz w:val="16"/>
                <w:szCs w:val="16"/>
              </w:rPr>
              <w:t xml:space="preserve"> group only</w:t>
            </w:r>
            <w:r w:rsidRPr="00A94C4D">
              <w:rPr>
                <w:sz w:val="16"/>
                <w:szCs w:val="16"/>
              </w:rPr>
              <w:br/>
            </w:r>
            <w:r w:rsidRPr="00A94C4D">
              <w:rPr>
                <w:sz w:val="16"/>
                <w:szCs w:val="16"/>
              </w:rPr>
              <w:br/>
              <w:t xml:space="preserve">Exercise 3 days a week increased from 28% to 63% (p&lt; .05) in the </w:t>
            </w:r>
            <w:proofErr w:type="spellStart"/>
            <w:r w:rsidRPr="00A94C4D">
              <w:rPr>
                <w:sz w:val="16"/>
                <w:szCs w:val="16"/>
              </w:rPr>
              <w:t>CLW</w:t>
            </w:r>
            <w:proofErr w:type="spellEnd"/>
            <w:r w:rsidRPr="00A94C4D">
              <w:rPr>
                <w:sz w:val="16"/>
                <w:szCs w:val="16"/>
              </w:rPr>
              <w:t xml:space="preserve"> group and from 17% to 35% (</w:t>
            </w:r>
            <w:r w:rsidRPr="00A94C4D">
              <w:rPr>
                <w:i/>
                <w:iCs/>
                <w:sz w:val="16"/>
                <w:szCs w:val="16"/>
              </w:rPr>
              <w:t>p</w:t>
            </w:r>
            <w:r w:rsidRPr="00A94C4D">
              <w:rPr>
                <w:sz w:val="16"/>
                <w:szCs w:val="16"/>
              </w:rPr>
              <w:t xml:space="preserve"> &lt; .05) in the standard provider care group but remained unchanged in the case management group</w:t>
            </w:r>
          </w:p>
        </w:tc>
      </w:tr>
    </w:tbl>
    <w:p w14:paraId="343E3F7A" w14:textId="77777777" w:rsidR="00836718" w:rsidRDefault="00836718" w:rsidP="00836718"/>
    <w:p w14:paraId="5315EE15" w14:textId="77777777" w:rsidR="00836718" w:rsidRPr="00A94C4D" w:rsidRDefault="00836718" w:rsidP="00836718">
      <w:pPr>
        <w:rPr>
          <w:szCs w:val="16"/>
        </w:rPr>
      </w:pPr>
      <w:proofErr w:type="spellStart"/>
      <w:proofErr w:type="gramStart"/>
      <w:r w:rsidRPr="00A94C4D">
        <w:rPr>
          <w:sz w:val="18"/>
          <w:szCs w:val="16"/>
        </w:rPr>
        <w:lastRenderedPageBreak/>
        <w:t>CLW</w:t>
      </w:r>
      <w:proofErr w:type="spellEnd"/>
      <w:r w:rsidRPr="00A94C4D">
        <w:rPr>
          <w:sz w:val="18"/>
          <w:szCs w:val="16"/>
        </w:rPr>
        <w:t>- Community Link Worker;</w:t>
      </w:r>
      <w:r w:rsidRPr="00A94C4D">
        <w:rPr>
          <w:sz w:val="18"/>
        </w:rPr>
        <w:t xml:space="preserve"> </w:t>
      </w:r>
      <w:r w:rsidRPr="00A94C4D">
        <w:rPr>
          <w:sz w:val="18"/>
          <w:szCs w:val="16"/>
        </w:rPr>
        <w:t xml:space="preserve">NR - not reported; </w:t>
      </w:r>
      <w:proofErr w:type="spellStart"/>
      <w:r w:rsidRPr="00A94C4D">
        <w:rPr>
          <w:sz w:val="18"/>
          <w:szCs w:val="16"/>
        </w:rPr>
        <w:t>PN-LCNS</w:t>
      </w:r>
      <w:proofErr w:type="spellEnd"/>
      <w:r w:rsidRPr="00A94C4D">
        <w:rPr>
          <w:sz w:val="18"/>
          <w:szCs w:val="16"/>
        </w:rPr>
        <w:t>- Patient Navigation-</w:t>
      </w:r>
      <w:proofErr w:type="spellStart"/>
      <w:r w:rsidRPr="00A94C4D">
        <w:rPr>
          <w:sz w:val="18"/>
          <w:szCs w:val="16"/>
        </w:rPr>
        <w:t>Livestrong</w:t>
      </w:r>
      <w:proofErr w:type="spellEnd"/>
      <w:r w:rsidRPr="00A94C4D">
        <w:rPr>
          <w:sz w:val="18"/>
          <w:szCs w:val="16"/>
        </w:rPr>
        <w:t xml:space="preserve"> Cancer Navigation Services; </w:t>
      </w:r>
      <w:proofErr w:type="spellStart"/>
      <w:r w:rsidRPr="00A94C4D">
        <w:rPr>
          <w:sz w:val="18"/>
          <w:szCs w:val="16"/>
        </w:rPr>
        <w:t>PN</w:t>
      </w:r>
      <w:proofErr w:type="spellEnd"/>
      <w:r w:rsidRPr="00A94C4D">
        <w:rPr>
          <w:sz w:val="18"/>
          <w:szCs w:val="16"/>
        </w:rPr>
        <w:t xml:space="preserve"> - Patient Navigation; </w:t>
      </w:r>
      <w:proofErr w:type="spellStart"/>
      <w:r w:rsidRPr="00A94C4D">
        <w:rPr>
          <w:sz w:val="18"/>
          <w:szCs w:val="16"/>
        </w:rPr>
        <w:t>HRQOL</w:t>
      </w:r>
      <w:proofErr w:type="spellEnd"/>
      <w:r w:rsidRPr="00A94C4D">
        <w:rPr>
          <w:sz w:val="18"/>
          <w:szCs w:val="16"/>
        </w:rPr>
        <w:t>- Health Related Quality of Life; CI- confidence Interval; EQ-5D-5L - a standardized measure of self-reported health-related quality of life that assesses 5 dimensions at 5 levels of severity;</w:t>
      </w:r>
      <w:r w:rsidRPr="00A94C4D">
        <w:rPr>
          <w:sz w:val="18"/>
        </w:rPr>
        <w:t xml:space="preserve"> HbA1c-haemoglobin; </w:t>
      </w:r>
      <w:r w:rsidRPr="00A94C4D">
        <w:rPr>
          <w:sz w:val="18"/>
          <w:szCs w:val="16"/>
        </w:rPr>
        <w:t xml:space="preserve">BMI - body mass index; </w:t>
      </w:r>
      <w:proofErr w:type="spellStart"/>
      <w:r w:rsidRPr="00A94C4D">
        <w:rPr>
          <w:sz w:val="18"/>
          <w:szCs w:val="16"/>
        </w:rPr>
        <w:t>SBP</w:t>
      </w:r>
      <w:proofErr w:type="spellEnd"/>
      <w:r w:rsidRPr="00A94C4D">
        <w:rPr>
          <w:sz w:val="18"/>
          <w:szCs w:val="16"/>
        </w:rPr>
        <w:t>-systolic blood pressure; CPD-cigarettes per day; PL - Peer leader</w:t>
      </w:r>
      <w:r w:rsidRPr="00A94C4D">
        <w:rPr>
          <w:sz w:val="18"/>
        </w:rPr>
        <w:t xml:space="preserve">; </w:t>
      </w:r>
      <w:proofErr w:type="spellStart"/>
      <w:r w:rsidRPr="00A94C4D">
        <w:rPr>
          <w:sz w:val="18"/>
          <w:szCs w:val="16"/>
        </w:rPr>
        <w:t>LDLC</w:t>
      </w:r>
      <w:proofErr w:type="spellEnd"/>
      <w:r w:rsidRPr="00A94C4D">
        <w:rPr>
          <w:sz w:val="18"/>
          <w:szCs w:val="16"/>
        </w:rPr>
        <w:t xml:space="preserve">- low-density lipoprotein cholesterol; </w:t>
      </w:r>
      <w:proofErr w:type="spellStart"/>
      <w:r w:rsidRPr="00A94C4D">
        <w:rPr>
          <w:sz w:val="18"/>
          <w:szCs w:val="16"/>
        </w:rPr>
        <w:t>EUC</w:t>
      </w:r>
      <w:proofErr w:type="spellEnd"/>
      <w:r w:rsidRPr="00A94C4D">
        <w:rPr>
          <w:sz w:val="18"/>
          <w:szCs w:val="16"/>
        </w:rPr>
        <w:t xml:space="preserve">-Enhanced Usual care; PHQ-9 Patient Health Questionnaire-9; </w:t>
      </w:r>
      <w:proofErr w:type="spellStart"/>
      <w:r w:rsidRPr="00A94C4D">
        <w:rPr>
          <w:sz w:val="18"/>
          <w:szCs w:val="16"/>
        </w:rPr>
        <w:t>PHQ</w:t>
      </w:r>
      <w:proofErr w:type="spellEnd"/>
      <w:r w:rsidRPr="00A94C4D">
        <w:rPr>
          <w:sz w:val="18"/>
          <w:szCs w:val="16"/>
        </w:rPr>
        <w:t xml:space="preserve"> 2 Patient Health Questionnaire- 2; </w:t>
      </w:r>
      <w:proofErr w:type="spellStart"/>
      <w:r w:rsidRPr="00A94C4D">
        <w:rPr>
          <w:sz w:val="18"/>
          <w:szCs w:val="16"/>
        </w:rPr>
        <w:t>LDL</w:t>
      </w:r>
      <w:proofErr w:type="spellEnd"/>
      <w:r w:rsidRPr="00A94C4D">
        <w:rPr>
          <w:sz w:val="18"/>
          <w:szCs w:val="16"/>
        </w:rPr>
        <w:t xml:space="preserve">- Low Density </w:t>
      </w:r>
      <w:proofErr w:type="spellStart"/>
      <w:r w:rsidRPr="00A94C4D">
        <w:rPr>
          <w:sz w:val="18"/>
          <w:szCs w:val="16"/>
        </w:rPr>
        <w:t>Liporotein</w:t>
      </w:r>
      <w:proofErr w:type="spellEnd"/>
      <w:r w:rsidRPr="00A94C4D">
        <w:rPr>
          <w:sz w:val="18"/>
          <w:szCs w:val="16"/>
        </w:rPr>
        <w:t>; CDC- Centre for Disease Control; ADA- American Diabetes Association</w:t>
      </w:r>
      <w:r w:rsidRPr="00A94C4D">
        <w:t>.</w:t>
      </w:r>
      <w:proofErr w:type="gramEnd"/>
    </w:p>
    <w:p w14:paraId="0B5B6F67" w14:textId="77777777" w:rsidR="00836718" w:rsidRDefault="00836718">
      <w:bookmarkStart w:id="2" w:name="_GoBack"/>
      <w:bookmarkEnd w:id="2"/>
    </w:p>
    <w:sectPr w:rsidR="00836718" w:rsidSect="008367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2M7A0MrM0MzcwsjRV0lEKTi0uzszPAykwrAUAJ38OzywAAAA="/>
  </w:docVars>
  <w:rsids>
    <w:rsidRoot w:val="00836718"/>
    <w:rsid w:val="000124C6"/>
    <w:rsid w:val="00836718"/>
    <w:rsid w:val="00D3381D"/>
    <w:rsid w:val="00DC0D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3726"/>
  <w15:chartTrackingRefBased/>
  <w15:docId w15:val="{FE4939AD-7214-4D77-B9D7-9A2757CB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718"/>
    <w:pPr>
      <w:spacing w:after="0" w:line="480" w:lineRule="auto"/>
    </w:pPr>
    <w:rPr>
      <w:rFonts w:ascii="Times New Roman" w:eastAsia="Calibri"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26E0CFFF9FE45BD2CB263267B20B8" ma:contentTypeVersion="17" ma:contentTypeDescription="Create a new document." ma:contentTypeScope="" ma:versionID="67daa8f1acec22b257497c3dc82ae468">
  <xsd:schema xmlns:xsd="http://www.w3.org/2001/XMLSchema" xmlns:xs="http://www.w3.org/2001/XMLSchema" xmlns:p="http://schemas.microsoft.com/office/2006/metadata/properties" xmlns:ns3="4d7bad49-c627-49c1-a616-6d8566e63c2b" xmlns:ns4="ded1f8b3-5aa2-4571-9161-4fc26ee1fabc" targetNamespace="http://schemas.microsoft.com/office/2006/metadata/properties" ma:root="true" ma:fieldsID="1e10e6bbb510b69662a0d1c8ad3deaea" ns3:_="" ns4:_="">
    <xsd:import namespace="4d7bad49-c627-49c1-a616-6d8566e63c2b"/>
    <xsd:import namespace="ded1f8b3-5aa2-4571-9161-4fc26ee1fab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bad49-c627-49c1-a616-6d8566e6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1f8b3-5aa2-4571-9161-4fc26ee1fa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7bad49-c627-49c1-a616-6d8566e63c2b" xsi:nil="true"/>
  </documentManagement>
</p:properties>
</file>

<file path=customXml/itemProps1.xml><?xml version="1.0" encoding="utf-8"?>
<ds:datastoreItem xmlns:ds="http://schemas.openxmlformats.org/officeDocument/2006/customXml" ds:itemID="{CE006696-537D-4F7F-AE46-93CEB91DE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bad49-c627-49c1-a616-6d8566e63c2b"/>
    <ds:schemaRef ds:uri="ded1f8b3-5aa2-4571-9161-4fc26ee1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8F4B4-DCBF-4A26-9BC4-FAC10BE13E10}">
  <ds:schemaRefs>
    <ds:schemaRef ds:uri="http://schemas.microsoft.com/sharepoint/v3/contenttype/forms"/>
  </ds:schemaRefs>
</ds:datastoreItem>
</file>

<file path=customXml/itemProps3.xml><?xml version="1.0" encoding="utf-8"?>
<ds:datastoreItem xmlns:ds="http://schemas.openxmlformats.org/officeDocument/2006/customXml" ds:itemID="{50E43FB1-3D26-4BDF-866C-7EF27A411BFD}">
  <ds:schemaRefs>
    <ds:schemaRef ds:uri="ded1f8b3-5aa2-4571-9161-4fc26ee1fabc"/>
    <ds:schemaRef ds:uri="http://purl.org/dc/elements/1.1/"/>
    <ds:schemaRef ds:uri="http://schemas.microsoft.com/office/2006/metadata/properties"/>
    <ds:schemaRef ds:uri="http://purl.org/dc/terms/"/>
    <ds:schemaRef ds:uri="4d7bad49-c627-49c1-a616-6d8566e63c2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Declan</dc:creator>
  <cp:keywords/>
  <dc:description/>
  <cp:lastModifiedBy>O'Sullivan, Declan</cp:lastModifiedBy>
  <cp:revision>1</cp:revision>
  <dcterms:created xsi:type="dcterms:W3CDTF">2024-01-10T11:48:00Z</dcterms:created>
  <dcterms:modified xsi:type="dcterms:W3CDTF">2024-01-10T11:49:00Z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0x010100B9F26E0CFFF9FE45BD2CB263267B20B8</vt:lpwstr>
  </property>
</Properties>
</file>