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90AA6C" w14:textId="486BA9C0" w:rsidR="006667DE" w:rsidRPr="005603B2" w:rsidRDefault="00B9205C" w:rsidP="005603B2">
      <w:pPr>
        <w:pStyle w:val="Heading1"/>
        <w:rPr>
          <w:rFonts w:ascii="Times New Roman" w:hAnsi="Times New Roman" w:cs="Times New Roman"/>
          <w:b/>
          <w:color w:val="auto"/>
          <w:sz w:val="24"/>
          <w:lang w:val="en-GB"/>
        </w:rPr>
      </w:pPr>
      <w:bookmarkStart w:id="0" w:name="_Toc111822367"/>
      <w:r w:rsidRPr="005603B2">
        <w:rPr>
          <w:rFonts w:ascii="Times New Roman" w:hAnsi="Times New Roman" w:cs="Times New Roman"/>
          <w:b/>
          <w:color w:val="auto"/>
          <w:sz w:val="24"/>
          <w:lang w:val="en-GB"/>
        </w:rPr>
        <w:t xml:space="preserve">Supplementary </w:t>
      </w:r>
      <w:r w:rsidR="006667DE" w:rsidRPr="005603B2">
        <w:rPr>
          <w:rFonts w:ascii="Times New Roman" w:hAnsi="Times New Roman" w:cs="Times New Roman"/>
          <w:b/>
          <w:color w:val="auto"/>
          <w:sz w:val="24"/>
          <w:lang w:val="en-GB"/>
        </w:rPr>
        <w:t>Information</w:t>
      </w:r>
      <w:bookmarkEnd w:id="0"/>
    </w:p>
    <w:p w14:paraId="359FD148" w14:textId="3FFC1DF6" w:rsidR="000B7D45" w:rsidRPr="005603B2" w:rsidRDefault="000B7D45" w:rsidP="00597F71">
      <w:pPr>
        <w:pStyle w:val="Heading2"/>
        <w:spacing w:line="240" w:lineRule="auto"/>
        <w:rPr>
          <w:rFonts w:ascii="Times New Roman" w:hAnsi="Times New Roman" w:cs="Times New Roman"/>
          <w:b/>
          <w:color w:val="auto"/>
          <w:sz w:val="20"/>
          <w:lang w:val="en-GB"/>
        </w:rPr>
      </w:pPr>
      <w:bookmarkStart w:id="1" w:name="_Toc111822368"/>
      <w:r w:rsidRPr="005603B2">
        <w:rPr>
          <w:rFonts w:ascii="Times New Roman" w:hAnsi="Times New Roman" w:cs="Times New Roman"/>
          <w:b/>
          <w:color w:val="auto"/>
          <w:sz w:val="20"/>
          <w:lang w:val="en-GB"/>
        </w:rPr>
        <w:t>Isolation and identification of pneumococci</w:t>
      </w:r>
      <w:bookmarkEnd w:id="1"/>
    </w:p>
    <w:p w14:paraId="78FA7861" w14:textId="4D9F843E" w:rsidR="000B7D45" w:rsidRPr="005603B2" w:rsidRDefault="000B7D45"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 xml:space="preserve">50 </w:t>
      </w:r>
      <w:proofErr w:type="spellStart"/>
      <w:r w:rsidRPr="005603B2">
        <w:rPr>
          <w:rFonts w:ascii="Times New Roman" w:hAnsi="Times New Roman" w:cs="Times New Roman"/>
          <w:sz w:val="20"/>
          <w:lang w:val="en-GB"/>
        </w:rPr>
        <w:t>μL</w:t>
      </w:r>
      <w:proofErr w:type="spellEnd"/>
      <w:r w:rsidRPr="005603B2">
        <w:rPr>
          <w:rFonts w:ascii="Times New Roman" w:hAnsi="Times New Roman" w:cs="Times New Roman"/>
          <w:sz w:val="20"/>
          <w:lang w:val="en-GB"/>
        </w:rPr>
        <w:t xml:space="preserve"> of NPS STGG was plated on streptococcal selective agar COBA (</w:t>
      </w:r>
      <w:proofErr w:type="spellStart"/>
      <w:r w:rsidRPr="005603B2">
        <w:rPr>
          <w:rFonts w:ascii="Times New Roman" w:hAnsi="Times New Roman" w:cs="Times New Roman"/>
          <w:sz w:val="20"/>
          <w:lang w:val="en-GB"/>
        </w:rPr>
        <w:t>Oxoid</w:t>
      </w:r>
      <w:proofErr w:type="spellEnd"/>
      <w:r w:rsidRPr="005603B2">
        <w:rPr>
          <w:rFonts w:ascii="Times New Roman" w:hAnsi="Times New Roman" w:cs="Times New Roman"/>
          <w:sz w:val="20"/>
          <w:lang w:val="en-GB"/>
        </w:rPr>
        <w:t xml:space="preserve">, UK) and incubated overnight at 37ºC in 5% CO2. Positive cultures were sub-cultured on blood agar in the same conditions, and species identification was performed by colony morphology, </w:t>
      </w:r>
      <w:proofErr w:type="spellStart"/>
      <w:r w:rsidRPr="005603B2">
        <w:rPr>
          <w:rFonts w:ascii="Times New Roman" w:hAnsi="Times New Roman" w:cs="Times New Roman"/>
          <w:sz w:val="20"/>
          <w:lang w:val="en-GB"/>
        </w:rPr>
        <w:t>optochin</w:t>
      </w:r>
      <w:proofErr w:type="spellEnd"/>
      <w:r w:rsidRPr="005603B2">
        <w:rPr>
          <w:rFonts w:ascii="Times New Roman" w:hAnsi="Times New Roman" w:cs="Times New Roman"/>
          <w:sz w:val="20"/>
          <w:lang w:val="en-GB"/>
        </w:rPr>
        <w:t xml:space="preserve"> susceptibility test (Sigma-Aldrich, Germany) and bile solubility test (Sigma-Aldrich, Germany). When two different morphologies were observed in the positive culture, both isolates underwent sub-culture and phenotypic identification.</w:t>
      </w:r>
    </w:p>
    <w:p w14:paraId="6AE58BD8" w14:textId="361138D7" w:rsidR="00EE76EF" w:rsidRPr="005603B2" w:rsidRDefault="00EE76EF" w:rsidP="00597F71">
      <w:pPr>
        <w:pStyle w:val="Heading2"/>
        <w:spacing w:line="240" w:lineRule="auto"/>
        <w:rPr>
          <w:rFonts w:ascii="Times New Roman" w:hAnsi="Times New Roman" w:cs="Times New Roman"/>
          <w:b/>
          <w:color w:val="auto"/>
          <w:sz w:val="20"/>
          <w:lang w:val="en-GB"/>
        </w:rPr>
      </w:pPr>
      <w:bookmarkStart w:id="2" w:name="_Toc111822369"/>
      <w:r w:rsidRPr="005603B2">
        <w:rPr>
          <w:rFonts w:ascii="Times New Roman" w:hAnsi="Times New Roman" w:cs="Times New Roman"/>
          <w:b/>
          <w:color w:val="auto"/>
          <w:sz w:val="20"/>
          <w:lang w:val="en-GB"/>
        </w:rPr>
        <w:t>Whole-genome sequencing</w:t>
      </w:r>
      <w:bookmarkEnd w:id="2"/>
    </w:p>
    <w:p w14:paraId="0332D475" w14:textId="5AD965DA" w:rsidR="00EE76EF" w:rsidRPr="005603B2" w:rsidRDefault="00EE76EF"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Pneumococcal isolates were inoculated in 4 mL of Todd-Hewitt broth and incubated overnight at 37°C in 5% CO</w:t>
      </w:r>
      <w:r w:rsidRPr="005603B2">
        <w:rPr>
          <w:rFonts w:ascii="Times New Roman" w:hAnsi="Times New Roman" w:cs="Times New Roman"/>
          <w:sz w:val="20"/>
          <w:vertAlign w:val="subscript"/>
          <w:lang w:val="en-GB"/>
        </w:rPr>
        <w:t>2</w:t>
      </w:r>
      <w:r w:rsidRPr="005603B2">
        <w:rPr>
          <w:rFonts w:ascii="Times New Roman" w:hAnsi="Times New Roman" w:cs="Times New Roman"/>
          <w:sz w:val="20"/>
          <w:lang w:val="en-GB"/>
        </w:rPr>
        <w:t xml:space="preserve">. DNA was extracted </w:t>
      </w:r>
      <w:r w:rsidR="00E21389" w:rsidRPr="005603B2">
        <w:rPr>
          <w:rFonts w:ascii="Times New Roman" w:hAnsi="Times New Roman" w:cs="Times New Roman"/>
          <w:sz w:val="20"/>
          <w:lang w:val="en-GB"/>
        </w:rPr>
        <w:t xml:space="preserve">using </w:t>
      </w:r>
      <w:proofErr w:type="spellStart"/>
      <w:r w:rsidRPr="005603B2">
        <w:rPr>
          <w:rFonts w:ascii="Times New Roman" w:hAnsi="Times New Roman" w:cs="Times New Roman"/>
          <w:sz w:val="20"/>
          <w:lang w:val="en-GB"/>
        </w:rPr>
        <w:t>MasterPure</w:t>
      </w:r>
      <w:proofErr w:type="spellEnd"/>
      <w:r w:rsidRPr="005603B2">
        <w:rPr>
          <w:rFonts w:ascii="Times New Roman" w:hAnsi="Times New Roman" w:cs="Times New Roman"/>
          <w:sz w:val="20"/>
          <w:lang w:val="en-GB"/>
        </w:rPr>
        <w:t xml:space="preserve">™ Complete DNA and RNA Purification Kit </w:t>
      </w:r>
      <w:r w:rsidR="00E21389" w:rsidRPr="005603B2">
        <w:rPr>
          <w:rFonts w:ascii="Times New Roman" w:hAnsi="Times New Roman" w:cs="Times New Roman"/>
          <w:sz w:val="20"/>
          <w:lang w:val="en-GB"/>
        </w:rPr>
        <w:t>(</w:t>
      </w:r>
      <w:r w:rsidRPr="005603B2">
        <w:rPr>
          <w:rFonts w:ascii="Times New Roman" w:hAnsi="Times New Roman" w:cs="Times New Roman"/>
          <w:sz w:val="20"/>
          <w:lang w:val="en-GB"/>
        </w:rPr>
        <w:t xml:space="preserve">Epicentre, USA) according to manufacturer’s instructions with few modifications. Briefly, 1 mL of the overnight culture was pelleted and </w:t>
      </w:r>
      <w:proofErr w:type="spellStart"/>
      <w:r w:rsidRPr="005603B2">
        <w:rPr>
          <w:rFonts w:ascii="Times New Roman" w:hAnsi="Times New Roman" w:cs="Times New Roman"/>
          <w:sz w:val="20"/>
          <w:lang w:val="en-GB"/>
        </w:rPr>
        <w:t>resuspended</w:t>
      </w:r>
      <w:proofErr w:type="spellEnd"/>
      <w:r w:rsidRPr="005603B2">
        <w:rPr>
          <w:rFonts w:ascii="Times New Roman" w:hAnsi="Times New Roman" w:cs="Times New Roman"/>
          <w:sz w:val="20"/>
          <w:lang w:val="en-GB"/>
        </w:rPr>
        <w:t xml:space="preserve"> in 150 µL TE buffer. Ready-to-Lyse lysozyme (Epicentre, USA) and </w:t>
      </w:r>
      <w:proofErr w:type="spellStart"/>
      <w:r w:rsidRPr="005603B2">
        <w:rPr>
          <w:rFonts w:ascii="Times New Roman" w:hAnsi="Times New Roman" w:cs="Times New Roman"/>
          <w:sz w:val="20"/>
          <w:lang w:val="en-GB"/>
        </w:rPr>
        <w:t>mutanolysin</w:t>
      </w:r>
      <w:proofErr w:type="spellEnd"/>
      <w:r w:rsidRPr="005603B2">
        <w:rPr>
          <w:rFonts w:ascii="Times New Roman" w:hAnsi="Times New Roman" w:cs="Times New Roman"/>
          <w:sz w:val="20"/>
          <w:lang w:val="en-GB"/>
        </w:rPr>
        <w:t xml:space="preserve"> (Sigma-Aldrich, Germany) 5000 U ml</w:t>
      </w:r>
      <w:r w:rsidRPr="005603B2">
        <w:rPr>
          <w:rFonts w:ascii="Times New Roman" w:hAnsi="Times New Roman" w:cs="Times New Roman"/>
          <w:sz w:val="20"/>
          <w:vertAlign w:val="superscript"/>
          <w:lang w:val="en-GB"/>
        </w:rPr>
        <w:t>-1</w:t>
      </w:r>
      <w:r w:rsidRPr="005603B2">
        <w:rPr>
          <w:rFonts w:ascii="Times New Roman" w:hAnsi="Times New Roman" w:cs="Times New Roman"/>
          <w:sz w:val="20"/>
          <w:lang w:val="en-GB"/>
        </w:rPr>
        <w:t xml:space="preserve"> were added, and the solution was incubated at 37°C for 30 minutes. 150 µL of Tissue and Cell Lysis Solution containing Proteinase K (50 µg µl</w:t>
      </w:r>
      <w:r w:rsidRPr="005603B2">
        <w:rPr>
          <w:rFonts w:ascii="Times New Roman" w:hAnsi="Times New Roman" w:cs="Times New Roman"/>
          <w:sz w:val="20"/>
          <w:vertAlign w:val="superscript"/>
          <w:lang w:val="en-GB"/>
        </w:rPr>
        <w:t>-1</w:t>
      </w:r>
      <w:r w:rsidRPr="005603B2">
        <w:rPr>
          <w:rFonts w:ascii="Times New Roman" w:hAnsi="Times New Roman" w:cs="Times New Roman"/>
          <w:sz w:val="20"/>
          <w:lang w:val="en-GB"/>
        </w:rPr>
        <w:t xml:space="preserve">) was added, after which the manufacturer’s protocol was followed. </w:t>
      </w:r>
    </w:p>
    <w:p w14:paraId="46EF1913" w14:textId="59054161" w:rsidR="00E21389" w:rsidRPr="005603B2" w:rsidRDefault="00EE76EF"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After DNA extraction, an additional cleaning and concentration step was performed using DNA Clean &amp; Concentrator™-10 (</w:t>
      </w:r>
      <w:proofErr w:type="spellStart"/>
      <w:r w:rsidRPr="005603B2">
        <w:rPr>
          <w:rFonts w:ascii="Times New Roman" w:hAnsi="Times New Roman" w:cs="Times New Roman"/>
          <w:sz w:val="20"/>
          <w:lang w:val="en-GB"/>
        </w:rPr>
        <w:t>Zymo</w:t>
      </w:r>
      <w:proofErr w:type="spellEnd"/>
      <w:r w:rsidRPr="005603B2">
        <w:rPr>
          <w:rFonts w:ascii="Times New Roman" w:hAnsi="Times New Roman" w:cs="Times New Roman"/>
          <w:sz w:val="20"/>
          <w:lang w:val="en-GB"/>
        </w:rPr>
        <w:t xml:space="preserve"> Research, USA) according to the manufacturer’s instructions. DNA concentration was determined using Qubit </w:t>
      </w:r>
      <w:proofErr w:type="spellStart"/>
      <w:r w:rsidRPr="005603B2">
        <w:rPr>
          <w:rFonts w:ascii="Times New Roman" w:hAnsi="Times New Roman" w:cs="Times New Roman"/>
          <w:sz w:val="20"/>
          <w:lang w:val="en-GB"/>
        </w:rPr>
        <w:t>Fluorometer</w:t>
      </w:r>
      <w:proofErr w:type="spellEnd"/>
      <w:r w:rsidRPr="005603B2">
        <w:rPr>
          <w:rFonts w:ascii="Times New Roman" w:hAnsi="Times New Roman" w:cs="Times New Roman"/>
          <w:sz w:val="20"/>
          <w:lang w:val="en-GB"/>
        </w:rPr>
        <w:t xml:space="preserve"> 3.0 (</w:t>
      </w:r>
      <w:proofErr w:type="spellStart"/>
      <w:r w:rsidRPr="005603B2">
        <w:rPr>
          <w:rFonts w:ascii="Times New Roman" w:hAnsi="Times New Roman" w:cs="Times New Roman"/>
          <w:sz w:val="20"/>
          <w:lang w:val="en-GB"/>
        </w:rPr>
        <w:t>Thermo</w:t>
      </w:r>
      <w:proofErr w:type="spellEnd"/>
      <w:r w:rsidRPr="005603B2">
        <w:rPr>
          <w:rFonts w:ascii="Times New Roman" w:hAnsi="Times New Roman" w:cs="Times New Roman"/>
          <w:sz w:val="20"/>
          <w:lang w:val="en-GB"/>
        </w:rPr>
        <w:t xml:space="preserve"> Fischer Scientific, USA).</w:t>
      </w:r>
    </w:p>
    <w:p w14:paraId="161AC6D7" w14:textId="39D9E55D" w:rsidR="00E21389" w:rsidRPr="005603B2" w:rsidRDefault="00E21389" w:rsidP="00597F71">
      <w:pPr>
        <w:pStyle w:val="Heading2"/>
        <w:spacing w:line="240" w:lineRule="auto"/>
        <w:rPr>
          <w:rFonts w:ascii="Times New Roman" w:hAnsi="Times New Roman" w:cs="Times New Roman"/>
          <w:b/>
          <w:color w:val="auto"/>
          <w:sz w:val="20"/>
          <w:lang w:val="en-GB"/>
        </w:rPr>
      </w:pPr>
      <w:bookmarkStart w:id="3" w:name="_Toc111822370"/>
      <w:r w:rsidRPr="005603B2">
        <w:rPr>
          <w:rFonts w:ascii="Times New Roman" w:hAnsi="Times New Roman" w:cs="Times New Roman"/>
          <w:b/>
          <w:color w:val="auto"/>
          <w:sz w:val="20"/>
          <w:lang w:val="en-GB"/>
        </w:rPr>
        <w:t>CAP-IT trial</w:t>
      </w:r>
      <w:bookmarkEnd w:id="3"/>
    </w:p>
    <w:p w14:paraId="1C4AEB91" w14:textId="730F1BA9" w:rsidR="00E21389" w:rsidRPr="005603B2" w:rsidRDefault="00E21389"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 xml:space="preserve">One of the secondary endpoints of the trial was </w:t>
      </w:r>
      <w:r w:rsidR="00300ABC">
        <w:rPr>
          <w:rFonts w:ascii="Times New Roman" w:hAnsi="Times New Roman" w:cs="Times New Roman"/>
          <w:sz w:val="20"/>
          <w:lang w:val="en-GB"/>
        </w:rPr>
        <w:t xml:space="preserve">phenotypic </w:t>
      </w:r>
      <w:r w:rsidR="00774C54">
        <w:rPr>
          <w:rFonts w:ascii="Times New Roman" w:hAnsi="Times New Roman" w:cs="Times New Roman"/>
          <w:sz w:val="20"/>
          <w:lang w:val="en-GB"/>
        </w:rPr>
        <w:t xml:space="preserve">penicillin non-susceptibility or resistance in nasopharyngeal </w:t>
      </w:r>
      <w:r w:rsidR="00774C54" w:rsidRPr="00774C54">
        <w:rPr>
          <w:rFonts w:ascii="Times New Roman" w:hAnsi="Times New Roman" w:cs="Times New Roman"/>
          <w:i/>
          <w:iCs/>
          <w:sz w:val="20"/>
          <w:lang w:val="en-GB"/>
        </w:rPr>
        <w:t xml:space="preserve">S. </w:t>
      </w:r>
      <w:proofErr w:type="spellStart"/>
      <w:r w:rsidR="00774C54" w:rsidRPr="00774C54">
        <w:rPr>
          <w:rFonts w:ascii="Times New Roman" w:hAnsi="Times New Roman" w:cs="Times New Roman"/>
          <w:i/>
          <w:iCs/>
          <w:sz w:val="20"/>
          <w:lang w:val="en-GB"/>
        </w:rPr>
        <w:t>pneumoniae</w:t>
      </w:r>
      <w:proofErr w:type="spellEnd"/>
      <w:r w:rsidRPr="005603B2">
        <w:rPr>
          <w:rFonts w:ascii="Times New Roman" w:hAnsi="Times New Roman" w:cs="Times New Roman"/>
          <w:sz w:val="20"/>
          <w:lang w:val="en-GB"/>
        </w:rPr>
        <w:t xml:space="preserve">. </w:t>
      </w:r>
      <w:r w:rsidR="006F486E" w:rsidRPr="006F486E">
        <w:rPr>
          <w:rFonts w:ascii="Times New Roman" w:hAnsi="Times New Roman" w:cs="Times New Roman"/>
          <w:sz w:val="20"/>
          <w:lang w:val="en-GB"/>
        </w:rPr>
        <w:t xml:space="preserve">Penicillin non-susceptibility in patients with a culture positive for </w:t>
      </w:r>
      <w:r w:rsidR="006F486E" w:rsidRPr="0033041F">
        <w:rPr>
          <w:rFonts w:ascii="Times New Roman" w:hAnsi="Times New Roman" w:cs="Times New Roman"/>
          <w:i/>
          <w:iCs/>
          <w:sz w:val="20"/>
          <w:lang w:val="en-GB"/>
        </w:rPr>
        <w:t xml:space="preserve">S. </w:t>
      </w:r>
      <w:proofErr w:type="spellStart"/>
      <w:r w:rsidR="006F486E" w:rsidRPr="0033041F">
        <w:rPr>
          <w:rFonts w:ascii="Times New Roman" w:hAnsi="Times New Roman" w:cs="Times New Roman"/>
          <w:i/>
          <w:iCs/>
          <w:sz w:val="20"/>
          <w:lang w:val="en-GB"/>
        </w:rPr>
        <w:t>pneumoniae</w:t>
      </w:r>
      <w:proofErr w:type="spellEnd"/>
      <w:r w:rsidR="006F486E">
        <w:rPr>
          <w:rFonts w:ascii="Times New Roman" w:hAnsi="Times New Roman" w:cs="Times New Roman"/>
          <w:sz w:val="20"/>
          <w:lang w:val="en-GB"/>
        </w:rPr>
        <w:t xml:space="preserve"> was 17% at baseline and 16% 28 days later</w:t>
      </w:r>
      <w:r w:rsidR="00760634">
        <w:rPr>
          <w:rFonts w:ascii="Times New Roman" w:hAnsi="Times New Roman" w:cs="Times New Roman"/>
          <w:sz w:val="20"/>
          <w:lang w:val="en-GB"/>
        </w:rPr>
        <w:t>, and n</w:t>
      </w:r>
      <w:r w:rsidRPr="005603B2">
        <w:rPr>
          <w:rFonts w:ascii="Times New Roman" w:hAnsi="Times New Roman" w:cs="Times New Roman"/>
          <w:sz w:val="20"/>
          <w:lang w:val="en-GB"/>
        </w:rPr>
        <w:t>o significant differences were observed between the different arms of the trial, indicating that the treatment had no effect in pneumococcal non-susceptibility levels, or this effect had been lost before the follow-up visit. Finally, serotypes were evenly distributed across the different arms (Table S</w:t>
      </w:r>
      <w:r w:rsidR="003D1A1E">
        <w:rPr>
          <w:rFonts w:ascii="Times New Roman" w:hAnsi="Times New Roman" w:cs="Times New Roman"/>
          <w:sz w:val="20"/>
          <w:lang w:val="en-GB"/>
        </w:rPr>
        <w:t>3</w:t>
      </w:r>
      <w:r w:rsidRPr="005603B2">
        <w:rPr>
          <w:rFonts w:ascii="Times New Roman" w:hAnsi="Times New Roman" w:cs="Times New Roman"/>
          <w:sz w:val="20"/>
          <w:lang w:val="en-GB"/>
        </w:rPr>
        <w:t>). For all these reasons, it was decided to study the overall isolate population instead of focusing on differences between the trial arms.</w:t>
      </w:r>
    </w:p>
    <w:p w14:paraId="7EFE313B" w14:textId="77777777" w:rsidR="00B06A07" w:rsidRDefault="00B06A07" w:rsidP="00B06A07">
      <w:pPr>
        <w:pStyle w:val="Heading2"/>
        <w:spacing w:line="240" w:lineRule="auto"/>
        <w:rPr>
          <w:rFonts w:ascii="Times New Roman" w:hAnsi="Times New Roman" w:cs="Times New Roman"/>
          <w:b/>
          <w:color w:val="auto"/>
          <w:sz w:val="20"/>
          <w:lang w:val="en-GB"/>
        </w:rPr>
      </w:pPr>
      <w:bookmarkStart w:id="4" w:name="_Toc111822371"/>
      <w:r>
        <w:rPr>
          <w:rFonts w:ascii="Times New Roman" w:hAnsi="Times New Roman" w:cs="Times New Roman"/>
          <w:b/>
          <w:color w:val="auto"/>
          <w:sz w:val="20"/>
          <w:lang w:val="en-GB"/>
        </w:rPr>
        <w:t>Selection of isolates</w:t>
      </w:r>
      <w:bookmarkEnd w:id="4"/>
    </w:p>
    <w:p w14:paraId="39B33571" w14:textId="1935B220" w:rsidR="00B06A07" w:rsidRPr="00B06A07" w:rsidRDefault="00B06A07" w:rsidP="00B06A07">
      <w:pPr>
        <w:spacing w:line="240" w:lineRule="auto"/>
        <w:rPr>
          <w:rFonts w:ascii="Times New Roman" w:hAnsi="Times New Roman" w:cs="Times New Roman"/>
          <w:sz w:val="20"/>
          <w:lang w:val="en-GB"/>
        </w:rPr>
      </w:pPr>
      <w:r w:rsidRPr="002F5D01">
        <w:rPr>
          <w:rFonts w:ascii="Times New Roman" w:hAnsi="Times New Roman" w:cs="Times New Roman"/>
          <w:sz w:val="20"/>
          <w:lang w:val="en-GB"/>
        </w:rPr>
        <w:t>In total, 497 isolates were obtained</w:t>
      </w:r>
      <w:r>
        <w:rPr>
          <w:rFonts w:ascii="Times New Roman" w:hAnsi="Times New Roman" w:cs="Times New Roman"/>
          <w:sz w:val="20"/>
          <w:lang w:val="en-GB"/>
        </w:rPr>
        <w:t xml:space="preserve"> from 346 patients. Of these,</w:t>
      </w:r>
      <w:r w:rsidRPr="002F5D01">
        <w:rPr>
          <w:rFonts w:ascii="Times New Roman" w:hAnsi="Times New Roman" w:cs="Times New Roman"/>
          <w:sz w:val="20"/>
          <w:lang w:val="en-GB"/>
        </w:rPr>
        <w:t xml:space="preserve"> 21 were identified as non-pneumococci. </w:t>
      </w:r>
      <w:r>
        <w:rPr>
          <w:rFonts w:ascii="Times New Roman" w:hAnsi="Times New Roman" w:cs="Times New Roman"/>
          <w:sz w:val="20"/>
          <w:lang w:val="en-GB"/>
        </w:rPr>
        <w:t xml:space="preserve">By </w:t>
      </w:r>
      <w:proofErr w:type="spellStart"/>
      <w:r>
        <w:rPr>
          <w:rFonts w:ascii="Times New Roman" w:hAnsi="Times New Roman" w:cs="Times New Roman"/>
          <w:sz w:val="20"/>
          <w:lang w:val="en-GB"/>
        </w:rPr>
        <w:t>rMLST</w:t>
      </w:r>
      <w:proofErr w:type="spellEnd"/>
      <w:r>
        <w:rPr>
          <w:rFonts w:ascii="Times New Roman" w:hAnsi="Times New Roman" w:cs="Times New Roman"/>
          <w:sz w:val="20"/>
          <w:lang w:val="en-GB"/>
        </w:rPr>
        <w:t xml:space="preserve">. Species identified included </w:t>
      </w:r>
      <w:r>
        <w:rPr>
          <w:rFonts w:ascii="Times New Roman" w:hAnsi="Times New Roman" w:cs="Times New Roman"/>
          <w:i/>
          <w:sz w:val="20"/>
          <w:lang w:val="en-GB"/>
        </w:rPr>
        <w:t xml:space="preserve">S. </w:t>
      </w:r>
      <w:r w:rsidRPr="00B06A07">
        <w:rPr>
          <w:rFonts w:ascii="Times New Roman" w:hAnsi="Times New Roman" w:cs="Times New Roman"/>
          <w:i/>
          <w:sz w:val="20"/>
          <w:lang w:val="en-GB"/>
        </w:rPr>
        <w:t>mitis</w:t>
      </w:r>
      <w:r>
        <w:rPr>
          <w:rFonts w:ascii="Times New Roman" w:hAnsi="Times New Roman" w:cs="Times New Roman"/>
          <w:sz w:val="20"/>
          <w:lang w:val="en-GB"/>
        </w:rPr>
        <w:t xml:space="preserve">, </w:t>
      </w:r>
      <w:r>
        <w:rPr>
          <w:rFonts w:ascii="Times New Roman" w:hAnsi="Times New Roman" w:cs="Times New Roman"/>
          <w:i/>
          <w:sz w:val="20"/>
          <w:lang w:val="en-GB"/>
        </w:rPr>
        <w:t xml:space="preserve">S. </w:t>
      </w:r>
      <w:proofErr w:type="spellStart"/>
      <w:r>
        <w:rPr>
          <w:rFonts w:ascii="Times New Roman" w:hAnsi="Times New Roman" w:cs="Times New Roman"/>
          <w:i/>
          <w:sz w:val="20"/>
          <w:lang w:val="en-GB"/>
        </w:rPr>
        <w:t>parasanguinis</w:t>
      </w:r>
      <w:proofErr w:type="spellEnd"/>
      <w:r>
        <w:rPr>
          <w:rFonts w:ascii="Times New Roman" w:hAnsi="Times New Roman" w:cs="Times New Roman"/>
          <w:sz w:val="20"/>
          <w:lang w:val="en-GB"/>
        </w:rPr>
        <w:t xml:space="preserve">, </w:t>
      </w:r>
      <w:r>
        <w:rPr>
          <w:rFonts w:ascii="Times New Roman" w:hAnsi="Times New Roman" w:cs="Times New Roman"/>
          <w:i/>
          <w:sz w:val="20"/>
          <w:lang w:val="en-GB"/>
        </w:rPr>
        <w:t xml:space="preserve">S. </w:t>
      </w:r>
      <w:proofErr w:type="spellStart"/>
      <w:r>
        <w:rPr>
          <w:rFonts w:ascii="Times New Roman" w:hAnsi="Times New Roman" w:cs="Times New Roman"/>
          <w:i/>
          <w:sz w:val="20"/>
          <w:lang w:val="en-GB"/>
        </w:rPr>
        <w:t>pseudopneumoniae</w:t>
      </w:r>
      <w:proofErr w:type="spellEnd"/>
      <w:r>
        <w:rPr>
          <w:rFonts w:ascii="Times New Roman" w:hAnsi="Times New Roman" w:cs="Times New Roman"/>
          <w:sz w:val="20"/>
          <w:lang w:val="en-GB"/>
        </w:rPr>
        <w:t xml:space="preserve"> and </w:t>
      </w:r>
      <w:r>
        <w:rPr>
          <w:rFonts w:ascii="Times New Roman" w:hAnsi="Times New Roman" w:cs="Times New Roman"/>
          <w:i/>
          <w:sz w:val="20"/>
          <w:lang w:val="en-GB"/>
        </w:rPr>
        <w:t xml:space="preserve">S. </w:t>
      </w:r>
      <w:proofErr w:type="spellStart"/>
      <w:r>
        <w:rPr>
          <w:rFonts w:ascii="Times New Roman" w:hAnsi="Times New Roman" w:cs="Times New Roman"/>
          <w:i/>
          <w:sz w:val="20"/>
          <w:lang w:val="en-GB"/>
        </w:rPr>
        <w:t>australis</w:t>
      </w:r>
      <w:proofErr w:type="spellEnd"/>
      <w:r>
        <w:rPr>
          <w:rFonts w:ascii="Times New Roman" w:hAnsi="Times New Roman" w:cs="Times New Roman"/>
          <w:sz w:val="20"/>
          <w:lang w:val="en-GB"/>
        </w:rPr>
        <w:t xml:space="preserve">. </w:t>
      </w:r>
      <w:r w:rsidRPr="002F5D01">
        <w:rPr>
          <w:rFonts w:ascii="Times New Roman" w:hAnsi="Times New Roman" w:cs="Times New Roman"/>
          <w:sz w:val="20"/>
          <w:lang w:val="en-GB"/>
        </w:rPr>
        <w:t xml:space="preserve">Furthermore, </w:t>
      </w:r>
      <w:r>
        <w:rPr>
          <w:rFonts w:ascii="Times New Roman" w:hAnsi="Times New Roman" w:cs="Times New Roman"/>
          <w:sz w:val="20"/>
          <w:lang w:val="en-GB"/>
        </w:rPr>
        <w:t xml:space="preserve">when after MIC determination, serotyping and core genome alignment, </w:t>
      </w:r>
      <w:r w:rsidRPr="002F5D01">
        <w:rPr>
          <w:rFonts w:ascii="Times New Roman" w:hAnsi="Times New Roman" w:cs="Times New Roman"/>
          <w:sz w:val="20"/>
          <w:lang w:val="en-GB"/>
        </w:rPr>
        <w:t xml:space="preserve">86 isolates were </w:t>
      </w:r>
      <w:r>
        <w:rPr>
          <w:rFonts w:ascii="Times New Roman" w:hAnsi="Times New Roman" w:cs="Times New Roman"/>
          <w:sz w:val="20"/>
          <w:lang w:val="en-GB"/>
        </w:rPr>
        <w:t xml:space="preserve">found to be </w:t>
      </w:r>
      <w:r w:rsidRPr="002F5D01">
        <w:rPr>
          <w:rFonts w:ascii="Times New Roman" w:hAnsi="Times New Roman" w:cs="Times New Roman"/>
          <w:sz w:val="20"/>
          <w:lang w:val="en-GB"/>
        </w:rPr>
        <w:t xml:space="preserve">phenotypic and </w:t>
      </w:r>
      <w:proofErr w:type="spellStart"/>
      <w:r w:rsidRPr="002F5D01">
        <w:rPr>
          <w:rFonts w:ascii="Times New Roman" w:hAnsi="Times New Roman" w:cs="Times New Roman"/>
          <w:sz w:val="20"/>
          <w:lang w:val="en-GB"/>
        </w:rPr>
        <w:t>genotypically</w:t>
      </w:r>
      <w:proofErr w:type="spellEnd"/>
      <w:r w:rsidRPr="002F5D01">
        <w:rPr>
          <w:rFonts w:ascii="Times New Roman" w:hAnsi="Times New Roman" w:cs="Times New Roman"/>
          <w:sz w:val="20"/>
          <w:lang w:val="en-GB"/>
        </w:rPr>
        <w:t xml:space="preserve"> identical to isolates obtained from the same patient, leaving 390 unique pneumococcal isolates obtained from 335 patients</w:t>
      </w:r>
      <w:r>
        <w:rPr>
          <w:rFonts w:ascii="Times New Roman" w:hAnsi="Times New Roman" w:cs="Times New Roman"/>
          <w:sz w:val="20"/>
          <w:lang w:val="en-GB"/>
        </w:rPr>
        <w:t>.</w:t>
      </w:r>
    </w:p>
    <w:p w14:paraId="06569919" w14:textId="322A3668" w:rsidR="0013017F" w:rsidRPr="005603B2" w:rsidRDefault="0013017F" w:rsidP="00597F71">
      <w:pPr>
        <w:pStyle w:val="Heading2"/>
        <w:spacing w:line="240" w:lineRule="auto"/>
        <w:rPr>
          <w:rFonts w:ascii="Times New Roman" w:hAnsi="Times New Roman" w:cs="Times New Roman"/>
          <w:b/>
          <w:color w:val="auto"/>
          <w:sz w:val="20"/>
          <w:lang w:val="en-GB"/>
        </w:rPr>
      </w:pPr>
      <w:bookmarkStart w:id="5" w:name="_Toc111822372"/>
      <w:r w:rsidRPr="005603B2">
        <w:rPr>
          <w:rFonts w:ascii="Times New Roman" w:hAnsi="Times New Roman" w:cs="Times New Roman"/>
          <w:b/>
          <w:color w:val="auto"/>
          <w:sz w:val="20"/>
          <w:lang w:val="en-GB"/>
        </w:rPr>
        <w:t>Acquired resistance genes</w:t>
      </w:r>
      <w:bookmarkEnd w:id="5"/>
    </w:p>
    <w:p w14:paraId="707F302E" w14:textId="7ED2FCCD" w:rsidR="0013017F" w:rsidRPr="005603B2" w:rsidRDefault="0013017F"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 xml:space="preserve">The most prevalent genes were </w:t>
      </w:r>
      <w:proofErr w:type="spellStart"/>
      <w:proofErr w:type="gramStart"/>
      <w:r w:rsidRPr="005603B2">
        <w:rPr>
          <w:rFonts w:ascii="Times New Roman" w:hAnsi="Times New Roman" w:cs="Times New Roman"/>
          <w:i/>
          <w:sz w:val="20"/>
          <w:lang w:val="en-GB"/>
        </w:rPr>
        <w:t>tet</w:t>
      </w:r>
      <w:proofErr w:type="spellEnd"/>
      <w:r w:rsidRPr="005603B2">
        <w:rPr>
          <w:rFonts w:ascii="Times New Roman" w:hAnsi="Times New Roman" w:cs="Times New Roman"/>
          <w:i/>
          <w:sz w:val="20"/>
          <w:lang w:val="en-GB"/>
        </w:rPr>
        <w:t>(</w:t>
      </w:r>
      <w:proofErr w:type="gramEnd"/>
      <w:r w:rsidRPr="005603B2">
        <w:rPr>
          <w:rFonts w:ascii="Times New Roman" w:hAnsi="Times New Roman" w:cs="Times New Roman"/>
          <w:i/>
          <w:sz w:val="20"/>
          <w:lang w:val="en-GB"/>
        </w:rPr>
        <w:t>M)</w:t>
      </w:r>
      <w:r w:rsidRPr="005603B2">
        <w:rPr>
          <w:rFonts w:ascii="Times New Roman" w:hAnsi="Times New Roman" w:cs="Times New Roman"/>
          <w:sz w:val="20"/>
          <w:lang w:val="en-GB"/>
        </w:rPr>
        <w:t xml:space="preserve"> (n=28) and </w:t>
      </w:r>
      <w:proofErr w:type="spellStart"/>
      <w:r w:rsidRPr="005603B2">
        <w:rPr>
          <w:rFonts w:ascii="Times New Roman" w:hAnsi="Times New Roman" w:cs="Times New Roman"/>
          <w:i/>
          <w:sz w:val="20"/>
          <w:lang w:val="en-GB"/>
        </w:rPr>
        <w:t>erm</w:t>
      </w:r>
      <w:proofErr w:type="spellEnd"/>
      <w:r w:rsidRPr="005603B2">
        <w:rPr>
          <w:rFonts w:ascii="Times New Roman" w:hAnsi="Times New Roman" w:cs="Times New Roman"/>
          <w:i/>
          <w:sz w:val="20"/>
          <w:lang w:val="en-GB"/>
        </w:rPr>
        <w:t xml:space="preserve">(B) </w:t>
      </w:r>
      <w:r w:rsidRPr="005603B2">
        <w:rPr>
          <w:rFonts w:ascii="Times New Roman" w:hAnsi="Times New Roman" w:cs="Times New Roman"/>
          <w:sz w:val="20"/>
          <w:lang w:val="en-GB"/>
        </w:rPr>
        <w:t xml:space="preserve">(n=25), and were mostly co-integrated in the chromosome (5·9%, 23/390). In 21 isolates, these genes were flanked by a Tn916 family transposon (Table S1). Similarly, </w:t>
      </w:r>
      <w:proofErr w:type="spellStart"/>
      <w:proofErr w:type="gramStart"/>
      <w:r w:rsidRPr="005603B2">
        <w:rPr>
          <w:rFonts w:ascii="Times New Roman" w:hAnsi="Times New Roman" w:cs="Times New Roman"/>
          <w:i/>
          <w:sz w:val="20"/>
          <w:lang w:val="en-GB"/>
        </w:rPr>
        <w:t>mef</w:t>
      </w:r>
      <w:proofErr w:type="spellEnd"/>
      <w:r w:rsidRPr="005603B2">
        <w:rPr>
          <w:rFonts w:ascii="Times New Roman" w:hAnsi="Times New Roman" w:cs="Times New Roman"/>
          <w:i/>
          <w:sz w:val="20"/>
          <w:lang w:val="en-GB"/>
        </w:rPr>
        <w:t>(</w:t>
      </w:r>
      <w:proofErr w:type="gramEnd"/>
      <w:r w:rsidRPr="005603B2">
        <w:rPr>
          <w:rFonts w:ascii="Times New Roman" w:hAnsi="Times New Roman" w:cs="Times New Roman"/>
          <w:i/>
          <w:sz w:val="20"/>
          <w:lang w:val="en-GB"/>
        </w:rPr>
        <w:t>A)</w:t>
      </w:r>
      <w:r w:rsidRPr="005603B2">
        <w:rPr>
          <w:rFonts w:ascii="Times New Roman" w:hAnsi="Times New Roman" w:cs="Times New Roman"/>
          <w:sz w:val="20"/>
          <w:lang w:val="en-GB"/>
        </w:rPr>
        <w:t xml:space="preserve"> and </w:t>
      </w:r>
      <w:proofErr w:type="spellStart"/>
      <w:r w:rsidRPr="005603B2">
        <w:rPr>
          <w:rFonts w:ascii="Times New Roman" w:hAnsi="Times New Roman" w:cs="Times New Roman"/>
          <w:i/>
          <w:sz w:val="20"/>
          <w:lang w:val="en-GB"/>
        </w:rPr>
        <w:t>msr</w:t>
      </w:r>
      <w:proofErr w:type="spellEnd"/>
      <w:r w:rsidRPr="005603B2">
        <w:rPr>
          <w:rFonts w:ascii="Times New Roman" w:hAnsi="Times New Roman" w:cs="Times New Roman"/>
          <w:i/>
          <w:sz w:val="20"/>
          <w:lang w:val="en-GB"/>
        </w:rPr>
        <w:t>(D)</w:t>
      </w:r>
      <w:r w:rsidRPr="005603B2">
        <w:rPr>
          <w:rFonts w:ascii="Times New Roman" w:hAnsi="Times New Roman" w:cs="Times New Roman"/>
          <w:sz w:val="20"/>
          <w:lang w:val="en-GB"/>
        </w:rPr>
        <w:t xml:space="preserve"> were present together in 7 isolates. Only 4/390 (1%) of the isolates carried an aminoglycoside resistance gene (</w:t>
      </w:r>
      <w:proofErr w:type="spellStart"/>
      <w:r w:rsidRPr="005603B2">
        <w:rPr>
          <w:rFonts w:ascii="Times New Roman" w:hAnsi="Times New Roman" w:cs="Times New Roman"/>
          <w:i/>
          <w:sz w:val="20"/>
          <w:lang w:val="en-GB"/>
        </w:rPr>
        <w:t>aph</w:t>
      </w:r>
      <w:proofErr w:type="spellEnd"/>
      <w:r w:rsidRPr="005603B2">
        <w:rPr>
          <w:rFonts w:ascii="Times New Roman" w:hAnsi="Times New Roman" w:cs="Times New Roman"/>
          <w:i/>
          <w:sz w:val="20"/>
          <w:lang w:val="en-GB"/>
        </w:rPr>
        <w:t xml:space="preserve"> (3’)-III</w:t>
      </w:r>
      <w:r w:rsidRPr="005603B2">
        <w:rPr>
          <w:rFonts w:ascii="Times New Roman" w:hAnsi="Times New Roman" w:cs="Times New Roman"/>
          <w:sz w:val="20"/>
          <w:lang w:val="en-GB"/>
        </w:rPr>
        <w:t xml:space="preserve">), which was always found to be integrated along with </w:t>
      </w:r>
      <w:proofErr w:type="spellStart"/>
      <w:proofErr w:type="gramStart"/>
      <w:r w:rsidRPr="005603B2">
        <w:rPr>
          <w:rFonts w:ascii="Times New Roman" w:hAnsi="Times New Roman" w:cs="Times New Roman"/>
          <w:i/>
          <w:sz w:val="20"/>
          <w:lang w:val="en-GB"/>
        </w:rPr>
        <w:t>erm</w:t>
      </w:r>
      <w:proofErr w:type="spellEnd"/>
      <w:r w:rsidRPr="005603B2">
        <w:rPr>
          <w:rFonts w:ascii="Times New Roman" w:hAnsi="Times New Roman" w:cs="Times New Roman"/>
          <w:i/>
          <w:sz w:val="20"/>
          <w:lang w:val="en-GB"/>
        </w:rPr>
        <w:t>(</w:t>
      </w:r>
      <w:proofErr w:type="gramEnd"/>
      <w:r w:rsidRPr="005603B2">
        <w:rPr>
          <w:rFonts w:ascii="Times New Roman" w:hAnsi="Times New Roman" w:cs="Times New Roman"/>
          <w:i/>
          <w:sz w:val="20"/>
          <w:lang w:val="en-GB"/>
        </w:rPr>
        <w:t>B)</w:t>
      </w:r>
      <w:r w:rsidRPr="005603B2">
        <w:rPr>
          <w:rFonts w:ascii="Times New Roman" w:hAnsi="Times New Roman" w:cs="Times New Roman"/>
          <w:sz w:val="20"/>
          <w:lang w:val="en-GB"/>
        </w:rPr>
        <w:t xml:space="preserve"> (Figure 2).</w:t>
      </w:r>
    </w:p>
    <w:p w14:paraId="7F394592" w14:textId="7F6DD3A5" w:rsidR="0007414C" w:rsidRPr="005603B2" w:rsidRDefault="0007414C" w:rsidP="00597F71">
      <w:pPr>
        <w:pStyle w:val="Heading2"/>
        <w:spacing w:line="240" w:lineRule="auto"/>
        <w:rPr>
          <w:rFonts w:ascii="Times New Roman" w:hAnsi="Times New Roman" w:cs="Times New Roman"/>
          <w:b/>
          <w:color w:val="auto"/>
          <w:sz w:val="20"/>
          <w:lang w:val="en-GB"/>
        </w:rPr>
      </w:pPr>
      <w:bookmarkStart w:id="6" w:name="_Toc111822373"/>
      <w:r w:rsidRPr="005603B2">
        <w:rPr>
          <w:rFonts w:ascii="Times New Roman" w:hAnsi="Times New Roman" w:cs="Times New Roman"/>
          <w:b/>
          <w:color w:val="auto"/>
          <w:sz w:val="20"/>
          <w:lang w:val="en-GB"/>
        </w:rPr>
        <w:t>Core genome MLST (</w:t>
      </w:r>
      <w:proofErr w:type="spellStart"/>
      <w:r w:rsidRPr="005603B2">
        <w:rPr>
          <w:rFonts w:ascii="Times New Roman" w:hAnsi="Times New Roman" w:cs="Times New Roman"/>
          <w:b/>
          <w:color w:val="auto"/>
          <w:sz w:val="20"/>
          <w:lang w:val="en-GB"/>
        </w:rPr>
        <w:t>cgMLST</w:t>
      </w:r>
      <w:proofErr w:type="spellEnd"/>
      <w:r w:rsidRPr="005603B2">
        <w:rPr>
          <w:rFonts w:ascii="Times New Roman" w:hAnsi="Times New Roman" w:cs="Times New Roman"/>
          <w:b/>
          <w:color w:val="auto"/>
          <w:sz w:val="20"/>
          <w:lang w:val="en-GB"/>
        </w:rPr>
        <w:t>)</w:t>
      </w:r>
      <w:bookmarkEnd w:id="6"/>
    </w:p>
    <w:p w14:paraId="7048F195" w14:textId="67DCCAEF" w:rsidR="0007414C" w:rsidRPr="005603B2" w:rsidRDefault="0007414C" w:rsidP="00597F71">
      <w:pPr>
        <w:spacing w:line="240" w:lineRule="auto"/>
        <w:rPr>
          <w:rFonts w:ascii="Times New Roman" w:hAnsi="Times New Roman" w:cs="Times New Roman"/>
          <w:sz w:val="20"/>
          <w:lang w:val="en-GB"/>
        </w:rPr>
      </w:pPr>
      <w:proofErr w:type="spellStart"/>
      <w:proofErr w:type="gramStart"/>
      <w:r w:rsidRPr="005603B2">
        <w:rPr>
          <w:rFonts w:ascii="Times New Roman" w:hAnsi="Times New Roman" w:cs="Times New Roman"/>
          <w:sz w:val="20"/>
          <w:lang w:val="en-GB"/>
        </w:rPr>
        <w:t>cgMLST</w:t>
      </w:r>
      <w:proofErr w:type="spellEnd"/>
      <w:proofErr w:type="gramEnd"/>
      <w:r w:rsidRPr="005603B2">
        <w:rPr>
          <w:rFonts w:ascii="Times New Roman" w:hAnsi="Times New Roman" w:cs="Times New Roman"/>
          <w:sz w:val="20"/>
          <w:lang w:val="en-GB"/>
        </w:rPr>
        <w:t xml:space="preserve"> analysis yielded a total of 1391 core genes and an average distance between isolates of 1161·9 (3-1318). As observed in the phylogenetic tree, some serotypes, such as 15B/C or 35B, were spread across the tree, but, in general, isolates presenting the same serotype clustered together (Figure S</w:t>
      </w:r>
      <w:r w:rsidR="00CE16B4">
        <w:rPr>
          <w:rFonts w:ascii="Times New Roman" w:hAnsi="Times New Roman" w:cs="Times New Roman"/>
          <w:sz w:val="20"/>
          <w:lang w:val="en-GB"/>
        </w:rPr>
        <w:t>1</w:t>
      </w:r>
      <w:r w:rsidRPr="005603B2">
        <w:rPr>
          <w:rFonts w:ascii="Times New Roman" w:hAnsi="Times New Roman" w:cs="Times New Roman"/>
          <w:sz w:val="20"/>
          <w:lang w:val="en-GB"/>
        </w:rPr>
        <w:t>A). On the other hand, clustering by GPSC was more robust, and all isolates assigned to the same G</w:t>
      </w:r>
      <w:r w:rsidR="00CE16B4">
        <w:rPr>
          <w:rFonts w:ascii="Times New Roman" w:hAnsi="Times New Roman" w:cs="Times New Roman"/>
          <w:sz w:val="20"/>
          <w:lang w:val="en-GB"/>
        </w:rPr>
        <w:t>PSC clustered closely (Figure S1</w:t>
      </w:r>
      <w:r w:rsidRPr="005603B2">
        <w:rPr>
          <w:rFonts w:ascii="Times New Roman" w:hAnsi="Times New Roman" w:cs="Times New Roman"/>
          <w:sz w:val="20"/>
          <w:lang w:val="en-GB"/>
        </w:rPr>
        <w:t>B).</w:t>
      </w:r>
    </w:p>
    <w:p w14:paraId="013BDBC4" w14:textId="5F1B1B80" w:rsidR="00E21389" w:rsidRPr="005603B2" w:rsidRDefault="00E21389" w:rsidP="00597F71">
      <w:pPr>
        <w:pStyle w:val="Heading2"/>
        <w:spacing w:line="240" w:lineRule="auto"/>
        <w:rPr>
          <w:rFonts w:ascii="Times New Roman" w:hAnsi="Times New Roman" w:cs="Times New Roman"/>
          <w:b/>
          <w:color w:val="auto"/>
          <w:sz w:val="20"/>
          <w:lang w:val="en-GB"/>
        </w:rPr>
      </w:pPr>
      <w:bookmarkStart w:id="7" w:name="_Toc111822374"/>
      <w:r w:rsidRPr="005603B2">
        <w:rPr>
          <w:rFonts w:ascii="Times New Roman" w:hAnsi="Times New Roman" w:cs="Times New Roman"/>
          <w:b/>
          <w:color w:val="auto"/>
          <w:sz w:val="20"/>
          <w:lang w:val="en-GB"/>
        </w:rPr>
        <w:t>Penicillin-binding proteins</w:t>
      </w:r>
      <w:bookmarkEnd w:id="7"/>
    </w:p>
    <w:p w14:paraId="706AA99E" w14:textId="77777777" w:rsidR="00E21389" w:rsidRPr="005603B2" w:rsidRDefault="00E21389"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Based on the phylogenetic analysis, PBP1a variants formed two distinct clades, the first one containing four divergent variants corresponding to non-</w:t>
      </w:r>
      <w:proofErr w:type="spellStart"/>
      <w:r w:rsidRPr="005603B2">
        <w:rPr>
          <w:rFonts w:ascii="Times New Roman" w:hAnsi="Times New Roman" w:cs="Times New Roman"/>
          <w:sz w:val="20"/>
          <w:lang w:val="en-GB"/>
        </w:rPr>
        <w:t>typeable</w:t>
      </w:r>
      <w:proofErr w:type="spellEnd"/>
      <w:r w:rsidRPr="005603B2">
        <w:rPr>
          <w:rFonts w:ascii="Times New Roman" w:hAnsi="Times New Roman" w:cs="Times New Roman"/>
          <w:sz w:val="20"/>
          <w:lang w:val="en-GB"/>
        </w:rPr>
        <w:t xml:space="preserve"> isolates, and the second one presenting a differentiated sub-clade containing the rest of divergent variants, where the distances increased along with the increase in the number of amino acid modifications (Figure S3A). Interestingly, PBP1a variants from non-</w:t>
      </w:r>
      <w:proofErr w:type="spellStart"/>
      <w:r w:rsidRPr="005603B2">
        <w:rPr>
          <w:rFonts w:ascii="Times New Roman" w:hAnsi="Times New Roman" w:cs="Times New Roman"/>
          <w:sz w:val="20"/>
          <w:lang w:val="en-GB"/>
        </w:rPr>
        <w:t>typeable</w:t>
      </w:r>
      <w:proofErr w:type="spellEnd"/>
      <w:r w:rsidRPr="005603B2">
        <w:rPr>
          <w:rFonts w:ascii="Times New Roman" w:hAnsi="Times New Roman" w:cs="Times New Roman"/>
          <w:sz w:val="20"/>
          <w:lang w:val="en-GB"/>
        </w:rPr>
        <w:t xml:space="preserve"> isolates consistently showed more divergence compared to the reference protein sequence (7.8-15% divergence, 56-108 amino acid modifications).</w:t>
      </w:r>
    </w:p>
    <w:p w14:paraId="46FA142D" w14:textId="73159B71" w:rsidR="00E21389" w:rsidRPr="005603B2" w:rsidRDefault="00E21389"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In PBP2x variants, no clear division was identified. However, it can be observed that a higher number of total modifications correlates with a higher accumulation of the seven mutations previously described</w:t>
      </w:r>
      <w:r w:rsidR="00CE16B4">
        <w:rPr>
          <w:rFonts w:ascii="Times New Roman" w:hAnsi="Times New Roman" w:cs="Times New Roman"/>
          <w:sz w:val="20"/>
          <w:lang w:val="en-GB"/>
        </w:rPr>
        <w:t xml:space="preserve"> to confer resistance (Figure S2</w:t>
      </w:r>
      <w:r w:rsidRPr="005603B2">
        <w:rPr>
          <w:rFonts w:ascii="Times New Roman" w:hAnsi="Times New Roman" w:cs="Times New Roman"/>
          <w:sz w:val="20"/>
          <w:lang w:val="en-GB"/>
        </w:rPr>
        <w:t>B).</w:t>
      </w:r>
    </w:p>
    <w:p w14:paraId="333868D7" w14:textId="40243008" w:rsidR="00E21389" w:rsidRPr="005603B2" w:rsidRDefault="00E21389"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lastRenderedPageBreak/>
        <w:t>Usually, when a PBP variant presented a high number of amino acid changes, it was accompanied by other PBP variants also with a high number of changes, further reflecting the recombination origin of these changes (Table S1).</w:t>
      </w:r>
    </w:p>
    <w:p w14:paraId="5542FFFA" w14:textId="2896064B" w:rsidR="006667DE" w:rsidRPr="005603B2" w:rsidRDefault="006667DE" w:rsidP="00597F71">
      <w:pPr>
        <w:pStyle w:val="Heading2"/>
        <w:spacing w:line="240" w:lineRule="auto"/>
        <w:rPr>
          <w:rFonts w:ascii="Times New Roman" w:hAnsi="Times New Roman" w:cs="Times New Roman"/>
          <w:b/>
          <w:color w:val="auto"/>
          <w:sz w:val="20"/>
          <w:lang w:val="en-GB"/>
        </w:rPr>
      </w:pPr>
      <w:bookmarkStart w:id="8" w:name="_Toc111822375"/>
      <w:r w:rsidRPr="005603B2">
        <w:rPr>
          <w:rFonts w:ascii="Times New Roman" w:hAnsi="Times New Roman" w:cs="Times New Roman"/>
          <w:b/>
          <w:color w:val="auto"/>
          <w:sz w:val="20"/>
          <w:lang w:val="en-GB"/>
        </w:rPr>
        <w:t xml:space="preserve">Within ST </w:t>
      </w:r>
      <w:proofErr w:type="spellStart"/>
      <w:r w:rsidRPr="005603B2">
        <w:rPr>
          <w:rFonts w:ascii="Times New Roman" w:hAnsi="Times New Roman" w:cs="Times New Roman"/>
          <w:b/>
          <w:color w:val="auto"/>
          <w:sz w:val="20"/>
          <w:lang w:val="en-GB"/>
        </w:rPr>
        <w:t>recombinations</w:t>
      </w:r>
      <w:proofErr w:type="spellEnd"/>
      <w:r w:rsidRPr="005603B2">
        <w:rPr>
          <w:rFonts w:ascii="Times New Roman" w:hAnsi="Times New Roman" w:cs="Times New Roman"/>
          <w:b/>
          <w:color w:val="auto"/>
          <w:sz w:val="20"/>
          <w:lang w:val="en-GB"/>
        </w:rPr>
        <w:t xml:space="preserve"> might facilitate vaccine escape</w:t>
      </w:r>
      <w:bookmarkEnd w:id="8"/>
    </w:p>
    <w:p w14:paraId="0663001A" w14:textId="2023AF05" w:rsidR="006667DE" w:rsidRPr="005603B2" w:rsidRDefault="006667DE"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 xml:space="preserve">In order to observe possible capsular switch events leading to vaccine escape, isolates belonging to STs 162, 177 and 199 were also studied, as these STs were detected in our collection to be composed of several different serotypes. In the case of ST162, isolates presenting serotype 9V were not detected after PCV7 implementation, and were very divergent from the rest of isolates (Figure </w:t>
      </w:r>
      <w:r w:rsidR="00CE16B4">
        <w:rPr>
          <w:rFonts w:ascii="Times New Roman" w:hAnsi="Times New Roman" w:cs="Times New Roman"/>
          <w:sz w:val="20"/>
          <w:lang w:val="en-GB"/>
        </w:rPr>
        <w:t>S4</w:t>
      </w:r>
      <w:r w:rsidRPr="005603B2">
        <w:rPr>
          <w:rFonts w:ascii="Times New Roman" w:hAnsi="Times New Roman" w:cs="Times New Roman"/>
          <w:sz w:val="20"/>
          <w:lang w:val="en-GB"/>
        </w:rPr>
        <w:t xml:space="preserve">A). However, isolates presenting serotype 19F could still be detected after PCV7, but in a lower proportion, and only one isolate was observed after PCV13 implementation (Figure </w:t>
      </w:r>
      <w:r w:rsidR="00CE16B4">
        <w:rPr>
          <w:rFonts w:ascii="Times New Roman" w:hAnsi="Times New Roman" w:cs="Times New Roman"/>
          <w:sz w:val="20"/>
          <w:lang w:val="en-GB"/>
        </w:rPr>
        <w:t>S4</w:t>
      </w:r>
      <w:r w:rsidRPr="005603B2">
        <w:rPr>
          <w:rFonts w:ascii="Times New Roman" w:hAnsi="Times New Roman" w:cs="Times New Roman"/>
          <w:sz w:val="20"/>
          <w:lang w:val="en-GB"/>
        </w:rPr>
        <w:t xml:space="preserve">A). Isolates presenting </w:t>
      </w:r>
      <w:proofErr w:type="spellStart"/>
      <w:r w:rsidRPr="005603B2">
        <w:rPr>
          <w:rFonts w:ascii="Times New Roman" w:hAnsi="Times New Roman" w:cs="Times New Roman"/>
          <w:sz w:val="20"/>
          <w:lang w:val="en-GB"/>
        </w:rPr>
        <w:t>serogroups</w:t>
      </w:r>
      <w:proofErr w:type="spellEnd"/>
      <w:r w:rsidRPr="005603B2">
        <w:rPr>
          <w:rFonts w:ascii="Times New Roman" w:hAnsi="Times New Roman" w:cs="Times New Roman"/>
          <w:sz w:val="20"/>
          <w:lang w:val="en-GB"/>
        </w:rPr>
        <w:t xml:space="preserve"> 15 and 24 only started to be detected after PCV13 implementation, and they were more related to serotype 19F isolates than to 9V, but presenting lower genomic divergence, especially around the </w:t>
      </w:r>
      <w:r w:rsidRPr="005603B2">
        <w:rPr>
          <w:rFonts w:ascii="Times New Roman" w:hAnsi="Times New Roman" w:cs="Times New Roman"/>
          <w:i/>
          <w:sz w:val="20"/>
          <w:lang w:val="en-GB"/>
        </w:rPr>
        <w:t>cps</w:t>
      </w:r>
      <w:r w:rsidRPr="005603B2">
        <w:rPr>
          <w:rFonts w:ascii="Times New Roman" w:hAnsi="Times New Roman" w:cs="Times New Roman"/>
          <w:sz w:val="20"/>
          <w:lang w:val="en-GB"/>
        </w:rPr>
        <w:t xml:space="preserve"> locus (Figure S</w:t>
      </w:r>
      <w:r w:rsidR="00CE16B4">
        <w:rPr>
          <w:rFonts w:ascii="Times New Roman" w:hAnsi="Times New Roman" w:cs="Times New Roman"/>
          <w:sz w:val="20"/>
          <w:lang w:val="en-GB"/>
        </w:rPr>
        <w:t>5</w:t>
      </w:r>
      <w:r w:rsidRPr="005603B2">
        <w:rPr>
          <w:rFonts w:ascii="Times New Roman" w:hAnsi="Times New Roman" w:cs="Times New Roman"/>
          <w:sz w:val="20"/>
          <w:lang w:val="en-GB"/>
        </w:rPr>
        <w:t>A).</w:t>
      </w:r>
    </w:p>
    <w:p w14:paraId="1F07969A" w14:textId="6E0CA165" w:rsidR="006667DE" w:rsidRPr="005603B2" w:rsidRDefault="006667DE"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 xml:space="preserve">ST177 was less represented in the </w:t>
      </w:r>
      <w:proofErr w:type="spellStart"/>
      <w:r w:rsidRPr="005603B2">
        <w:rPr>
          <w:rFonts w:ascii="Times New Roman" w:hAnsi="Times New Roman" w:cs="Times New Roman"/>
          <w:sz w:val="20"/>
          <w:lang w:val="en-GB"/>
        </w:rPr>
        <w:t>pubMLST</w:t>
      </w:r>
      <w:proofErr w:type="spellEnd"/>
      <w:r w:rsidRPr="005603B2">
        <w:rPr>
          <w:rFonts w:ascii="Times New Roman" w:hAnsi="Times New Roman" w:cs="Times New Roman"/>
          <w:sz w:val="20"/>
          <w:lang w:val="en-GB"/>
        </w:rPr>
        <w:t xml:space="preserve"> database, although 3.7% (11/390) belonged to this ST in our collection. Two clades are clearly differentiated, one including serotype 19F isolates pre-PCV7, and one including isolates presenting different serotypes and only detected after PCV13 introduction (Figure </w:t>
      </w:r>
      <w:r w:rsidR="00CE16B4">
        <w:rPr>
          <w:rFonts w:ascii="Times New Roman" w:hAnsi="Times New Roman" w:cs="Times New Roman"/>
          <w:sz w:val="20"/>
          <w:lang w:val="en-GB"/>
        </w:rPr>
        <w:t>S4</w:t>
      </w:r>
      <w:r w:rsidRPr="005603B2">
        <w:rPr>
          <w:rFonts w:ascii="Times New Roman" w:hAnsi="Times New Roman" w:cs="Times New Roman"/>
          <w:sz w:val="20"/>
          <w:lang w:val="en-GB"/>
        </w:rPr>
        <w:t xml:space="preserve">B). Remarkably, three isolates from our collection presenting serotypes 21, 23B and 23B1 were clustered together and were </w:t>
      </w:r>
      <w:proofErr w:type="spellStart"/>
      <w:r w:rsidRPr="005603B2">
        <w:rPr>
          <w:rFonts w:ascii="Times New Roman" w:hAnsi="Times New Roman" w:cs="Times New Roman"/>
          <w:sz w:val="20"/>
          <w:lang w:val="en-GB"/>
        </w:rPr>
        <w:t>genotypically</w:t>
      </w:r>
      <w:proofErr w:type="spellEnd"/>
      <w:r w:rsidRPr="005603B2">
        <w:rPr>
          <w:rFonts w:ascii="Times New Roman" w:hAnsi="Times New Roman" w:cs="Times New Roman"/>
          <w:sz w:val="20"/>
          <w:lang w:val="en-GB"/>
        </w:rPr>
        <w:t xml:space="preserve"> very similar, presenting slight divergence from closely related </w:t>
      </w:r>
      <w:proofErr w:type="spellStart"/>
      <w:r w:rsidRPr="005603B2">
        <w:rPr>
          <w:rFonts w:ascii="Times New Roman" w:hAnsi="Times New Roman" w:cs="Times New Roman"/>
          <w:sz w:val="20"/>
          <w:lang w:val="en-GB"/>
        </w:rPr>
        <w:t>serogroup</w:t>
      </w:r>
      <w:proofErr w:type="spellEnd"/>
      <w:r w:rsidRPr="005603B2">
        <w:rPr>
          <w:rFonts w:ascii="Times New Roman" w:hAnsi="Times New Roman" w:cs="Times New Roman"/>
          <w:sz w:val="20"/>
          <w:lang w:val="en-GB"/>
        </w:rPr>
        <w:t xml:space="preserve"> 24 isolates, which might indicate a higher potential for these isolates to switch capsule, as can be observed in the recombination event prediction surrounding the </w:t>
      </w:r>
      <w:r w:rsidRPr="005603B2">
        <w:rPr>
          <w:rFonts w:ascii="Times New Roman" w:hAnsi="Times New Roman" w:cs="Times New Roman"/>
          <w:i/>
          <w:sz w:val="20"/>
          <w:lang w:val="en-GB"/>
        </w:rPr>
        <w:t>cps</w:t>
      </w:r>
      <w:r w:rsidRPr="005603B2">
        <w:rPr>
          <w:rFonts w:ascii="Times New Roman" w:hAnsi="Times New Roman" w:cs="Times New Roman"/>
          <w:sz w:val="20"/>
          <w:lang w:val="en-GB"/>
        </w:rPr>
        <w:t xml:space="preserve"> locus (Figure S</w:t>
      </w:r>
      <w:r w:rsidR="00CE16B4">
        <w:rPr>
          <w:rFonts w:ascii="Times New Roman" w:hAnsi="Times New Roman" w:cs="Times New Roman"/>
          <w:sz w:val="20"/>
          <w:lang w:val="en-GB"/>
        </w:rPr>
        <w:t>5</w:t>
      </w:r>
      <w:r w:rsidRPr="005603B2">
        <w:rPr>
          <w:rFonts w:ascii="Times New Roman" w:hAnsi="Times New Roman" w:cs="Times New Roman"/>
          <w:sz w:val="20"/>
          <w:lang w:val="en-GB"/>
        </w:rPr>
        <w:t xml:space="preserve">B). Isolates presenting serotype 7C were only detected after 2015 and presented a similar recombination pattern to that of serotype 19F isolates within the clade, although the region surrounding the </w:t>
      </w:r>
      <w:r w:rsidRPr="005603B2">
        <w:rPr>
          <w:rFonts w:ascii="Times New Roman" w:hAnsi="Times New Roman" w:cs="Times New Roman"/>
          <w:i/>
          <w:sz w:val="20"/>
          <w:lang w:val="en-GB"/>
        </w:rPr>
        <w:t xml:space="preserve">cps </w:t>
      </w:r>
      <w:r w:rsidRPr="005603B2">
        <w:rPr>
          <w:rFonts w:ascii="Times New Roman" w:hAnsi="Times New Roman" w:cs="Times New Roman"/>
          <w:sz w:val="20"/>
          <w:lang w:val="en-GB"/>
        </w:rPr>
        <w:t xml:space="preserve">locus showed divergence (Figure </w:t>
      </w:r>
      <w:r w:rsidR="00CE16B4">
        <w:rPr>
          <w:rFonts w:ascii="Times New Roman" w:hAnsi="Times New Roman" w:cs="Times New Roman"/>
          <w:sz w:val="20"/>
          <w:lang w:val="en-GB"/>
        </w:rPr>
        <w:t>S4</w:t>
      </w:r>
      <w:r w:rsidRPr="005603B2">
        <w:rPr>
          <w:rFonts w:ascii="Times New Roman" w:hAnsi="Times New Roman" w:cs="Times New Roman"/>
          <w:sz w:val="20"/>
          <w:lang w:val="en-GB"/>
        </w:rPr>
        <w:t>B).</w:t>
      </w:r>
    </w:p>
    <w:p w14:paraId="188F8737" w14:textId="6CEA6AA2" w:rsidR="006667DE" w:rsidRPr="005603B2" w:rsidRDefault="006667DE" w:rsidP="00597F71">
      <w:pPr>
        <w:spacing w:line="240" w:lineRule="auto"/>
        <w:rPr>
          <w:rFonts w:ascii="Times New Roman" w:hAnsi="Times New Roman" w:cs="Times New Roman"/>
          <w:sz w:val="20"/>
          <w:lang w:val="en-GB"/>
        </w:rPr>
      </w:pPr>
      <w:r w:rsidRPr="005603B2">
        <w:rPr>
          <w:rFonts w:ascii="Times New Roman" w:hAnsi="Times New Roman" w:cs="Times New Roman"/>
          <w:sz w:val="20"/>
          <w:lang w:val="en-GB"/>
        </w:rPr>
        <w:t xml:space="preserve">Finally, isolates belonging to ST199 only presented serotypes 15B/C or 19A. In general, isolates clustered according to their serotype (Figure </w:t>
      </w:r>
      <w:r w:rsidR="00CE16B4">
        <w:rPr>
          <w:rFonts w:ascii="Times New Roman" w:hAnsi="Times New Roman" w:cs="Times New Roman"/>
          <w:sz w:val="20"/>
          <w:lang w:val="en-GB"/>
        </w:rPr>
        <w:t>S4</w:t>
      </w:r>
      <w:r w:rsidRPr="005603B2">
        <w:rPr>
          <w:rFonts w:ascii="Times New Roman" w:hAnsi="Times New Roman" w:cs="Times New Roman"/>
          <w:sz w:val="20"/>
          <w:lang w:val="en-GB"/>
        </w:rPr>
        <w:t xml:space="preserve">C). Remarkably, one serotype 19A isolate from 2010 clustered together with serotype 15B/C isolates, and the biggest observed divergence was only surrounding the </w:t>
      </w:r>
      <w:r w:rsidRPr="005603B2">
        <w:rPr>
          <w:rFonts w:ascii="Times New Roman" w:hAnsi="Times New Roman" w:cs="Times New Roman"/>
          <w:i/>
          <w:sz w:val="20"/>
          <w:lang w:val="en-GB"/>
        </w:rPr>
        <w:t xml:space="preserve">cps </w:t>
      </w:r>
      <w:r w:rsidRPr="005603B2">
        <w:rPr>
          <w:rFonts w:ascii="Times New Roman" w:hAnsi="Times New Roman" w:cs="Times New Roman"/>
          <w:sz w:val="20"/>
          <w:lang w:val="en-GB"/>
        </w:rPr>
        <w:t>locus, indicating a potential capsule switch event between these isolates (Figure S</w:t>
      </w:r>
      <w:r w:rsidR="00CE16B4">
        <w:rPr>
          <w:rFonts w:ascii="Times New Roman" w:hAnsi="Times New Roman" w:cs="Times New Roman"/>
          <w:sz w:val="20"/>
          <w:lang w:val="en-GB"/>
        </w:rPr>
        <w:t>5</w:t>
      </w:r>
      <w:r w:rsidRPr="005603B2">
        <w:rPr>
          <w:rFonts w:ascii="Times New Roman" w:hAnsi="Times New Roman" w:cs="Times New Roman"/>
          <w:sz w:val="20"/>
          <w:lang w:val="en-GB"/>
        </w:rPr>
        <w:t xml:space="preserve">C). Additionally, a small sub-cluster of serotype 15B/C isolates detected only after 2010 was found to present a recombination pattern different from the rest of 15B/C isolates, as observed previously with ST199 serotype 19A isolates (Figure </w:t>
      </w:r>
      <w:r w:rsidR="00CE16B4">
        <w:rPr>
          <w:rFonts w:ascii="Times New Roman" w:hAnsi="Times New Roman" w:cs="Times New Roman"/>
          <w:sz w:val="20"/>
          <w:lang w:val="en-GB"/>
        </w:rPr>
        <w:t>S4</w:t>
      </w:r>
      <w:r w:rsidRPr="005603B2">
        <w:rPr>
          <w:rFonts w:ascii="Times New Roman" w:hAnsi="Times New Roman" w:cs="Times New Roman"/>
          <w:sz w:val="20"/>
          <w:lang w:val="en-GB"/>
        </w:rPr>
        <w:t>C).</w:t>
      </w:r>
    </w:p>
    <w:p w14:paraId="2B6AC9AF" w14:textId="77777777" w:rsidR="007F27EE" w:rsidRDefault="007F27EE">
      <w:pPr>
        <w:rPr>
          <w:rFonts w:ascii="Times New Roman" w:eastAsiaTheme="majorEastAsia" w:hAnsi="Times New Roman" w:cs="Times New Roman"/>
          <w:b/>
          <w:sz w:val="24"/>
          <w:szCs w:val="32"/>
          <w:lang w:val="en-GB"/>
        </w:rPr>
      </w:pPr>
      <w:bookmarkStart w:id="9" w:name="_Toc111822376"/>
      <w:r>
        <w:rPr>
          <w:rFonts w:ascii="Times New Roman" w:hAnsi="Times New Roman" w:cs="Times New Roman"/>
          <w:b/>
          <w:sz w:val="24"/>
          <w:lang w:val="en-GB"/>
        </w:rPr>
        <w:br w:type="page"/>
      </w:r>
    </w:p>
    <w:p w14:paraId="4B68D5AB" w14:textId="02FFD3BE" w:rsidR="00597F71" w:rsidRPr="005603B2" w:rsidRDefault="00597F71" w:rsidP="005603B2">
      <w:pPr>
        <w:pStyle w:val="Heading1"/>
        <w:rPr>
          <w:rFonts w:ascii="Times New Roman" w:hAnsi="Times New Roman" w:cs="Times New Roman"/>
          <w:b/>
          <w:color w:val="auto"/>
          <w:sz w:val="24"/>
          <w:lang w:val="en-GB"/>
        </w:rPr>
      </w:pPr>
      <w:r w:rsidRPr="005603B2">
        <w:rPr>
          <w:rFonts w:ascii="Times New Roman" w:hAnsi="Times New Roman" w:cs="Times New Roman"/>
          <w:b/>
          <w:color w:val="auto"/>
          <w:sz w:val="24"/>
          <w:lang w:val="en-GB"/>
        </w:rPr>
        <w:lastRenderedPageBreak/>
        <w:t>Supplementary Figures</w:t>
      </w:r>
      <w:bookmarkEnd w:id="9"/>
    </w:p>
    <w:p w14:paraId="42759E3E" w14:textId="201777C6" w:rsidR="00597F71" w:rsidRPr="005603B2" w:rsidRDefault="00597F71" w:rsidP="00597F71">
      <w:pPr>
        <w:spacing w:line="240" w:lineRule="auto"/>
        <w:rPr>
          <w:rFonts w:ascii="Times New Roman" w:hAnsi="Times New Roman" w:cs="Times New Roman"/>
          <w:lang w:val="en-GB"/>
        </w:rPr>
      </w:pPr>
    </w:p>
    <w:p w14:paraId="38B69A57" w14:textId="66BE11D1" w:rsidR="007F27EE" w:rsidRDefault="007F27EE" w:rsidP="00597F71">
      <w:pPr>
        <w:spacing w:line="240" w:lineRule="auto"/>
        <w:rPr>
          <w:rFonts w:ascii="Times New Roman" w:eastAsiaTheme="majorEastAsia" w:hAnsi="Times New Roman" w:cs="Times New Roman"/>
          <w:b/>
          <w:sz w:val="20"/>
          <w:szCs w:val="26"/>
          <w:lang w:val="en-GB"/>
        </w:rPr>
      </w:pPr>
      <w:r>
        <w:rPr>
          <w:rFonts w:ascii="Times New Roman" w:eastAsiaTheme="majorEastAsia" w:hAnsi="Times New Roman" w:cs="Times New Roman"/>
          <w:b/>
          <w:sz w:val="20"/>
          <w:szCs w:val="26"/>
          <w:lang w:val="en-GB"/>
        </w:rPr>
        <w:pict w14:anchorId="3D3F3D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96.75pt;height:615pt">
            <v:imagedata r:id="rId7" o:title="Figure S1 cgMLST Phyloviz"/>
          </v:shape>
        </w:pict>
      </w:r>
    </w:p>
    <w:p w14:paraId="382B290F" w14:textId="5835573E" w:rsidR="007F27EE" w:rsidRDefault="00597F71" w:rsidP="007F27EE">
      <w:pPr>
        <w:spacing w:line="240" w:lineRule="auto"/>
        <w:rPr>
          <w:rFonts w:ascii="Times New Roman" w:hAnsi="Times New Roman" w:cs="Times New Roman"/>
          <w:sz w:val="20"/>
          <w:lang w:val="en-GB"/>
        </w:rPr>
      </w:pPr>
      <w:r w:rsidRPr="00616450">
        <w:rPr>
          <w:rFonts w:ascii="Times New Roman" w:eastAsiaTheme="majorEastAsia" w:hAnsi="Times New Roman" w:cs="Times New Roman"/>
          <w:b/>
          <w:sz w:val="20"/>
          <w:szCs w:val="26"/>
          <w:lang w:val="en-GB"/>
        </w:rPr>
        <w:t>Figure</w:t>
      </w:r>
      <w:r w:rsidR="003D1A1E">
        <w:rPr>
          <w:rFonts w:ascii="Times New Roman" w:eastAsiaTheme="majorEastAsia" w:hAnsi="Times New Roman" w:cs="Times New Roman"/>
          <w:b/>
          <w:sz w:val="20"/>
          <w:szCs w:val="26"/>
          <w:lang w:val="en-GB"/>
        </w:rPr>
        <w:t xml:space="preserve"> S1</w:t>
      </w:r>
      <w:r w:rsidRPr="005603B2">
        <w:rPr>
          <w:rFonts w:ascii="Times New Roman" w:hAnsi="Times New Roman" w:cs="Times New Roman"/>
          <w:b/>
          <w:sz w:val="20"/>
          <w:lang w:val="en-GB"/>
        </w:rPr>
        <w:t>.</w:t>
      </w:r>
      <w:r w:rsidRPr="005603B2">
        <w:rPr>
          <w:rFonts w:ascii="Times New Roman" w:hAnsi="Times New Roman" w:cs="Times New Roman"/>
          <w:sz w:val="20"/>
          <w:lang w:val="en-GB"/>
        </w:rPr>
        <w:t xml:space="preserve"> Tree generated form core-genome multi-locus sequence typing analysis. Nodes are coloured according to (A) serotype and (B) Global Pneumococcal Sequence Cluster. Due to restrictions from </w:t>
      </w:r>
      <w:proofErr w:type="spellStart"/>
      <w:r w:rsidRPr="005603B2">
        <w:rPr>
          <w:rFonts w:ascii="Times New Roman" w:hAnsi="Times New Roman" w:cs="Times New Roman"/>
          <w:sz w:val="20"/>
          <w:lang w:val="en-GB"/>
        </w:rPr>
        <w:t>Phyloviz</w:t>
      </w:r>
      <w:proofErr w:type="spellEnd"/>
      <w:r w:rsidRPr="005603B2">
        <w:rPr>
          <w:rFonts w:ascii="Times New Roman" w:hAnsi="Times New Roman" w:cs="Times New Roman"/>
          <w:sz w:val="20"/>
          <w:lang w:val="en-GB"/>
        </w:rPr>
        <w:t>, only the 20 most prevalent serotypes and GPSCs are represented.</w:t>
      </w:r>
    </w:p>
    <w:p w14:paraId="148654C6" w14:textId="2F6A1285" w:rsidR="00597F71" w:rsidRPr="005603B2" w:rsidRDefault="007F27EE" w:rsidP="00597F71">
      <w:pPr>
        <w:spacing w:line="240" w:lineRule="auto"/>
        <w:rPr>
          <w:rFonts w:ascii="Times New Roman" w:hAnsi="Times New Roman" w:cs="Times New Roman"/>
          <w:b/>
          <w:lang w:val="en-GB"/>
        </w:rPr>
      </w:pPr>
      <w:bookmarkStart w:id="10" w:name="_GoBack"/>
      <w:r>
        <w:rPr>
          <w:rFonts w:ascii="Times New Roman" w:hAnsi="Times New Roman" w:cs="Times New Roman"/>
          <w:b/>
          <w:lang w:val="en-GB"/>
        </w:rPr>
        <w:lastRenderedPageBreak/>
        <w:pict w14:anchorId="174764B5">
          <v:shape id="_x0000_i1035" type="#_x0000_t75" style="width:319.5pt;height:627.75pt">
            <v:imagedata r:id="rId8" o:title="Figure S2 PBP trees vertical"/>
          </v:shape>
        </w:pict>
      </w:r>
      <w:bookmarkEnd w:id="10"/>
    </w:p>
    <w:p w14:paraId="2D78BCB6" w14:textId="11D53286" w:rsidR="007F27EE" w:rsidRDefault="003D1A1E" w:rsidP="007F27EE">
      <w:pPr>
        <w:spacing w:line="240" w:lineRule="auto"/>
        <w:rPr>
          <w:rFonts w:ascii="Times New Roman" w:hAnsi="Times New Roman" w:cs="Times New Roman"/>
          <w:sz w:val="20"/>
          <w:lang w:val="en-GB"/>
        </w:rPr>
      </w:pPr>
      <w:r>
        <w:rPr>
          <w:rFonts w:ascii="Times New Roman" w:eastAsiaTheme="majorEastAsia" w:hAnsi="Times New Roman" w:cs="Times New Roman"/>
          <w:b/>
          <w:sz w:val="20"/>
          <w:szCs w:val="26"/>
          <w:lang w:val="en-GB"/>
        </w:rPr>
        <w:t>Figure S2</w:t>
      </w:r>
      <w:r w:rsidR="00597F71" w:rsidRPr="005603B2">
        <w:rPr>
          <w:rFonts w:ascii="Times New Roman" w:hAnsi="Times New Roman" w:cs="Times New Roman"/>
          <w:b/>
          <w:sz w:val="20"/>
          <w:lang w:val="en-GB"/>
        </w:rPr>
        <w:t>.</w:t>
      </w:r>
      <w:r w:rsidR="00597F71" w:rsidRPr="005603B2">
        <w:rPr>
          <w:rFonts w:ascii="Times New Roman" w:hAnsi="Times New Roman" w:cs="Times New Roman"/>
          <w:sz w:val="20"/>
          <w:lang w:val="en-GB"/>
        </w:rPr>
        <w:t xml:space="preserve"> Phylogenetic trees generated from penicillin-binding protein (PBP) 1a (A) and PBP2x (B) amino acid sequences. Coloured squares represent the presence of mutations previously described to confer non-susceptibility. Number of total amino acid modifications, penicillin and amoxicillin susceptibility, serotype, and number of isolates are also depicted.  </w:t>
      </w:r>
      <w:r w:rsidR="007F27EE">
        <w:rPr>
          <w:rFonts w:ascii="Times New Roman" w:hAnsi="Times New Roman" w:cs="Times New Roman"/>
          <w:sz w:val="20"/>
          <w:lang w:val="en-GB"/>
        </w:rPr>
        <w:br w:type="page"/>
      </w:r>
    </w:p>
    <w:p w14:paraId="116F9FB8" w14:textId="318ACB97" w:rsidR="00597F71" w:rsidRDefault="007F27EE" w:rsidP="00597F71">
      <w:pPr>
        <w:spacing w:line="240" w:lineRule="auto"/>
        <w:rPr>
          <w:rFonts w:ascii="Times New Roman" w:hAnsi="Times New Roman" w:cs="Times New Roman"/>
          <w:sz w:val="20"/>
          <w:lang w:val="en-GB"/>
        </w:rPr>
      </w:pPr>
      <w:r>
        <w:rPr>
          <w:rFonts w:ascii="Times New Roman" w:hAnsi="Times New Roman" w:cs="Times New Roman"/>
          <w:sz w:val="20"/>
          <w:lang w:val="en-GB"/>
        </w:rPr>
        <w:lastRenderedPageBreak/>
        <w:pict w14:anchorId="6FEE8FB8">
          <v:shape id="_x0000_i1048" type="#_x0000_t75" style="width:456pt;height:434.25pt">
            <v:imagedata r:id="rId9" o:title="Figure S3 recombination cps serotypes"/>
          </v:shape>
        </w:pict>
      </w:r>
    </w:p>
    <w:p w14:paraId="30CBC6FD" w14:textId="05CC595B" w:rsidR="007F27EE" w:rsidRDefault="003D1A1E" w:rsidP="00597F71">
      <w:pPr>
        <w:spacing w:line="240" w:lineRule="auto"/>
        <w:rPr>
          <w:rFonts w:ascii="Times New Roman" w:hAnsi="Times New Roman" w:cs="Times New Roman"/>
          <w:sz w:val="20"/>
          <w:lang w:val="en-GB"/>
        </w:rPr>
      </w:pPr>
      <w:r>
        <w:rPr>
          <w:rFonts w:ascii="Times New Roman" w:eastAsiaTheme="majorEastAsia" w:hAnsi="Times New Roman" w:cs="Times New Roman"/>
          <w:b/>
          <w:sz w:val="20"/>
          <w:szCs w:val="26"/>
          <w:lang w:val="en-GB"/>
        </w:rPr>
        <w:t>Figure S3</w:t>
      </w:r>
      <w:r w:rsidR="00597F71" w:rsidRPr="005603B2">
        <w:rPr>
          <w:rFonts w:ascii="Times New Roman" w:hAnsi="Times New Roman" w:cs="Times New Roman"/>
          <w:b/>
          <w:sz w:val="20"/>
          <w:lang w:val="en-GB"/>
        </w:rPr>
        <w:t xml:space="preserve">. </w:t>
      </w:r>
      <w:r w:rsidR="00597F71" w:rsidRPr="005603B2">
        <w:rPr>
          <w:rFonts w:ascii="Times New Roman" w:hAnsi="Times New Roman" w:cs="Times New Roman"/>
          <w:sz w:val="20"/>
          <w:lang w:val="en-GB"/>
        </w:rPr>
        <w:t xml:space="preserve">Phylogenetic trees generated from the </w:t>
      </w:r>
      <w:r w:rsidR="00597F71" w:rsidRPr="005603B2">
        <w:rPr>
          <w:rFonts w:ascii="Times New Roman" w:hAnsi="Times New Roman" w:cs="Times New Roman"/>
          <w:i/>
          <w:sz w:val="20"/>
          <w:lang w:val="en-GB"/>
        </w:rPr>
        <w:t xml:space="preserve">cps </w:t>
      </w:r>
      <w:r w:rsidR="00597F71" w:rsidRPr="005603B2">
        <w:rPr>
          <w:rFonts w:ascii="Times New Roman" w:hAnsi="Times New Roman" w:cs="Times New Roman"/>
          <w:sz w:val="20"/>
          <w:lang w:val="en-GB"/>
        </w:rPr>
        <w:t>locus region of serotype 3 (A), serotype 19A (B) and serotype 19F (C) isolates derived from this study (</w:t>
      </w:r>
      <w:r w:rsidR="008248AC">
        <w:rPr>
          <w:rFonts w:ascii="Times New Roman" w:hAnsi="Times New Roman" w:cs="Times New Roman"/>
          <w:sz w:val="20"/>
          <w:lang w:val="en-GB"/>
        </w:rPr>
        <w:t>orange shading</w:t>
      </w:r>
      <w:r w:rsidR="00597F71" w:rsidRPr="005603B2">
        <w:rPr>
          <w:rFonts w:ascii="Times New Roman" w:hAnsi="Times New Roman" w:cs="Times New Roman"/>
          <w:sz w:val="20"/>
          <w:lang w:val="en-GB"/>
        </w:rPr>
        <w:t xml:space="preserve">) and older isolates from the same serotypes. </w:t>
      </w:r>
      <w:r w:rsidR="008248AC" w:rsidRPr="008248AC">
        <w:rPr>
          <w:rFonts w:ascii="Times New Roman" w:hAnsi="Times New Roman" w:cs="Times New Roman"/>
          <w:sz w:val="20"/>
          <w:lang w:val="en-GB"/>
        </w:rPr>
        <w:t xml:space="preserve">References used were CAPIT119_D1-1, CAPIT226_D1-1 and CAPIT214_D1-1 (marked in red shading), respectively. </w:t>
      </w:r>
      <w:r w:rsidR="00597F71" w:rsidRPr="005603B2">
        <w:rPr>
          <w:rFonts w:ascii="Times New Roman" w:hAnsi="Times New Roman" w:cs="Times New Roman"/>
          <w:sz w:val="20"/>
          <w:lang w:val="en-GB"/>
        </w:rPr>
        <w:t xml:space="preserve">In red are shown the recombination events predicted to have occurred earlier in evolution, thus being present in a cluster of isolates. In blue, recombination events predicted only in the branch leaves, that is, in only one isolate. The position of the </w:t>
      </w:r>
      <w:r w:rsidR="00597F71" w:rsidRPr="005603B2">
        <w:rPr>
          <w:rFonts w:ascii="Times New Roman" w:hAnsi="Times New Roman" w:cs="Times New Roman"/>
          <w:i/>
          <w:sz w:val="20"/>
          <w:lang w:val="en-GB"/>
        </w:rPr>
        <w:t>cps</w:t>
      </w:r>
      <w:r w:rsidR="00597F71" w:rsidRPr="005603B2">
        <w:rPr>
          <w:rFonts w:ascii="Times New Roman" w:hAnsi="Times New Roman" w:cs="Times New Roman"/>
          <w:sz w:val="20"/>
          <w:lang w:val="en-GB"/>
        </w:rPr>
        <w:t xml:space="preserve"> locus is indicated with </w:t>
      </w:r>
      <w:r w:rsidR="00694E1C">
        <w:rPr>
          <w:rFonts w:ascii="Times New Roman" w:hAnsi="Times New Roman" w:cs="Times New Roman"/>
          <w:sz w:val="20"/>
          <w:lang w:val="en-GB"/>
        </w:rPr>
        <w:t>green</w:t>
      </w:r>
      <w:r w:rsidR="00597F71" w:rsidRPr="005603B2">
        <w:rPr>
          <w:rFonts w:ascii="Times New Roman" w:hAnsi="Times New Roman" w:cs="Times New Roman"/>
          <w:sz w:val="20"/>
          <w:lang w:val="en-GB"/>
        </w:rPr>
        <w:t xml:space="preserve"> boxes, and </w:t>
      </w:r>
      <w:proofErr w:type="spellStart"/>
      <w:r w:rsidR="00597F71" w:rsidRPr="005603B2">
        <w:rPr>
          <w:rFonts w:ascii="Times New Roman" w:hAnsi="Times New Roman" w:cs="Times New Roman"/>
          <w:i/>
          <w:sz w:val="20"/>
          <w:lang w:val="en-GB"/>
        </w:rPr>
        <w:t>pbp</w:t>
      </w:r>
      <w:proofErr w:type="spellEnd"/>
      <w:r w:rsidR="00597F71" w:rsidRPr="005603B2">
        <w:rPr>
          <w:rFonts w:ascii="Times New Roman" w:hAnsi="Times New Roman" w:cs="Times New Roman"/>
          <w:sz w:val="20"/>
          <w:lang w:val="en-GB"/>
        </w:rPr>
        <w:t xml:space="preserve"> genes with </w:t>
      </w:r>
      <w:r w:rsidR="00694E1C">
        <w:rPr>
          <w:rFonts w:ascii="Times New Roman" w:hAnsi="Times New Roman" w:cs="Times New Roman"/>
          <w:sz w:val="20"/>
          <w:lang w:val="en-GB"/>
        </w:rPr>
        <w:t>red</w:t>
      </w:r>
      <w:r w:rsidR="00597F71" w:rsidRPr="005603B2">
        <w:rPr>
          <w:rFonts w:ascii="Times New Roman" w:hAnsi="Times New Roman" w:cs="Times New Roman"/>
          <w:sz w:val="20"/>
          <w:lang w:val="en-GB"/>
        </w:rPr>
        <w:t xml:space="preserve"> boxes. For serotype 3, the clade to which the isolates belong is also depicted. All serotype 3 isolates belonged to sequence type 180.</w:t>
      </w:r>
    </w:p>
    <w:p w14:paraId="0B8CA372" w14:textId="77777777" w:rsidR="007F27EE" w:rsidRDefault="007F27EE">
      <w:pPr>
        <w:rPr>
          <w:rFonts w:ascii="Times New Roman" w:hAnsi="Times New Roman" w:cs="Times New Roman"/>
          <w:sz w:val="20"/>
          <w:lang w:val="en-GB"/>
        </w:rPr>
      </w:pPr>
      <w:r>
        <w:rPr>
          <w:rFonts w:ascii="Times New Roman" w:hAnsi="Times New Roman" w:cs="Times New Roman"/>
          <w:sz w:val="20"/>
          <w:lang w:val="en-GB"/>
        </w:rPr>
        <w:br w:type="page"/>
      </w:r>
    </w:p>
    <w:p w14:paraId="28A6104E" w14:textId="3BAFEF6E" w:rsidR="00616450" w:rsidRDefault="007F27EE" w:rsidP="00597F71">
      <w:pPr>
        <w:spacing w:line="240" w:lineRule="auto"/>
        <w:rPr>
          <w:rFonts w:ascii="Times New Roman" w:hAnsi="Times New Roman" w:cs="Times New Roman"/>
          <w:sz w:val="20"/>
          <w:lang w:val="en-GB"/>
        </w:rPr>
      </w:pPr>
      <w:r>
        <w:rPr>
          <w:rFonts w:ascii="Times New Roman" w:hAnsi="Times New Roman" w:cs="Times New Roman"/>
          <w:sz w:val="20"/>
          <w:lang w:val="en-GB"/>
        </w:rPr>
        <w:lastRenderedPageBreak/>
        <w:pict w14:anchorId="43944B6B">
          <v:shape id="_x0000_i1049" type="#_x0000_t75" style="width:453.75pt;height:486.75pt">
            <v:imagedata r:id="rId10" o:title="Figure S4 recombination cps STs"/>
          </v:shape>
        </w:pict>
      </w:r>
    </w:p>
    <w:p w14:paraId="6A92CA8E" w14:textId="352AF9C4" w:rsidR="00597F71" w:rsidRPr="005603B2" w:rsidRDefault="00743F6F" w:rsidP="00597F71">
      <w:pPr>
        <w:spacing w:line="240" w:lineRule="auto"/>
        <w:rPr>
          <w:rFonts w:ascii="Times New Roman" w:hAnsi="Times New Roman" w:cs="Times New Roman"/>
          <w:sz w:val="20"/>
          <w:lang w:val="en-GB"/>
        </w:rPr>
      </w:pPr>
      <w:r>
        <w:rPr>
          <w:rFonts w:ascii="Times New Roman" w:eastAsiaTheme="majorEastAsia" w:hAnsi="Times New Roman" w:cs="Times New Roman"/>
          <w:b/>
          <w:sz w:val="20"/>
          <w:szCs w:val="26"/>
          <w:lang w:val="en-GB"/>
        </w:rPr>
        <w:t>Figure S4</w:t>
      </w:r>
      <w:r w:rsidR="00597F71" w:rsidRPr="005603B2">
        <w:rPr>
          <w:rFonts w:ascii="Times New Roman" w:hAnsi="Times New Roman" w:cs="Times New Roman"/>
          <w:b/>
          <w:sz w:val="20"/>
          <w:lang w:val="en-GB"/>
        </w:rPr>
        <w:t xml:space="preserve">. </w:t>
      </w:r>
      <w:r w:rsidR="00597F71" w:rsidRPr="005603B2">
        <w:rPr>
          <w:rFonts w:ascii="Times New Roman" w:hAnsi="Times New Roman" w:cs="Times New Roman"/>
          <w:sz w:val="20"/>
          <w:lang w:val="en-GB"/>
        </w:rPr>
        <w:t xml:space="preserve">Phylogenetic trees generated from the </w:t>
      </w:r>
      <w:r w:rsidR="00597F71" w:rsidRPr="005603B2">
        <w:rPr>
          <w:rFonts w:ascii="Times New Roman" w:hAnsi="Times New Roman" w:cs="Times New Roman"/>
          <w:i/>
          <w:sz w:val="20"/>
          <w:lang w:val="en-GB"/>
        </w:rPr>
        <w:t xml:space="preserve">cps </w:t>
      </w:r>
      <w:r w:rsidR="00597F71" w:rsidRPr="005603B2">
        <w:rPr>
          <w:rFonts w:ascii="Times New Roman" w:hAnsi="Times New Roman" w:cs="Times New Roman"/>
          <w:sz w:val="20"/>
          <w:lang w:val="en-GB"/>
        </w:rPr>
        <w:t>locus region of sequence type (ST) 162 (A), ST177 (B) and ST199 (C) isolates derived from this study (</w:t>
      </w:r>
      <w:r w:rsidR="008248AC">
        <w:rPr>
          <w:rFonts w:ascii="Times New Roman" w:hAnsi="Times New Roman" w:cs="Times New Roman"/>
          <w:sz w:val="20"/>
          <w:lang w:val="en-GB"/>
        </w:rPr>
        <w:t>orange shading</w:t>
      </w:r>
      <w:r w:rsidR="00597F71" w:rsidRPr="005603B2">
        <w:rPr>
          <w:rFonts w:ascii="Times New Roman" w:hAnsi="Times New Roman" w:cs="Times New Roman"/>
          <w:sz w:val="20"/>
          <w:lang w:val="en-GB"/>
        </w:rPr>
        <w:t xml:space="preserve">) and older isolates from the same serotypes. </w:t>
      </w:r>
      <w:r w:rsidR="008248AC" w:rsidRPr="008248AC">
        <w:rPr>
          <w:rFonts w:ascii="Times New Roman" w:hAnsi="Times New Roman" w:cs="Times New Roman"/>
          <w:sz w:val="20"/>
          <w:szCs w:val="20"/>
          <w:lang w:val="en-GB"/>
        </w:rPr>
        <w:t>References used were CAPIT</w:t>
      </w:r>
      <w:r w:rsidR="008248AC">
        <w:rPr>
          <w:rFonts w:ascii="Times New Roman" w:hAnsi="Times New Roman" w:cs="Times New Roman"/>
          <w:sz w:val="20"/>
          <w:szCs w:val="20"/>
          <w:lang w:val="en-GB"/>
        </w:rPr>
        <w:t>086</w:t>
      </w:r>
      <w:r w:rsidR="008248AC" w:rsidRPr="008248AC">
        <w:rPr>
          <w:rFonts w:ascii="Times New Roman" w:hAnsi="Times New Roman" w:cs="Times New Roman"/>
          <w:sz w:val="20"/>
          <w:szCs w:val="20"/>
          <w:lang w:val="en-GB"/>
        </w:rPr>
        <w:t>_D1-1, CAPIT</w:t>
      </w:r>
      <w:r w:rsidR="008248AC">
        <w:rPr>
          <w:rFonts w:ascii="Times New Roman" w:hAnsi="Times New Roman" w:cs="Times New Roman"/>
          <w:sz w:val="20"/>
          <w:szCs w:val="20"/>
          <w:lang w:val="en-GB"/>
        </w:rPr>
        <w:t>292</w:t>
      </w:r>
      <w:r w:rsidR="008248AC" w:rsidRPr="008248AC">
        <w:rPr>
          <w:rFonts w:ascii="Times New Roman" w:hAnsi="Times New Roman" w:cs="Times New Roman"/>
          <w:sz w:val="20"/>
          <w:szCs w:val="20"/>
          <w:lang w:val="en-GB"/>
        </w:rPr>
        <w:t>_D1-1 and CAPIT2</w:t>
      </w:r>
      <w:r w:rsidR="008248AC">
        <w:rPr>
          <w:rFonts w:ascii="Times New Roman" w:hAnsi="Times New Roman" w:cs="Times New Roman"/>
          <w:sz w:val="20"/>
          <w:szCs w:val="20"/>
          <w:lang w:val="en-GB"/>
        </w:rPr>
        <w:t>26</w:t>
      </w:r>
      <w:r w:rsidR="008248AC" w:rsidRPr="008248AC">
        <w:rPr>
          <w:rFonts w:ascii="Times New Roman" w:hAnsi="Times New Roman" w:cs="Times New Roman"/>
          <w:sz w:val="20"/>
          <w:szCs w:val="20"/>
          <w:lang w:val="en-GB"/>
        </w:rPr>
        <w:t xml:space="preserve">_D1-1 (marked in red shading), respectively. </w:t>
      </w:r>
      <w:r w:rsidR="00597F71" w:rsidRPr="005603B2">
        <w:rPr>
          <w:rFonts w:ascii="Times New Roman" w:hAnsi="Times New Roman" w:cs="Times New Roman"/>
          <w:sz w:val="20"/>
          <w:lang w:val="en-GB"/>
        </w:rPr>
        <w:t xml:space="preserve">In red are shown the recombination events predicted to have occurred earlier in evolution, thus being present in a cluster of isolates. In blue, recombination events predicted only in the branch leaves, that is, in only one isolate. The position of the </w:t>
      </w:r>
      <w:r w:rsidR="00597F71" w:rsidRPr="005603B2">
        <w:rPr>
          <w:rFonts w:ascii="Times New Roman" w:hAnsi="Times New Roman" w:cs="Times New Roman"/>
          <w:i/>
          <w:sz w:val="20"/>
          <w:lang w:val="en-GB"/>
        </w:rPr>
        <w:t>cps</w:t>
      </w:r>
      <w:r w:rsidR="00597F71" w:rsidRPr="005603B2">
        <w:rPr>
          <w:rFonts w:ascii="Times New Roman" w:hAnsi="Times New Roman" w:cs="Times New Roman"/>
          <w:sz w:val="20"/>
          <w:lang w:val="en-GB"/>
        </w:rPr>
        <w:t xml:space="preserve"> locus is indicated with </w:t>
      </w:r>
      <w:r w:rsidR="00694E1C">
        <w:rPr>
          <w:rFonts w:ascii="Times New Roman" w:hAnsi="Times New Roman" w:cs="Times New Roman"/>
          <w:sz w:val="20"/>
          <w:lang w:val="en-GB"/>
        </w:rPr>
        <w:t>green</w:t>
      </w:r>
      <w:r w:rsidR="00597F71" w:rsidRPr="005603B2">
        <w:rPr>
          <w:rFonts w:ascii="Times New Roman" w:hAnsi="Times New Roman" w:cs="Times New Roman"/>
          <w:sz w:val="20"/>
          <w:lang w:val="en-GB"/>
        </w:rPr>
        <w:t xml:space="preserve"> boxes, and </w:t>
      </w:r>
      <w:proofErr w:type="spellStart"/>
      <w:r w:rsidR="00597F71" w:rsidRPr="005603B2">
        <w:rPr>
          <w:rFonts w:ascii="Times New Roman" w:hAnsi="Times New Roman" w:cs="Times New Roman"/>
          <w:i/>
          <w:sz w:val="20"/>
          <w:lang w:val="en-GB"/>
        </w:rPr>
        <w:t>pbp</w:t>
      </w:r>
      <w:proofErr w:type="spellEnd"/>
      <w:r w:rsidR="00597F71" w:rsidRPr="005603B2">
        <w:rPr>
          <w:rFonts w:ascii="Times New Roman" w:hAnsi="Times New Roman" w:cs="Times New Roman"/>
          <w:sz w:val="20"/>
          <w:lang w:val="en-GB"/>
        </w:rPr>
        <w:t xml:space="preserve"> genes with </w:t>
      </w:r>
      <w:r w:rsidR="00694E1C">
        <w:rPr>
          <w:rFonts w:ascii="Times New Roman" w:hAnsi="Times New Roman" w:cs="Times New Roman"/>
          <w:sz w:val="20"/>
          <w:lang w:val="en-GB"/>
        </w:rPr>
        <w:t>red</w:t>
      </w:r>
      <w:r w:rsidR="00597F71" w:rsidRPr="005603B2">
        <w:rPr>
          <w:rFonts w:ascii="Times New Roman" w:hAnsi="Times New Roman" w:cs="Times New Roman"/>
          <w:sz w:val="20"/>
          <w:lang w:val="en-GB"/>
        </w:rPr>
        <w:t xml:space="preserve"> boxes.</w:t>
      </w:r>
    </w:p>
    <w:p w14:paraId="6D365725" w14:textId="77777777" w:rsidR="007F27EE" w:rsidRDefault="007F27EE">
      <w:pPr>
        <w:rPr>
          <w:rFonts w:ascii="Times New Roman" w:eastAsiaTheme="majorEastAsia" w:hAnsi="Times New Roman" w:cs="Times New Roman"/>
          <w:b/>
          <w:sz w:val="24"/>
          <w:szCs w:val="32"/>
          <w:lang w:val="en-GB"/>
        </w:rPr>
      </w:pPr>
      <w:bookmarkStart w:id="11" w:name="_Toc111822377"/>
      <w:r>
        <w:rPr>
          <w:rFonts w:ascii="Times New Roman" w:hAnsi="Times New Roman" w:cs="Times New Roman"/>
          <w:b/>
          <w:sz w:val="24"/>
          <w:lang w:val="en-GB"/>
        </w:rPr>
        <w:br w:type="page"/>
      </w:r>
    </w:p>
    <w:p w14:paraId="5FA6E376" w14:textId="016A7C7C" w:rsidR="005603B2" w:rsidRDefault="005603B2" w:rsidP="005603B2">
      <w:pPr>
        <w:pStyle w:val="Heading1"/>
        <w:rPr>
          <w:rFonts w:ascii="Times New Roman" w:hAnsi="Times New Roman" w:cs="Times New Roman"/>
          <w:b/>
          <w:color w:val="auto"/>
          <w:sz w:val="24"/>
          <w:lang w:val="en-GB"/>
        </w:rPr>
      </w:pPr>
      <w:r w:rsidRPr="005603B2">
        <w:rPr>
          <w:rFonts w:ascii="Times New Roman" w:hAnsi="Times New Roman" w:cs="Times New Roman"/>
          <w:b/>
          <w:color w:val="auto"/>
          <w:sz w:val="24"/>
          <w:lang w:val="en-GB"/>
        </w:rPr>
        <w:lastRenderedPageBreak/>
        <w:t xml:space="preserve">Supplementary </w:t>
      </w:r>
      <w:r>
        <w:rPr>
          <w:rFonts w:ascii="Times New Roman" w:hAnsi="Times New Roman" w:cs="Times New Roman"/>
          <w:b/>
          <w:color w:val="auto"/>
          <w:sz w:val="24"/>
          <w:lang w:val="en-GB"/>
        </w:rPr>
        <w:t>Tables</w:t>
      </w:r>
      <w:bookmarkEnd w:id="11"/>
    </w:p>
    <w:p w14:paraId="12B88715" w14:textId="375A4A17" w:rsidR="00597F71" w:rsidRDefault="003D1A1E" w:rsidP="00597F71">
      <w:pPr>
        <w:spacing w:line="240" w:lineRule="auto"/>
        <w:rPr>
          <w:rFonts w:ascii="Times New Roman" w:hAnsi="Times New Roman" w:cs="Times New Roman"/>
          <w:sz w:val="20"/>
          <w:lang w:val="en-GB"/>
        </w:rPr>
      </w:pPr>
      <w:r>
        <w:rPr>
          <w:rFonts w:ascii="Times New Roman" w:eastAsiaTheme="majorEastAsia" w:hAnsi="Times New Roman" w:cs="Times New Roman"/>
          <w:b/>
          <w:sz w:val="20"/>
          <w:szCs w:val="26"/>
          <w:lang w:val="en-GB"/>
        </w:rPr>
        <w:t>Table S3</w:t>
      </w:r>
      <w:r w:rsidR="00597F71" w:rsidRPr="005603B2">
        <w:rPr>
          <w:rFonts w:ascii="Times New Roman" w:hAnsi="Times New Roman" w:cs="Times New Roman"/>
          <w:b/>
          <w:sz w:val="20"/>
          <w:lang w:val="en-GB"/>
        </w:rPr>
        <w:t>.</w:t>
      </w:r>
      <w:r w:rsidR="00597F71" w:rsidRPr="005603B2">
        <w:rPr>
          <w:rFonts w:ascii="Times New Roman" w:hAnsi="Times New Roman" w:cs="Times New Roman"/>
          <w:sz w:val="20"/>
          <w:lang w:val="en-GB"/>
        </w:rPr>
        <w:t xml:space="preserve"> Serotype distribution across the different arms of the trial.</w:t>
      </w:r>
    </w:p>
    <w:tbl>
      <w:tblPr>
        <w:tblW w:w="11603" w:type="dxa"/>
        <w:tblInd w:w="-1281" w:type="dxa"/>
        <w:tblCellMar>
          <w:left w:w="0" w:type="dxa"/>
          <w:right w:w="0" w:type="dxa"/>
        </w:tblCellMar>
        <w:tblLook w:val="04A0" w:firstRow="1" w:lastRow="0" w:firstColumn="1" w:lastColumn="0" w:noHBand="0" w:noVBand="1"/>
      </w:tblPr>
      <w:tblGrid>
        <w:gridCol w:w="1798"/>
        <w:gridCol w:w="755"/>
        <w:gridCol w:w="559"/>
        <w:gridCol w:w="559"/>
        <w:gridCol w:w="692"/>
        <w:gridCol w:w="429"/>
        <w:gridCol w:w="553"/>
        <w:gridCol w:w="553"/>
        <w:gridCol w:w="559"/>
        <w:gridCol w:w="559"/>
        <w:gridCol w:w="553"/>
        <w:gridCol w:w="692"/>
        <w:gridCol w:w="564"/>
        <w:gridCol w:w="553"/>
        <w:gridCol w:w="553"/>
        <w:gridCol w:w="553"/>
        <w:gridCol w:w="553"/>
        <w:gridCol w:w="574"/>
      </w:tblGrid>
      <w:tr w:rsidR="00743F6F" w:rsidRPr="00E372F4" w14:paraId="35D1B2D3" w14:textId="77777777" w:rsidTr="000F74AC">
        <w:trPr>
          <w:trHeight w:val="271"/>
        </w:trPr>
        <w:tc>
          <w:tcPr>
            <w:tcW w:w="1798" w:type="dxa"/>
            <w:tcBorders>
              <w:top w:val="single" w:sz="4" w:space="0" w:color="auto"/>
              <w:left w:val="single" w:sz="4" w:space="0" w:color="auto"/>
              <w:bottom w:val="single" w:sz="4" w:space="0" w:color="auto"/>
              <w:right w:val="nil"/>
            </w:tcBorders>
            <w:shd w:val="clear" w:color="DDEBF7" w:fill="FFFFFF"/>
            <w:noWrap/>
            <w:vAlign w:val="center"/>
            <w:hideMark/>
          </w:tcPr>
          <w:p w14:paraId="2FC28167"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Arm</w:t>
            </w:r>
          </w:p>
        </w:tc>
        <w:tc>
          <w:tcPr>
            <w:tcW w:w="755" w:type="dxa"/>
            <w:tcBorders>
              <w:top w:val="single" w:sz="4" w:space="0" w:color="auto"/>
              <w:left w:val="single" w:sz="4" w:space="0" w:color="auto"/>
              <w:bottom w:val="single" w:sz="4" w:space="0" w:color="auto"/>
              <w:right w:val="nil"/>
            </w:tcBorders>
            <w:shd w:val="clear" w:color="000000" w:fill="DBDBDB"/>
            <w:noWrap/>
            <w:vAlign w:val="center"/>
            <w:hideMark/>
          </w:tcPr>
          <w:p w14:paraId="53EB2475"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15B/C</w:t>
            </w:r>
          </w:p>
        </w:tc>
        <w:tc>
          <w:tcPr>
            <w:tcW w:w="559" w:type="dxa"/>
            <w:tcBorders>
              <w:top w:val="single" w:sz="4" w:space="0" w:color="auto"/>
              <w:left w:val="single" w:sz="4" w:space="0" w:color="auto"/>
              <w:bottom w:val="single" w:sz="4" w:space="0" w:color="auto"/>
              <w:right w:val="nil"/>
            </w:tcBorders>
            <w:shd w:val="clear" w:color="000000" w:fill="DBDBDB"/>
            <w:noWrap/>
            <w:vAlign w:val="center"/>
            <w:hideMark/>
          </w:tcPr>
          <w:p w14:paraId="7EE286C0"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11A</w:t>
            </w:r>
          </w:p>
        </w:tc>
        <w:tc>
          <w:tcPr>
            <w:tcW w:w="559" w:type="dxa"/>
            <w:tcBorders>
              <w:top w:val="single" w:sz="4" w:space="0" w:color="auto"/>
              <w:left w:val="single" w:sz="4" w:space="0" w:color="auto"/>
              <w:bottom w:val="single" w:sz="4" w:space="0" w:color="auto"/>
              <w:right w:val="nil"/>
            </w:tcBorders>
            <w:shd w:val="clear" w:color="000000" w:fill="DBDBDB"/>
            <w:noWrap/>
            <w:vAlign w:val="center"/>
            <w:hideMark/>
          </w:tcPr>
          <w:p w14:paraId="53586351"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15A</w:t>
            </w:r>
          </w:p>
        </w:tc>
        <w:tc>
          <w:tcPr>
            <w:tcW w:w="692" w:type="dxa"/>
            <w:tcBorders>
              <w:top w:val="single" w:sz="4" w:space="0" w:color="auto"/>
              <w:left w:val="single" w:sz="4" w:space="0" w:color="auto"/>
              <w:bottom w:val="single" w:sz="4" w:space="0" w:color="auto"/>
              <w:right w:val="nil"/>
            </w:tcBorders>
            <w:shd w:val="clear" w:color="000000" w:fill="DBDBDB"/>
            <w:noWrap/>
            <w:vAlign w:val="center"/>
            <w:hideMark/>
          </w:tcPr>
          <w:p w14:paraId="00E7061A"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23B1</w:t>
            </w:r>
          </w:p>
        </w:tc>
        <w:tc>
          <w:tcPr>
            <w:tcW w:w="429" w:type="dxa"/>
            <w:tcBorders>
              <w:top w:val="single" w:sz="4" w:space="0" w:color="auto"/>
              <w:left w:val="single" w:sz="4" w:space="0" w:color="auto"/>
              <w:bottom w:val="single" w:sz="4" w:space="0" w:color="auto"/>
              <w:right w:val="nil"/>
            </w:tcBorders>
            <w:shd w:val="clear" w:color="000000" w:fill="DBDBDB"/>
            <w:noWrap/>
            <w:vAlign w:val="center"/>
            <w:hideMark/>
          </w:tcPr>
          <w:p w14:paraId="39E1C799"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21</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25B2FC3F"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35F</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5E83BCA6"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35B</w:t>
            </w:r>
          </w:p>
        </w:tc>
        <w:tc>
          <w:tcPr>
            <w:tcW w:w="559" w:type="dxa"/>
            <w:tcBorders>
              <w:top w:val="single" w:sz="4" w:space="0" w:color="auto"/>
              <w:left w:val="single" w:sz="4" w:space="0" w:color="auto"/>
              <w:bottom w:val="single" w:sz="4" w:space="0" w:color="auto"/>
              <w:right w:val="nil"/>
            </w:tcBorders>
            <w:shd w:val="clear" w:color="000000" w:fill="DBDBDB"/>
            <w:noWrap/>
            <w:vAlign w:val="center"/>
            <w:hideMark/>
          </w:tcPr>
          <w:p w14:paraId="7EE91C3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23A</w:t>
            </w:r>
          </w:p>
        </w:tc>
        <w:tc>
          <w:tcPr>
            <w:tcW w:w="559" w:type="dxa"/>
            <w:tcBorders>
              <w:top w:val="single" w:sz="4" w:space="0" w:color="auto"/>
              <w:left w:val="single" w:sz="4" w:space="0" w:color="auto"/>
              <w:bottom w:val="single" w:sz="4" w:space="0" w:color="auto"/>
              <w:right w:val="nil"/>
            </w:tcBorders>
            <w:shd w:val="clear" w:color="000000" w:fill="DBDBDB"/>
            <w:noWrap/>
            <w:vAlign w:val="center"/>
            <w:hideMark/>
          </w:tcPr>
          <w:p w14:paraId="4FED84F6"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10A</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6612B6B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03</w:t>
            </w:r>
          </w:p>
        </w:tc>
        <w:tc>
          <w:tcPr>
            <w:tcW w:w="692" w:type="dxa"/>
            <w:tcBorders>
              <w:top w:val="single" w:sz="4" w:space="0" w:color="auto"/>
              <w:left w:val="single" w:sz="4" w:space="0" w:color="auto"/>
              <w:bottom w:val="single" w:sz="4" w:space="0" w:color="auto"/>
              <w:right w:val="nil"/>
            </w:tcBorders>
            <w:shd w:val="clear" w:color="000000" w:fill="DBDBDB"/>
            <w:noWrap/>
            <w:vAlign w:val="center"/>
            <w:hideMark/>
          </w:tcPr>
          <w:p w14:paraId="76F98E02"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Sg 24</w:t>
            </w:r>
          </w:p>
        </w:tc>
        <w:tc>
          <w:tcPr>
            <w:tcW w:w="564" w:type="dxa"/>
            <w:tcBorders>
              <w:top w:val="single" w:sz="4" w:space="0" w:color="auto"/>
              <w:left w:val="single" w:sz="4" w:space="0" w:color="auto"/>
              <w:bottom w:val="single" w:sz="4" w:space="0" w:color="auto"/>
              <w:right w:val="nil"/>
            </w:tcBorders>
            <w:shd w:val="clear" w:color="000000" w:fill="DBDBDB"/>
            <w:noWrap/>
            <w:vAlign w:val="center"/>
            <w:hideMark/>
          </w:tcPr>
          <w:p w14:paraId="5EC9CDA6"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22F</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7EE33AEF"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NT</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6E58D6A9"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33F</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61300AB4"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16F</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0B17783B"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17F</w:t>
            </w:r>
          </w:p>
        </w:tc>
        <w:tc>
          <w:tcPr>
            <w:tcW w:w="566" w:type="dxa"/>
            <w:tcBorders>
              <w:top w:val="single" w:sz="4" w:space="0" w:color="auto"/>
              <w:left w:val="single" w:sz="4" w:space="0" w:color="auto"/>
              <w:bottom w:val="single" w:sz="4" w:space="0" w:color="auto"/>
              <w:right w:val="nil"/>
            </w:tcBorders>
            <w:shd w:val="clear" w:color="000000" w:fill="DBDBDB"/>
            <w:noWrap/>
            <w:vAlign w:val="center"/>
            <w:hideMark/>
          </w:tcPr>
          <w:p w14:paraId="1E6C24EF"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07C</w:t>
            </w:r>
          </w:p>
        </w:tc>
      </w:tr>
      <w:tr w:rsidR="00743F6F" w:rsidRPr="00E372F4" w14:paraId="7C574E4F" w14:textId="77777777" w:rsidTr="000F74AC">
        <w:trPr>
          <w:trHeight w:val="271"/>
        </w:trPr>
        <w:tc>
          <w:tcPr>
            <w:tcW w:w="1798" w:type="dxa"/>
            <w:tcBorders>
              <w:top w:val="nil"/>
              <w:left w:val="single" w:sz="4" w:space="0" w:color="auto"/>
              <w:bottom w:val="single" w:sz="4" w:space="0" w:color="auto"/>
              <w:right w:val="nil"/>
            </w:tcBorders>
            <w:shd w:val="clear" w:color="auto" w:fill="auto"/>
            <w:noWrap/>
            <w:vAlign w:val="center"/>
            <w:hideMark/>
          </w:tcPr>
          <w:p w14:paraId="48C625DD" w14:textId="77777777" w:rsidR="00743F6F" w:rsidRPr="00E372F4" w:rsidRDefault="00743F6F" w:rsidP="000F74AC">
            <w:pPr>
              <w:spacing w:after="0" w:line="240" w:lineRule="auto"/>
              <w:ind w:firstLineChars="100" w:firstLine="220"/>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Higher + longer</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74A7679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14</w:t>
            </w:r>
          </w:p>
        </w:tc>
        <w:tc>
          <w:tcPr>
            <w:tcW w:w="559" w:type="dxa"/>
            <w:tcBorders>
              <w:top w:val="nil"/>
              <w:left w:val="nil"/>
              <w:bottom w:val="single" w:sz="4" w:space="0" w:color="auto"/>
              <w:right w:val="single" w:sz="4" w:space="0" w:color="auto"/>
            </w:tcBorders>
            <w:shd w:val="clear" w:color="auto" w:fill="auto"/>
            <w:noWrap/>
            <w:vAlign w:val="center"/>
            <w:hideMark/>
          </w:tcPr>
          <w:p w14:paraId="553F44E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8</w:t>
            </w:r>
          </w:p>
        </w:tc>
        <w:tc>
          <w:tcPr>
            <w:tcW w:w="559" w:type="dxa"/>
            <w:tcBorders>
              <w:top w:val="nil"/>
              <w:left w:val="nil"/>
              <w:bottom w:val="single" w:sz="4" w:space="0" w:color="auto"/>
              <w:right w:val="single" w:sz="4" w:space="0" w:color="auto"/>
            </w:tcBorders>
            <w:shd w:val="clear" w:color="auto" w:fill="auto"/>
            <w:noWrap/>
            <w:vAlign w:val="center"/>
            <w:hideMark/>
          </w:tcPr>
          <w:p w14:paraId="7742715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11</w:t>
            </w:r>
          </w:p>
        </w:tc>
        <w:tc>
          <w:tcPr>
            <w:tcW w:w="692" w:type="dxa"/>
            <w:tcBorders>
              <w:top w:val="nil"/>
              <w:left w:val="nil"/>
              <w:bottom w:val="single" w:sz="4" w:space="0" w:color="auto"/>
              <w:right w:val="single" w:sz="4" w:space="0" w:color="auto"/>
            </w:tcBorders>
            <w:shd w:val="clear" w:color="auto" w:fill="auto"/>
            <w:noWrap/>
            <w:vAlign w:val="center"/>
            <w:hideMark/>
          </w:tcPr>
          <w:p w14:paraId="4B02C4E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429" w:type="dxa"/>
            <w:tcBorders>
              <w:top w:val="nil"/>
              <w:left w:val="nil"/>
              <w:bottom w:val="single" w:sz="4" w:space="0" w:color="auto"/>
              <w:right w:val="single" w:sz="4" w:space="0" w:color="auto"/>
            </w:tcBorders>
            <w:shd w:val="clear" w:color="auto" w:fill="auto"/>
            <w:noWrap/>
            <w:vAlign w:val="center"/>
            <w:hideMark/>
          </w:tcPr>
          <w:p w14:paraId="44490260"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5</w:t>
            </w:r>
          </w:p>
        </w:tc>
        <w:tc>
          <w:tcPr>
            <w:tcW w:w="553" w:type="dxa"/>
            <w:tcBorders>
              <w:top w:val="nil"/>
              <w:left w:val="nil"/>
              <w:bottom w:val="single" w:sz="4" w:space="0" w:color="auto"/>
              <w:right w:val="single" w:sz="4" w:space="0" w:color="auto"/>
            </w:tcBorders>
            <w:shd w:val="clear" w:color="auto" w:fill="auto"/>
            <w:noWrap/>
            <w:vAlign w:val="center"/>
            <w:hideMark/>
          </w:tcPr>
          <w:p w14:paraId="3FECEDA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6</w:t>
            </w:r>
          </w:p>
        </w:tc>
        <w:tc>
          <w:tcPr>
            <w:tcW w:w="553" w:type="dxa"/>
            <w:tcBorders>
              <w:top w:val="nil"/>
              <w:left w:val="nil"/>
              <w:bottom w:val="single" w:sz="4" w:space="0" w:color="auto"/>
              <w:right w:val="single" w:sz="4" w:space="0" w:color="auto"/>
            </w:tcBorders>
            <w:shd w:val="clear" w:color="auto" w:fill="auto"/>
            <w:noWrap/>
            <w:vAlign w:val="center"/>
            <w:hideMark/>
          </w:tcPr>
          <w:p w14:paraId="7F65CBCC"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7</w:t>
            </w:r>
          </w:p>
        </w:tc>
        <w:tc>
          <w:tcPr>
            <w:tcW w:w="559" w:type="dxa"/>
            <w:tcBorders>
              <w:top w:val="nil"/>
              <w:left w:val="nil"/>
              <w:bottom w:val="single" w:sz="4" w:space="0" w:color="auto"/>
              <w:right w:val="single" w:sz="4" w:space="0" w:color="auto"/>
            </w:tcBorders>
            <w:shd w:val="clear" w:color="auto" w:fill="auto"/>
            <w:noWrap/>
            <w:vAlign w:val="center"/>
            <w:hideMark/>
          </w:tcPr>
          <w:p w14:paraId="7F4850C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5</w:t>
            </w:r>
          </w:p>
        </w:tc>
        <w:tc>
          <w:tcPr>
            <w:tcW w:w="559" w:type="dxa"/>
            <w:tcBorders>
              <w:top w:val="nil"/>
              <w:left w:val="nil"/>
              <w:bottom w:val="single" w:sz="4" w:space="0" w:color="auto"/>
              <w:right w:val="single" w:sz="4" w:space="0" w:color="auto"/>
            </w:tcBorders>
            <w:shd w:val="clear" w:color="auto" w:fill="auto"/>
            <w:noWrap/>
            <w:vAlign w:val="center"/>
            <w:hideMark/>
          </w:tcPr>
          <w:p w14:paraId="14501CA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53" w:type="dxa"/>
            <w:tcBorders>
              <w:top w:val="nil"/>
              <w:left w:val="nil"/>
              <w:bottom w:val="single" w:sz="4" w:space="0" w:color="auto"/>
              <w:right w:val="single" w:sz="4" w:space="0" w:color="auto"/>
            </w:tcBorders>
            <w:shd w:val="clear" w:color="auto" w:fill="auto"/>
            <w:noWrap/>
            <w:vAlign w:val="center"/>
            <w:hideMark/>
          </w:tcPr>
          <w:p w14:paraId="60678F8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692" w:type="dxa"/>
            <w:tcBorders>
              <w:top w:val="nil"/>
              <w:left w:val="nil"/>
              <w:bottom w:val="single" w:sz="4" w:space="0" w:color="auto"/>
              <w:right w:val="single" w:sz="4" w:space="0" w:color="auto"/>
            </w:tcBorders>
            <w:shd w:val="clear" w:color="auto" w:fill="auto"/>
            <w:noWrap/>
            <w:vAlign w:val="center"/>
            <w:hideMark/>
          </w:tcPr>
          <w:p w14:paraId="7FFA009C"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564" w:type="dxa"/>
            <w:tcBorders>
              <w:top w:val="nil"/>
              <w:left w:val="nil"/>
              <w:bottom w:val="single" w:sz="4" w:space="0" w:color="auto"/>
              <w:right w:val="single" w:sz="4" w:space="0" w:color="auto"/>
            </w:tcBorders>
            <w:shd w:val="clear" w:color="auto" w:fill="auto"/>
            <w:noWrap/>
            <w:vAlign w:val="center"/>
            <w:hideMark/>
          </w:tcPr>
          <w:p w14:paraId="34F6675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6</w:t>
            </w:r>
          </w:p>
        </w:tc>
        <w:tc>
          <w:tcPr>
            <w:tcW w:w="553" w:type="dxa"/>
            <w:tcBorders>
              <w:top w:val="nil"/>
              <w:left w:val="nil"/>
              <w:bottom w:val="single" w:sz="4" w:space="0" w:color="auto"/>
              <w:right w:val="single" w:sz="4" w:space="0" w:color="auto"/>
            </w:tcBorders>
            <w:shd w:val="clear" w:color="auto" w:fill="auto"/>
            <w:noWrap/>
            <w:vAlign w:val="center"/>
            <w:hideMark/>
          </w:tcPr>
          <w:p w14:paraId="6BE677F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53" w:type="dxa"/>
            <w:tcBorders>
              <w:top w:val="nil"/>
              <w:left w:val="nil"/>
              <w:bottom w:val="single" w:sz="4" w:space="0" w:color="auto"/>
              <w:right w:val="single" w:sz="4" w:space="0" w:color="auto"/>
            </w:tcBorders>
            <w:shd w:val="clear" w:color="auto" w:fill="auto"/>
            <w:noWrap/>
            <w:vAlign w:val="center"/>
            <w:hideMark/>
          </w:tcPr>
          <w:p w14:paraId="03966F38"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3D357B4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53" w:type="dxa"/>
            <w:tcBorders>
              <w:top w:val="nil"/>
              <w:left w:val="nil"/>
              <w:bottom w:val="single" w:sz="4" w:space="0" w:color="auto"/>
              <w:right w:val="single" w:sz="4" w:space="0" w:color="auto"/>
            </w:tcBorders>
            <w:shd w:val="clear" w:color="auto" w:fill="auto"/>
            <w:noWrap/>
            <w:vAlign w:val="center"/>
            <w:hideMark/>
          </w:tcPr>
          <w:p w14:paraId="47C82F8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66" w:type="dxa"/>
            <w:tcBorders>
              <w:top w:val="nil"/>
              <w:left w:val="nil"/>
              <w:bottom w:val="single" w:sz="4" w:space="0" w:color="auto"/>
              <w:right w:val="single" w:sz="4" w:space="0" w:color="auto"/>
            </w:tcBorders>
            <w:shd w:val="clear" w:color="auto" w:fill="auto"/>
            <w:noWrap/>
            <w:vAlign w:val="center"/>
            <w:hideMark/>
          </w:tcPr>
          <w:p w14:paraId="65D375B3"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r>
      <w:tr w:rsidR="00743F6F" w:rsidRPr="00E372F4" w14:paraId="1E13E5FB" w14:textId="77777777" w:rsidTr="000F74AC">
        <w:trPr>
          <w:trHeight w:val="271"/>
        </w:trPr>
        <w:tc>
          <w:tcPr>
            <w:tcW w:w="1798" w:type="dxa"/>
            <w:tcBorders>
              <w:top w:val="nil"/>
              <w:left w:val="single" w:sz="4" w:space="0" w:color="auto"/>
              <w:bottom w:val="single" w:sz="4" w:space="0" w:color="auto"/>
              <w:right w:val="nil"/>
            </w:tcBorders>
            <w:shd w:val="clear" w:color="auto" w:fill="auto"/>
            <w:noWrap/>
            <w:vAlign w:val="center"/>
            <w:hideMark/>
          </w:tcPr>
          <w:p w14:paraId="3C641753" w14:textId="77777777" w:rsidR="00743F6F" w:rsidRPr="00E372F4" w:rsidRDefault="00743F6F" w:rsidP="000F74AC">
            <w:pPr>
              <w:spacing w:after="0" w:line="240" w:lineRule="auto"/>
              <w:ind w:firstLineChars="100" w:firstLine="220"/>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Higher + shorter</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66DF90E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14</w:t>
            </w:r>
          </w:p>
        </w:tc>
        <w:tc>
          <w:tcPr>
            <w:tcW w:w="559" w:type="dxa"/>
            <w:tcBorders>
              <w:top w:val="nil"/>
              <w:left w:val="nil"/>
              <w:bottom w:val="single" w:sz="4" w:space="0" w:color="auto"/>
              <w:right w:val="single" w:sz="4" w:space="0" w:color="auto"/>
            </w:tcBorders>
            <w:shd w:val="clear" w:color="auto" w:fill="auto"/>
            <w:noWrap/>
            <w:vAlign w:val="center"/>
            <w:hideMark/>
          </w:tcPr>
          <w:p w14:paraId="29C7189B"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12</w:t>
            </w:r>
          </w:p>
        </w:tc>
        <w:tc>
          <w:tcPr>
            <w:tcW w:w="559" w:type="dxa"/>
            <w:tcBorders>
              <w:top w:val="nil"/>
              <w:left w:val="nil"/>
              <w:bottom w:val="single" w:sz="4" w:space="0" w:color="auto"/>
              <w:right w:val="single" w:sz="4" w:space="0" w:color="auto"/>
            </w:tcBorders>
            <w:shd w:val="clear" w:color="auto" w:fill="auto"/>
            <w:noWrap/>
            <w:vAlign w:val="center"/>
            <w:hideMark/>
          </w:tcPr>
          <w:p w14:paraId="5607C39B"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6</w:t>
            </w:r>
          </w:p>
        </w:tc>
        <w:tc>
          <w:tcPr>
            <w:tcW w:w="692" w:type="dxa"/>
            <w:tcBorders>
              <w:top w:val="nil"/>
              <w:left w:val="nil"/>
              <w:bottom w:val="single" w:sz="4" w:space="0" w:color="auto"/>
              <w:right w:val="single" w:sz="4" w:space="0" w:color="auto"/>
            </w:tcBorders>
            <w:shd w:val="clear" w:color="auto" w:fill="auto"/>
            <w:noWrap/>
            <w:vAlign w:val="center"/>
            <w:hideMark/>
          </w:tcPr>
          <w:p w14:paraId="02E7EE3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9</w:t>
            </w:r>
          </w:p>
        </w:tc>
        <w:tc>
          <w:tcPr>
            <w:tcW w:w="429" w:type="dxa"/>
            <w:tcBorders>
              <w:top w:val="nil"/>
              <w:left w:val="nil"/>
              <w:bottom w:val="single" w:sz="4" w:space="0" w:color="auto"/>
              <w:right w:val="single" w:sz="4" w:space="0" w:color="auto"/>
            </w:tcBorders>
            <w:shd w:val="clear" w:color="auto" w:fill="auto"/>
            <w:noWrap/>
            <w:vAlign w:val="center"/>
            <w:hideMark/>
          </w:tcPr>
          <w:p w14:paraId="16AABD2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7</w:t>
            </w:r>
          </w:p>
        </w:tc>
        <w:tc>
          <w:tcPr>
            <w:tcW w:w="553" w:type="dxa"/>
            <w:tcBorders>
              <w:top w:val="nil"/>
              <w:left w:val="nil"/>
              <w:bottom w:val="single" w:sz="4" w:space="0" w:color="auto"/>
              <w:right w:val="single" w:sz="4" w:space="0" w:color="auto"/>
            </w:tcBorders>
            <w:shd w:val="clear" w:color="auto" w:fill="auto"/>
            <w:noWrap/>
            <w:vAlign w:val="center"/>
            <w:hideMark/>
          </w:tcPr>
          <w:p w14:paraId="2F28313B"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553" w:type="dxa"/>
            <w:tcBorders>
              <w:top w:val="nil"/>
              <w:left w:val="nil"/>
              <w:bottom w:val="single" w:sz="4" w:space="0" w:color="auto"/>
              <w:right w:val="single" w:sz="4" w:space="0" w:color="auto"/>
            </w:tcBorders>
            <w:shd w:val="clear" w:color="auto" w:fill="auto"/>
            <w:noWrap/>
            <w:vAlign w:val="center"/>
            <w:hideMark/>
          </w:tcPr>
          <w:p w14:paraId="33F572A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59" w:type="dxa"/>
            <w:tcBorders>
              <w:top w:val="nil"/>
              <w:left w:val="nil"/>
              <w:bottom w:val="single" w:sz="4" w:space="0" w:color="auto"/>
              <w:right w:val="single" w:sz="4" w:space="0" w:color="auto"/>
            </w:tcBorders>
            <w:shd w:val="clear" w:color="auto" w:fill="auto"/>
            <w:noWrap/>
            <w:vAlign w:val="center"/>
            <w:hideMark/>
          </w:tcPr>
          <w:p w14:paraId="6A3C892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59" w:type="dxa"/>
            <w:tcBorders>
              <w:top w:val="nil"/>
              <w:left w:val="nil"/>
              <w:bottom w:val="single" w:sz="4" w:space="0" w:color="auto"/>
              <w:right w:val="single" w:sz="4" w:space="0" w:color="auto"/>
            </w:tcBorders>
            <w:shd w:val="clear" w:color="auto" w:fill="auto"/>
            <w:noWrap/>
            <w:vAlign w:val="center"/>
            <w:hideMark/>
          </w:tcPr>
          <w:p w14:paraId="2F6642C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5</w:t>
            </w:r>
          </w:p>
        </w:tc>
        <w:tc>
          <w:tcPr>
            <w:tcW w:w="553" w:type="dxa"/>
            <w:tcBorders>
              <w:top w:val="nil"/>
              <w:left w:val="nil"/>
              <w:bottom w:val="single" w:sz="4" w:space="0" w:color="auto"/>
              <w:right w:val="single" w:sz="4" w:space="0" w:color="auto"/>
            </w:tcBorders>
            <w:shd w:val="clear" w:color="auto" w:fill="auto"/>
            <w:noWrap/>
            <w:vAlign w:val="center"/>
            <w:hideMark/>
          </w:tcPr>
          <w:p w14:paraId="011CD38B"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692" w:type="dxa"/>
            <w:tcBorders>
              <w:top w:val="nil"/>
              <w:left w:val="nil"/>
              <w:bottom w:val="single" w:sz="4" w:space="0" w:color="auto"/>
              <w:right w:val="single" w:sz="4" w:space="0" w:color="auto"/>
            </w:tcBorders>
            <w:shd w:val="clear" w:color="auto" w:fill="auto"/>
            <w:noWrap/>
            <w:vAlign w:val="center"/>
            <w:hideMark/>
          </w:tcPr>
          <w:p w14:paraId="49EC29A7"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64" w:type="dxa"/>
            <w:tcBorders>
              <w:top w:val="nil"/>
              <w:left w:val="nil"/>
              <w:bottom w:val="single" w:sz="4" w:space="0" w:color="auto"/>
              <w:right w:val="single" w:sz="4" w:space="0" w:color="auto"/>
            </w:tcBorders>
            <w:shd w:val="clear" w:color="auto" w:fill="auto"/>
            <w:noWrap/>
            <w:vAlign w:val="center"/>
            <w:hideMark/>
          </w:tcPr>
          <w:p w14:paraId="0406C15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1232F09C"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553" w:type="dxa"/>
            <w:tcBorders>
              <w:top w:val="nil"/>
              <w:left w:val="nil"/>
              <w:bottom w:val="single" w:sz="4" w:space="0" w:color="auto"/>
              <w:right w:val="single" w:sz="4" w:space="0" w:color="auto"/>
            </w:tcBorders>
            <w:shd w:val="clear" w:color="auto" w:fill="auto"/>
            <w:noWrap/>
            <w:vAlign w:val="center"/>
            <w:hideMark/>
          </w:tcPr>
          <w:p w14:paraId="47453C48"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4626650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49FFAE3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6" w:type="dxa"/>
            <w:tcBorders>
              <w:top w:val="nil"/>
              <w:left w:val="nil"/>
              <w:bottom w:val="single" w:sz="4" w:space="0" w:color="auto"/>
              <w:right w:val="single" w:sz="4" w:space="0" w:color="auto"/>
            </w:tcBorders>
            <w:shd w:val="clear" w:color="auto" w:fill="auto"/>
            <w:noWrap/>
            <w:vAlign w:val="center"/>
            <w:hideMark/>
          </w:tcPr>
          <w:p w14:paraId="70CA5B0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5</w:t>
            </w:r>
          </w:p>
        </w:tc>
      </w:tr>
      <w:tr w:rsidR="00743F6F" w:rsidRPr="00E372F4" w14:paraId="298FCC19" w14:textId="77777777" w:rsidTr="000F74AC">
        <w:trPr>
          <w:trHeight w:val="271"/>
        </w:trPr>
        <w:tc>
          <w:tcPr>
            <w:tcW w:w="1798" w:type="dxa"/>
            <w:tcBorders>
              <w:top w:val="nil"/>
              <w:left w:val="single" w:sz="4" w:space="0" w:color="auto"/>
              <w:bottom w:val="single" w:sz="4" w:space="0" w:color="auto"/>
              <w:right w:val="nil"/>
            </w:tcBorders>
            <w:shd w:val="clear" w:color="auto" w:fill="auto"/>
            <w:noWrap/>
            <w:vAlign w:val="center"/>
            <w:hideMark/>
          </w:tcPr>
          <w:p w14:paraId="7C6A8328" w14:textId="77777777" w:rsidR="00743F6F" w:rsidRPr="00E372F4" w:rsidRDefault="00743F6F" w:rsidP="000F74AC">
            <w:pPr>
              <w:spacing w:after="0" w:line="240" w:lineRule="auto"/>
              <w:ind w:firstLineChars="100" w:firstLine="220"/>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Lower + longer</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1D367F7B"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8</w:t>
            </w:r>
          </w:p>
        </w:tc>
        <w:tc>
          <w:tcPr>
            <w:tcW w:w="559" w:type="dxa"/>
            <w:tcBorders>
              <w:top w:val="nil"/>
              <w:left w:val="nil"/>
              <w:bottom w:val="single" w:sz="4" w:space="0" w:color="auto"/>
              <w:right w:val="single" w:sz="4" w:space="0" w:color="auto"/>
            </w:tcBorders>
            <w:shd w:val="clear" w:color="auto" w:fill="auto"/>
            <w:noWrap/>
            <w:vAlign w:val="center"/>
            <w:hideMark/>
          </w:tcPr>
          <w:p w14:paraId="4EC56587"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10</w:t>
            </w:r>
          </w:p>
        </w:tc>
        <w:tc>
          <w:tcPr>
            <w:tcW w:w="559" w:type="dxa"/>
            <w:tcBorders>
              <w:top w:val="nil"/>
              <w:left w:val="nil"/>
              <w:bottom w:val="single" w:sz="4" w:space="0" w:color="auto"/>
              <w:right w:val="single" w:sz="4" w:space="0" w:color="auto"/>
            </w:tcBorders>
            <w:shd w:val="clear" w:color="auto" w:fill="auto"/>
            <w:noWrap/>
            <w:vAlign w:val="center"/>
            <w:hideMark/>
          </w:tcPr>
          <w:p w14:paraId="05D4CFB4"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7</w:t>
            </w:r>
          </w:p>
        </w:tc>
        <w:tc>
          <w:tcPr>
            <w:tcW w:w="692" w:type="dxa"/>
            <w:tcBorders>
              <w:top w:val="nil"/>
              <w:left w:val="nil"/>
              <w:bottom w:val="single" w:sz="4" w:space="0" w:color="auto"/>
              <w:right w:val="single" w:sz="4" w:space="0" w:color="auto"/>
            </w:tcBorders>
            <w:shd w:val="clear" w:color="auto" w:fill="auto"/>
            <w:noWrap/>
            <w:vAlign w:val="center"/>
            <w:hideMark/>
          </w:tcPr>
          <w:p w14:paraId="5030CFD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6</w:t>
            </w:r>
          </w:p>
        </w:tc>
        <w:tc>
          <w:tcPr>
            <w:tcW w:w="429" w:type="dxa"/>
            <w:tcBorders>
              <w:top w:val="nil"/>
              <w:left w:val="nil"/>
              <w:bottom w:val="single" w:sz="4" w:space="0" w:color="auto"/>
              <w:right w:val="single" w:sz="4" w:space="0" w:color="auto"/>
            </w:tcBorders>
            <w:shd w:val="clear" w:color="auto" w:fill="auto"/>
            <w:noWrap/>
            <w:vAlign w:val="center"/>
            <w:hideMark/>
          </w:tcPr>
          <w:p w14:paraId="7BA1F4F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7</w:t>
            </w:r>
          </w:p>
        </w:tc>
        <w:tc>
          <w:tcPr>
            <w:tcW w:w="553" w:type="dxa"/>
            <w:tcBorders>
              <w:top w:val="nil"/>
              <w:left w:val="nil"/>
              <w:bottom w:val="single" w:sz="4" w:space="0" w:color="auto"/>
              <w:right w:val="single" w:sz="4" w:space="0" w:color="auto"/>
            </w:tcBorders>
            <w:shd w:val="clear" w:color="auto" w:fill="auto"/>
            <w:noWrap/>
            <w:vAlign w:val="center"/>
            <w:hideMark/>
          </w:tcPr>
          <w:p w14:paraId="0F40B394"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8</w:t>
            </w:r>
          </w:p>
        </w:tc>
        <w:tc>
          <w:tcPr>
            <w:tcW w:w="553" w:type="dxa"/>
            <w:tcBorders>
              <w:top w:val="nil"/>
              <w:left w:val="nil"/>
              <w:bottom w:val="single" w:sz="4" w:space="0" w:color="auto"/>
              <w:right w:val="single" w:sz="4" w:space="0" w:color="auto"/>
            </w:tcBorders>
            <w:shd w:val="clear" w:color="auto" w:fill="auto"/>
            <w:noWrap/>
            <w:vAlign w:val="center"/>
            <w:hideMark/>
          </w:tcPr>
          <w:p w14:paraId="4035FF9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7</w:t>
            </w:r>
          </w:p>
        </w:tc>
        <w:tc>
          <w:tcPr>
            <w:tcW w:w="559" w:type="dxa"/>
            <w:tcBorders>
              <w:top w:val="nil"/>
              <w:left w:val="nil"/>
              <w:bottom w:val="single" w:sz="4" w:space="0" w:color="auto"/>
              <w:right w:val="single" w:sz="4" w:space="0" w:color="auto"/>
            </w:tcBorders>
            <w:shd w:val="clear" w:color="auto" w:fill="auto"/>
            <w:noWrap/>
            <w:vAlign w:val="center"/>
            <w:hideMark/>
          </w:tcPr>
          <w:p w14:paraId="729C3BD8"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559" w:type="dxa"/>
            <w:tcBorders>
              <w:top w:val="nil"/>
              <w:left w:val="nil"/>
              <w:bottom w:val="single" w:sz="4" w:space="0" w:color="auto"/>
              <w:right w:val="single" w:sz="4" w:space="0" w:color="auto"/>
            </w:tcBorders>
            <w:shd w:val="clear" w:color="auto" w:fill="auto"/>
            <w:noWrap/>
            <w:vAlign w:val="center"/>
            <w:hideMark/>
          </w:tcPr>
          <w:p w14:paraId="6EB0B970"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6</w:t>
            </w:r>
          </w:p>
        </w:tc>
        <w:tc>
          <w:tcPr>
            <w:tcW w:w="553" w:type="dxa"/>
            <w:tcBorders>
              <w:top w:val="nil"/>
              <w:left w:val="nil"/>
              <w:bottom w:val="single" w:sz="4" w:space="0" w:color="auto"/>
              <w:right w:val="single" w:sz="4" w:space="0" w:color="auto"/>
            </w:tcBorders>
            <w:shd w:val="clear" w:color="auto" w:fill="auto"/>
            <w:noWrap/>
            <w:vAlign w:val="center"/>
            <w:hideMark/>
          </w:tcPr>
          <w:p w14:paraId="0CC6F427"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692" w:type="dxa"/>
            <w:tcBorders>
              <w:top w:val="nil"/>
              <w:left w:val="nil"/>
              <w:bottom w:val="single" w:sz="4" w:space="0" w:color="auto"/>
              <w:right w:val="single" w:sz="4" w:space="0" w:color="auto"/>
            </w:tcBorders>
            <w:shd w:val="clear" w:color="auto" w:fill="auto"/>
            <w:noWrap/>
            <w:vAlign w:val="center"/>
            <w:hideMark/>
          </w:tcPr>
          <w:p w14:paraId="47913663"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64" w:type="dxa"/>
            <w:tcBorders>
              <w:top w:val="nil"/>
              <w:left w:val="nil"/>
              <w:bottom w:val="single" w:sz="4" w:space="0" w:color="auto"/>
              <w:right w:val="single" w:sz="4" w:space="0" w:color="auto"/>
            </w:tcBorders>
            <w:shd w:val="clear" w:color="auto" w:fill="auto"/>
            <w:noWrap/>
            <w:vAlign w:val="center"/>
            <w:hideMark/>
          </w:tcPr>
          <w:p w14:paraId="28E052FA"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40DC009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530F441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0BB34E9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53" w:type="dxa"/>
            <w:tcBorders>
              <w:top w:val="nil"/>
              <w:left w:val="nil"/>
              <w:bottom w:val="single" w:sz="4" w:space="0" w:color="auto"/>
              <w:right w:val="single" w:sz="4" w:space="0" w:color="auto"/>
            </w:tcBorders>
            <w:shd w:val="clear" w:color="auto" w:fill="auto"/>
            <w:noWrap/>
            <w:vAlign w:val="center"/>
            <w:hideMark/>
          </w:tcPr>
          <w:p w14:paraId="78DBC25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66" w:type="dxa"/>
            <w:tcBorders>
              <w:top w:val="nil"/>
              <w:left w:val="nil"/>
              <w:bottom w:val="single" w:sz="4" w:space="0" w:color="auto"/>
              <w:right w:val="single" w:sz="4" w:space="0" w:color="auto"/>
            </w:tcBorders>
            <w:shd w:val="clear" w:color="auto" w:fill="auto"/>
            <w:noWrap/>
            <w:vAlign w:val="center"/>
            <w:hideMark/>
          </w:tcPr>
          <w:p w14:paraId="21BB4D43"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r>
      <w:tr w:rsidR="00743F6F" w:rsidRPr="00E372F4" w14:paraId="33562BB5" w14:textId="77777777" w:rsidTr="000F74AC">
        <w:trPr>
          <w:trHeight w:val="271"/>
        </w:trPr>
        <w:tc>
          <w:tcPr>
            <w:tcW w:w="1798" w:type="dxa"/>
            <w:tcBorders>
              <w:top w:val="nil"/>
              <w:left w:val="single" w:sz="4" w:space="0" w:color="auto"/>
              <w:bottom w:val="single" w:sz="4" w:space="0" w:color="auto"/>
              <w:right w:val="nil"/>
            </w:tcBorders>
            <w:shd w:val="clear" w:color="auto" w:fill="auto"/>
            <w:noWrap/>
            <w:vAlign w:val="center"/>
            <w:hideMark/>
          </w:tcPr>
          <w:p w14:paraId="0C959CDF" w14:textId="77777777" w:rsidR="00743F6F" w:rsidRPr="00E372F4" w:rsidRDefault="00743F6F" w:rsidP="000F74AC">
            <w:pPr>
              <w:spacing w:after="0" w:line="240" w:lineRule="auto"/>
              <w:ind w:firstLineChars="100" w:firstLine="220"/>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Lower + shorter</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62AFDCEB"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12</w:t>
            </w:r>
          </w:p>
        </w:tc>
        <w:tc>
          <w:tcPr>
            <w:tcW w:w="559" w:type="dxa"/>
            <w:tcBorders>
              <w:top w:val="nil"/>
              <w:left w:val="nil"/>
              <w:bottom w:val="single" w:sz="4" w:space="0" w:color="auto"/>
              <w:right w:val="single" w:sz="4" w:space="0" w:color="auto"/>
            </w:tcBorders>
            <w:shd w:val="clear" w:color="auto" w:fill="auto"/>
            <w:noWrap/>
            <w:vAlign w:val="center"/>
            <w:hideMark/>
          </w:tcPr>
          <w:p w14:paraId="0FBB0F4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10</w:t>
            </w:r>
          </w:p>
        </w:tc>
        <w:tc>
          <w:tcPr>
            <w:tcW w:w="559" w:type="dxa"/>
            <w:tcBorders>
              <w:top w:val="nil"/>
              <w:left w:val="nil"/>
              <w:bottom w:val="single" w:sz="4" w:space="0" w:color="auto"/>
              <w:right w:val="single" w:sz="4" w:space="0" w:color="auto"/>
            </w:tcBorders>
            <w:shd w:val="clear" w:color="auto" w:fill="auto"/>
            <w:noWrap/>
            <w:vAlign w:val="center"/>
            <w:hideMark/>
          </w:tcPr>
          <w:p w14:paraId="16459320"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6</w:t>
            </w:r>
          </w:p>
        </w:tc>
        <w:tc>
          <w:tcPr>
            <w:tcW w:w="692" w:type="dxa"/>
            <w:tcBorders>
              <w:top w:val="nil"/>
              <w:left w:val="nil"/>
              <w:bottom w:val="single" w:sz="4" w:space="0" w:color="auto"/>
              <w:right w:val="single" w:sz="4" w:space="0" w:color="auto"/>
            </w:tcBorders>
            <w:shd w:val="clear" w:color="auto" w:fill="auto"/>
            <w:noWrap/>
            <w:vAlign w:val="center"/>
            <w:hideMark/>
          </w:tcPr>
          <w:p w14:paraId="0629E9E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8</w:t>
            </w:r>
          </w:p>
        </w:tc>
        <w:tc>
          <w:tcPr>
            <w:tcW w:w="429" w:type="dxa"/>
            <w:tcBorders>
              <w:top w:val="nil"/>
              <w:left w:val="nil"/>
              <w:bottom w:val="single" w:sz="4" w:space="0" w:color="auto"/>
              <w:right w:val="single" w:sz="4" w:space="0" w:color="auto"/>
            </w:tcBorders>
            <w:shd w:val="clear" w:color="auto" w:fill="auto"/>
            <w:noWrap/>
            <w:vAlign w:val="center"/>
            <w:hideMark/>
          </w:tcPr>
          <w:p w14:paraId="10FFDE8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6</w:t>
            </w:r>
          </w:p>
        </w:tc>
        <w:tc>
          <w:tcPr>
            <w:tcW w:w="553" w:type="dxa"/>
            <w:tcBorders>
              <w:top w:val="nil"/>
              <w:left w:val="nil"/>
              <w:bottom w:val="single" w:sz="4" w:space="0" w:color="auto"/>
              <w:right w:val="single" w:sz="4" w:space="0" w:color="auto"/>
            </w:tcBorders>
            <w:shd w:val="clear" w:color="auto" w:fill="auto"/>
            <w:noWrap/>
            <w:vAlign w:val="center"/>
            <w:hideMark/>
          </w:tcPr>
          <w:p w14:paraId="430881B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5</w:t>
            </w:r>
          </w:p>
        </w:tc>
        <w:tc>
          <w:tcPr>
            <w:tcW w:w="553" w:type="dxa"/>
            <w:tcBorders>
              <w:top w:val="nil"/>
              <w:left w:val="nil"/>
              <w:bottom w:val="single" w:sz="4" w:space="0" w:color="auto"/>
              <w:right w:val="single" w:sz="4" w:space="0" w:color="auto"/>
            </w:tcBorders>
            <w:shd w:val="clear" w:color="auto" w:fill="auto"/>
            <w:noWrap/>
            <w:vAlign w:val="center"/>
            <w:hideMark/>
          </w:tcPr>
          <w:p w14:paraId="38650473"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559" w:type="dxa"/>
            <w:tcBorders>
              <w:top w:val="nil"/>
              <w:left w:val="nil"/>
              <w:bottom w:val="single" w:sz="4" w:space="0" w:color="auto"/>
              <w:right w:val="single" w:sz="4" w:space="0" w:color="auto"/>
            </w:tcBorders>
            <w:shd w:val="clear" w:color="auto" w:fill="auto"/>
            <w:noWrap/>
            <w:vAlign w:val="center"/>
            <w:hideMark/>
          </w:tcPr>
          <w:p w14:paraId="166887B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6</w:t>
            </w:r>
          </w:p>
        </w:tc>
        <w:tc>
          <w:tcPr>
            <w:tcW w:w="559" w:type="dxa"/>
            <w:tcBorders>
              <w:top w:val="nil"/>
              <w:left w:val="nil"/>
              <w:bottom w:val="single" w:sz="4" w:space="0" w:color="auto"/>
              <w:right w:val="single" w:sz="4" w:space="0" w:color="auto"/>
            </w:tcBorders>
            <w:shd w:val="clear" w:color="auto" w:fill="auto"/>
            <w:noWrap/>
            <w:vAlign w:val="center"/>
            <w:hideMark/>
          </w:tcPr>
          <w:p w14:paraId="432C674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553" w:type="dxa"/>
            <w:tcBorders>
              <w:top w:val="nil"/>
              <w:left w:val="nil"/>
              <w:bottom w:val="single" w:sz="4" w:space="0" w:color="auto"/>
              <w:right w:val="single" w:sz="4" w:space="0" w:color="auto"/>
            </w:tcBorders>
            <w:shd w:val="clear" w:color="auto" w:fill="auto"/>
            <w:noWrap/>
            <w:vAlign w:val="center"/>
            <w:hideMark/>
          </w:tcPr>
          <w:p w14:paraId="1983E8AA"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692" w:type="dxa"/>
            <w:tcBorders>
              <w:top w:val="nil"/>
              <w:left w:val="nil"/>
              <w:bottom w:val="single" w:sz="4" w:space="0" w:color="auto"/>
              <w:right w:val="single" w:sz="4" w:space="0" w:color="auto"/>
            </w:tcBorders>
            <w:shd w:val="clear" w:color="auto" w:fill="auto"/>
            <w:noWrap/>
            <w:vAlign w:val="center"/>
            <w:hideMark/>
          </w:tcPr>
          <w:p w14:paraId="7481869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64" w:type="dxa"/>
            <w:tcBorders>
              <w:top w:val="nil"/>
              <w:left w:val="nil"/>
              <w:bottom w:val="single" w:sz="4" w:space="0" w:color="auto"/>
              <w:right w:val="single" w:sz="4" w:space="0" w:color="auto"/>
            </w:tcBorders>
            <w:shd w:val="clear" w:color="auto" w:fill="auto"/>
            <w:noWrap/>
            <w:vAlign w:val="center"/>
            <w:hideMark/>
          </w:tcPr>
          <w:p w14:paraId="28163278"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769ADBC4"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5</w:t>
            </w:r>
          </w:p>
        </w:tc>
        <w:tc>
          <w:tcPr>
            <w:tcW w:w="553" w:type="dxa"/>
            <w:tcBorders>
              <w:top w:val="nil"/>
              <w:left w:val="nil"/>
              <w:bottom w:val="single" w:sz="4" w:space="0" w:color="auto"/>
              <w:right w:val="single" w:sz="4" w:space="0" w:color="auto"/>
            </w:tcBorders>
            <w:shd w:val="clear" w:color="auto" w:fill="auto"/>
            <w:noWrap/>
            <w:vAlign w:val="center"/>
            <w:hideMark/>
          </w:tcPr>
          <w:p w14:paraId="2DEDD48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553" w:type="dxa"/>
            <w:tcBorders>
              <w:top w:val="nil"/>
              <w:left w:val="nil"/>
              <w:bottom w:val="single" w:sz="4" w:space="0" w:color="auto"/>
              <w:right w:val="single" w:sz="4" w:space="0" w:color="auto"/>
            </w:tcBorders>
            <w:shd w:val="clear" w:color="auto" w:fill="auto"/>
            <w:noWrap/>
            <w:vAlign w:val="center"/>
            <w:hideMark/>
          </w:tcPr>
          <w:p w14:paraId="18002A3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59608FF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66" w:type="dxa"/>
            <w:tcBorders>
              <w:top w:val="nil"/>
              <w:left w:val="nil"/>
              <w:bottom w:val="single" w:sz="4" w:space="0" w:color="auto"/>
              <w:right w:val="single" w:sz="4" w:space="0" w:color="auto"/>
            </w:tcBorders>
            <w:shd w:val="clear" w:color="auto" w:fill="auto"/>
            <w:noWrap/>
            <w:vAlign w:val="center"/>
            <w:hideMark/>
          </w:tcPr>
          <w:p w14:paraId="6880E17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r>
      <w:tr w:rsidR="00743F6F" w:rsidRPr="00E372F4" w14:paraId="62E2E665" w14:textId="77777777" w:rsidTr="000F74AC">
        <w:trPr>
          <w:trHeight w:val="271"/>
        </w:trPr>
        <w:tc>
          <w:tcPr>
            <w:tcW w:w="1798" w:type="dxa"/>
            <w:tcBorders>
              <w:top w:val="nil"/>
              <w:left w:val="single" w:sz="4" w:space="0" w:color="auto"/>
              <w:bottom w:val="single" w:sz="4" w:space="0" w:color="auto"/>
              <w:right w:val="single" w:sz="4" w:space="0" w:color="auto"/>
            </w:tcBorders>
            <w:shd w:val="clear" w:color="DDEBF7" w:fill="FFFFFF"/>
            <w:noWrap/>
            <w:vAlign w:val="center"/>
            <w:hideMark/>
          </w:tcPr>
          <w:p w14:paraId="0BD78F4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Total</w:t>
            </w:r>
          </w:p>
        </w:tc>
        <w:tc>
          <w:tcPr>
            <w:tcW w:w="755" w:type="dxa"/>
            <w:tcBorders>
              <w:top w:val="nil"/>
              <w:left w:val="nil"/>
              <w:bottom w:val="single" w:sz="4" w:space="0" w:color="auto"/>
              <w:right w:val="single" w:sz="4" w:space="0" w:color="auto"/>
            </w:tcBorders>
            <w:shd w:val="clear" w:color="000000" w:fill="DBDBDB"/>
            <w:noWrap/>
            <w:vAlign w:val="center"/>
            <w:hideMark/>
          </w:tcPr>
          <w:p w14:paraId="67A160ED"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48</w:t>
            </w:r>
          </w:p>
        </w:tc>
        <w:tc>
          <w:tcPr>
            <w:tcW w:w="559" w:type="dxa"/>
            <w:tcBorders>
              <w:top w:val="nil"/>
              <w:left w:val="nil"/>
              <w:bottom w:val="single" w:sz="4" w:space="0" w:color="auto"/>
              <w:right w:val="single" w:sz="4" w:space="0" w:color="auto"/>
            </w:tcBorders>
            <w:shd w:val="clear" w:color="000000" w:fill="DBDBDB"/>
            <w:noWrap/>
            <w:vAlign w:val="center"/>
            <w:hideMark/>
          </w:tcPr>
          <w:p w14:paraId="351049C7"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40</w:t>
            </w:r>
          </w:p>
        </w:tc>
        <w:tc>
          <w:tcPr>
            <w:tcW w:w="559" w:type="dxa"/>
            <w:tcBorders>
              <w:top w:val="nil"/>
              <w:left w:val="nil"/>
              <w:bottom w:val="single" w:sz="4" w:space="0" w:color="auto"/>
              <w:right w:val="single" w:sz="4" w:space="0" w:color="auto"/>
            </w:tcBorders>
            <w:shd w:val="clear" w:color="000000" w:fill="DBDBDB"/>
            <w:noWrap/>
            <w:vAlign w:val="center"/>
            <w:hideMark/>
          </w:tcPr>
          <w:p w14:paraId="4CEB1D6D"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30</w:t>
            </w:r>
          </w:p>
        </w:tc>
        <w:tc>
          <w:tcPr>
            <w:tcW w:w="692" w:type="dxa"/>
            <w:tcBorders>
              <w:top w:val="nil"/>
              <w:left w:val="nil"/>
              <w:bottom w:val="single" w:sz="4" w:space="0" w:color="auto"/>
              <w:right w:val="single" w:sz="4" w:space="0" w:color="auto"/>
            </w:tcBorders>
            <w:shd w:val="clear" w:color="000000" w:fill="DBDBDB"/>
            <w:noWrap/>
            <w:vAlign w:val="center"/>
            <w:hideMark/>
          </w:tcPr>
          <w:p w14:paraId="72D4B909"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27</w:t>
            </w:r>
          </w:p>
        </w:tc>
        <w:tc>
          <w:tcPr>
            <w:tcW w:w="429" w:type="dxa"/>
            <w:tcBorders>
              <w:top w:val="nil"/>
              <w:left w:val="nil"/>
              <w:bottom w:val="single" w:sz="4" w:space="0" w:color="auto"/>
              <w:right w:val="single" w:sz="4" w:space="0" w:color="auto"/>
            </w:tcBorders>
            <w:shd w:val="clear" w:color="000000" w:fill="DBDBDB"/>
            <w:noWrap/>
            <w:vAlign w:val="center"/>
            <w:hideMark/>
          </w:tcPr>
          <w:p w14:paraId="65CB7153"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25</w:t>
            </w:r>
          </w:p>
        </w:tc>
        <w:tc>
          <w:tcPr>
            <w:tcW w:w="553" w:type="dxa"/>
            <w:tcBorders>
              <w:top w:val="nil"/>
              <w:left w:val="nil"/>
              <w:bottom w:val="single" w:sz="4" w:space="0" w:color="auto"/>
              <w:right w:val="single" w:sz="4" w:space="0" w:color="auto"/>
            </w:tcBorders>
            <w:shd w:val="clear" w:color="000000" w:fill="DBDBDB"/>
            <w:noWrap/>
            <w:vAlign w:val="center"/>
            <w:hideMark/>
          </w:tcPr>
          <w:p w14:paraId="48C75C16"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23</w:t>
            </w:r>
          </w:p>
        </w:tc>
        <w:tc>
          <w:tcPr>
            <w:tcW w:w="553" w:type="dxa"/>
            <w:tcBorders>
              <w:top w:val="nil"/>
              <w:left w:val="nil"/>
              <w:bottom w:val="single" w:sz="4" w:space="0" w:color="auto"/>
              <w:right w:val="single" w:sz="4" w:space="0" w:color="auto"/>
            </w:tcBorders>
            <w:shd w:val="clear" w:color="000000" w:fill="DBDBDB"/>
            <w:noWrap/>
            <w:vAlign w:val="center"/>
            <w:hideMark/>
          </w:tcPr>
          <w:p w14:paraId="23249727"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21</w:t>
            </w:r>
          </w:p>
        </w:tc>
        <w:tc>
          <w:tcPr>
            <w:tcW w:w="559" w:type="dxa"/>
            <w:tcBorders>
              <w:top w:val="nil"/>
              <w:left w:val="nil"/>
              <w:bottom w:val="single" w:sz="4" w:space="0" w:color="auto"/>
              <w:right w:val="single" w:sz="4" w:space="0" w:color="auto"/>
            </w:tcBorders>
            <w:shd w:val="clear" w:color="000000" w:fill="DBDBDB"/>
            <w:noWrap/>
            <w:vAlign w:val="center"/>
            <w:hideMark/>
          </w:tcPr>
          <w:p w14:paraId="4DC780D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18</w:t>
            </w:r>
          </w:p>
        </w:tc>
        <w:tc>
          <w:tcPr>
            <w:tcW w:w="559" w:type="dxa"/>
            <w:tcBorders>
              <w:top w:val="nil"/>
              <w:left w:val="nil"/>
              <w:bottom w:val="single" w:sz="4" w:space="0" w:color="auto"/>
              <w:right w:val="single" w:sz="4" w:space="0" w:color="auto"/>
            </w:tcBorders>
            <w:shd w:val="clear" w:color="000000" w:fill="DBDBDB"/>
            <w:noWrap/>
            <w:vAlign w:val="center"/>
            <w:hideMark/>
          </w:tcPr>
          <w:p w14:paraId="79A7AC59"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18</w:t>
            </w:r>
          </w:p>
        </w:tc>
        <w:tc>
          <w:tcPr>
            <w:tcW w:w="553" w:type="dxa"/>
            <w:tcBorders>
              <w:top w:val="nil"/>
              <w:left w:val="nil"/>
              <w:bottom w:val="single" w:sz="4" w:space="0" w:color="auto"/>
              <w:right w:val="single" w:sz="4" w:space="0" w:color="auto"/>
            </w:tcBorders>
            <w:shd w:val="clear" w:color="000000" w:fill="DBDBDB"/>
            <w:noWrap/>
            <w:vAlign w:val="center"/>
            <w:hideMark/>
          </w:tcPr>
          <w:p w14:paraId="308BBB28"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13</w:t>
            </w:r>
          </w:p>
        </w:tc>
        <w:tc>
          <w:tcPr>
            <w:tcW w:w="692" w:type="dxa"/>
            <w:tcBorders>
              <w:top w:val="nil"/>
              <w:left w:val="nil"/>
              <w:bottom w:val="single" w:sz="4" w:space="0" w:color="auto"/>
              <w:right w:val="single" w:sz="4" w:space="0" w:color="auto"/>
            </w:tcBorders>
            <w:shd w:val="clear" w:color="000000" w:fill="DBDBDB"/>
            <w:noWrap/>
            <w:vAlign w:val="center"/>
            <w:hideMark/>
          </w:tcPr>
          <w:p w14:paraId="7B97CBDD"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11</w:t>
            </w:r>
          </w:p>
        </w:tc>
        <w:tc>
          <w:tcPr>
            <w:tcW w:w="564" w:type="dxa"/>
            <w:tcBorders>
              <w:top w:val="nil"/>
              <w:left w:val="nil"/>
              <w:bottom w:val="single" w:sz="4" w:space="0" w:color="auto"/>
              <w:right w:val="single" w:sz="4" w:space="0" w:color="auto"/>
            </w:tcBorders>
            <w:shd w:val="clear" w:color="000000" w:fill="DBDBDB"/>
            <w:noWrap/>
            <w:vAlign w:val="center"/>
            <w:hideMark/>
          </w:tcPr>
          <w:p w14:paraId="0974D16D"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10</w:t>
            </w:r>
          </w:p>
        </w:tc>
        <w:tc>
          <w:tcPr>
            <w:tcW w:w="553" w:type="dxa"/>
            <w:tcBorders>
              <w:top w:val="nil"/>
              <w:left w:val="nil"/>
              <w:bottom w:val="single" w:sz="4" w:space="0" w:color="auto"/>
              <w:right w:val="single" w:sz="4" w:space="0" w:color="auto"/>
            </w:tcBorders>
            <w:shd w:val="clear" w:color="000000" w:fill="DBDBDB"/>
            <w:noWrap/>
            <w:vAlign w:val="center"/>
            <w:hideMark/>
          </w:tcPr>
          <w:p w14:paraId="61930B0D"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13</w:t>
            </w:r>
          </w:p>
        </w:tc>
        <w:tc>
          <w:tcPr>
            <w:tcW w:w="553" w:type="dxa"/>
            <w:tcBorders>
              <w:top w:val="nil"/>
              <w:left w:val="nil"/>
              <w:bottom w:val="single" w:sz="4" w:space="0" w:color="auto"/>
              <w:right w:val="single" w:sz="4" w:space="0" w:color="auto"/>
            </w:tcBorders>
            <w:shd w:val="clear" w:color="000000" w:fill="DBDBDB"/>
            <w:noWrap/>
            <w:vAlign w:val="center"/>
            <w:hideMark/>
          </w:tcPr>
          <w:p w14:paraId="611BE45C"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8</w:t>
            </w:r>
          </w:p>
        </w:tc>
        <w:tc>
          <w:tcPr>
            <w:tcW w:w="553" w:type="dxa"/>
            <w:tcBorders>
              <w:top w:val="nil"/>
              <w:left w:val="nil"/>
              <w:bottom w:val="single" w:sz="4" w:space="0" w:color="auto"/>
              <w:right w:val="single" w:sz="4" w:space="0" w:color="auto"/>
            </w:tcBorders>
            <w:shd w:val="clear" w:color="000000" w:fill="DBDBDB"/>
            <w:noWrap/>
            <w:vAlign w:val="center"/>
            <w:hideMark/>
          </w:tcPr>
          <w:p w14:paraId="06149A2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8</w:t>
            </w:r>
          </w:p>
        </w:tc>
        <w:tc>
          <w:tcPr>
            <w:tcW w:w="553" w:type="dxa"/>
            <w:tcBorders>
              <w:top w:val="nil"/>
              <w:left w:val="nil"/>
              <w:bottom w:val="single" w:sz="4" w:space="0" w:color="auto"/>
              <w:right w:val="single" w:sz="4" w:space="0" w:color="auto"/>
            </w:tcBorders>
            <w:shd w:val="clear" w:color="000000" w:fill="DBDBDB"/>
            <w:noWrap/>
            <w:vAlign w:val="center"/>
            <w:hideMark/>
          </w:tcPr>
          <w:p w14:paraId="5F6B9ABF"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7</w:t>
            </w:r>
          </w:p>
        </w:tc>
        <w:tc>
          <w:tcPr>
            <w:tcW w:w="566" w:type="dxa"/>
            <w:tcBorders>
              <w:top w:val="nil"/>
              <w:left w:val="nil"/>
              <w:bottom w:val="single" w:sz="4" w:space="0" w:color="auto"/>
              <w:right w:val="single" w:sz="4" w:space="0" w:color="auto"/>
            </w:tcBorders>
            <w:shd w:val="clear" w:color="000000" w:fill="DBDBDB"/>
            <w:noWrap/>
            <w:vAlign w:val="center"/>
            <w:hideMark/>
          </w:tcPr>
          <w:p w14:paraId="3E1C6887"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7</w:t>
            </w:r>
          </w:p>
        </w:tc>
      </w:tr>
      <w:tr w:rsidR="00743F6F" w:rsidRPr="00E372F4" w14:paraId="1A32A27F" w14:textId="77777777" w:rsidTr="000F74AC">
        <w:trPr>
          <w:trHeight w:val="271"/>
        </w:trPr>
        <w:tc>
          <w:tcPr>
            <w:tcW w:w="1798" w:type="dxa"/>
            <w:tcBorders>
              <w:top w:val="nil"/>
              <w:left w:val="nil"/>
              <w:bottom w:val="nil"/>
              <w:right w:val="nil"/>
            </w:tcBorders>
            <w:shd w:val="clear" w:color="000000" w:fill="FFFFFF"/>
            <w:noWrap/>
            <w:vAlign w:val="center"/>
            <w:hideMark/>
          </w:tcPr>
          <w:p w14:paraId="35ADAB5A"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755" w:type="dxa"/>
            <w:tcBorders>
              <w:top w:val="nil"/>
              <w:left w:val="nil"/>
              <w:bottom w:val="nil"/>
              <w:right w:val="nil"/>
            </w:tcBorders>
            <w:shd w:val="clear" w:color="000000" w:fill="FFFFFF"/>
            <w:noWrap/>
            <w:vAlign w:val="center"/>
            <w:hideMark/>
          </w:tcPr>
          <w:p w14:paraId="62935C6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nil"/>
              <w:right w:val="nil"/>
            </w:tcBorders>
            <w:shd w:val="clear" w:color="000000" w:fill="FFFFFF"/>
            <w:noWrap/>
            <w:vAlign w:val="center"/>
            <w:hideMark/>
          </w:tcPr>
          <w:p w14:paraId="4A4DE5C4"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nil"/>
              <w:right w:val="nil"/>
            </w:tcBorders>
            <w:shd w:val="clear" w:color="000000" w:fill="FFFFFF"/>
            <w:noWrap/>
            <w:vAlign w:val="center"/>
            <w:hideMark/>
          </w:tcPr>
          <w:p w14:paraId="2974691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692" w:type="dxa"/>
            <w:tcBorders>
              <w:top w:val="nil"/>
              <w:left w:val="nil"/>
              <w:bottom w:val="nil"/>
              <w:right w:val="nil"/>
            </w:tcBorders>
            <w:shd w:val="clear" w:color="000000" w:fill="FFFFFF"/>
            <w:noWrap/>
            <w:vAlign w:val="center"/>
            <w:hideMark/>
          </w:tcPr>
          <w:p w14:paraId="71EF9B5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429" w:type="dxa"/>
            <w:tcBorders>
              <w:top w:val="nil"/>
              <w:left w:val="nil"/>
              <w:bottom w:val="nil"/>
              <w:right w:val="nil"/>
            </w:tcBorders>
            <w:shd w:val="clear" w:color="000000" w:fill="FFFFFF"/>
            <w:noWrap/>
            <w:vAlign w:val="center"/>
            <w:hideMark/>
          </w:tcPr>
          <w:p w14:paraId="10278DE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587CD32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47BE5EE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nil"/>
              <w:right w:val="nil"/>
            </w:tcBorders>
            <w:shd w:val="clear" w:color="000000" w:fill="FFFFFF"/>
            <w:noWrap/>
            <w:vAlign w:val="center"/>
            <w:hideMark/>
          </w:tcPr>
          <w:p w14:paraId="6D4ACF67"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nil"/>
              <w:right w:val="nil"/>
            </w:tcBorders>
            <w:shd w:val="clear" w:color="000000" w:fill="FFFFFF"/>
            <w:noWrap/>
            <w:vAlign w:val="center"/>
            <w:hideMark/>
          </w:tcPr>
          <w:p w14:paraId="6A03914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25EA7D4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692" w:type="dxa"/>
            <w:tcBorders>
              <w:top w:val="nil"/>
              <w:left w:val="nil"/>
              <w:bottom w:val="nil"/>
              <w:right w:val="nil"/>
            </w:tcBorders>
            <w:shd w:val="clear" w:color="000000" w:fill="FFFFFF"/>
            <w:noWrap/>
            <w:vAlign w:val="center"/>
            <w:hideMark/>
          </w:tcPr>
          <w:p w14:paraId="2FD611F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4" w:type="dxa"/>
            <w:tcBorders>
              <w:top w:val="nil"/>
              <w:left w:val="nil"/>
              <w:bottom w:val="nil"/>
              <w:right w:val="nil"/>
            </w:tcBorders>
            <w:shd w:val="clear" w:color="000000" w:fill="FFFFFF"/>
            <w:noWrap/>
            <w:vAlign w:val="center"/>
            <w:hideMark/>
          </w:tcPr>
          <w:p w14:paraId="427C41D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33F7B54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40F1E6D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1B30B61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36C68C3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6" w:type="dxa"/>
            <w:tcBorders>
              <w:top w:val="nil"/>
              <w:left w:val="nil"/>
              <w:bottom w:val="nil"/>
              <w:right w:val="nil"/>
            </w:tcBorders>
            <w:shd w:val="clear" w:color="000000" w:fill="FFFFFF"/>
            <w:noWrap/>
            <w:vAlign w:val="center"/>
            <w:hideMark/>
          </w:tcPr>
          <w:p w14:paraId="79FDD71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r>
      <w:tr w:rsidR="00743F6F" w:rsidRPr="00E372F4" w14:paraId="1E3F0548" w14:textId="77777777" w:rsidTr="000F74AC">
        <w:trPr>
          <w:trHeight w:val="271"/>
        </w:trPr>
        <w:tc>
          <w:tcPr>
            <w:tcW w:w="1798" w:type="dxa"/>
            <w:tcBorders>
              <w:top w:val="nil"/>
              <w:left w:val="nil"/>
              <w:bottom w:val="nil"/>
              <w:right w:val="nil"/>
            </w:tcBorders>
            <w:shd w:val="clear" w:color="000000" w:fill="FFFFFF"/>
            <w:noWrap/>
            <w:vAlign w:val="center"/>
            <w:hideMark/>
          </w:tcPr>
          <w:p w14:paraId="23909AB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755" w:type="dxa"/>
            <w:tcBorders>
              <w:top w:val="nil"/>
              <w:left w:val="nil"/>
              <w:bottom w:val="nil"/>
              <w:right w:val="nil"/>
            </w:tcBorders>
            <w:shd w:val="clear" w:color="000000" w:fill="FFFFFF"/>
            <w:noWrap/>
            <w:vAlign w:val="center"/>
            <w:hideMark/>
          </w:tcPr>
          <w:p w14:paraId="7D8BF0E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nil"/>
              <w:right w:val="nil"/>
            </w:tcBorders>
            <w:shd w:val="clear" w:color="000000" w:fill="FFFFFF"/>
            <w:noWrap/>
            <w:vAlign w:val="center"/>
            <w:hideMark/>
          </w:tcPr>
          <w:p w14:paraId="7CA60EB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nil"/>
              <w:right w:val="nil"/>
            </w:tcBorders>
            <w:shd w:val="clear" w:color="000000" w:fill="FFFFFF"/>
            <w:noWrap/>
            <w:vAlign w:val="center"/>
            <w:hideMark/>
          </w:tcPr>
          <w:p w14:paraId="098F1D8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692" w:type="dxa"/>
            <w:tcBorders>
              <w:top w:val="nil"/>
              <w:left w:val="nil"/>
              <w:bottom w:val="nil"/>
              <w:right w:val="nil"/>
            </w:tcBorders>
            <w:shd w:val="clear" w:color="000000" w:fill="FFFFFF"/>
            <w:noWrap/>
            <w:vAlign w:val="center"/>
            <w:hideMark/>
          </w:tcPr>
          <w:p w14:paraId="526CB3E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429" w:type="dxa"/>
            <w:tcBorders>
              <w:top w:val="nil"/>
              <w:left w:val="nil"/>
              <w:bottom w:val="nil"/>
              <w:right w:val="nil"/>
            </w:tcBorders>
            <w:shd w:val="clear" w:color="000000" w:fill="FFFFFF"/>
            <w:noWrap/>
            <w:vAlign w:val="center"/>
            <w:hideMark/>
          </w:tcPr>
          <w:p w14:paraId="2F3ED2C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1827F92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508EFCA0"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nil"/>
              <w:right w:val="nil"/>
            </w:tcBorders>
            <w:shd w:val="clear" w:color="000000" w:fill="FFFFFF"/>
            <w:noWrap/>
            <w:vAlign w:val="center"/>
            <w:hideMark/>
          </w:tcPr>
          <w:p w14:paraId="187E78B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nil"/>
              <w:right w:val="nil"/>
            </w:tcBorders>
            <w:shd w:val="clear" w:color="000000" w:fill="FFFFFF"/>
            <w:noWrap/>
            <w:vAlign w:val="center"/>
            <w:hideMark/>
          </w:tcPr>
          <w:p w14:paraId="46E8EDBA"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70F4C0B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692" w:type="dxa"/>
            <w:tcBorders>
              <w:top w:val="nil"/>
              <w:left w:val="nil"/>
              <w:bottom w:val="nil"/>
              <w:right w:val="nil"/>
            </w:tcBorders>
            <w:shd w:val="clear" w:color="000000" w:fill="FFFFFF"/>
            <w:noWrap/>
            <w:vAlign w:val="center"/>
            <w:hideMark/>
          </w:tcPr>
          <w:p w14:paraId="7892765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4" w:type="dxa"/>
            <w:tcBorders>
              <w:top w:val="nil"/>
              <w:left w:val="nil"/>
              <w:bottom w:val="nil"/>
              <w:right w:val="nil"/>
            </w:tcBorders>
            <w:shd w:val="clear" w:color="000000" w:fill="FFFFFF"/>
            <w:noWrap/>
            <w:vAlign w:val="center"/>
            <w:hideMark/>
          </w:tcPr>
          <w:p w14:paraId="25D2A84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1D8E2F9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72C57DF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1D7F3897"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nil"/>
              <w:right w:val="nil"/>
            </w:tcBorders>
            <w:shd w:val="clear" w:color="000000" w:fill="FFFFFF"/>
            <w:noWrap/>
            <w:vAlign w:val="center"/>
            <w:hideMark/>
          </w:tcPr>
          <w:p w14:paraId="34AABF10"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6" w:type="dxa"/>
            <w:tcBorders>
              <w:top w:val="nil"/>
              <w:left w:val="nil"/>
              <w:bottom w:val="nil"/>
              <w:right w:val="nil"/>
            </w:tcBorders>
            <w:shd w:val="clear" w:color="000000" w:fill="FFFFFF"/>
            <w:noWrap/>
            <w:vAlign w:val="center"/>
            <w:hideMark/>
          </w:tcPr>
          <w:p w14:paraId="1570AA3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r>
      <w:tr w:rsidR="00743F6F" w:rsidRPr="00E372F4" w14:paraId="143849BD" w14:textId="77777777" w:rsidTr="000F74AC">
        <w:trPr>
          <w:trHeight w:val="271"/>
        </w:trPr>
        <w:tc>
          <w:tcPr>
            <w:tcW w:w="1798" w:type="dxa"/>
            <w:tcBorders>
              <w:top w:val="single" w:sz="4" w:space="0" w:color="auto"/>
              <w:left w:val="single" w:sz="4" w:space="0" w:color="auto"/>
              <w:bottom w:val="single" w:sz="4" w:space="0" w:color="auto"/>
              <w:right w:val="nil"/>
            </w:tcBorders>
            <w:shd w:val="clear" w:color="DDEBF7" w:fill="FFFFFF"/>
            <w:noWrap/>
            <w:vAlign w:val="center"/>
            <w:hideMark/>
          </w:tcPr>
          <w:p w14:paraId="72BA53F3"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Arm</w:t>
            </w:r>
          </w:p>
        </w:tc>
        <w:tc>
          <w:tcPr>
            <w:tcW w:w="755" w:type="dxa"/>
            <w:tcBorders>
              <w:top w:val="single" w:sz="4" w:space="0" w:color="auto"/>
              <w:left w:val="single" w:sz="4" w:space="0" w:color="auto"/>
              <w:bottom w:val="single" w:sz="4" w:space="0" w:color="auto"/>
              <w:right w:val="nil"/>
            </w:tcBorders>
            <w:shd w:val="clear" w:color="000000" w:fill="DBDBDB"/>
            <w:noWrap/>
            <w:vAlign w:val="center"/>
            <w:hideMark/>
          </w:tcPr>
          <w:p w14:paraId="71338557"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19A</w:t>
            </w:r>
          </w:p>
        </w:tc>
        <w:tc>
          <w:tcPr>
            <w:tcW w:w="559" w:type="dxa"/>
            <w:tcBorders>
              <w:top w:val="single" w:sz="4" w:space="0" w:color="auto"/>
              <w:left w:val="single" w:sz="4" w:space="0" w:color="auto"/>
              <w:bottom w:val="single" w:sz="4" w:space="0" w:color="auto"/>
              <w:right w:val="nil"/>
            </w:tcBorders>
            <w:shd w:val="clear" w:color="000000" w:fill="DBDBDB"/>
            <w:noWrap/>
            <w:vAlign w:val="center"/>
            <w:hideMark/>
          </w:tcPr>
          <w:p w14:paraId="608F4261"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23B</w:t>
            </w:r>
          </w:p>
        </w:tc>
        <w:tc>
          <w:tcPr>
            <w:tcW w:w="559" w:type="dxa"/>
            <w:tcBorders>
              <w:top w:val="single" w:sz="4" w:space="0" w:color="auto"/>
              <w:left w:val="single" w:sz="4" w:space="0" w:color="auto"/>
              <w:bottom w:val="single" w:sz="4" w:space="0" w:color="auto"/>
              <w:right w:val="nil"/>
            </w:tcBorders>
            <w:shd w:val="clear" w:color="000000" w:fill="DBDBDB"/>
            <w:noWrap/>
            <w:vAlign w:val="center"/>
            <w:hideMark/>
          </w:tcPr>
          <w:p w14:paraId="72F2731A"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12F</w:t>
            </w:r>
          </w:p>
        </w:tc>
        <w:tc>
          <w:tcPr>
            <w:tcW w:w="692" w:type="dxa"/>
            <w:tcBorders>
              <w:top w:val="single" w:sz="4" w:space="0" w:color="auto"/>
              <w:left w:val="single" w:sz="4" w:space="0" w:color="auto"/>
              <w:bottom w:val="single" w:sz="4" w:space="0" w:color="auto"/>
              <w:right w:val="nil"/>
            </w:tcBorders>
            <w:shd w:val="clear" w:color="000000" w:fill="DBDBDB"/>
            <w:noWrap/>
            <w:vAlign w:val="center"/>
            <w:hideMark/>
          </w:tcPr>
          <w:p w14:paraId="5A36B3EA"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09N</w:t>
            </w:r>
          </w:p>
        </w:tc>
        <w:tc>
          <w:tcPr>
            <w:tcW w:w="429" w:type="dxa"/>
            <w:tcBorders>
              <w:top w:val="single" w:sz="4" w:space="0" w:color="auto"/>
              <w:left w:val="single" w:sz="4" w:space="0" w:color="auto"/>
              <w:bottom w:val="single" w:sz="4" w:space="0" w:color="auto"/>
              <w:right w:val="nil"/>
            </w:tcBorders>
            <w:shd w:val="clear" w:color="000000" w:fill="DBDBDB"/>
            <w:noWrap/>
            <w:vAlign w:val="center"/>
            <w:hideMark/>
          </w:tcPr>
          <w:p w14:paraId="7FA1016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34</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5EC0C89A"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38</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24DCAEAA"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31</w:t>
            </w:r>
          </w:p>
        </w:tc>
        <w:tc>
          <w:tcPr>
            <w:tcW w:w="559" w:type="dxa"/>
            <w:tcBorders>
              <w:top w:val="single" w:sz="4" w:space="0" w:color="auto"/>
              <w:left w:val="single" w:sz="4" w:space="0" w:color="auto"/>
              <w:bottom w:val="single" w:sz="4" w:space="0" w:color="auto"/>
              <w:right w:val="nil"/>
            </w:tcBorders>
            <w:shd w:val="clear" w:color="000000" w:fill="DBDBDB"/>
            <w:noWrap/>
            <w:vAlign w:val="center"/>
            <w:hideMark/>
          </w:tcPr>
          <w:p w14:paraId="412566C1"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08</w:t>
            </w:r>
          </w:p>
        </w:tc>
        <w:tc>
          <w:tcPr>
            <w:tcW w:w="559" w:type="dxa"/>
            <w:tcBorders>
              <w:top w:val="single" w:sz="4" w:space="0" w:color="auto"/>
              <w:left w:val="single" w:sz="4" w:space="0" w:color="auto"/>
              <w:bottom w:val="single" w:sz="4" w:space="0" w:color="auto"/>
              <w:right w:val="nil"/>
            </w:tcBorders>
            <w:shd w:val="clear" w:color="000000" w:fill="DBDBDB"/>
            <w:noWrap/>
            <w:vAlign w:val="center"/>
            <w:hideMark/>
          </w:tcPr>
          <w:p w14:paraId="52E3E064"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19F</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0B2433D9"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06C</w:t>
            </w:r>
          </w:p>
        </w:tc>
        <w:tc>
          <w:tcPr>
            <w:tcW w:w="692" w:type="dxa"/>
            <w:tcBorders>
              <w:top w:val="single" w:sz="4" w:space="0" w:color="auto"/>
              <w:left w:val="single" w:sz="4" w:space="0" w:color="auto"/>
              <w:bottom w:val="single" w:sz="4" w:space="0" w:color="auto"/>
              <w:right w:val="nil"/>
            </w:tcBorders>
            <w:shd w:val="clear" w:color="000000" w:fill="DBDBDB"/>
            <w:noWrap/>
            <w:vAlign w:val="center"/>
            <w:hideMark/>
          </w:tcPr>
          <w:p w14:paraId="06E5C54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13</w:t>
            </w:r>
          </w:p>
        </w:tc>
        <w:tc>
          <w:tcPr>
            <w:tcW w:w="564" w:type="dxa"/>
            <w:tcBorders>
              <w:top w:val="single" w:sz="4" w:space="0" w:color="auto"/>
              <w:left w:val="single" w:sz="4" w:space="0" w:color="auto"/>
              <w:bottom w:val="single" w:sz="4" w:space="0" w:color="auto"/>
              <w:right w:val="nil"/>
            </w:tcBorders>
            <w:shd w:val="clear" w:color="000000" w:fill="DBDBDB"/>
            <w:noWrap/>
            <w:vAlign w:val="center"/>
            <w:hideMark/>
          </w:tcPr>
          <w:p w14:paraId="37CF0107"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35D</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1B672C28"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20</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6015C05D"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06E</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3D8194B7"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15F</w:t>
            </w:r>
          </w:p>
        </w:tc>
        <w:tc>
          <w:tcPr>
            <w:tcW w:w="553" w:type="dxa"/>
            <w:tcBorders>
              <w:top w:val="single" w:sz="4" w:space="0" w:color="auto"/>
              <w:left w:val="single" w:sz="4" w:space="0" w:color="auto"/>
              <w:bottom w:val="single" w:sz="4" w:space="0" w:color="auto"/>
              <w:right w:val="nil"/>
            </w:tcBorders>
            <w:shd w:val="clear" w:color="000000" w:fill="DBDBDB"/>
            <w:noWrap/>
            <w:vAlign w:val="center"/>
            <w:hideMark/>
          </w:tcPr>
          <w:p w14:paraId="2F32FDA8"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10B</w:t>
            </w:r>
          </w:p>
        </w:tc>
        <w:tc>
          <w:tcPr>
            <w:tcW w:w="566" w:type="dxa"/>
            <w:tcBorders>
              <w:top w:val="single" w:sz="4" w:space="0" w:color="auto"/>
              <w:left w:val="single" w:sz="4" w:space="0" w:color="auto"/>
              <w:bottom w:val="single" w:sz="4" w:space="0" w:color="auto"/>
              <w:right w:val="nil"/>
            </w:tcBorders>
            <w:shd w:val="clear" w:color="000000" w:fill="DBDBDB"/>
            <w:noWrap/>
            <w:vAlign w:val="center"/>
            <w:hideMark/>
          </w:tcPr>
          <w:p w14:paraId="5239F351"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37</w:t>
            </w:r>
          </w:p>
        </w:tc>
      </w:tr>
      <w:tr w:rsidR="00743F6F" w:rsidRPr="00E372F4" w14:paraId="4260413A" w14:textId="77777777" w:rsidTr="000F74AC">
        <w:trPr>
          <w:trHeight w:val="271"/>
        </w:trPr>
        <w:tc>
          <w:tcPr>
            <w:tcW w:w="1798" w:type="dxa"/>
            <w:tcBorders>
              <w:top w:val="nil"/>
              <w:left w:val="single" w:sz="4" w:space="0" w:color="auto"/>
              <w:bottom w:val="single" w:sz="4" w:space="0" w:color="auto"/>
              <w:right w:val="nil"/>
            </w:tcBorders>
            <w:shd w:val="clear" w:color="auto" w:fill="auto"/>
            <w:noWrap/>
            <w:vAlign w:val="center"/>
            <w:hideMark/>
          </w:tcPr>
          <w:p w14:paraId="4E718CEF" w14:textId="77777777" w:rsidR="00743F6F" w:rsidRPr="00E372F4" w:rsidRDefault="00743F6F" w:rsidP="000F74AC">
            <w:pPr>
              <w:spacing w:after="0" w:line="240" w:lineRule="auto"/>
              <w:ind w:firstLineChars="100" w:firstLine="220"/>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Higher + longer</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75388C48"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9" w:type="dxa"/>
            <w:tcBorders>
              <w:top w:val="nil"/>
              <w:left w:val="nil"/>
              <w:bottom w:val="single" w:sz="4" w:space="0" w:color="auto"/>
              <w:right w:val="single" w:sz="4" w:space="0" w:color="auto"/>
            </w:tcBorders>
            <w:shd w:val="clear" w:color="auto" w:fill="auto"/>
            <w:noWrap/>
            <w:vAlign w:val="center"/>
            <w:hideMark/>
          </w:tcPr>
          <w:p w14:paraId="156A8FBC"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9" w:type="dxa"/>
            <w:tcBorders>
              <w:top w:val="nil"/>
              <w:left w:val="nil"/>
              <w:bottom w:val="single" w:sz="4" w:space="0" w:color="auto"/>
              <w:right w:val="single" w:sz="4" w:space="0" w:color="auto"/>
            </w:tcBorders>
            <w:shd w:val="clear" w:color="auto" w:fill="auto"/>
            <w:noWrap/>
            <w:vAlign w:val="center"/>
            <w:hideMark/>
          </w:tcPr>
          <w:p w14:paraId="3418D03A"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692" w:type="dxa"/>
            <w:tcBorders>
              <w:top w:val="nil"/>
              <w:left w:val="nil"/>
              <w:bottom w:val="single" w:sz="4" w:space="0" w:color="auto"/>
              <w:right w:val="single" w:sz="4" w:space="0" w:color="auto"/>
            </w:tcBorders>
            <w:shd w:val="clear" w:color="auto" w:fill="auto"/>
            <w:noWrap/>
            <w:vAlign w:val="center"/>
            <w:hideMark/>
          </w:tcPr>
          <w:p w14:paraId="36F90C00"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429" w:type="dxa"/>
            <w:tcBorders>
              <w:top w:val="nil"/>
              <w:left w:val="nil"/>
              <w:bottom w:val="single" w:sz="4" w:space="0" w:color="auto"/>
              <w:right w:val="single" w:sz="4" w:space="0" w:color="auto"/>
            </w:tcBorders>
            <w:shd w:val="clear" w:color="auto" w:fill="auto"/>
            <w:noWrap/>
            <w:vAlign w:val="center"/>
            <w:hideMark/>
          </w:tcPr>
          <w:p w14:paraId="0B4E280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50636293"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0FC971C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single" w:sz="4" w:space="0" w:color="auto"/>
              <w:right w:val="single" w:sz="4" w:space="0" w:color="auto"/>
            </w:tcBorders>
            <w:shd w:val="clear" w:color="auto" w:fill="auto"/>
            <w:noWrap/>
            <w:vAlign w:val="center"/>
            <w:hideMark/>
          </w:tcPr>
          <w:p w14:paraId="3E1F9B7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single" w:sz="4" w:space="0" w:color="auto"/>
              <w:right w:val="single" w:sz="4" w:space="0" w:color="auto"/>
            </w:tcBorders>
            <w:shd w:val="clear" w:color="auto" w:fill="auto"/>
            <w:noWrap/>
            <w:vAlign w:val="center"/>
            <w:hideMark/>
          </w:tcPr>
          <w:p w14:paraId="5D9CF854"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69EF9A43"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692" w:type="dxa"/>
            <w:tcBorders>
              <w:top w:val="nil"/>
              <w:left w:val="nil"/>
              <w:bottom w:val="single" w:sz="4" w:space="0" w:color="auto"/>
              <w:right w:val="single" w:sz="4" w:space="0" w:color="auto"/>
            </w:tcBorders>
            <w:shd w:val="clear" w:color="auto" w:fill="auto"/>
            <w:noWrap/>
            <w:vAlign w:val="center"/>
            <w:hideMark/>
          </w:tcPr>
          <w:p w14:paraId="27FDDDD3"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4" w:type="dxa"/>
            <w:tcBorders>
              <w:top w:val="nil"/>
              <w:left w:val="nil"/>
              <w:bottom w:val="single" w:sz="4" w:space="0" w:color="auto"/>
              <w:right w:val="single" w:sz="4" w:space="0" w:color="auto"/>
            </w:tcBorders>
            <w:shd w:val="clear" w:color="auto" w:fill="auto"/>
            <w:noWrap/>
            <w:vAlign w:val="center"/>
            <w:hideMark/>
          </w:tcPr>
          <w:p w14:paraId="5133A73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45A1DDD7"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6DC84F2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38927BE4"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66A7AE1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6" w:type="dxa"/>
            <w:tcBorders>
              <w:top w:val="nil"/>
              <w:left w:val="nil"/>
              <w:bottom w:val="single" w:sz="4" w:space="0" w:color="auto"/>
              <w:right w:val="single" w:sz="4" w:space="0" w:color="auto"/>
            </w:tcBorders>
            <w:shd w:val="clear" w:color="auto" w:fill="auto"/>
            <w:noWrap/>
            <w:vAlign w:val="center"/>
            <w:hideMark/>
          </w:tcPr>
          <w:p w14:paraId="49CFC25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r>
      <w:tr w:rsidR="00743F6F" w:rsidRPr="00E372F4" w14:paraId="0EA8644E" w14:textId="77777777" w:rsidTr="000F74AC">
        <w:trPr>
          <w:trHeight w:val="271"/>
        </w:trPr>
        <w:tc>
          <w:tcPr>
            <w:tcW w:w="1798" w:type="dxa"/>
            <w:tcBorders>
              <w:top w:val="nil"/>
              <w:left w:val="single" w:sz="4" w:space="0" w:color="auto"/>
              <w:bottom w:val="single" w:sz="4" w:space="0" w:color="auto"/>
              <w:right w:val="nil"/>
            </w:tcBorders>
            <w:shd w:val="clear" w:color="auto" w:fill="auto"/>
            <w:noWrap/>
            <w:vAlign w:val="center"/>
            <w:hideMark/>
          </w:tcPr>
          <w:p w14:paraId="01B326F0" w14:textId="77777777" w:rsidR="00743F6F" w:rsidRPr="00E372F4" w:rsidRDefault="00743F6F" w:rsidP="000F74AC">
            <w:pPr>
              <w:spacing w:after="0" w:line="240" w:lineRule="auto"/>
              <w:ind w:firstLineChars="100" w:firstLine="220"/>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Higher + shorter</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50E988F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9" w:type="dxa"/>
            <w:tcBorders>
              <w:top w:val="nil"/>
              <w:left w:val="nil"/>
              <w:bottom w:val="single" w:sz="4" w:space="0" w:color="auto"/>
              <w:right w:val="single" w:sz="4" w:space="0" w:color="auto"/>
            </w:tcBorders>
            <w:shd w:val="clear" w:color="auto" w:fill="auto"/>
            <w:noWrap/>
            <w:vAlign w:val="center"/>
            <w:hideMark/>
          </w:tcPr>
          <w:p w14:paraId="2A39873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59" w:type="dxa"/>
            <w:tcBorders>
              <w:top w:val="nil"/>
              <w:left w:val="nil"/>
              <w:bottom w:val="single" w:sz="4" w:space="0" w:color="auto"/>
              <w:right w:val="single" w:sz="4" w:space="0" w:color="auto"/>
            </w:tcBorders>
            <w:shd w:val="clear" w:color="auto" w:fill="auto"/>
            <w:noWrap/>
            <w:vAlign w:val="center"/>
            <w:hideMark/>
          </w:tcPr>
          <w:p w14:paraId="7C060F84"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692" w:type="dxa"/>
            <w:tcBorders>
              <w:top w:val="nil"/>
              <w:left w:val="nil"/>
              <w:bottom w:val="single" w:sz="4" w:space="0" w:color="auto"/>
              <w:right w:val="single" w:sz="4" w:space="0" w:color="auto"/>
            </w:tcBorders>
            <w:shd w:val="clear" w:color="auto" w:fill="auto"/>
            <w:noWrap/>
            <w:vAlign w:val="center"/>
            <w:hideMark/>
          </w:tcPr>
          <w:p w14:paraId="0F8E2B6C"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429" w:type="dxa"/>
            <w:tcBorders>
              <w:top w:val="nil"/>
              <w:left w:val="nil"/>
              <w:bottom w:val="single" w:sz="4" w:space="0" w:color="auto"/>
              <w:right w:val="single" w:sz="4" w:space="0" w:color="auto"/>
            </w:tcBorders>
            <w:shd w:val="clear" w:color="auto" w:fill="auto"/>
            <w:noWrap/>
            <w:vAlign w:val="center"/>
            <w:hideMark/>
          </w:tcPr>
          <w:p w14:paraId="5C249A6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03458A1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1DD042B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9" w:type="dxa"/>
            <w:tcBorders>
              <w:top w:val="nil"/>
              <w:left w:val="nil"/>
              <w:bottom w:val="single" w:sz="4" w:space="0" w:color="auto"/>
              <w:right w:val="single" w:sz="4" w:space="0" w:color="auto"/>
            </w:tcBorders>
            <w:shd w:val="clear" w:color="auto" w:fill="auto"/>
            <w:noWrap/>
            <w:vAlign w:val="center"/>
            <w:hideMark/>
          </w:tcPr>
          <w:p w14:paraId="599B571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9" w:type="dxa"/>
            <w:tcBorders>
              <w:top w:val="nil"/>
              <w:left w:val="nil"/>
              <w:bottom w:val="single" w:sz="4" w:space="0" w:color="auto"/>
              <w:right w:val="single" w:sz="4" w:space="0" w:color="auto"/>
            </w:tcBorders>
            <w:shd w:val="clear" w:color="auto" w:fill="auto"/>
            <w:noWrap/>
            <w:vAlign w:val="center"/>
            <w:hideMark/>
          </w:tcPr>
          <w:p w14:paraId="3768250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316269EC"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692" w:type="dxa"/>
            <w:tcBorders>
              <w:top w:val="nil"/>
              <w:left w:val="nil"/>
              <w:bottom w:val="single" w:sz="4" w:space="0" w:color="auto"/>
              <w:right w:val="single" w:sz="4" w:space="0" w:color="auto"/>
            </w:tcBorders>
            <w:shd w:val="clear" w:color="auto" w:fill="auto"/>
            <w:noWrap/>
            <w:vAlign w:val="center"/>
            <w:hideMark/>
          </w:tcPr>
          <w:p w14:paraId="2786426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4" w:type="dxa"/>
            <w:tcBorders>
              <w:top w:val="nil"/>
              <w:left w:val="nil"/>
              <w:bottom w:val="single" w:sz="4" w:space="0" w:color="auto"/>
              <w:right w:val="single" w:sz="4" w:space="0" w:color="auto"/>
            </w:tcBorders>
            <w:shd w:val="clear" w:color="auto" w:fill="auto"/>
            <w:noWrap/>
            <w:vAlign w:val="center"/>
            <w:hideMark/>
          </w:tcPr>
          <w:p w14:paraId="64AF123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2B5A6774"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463F8BB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0EDF6BE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2C3C66C0"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66" w:type="dxa"/>
            <w:tcBorders>
              <w:top w:val="nil"/>
              <w:left w:val="nil"/>
              <w:bottom w:val="single" w:sz="4" w:space="0" w:color="auto"/>
              <w:right w:val="single" w:sz="4" w:space="0" w:color="auto"/>
            </w:tcBorders>
            <w:shd w:val="clear" w:color="auto" w:fill="auto"/>
            <w:noWrap/>
            <w:vAlign w:val="center"/>
            <w:hideMark/>
          </w:tcPr>
          <w:p w14:paraId="243E8CB3"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r>
      <w:tr w:rsidR="00743F6F" w:rsidRPr="00E372F4" w14:paraId="482A3E8C" w14:textId="77777777" w:rsidTr="000F74AC">
        <w:trPr>
          <w:trHeight w:val="271"/>
        </w:trPr>
        <w:tc>
          <w:tcPr>
            <w:tcW w:w="1798" w:type="dxa"/>
            <w:tcBorders>
              <w:top w:val="nil"/>
              <w:left w:val="single" w:sz="4" w:space="0" w:color="auto"/>
              <w:bottom w:val="single" w:sz="4" w:space="0" w:color="auto"/>
              <w:right w:val="nil"/>
            </w:tcBorders>
            <w:shd w:val="clear" w:color="auto" w:fill="auto"/>
            <w:noWrap/>
            <w:vAlign w:val="center"/>
            <w:hideMark/>
          </w:tcPr>
          <w:p w14:paraId="6D1CBD6E" w14:textId="77777777" w:rsidR="00743F6F" w:rsidRPr="00E372F4" w:rsidRDefault="00743F6F" w:rsidP="000F74AC">
            <w:pPr>
              <w:spacing w:after="0" w:line="240" w:lineRule="auto"/>
              <w:ind w:firstLineChars="100" w:firstLine="220"/>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Lower + longer</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029C0E8A"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single" w:sz="4" w:space="0" w:color="auto"/>
              <w:right w:val="single" w:sz="4" w:space="0" w:color="auto"/>
            </w:tcBorders>
            <w:shd w:val="clear" w:color="auto" w:fill="auto"/>
            <w:noWrap/>
            <w:vAlign w:val="center"/>
            <w:hideMark/>
          </w:tcPr>
          <w:p w14:paraId="37E67510"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9" w:type="dxa"/>
            <w:tcBorders>
              <w:top w:val="nil"/>
              <w:left w:val="nil"/>
              <w:bottom w:val="single" w:sz="4" w:space="0" w:color="auto"/>
              <w:right w:val="single" w:sz="4" w:space="0" w:color="auto"/>
            </w:tcBorders>
            <w:shd w:val="clear" w:color="auto" w:fill="auto"/>
            <w:noWrap/>
            <w:vAlign w:val="center"/>
            <w:hideMark/>
          </w:tcPr>
          <w:p w14:paraId="1F25B1BF"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692" w:type="dxa"/>
            <w:tcBorders>
              <w:top w:val="nil"/>
              <w:left w:val="nil"/>
              <w:bottom w:val="single" w:sz="4" w:space="0" w:color="auto"/>
              <w:right w:val="single" w:sz="4" w:space="0" w:color="auto"/>
            </w:tcBorders>
            <w:shd w:val="clear" w:color="auto" w:fill="auto"/>
            <w:noWrap/>
            <w:vAlign w:val="center"/>
            <w:hideMark/>
          </w:tcPr>
          <w:p w14:paraId="0420A91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429" w:type="dxa"/>
            <w:tcBorders>
              <w:top w:val="nil"/>
              <w:left w:val="nil"/>
              <w:bottom w:val="single" w:sz="4" w:space="0" w:color="auto"/>
              <w:right w:val="single" w:sz="4" w:space="0" w:color="auto"/>
            </w:tcBorders>
            <w:shd w:val="clear" w:color="auto" w:fill="auto"/>
            <w:noWrap/>
            <w:vAlign w:val="center"/>
            <w:hideMark/>
          </w:tcPr>
          <w:p w14:paraId="7403430C"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3C301AF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1C868BDC"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59" w:type="dxa"/>
            <w:tcBorders>
              <w:top w:val="nil"/>
              <w:left w:val="nil"/>
              <w:bottom w:val="single" w:sz="4" w:space="0" w:color="auto"/>
              <w:right w:val="single" w:sz="4" w:space="0" w:color="auto"/>
            </w:tcBorders>
            <w:shd w:val="clear" w:color="auto" w:fill="auto"/>
            <w:noWrap/>
            <w:vAlign w:val="center"/>
            <w:hideMark/>
          </w:tcPr>
          <w:p w14:paraId="70B0378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3</w:t>
            </w:r>
          </w:p>
        </w:tc>
        <w:tc>
          <w:tcPr>
            <w:tcW w:w="559" w:type="dxa"/>
            <w:tcBorders>
              <w:top w:val="nil"/>
              <w:left w:val="nil"/>
              <w:bottom w:val="single" w:sz="4" w:space="0" w:color="auto"/>
              <w:right w:val="single" w:sz="4" w:space="0" w:color="auto"/>
            </w:tcBorders>
            <w:shd w:val="clear" w:color="auto" w:fill="auto"/>
            <w:noWrap/>
            <w:vAlign w:val="center"/>
            <w:hideMark/>
          </w:tcPr>
          <w:p w14:paraId="334E6618"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553" w:type="dxa"/>
            <w:tcBorders>
              <w:top w:val="nil"/>
              <w:left w:val="nil"/>
              <w:bottom w:val="single" w:sz="4" w:space="0" w:color="auto"/>
              <w:right w:val="single" w:sz="4" w:space="0" w:color="auto"/>
            </w:tcBorders>
            <w:shd w:val="clear" w:color="auto" w:fill="auto"/>
            <w:noWrap/>
            <w:vAlign w:val="center"/>
            <w:hideMark/>
          </w:tcPr>
          <w:p w14:paraId="61AF87E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692" w:type="dxa"/>
            <w:tcBorders>
              <w:top w:val="nil"/>
              <w:left w:val="nil"/>
              <w:bottom w:val="single" w:sz="4" w:space="0" w:color="auto"/>
              <w:right w:val="single" w:sz="4" w:space="0" w:color="auto"/>
            </w:tcBorders>
            <w:shd w:val="clear" w:color="auto" w:fill="auto"/>
            <w:noWrap/>
            <w:vAlign w:val="center"/>
            <w:hideMark/>
          </w:tcPr>
          <w:p w14:paraId="25FD72F3"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64" w:type="dxa"/>
            <w:tcBorders>
              <w:top w:val="nil"/>
              <w:left w:val="nil"/>
              <w:bottom w:val="single" w:sz="4" w:space="0" w:color="auto"/>
              <w:right w:val="single" w:sz="4" w:space="0" w:color="auto"/>
            </w:tcBorders>
            <w:shd w:val="clear" w:color="auto" w:fill="auto"/>
            <w:noWrap/>
            <w:vAlign w:val="center"/>
            <w:hideMark/>
          </w:tcPr>
          <w:p w14:paraId="072F997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481E2A44"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48483E9B"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16969A3A"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2AA7555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6" w:type="dxa"/>
            <w:tcBorders>
              <w:top w:val="nil"/>
              <w:left w:val="nil"/>
              <w:bottom w:val="single" w:sz="4" w:space="0" w:color="auto"/>
              <w:right w:val="single" w:sz="4" w:space="0" w:color="auto"/>
            </w:tcBorders>
            <w:shd w:val="clear" w:color="auto" w:fill="auto"/>
            <w:noWrap/>
            <w:vAlign w:val="center"/>
            <w:hideMark/>
          </w:tcPr>
          <w:p w14:paraId="70820C9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r>
      <w:tr w:rsidR="00743F6F" w:rsidRPr="00E372F4" w14:paraId="6B7787CB" w14:textId="77777777" w:rsidTr="000F74AC">
        <w:trPr>
          <w:trHeight w:val="271"/>
        </w:trPr>
        <w:tc>
          <w:tcPr>
            <w:tcW w:w="1798" w:type="dxa"/>
            <w:tcBorders>
              <w:top w:val="nil"/>
              <w:left w:val="single" w:sz="4" w:space="0" w:color="auto"/>
              <w:bottom w:val="single" w:sz="4" w:space="0" w:color="auto"/>
              <w:right w:val="nil"/>
            </w:tcBorders>
            <w:shd w:val="clear" w:color="auto" w:fill="auto"/>
            <w:noWrap/>
            <w:vAlign w:val="center"/>
            <w:hideMark/>
          </w:tcPr>
          <w:p w14:paraId="17AE492B" w14:textId="77777777" w:rsidR="00743F6F" w:rsidRPr="00E372F4" w:rsidRDefault="00743F6F" w:rsidP="000F74AC">
            <w:pPr>
              <w:spacing w:after="0" w:line="240" w:lineRule="auto"/>
              <w:ind w:firstLineChars="100" w:firstLine="220"/>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Lower + shorter</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1439B4F7"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4</w:t>
            </w:r>
          </w:p>
        </w:tc>
        <w:tc>
          <w:tcPr>
            <w:tcW w:w="559" w:type="dxa"/>
            <w:tcBorders>
              <w:top w:val="nil"/>
              <w:left w:val="nil"/>
              <w:bottom w:val="single" w:sz="4" w:space="0" w:color="auto"/>
              <w:right w:val="single" w:sz="4" w:space="0" w:color="auto"/>
            </w:tcBorders>
            <w:shd w:val="clear" w:color="auto" w:fill="auto"/>
            <w:noWrap/>
            <w:vAlign w:val="center"/>
            <w:hideMark/>
          </w:tcPr>
          <w:p w14:paraId="04E0200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9" w:type="dxa"/>
            <w:tcBorders>
              <w:top w:val="nil"/>
              <w:left w:val="nil"/>
              <w:bottom w:val="single" w:sz="4" w:space="0" w:color="auto"/>
              <w:right w:val="single" w:sz="4" w:space="0" w:color="auto"/>
            </w:tcBorders>
            <w:shd w:val="clear" w:color="auto" w:fill="auto"/>
            <w:noWrap/>
            <w:vAlign w:val="center"/>
            <w:hideMark/>
          </w:tcPr>
          <w:p w14:paraId="253889A7"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692" w:type="dxa"/>
            <w:tcBorders>
              <w:top w:val="nil"/>
              <w:left w:val="nil"/>
              <w:bottom w:val="single" w:sz="4" w:space="0" w:color="auto"/>
              <w:right w:val="single" w:sz="4" w:space="0" w:color="auto"/>
            </w:tcBorders>
            <w:shd w:val="clear" w:color="auto" w:fill="auto"/>
            <w:noWrap/>
            <w:vAlign w:val="center"/>
            <w:hideMark/>
          </w:tcPr>
          <w:p w14:paraId="0505837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429" w:type="dxa"/>
            <w:tcBorders>
              <w:top w:val="nil"/>
              <w:left w:val="nil"/>
              <w:bottom w:val="single" w:sz="4" w:space="0" w:color="auto"/>
              <w:right w:val="single" w:sz="4" w:space="0" w:color="auto"/>
            </w:tcBorders>
            <w:shd w:val="clear" w:color="auto" w:fill="auto"/>
            <w:noWrap/>
            <w:vAlign w:val="center"/>
            <w:hideMark/>
          </w:tcPr>
          <w:p w14:paraId="3F92389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6792AF9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0166CB16"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9" w:type="dxa"/>
            <w:tcBorders>
              <w:top w:val="nil"/>
              <w:left w:val="nil"/>
              <w:bottom w:val="single" w:sz="4" w:space="0" w:color="auto"/>
              <w:right w:val="single" w:sz="4" w:space="0" w:color="auto"/>
            </w:tcBorders>
            <w:shd w:val="clear" w:color="auto" w:fill="auto"/>
            <w:noWrap/>
            <w:vAlign w:val="center"/>
            <w:hideMark/>
          </w:tcPr>
          <w:p w14:paraId="5F89CA4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9" w:type="dxa"/>
            <w:tcBorders>
              <w:top w:val="nil"/>
              <w:left w:val="nil"/>
              <w:bottom w:val="single" w:sz="4" w:space="0" w:color="auto"/>
              <w:right w:val="single" w:sz="4" w:space="0" w:color="auto"/>
            </w:tcBorders>
            <w:shd w:val="clear" w:color="auto" w:fill="auto"/>
            <w:noWrap/>
            <w:vAlign w:val="center"/>
            <w:hideMark/>
          </w:tcPr>
          <w:p w14:paraId="4422FED5"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0D971749"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2</w:t>
            </w:r>
          </w:p>
        </w:tc>
        <w:tc>
          <w:tcPr>
            <w:tcW w:w="692" w:type="dxa"/>
            <w:tcBorders>
              <w:top w:val="nil"/>
              <w:left w:val="nil"/>
              <w:bottom w:val="single" w:sz="4" w:space="0" w:color="auto"/>
              <w:right w:val="single" w:sz="4" w:space="0" w:color="auto"/>
            </w:tcBorders>
            <w:shd w:val="clear" w:color="auto" w:fill="auto"/>
            <w:noWrap/>
            <w:vAlign w:val="center"/>
            <w:hideMark/>
          </w:tcPr>
          <w:p w14:paraId="7865003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64" w:type="dxa"/>
            <w:tcBorders>
              <w:top w:val="nil"/>
              <w:left w:val="nil"/>
              <w:bottom w:val="single" w:sz="4" w:space="0" w:color="auto"/>
              <w:right w:val="single" w:sz="4" w:space="0" w:color="auto"/>
            </w:tcBorders>
            <w:shd w:val="clear" w:color="auto" w:fill="auto"/>
            <w:noWrap/>
            <w:vAlign w:val="center"/>
            <w:hideMark/>
          </w:tcPr>
          <w:p w14:paraId="55C54C3D"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0D0AA47E"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6C553190"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53" w:type="dxa"/>
            <w:tcBorders>
              <w:top w:val="nil"/>
              <w:left w:val="nil"/>
              <w:bottom w:val="single" w:sz="4" w:space="0" w:color="auto"/>
              <w:right w:val="single" w:sz="4" w:space="0" w:color="auto"/>
            </w:tcBorders>
            <w:shd w:val="clear" w:color="auto" w:fill="auto"/>
            <w:noWrap/>
            <w:vAlign w:val="center"/>
            <w:hideMark/>
          </w:tcPr>
          <w:p w14:paraId="1B5B5F92"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r w:rsidRPr="00E372F4">
              <w:rPr>
                <w:rFonts w:ascii="Calibri" w:eastAsia="Times New Roman" w:hAnsi="Calibri" w:cs="Calibri"/>
                <w:color w:val="000000"/>
                <w:lang w:val="en-GB" w:eastAsia="en-GB"/>
              </w:rPr>
              <w:t>1</w:t>
            </w:r>
          </w:p>
        </w:tc>
        <w:tc>
          <w:tcPr>
            <w:tcW w:w="553" w:type="dxa"/>
            <w:tcBorders>
              <w:top w:val="nil"/>
              <w:left w:val="nil"/>
              <w:bottom w:val="single" w:sz="4" w:space="0" w:color="auto"/>
              <w:right w:val="single" w:sz="4" w:space="0" w:color="auto"/>
            </w:tcBorders>
            <w:shd w:val="clear" w:color="auto" w:fill="auto"/>
            <w:noWrap/>
            <w:vAlign w:val="center"/>
            <w:hideMark/>
          </w:tcPr>
          <w:p w14:paraId="1B6E1A11"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c>
          <w:tcPr>
            <w:tcW w:w="566" w:type="dxa"/>
            <w:tcBorders>
              <w:top w:val="nil"/>
              <w:left w:val="nil"/>
              <w:bottom w:val="single" w:sz="4" w:space="0" w:color="auto"/>
              <w:right w:val="single" w:sz="4" w:space="0" w:color="auto"/>
            </w:tcBorders>
            <w:shd w:val="clear" w:color="auto" w:fill="auto"/>
            <w:noWrap/>
            <w:vAlign w:val="center"/>
            <w:hideMark/>
          </w:tcPr>
          <w:p w14:paraId="69EAB03A" w14:textId="77777777" w:rsidR="00743F6F" w:rsidRPr="00E372F4" w:rsidRDefault="00743F6F" w:rsidP="000F74AC">
            <w:pPr>
              <w:spacing w:after="0" w:line="240" w:lineRule="auto"/>
              <w:jc w:val="center"/>
              <w:rPr>
                <w:rFonts w:ascii="Calibri" w:eastAsia="Times New Roman" w:hAnsi="Calibri" w:cs="Calibri"/>
                <w:color w:val="000000"/>
                <w:lang w:val="en-GB" w:eastAsia="en-GB"/>
              </w:rPr>
            </w:pPr>
          </w:p>
        </w:tc>
      </w:tr>
      <w:tr w:rsidR="00743F6F" w:rsidRPr="00E372F4" w14:paraId="290DCC5F" w14:textId="77777777" w:rsidTr="000F74AC">
        <w:trPr>
          <w:trHeight w:val="271"/>
        </w:trPr>
        <w:tc>
          <w:tcPr>
            <w:tcW w:w="1798" w:type="dxa"/>
            <w:tcBorders>
              <w:top w:val="nil"/>
              <w:left w:val="single" w:sz="4" w:space="0" w:color="auto"/>
              <w:bottom w:val="single" w:sz="4" w:space="0" w:color="auto"/>
              <w:right w:val="single" w:sz="4" w:space="0" w:color="auto"/>
            </w:tcBorders>
            <w:shd w:val="clear" w:color="DDEBF7" w:fill="FFFFFF"/>
            <w:noWrap/>
            <w:vAlign w:val="center"/>
            <w:hideMark/>
          </w:tcPr>
          <w:p w14:paraId="63A17812"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Total</w:t>
            </w:r>
          </w:p>
        </w:tc>
        <w:tc>
          <w:tcPr>
            <w:tcW w:w="755" w:type="dxa"/>
            <w:tcBorders>
              <w:top w:val="nil"/>
              <w:left w:val="nil"/>
              <w:bottom w:val="single" w:sz="4" w:space="0" w:color="auto"/>
              <w:right w:val="single" w:sz="4" w:space="0" w:color="auto"/>
            </w:tcBorders>
            <w:shd w:val="clear" w:color="000000" w:fill="DBDBDB"/>
            <w:noWrap/>
            <w:vAlign w:val="center"/>
            <w:hideMark/>
          </w:tcPr>
          <w:p w14:paraId="44883829"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7</w:t>
            </w:r>
          </w:p>
        </w:tc>
        <w:tc>
          <w:tcPr>
            <w:tcW w:w="559" w:type="dxa"/>
            <w:tcBorders>
              <w:top w:val="nil"/>
              <w:left w:val="nil"/>
              <w:bottom w:val="single" w:sz="4" w:space="0" w:color="auto"/>
              <w:right w:val="single" w:sz="4" w:space="0" w:color="auto"/>
            </w:tcBorders>
            <w:shd w:val="clear" w:color="000000" w:fill="DBDBDB"/>
            <w:noWrap/>
            <w:vAlign w:val="center"/>
            <w:hideMark/>
          </w:tcPr>
          <w:p w14:paraId="38DF4CC5"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6</w:t>
            </w:r>
          </w:p>
        </w:tc>
        <w:tc>
          <w:tcPr>
            <w:tcW w:w="559" w:type="dxa"/>
            <w:tcBorders>
              <w:top w:val="nil"/>
              <w:left w:val="nil"/>
              <w:bottom w:val="single" w:sz="4" w:space="0" w:color="auto"/>
              <w:right w:val="single" w:sz="4" w:space="0" w:color="auto"/>
            </w:tcBorders>
            <w:shd w:val="clear" w:color="000000" w:fill="DBDBDB"/>
            <w:noWrap/>
            <w:vAlign w:val="center"/>
            <w:hideMark/>
          </w:tcPr>
          <w:p w14:paraId="6990ED2B"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6</w:t>
            </w:r>
          </w:p>
        </w:tc>
        <w:tc>
          <w:tcPr>
            <w:tcW w:w="692" w:type="dxa"/>
            <w:tcBorders>
              <w:top w:val="nil"/>
              <w:left w:val="nil"/>
              <w:bottom w:val="single" w:sz="4" w:space="0" w:color="auto"/>
              <w:right w:val="single" w:sz="4" w:space="0" w:color="auto"/>
            </w:tcBorders>
            <w:shd w:val="clear" w:color="000000" w:fill="DBDBDB"/>
            <w:noWrap/>
            <w:vAlign w:val="center"/>
            <w:hideMark/>
          </w:tcPr>
          <w:p w14:paraId="77E76F06"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6</w:t>
            </w:r>
          </w:p>
        </w:tc>
        <w:tc>
          <w:tcPr>
            <w:tcW w:w="429" w:type="dxa"/>
            <w:tcBorders>
              <w:top w:val="nil"/>
              <w:left w:val="nil"/>
              <w:bottom w:val="single" w:sz="4" w:space="0" w:color="auto"/>
              <w:right w:val="single" w:sz="4" w:space="0" w:color="auto"/>
            </w:tcBorders>
            <w:shd w:val="clear" w:color="000000" w:fill="DBDBDB"/>
            <w:noWrap/>
            <w:vAlign w:val="center"/>
            <w:hideMark/>
          </w:tcPr>
          <w:p w14:paraId="049B224F"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5</w:t>
            </w:r>
          </w:p>
        </w:tc>
        <w:tc>
          <w:tcPr>
            <w:tcW w:w="553" w:type="dxa"/>
            <w:tcBorders>
              <w:top w:val="nil"/>
              <w:left w:val="nil"/>
              <w:bottom w:val="single" w:sz="4" w:space="0" w:color="auto"/>
              <w:right w:val="single" w:sz="4" w:space="0" w:color="auto"/>
            </w:tcBorders>
            <w:shd w:val="clear" w:color="000000" w:fill="DBDBDB"/>
            <w:noWrap/>
            <w:vAlign w:val="center"/>
            <w:hideMark/>
          </w:tcPr>
          <w:p w14:paraId="4E7FDE2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5</w:t>
            </w:r>
          </w:p>
        </w:tc>
        <w:tc>
          <w:tcPr>
            <w:tcW w:w="553" w:type="dxa"/>
            <w:tcBorders>
              <w:top w:val="nil"/>
              <w:left w:val="nil"/>
              <w:bottom w:val="single" w:sz="4" w:space="0" w:color="auto"/>
              <w:right w:val="single" w:sz="4" w:space="0" w:color="auto"/>
            </w:tcBorders>
            <w:shd w:val="clear" w:color="000000" w:fill="DBDBDB"/>
            <w:noWrap/>
            <w:vAlign w:val="center"/>
            <w:hideMark/>
          </w:tcPr>
          <w:p w14:paraId="1A7B6E5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5</w:t>
            </w:r>
          </w:p>
        </w:tc>
        <w:tc>
          <w:tcPr>
            <w:tcW w:w="559" w:type="dxa"/>
            <w:tcBorders>
              <w:top w:val="nil"/>
              <w:left w:val="nil"/>
              <w:bottom w:val="single" w:sz="4" w:space="0" w:color="auto"/>
              <w:right w:val="single" w:sz="4" w:space="0" w:color="auto"/>
            </w:tcBorders>
            <w:shd w:val="clear" w:color="000000" w:fill="DBDBDB"/>
            <w:noWrap/>
            <w:vAlign w:val="center"/>
            <w:hideMark/>
          </w:tcPr>
          <w:p w14:paraId="0C45D5F5"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5</w:t>
            </w:r>
          </w:p>
        </w:tc>
        <w:tc>
          <w:tcPr>
            <w:tcW w:w="559" w:type="dxa"/>
            <w:tcBorders>
              <w:top w:val="nil"/>
              <w:left w:val="nil"/>
              <w:bottom w:val="single" w:sz="4" w:space="0" w:color="auto"/>
              <w:right w:val="single" w:sz="4" w:space="0" w:color="auto"/>
            </w:tcBorders>
            <w:shd w:val="clear" w:color="000000" w:fill="DBDBDB"/>
            <w:noWrap/>
            <w:vAlign w:val="center"/>
            <w:hideMark/>
          </w:tcPr>
          <w:p w14:paraId="6E2DC841"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5</w:t>
            </w:r>
          </w:p>
        </w:tc>
        <w:tc>
          <w:tcPr>
            <w:tcW w:w="553" w:type="dxa"/>
            <w:tcBorders>
              <w:top w:val="nil"/>
              <w:left w:val="nil"/>
              <w:bottom w:val="single" w:sz="4" w:space="0" w:color="auto"/>
              <w:right w:val="single" w:sz="4" w:space="0" w:color="auto"/>
            </w:tcBorders>
            <w:shd w:val="clear" w:color="000000" w:fill="DBDBDB"/>
            <w:noWrap/>
            <w:vAlign w:val="center"/>
            <w:hideMark/>
          </w:tcPr>
          <w:p w14:paraId="6D6864EA"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4</w:t>
            </w:r>
          </w:p>
        </w:tc>
        <w:tc>
          <w:tcPr>
            <w:tcW w:w="692" w:type="dxa"/>
            <w:tcBorders>
              <w:top w:val="nil"/>
              <w:left w:val="nil"/>
              <w:bottom w:val="single" w:sz="4" w:space="0" w:color="auto"/>
              <w:right w:val="single" w:sz="4" w:space="0" w:color="auto"/>
            </w:tcBorders>
            <w:shd w:val="clear" w:color="000000" w:fill="DBDBDB"/>
            <w:noWrap/>
            <w:vAlign w:val="center"/>
            <w:hideMark/>
          </w:tcPr>
          <w:p w14:paraId="58F45639"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w:t>
            </w:r>
          </w:p>
        </w:tc>
        <w:tc>
          <w:tcPr>
            <w:tcW w:w="564" w:type="dxa"/>
            <w:tcBorders>
              <w:top w:val="nil"/>
              <w:left w:val="nil"/>
              <w:bottom w:val="single" w:sz="4" w:space="0" w:color="auto"/>
              <w:right w:val="single" w:sz="4" w:space="0" w:color="auto"/>
            </w:tcBorders>
            <w:shd w:val="clear" w:color="000000" w:fill="DBDBDB"/>
            <w:noWrap/>
            <w:vAlign w:val="center"/>
            <w:hideMark/>
          </w:tcPr>
          <w:p w14:paraId="309CB43B"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2</w:t>
            </w:r>
          </w:p>
        </w:tc>
        <w:tc>
          <w:tcPr>
            <w:tcW w:w="553" w:type="dxa"/>
            <w:tcBorders>
              <w:top w:val="nil"/>
              <w:left w:val="nil"/>
              <w:bottom w:val="single" w:sz="4" w:space="0" w:color="auto"/>
              <w:right w:val="single" w:sz="4" w:space="0" w:color="auto"/>
            </w:tcBorders>
            <w:shd w:val="clear" w:color="000000" w:fill="DBDBDB"/>
            <w:noWrap/>
            <w:vAlign w:val="center"/>
            <w:hideMark/>
          </w:tcPr>
          <w:p w14:paraId="06BB0804"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w:t>
            </w:r>
          </w:p>
        </w:tc>
        <w:tc>
          <w:tcPr>
            <w:tcW w:w="553" w:type="dxa"/>
            <w:tcBorders>
              <w:top w:val="nil"/>
              <w:left w:val="nil"/>
              <w:bottom w:val="single" w:sz="4" w:space="0" w:color="auto"/>
              <w:right w:val="single" w:sz="4" w:space="0" w:color="auto"/>
            </w:tcBorders>
            <w:shd w:val="clear" w:color="000000" w:fill="DBDBDB"/>
            <w:noWrap/>
            <w:vAlign w:val="center"/>
            <w:hideMark/>
          </w:tcPr>
          <w:p w14:paraId="502F26FE"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w:t>
            </w:r>
          </w:p>
        </w:tc>
        <w:tc>
          <w:tcPr>
            <w:tcW w:w="553" w:type="dxa"/>
            <w:tcBorders>
              <w:top w:val="nil"/>
              <w:left w:val="nil"/>
              <w:bottom w:val="single" w:sz="4" w:space="0" w:color="auto"/>
              <w:right w:val="single" w:sz="4" w:space="0" w:color="auto"/>
            </w:tcBorders>
            <w:shd w:val="clear" w:color="000000" w:fill="DBDBDB"/>
            <w:noWrap/>
            <w:vAlign w:val="center"/>
            <w:hideMark/>
          </w:tcPr>
          <w:p w14:paraId="3BF7B830"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w:t>
            </w:r>
          </w:p>
        </w:tc>
        <w:tc>
          <w:tcPr>
            <w:tcW w:w="553" w:type="dxa"/>
            <w:tcBorders>
              <w:top w:val="nil"/>
              <w:left w:val="nil"/>
              <w:bottom w:val="single" w:sz="4" w:space="0" w:color="auto"/>
              <w:right w:val="single" w:sz="4" w:space="0" w:color="auto"/>
            </w:tcBorders>
            <w:shd w:val="clear" w:color="000000" w:fill="DBDBDB"/>
            <w:noWrap/>
            <w:vAlign w:val="center"/>
            <w:hideMark/>
          </w:tcPr>
          <w:p w14:paraId="2961E214"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w:t>
            </w:r>
          </w:p>
        </w:tc>
        <w:tc>
          <w:tcPr>
            <w:tcW w:w="566" w:type="dxa"/>
            <w:tcBorders>
              <w:top w:val="nil"/>
              <w:left w:val="nil"/>
              <w:bottom w:val="single" w:sz="4" w:space="0" w:color="auto"/>
              <w:right w:val="single" w:sz="4" w:space="0" w:color="auto"/>
            </w:tcBorders>
            <w:shd w:val="clear" w:color="000000" w:fill="DBDBDB"/>
            <w:noWrap/>
            <w:vAlign w:val="center"/>
            <w:hideMark/>
          </w:tcPr>
          <w:p w14:paraId="2B2AEE89" w14:textId="77777777" w:rsidR="00743F6F" w:rsidRPr="00E372F4" w:rsidRDefault="00743F6F" w:rsidP="000F74AC">
            <w:pPr>
              <w:spacing w:after="0" w:line="240" w:lineRule="auto"/>
              <w:jc w:val="center"/>
              <w:rPr>
                <w:rFonts w:ascii="Calibri" w:eastAsia="Times New Roman" w:hAnsi="Calibri" w:cs="Calibri"/>
                <w:b/>
                <w:bCs/>
                <w:color w:val="000000"/>
                <w:lang w:val="en-GB" w:eastAsia="en-GB"/>
              </w:rPr>
            </w:pPr>
            <w:r w:rsidRPr="00E372F4">
              <w:rPr>
                <w:rFonts w:ascii="Calibri" w:eastAsia="Times New Roman" w:hAnsi="Calibri" w:cs="Calibri"/>
                <w:b/>
                <w:bCs/>
                <w:color w:val="000000"/>
                <w:lang w:val="en-GB" w:eastAsia="en-GB"/>
              </w:rPr>
              <w:t>1</w:t>
            </w:r>
          </w:p>
        </w:tc>
      </w:tr>
    </w:tbl>
    <w:p w14:paraId="29FC3AC5" w14:textId="77777777" w:rsidR="00743F6F" w:rsidRPr="005603B2" w:rsidRDefault="00743F6F" w:rsidP="00597F71">
      <w:pPr>
        <w:spacing w:line="240" w:lineRule="auto"/>
        <w:rPr>
          <w:rFonts w:ascii="Times New Roman" w:hAnsi="Times New Roman" w:cs="Times New Roman"/>
          <w:sz w:val="20"/>
          <w:lang w:val="en-GB"/>
        </w:rPr>
      </w:pPr>
    </w:p>
    <w:sectPr w:rsidR="00743F6F" w:rsidRPr="005603B2">
      <w:footerReference w:type="default" r:id="rId1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295763" w14:textId="77777777" w:rsidR="00597F71" w:rsidRDefault="00597F71" w:rsidP="00597F71">
      <w:pPr>
        <w:spacing w:after="0" w:line="240" w:lineRule="auto"/>
      </w:pPr>
      <w:r>
        <w:separator/>
      </w:r>
    </w:p>
  </w:endnote>
  <w:endnote w:type="continuationSeparator" w:id="0">
    <w:p w14:paraId="30481F40" w14:textId="77777777" w:rsidR="00597F71" w:rsidRDefault="00597F71" w:rsidP="00597F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6653267"/>
      <w:docPartObj>
        <w:docPartGallery w:val="Page Numbers (Bottom of Page)"/>
        <w:docPartUnique/>
      </w:docPartObj>
    </w:sdtPr>
    <w:sdtEndPr>
      <w:rPr>
        <w:noProof/>
      </w:rPr>
    </w:sdtEndPr>
    <w:sdtContent>
      <w:p w14:paraId="077436AB" w14:textId="062B8511" w:rsidR="00597F71" w:rsidRDefault="00597F71">
        <w:pPr>
          <w:pStyle w:val="Footer"/>
          <w:jc w:val="right"/>
        </w:pPr>
        <w:r>
          <w:fldChar w:fldCharType="begin"/>
        </w:r>
        <w:r>
          <w:instrText xml:space="preserve"> PAGE   \* MERGEFORMAT </w:instrText>
        </w:r>
        <w:r>
          <w:fldChar w:fldCharType="separate"/>
        </w:r>
        <w:r w:rsidR="009369CA">
          <w:rPr>
            <w:noProof/>
          </w:rPr>
          <w:t>7</w:t>
        </w:r>
        <w:r>
          <w:rPr>
            <w:noProof/>
          </w:rPr>
          <w:fldChar w:fldCharType="end"/>
        </w:r>
      </w:p>
    </w:sdtContent>
  </w:sdt>
  <w:p w14:paraId="418BD098" w14:textId="77777777" w:rsidR="00597F71" w:rsidRDefault="00597F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CFBC0A" w14:textId="77777777" w:rsidR="00597F71" w:rsidRDefault="00597F71" w:rsidP="00597F71">
      <w:pPr>
        <w:spacing w:after="0" w:line="240" w:lineRule="auto"/>
      </w:pPr>
      <w:r>
        <w:separator/>
      </w:r>
    </w:p>
  </w:footnote>
  <w:footnote w:type="continuationSeparator" w:id="0">
    <w:p w14:paraId="6BFBF88C" w14:textId="77777777" w:rsidR="00597F71" w:rsidRDefault="00597F71" w:rsidP="00597F7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nl-BE" w:vendorID="64" w:dllVersion="6" w:nlCheck="1" w:checkStyle="0"/>
  <w:activeWritingStyle w:appName="MSWord" w:lang="es-ES" w:vendorID="64" w:dllVersion="6" w:nlCheck="1" w:checkStyle="0"/>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s-ES"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nl-BE" w:vendorID="64" w:dllVersion="131078" w:nlCheck="1" w:checkStyle="0"/>
  <w:activeWritingStyle w:appName="MSWord" w:lang="es-ES"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205C"/>
    <w:rsid w:val="0001399D"/>
    <w:rsid w:val="0007414C"/>
    <w:rsid w:val="000B7D45"/>
    <w:rsid w:val="001211DA"/>
    <w:rsid w:val="0013017F"/>
    <w:rsid w:val="001B55A1"/>
    <w:rsid w:val="002C181E"/>
    <w:rsid w:val="002F5D01"/>
    <w:rsid w:val="00300ABC"/>
    <w:rsid w:val="0033041F"/>
    <w:rsid w:val="0037047A"/>
    <w:rsid w:val="003D1A1E"/>
    <w:rsid w:val="003F4BA6"/>
    <w:rsid w:val="00495D16"/>
    <w:rsid w:val="005603B2"/>
    <w:rsid w:val="00597F71"/>
    <w:rsid w:val="00614A06"/>
    <w:rsid w:val="00616450"/>
    <w:rsid w:val="006667DE"/>
    <w:rsid w:val="006846DE"/>
    <w:rsid w:val="00694E1C"/>
    <w:rsid w:val="006B03A8"/>
    <w:rsid w:val="006E7D4E"/>
    <w:rsid w:val="006F486E"/>
    <w:rsid w:val="00743F6F"/>
    <w:rsid w:val="00760634"/>
    <w:rsid w:val="00774C54"/>
    <w:rsid w:val="007F27EE"/>
    <w:rsid w:val="008248AC"/>
    <w:rsid w:val="008831AE"/>
    <w:rsid w:val="009369CA"/>
    <w:rsid w:val="00A2649F"/>
    <w:rsid w:val="00B06A07"/>
    <w:rsid w:val="00B9205C"/>
    <w:rsid w:val="00BE1199"/>
    <w:rsid w:val="00C0532B"/>
    <w:rsid w:val="00C1063B"/>
    <w:rsid w:val="00CD5A6A"/>
    <w:rsid w:val="00CE16B4"/>
    <w:rsid w:val="00D603A5"/>
    <w:rsid w:val="00D91C57"/>
    <w:rsid w:val="00E03276"/>
    <w:rsid w:val="00E21389"/>
    <w:rsid w:val="00EE76EF"/>
    <w:rsid w:val="00FD58DD"/>
    <w:rsid w:val="00FE44FF"/>
    <w:rsid w:val="00FE76C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2EB55"/>
  <w15:chartTrackingRefBased/>
  <w15:docId w15:val="{E5F2A7EC-55E7-4917-A2E0-3E43BF03C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97F7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EE76E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667D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EE76EF"/>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C1063B"/>
    <w:rPr>
      <w:color w:val="0563C1" w:themeColor="hyperlink"/>
      <w:u w:val="single"/>
    </w:rPr>
  </w:style>
  <w:style w:type="paragraph" w:customStyle="1" w:styleId="Heading3own">
    <w:name w:val="Heading 3_own"/>
    <w:basedOn w:val="Heading3"/>
    <w:link w:val="Heading3ownChar"/>
    <w:qFormat/>
    <w:rsid w:val="006667DE"/>
    <w:pPr>
      <w:spacing w:after="120"/>
    </w:pPr>
    <w:rPr>
      <w:rFonts w:ascii="Times New Roman" w:hAnsi="Times New Roman" w:cs="Times New Roman"/>
      <w:bCs/>
      <w:i/>
      <w:iCs/>
      <w:u w:val="single"/>
      <w:lang w:val="en-GB"/>
    </w:rPr>
  </w:style>
  <w:style w:type="character" w:customStyle="1" w:styleId="Heading3ownChar">
    <w:name w:val="Heading 3_own Char"/>
    <w:basedOn w:val="Heading3Char"/>
    <w:link w:val="Heading3own"/>
    <w:rsid w:val="006667DE"/>
    <w:rPr>
      <w:rFonts w:ascii="Times New Roman" w:eastAsiaTheme="majorEastAsia" w:hAnsi="Times New Roman" w:cs="Times New Roman"/>
      <w:bCs/>
      <w:i/>
      <w:iCs/>
      <w:color w:val="1F3763" w:themeColor="accent1" w:themeShade="7F"/>
      <w:sz w:val="24"/>
      <w:szCs w:val="24"/>
      <w:u w:val="single"/>
      <w:lang w:val="en-GB"/>
    </w:rPr>
  </w:style>
  <w:style w:type="character" w:customStyle="1" w:styleId="Heading3Char">
    <w:name w:val="Heading 3 Char"/>
    <w:basedOn w:val="DefaultParagraphFont"/>
    <w:link w:val="Heading3"/>
    <w:uiPriority w:val="9"/>
    <w:semiHidden/>
    <w:rsid w:val="006667DE"/>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597F71"/>
    <w:pPr>
      <w:tabs>
        <w:tab w:val="center" w:pos="4252"/>
        <w:tab w:val="right" w:pos="8504"/>
      </w:tabs>
      <w:spacing w:after="0" w:line="240" w:lineRule="auto"/>
    </w:pPr>
  </w:style>
  <w:style w:type="character" w:customStyle="1" w:styleId="HeaderChar">
    <w:name w:val="Header Char"/>
    <w:basedOn w:val="DefaultParagraphFont"/>
    <w:link w:val="Header"/>
    <w:uiPriority w:val="99"/>
    <w:rsid w:val="00597F71"/>
  </w:style>
  <w:style w:type="paragraph" w:styleId="Footer">
    <w:name w:val="footer"/>
    <w:basedOn w:val="Normal"/>
    <w:link w:val="FooterChar"/>
    <w:uiPriority w:val="99"/>
    <w:unhideWhenUsed/>
    <w:rsid w:val="00597F71"/>
    <w:pPr>
      <w:tabs>
        <w:tab w:val="center" w:pos="4252"/>
        <w:tab w:val="right" w:pos="8504"/>
      </w:tabs>
      <w:spacing w:after="0" w:line="240" w:lineRule="auto"/>
    </w:pPr>
  </w:style>
  <w:style w:type="character" w:customStyle="1" w:styleId="FooterChar">
    <w:name w:val="Footer Char"/>
    <w:basedOn w:val="DefaultParagraphFont"/>
    <w:link w:val="Footer"/>
    <w:uiPriority w:val="99"/>
    <w:rsid w:val="00597F71"/>
  </w:style>
  <w:style w:type="character" w:customStyle="1" w:styleId="Heading1Char">
    <w:name w:val="Heading 1 Char"/>
    <w:basedOn w:val="DefaultParagraphFont"/>
    <w:link w:val="Heading1"/>
    <w:uiPriority w:val="9"/>
    <w:rsid w:val="00597F7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97F71"/>
    <w:pPr>
      <w:outlineLvl w:val="9"/>
    </w:pPr>
    <w:rPr>
      <w:lang w:val="en-US"/>
    </w:rPr>
  </w:style>
  <w:style w:type="paragraph" w:styleId="TOC2">
    <w:name w:val="toc 2"/>
    <w:basedOn w:val="Normal"/>
    <w:next w:val="Normal"/>
    <w:autoRedefine/>
    <w:uiPriority w:val="39"/>
    <w:unhideWhenUsed/>
    <w:rsid w:val="00597F71"/>
    <w:pPr>
      <w:spacing w:after="100"/>
      <w:ind w:left="220"/>
    </w:pPr>
  </w:style>
  <w:style w:type="paragraph" w:styleId="TOC1">
    <w:name w:val="toc 1"/>
    <w:basedOn w:val="Normal"/>
    <w:next w:val="Normal"/>
    <w:autoRedefine/>
    <w:uiPriority w:val="39"/>
    <w:unhideWhenUsed/>
    <w:rsid w:val="00597F71"/>
    <w:pPr>
      <w:spacing w:after="100"/>
    </w:pPr>
    <w:rPr>
      <w:rFonts w:eastAsiaTheme="minorEastAsia" w:cs="Times New Roman"/>
      <w:lang w:val="en-US"/>
    </w:rPr>
  </w:style>
  <w:style w:type="paragraph" w:styleId="TOC3">
    <w:name w:val="toc 3"/>
    <w:basedOn w:val="Normal"/>
    <w:next w:val="Normal"/>
    <w:autoRedefine/>
    <w:uiPriority w:val="39"/>
    <w:unhideWhenUsed/>
    <w:rsid w:val="00597F71"/>
    <w:pPr>
      <w:spacing w:after="100"/>
      <w:ind w:left="440"/>
    </w:pPr>
    <w:rPr>
      <w:rFonts w:eastAsiaTheme="minorEastAsia" w:cs="Times New Roman"/>
      <w:lang w:val="en-US"/>
    </w:rPr>
  </w:style>
  <w:style w:type="paragraph" w:styleId="NormalWeb">
    <w:name w:val="Normal (Web)"/>
    <w:basedOn w:val="Normal"/>
    <w:uiPriority w:val="99"/>
    <w:semiHidden/>
    <w:unhideWhenUsed/>
    <w:rsid w:val="00597F71"/>
    <w:pPr>
      <w:spacing w:before="100" w:beforeAutospacing="1" w:after="100" w:afterAutospacing="1" w:line="240" w:lineRule="auto"/>
    </w:pPr>
    <w:rPr>
      <w:rFonts w:ascii="Times New Roman" w:eastAsiaTheme="minorEastAsia" w:hAnsi="Times New Roman" w:cs="Times New Roman"/>
      <w:sz w:val="24"/>
      <w:szCs w:val="24"/>
      <w:lang w:val="en-GB" w:eastAsia="en-GB"/>
    </w:rPr>
  </w:style>
  <w:style w:type="paragraph" w:styleId="BalloonText">
    <w:name w:val="Balloon Text"/>
    <w:basedOn w:val="Normal"/>
    <w:link w:val="BalloonTextChar"/>
    <w:uiPriority w:val="99"/>
    <w:semiHidden/>
    <w:unhideWhenUsed/>
    <w:rsid w:val="00B06A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A07"/>
    <w:rPr>
      <w:rFonts w:ascii="Segoe UI" w:hAnsi="Segoe UI" w:cs="Segoe UI"/>
      <w:sz w:val="18"/>
      <w:szCs w:val="18"/>
    </w:rPr>
  </w:style>
  <w:style w:type="paragraph" w:styleId="Revision">
    <w:name w:val="Revision"/>
    <w:hidden/>
    <w:uiPriority w:val="99"/>
    <w:semiHidden/>
    <w:rsid w:val="00300ABC"/>
    <w:pPr>
      <w:spacing w:after="0" w:line="240" w:lineRule="auto"/>
    </w:pPr>
  </w:style>
  <w:style w:type="character" w:styleId="CommentReference">
    <w:name w:val="annotation reference"/>
    <w:basedOn w:val="DefaultParagraphFont"/>
    <w:uiPriority w:val="99"/>
    <w:semiHidden/>
    <w:unhideWhenUsed/>
    <w:rsid w:val="001211DA"/>
    <w:rPr>
      <w:sz w:val="16"/>
      <w:szCs w:val="16"/>
    </w:rPr>
  </w:style>
  <w:style w:type="paragraph" w:styleId="CommentText">
    <w:name w:val="annotation text"/>
    <w:basedOn w:val="Normal"/>
    <w:link w:val="CommentTextChar"/>
    <w:uiPriority w:val="99"/>
    <w:semiHidden/>
    <w:unhideWhenUsed/>
    <w:rsid w:val="001211DA"/>
    <w:pPr>
      <w:spacing w:line="240" w:lineRule="auto"/>
    </w:pPr>
    <w:rPr>
      <w:sz w:val="20"/>
      <w:szCs w:val="20"/>
    </w:rPr>
  </w:style>
  <w:style w:type="character" w:customStyle="1" w:styleId="CommentTextChar">
    <w:name w:val="Comment Text Char"/>
    <w:basedOn w:val="DefaultParagraphFont"/>
    <w:link w:val="CommentText"/>
    <w:uiPriority w:val="99"/>
    <w:semiHidden/>
    <w:rsid w:val="001211DA"/>
    <w:rPr>
      <w:sz w:val="20"/>
      <w:szCs w:val="20"/>
    </w:rPr>
  </w:style>
  <w:style w:type="paragraph" w:styleId="CommentSubject">
    <w:name w:val="annotation subject"/>
    <w:basedOn w:val="CommentText"/>
    <w:next w:val="CommentText"/>
    <w:link w:val="CommentSubjectChar"/>
    <w:uiPriority w:val="99"/>
    <w:semiHidden/>
    <w:unhideWhenUsed/>
    <w:rsid w:val="001211DA"/>
    <w:rPr>
      <w:b/>
      <w:bCs/>
    </w:rPr>
  </w:style>
  <w:style w:type="character" w:customStyle="1" w:styleId="CommentSubjectChar">
    <w:name w:val="Comment Subject Char"/>
    <w:basedOn w:val="CommentTextChar"/>
    <w:link w:val="CommentSubject"/>
    <w:uiPriority w:val="99"/>
    <w:semiHidden/>
    <w:rsid w:val="001211D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698495">
      <w:bodyDiv w:val="1"/>
      <w:marLeft w:val="0"/>
      <w:marRight w:val="0"/>
      <w:marTop w:val="0"/>
      <w:marBottom w:val="0"/>
      <w:divBdr>
        <w:top w:val="none" w:sz="0" w:space="0" w:color="auto"/>
        <w:left w:val="none" w:sz="0" w:space="0" w:color="auto"/>
        <w:bottom w:val="none" w:sz="0" w:space="0" w:color="auto"/>
        <w:right w:val="none" w:sz="0" w:space="0" w:color="auto"/>
      </w:divBdr>
    </w:div>
    <w:div w:id="1002469357">
      <w:bodyDiv w:val="1"/>
      <w:marLeft w:val="0"/>
      <w:marRight w:val="0"/>
      <w:marTop w:val="0"/>
      <w:marBottom w:val="0"/>
      <w:divBdr>
        <w:top w:val="none" w:sz="0" w:space="0" w:color="auto"/>
        <w:left w:val="none" w:sz="0" w:space="0" w:color="auto"/>
        <w:bottom w:val="none" w:sz="0" w:space="0" w:color="auto"/>
        <w:right w:val="none" w:sz="0" w:space="0" w:color="auto"/>
      </w:divBdr>
    </w:div>
    <w:div w:id="1241862988">
      <w:bodyDiv w:val="1"/>
      <w:marLeft w:val="0"/>
      <w:marRight w:val="0"/>
      <w:marTop w:val="0"/>
      <w:marBottom w:val="0"/>
      <w:divBdr>
        <w:top w:val="none" w:sz="0" w:space="0" w:color="auto"/>
        <w:left w:val="none" w:sz="0" w:space="0" w:color="auto"/>
        <w:bottom w:val="none" w:sz="0" w:space="0" w:color="auto"/>
        <w:right w:val="none" w:sz="0" w:space="0" w:color="auto"/>
      </w:divBdr>
    </w:div>
    <w:div w:id="2032685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FCD948-A1B3-431C-9775-367174FE3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7</Pages>
  <Words>1499</Words>
  <Characters>8548</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Surbhi Malhotra</dc:creator>
  <cp:keywords/>
  <dc:description/>
  <cp:lastModifiedBy>Juan Pablo Rodriguez Ruiz</cp:lastModifiedBy>
  <cp:revision>4</cp:revision>
  <dcterms:created xsi:type="dcterms:W3CDTF">2024-03-08T13:52:00Z</dcterms:created>
  <dcterms:modified xsi:type="dcterms:W3CDTF">2024-04-11T08:05:00Z</dcterms:modified>
</cp:coreProperties>
</file>