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1A9E" w14:textId="56316B0B" w:rsidR="00C01EF0" w:rsidRPr="00E32F4D" w:rsidRDefault="00C01EF0" w:rsidP="00D4474A">
      <w:pPr>
        <w:suppressLineNumbers/>
        <w:spacing w:after="0"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Hlk100138688"/>
      <w:r w:rsidRPr="00E32F4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Introduction </w:t>
      </w:r>
    </w:p>
    <w:p w14:paraId="336A2EA8" w14:textId="1AB4F1AE" w:rsidR="00711ABC" w:rsidRPr="0033055A" w:rsidRDefault="00DE4350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137190456"/>
      <w:r w:rsidRPr="0033055A">
        <w:rPr>
          <w:rFonts w:ascii="Times New Roman" w:hAnsi="Times New Roman" w:cs="Times New Roman"/>
          <w:sz w:val="24"/>
          <w:szCs w:val="24"/>
          <w:lang w:val="en-GB"/>
        </w:rPr>
        <w:t>Prenatal detection of congenital anomalies has become more common in recent decades, with</w:t>
      </w:r>
      <w:r w:rsidR="008D40D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improvements in ultra</w:t>
      </w:r>
      <w:r w:rsidR="00F8774E" w:rsidRPr="0033055A">
        <w:rPr>
          <w:rFonts w:ascii="Times New Roman" w:hAnsi="Times New Roman" w:cs="Times New Roman"/>
          <w:sz w:val="24"/>
          <w:szCs w:val="24"/>
          <w:lang w:val="en-GB"/>
        </w:rPr>
        <w:t>sound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technology and</w:t>
      </w:r>
      <w:r w:rsidR="00714AF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associated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increased accuracy of </w:t>
      </w:r>
      <w:r w:rsidR="004D112F" w:rsidRPr="0033055A">
        <w:rPr>
          <w:rFonts w:ascii="Times New Roman" w:hAnsi="Times New Roman" w:cs="Times New Roman"/>
          <w:sz w:val="24"/>
          <w:szCs w:val="24"/>
          <w:lang w:val="en-GB"/>
        </w:rPr>
        <w:t>detection</w:t>
      </w:r>
      <w:r w:rsid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3055A" w:rsidRPr="001904AD">
        <w:rPr>
          <w:rFonts w:ascii="Times New Roman" w:hAnsi="Times New Roman" w:cs="Times New Roman"/>
          <w:sz w:val="24"/>
          <w:szCs w:val="24"/>
          <w:lang w:val="en-US"/>
        </w:rPr>
        <w:t>Peyvandi</w:t>
      </w:r>
      <w:proofErr w:type="spellEnd"/>
      <w:r w:rsidR="0033055A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2016)</w:t>
      </w:r>
      <w:r w:rsidR="00255211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increasing prenatal detection rate of congenital anomalies may also reflect the growing number of scans during pregnancy</w:t>
      </w:r>
      <w:r w:rsid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3055A" w:rsidRPr="001904AD">
        <w:rPr>
          <w:rFonts w:ascii="Times New Roman" w:hAnsi="Times New Roman" w:cs="Times New Roman"/>
          <w:sz w:val="24"/>
          <w:szCs w:val="24"/>
          <w:lang w:val="en-US"/>
        </w:rPr>
        <w:t>Mesas Burgos et al. 2016)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Differences in detection rates may be attributable to the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availability and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quality of ultrasound equipment, the experience of the examiner, the type of congenital anomaly</w:t>
      </w:r>
      <w:r w:rsidR="00DB5A10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the gestational age of the </w:t>
      </w:r>
      <w:proofErr w:type="spellStart"/>
      <w:r w:rsidRPr="0033055A">
        <w:rPr>
          <w:rFonts w:ascii="Times New Roman" w:hAnsi="Times New Roman" w:cs="Times New Roman"/>
          <w:sz w:val="24"/>
          <w:szCs w:val="24"/>
          <w:lang w:val="en-GB"/>
        </w:rPr>
        <w:t>fetus</w:t>
      </w:r>
      <w:proofErr w:type="spellEnd"/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at examination</w:t>
      </w:r>
      <w:r w:rsid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3055A" w:rsidRPr="0033055A">
        <w:rPr>
          <w:rFonts w:ascii="Times New Roman" w:hAnsi="Times New Roman" w:cs="Times New Roman"/>
          <w:sz w:val="24"/>
          <w:szCs w:val="24"/>
          <w:lang w:val="en-US"/>
        </w:rPr>
        <w:t>Skari</w:t>
      </w:r>
      <w:proofErr w:type="spellEnd"/>
      <w:r w:rsidR="0033055A">
        <w:rPr>
          <w:rFonts w:ascii="Times New Roman" w:hAnsi="Times New Roman" w:cs="Times New Roman"/>
          <w:sz w:val="24"/>
          <w:szCs w:val="24"/>
          <w:lang w:val="en-US"/>
        </w:rPr>
        <w:t xml:space="preserve"> et al. 1998)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A371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etect</w:t>
      </w:r>
      <w:r w:rsidR="00DA3716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congenital anomalies before birth allows better planning of prenatal and postnatal care</w:t>
      </w:r>
      <w:r w:rsid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3055A" w:rsidRPr="0033055A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Gamba</w:t>
      </w:r>
      <w:proofErr w:type="spellEnd"/>
      <w:r w:rsidR="0033055A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 et al. 2014;</w:t>
      </w:r>
      <w:r w:rsidR="0033055A" w:rsidRPr="0033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5A" w:rsidRPr="0033055A">
        <w:rPr>
          <w:rFonts w:ascii="Times New Roman" w:hAnsi="Times New Roman" w:cs="Times New Roman"/>
          <w:sz w:val="24"/>
          <w:szCs w:val="24"/>
          <w:lang w:val="en-US"/>
        </w:rPr>
        <w:t>Grivell</w:t>
      </w:r>
      <w:proofErr w:type="spellEnd"/>
      <w:r w:rsidR="0033055A" w:rsidRPr="0033055A">
        <w:rPr>
          <w:rFonts w:ascii="Times New Roman" w:hAnsi="Times New Roman" w:cs="Times New Roman"/>
          <w:sz w:val="24"/>
          <w:szCs w:val="24"/>
          <w:lang w:val="en-US"/>
        </w:rPr>
        <w:t xml:space="preserve"> at al.</w:t>
      </w:r>
      <w:r w:rsidR="0033055A">
        <w:rPr>
          <w:rFonts w:ascii="Times New Roman" w:hAnsi="Times New Roman" w:cs="Times New Roman"/>
          <w:sz w:val="24"/>
          <w:szCs w:val="24"/>
          <w:lang w:val="en-US"/>
        </w:rPr>
        <w:t xml:space="preserve"> 2014).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38704D" w:rsidRPr="0033055A">
        <w:rPr>
          <w:rFonts w:ascii="Times New Roman" w:hAnsi="Times New Roman" w:cs="Times New Roman"/>
          <w:sz w:val="24"/>
          <w:szCs w:val="24"/>
          <w:lang w:val="en-GB"/>
        </w:rPr>
        <w:t>recent years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it </w:t>
      </w:r>
      <w:r w:rsidR="0038704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also allow</w:t>
      </w:r>
      <w:r w:rsidR="0038704D" w:rsidRPr="0033055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prenatal </w:t>
      </w:r>
      <w:proofErr w:type="spellStart"/>
      <w:r w:rsidRPr="0033055A">
        <w:rPr>
          <w:rFonts w:ascii="Times New Roman" w:hAnsi="Times New Roman" w:cs="Times New Roman"/>
          <w:sz w:val="24"/>
          <w:szCs w:val="24"/>
          <w:lang w:val="en-GB"/>
        </w:rPr>
        <w:t>fetal</w:t>
      </w:r>
      <w:proofErr w:type="spellEnd"/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therapy</w:t>
      </w:r>
      <w:r w:rsidR="0038704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to be performed in rare cases</w:t>
      </w:r>
      <w:r w:rsid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3055A" w:rsidRPr="001904AD">
        <w:rPr>
          <w:rFonts w:ascii="Times New Roman" w:hAnsi="Times New Roman" w:cs="Times New Roman"/>
          <w:sz w:val="24"/>
          <w:szCs w:val="24"/>
          <w:lang w:val="en-US"/>
        </w:rPr>
        <w:t>Sadlecki</w:t>
      </w:r>
      <w:proofErr w:type="spellEnd"/>
      <w:r w:rsidR="0033055A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2023)</w:t>
      </w:r>
      <w:r w:rsidR="00AE502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8704D" w:rsidRPr="0033055A">
        <w:rPr>
          <w:rFonts w:ascii="Times New Roman" w:hAnsi="Times New Roman" w:cs="Times New Roman"/>
          <w:sz w:val="24"/>
          <w:szCs w:val="24"/>
          <w:lang w:val="en-GB"/>
        </w:rPr>
        <w:t>Often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826A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prenatal diagnosis seems not to result in better outcome</w:t>
      </w:r>
      <w:r w:rsidR="00837E08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C0ABC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but instead predict</w:t>
      </w:r>
      <w:r w:rsidR="007C0ABC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poorer outcome</w:t>
      </w:r>
      <w:r w:rsidR="007C0ABC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, possibly due to the more severe cases being more likely to be detected prenatally</w:t>
      </w:r>
      <w:r w:rsidR="00C62C0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Peyvandi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2016; Lazar et al. 2011)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There is also a need to balance the benefits of a prenatal diagnosis with lower gestational age following an induced </w:t>
      </w:r>
      <w:r w:rsidR="000E0B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preterm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birth. For example, elective delivery of </w:t>
      </w:r>
      <w:proofErr w:type="spellStart"/>
      <w:r w:rsidRPr="0033055A">
        <w:rPr>
          <w:rFonts w:ascii="Times New Roman" w:hAnsi="Times New Roman" w:cs="Times New Roman"/>
          <w:sz w:val="24"/>
          <w:szCs w:val="24"/>
          <w:lang w:val="en-GB"/>
        </w:rPr>
        <w:t>fetuses</w:t>
      </w:r>
      <w:proofErr w:type="spellEnd"/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complex congenital heart defects at early term (37-38 weeks) 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>by induction or p</w:t>
      </w:r>
      <w:r w:rsidR="00EC6F4C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anned </w:t>
      </w:r>
      <w:r w:rsidR="00EC6F4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caesarean 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section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results in </w:t>
      </w:r>
      <w:r w:rsidR="00C0125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lower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gestational age and lower birth weight, both of which affect morbidity and mortality</w:t>
      </w:r>
      <w:r w:rsidR="00C62C0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Costello et al. 2014; Ho et al. 2021; Goldstein et al. 2022)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1A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Since </w:t>
      </w:r>
      <w:r w:rsidR="00C0125F" w:rsidRPr="0033055A">
        <w:rPr>
          <w:rFonts w:ascii="Times New Roman" w:hAnsi="Times New Roman" w:cs="Times New Roman"/>
          <w:sz w:val="24"/>
          <w:szCs w:val="24"/>
          <w:lang w:val="en-GB"/>
        </w:rPr>
        <w:t>previous findings</w:t>
      </w:r>
      <w:r w:rsidR="00591A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2834" w:rsidRPr="0033055A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661F1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1A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effect of timing 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>of diagnoses</w:t>
      </w:r>
      <w:r w:rsidR="00591A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are limited and conflicting, more research on the subject is needed.</w:t>
      </w:r>
    </w:p>
    <w:p w14:paraId="0BC5DB13" w14:textId="77777777" w:rsidR="00DE0BE2" w:rsidRDefault="00DE0BE2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C48D96C" w14:textId="0C3FEF23" w:rsidR="00BF53B0" w:rsidRPr="00693C1E" w:rsidRDefault="0018177E" w:rsidP="00EC2E62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93C1E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A77AC6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7AC6" w:rsidRPr="00693C1E">
        <w:rPr>
          <w:rFonts w:ascii="Times New Roman" w:hAnsi="Times New Roman" w:cs="Times New Roman"/>
          <w:sz w:val="24"/>
          <w:szCs w:val="24"/>
          <w:lang w:val="en-GB"/>
        </w:rPr>
        <w:t>EUROlinkCAT</w:t>
      </w:r>
      <w:proofErr w:type="spellEnd"/>
      <w:r w:rsidR="00A77AC6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255211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(Establishing a linked European Cohort of Children with Congenital Anomalies) </w:t>
      </w:r>
      <w:r w:rsidR="003D074E" w:rsidRPr="00693C1E">
        <w:rPr>
          <w:rFonts w:ascii="Times New Roman" w:hAnsi="Times New Roman" w:cs="Times New Roman"/>
          <w:sz w:val="24"/>
          <w:szCs w:val="24"/>
          <w:lang w:val="en-GB"/>
        </w:rPr>
        <w:t>compare</w:t>
      </w:r>
      <w:r w:rsidR="00270C24" w:rsidRPr="00693C1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D074E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0754" w:rsidRPr="00693C1E">
        <w:rPr>
          <w:rFonts w:ascii="Times New Roman" w:hAnsi="Times New Roman" w:cs="Times New Roman"/>
          <w:sz w:val="24"/>
          <w:szCs w:val="24"/>
          <w:lang w:val="en-GB"/>
        </w:rPr>
        <w:t>mortality and</w:t>
      </w:r>
      <w:r w:rsidR="00252457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hospital care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of prenatally and postnatally diagnosed </w:t>
      </w:r>
      <w:r w:rsidR="00A27B93" w:rsidRPr="00693C1E">
        <w:rPr>
          <w:rFonts w:ascii="Times New Roman" w:hAnsi="Times New Roman" w:cs="Times New Roman"/>
          <w:sz w:val="24"/>
          <w:szCs w:val="24"/>
          <w:lang w:val="en-GB"/>
        </w:rPr>
        <w:t>infants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66D" w:rsidRPr="00693C1E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5A2BEB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four specific </w:t>
      </w:r>
      <w:r w:rsidR="00372D91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isolated </w:t>
      </w:r>
      <w:r w:rsidR="005A2BEB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congenital anomalies: 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>spina bifida, transposition of great arteries</w:t>
      </w:r>
      <w:r w:rsidR="00DE4350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(TGA)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E4350" w:rsidRPr="00693C1E">
        <w:rPr>
          <w:rFonts w:ascii="Times New Roman" w:hAnsi="Times New Roman" w:cs="Times New Roman"/>
          <w:sz w:val="24"/>
          <w:szCs w:val="24"/>
          <w:lang w:val="en-GB"/>
        </w:rPr>
        <w:t>congenital diaphragmatic hernia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350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(CDH) </w:t>
      </w:r>
      <w:r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and gastroschisis. 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These four </w:t>
      </w:r>
      <w:r w:rsidR="005412A0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congenital anomalies 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lastRenderedPageBreak/>
        <w:t>well</w:t>
      </w:r>
      <w:r w:rsidR="00DF72E7" w:rsidRPr="00693C1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>defined major anomalies</w:t>
      </w:r>
      <w:r w:rsidR="002E4CAF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that are generally diagnosed prenatally as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part of</w:t>
      </w:r>
      <w:r w:rsidR="00151715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prenatal screening </w:t>
      </w:r>
      <w:r w:rsidR="00806D11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programmes 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in most countries, and the </w:t>
      </w:r>
      <w:r w:rsidR="003C234E" w:rsidRPr="00693C1E">
        <w:rPr>
          <w:rFonts w:ascii="Times New Roman" w:hAnsi="Times New Roman" w:cs="Times New Roman"/>
          <w:sz w:val="24"/>
          <w:szCs w:val="24"/>
          <w:lang w:val="en-GB"/>
        </w:rPr>
        <w:t>neonates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need treatment </w:t>
      </w:r>
      <w:r w:rsidR="00160920" w:rsidRPr="00693C1E">
        <w:rPr>
          <w:rFonts w:ascii="Times New Roman" w:hAnsi="Times New Roman" w:cs="Times New Roman"/>
          <w:sz w:val="24"/>
          <w:szCs w:val="24"/>
          <w:lang w:val="en-GB"/>
        </w:rPr>
        <w:t>immediately or</w:t>
      </w:r>
      <w:r w:rsidR="00533F04" w:rsidRPr="00693C1E">
        <w:rPr>
          <w:rFonts w:ascii="Times New Roman" w:hAnsi="Times New Roman" w:cs="Times New Roman"/>
          <w:sz w:val="24"/>
          <w:szCs w:val="24"/>
          <w:lang w:val="en-GB"/>
        </w:rPr>
        <w:t xml:space="preserve"> shortly after birth</w:t>
      </w:r>
      <w:r w:rsidR="00591AA4" w:rsidRPr="00693C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1"/>
    <w:p w14:paraId="65704F52" w14:textId="77777777" w:rsidR="0033055A" w:rsidRPr="0033055A" w:rsidRDefault="0033055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4D5990E" w14:textId="1A74A2A1" w:rsidR="005367AA" w:rsidRPr="00DE0BE2" w:rsidRDefault="00C01EF0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="00E23FD8" w:rsidRPr="00DE0BE2">
        <w:rPr>
          <w:rFonts w:ascii="Times New Roman" w:hAnsi="Times New Roman" w:cs="Times New Roman"/>
          <w:bCs/>
          <w:sz w:val="24"/>
          <w:szCs w:val="24"/>
          <w:lang w:val="en-GB"/>
        </w:rPr>
        <w:t>aterials and m</w:t>
      </w:r>
      <w:r w:rsidRPr="00DE0BE2">
        <w:rPr>
          <w:rFonts w:ascii="Times New Roman" w:hAnsi="Times New Roman" w:cs="Times New Roman"/>
          <w:bCs/>
          <w:sz w:val="24"/>
          <w:szCs w:val="24"/>
          <w:lang w:val="en-GB"/>
        </w:rPr>
        <w:t>ethods</w:t>
      </w:r>
    </w:p>
    <w:p w14:paraId="79F87181" w14:textId="79FBFFAC" w:rsidR="00656EEC" w:rsidRPr="00DE0BE2" w:rsidRDefault="00656EEC" w:rsidP="00D4474A">
      <w:pPr>
        <w:pStyle w:val="Default"/>
        <w:suppressLineNumbers/>
        <w:shd w:val="clear" w:color="auto" w:fill="FFFFFF" w:themeFill="background1"/>
        <w:spacing w:line="48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lang w:val="en-GB"/>
        </w:rPr>
      </w:pPr>
      <w:r w:rsidRPr="00DE0BE2">
        <w:rPr>
          <w:rFonts w:ascii="Times New Roman" w:hAnsi="Times New Roman" w:cs="Times New Roman"/>
          <w:bCs/>
          <w:i/>
          <w:iCs/>
          <w:color w:val="auto"/>
          <w:lang w:val="en-GB"/>
        </w:rPr>
        <w:t>Inclusion criteria</w:t>
      </w:r>
    </w:p>
    <w:p w14:paraId="4B276703" w14:textId="45B686FA" w:rsidR="002472C1" w:rsidRPr="0033055A" w:rsidRDefault="007F4F9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Ten </w:t>
      </w:r>
      <w:r w:rsidR="00612C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EUROCAT </w:t>
      </w:r>
      <w:r w:rsidR="00743FAB" w:rsidRPr="003305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43FA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European Surveillance of Congenital Anomalies network)</w:t>
      </w:r>
      <w:r w:rsidR="00743FA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612C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are included in th</w:t>
      </w:r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>is study: Finland,</w:t>
      </w:r>
      <w:r w:rsidR="00197BE8" w:rsidRPr="0033055A" w:rsidDel="00197B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92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Northern Netherlands, </w:t>
      </w:r>
      <w:proofErr w:type="gramStart"/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>Emilia-Romagna</w:t>
      </w:r>
      <w:proofErr w:type="gramEnd"/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Tuscany (Italy), Zagreb (Croatia), and Valencia</w:t>
      </w:r>
      <w:r w:rsidR="00FC3558" w:rsidRPr="0033055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Region (Spain)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, and East Midlands &amp; South Yorkshire, Thames Valley, Wales, and Wessex (United Kingdom).</w:t>
      </w:r>
      <w:r w:rsidR="002046B7">
        <w:rPr>
          <w:rFonts w:ascii="Times New Roman" w:hAnsi="Times New Roman" w:cs="Times New Roman"/>
          <w:sz w:val="24"/>
          <w:szCs w:val="24"/>
          <w:lang w:val="en-GB"/>
        </w:rPr>
        <w:t xml:space="preserve"> Nine of the ten </w:t>
      </w:r>
      <w:r w:rsidR="00F25CE5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2046B7">
        <w:rPr>
          <w:rFonts w:ascii="Times New Roman" w:hAnsi="Times New Roman" w:cs="Times New Roman"/>
          <w:sz w:val="24"/>
          <w:szCs w:val="24"/>
          <w:lang w:val="en-GB"/>
        </w:rPr>
        <w:t xml:space="preserve"> linked to vital statistics, while one registry </w:t>
      </w:r>
      <w:r w:rsidR="0039334C">
        <w:rPr>
          <w:rFonts w:ascii="Times New Roman" w:hAnsi="Times New Roman" w:cs="Times New Roman"/>
          <w:sz w:val="24"/>
          <w:szCs w:val="24"/>
          <w:lang w:val="en-GB"/>
        </w:rPr>
        <w:t xml:space="preserve">(Zagreb) </w:t>
      </w:r>
      <w:r w:rsidR="002046B7">
        <w:rPr>
          <w:rFonts w:ascii="Times New Roman" w:hAnsi="Times New Roman" w:cs="Times New Roman"/>
          <w:sz w:val="24"/>
          <w:szCs w:val="24"/>
          <w:lang w:val="en-GB"/>
        </w:rPr>
        <w:t xml:space="preserve">manually linked cases to mortality and hospital discharge records. </w:t>
      </w:r>
    </w:p>
    <w:p w14:paraId="41A7BAED" w14:textId="7965CEBC" w:rsidR="00CE13B1" w:rsidRPr="0033055A" w:rsidRDefault="00CE13B1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F57BB23" w14:textId="77777777" w:rsidR="000C2333" w:rsidRPr="00DE0BE2" w:rsidRDefault="000C2333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Data file from the EUROCAT registry</w:t>
      </w:r>
    </w:p>
    <w:p w14:paraId="4BEF27E3" w14:textId="663ED5DC" w:rsidR="000C2333" w:rsidRPr="0033055A" w:rsidRDefault="00E23948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Cases for the study 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re all live born infants</w:t>
      </w:r>
      <w:r w:rsidR="000C233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233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from 23 weeks of gestational age,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233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between 1995 (or the year of inception of the registration, if later) and 2015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29492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isolated </w:t>
      </w:r>
      <w:r w:rsidR="002E4CAF" w:rsidRPr="0033055A">
        <w:rPr>
          <w:rFonts w:ascii="Times New Roman" w:hAnsi="Times New Roman" w:cs="Times New Roman"/>
          <w:sz w:val="24"/>
          <w:szCs w:val="24"/>
          <w:lang w:val="en-GB"/>
        </w:rPr>
        <w:t>spina bifida, TGA, CDH and gastroschisis</w:t>
      </w:r>
      <w:r w:rsidR="002E4CAF" w:rsidRPr="0033055A" w:rsidDel="002E4C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as defined in</w:t>
      </w:r>
      <w:r w:rsidR="00DA371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EUROCAT Guide 1.4 </w:t>
      </w:r>
      <w:r w:rsidR="00DA3716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11" w:anchor="inline-nav-2" w:history="1">
        <w:r w:rsidR="00DA3716" w:rsidRPr="00DA3716">
          <w:rPr>
            <w:rStyle w:val="Hyperlinkki"/>
            <w:rFonts w:ascii="Times New Roman" w:hAnsi="Times New Roman" w:cs="Times New Roman"/>
            <w:sz w:val="24"/>
            <w:szCs w:val="24"/>
            <w:lang w:val="en-GB"/>
          </w:rPr>
          <w:t>https://eu-rd-platform.jrc.ec.europa.eu/eurocat/data-collection/guidelines-for-data-registration_en#inline-nav-2</w:t>
        </w:r>
      </w:hyperlink>
      <w:r w:rsidRPr="003305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9492D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541A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All children with associated anomalies and/or with genetic anomalies were excluded. </w:t>
      </w:r>
      <w:r w:rsidR="000C233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Isolated anomalies were defined as structural anomalies within a single organ system only or as part of a sequence, as defined using the EUROCAT algorithm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Garne et al. 2011)</w:t>
      </w:r>
      <w:r w:rsidR="000C233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For example, a child with TGA and ventricular septal defect (VSD) would be considered as having an isolated TGA, since TGA and VSD are part of the same organ system. </w:t>
      </w:r>
    </w:p>
    <w:p w14:paraId="4C8C448A" w14:textId="77777777" w:rsidR="00321722" w:rsidRPr="0033055A" w:rsidRDefault="00321722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C2E3BBF" w14:textId="761A7D71" w:rsidR="005367AA" w:rsidRPr="00DE0BE2" w:rsidRDefault="002F0630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care databases</w:t>
      </w:r>
    </w:p>
    <w:p w14:paraId="54B6F184" w14:textId="18D6EEE1" w:rsidR="00E23948" w:rsidRPr="0033055A" w:rsidRDefault="00252457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33055A">
        <w:rPr>
          <w:rFonts w:ascii="Times New Roman" w:hAnsi="Times New Roman" w:cs="Times New Roman"/>
          <w:lang w:val="en-GB"/>
        </w:rPr>
        <w:lastRenderedPageBreak/>
        <w:t xml:space="preserve">Each </w:t>
      </w:r>
      <w:r w:rsidR="00E23948" w:rsidRPr="0033055A">
        <w:rPr>
          <w:rFonts w:ascii="Times New Roman" w:hAnsi="Times New Roman" w:cs="Times New Roman"/>
          <w:lang w:val="en-GB"/>
        </w:rPr>
        <w:t xml:space="preserve">EUROCAT </w:t>
      </w:r>
      <w:r w:rsidR="00530B0F" w:rsidRPr="0033055A">
        <w:rPr>
          <w:rFonts w:ascii="Times New Roman" w:hAnsi="Times New Roman" w:cs="Times New Roman"/>
          <w:lang w:val="en-GB"/>
        </w:rPr>
        <w:t xml:space="preserve">registry linked their own </w:t>
      </w:r>
      <w:r w:rsidR="00E23948" w:rsidRPr="0033055A">
        <w:rPr>
          <w:rFonts w:ascii="Times New Roman" w:hAnsi="Times New Roman" w:cs="Times New Roman"/>
          <w:lang w:val="en-GB"/>
        </w:rPr>
        <w:t>data to</w:t>
      </w:r>
      <w:r w:rsidR="004F33E0" w:rsidRPr="0033055A">
        <w:rPr>
          <w:rFonts w:ascii="Times New Roman" w:hAnsi="Times New Roman" w:cs="Times New Roman"/>
          <w:lang w:val="en-GB"/>
        </w:rPr>
        <w:t xml:space="preserve"> mortality data and to</w:t>
      </w:r>
      <w:r w:rsidR="00E23948" w:rsidRPr="0033055A">
        <w:rPr>
          <w:rFonts w:ascii="Times New Roman" w:hAnsi="Times New Roman" w:cs="Times New Roman"/>
          <w:lang w:val="en-GB"/>
        </w:rPr>
        <w:t xml:space="preserve"> </w:t>
      </w:r>
      <w:r w:rsidR="00C244D4" w:rsidRPr="0033055A">
        <w:rPr>
          <w:rFonts w:ascii="Times New Roman" w:hAnsi="Times New Roman" w:cs="Times New Roman"/>
          <w:lang w:val="en-GB"/>
        </w:rPr>
        <w:t xml:space="preserve">the hospital episode data </w:t>
      </w:r>
      <w:r w:rsidR="00134454" w:rsidRPr="0033055A">
        <w:rPr>
          <w:rFonts w:ascii="Times New Roman" w:hAnsi="Times New Roman" w:cs="Times New Roman"/>
          <w:lang w:val="en-GB"/>
        </w:rPr>
        <w:t xml:space="preserve">collected in </w:t>
      </w:r>
      <w:r w:rsidR="00E23948" w:rsidRPr="0033055A">
        <w:rPr>
          <w:rFonts w:ascii="Times New Roman" w:hAnsi="Times New Roman" w:cs="Times New Roman"/>
          <w:lang w:val="en-GB"/>
        </w:rPr>
        <w:t xml:space="preserve">the local or national </w:t>
      </w:r>
      <w:r w:rsidR="00134454" w:rsidRPr="0033055A">
        <w:rPr>
          <w:rFonts w:ascii="Times New Roman" w:hAnsi="Times New Roman" w:cs="Times New Roman"/>
          <w:lang w:val="en-GB"/>
        </w:rPr>
        <w:t xml:space="preserve">hospital </w:t>
      </w:r>
      <w:r w:rsidR="00E23948" w:rsidRPr="0033055A">
        <w:rPr>
          <w:rFonts w:ascii="Times New Roman" w:hAnsi="Times New Roman" w:cs="Times New Roman"/>
          <w:lang w:val="en-GB"/>
        </w:rPr>
        <w:t>databases using either a personal identification number (ID) or linked through common variables (date of birth, gestational age, birth weight, sex, maternal age/date of birth)</w:t>
      </w:r>
      <w:r w:rsidR="006B6E24" w:rsidRPr="0033055A">
        <w:rPr>
          <w:rFonts w:ascii="Times New Roman" w:hAnsi="Times New Roman" w:cs="Times New Roman"/>
          <w:lang w:val="en-GB"/>
        </w:rPr>
        <w:t xml:space="preserve">, as described </w:t>
      </w:r>
      <w:r w:rsidR="000C2333" w:rsidRPr="0033055A">
        <w:rPr>
          <w:rFonts w:ascii="Times New Roman" w:hAnsi="Times New Roman" w:cs="Times New Roman"/>
          <w:lang w:val="en-GB"/>
        </w:rPr>
        <w:t>elsewhere</w:t>
      </w:r>
      <w:r w:rsidR="00C62C08">
        <w:rPr>
          <w:rFonts w:ascii="Times New Roman" w:hAnsi="Times New Roman" w:cs="Times New Roman"/>
          <w:lang w:val="en-GB"/>
        </w:rPr>
        <w:t xml:space="preserve"> (</w:t>
      </w:r>
      <w:r w:rsidR="00C62C08" w:rsidRPr="001904AD">
        <w:rPr>
          <w:rFonts w:ascii="Times New Roman" w:hAnsi="Times New Roman" w:cs="Times New Roman"/>
          <w:lang w:val="en-US"/>
        </w:rPr>
        <w:t>Loane et al. 2021)</w:t>
      </w:r>
      <w:r w:rsidR="003366AC" w:rsidRPr="0033055A">
        <w:rPr>
          <w:rFonts w:ascii="Times New Roman" w:hAnsi="Times New Roman" w:cs="Times New Roman"/>
          <w:lang w:val="en-GB"/>
        </w:rPr>
        <w:t>.</w:t>
      </w:r>
      <w:r w:rsidR="006B6E24" w:rsidRPr="0033055A">
        <w:rPr>
          <w:rFonts w:ascii="Times New Roman" w:hAnsi="Times New Roman" w:cs="Times New Roman"/>
          <w:lang w:val="en-GB"/>
        </w:rPr>
        <w:t xml:space="preserve"> </w:t>
      </w:r>
      <w:bookmarkStart w:id="2" w:name="_Hlk146097367"/>
      <w:r w:rsidR="00330E6B">
        <w:rPr>
          <w:rFonts w:ascii="Times New Roman" w:hAnsi="Times New Roman" w:cs="Times New Roman"/>
          <w:lang w:val="en-GB"/>
        </w:rPr>
        <w:t>Consecutive hospital treatment periods were combined to one episode. The data on each episode included information on admission and discharge dates, diagnoses and surgical procedure</w:t>
      </w:r>
      <w:r w:rsidR="00DA3716">
        <w:rPr>
          <w:rFonts w:ascii="Times New Roman" w:hAnsi="Times New Roman" w:cs="Times New Roman"/>
          <w:lang w:val="en-GB"/>
        </w:rPr>
        <w:t>(s)</w:t>
      </w:r>
      <w:r w:rsidR="00330E6B">
        <w:rPr>
          <w:rFonts w:ascii="Times New Roman" w:hAnsi="Times New Roman" w:cs="Times New Roman"/>
          <w:lang w:val="en-GB"/>
        </w:rPr>
        <w:t xml:space="preserve">, as registered in the primary source. The number of hospital days was calculated by the difference </w:t>
      </w:r>
      <w:r w:rsidR="00DA3716">
        <w:rPr>
          <w:rFonts w:ascii="Times New Roman" w:hAnsi="Times New Roman" w:cs="Times New Roman"/>
          <w:lang w:val="en-GB"/>
        </w:rPr>
        <w:t>between</w:t>
      </w:r>
      <w:r w:rsidR="00330E6B">
        <w:rPr>
          <w:rFonts w:ascii="Times New Roman" w:hAnsi="Times New Roman" w:cs="Times New Roman"/>
          <w:lang w:val="en-GB"/>
        </w:rPr>
        <w:t xml:space="preserve"> discharge and admission date</w:t>
      </w:r>
      <w:r w:rsidR="002222A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2222A3">
        <w:rPr>
          <w:rFonts w:ascii="Times New Roman" w:hAnsi="Times New Roman" w:cs="Times New Roman"/>
          <w:lang w:val="en-GB"/>
        </w:rPr>
        <w:t>Urhoj</w:t>
      </w:r>
      <w:proofErr w:type="spellEnd"/>
      <w:r w:rsidR="002222A3">
        <w:rPr>
          <w:rFonts w:ascii="Times New Roman" w:hAnsi="Times New Roman" w:cs="Times New Roman"/>
          <w:lang w:val="en-GB"/>
        </w:rPr>
        <w:t xml:space="preserve"> et al. 2022)</w:t>
      </w:r>
      <w:r w:rsidR="00330E6B">
        <w:rPr>
          <w:rFonts w:ascii="Times New Roman" w:hAnsi="Times New Roman" w:cs="Times New Roman"/>
          <w:lang w:val="en-GB"/>
        </w:rPr>
        <w:t>.</w:t>
      </w:r>
      <w:bookmarkEnd w:id="2"/>
      <w:r w:rsidR="00330E6B">
        <w:rPr>
          <w:rFonts w:ascii="Times New Roman" w:hAnsi="Times New Roman" w:cs="Times New Roman"/>
          <w:lang w:val="en-GB"/>
        </w:rPr>
        <w:t xml:space="preserve"> </w:t>
      </w:r>
      <w:r w:rsidR="00E23948" w:rsidRPr="0033055A">
        <w:rPr>
          <w:rFonts w:ascii="Times New Roman" w:hAnsi="Times New Roman" w:cs="Times New Roman"/>
          <w:lang w:val="en-GB"/>
        </w:rPr>
        <w:t>To be confident that children with no re</w:t>
      </w:r>
      <w:r w:rsidR="00911D29" w:rsidRPr="0033055A">
        <w:rPr>
          <w:rFonts w:ascii="Times New Roman" w:hAnsi="Times New Roman" w:cs="Times New Roman"/>
          <w:lang w:val="en-GB"/>
        </w:rPr>
        <w:t>corded</w:t>
      </w:r>
      <w:r w:rsidR="00E23948" w:rsidRPr="0033055A">
        <w:rPr>
          <w:rFonts w:ascii="Times New Roman" w:hAnsi="Times New Roman" w:cs="Times New Roman"/>
          <w:lang w:val="en-GB"/>
        </w:rPr>
        <w:t xml:space="preserve"> </w:t>
      </w:r>
      <w:r w:rsidR="00557D9B" w:rsidRPr="0033055A">
        <w:rPr>
          <w:rFonts w:ascii="Times New Roman" w:hAnsi="Times New Roman" w:cs="Times New Roman"/>
          <w:lang w:val="en-GB"/>
        </w:rPr>
        <w:t>hospitali</w:t>
      </w:r>
      <w:r w:rsidR="009B5D7F" w:rsidRPr="0033055A">
        <w:rPr>
          <w:rFonts w:ascii="Times New Roman" w:hAnsi="Times New Roman" w:cs="Times New Roman"/>
          <w:lang w:val="en-GB"/>
        </w:rPr>
        <w:t>s</w:t>
      </w:r>
      <w:r w:rsidR="00557D9B" w:rsidRPr="0033055A">
        <w:rPr>
          <w:rFonts w:ascii="Times New Roman" w:hAnsi="Times New Roman" w:cs="Times New Roman"/>
          <w:lang w:val="en-GB"/>
        </w:rPr>
        <w:t>ations</w:t>
      </w:r>
      <w:r w:rsidR="00E23948" w:rsidRPr="0033055A">
        <w:rPr>
          <w:rFonts w:ascii="Times New Roman" w:hAnsi="Times New Roman" w:cs="Times New Roman"/>
          <w:lang w:val="en-GB"/>
        </w:rPr>
        <w:t xml:space="preserve"> during the study period were </w:t>
      </w:r>
      <w:r w:rsidR="000C2333" w:rsidRPr="0033055A">
        <w:rPr>
          <w:rFonts w:ascii="Times New Roman" w:hAnsi="Times New Roman" w:cs="Times New Roman"/>
          <w:lang w:val="en-GB"/>
        </w:rPr>
        <w:t xml:space="preserve">indeed </w:t>
      </w:r>
      <w:r w:rsidR="00E23948" w:rsidRPr="0033055A">
        <w:rPr>
          <w:rFonts w:ascii="Times New Roman" w:hAnsi="Times New Roman" w:cs="Times New Roman"/>
          <w:lang w:val="en-GB"/>
        </w:rPr>
        <w:t xml:space="preserve">not </w:t>
      </w:r>
      <w:r w:rsidR="00557D9B" w:rsidRPr="0033055A">
        <w:rPr>
          <w:rFonts w:ascii="Times New Roman" w:hAnsi="Times New Roman" w:cs="Times New Roman"/>
          <w:lang w:val="en-GB"/>
        </w:rPr>
        <w:t>hospitali</w:t>
      </w:r>
      <w:r w:rsidR="009B5D7F" w:rsidRPr="0033055A">
        <w:rPr>
          <w:rFonts w:ascii="Times New Roman" w:hAnsi="Times New Roman" w:cs="Times New Roman"/>
          <w:lang w:val="en-GB"/>
        </w:rPr>
        <w:t>s</w:t>
      </w:r>
      <w:r w:rsidR="00557D9B" w:rsidRPr="0033055A">
        <w:rPr>
          <w:rFonts w:ascii="Times New Roman" w:hAnsi="Times New Roman" w:cs="Times New Roman"/>
          <w:lang w:val="en-GB"/>
        </w:rPr>
        <w:t>ed</w:t>
      </w:r>
      <w:r w:rsidR="000C2333" w:rsidRPr="0033055A">
        <w:rPr>
          <w:rFonts w:ascii="Times New Roman" w:hAnsi="Times New Roman" w:cs="Times New Roman"/>
          <w:lang w:val="en-GB"/>
        </w:rPr>
        <w:t>,</w:t>
      </w:r>
      <w:r w:rsidR="00E23948" w:rsidRPr="0033055A">
        <w:rPr>
          <w:rFonts w:ascii="Times New Roman" w:hAnsi="Times New Roman" w:cs="Times New Roman"/>
          <w:lang w:val="en-GB"/>
        </w:rPr>
        <w:t xml:space="preserve"> rather than that their </w:t>
      </w:r>
      <w:r w:rsidR="00557D9B" w:rsidRPr="0033055A">
        <w:rPr>
          <w:rFonts w:ascii="Times New Roman" w:hAnsi="Times New Roman" w:cs="Times New Roman"/>
          <w:lang w:val="en-GB"/>
        </w:rPr>
        <w:t>hospitali</w:t>
      </w:r>
      <w:r w:rsidR="009B5D7F" w:rsidRPr="0033055A">
        <w:rPr>
          <w:rFonts w:ascii="Times New Roman" w:hAnsi="Times New Roman" w:cs="Times New Roman"/>
          <w:lang w:val="en-GB"/>
        </w:rPr>
        <w:t>s</w:t>
      </w:r>
      <w:r w:rsidR="00557D9B" w:rsidRPr="0033055A">
        <w:rPr>
          <w:rFonts w:ascii="Times New Roman" w:hAnsi="Times New Roman" w:cs="Times New Roman"/>
          <w:lang w:val="en-GB"/>
        </w:rPr>
        <w:t>ations</w:t>
      </w:r>
      <w:r w:rsidR="00E23948" w:rsidRPr="0033055A">
        <w:rPr>
          <w:rFonts w:ascii="Times New Roman" w:hAnsi="Times New Roman" w:cs="Times New Roman"/>
          <w:lang w:val="en-GB"/>
        </w:rPr>
        <w:t xml:space="preserve"> were not reported due to missed linkages, all children were also linked to other databases (</w:t>
      </w:r>
      <w:proofErr w:type="gramStart"/>
      <w:r w:rsidR="00531015" w:rsidRPr="0033055A">
        <w:rPr>
          <w:rFonts w:ascii="Times New Roman" w:hAnsi="Times New Roman" w:cs="Times New Roman"/>
          <w:lang w:val="en-GB"/>
        </w:rPr>
        <w:t>i.e.</w:t>
      </w:r>
      <w:proofErr w:type="gramEnd"/>
      <w:r w:rsidR="00531015" w:rsidRPr="0033055A">
        <w:rPr>
          <w:rFonts w:ascii="Times New Roman" w:hAnsi="Times New Roman" w:cs="Times New Roman"/>
          <w:lang w:val="en-GB"/>
        </w:rPr>
        <w:t xml:space="preserve"> </w:t>
      </w:r>
      <w:r w:rsidR="00E23948" w:rsidRPr="0033055A">
        <w:rPr>
          <w:rFonts w:ascii="Times New Roman" w:hAnsi="Times New Roman" w:cs="Times New Roman"/>
          <w:lang w:val="en-GB"/>
        </w:rPr>
        <w:t xml:space="preserve">national statistics, vital statistics, hospital databases outside </w:t>
      </w:r>
      <w:r w:rsidR="00531015" w:rsidRPr="0033055A">
        <w:rPr>
          <w:rFonts w:ascii="Times New Roman" w:hAnsi="Times New Roman" w:cs="Times New Roman"/>
          <w:lang w:val="en-GB"/>
        </w:rPr>
        <w:t xml:space="preserve">the </w:t>
      </w:r>
      <w:r w:rsidR="00E23948" w:rsidRPr="0033055A">
        <w:rPr>
          <w:rFonts w:ascii="Times New Roman" w:hAnsi="Times New Roman" w:cs="Times New Roman"/>
          <w:lang w:val="en-GB"/>
        </w:rPr>
        <w:t xml:space="preserve">study period, and outpatient records) and only children with successful linkage to these other databases were included in </w:t>
      </w:r>
      <w:r w:rsidR="00E23948" w:rsidRPr="000D7D52">
        <w:rPr>
          <w:rFonts w:ascii="Times New Roman" w:hAnsi="Times New Roman" w:cs="Times New Roman"/>
          <w:lang w:val="en-GB"/>
        </w:rPr>
        <w:t>the analysis</w:t>
      </w:r>
      <w:r w:rsidR="003016FA" w:rsidRPr="000D7D52">
        <w:rPr>
          <w:rFonts w:ascii="Times New Roman" w:hAnsi="Times New Roman" w:cs="Times New Roman"/>
          <w:lang w:val="en-GB"/>
        </w:rPr>
        <w:t xml:space="preserve"> (Table</w:t>
      </w:r>
      <w:r w:rsidR="00E86B6A" w:rsidRPr="000D7D52">
        <w:rPr>
          <w:rFonts w:ascii="Times New Roman" w:hAnsi="Times New Roman" w:cs="Times New Roman"/>
          <w:lang w:val="en-GB"/>
        </w:rPr>
        <w:t xml:space="preserve"> 1</w:t>
      </w:r>
      <w:r w:rsidR="003016FA" w:rsidRPr="000D7D52">
        <w:rPr>
          <w:rFonts w:ascii="Times New Roman" w:hAnsi="Times New Roman" w:cs="Times New Roman"/>
          <w:lang w:val="en-GB"/>
        </w:rPr>
        <w:t>)</w:t>
      </w:r>
      <w:r w:rsidR="00E23948" w:rsidRPr="000D7D52">
        <w:rPr>
          <w:rFonts w:ascii="Times New Roman" w:hAnsi="Times New Roman" w:cs="Times New Roman"/>
          <w:lang w:val="en-GB"/>
        </w:rPr>
        <w:t xml:space="preserve">. </w:t>
      </w:r>
      <w:r w:rsidR="00B875AA" w:rsidRPr="001904AD">
        <w:rPr>
          <w:rFonts w:ascii="Times New Roman" w:hAnsi="Times New Roman" w:cs="Times New Roman"/>
          <w:lang w:val="en-GB"/>
        </w:rPr>
        <w:t xml:space="preserve">All hospital obstetric stays were excluded from the study. In addition, infants who died ≥1 day after birth </w:t>
      </w:r>
      <w:r w:rsidR="00DA3716">
        <w:rPr>
          <w:rFonts w:ascii="Times New Roman" w:hAnsi="Times New Roman" w:cs="Times New Roman"/>
          <w:lang w:val="en-GB"/>
        </w:rPr>
        <w:t>and</w:t>
      </w:r>
      <w:r w:rsidR="00B875AA" w:rsidRPr="001904AD">
        <w:rPr>
          <w:rFonts w:ascii="Times New Roman" w:hAnsi="Times New Roman" w:cs="Times New Roman"/>
          <w:lang w:val="en-GB"/>
        </w:rPr>
        <w:t xml:space="preserve"> were not identified in hospital databases were also excluded</w:t>
      </w:r>
      <w:r w:rsidR="00CD5D3F">
        <w:rPr>
          <w:rFonts w:ascii="Times New Roman" w:hAnsi="Times New Roman" w:cs="Times New Roman"/>
          <w:lang w:val="en-GB"/>
        </w:rPr>
        <w:t xml:space="preserve">: </w:t>
      </w:r>
      <w:r w:rsidR="00B875AA" w:rsidRPr="001904AD">
        <w:rPr>
          <w:rFonts w:ascii="Times New Roman" w:hAnsi="Times New Roman" w:cs="Times New Roman"/>
          <w:lang w:val="en-GB"/>
        </w:rPr>
        <w:t>1.4% of all children not linked to hospital or other databases (Loane et al</w:t>
      </w:r>
      <w:r w:rsidR="00CD5D3F">
        <w:rPr>
          <w:rFonts w:ascii="Times New Roman" w:hAnsi="Times New Roman" w:cs="Times New Roman"/>
          <w:lang w:val="en-GB"/>
        </w:rPr>
        <w:t>.</w:t>
      </w:r>
      <w:r w:rsidR="00B875AA" w:rsidRPr="001904AD">
        <w:rPr>
          <w:rFonts w:ascii="Times New Roman" w:hAnsi="Times New Roman" w:cs="Times New Roman"/>
          <w:lang w:val="en-GB"/>
        </w:rPr>
        <w:t xml:space="preserve"> 2023). </w:t>
      </w:r>
      <w:r w:rsidR="00E23948" w:rsidRPr="000D7D52">
        <w:rPr>
          <w:rFonts w:ascii="Times New Roman" w:hAnsi="Times New Roman" w:cs="Times New Roman"/>
          <w:lang w:val="en-GB"/>
        </w:rPr>
        <w:t>For each child, data</w:t>
      </w:r>
      <w:r w:rsidR="00E23948" w:rsidRPr="0033055A">
        <w:rPr>
          <w:rFonts w:ascii="Times New Roman" w:hAnsi="Times New Roman" w:cs="Times New Roman"/>
          <w:lang w:val="en-GB"/>
        </w:rPr>
        <w:t xml:space="preserve"> were extracted </w:t>
      </w:r>
      <w:r w:rsidR="00DA3716">
        <w:rPr>
          <w:rFonts w:ascii="Times New Roman" w:hAnsi="Times New Roman" w:cs="Times New Roman"/>
          <w:lang w:val="en-GB"/>
        </w:rPr>
        <w:t>for</w:t>
      </w:r>
      <w:r w:rsidR="00E23948" w:rsidRPr="0033055A">
        <w:rPr>
          <w:rFonts w:ascii="Times New Roman" w:hAnsi="Times New Roman" w:cs="Times New Roman"/>
          <w:lang w:val="en-GB"/>
        </w:rPr>
        <w:t xml:space="preserve"> the first 10 years of life or up to </w:t>
      </w:r>
      <w:r w:rsidR="00655C1C" w:rsidRPr="0033055A">
        <w:rPr>
          <w:rFonts w:ascii="Times New Roman" w:hAnsi="Times New Roman" w:cs="Times New Roman"/>
          <w:lang w:val="en-GB"/>
        </w:rPr>
        <w:t>December 31</w:t>
      </w:r>
      <w:r w:rsidR="00DA3716" w:rsidRPr="00693C1E">
        <w:rPr>
          <w:rFonts w:ascii="Times New Roman" w:hAnsi="Times New Roman" w:cs="Times New Roman"/>
          <w:vertAlign w:val="superscript"/>
          <w:lang w:val="en-GB"/>
        </w:rPr>
        <w:t>st</w:t>
      </w:r>
      <w:r w:rsidR="00655C1C" w:rsidRPr="0033055A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2472C1" w:rsidRPr="0033055A">
        <w:rPr>
          <w:rFonts w:ascii="Times New Roman" w:hAnsi="Times New Roman" w:cs="Times New Roman"/>
          <w:lang w:val="en-GB"/>
        </w:rPr>
        <w:t>2015</w:t>
      </w:r>
      <w:proofErr w:type="gramEnd"/>
      <w:r w:rsidR="002472C1" w:rsidRPr="0033055A">
        <w:rPr>
          <w:rFonts w:ascii="Times New Roman" w:hAnsi="Times New Roman" w:cs="Times New Roman"/>
          <w:lang w:val="en-GB"/>
        </w:rPr>
        <w:t xml:space="preserve"> for all </w:t>
      </w:r>
      <w:r w:rsidR="00197BE8" w:rsidRPr="0033055A">
        <w:rPr>
          <w:rFonts w:ascii="Times New Roman" w:hAnsi="Times New Roman" w:cs="Times New Roman"/>
          <w:lang w:val="en-GB"/>
        </w:rPr>
        <w:t>registers</w:t>
      </w:r>
      <w:r w:rsidR="00DA3716">
        <w:rPr>
          <w:rFonts w:ascii="Times New Roman" w:hAnsi="Times New Roman" w:cs="Times New Roman"/>
          <w:lang w:val="en-GB"/>
        </w:rPr>
        <w:t>,</w:t>
      </w:r>
      <w:r w:rsidR="002472C1" w:rsidRPr="0033055A">
        <w:rPr>
          <w:rFonts w:ascii="Times New Roman" w:hAnsi="Times New Roman" w:cs="Times New Roman"/>
          <w:lang w:val="en-GB"/>
        </w:rPr>
        <w:t xml:space="preserve"> </w:t>
      </w:r>
      <w:r w:rsidR="00197BE8" w:rsidRPr="0033055A">
        <w:rPr>
          <w:rFonts w:ascii="Times New Roman" w:hAnsi="Times New Roman" w:cs="Times New Roman"/>
          <w:lang w:val="en-GB"/>
        </w:rPr>
        <w:t xml:space="preserve">except </w:t>
      </w:r>
      <w:r w:rsidR="00FA5A8C" w:rsidRPr="0033055A">
        <w:rPr>
          <w:rFonts w:ascii="Times New Roman" w:hAnsi="Times New Roman" w:cs="Times New Roman"/>
          <w:lang w:val="en-GB"/>
        </w:rPr>
        <w:t>children in</w:t>
      </w:r>
      <w:r w:rsidR="002472C1" w:rsidRPr="0033055A">
        <w:rPr>
          <w:rFonts w:ascii="Times New Roman" w:hAnsi="Times New Roman" w:cs="Times New Roman"/>
          <w:lang w:val="en-GB"/>
        </w:rPr>
        <w:t xml:space="preserve"> </w:t>
      </w:r>
      <w:r w:rsidR="004B2E4A" w:rsidRPr="0033055A">
        <w:rPr>
          <w:rFonts w:ascii="Times New Roman" w:hAnsi="Times New Roman" w:cs="Times New Roman"/>
          <w:lang w:val="en-GB"/>
        </w:rPr>
        <w:t>Northern Netherlands</w:t>
      </w:r>
      <w:r w:rsidR="00FA5A8C" w:rsidRPr="0033055A">
        <w:rPr>
          <w:rFonts w:ascii="Times New Roman" w:hAnsi="Times New Roman" w:cs="Times New Roman"/>
          <w:lang w:val="en-GB"/>
        </w:rPr>
        <w:t xml:space="preserve"> born </w:t>
      </w:r>
      <w:r w:rsidR="00197BE8" w:rsidRPr="0033055A">
        <w:rPr>
          <w:rFonts w:ascii="Times New Roman" w:hAnsi="Times New Roman" w:cs="Times New Roman"/>
          <w:lang w:val="en-GB"/>
        </w:rPr>
        <w:t xml:space="preserve">since </w:t>
      </w:r>
      <w:r w:rsidR="00FA5A8C" w:rsidRPr="0033055A">
        <w:rPr>
          <w:rFonts w:ascii="Times New Roman" w:hAnsi="Times New Roman" w:cs="Times New Roman"/>
          <w:lang w:val="en-GB"/>
        </w:rPr>
        <w:t>201</w:t>
      </w:r>
      <w:r w:rsidR="002D61E8" w:rsidRPr="0033055A">
        <w:rPr>
          <w:rFonts w:ascii="Times New Roman" w:hAnsi="Times New Roman" w:cs="Times New Roman"/>
          <w:lang w:val="en-GB"/>
        </w:rPr>
        <w:t>3</w:t>
      </w:r>
      <w:r w:rsidR="00197BE8" w:rsidRPr="0033055A">
        <w:rPr>
          <w:rFonts w:ascii="Times New Roman" w:hAnsi="Times New Roman" w:cs="Times New Roman"/>
          <w:lang w:val="en-GB"/>
        </w:rPr>
        <w:t>, who</w:t>
      </w:r>
      <w:r w:rsidR="00FA5A8C" w:rsidRPr="0033055A">
        <w:rPr>
          <w:rFonts w:ascii="Times New Roman" w:hAnsi="Times New Roman" w:cs="Times New Roman"/>
          <w:lang w:val="en-GB"/>
        </w:rPr>
        <w:t xml:space="preserve"> were followed to </w:t>
      </w:r>
      <w:r w:rsidR="00255211" w:rsidRPr="0033055A">
        <w:rPr>
          <w:rFonts w:ascii="Times New Roman" w:hAnsi="Times New Roman" w:cs="Times New Roman"/>
          <w:lang w:val="en-GB"/>
        </w:rPr>
        <w:t>December 31</w:t>
      </w:r>
      <w:r w:rsidR="004D3B46" w:rsidRPr="00693C1E">
        <w:rPr>
          <w:rFonts w:ascii="Times New Roman" w:hAnsi="Times New Roman" w:cs="Times New Roman"/>
          <w:vertAlign w:val="superscript"/>
          <w:lang w:val="en-GB"/>
        </w:rPr>
        <w:t>st</w:t>
      </w:r>
      <w:r w:rsidR="00255211" w:rsidRPr="0033055A">
        <w:rPr>
          <w:rFonts w:ascii="Times New Roman" w:hAnsi="Times New Roman" w:cs="Times New Roman"/>
          <w:lang w:val="en-GB"/>
        </w:rPr>
        <w:t xml:space="preserve">, </w:t>
      </w:r>
      <w:r w:rsidR="00FA5A8C" w:rsidRPr="0033055A">
        <w:rPr>
          <w:rFonts w:ascii="Times New Roman" w:hAnsi="Times New Roman" w:cs="Times New Roman"/>
          <w:lang w:val="en-GB"/>
        </w:rPr>
        <w:t>2017</w:t>
      </w:r>
      <w:r w:rsidR="00E23948" w:rsidRPr="0033055A">
        <w:rPr>
          <w:rFonts w:ascii="Times New Roman" w:hAnsi="Times New Roman" w:cs="Times New Roman"/>
          <w:lang w:val="en-GB"/>
        </w:rPr>
        <w:t>.</w:t>
      </w:r>
      <w:r w:rsidR="004B2E4A" w:rsidRPr="0033055A">
        <w:rPr>
          <w:rFonts w:ascii="Times New Roman" w:hAnsi="Times New Roman" w:cs="Times New Roman"/>
          <w:lang w:val="en-GB"/>
        </w:rPr>
        <w:t xml:space="preserve"> </w:t>
      </w:r>
    </w:p>
    <w:p w14:paraId="62CB5599" w14:textId="2E7608CE" w:rsidR="00D864DA" w:rsidRPr="0033055A" w:rsidRDefault="0020699D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r w:rsidR="00D864DA" w:rsidRPr="0033055A">
        <w:rPr>
          <w:rFonts w:ascii="Times New Roman" w:hAnsi="Times New Roman" w:cs="Times New Roman"/>
          <w:lang w:val="en-GB"/>
        </w:rPr>
        <w:t>Table 1 here</w:t>
      </w:r>
      <w:r>
        <w:rPr>
          <w:rFonts w:ascii="Times New Roman" w:hAnsi="Times New Roman" w:cs="Times New Roman"/>
          <w:lang w:val="en-GB"/>
        </w:rPr>
        <w:t>)</w:t>
      </w:r>
    </w:p>
    <w:p w14:paraId="14678967" w14:textId="77777777" w:rsidR="00D864DA" w:rsidRPr="0033055A" w:rsidRDefault="00D864D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244FEDB" w14:textId="1D8413E1" w:rsidR="002F0630" w:rsidRPr="00DE0BE2" w:rsidRDefault="005367AA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</w:t>
      </w:r>
      <w:r w:rsidR="002F0630" w:rsidRPr="00DE0BE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 linked data</w:t>
      </w:r>
    </w:p>
    <w:p w14:paraId="2B3F8DCE" w14:textId="4EDB6DB5" w:rsidR="00CE13B1" w:rsidRPr="0033055A" w:rsidRDefault="005367A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linked data </w:t>
      </w:r>
      <w:r w:rsidR="005A2BEB" w:rsidRPr="0033055A">
        <w:rPr>
          <w:rFonts w:ascii="Times New Roman" w:hAnsi="Times New Roman" w:cs="Times New Roman"/>
          <w:sz w:val="24"/>
          <w:szCs w:val="24"/>
          <w:lang w:val="en-GB"/>
        </w:rPr>
        <w:t>files were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stored securely, either within the local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or within the </w:t>
      </w:r>
      <w:r w:rsidR="00557D9B" w:rsidRPr="0033055A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doing the linkage.</w:t>
      </w:r>
      <w:r w:rsidR="00ED30C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ED30C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received </w:t>
      </w:r>
      <w:r w:rsidR="001B6E9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centrally written </w:t>
      </w:r>
      <w:r w:rsidR="00ED30C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STATA syntax scripts to standardise the data </w:t>
      </w:r>
      <w:r w:rsidR="00911D2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to a common data model (CDM) </w:t>
      </w:r>
      <w:r w:rsidR="00ED30CE" w:rsidRPr="0033055A">
        <w:rPr>
          <w:rFonts w:ascii="Times New Roman" w:hAnsi="Times New Roman" w:cs="Times New Roman"/>
          <w:sz w:val="24"/>
          <w:szCs w:val="24"/>
          <w:lang w:val="en-GB"/>
        </w:rPr>
        <w:t>and to create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>pre-specified tables and analys</w:t>
      </w:r>
      <w:r w:rsidR="00820C2B" w:rsidRPr="003305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B18D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>the data</w:t>
      </w:r>
      <w:r w:rsidR="001108ED">
        <w:rPr>
          <w:rFonts w:ascii="Times New Roman" w:hAnsi="Times New Roman" w:cs="Times New Roman"/>
          <w:sz w:val="24"/>
          <w:szCs w:val="24"/>
          <w:lang w:val="en-GB"/>
        </w:rPr>
        <w:t xml:space="preserve"> (Appendix 1)</w:t>
      </w:r>
      <w:r w:rsidR="00911D2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E6A8B" w:rsidRPr="0033055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nalytic results </w:t>
      </w:r>
      <w:r w:rsidR="00530B0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5245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aggregate tables </w:t>
      </w:r>
      <w:r w:rsidR="002F5E82" w:rsidRPr="0033055A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D2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uploaded to a secure web portal for </w:t>
      </w:r>
      <w:r w:rsidR="00911D29"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download 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>to the Central Results Repos</w:t>
      </w:r>
      <w:r w:rsidR="00E933A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itory (CRR) at </w:t>
      </w:r>
      <w:r w:rsidR="002472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933A7" w:rsidRPr="0033055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A2BEB" w:rsidRPr="0033055A">
        <w:rPr>
          <w:rFonts w:ascii="Times New Roman" w:hAnsi="Times New Roman" w:cs="Times New Roman"/>
          <w:sz w:val="24"/>
          <w:szCs w:val="24"/>
          <w:lang w:val="en-GB"/>
        </w:rPr>
        <w:t>niversity of Ulster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No individual case data </w:t>
      </w:r>
      <w:r w:rsidR="005A2BE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656EEC" w:rsidRPr="0033055A">
        <w:rPr>
          <w:rFonts w:ascii="Times New Roman" w:hAnsi="Times New Roman" w:cs="Times New Roman"/>
          <w:sz w:val="24"/>
          <w:szCs w:val="24"/>
          <w:lang w:val="en-GB"/>
        </w:rPr>
        <w:t>transmitted to the CRR.</w:t>
      </w:r>
    </w:p>
    <w:p w14:paraId="402FF319" w14:textId="0896F1C7" w:rsidR="00173AC7" w:rsidRPr="001904AD" w:rsidRDefault="0029492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and databases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>Northern Netherlands</w:t>
      </w:r>
      <w:r w:rsidR="00F826A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Wales have 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governance 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41C94">
        <w:rPr>
          <w:rFonts w:ascii="Times New Roman" w:hAnsi="Times New Roman" w:cs="Times New Roman"/>
          <w:sz w:val="24"/>
          <w:szCs w:val="24"/>
          <w:lang w:val="en-GB"/>
        </w:rPr>
        <w:t>estrictions regarding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extracting 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>and reporting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>involving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small numbers</w:t>
      </w:r>
      <w:r w:rsidR="000948B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cases</w:t>
      </w:r>
      <w:r w:rsidR="00E2394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In the Northern Netherlands, </w:t>
      </w:r>
      <w:r w:rsidR="00F831D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all exported results must be rounded to the nearest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five</w:t>
      </w:r>
      <w:r w:rsidR="00A82E0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30B0F" w:rsidRPr="0033055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73AC7" w:rsidRPr="0033055A">
        <w:rPr>
          <w:rFonts w:ascii="Times New Roman" w:hAnsi="Times New Roman" w:cs="Times New Roman"/>
          <w:sz w:val="24"/>
          <w:szCs w:val="24"/>
          <w:lang w:val="en-GB"/>
        </w:rPr>
        <w:t>n some tables</w:t>
      </w:r>
      <w:r w:rsidR="008C2B76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73AC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1DD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concerning small numbers of cases, the rounding of the </w:t>
      </w:r>
      <w:r w:rsidR="00173AC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data from the Northern Netherlands </w:t>
      </w:r>
      <w:r w:rsidR="00831DD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greatly influenced the overall estimates. </w:t>
      </w:r>
      <w:r w:rsidR="00831DDD" w:rsidRPr="002B01E9">
        <w:rPr>
          <w:rFonts w:ascii="Times New Roman" w:hAnsi="Times New Roman" w:cs="Times New Roman"/>
          <w:sz w:val="24"/>
          <w:szCs w:val="24"/>
          <w:lang w:val="en-GB"/>
        </w:rPr>
        <w:t>In tables</w:t>
      </w:r>
      <w:r w:rsidR="00AD3F22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2 and 6</w:t>
      </w:r>
      <w:r w:rsidR="00831DDD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, the cases from the Northern Netherlands were </w:t>
      </w:r>
      <w:r w:rsidR="00FF7938" w:rsidRPr="002B01E9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="00831DDD" w:rsidRPr="002B01E9">
        <w:rPr>
          <w:rFonts w:ascii="Times New Roman" w:hAnsi="Times New Roman" w:cs="Times New Roman"/>
          <w:sz w:val="24"/>
          <w:szCs w:val="24"/>
          <w:lang w:val="en-GB"/>
        </w:rPr>
        <w:t>cluded.</w:t>
      </w:r>
      <w:r w:rsidR="00151715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8DE911" w14:textId="77777777" w:rsidR="00494802" w:rsidRPr="0033055A" w:rsidRDefault="00494802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132E2A2" w14:textId="3FA286F6" w:rsidR="004C43C3" w:rsidRPr="00DE0BE2" w:rsidRDefault="00FF7E30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AD3F2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Core </w:t>
      </w:r>
      <w:r w:rsidR="004C43C3" w:rsidRPr="00AD3F2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outcome</w:t>
      </w:r>
      <w:r w:rsidRPr="00AD3F2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</w:t>
      </w:r>
      <w:r w:rsidR="004C43C3" w:rsidRPr="00AD3F2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B05F0F" w:rsidRPr="00AD3F2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from the health care databases</w:t>
      </w:r>
    </w:p>
    <w:p w14:paraId="13C533F4" w14:textId="2AA87063" w:rsidR="00CE13B1" w:rsidRPr="0033055A" w:rsidRDefault="004C43C3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33055A">
        <w:rPr>
          <w:rFonts w:ascii="Times New Roman" w:hAnsi="Times New Roman" w:cs="Times New Roman"/>
          <w:lang w:val="en-GB"/>
        </w:rPr>
        <w:t xml:space="preserve">The main outcomes for this study </w:t>
      </w:r>
      <w:r w:rsidR="002F5E82" w:rsidRPr="0033055A">
        <w:rPr>
          <w:rFonts w:ascii="Times New Roman" w:hAnsi="Times New Roman" w:cs="Times New Roman"/>
          <w:lang w:val="en-GB"/>
        </w:rPr>
        <w:t>were</w:t>
      </w:r>
      <w:r w:rsidR="00342C7E" w:rsidRPr="0033055A">
        <w:rPr>
          <w:rFonts w:ascii="Times New Roman" w:hAnsi="Times New Roman" w:cs="Times New Roman"/>
          <w:lang w:val="en-GB"/>
        </w:rPr>
        <w:t>:</w:t>
      </w:r>
      <w:r w:rsidR="004F33E0" w:rsidRPr="0033055A">
        <w:rPr>
          <w:rFonts w:ascii="Times New Roman" w:hAnsi="Times New Roman" w:cs="Times New Roman"/>
          <w:lang w:val="en-GB"/>
        </w:rPr>
        <w:t xml:space="preserve"> </w:t>
      </w:r>
      <w:r w:rsidR="00A04B2D" w:rsidRPr="0033055A">
        <w:rPr>
          <w:rFonts w:ascii="Times New Roman" w:hAnsi="Times New Roman" w:cs="Times New Roman"/>
          <w:lang w:val="en-GB"/>
        </w:rPr>
        <w:t xml:space="preserve">(1) </w:t>
      </w:r>
      <w:r w:rsidR="00806D11" w:rsidRPr="0033055A">
        <w:rPr>
          <w:rFonts w:ascii="Times New Roman" w:hAnsi="Times New Roman" w:cs="Times New Roman"/>
          <w:lang w:val="en-GB"/>
        </w:rPr>
        <w:t xml:space="preserve">survival to one </w:t>
      </w:r>
      <w:r w:rsidR="004F33E0" w:rsidRPr="0033055A">
        <w:rPr>
          <w:rFonts w:ascii="Times New Roman" w:hAnsi="Times New Roman" w:cs="Times New Roman"/>
          <w:lang w:val="en-GB"/>
        </w:rPr>
        <w:t xml:space="preserve">year of </w:t>
      </w:r>
      <w:r w:rsidR="008E745A" w:rsidRPr="0033055A">
        <w:rPr>
          <w:rFonts w:ascii="Times New Roman" w:hAnsi="Times New Roman" w:cs="Times New Roman"/>
          <w:lang w:val="en-GB"/>
        </w:rPr>
        <w:t>age</w:t>
      </w:r>
      <w:r w:rsidR="00A40532" w:rsidRPr="0033055A">
        <w:rPr>
          <w:rFonts w:ascii="Times New Roman" w:hAnsi="Times New Roman" w:cs="Times New Roman"/>
          <w:lang w:val="en-GB"/>
        </w:rPr>
        <w:t xml:space="preserve"> </w:t>
      </w:r>
      <w:r w:rsidR="00F831DC" w:rsidRPr="0033055A">
        <w:rPr>
          <w:rFonts w:ascii="Times New Roman" w:hAnsi="Times New Roman" w:cs="Times New Roman"/>
          <w:lang w:val="en-GB"/>
        </w:rPr>
        <w:t>(</w:t>
      </w:r>
      <w:r w:rsidR="00A04B2D" w:rsidRPr="0033055A">
        <w:rPr>
          <w:rFonts w:ascii="Times New Roman" w:hAnsi="Times New Roman" w:cs="Times New Roman"/>
          <w:lang w:val="en-GB"/>
        </w:rPr>
        <w:t>divided into</w:t>
      </w:r>
      <w:r w:rsidR="00F831DC" w:rsidRPr="0033055A">
        <w:rPr>
          <w:rFonts w:ascii="Times New Roman" w:hAnsi="Times New Roman" w:cs="Times New Roman"/>
          <w:lang w:val="en-GB"/>
        </w:rPr>
        <w:t xml:space="preserve"> early neonatal mortality </w:t>
      </w:r>
      <w:r w:rsidR="001C2778" w:rsidRPr="0033055A">
        <w:rPr>
          <w:rFonts w:ascii="Times New Roman" w:hAnsi="Times New Roman" w:cs="Times New Roman"/>
          <w:lang w:val="en-GB"/>
        </w:rPr>
        <w:t>[</w:t>
      </w:r>
      <w:r w:rsidR="00F831DC" w:rsidRPr="0033055A">
        <w:rPr>
          <w:rFonts w:ascii="Times New Roman" w:hAnsi="Times New Roman" w:cs="Times New Roman"/>
          <w:lang w:val="en-GB"/>
        </w:rPr>
        <w:t xml:space="preserve">deaths within the first </w:t>
      </w:r>
      <w:r w:rsidR="00082BEA" w:rsidRPr="0033055A">
        <w:rPr>
          <w:rFonts w:ascii="Times New Roman" w:hAnsi="Times New Roman" w:cs="Times New Roman"/>
          <w:lang w:val="en-GB"/>
        </w:rPr>
        <w:t xml:space="preserve">6 </w:t>
      </w:r>
      <w:r w:rsidR="00F831DC" w:rsidRPr="0033055A">
        <w:rPr>
          <w:rFonts w:ascii="Times New Roman" w:hAnsi="Times New Roman" w:cs="Times New Roman"/>
          <w:lang w:val="en-GB"/>
        </w:rPr>
        <w:t>days of life</w:t>
      </w:r>
      <w:r w:rsidR="001C2778" w:rsidRPr="0033055A">
        <w:rPr>
          <w:rFonts w:ascii="Times New Roman" w:hAnsi="Times New Roman" w:cs="Times New Roman"/>
          <w:lang w:val="en-GB"/>
        </w:rPr>
        <w:t>]</w:t>
      </w:r>
      <w:r w:rsidR="00F831DC" w:rsidRPr="0033055A">
        <w:rPr>
          <w:rFonts w:ascii="Times New Roman" w:hAnsi="Times New Roman" w:cs="Times New Roman"/>
          <w:lang w:val="en-GB"/>
        </w:rPr>
        <w:t xml:space="preserve"> and infant mortality </w:t>
      </w:r>
      <w:r w:rsidR="001C2778" w:rsidRPr="0033055A">
        <w:rPr>
          <w:rFonts w:ascii="Times New Roman" w:hAnsi="Times New Roman" w:cs="Times New Roman"/>
          <w:lang w:val="en-GB"/>
        </w:rPr>
        <w:t>[</w:t>
      </w:r>
      <w:r w:rsidR="00F831DC" w:rsidRPr="0033055A">
        <w:rPr>
          <w:rFonts w:ascii="Times New Roman" w:hAnsi="Times New Roman" w:cs="Times New Roman"/>
          <w:lang w:val="en-GB"/>
        </w:rPr>
        <w:t>deaths within the first year of life</w:t>
      </w:r>
      <w:r w:rsidR="001C2778" w:rsidRPr="0033055A">
        <w:rPr>
          <w:rFonts w:ascii="Times New Roman" w:hAnsi="Times New Roman" w:cs="Times New Roman"/>
          <w:lang w:val="en-GB"/>
        </w:rPr>
        <w:t>]</w:t>
      </w:r>
      <w:r w:rsidR="00F831DC" w:rsidRPr="0033055A">
        <w:rPr>
          <w:rFonts w:ascii="Times New Roman" w:hAnsi="Times New Roman" w:cs="Times New Roman"/>
          <w:lang w:val="en-GB"/>
        </w:rPr>
        <w:t>)</w:t>
      </w:r>
      <w:r w:rsidR="007024D3" w:rsidRPr="0033055A">
        <w:rPr>
          <w:rFonts w:ascii="Times New Roman" w:hAnsi="Times New Roman" w:cs="Times New Roman"/>
          <w:lang w:val="en-GB"/>
        </w:rPr>
        <w:t>;</w:t>
      </w:r>
      <w:r w:rsidR="00151715" w:rsidRPr="0033055A">
        <w:rPr>
          <w:rFonts w:ascii="Times New Roman" w:hAnsi="Times New Roman" w:cs="Times New Roman"/>
          <w:lang w:val="en-GB"/>
        </w:rPr>
        <w:t xml:space="preserve"> </w:t>
      </w:r>
      <w:r w:rsidR="00A04B2D" w:rsidRPr="0033055A">
        <w:rPr>
          <w:rFonts w:ascii="Times New Roman" w:hAnsi="Times New Roman" w:cs="Times New Roman"/>
          <w:lang w:val="en-GB"/>
        </w:rPr>
        <w:t xml:space="preserve">(2) </w:t>
      </w:r>
      <w:r w:rsidR="00AB5046" w:rsidRPr="0033055A">
        <w:rPr>
          <w:rFonts w:ascii="Times New Roman" w:hAnsi="Times New Roman" w:cs="Times New Roman"/>
          <w:lang w:val="en-GB"/>
        </w:rPr>
        <w:t xml:space="preserve">reported </w:t>
      </w:r>
      <w:r w:rsidR="00B05F0F" w:rsidRPr="0033055A">
        <w:rPr>
          <w:rFonts w:ascii="Times New Roman" w:hAnsi="Times New Roman" w:cs="Times New Roman"/>
          <w:lang w:val="en-GB"/>
        </w:rPr>
        <w:t>surg</w:t>
      </w:r>
      <w:r w:rsidR="00AB5046" w:rsidRPr="0033055A">
        <w:rPr>
          <w:rFonts w:ascii="Times New Roman" w:hAnsi="Times New Roman" w:cs="Times New Roman"/>
          <w:lang w:val="en-GB"/>
        </w:rPr>
        <w:t>ical procedures</w:t>
      </w:r>
      <w:r w:rsidR="00616530" w:rsidRPr="0033055A">
        <w:rPr>
          <w:rFonts w:ascii="Times New Roman" w:hAnsi="Times New Roman" w:cs="Times New Roman"/>
          <w:lang w:val="en-GB"/>
        </w:rPr>
        <w:t xml:space="preserve"> within </w:t>
      </w:r>
      <w:r w:rsidR="007C6369" w:rsidRPr="0033055A">
        <w:rPr>
          <w:rFonts w:ascii="Times New Roman" w:hAnsi="Times New Roman" w:cs="Times New Roman"/>
          <w:lang w:val="en-GB"/>
        </w:rPr>
        <w:t xml:space="preserve">the </w:t>
      </w:r>
      <w:r w:rsidR="00616530" w:rsidRPr="0033055A">
        <w:rPr>
          <w:rFonts w:ascii="Times New Roman" w:hAnsi="Times New Roman" w:cs="Times New Roman"/>
          <w:lang w:val="en-GB"/>
        </w:rPr>
        <w:t>first year</w:t>
      </w:r>
      <w:r w:rsidR="00252457" w:rsidRPr="0033055A">
        <w:rPr>
          <w:rFonts w:ascii="Times New Roman" w:hAnsi="Times New Roman" w:cs="Times New Roman"/>
          <w:lang w:val="en-GB"/>
        </w:rPr>
        <w:t xml:space="preserve"> of life</w:t>
      </w:r>
      <w:r w:rsidR="008C2B76" w:rsidRPr="0033055A">
        <w:rPr>
          <w:rFonts w:ascii="Times New Roman" w:hAnsi="Times New Roman" w:cs="Times New Roman"/>
          <w:lang w:val="en-GB"/>
        </w:rPr>
        <w:t xml:space="preserve">; </w:t>
      </w:r>
      <w:r w:rsidR="00A04B2D" w:rsidRPr="0033055A">
        <w:rPr>
          <w:rFonts w:ascii="Times New Roman" w:hAnsi="Times New Roman" w:cs="Times New Roman"/>
          <w:lang w:val="en-GB"/>
        </w:rPr>
        <w:t xml:space="preserve">(3) </w:t>
      </w:r>
      <w:r w:rsidR="00FB18D5" w:rsidRPr="0033055A">
        <w:rPr>
          <w:rFonts w:ascii="Times New Roman" w:hAnsi="Times New Roman" w:cs="Times New Roman"/>
          <w:lang w:val="en-GB"/>
        </w:rPr>
        <w:t>the number of days spent in hospital under the age of five years</w:t>
      </w:r>
      <w:r w:rsidR="00616530" w:rsidRPr="0033055A">
        <w:rPr>
          <w:rFonts w:ascii="Times New Roman" w:hAnsi="Times New Roman" w:cs="Times New Roman"/>
          <w:lang w:val="en-GB"/>
        </w:rPr>
        <w:t>.</w:t>
      </w:r>
      <w:r w:rsidR="0030064A" w:rsidRPr="0033055A">
        <w:rPr>
          <w:rFonts w:ascii="Times New Roman" w:hAnsi="Times New Roman" w:cs="Times New Roman"/>
          <w:lang w:val="en-GB"/>
        </w:rPr>
        <w:t xml:space="preserve"> </w:t>
      </w:r>
      <w:r w:rsidR="00FB18D5" w:rsidRPr="0033055A">
        <w:rPr>
          <w:rFonts w:ascii="Times New Roman" w:hAnsi="Times New Roman" w:cs="Times New Roman"/>
          <w:lang w:val="en-GB"/>
        </w:rPr>
        <w:t>Both mortality and surg</w:t>
      </w:r>
      <w:r w:rsidR="000948B4" w:rsidRPr="0033055A">
        <w:rPr>
          <w:rFonts w:ascii="Times New Roman" w:hAnsi="Times New Roman" w:cs="Times New Roman"/>
          <w:lang w:val="en-GB"/>
        </w:rPr>
        <w:t>ical procedures</w:t>
      </w:r>
      <w:r w:rsidR="00FB18D5" w:rsidRPr="0033055A">
        <w:rPr>
          <w:rFonts w:ascii="Times New Roman" w:hAnsi="Times New Roman" w:cs="Times New Roman"/>
          <w:lang w:val="en-GB"/>
        </w:rPr>
        <w:t xml:space="preserve"> were </w:t>
      </w:r>
      <w:r w:rsidR="0030064A" w:rsidRPr="0033055A">
        <w:rPr>
          <w:rFonts w:ascii="Times New Roman" w:hAnsi="Times New Roman" w:cs="Times New Roman"/>
          <w:lang w:val="en-GB"/>
        </w:rPr>
        <w:t>analysed</w:t>
      </w:r>
      <w:r w:rsidR="00FB18D5" w:rsidRPr="0033055A">
        <w:rPr>
          <w:rFonts w:ascii="Times New Roman" w:hAnsi="Times New Roman" w:cs="Times New Roman"/>
          <w:lang w:val="en-GB"/>
        </w:rPr>
        <w:t xml:space="preserve"> during the first year of life</w:t>
      </w:r>
      <w:r w:rsidR="0030064A" w:rsidRPr="0033055A">
        <w:rPr>
          <w:rFonts w:ascii="Times New Roman" w:hAnsi="Times New Roman" w:cs="Times New Roman"/>
          <w:lang w:val="en-GB"/>
        </w:rPr>
        <w:t xml:space="preserve"> rather than up until age 5, as relatively few deaths </w:t>
      </w:r>
      <w:r w:rsidR="00FB18D5" w:rsidRPr="0033055A">
        <w:rPr>
          <w:rFonts w:ascii="Times New Roman" w:hAnsi="Times New Roman" w:cs="Times New Roman"/>
          <w:lang w:val="en-GB"/>
        </w:rPr>
        <w:t xml:space="preserve">and </w:t>
      </w:r>
      <w:r w:rsidR="00CF039D" w:rsidRPr="0033055A">
        <w:rPr>
          <w:rFonts w:ascii="Times New Roman" w:hAnsi="Times New Roman" w:cs="Times New Roman"/>
          <w:lang w:val="en-GB"/>
        </w:rPr>
        <w:t xml:space="preserve">surgical </w:t>
      </w:r>
      <w:r w:rsidR="000948B4" w:rsidRPr="0033055A">
        <w:rPr>
          <w:rFonts w:ascii="Times New Roman" w:hAnsi="Times New Roman" w:cs="Times New Roman"/>
          <w:lang w:val="en-GB"/>
        </w:rPr>
        <w:t>procedures</w:t>
      </w:r>
      <w:r w:rsidR="00FB18D5" w:rsidRPr="0033055A">
        <w:rPr>
          <w:rFonts w:ascii="Times New Roman" w:hAnsi="Times New Roman" w:cs="Times New Roman"/>
          <w:lang w:val="en-GB"/>
        </w:rPr>
        <w:t xml:space="preserve"> </w:t>
      </w:r>
      <w:r w:rsidR="0030064A" w:rsidRPr="0033055A">
        <w:rPr>
          <w:rFonts w:ascii="Times New Roman" w:hAnsi="Times New Roman" w:cs="Times New Roman"/>
          <w:lang w:val="en-GB"/>
        </w:rPr>
        <w:t xml:space="preserve">occur in children with these isolated anomalies after </w:t>
      </w:r>
      <w:r w:rsidR="00C6315B" w:rsidRPr="0033055A">
        <w:rPr>
          <w:rFonts w:ascii="Times New Roman" w:hAnsi="Times New Roman" w:cs="Times New Roman"/>
          <w:lang w:val="en-GB"/>
        </w:rPr>
        <w:t>the</w:t>
      </w:r>
      <w:r w:rsidR="00CF039D" w:rsidRPr="0033055A">
        <w:rPr>
          <w:rFonts w:ascii="Times New Roman" w:hAnsi="Times New Roman" w:cs="Times New Roman"/>
          <w:lang w:val="en-GB"/>
        </w:rPr>
        <w:t>ir</w:t>
      </w:r>
      <w:r w:rsidR="00C6315B" w:rsidRPr="0033055A">
        <w:rPr>
          <w:rFonts w:ascii="Times New Roman" w:hAnsi="Times New Roman" w:cs="Times New Roman"/>
          <w:lang w:val="en-GB"/>
        </w:rPr>
        <w:t xml:space="preserve"> first year of life </w:t>
      </w:r>
      <w:r w:rsidR="0030064A" w:rsidRPr="0033055A">
        <w:rPr>
          <w:rFonts w:ascii="Times New Roman" w:hAnsi="Times New Roman" w:cs="Times New Roman"/>
          <w:lang w:val="en-GB"/>
        </w:rPr>
        <w:t xml:space="preserve">compared </w:t>
      </w:r>
      <w:r w:rsidR="000948B4" w:rsidRPr="0033055A">
        <w:rPr>
          <w:rFonts w:ascii="Times New Roman" w:hAnsi="Times New Roman" w:cs="Times New Roman"/>
          <w:lang w:val="en-GB"/>
        </w:rPr>
        <w:t>with</w:t>
      </w:r>
      <w:r w:rsidR="0030064A" w:rsidRPr="0033055A">
        <w:rPr>
          <w:rFonts w:ascii="Times New Roman" w:hAnsi="Times New Roman" w:cs="Times New Roman"/>
          <w:lang w:val="en-GB"/>
        </w:rPr>
        <w:t xml:space="preserve"> the </w:t>
      </w:r>
      <w:r w:rsidR="00CF039D" w:rsidRPr="0033055A">
        <w:rPr>
          <w:rFonts w:ascii="Times New Roman" w:hAnsi="Times New Roman" w:cs="Times New Roman"/>
          <w:lang w:val="en-GB"/>
        </w:rPr>
        <w:t>great</w:t>
      </w:r>
      <w:r w:rsidR="00750A05" w:rsidRPr="0033055A">
        <w:rPr>
          <w:rFonts w:ascii="Times New Roman" w:hAnsi="Times New Roman" w:cs="Times New Roman"/>
          <w:lang w:val="en-GB"/>
        </w:rPr>
        <w:t xml:space="preserve"> </w:t>
      </w:r>
      <w:r w:rsidR="0030064A" w:rsidRPr="0033055A">
        <w:rPr>
          <w:rFonts w:ascii="Times New Roman" w:hAnsi="Times New Roman" w:cs="Times New Roman"/>
          <w:lang w:val="en-GB"/>
        </w:rPr>
        <w:t>number</w:t>
      </w:r>
      <w:r w:rsidR="00FB18D5" w:rsidRPr="0033055A">
        <w:rPr>
          <w:rFonts w:ascii="Times New Roman" w:hAnsi="Times New Roman" w:cs="Times New Roman"/>
          <w:lang w:val="en-GB"/>
        </w:rPr>
        <w:t xml:space="preserve">s occurring </w:t>
      </w:r>
      <w:r w:rsidR="008B1CBA" w:rsidRPr="0033055A">
        <w:rPr>
          <w:rFonts w:ascii="Times New Roman" w:hAnsi="Times New Roman" w:cs="Times New Roman"/>
          <w:lang w:val="en-GB"/>
        </w:rPr>
        <w:t>during</w:t>
      </w:r>
      <w:r w:rsidR="00FB18D5" w:rsidRPr="0033055A">
        <w:rPr>
          <w:rFonts w:ascii="Times New Roman" w:hAnsi="Times New Roman" w:cs="Times New Roman"/>
          <w:lang w:val="en-GB"/>
        </w:rPr>
        <w:t xml:space="preserve"> the first year of life</w:t>
      </w:r>
      <w:r w:rsidR="000948B4" w:rsidRPr="0033055A">
        <w:rPr>
          <w:rFonts w:ascii="Times New Roman" w:hAnsi="Times New Roman" w:cs="Times New Roman"/>
          <w:lang w:val="en-GB"/>
        </w:rPr>
        <w:t>. Therefore</w:t>
      </w:r>
      <w:r w:rsidR="002B5D3C" w:rsidRPr="0033055A">
        <w:rPr>
          <w:rFonts w:ascii="Times New Roman" w:hAnsi="Times New Roman" w:cs="Times New Roman"/>
          <w:lang w:val="en-GB"/>
        </w:rPr>
        <w:t>,</w:t>
      </w:r>
      <w:r w:rsidR="00FB18D5" w:rsidRPr="0033055A">
        <w:rPr>
          <w:rFonts w:ascii="Times New Roman" w:hAnsi="Times New Roman" w:cs="Times New Roman"/>
          <w:lang w:val="en-GB"/>
        </w:rPr>
        <w:t xml:space="preserve"> </w:t>
      </w:r>
      <w:r w:rsidR="0030064A" w:rsidRPr="0033055A">
        <w:rPr>
          <w:rFonts w:ascii="Times New Roman" w:hAnsi="Times New Roman" w:cs="Times New Roman"/>
          <w:lang w:val="en-GB"/>
        </w:rPr>
        <w:t xml:space="preserve">the power to detect any significant differences in </w:t>
      </w:r>
      <w:r w:rsidR="00FB18D5" w:rsidRPr="0033055A">
        <w:rPr>
          <w:rFonts w:ascii="Times New Roman" w:hAnsi="Times New Roman" w:cs="Times New Roman"/>
          <w:lang w:val="en-GB"/>
        </w:rPr>
        <w:t xml:space="preserve">later years </w:t>
      </w:r>
      <w:r w:rsidR="0030064A" w:rsidRPr="0033055A">
        <w:rPr>
          <w:rFonts w:ascii="Times New Roman" w:hAnsi="Times New Roman" w:cs="Times New Roman"/>
          <w:lang w:val="en-GB"/>
        </w:rPr>
        <w:t xml:space="preserve">would be </w:t>
      </w:r>
      <w:r w:rsidR="00FB18D5" w:rsidRPr="0033055A">
        <w:rPr>
          <w:rFonts w:ascii="Times New Roman" w:hAnsi="Times New Roman" w:cs="Times New Roman"/>
          <w:lang w:val="en-GB"/>
        </w:rPr>
        <w:t>very low</w:t>
      </w:r>
      <w:r w:rsidR="00C62C08">
        <w:rPr>
          <w:rFonts w:ascii="Times New Roman" w:hAnsi="Times New Roman" w:cs="Times New Roman"/>
          <w:lang w:val="en-GB"/>
        </w:rPr>
        <w:t xml:space="preserve"> (</w:t>
      </w:r>
      <w:r w:rsidR="00C62C08" w:rsidRPr="00C62C08">
        <w:rPr>
          <w:rFonts w:ascii="Times New Roman" w:hAnsi="Times New Roman" w:cs="Times New Roman"/>
          <w:lang w:val="en-US"/>
        </w:rPr>
        <w:t>Glinianaia</w:t>
      </w:r>
      <w:r w:rsidR="00C62C08">
        <w:rPr>
          <w:rFonts w:ascii="Times New Roman" w:hAnsi="Times New Roman" w:cs="Times New Roman"/>
          <w:lang w:val="en-US"/>
        </w:rPr>
        <w:t xml:space="preserve"> et al. 2022)</w:t>
      </w:r>
      <w:r w:rsidR="00197BE8" w:rsidRPr="0033055A">
        <w:rPr>
          <w:rFonts w:ascii="Times New Roman" w:hAnsi="Times New Roman" w:cs="Times New Roman"/>
          <w:lang w:val="en-GB"/>
        </w:rPr>
        <w:t>.</w:t>
      </w:r>
      <w:r w:rsidR="00197BE8" w:rsidRPr="0033055A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D41C94">
        <w:rPr>
          <w:rFonts w:ascii="Times New Roman" w:hAnsi="Times New Roman" w:cs="Times New Roman"/>
          <w:lang w:val="en-GB"/>
        </w:rPr>
        <w:t>Similarly</w:t>
      </w:r>
      <w:r w:rsidR="00197BE8" w:rsidRPr="0033055A">
        <w:rPr>
          <w:rFonts w:ascii="Times New Roman" w:hAnsi="Times New Roman" w:cs="Times New Roman"/>
          <w:lang w:val="en-GB"/>
        </w:rPr>
        <w:t>, hospitalisations between the age 5 and 10 were not used in our study</w:t>
      </w:r>
      <w:r w:rsidR="0030064A" w:rsidRPr="0033055A">
        <w:rPr>
          <w:rFonts w:ascii="Times New Roman" w:hAnsi="Times New Roman" w:cs="Times New Roman"/>
          <w:lang w:val="en-GB"/>
        </w:rPr>
        <w:t xml:space="preserve">. </w:t>
      </w:r>
    </w:p>
    <w:p w14:paraId="7402B138" w14:textId="0B81CB40" w:rsidR="00CE13B1" w:rsidRPr="0033055A" w:rsidRDefault="00F831DC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33055A">
        <w:rPr>
          <w:rFonts w:ascii="Times New Roman" w:hAnsi="Times New Roman" w:cs="Times New Roman"/>
          <w:lang w:val="en-GB"/>
        </w:rPr>
        <w:t xml:space="preserve">The </w:t>
      </w:r>
      <w:r w:rsidR="009929C5" w:rsidRPr="0033055A">
        <w:rPr>
          <w:rFonts w:ascii="Times New Roman" w:hAnsi="Times New Roman" w:cs="Times New Roman"/>
          <w:lang w:val="en-GB"/>
        </w:rPr>
        <w:t>number</w:t>
      </w:r>
      <w:r w:rsidR="009B1C7B" w:rsidRPr="0033055A">
        <w:rPr>
          <w:rFonts w:ascii="Times New Roman" w:hAnsi="Times New Roman" w:cs="Times New Roman"/>
          <w:lang w:val="en-GB"/>
        </w:rPr>
        <w:t>s</w:t>
      </w:r>
      <w:r w:rsidR="00B05F0F" w:rsidRPr="0033055A">
        <w:rPr>
          <w:rFonts w:ascii="Times New Roman" w:hAnsi="Times New Roman" w:cs="Times New Roman"/>
          <w:lang w:val="en-GB"/>
        </w:rPr>
        <w:t xml:space="preserve"> of days in hospital </w:t>
      </w:r>
      <w:r w:rsidR="00D762CF" w:rsidRPr="0033055A">
        <w:rPr>
          <w:rFonts w:ascii="Times New Roman" w:hAnsi="Times New Roman" w:cs="Times New Roman"/>
          <w:lang w:val="en-GB"/>
        </w:rPr>
        <w:t xml:space="preserve">for each admission was </w:t>
      </w:r>
      <w:r w:rsidR="00B05F0F" w:rsidRPr="0033055A">
        <w:rPr>
          <w:rFonts w:ascii="Times New Roman" w:hAnsi="Times New Roman" w:cs="Times New Roman"/>
          <w:lang w:val="en-GB"/>
        </w:rPr>
        <w:t xml:space="preserve">calculated </w:t>
      </w:r>
      <w:r w:rsidR="00252457" w:rsidRPr="0033055A">
        <w:rPr>
          <w:rFonts w:ascii="Times New Roman" w:hAnsi="Times New Roman" w:cs="Times New Roman"/>
          <w:lang w:val="en-GB"/>
        </w:rPr>
        <w:t xml:space="preserve">as the difference </w:t>
      </w:r>
      <w:r w:rsidR="009929C5" w:rsidRPr="0033055A">
        <w:rPr>
          <w:rFonts w:ascii="Times New Roman" w:hAnsi="Times New Roman" w:cs="Times New Roman"/>
          <w:lang w:val="en-GB"/>
        </w:rPr>
        <w:t>between the</w:t>
      </w:r>
      <w:r w:rsidR="00252457" w:rsidRPr="0033055A">
        <w:rPr>
          <w:rFonts w:ascii="Times New Roman" w:hAnsi="Times New Roman" w:cs="Times New Roman"/>
          <w:lang w:val="en-GB"/>
        </w:rPr>
        <w:t xml:space="preserve"> </w:t>
      </w:r>
      <w:r w:rsidR="00B05F0F" w:rsidRPr="0033055A">
        <w:rPr>
          <w:rFonts w:ascii="Times New Roman" w:hAnsi="Times New Roman" w:cs="Times New Roman"/>
          <w:lang w:val="en-GB"/>
        </w:rPr>
        <w:t>date of admission and date of discharge</w:t>
      </w:r>
      <w:r w:rsidR="00252457" w:rsidRPr="0033055A">
        <w:rPr>
          <w:rFonts w:ascii="Times New Roman" w:hAnsi="Times New Roman" w:cs="Times New Roman"/>
          <w:lang w:val="en-GB"/>
        </w:rPr>
        <w:t xml:space="preserve"> and </w:t>
      </w:r>
      <w:r w:rsidR="00B13EFB" w:rsidRPr="0033055A">
        <w:rPr>
          <w:rFonts w:ascii="Times New Roman" w:hAnsi="Times New Roman" w:cs="Times New Roman"/>
          <w:lang w:val="en-GB"/>
        </w:rPr>
        <w:t xml:space="preserve">were </w:t>
      </w:r>
      <w:r w:rsidR="00D762CF" w:rsidRPr="0033055A">
        <w:rPr>
          <w:rFonts w:ascii="Times New Roman" w:hAnsi="Times New Roman" w:cs="Times New Roman"/>
          <w:lang w:val="en-GB"/>
        </w:rPr>
        <w:t>summed over</w:t>
      </w:r>
      <w:r w:rsidRPr="0033055A">
        <w:rPr>
          <w:rFonts w:ascii="Times New Roman" w:hAnsi="Times New Roman" w:cs="Times New Roman"/>
          <w:lang w:val="en-GB"/>
        </w:rPr>
        <w:t xml:space="preserve"> all admissions for the child during the specified age ranges of under 1 year</w:t>
      </w:r>
      <w:r w:rsidR="00BD5B07" w:rsidRPr="0033055A">
        <w:rPr>
          <w:rFonts w:ascii="Times New Roman" w:hAnsi="Times New Roman" w:cs="Times New Roman"/>
          <w:lang w:val="en-GB"/>
        </w:rPr>
        <w:t xml:space="preserve"> and</w:t>
      </w:r>
      <w:r w:rsidRPr="0033055A">
        <w:rPr>
          <w:rFonts w:ascii="Times New Roman" w:hAnsi="Times New Roman" w:cs="Times New Roman"/>
          <w:lang w:val="en-GB"/>
        </w:rPr>
        <w:t xml:space="preserve"> 1-4 years</w:t>
      </w:r>
      <w:r w:rsidR="00BC082F" w:rsidRPr="0033055A">
        <w:rPr>
          <w:rFonts w:ascii="Times New Roman" w:hAnsi="Times New Roman" w:cs="Times New Roman"/>
          <w:lang w:val="en-GB"/>
        </w:rPr>
        <w:t>.</w:t>
      </w:r>
      <w:r w:rsidR="00B13EFB" w:rsidRPr="0033055A">
        <w:rPr>
          <w:rFonts w:ascii="Times New Roman" w:hAnsi="Times New Roman" w:cs="Times New Roman"/>
          <w:lang w:val="en-GB"/>
        </w:rPr>
        <w:t xml:space="preserve"> </w:t>
      </w:r>
      <w:r w:rsidRPr="0033055A">
        <w:rPr>
          <w:rFonts w:ascii="Times New Roman" w:hAnsi="Times New Roman" w:cs="Times New Roman"/>
          <w:lang w:val="en-GB"/>
        </w:rPr>
        <w:t>The m</w:t>
      </w:r>
      <w:r w:rsidR="00270C24" w:rsidRPr="0033055A">
        <w:rPr>
          <w:rFonts w:ascii="Times New Roman" w:hAnsi="Times New Roman" w:cs="Times New Roman"/>
          <w:lang w:val="en-GB"/>
        </w:rPr>
        <w:t xml:space="preserve">edian </w:t>
      </w:r>
      <w:r w:rsidRPr="0033055A">
        <w:rPr>
          <w:rFonts w:ascii="Times New Roman" w:hAnsi="Times New Roman" w:cs="Times New Roman"/>
          <w:lang w:val="en-GB"/>
        </w:rPr>
        <w:t xml:space="preserve">lengths of stay </w:t>
      </w:r>
      <w:r w:rsidR="008B1CBA" w:rsidRPr="0033055A">
        <w:rPr>
          <w:rFonts w:ascii="Times New Roman" w:hAnsi="Times New Roman" w:cs="Times New Roman"/>
          <w:lang w:val="en-GB"/>
        </w:rPr>
        <w:t xml:space="preserve">per year </w:t>
      </w:r>
      <w:r w:rsidR="00D762CF" w:rsidRPr="0033055A">
        <w:rPr>
          <w:rFonts w:ascii="Times New Roman" w:hAnsi="Times New Roman" w:cs="Times New Roman"/>
          <w:lang w:val="en-GB"/>
        </w:rPr>
        <w:t>w</w:t>
      </w:r>
      <w:r w:rsidR="008B1CBA" w:rsidRPr="0033055A">
        <w:rPr>
          <w:rFonts w:ascii="Times New Roman" w:hAnsi="Times New Roman" w:cs="Times New Roman"/>
          <w:lang w:val="en-GB"/>
        </w:rPr>
        <w:t>ere</w:t>
      </w:r>
      <w:r w:rsidR="00D762CF" w:rsidRPr="0033055A">
        <w:rPr>
          <w:rFonts w:ascii="Times New Roman" w:hAnsi="Times New Roman" w:cs="Times New Roman"/>
          <w:lang w:val="en-GB"/>
        </w:rPr>
        <w:t xml:space="preserve"> </w:t>
      </w:r>
      <w:r w:rsidR="00270C24" w:rsidRPr="0033055A">
        <w:rPr>
          <w:rFonts w:ascii="Times New Roman" w:hAnsi="Times New Roman" w:cs="Times New Roman"/>
          <w:lang w:val="en-GB"/>
        </w:rPr>
        <w:t>calculated</w:t>
      </w:r>
      <w:r w:rsidR="00D47A85" w:rsidRPr="0033055A">
        <w:rPr>
          <w:rFonts w:ascii="Times New Roman" w:hAnsi="Times New Roman" w:cs="Times New Roman"/>
          <w:lang w:val="en-GB"/>
        </w:rPr>
        <w:t>,</w:t>
      </w:r>
      <w:r w:rsidR="00270C24" w:rsidRPr="0033055A">
        <w:rPr>
          <w:rFonts w:ascii="Times New Roman" w:hAnsi="Times New Roman" w:cs="Times New Roman"/>
          <w:lang w:val="en-GB"/>
        </w:rPr>
        <w:t xml:space="preserve"> </w:t>
      </w:r>
      <w:r w:rsidRPr="0033055A">
        <w:rPr>
          <w:rFonts w:ascii="Times New Roman" w:hAnsi="Times New Roman" w:cs="Times New Roman"/>
          <w:lang w:val="en-GB"/>
        </w:rPr>
        <w:t xml:space="preserve">adjusted for censoring </w:t>
      </w:r>
      <w:r w:rsidR="00EB15A8" w:rsidRPr="0033055A">
        <w:rPr>
          <w:rFonts w:ascii="Times New Roman" w:hAnsi="Times New Roman" w:cs="Times New Roman"/>
          <w:lang w:val="en-GB"/>
        </w:rPr>
        <w:t>on December 31</w:t>
      </w:r>
      <w:r w:rsidR="00EB15A8" w:rsidRPr="0033055A">
        <w:rPr>
          <w:rFonts w:ascii="Times New Roman" w:hAnsi="Times New Roman" w:cs="Times New Roman"/>
          <w:vertAlign w:val="superscript"/>
          <w:lang w:val="en-GB"/>
        </w:rPr>
        <w:t>st</w:t>
      </w:r>
      <w:r w:rsidR="00EB15A8" w:rsidRPr="0033055A">
        <w:rPr>
          <w:rFonts w:ascii="Times New Roman" w:hAnsi="Times New Roman" w:cs="Times New Roman"/>
          <w:lang w:val="en-GB"/>
        </w:rPr>
        <w:t>, 2015</w:t>
      </w:r>
      <w:r w:rsidRPr="0033055A">
        <w:rPr>
          <w:rFonts w:ascii="Times New Roman" w:hAnsi="Times New Roman" w:cs="Times New Roman"/>
          <w:lang w:val="en-GB"/>
        </w:rPr>
        <w:t xml:space="preserve">. </w:t>
      </w:r>
      <w:r w:rsidR="00270C24" w:rsidRPr="0033055A">
        <w:rPr>
          <w:rFonts w:ascii="Times New Roman" w:hAnsi="Times New Roman" w:cs="Times New Roman"/>
          <w:lang w:val="en-GB"/>
        </w:rPr>
        <w:t>In addition, the propo</w:t>
      </w:r>
      <w:r w:rsidR="001E7D5D" w:rsidRPr="0033055A">
        <w:rPr>
          <w:rFonts w:ascii="Times New Roman" w:hAnsi="Times New Roman" w:cs="Times New Roman"/>
          <w:lang w:val="en-GB"/>
        </w:rPr>
        <w:t>r</w:t>
      </w:r>
      <w:r w:rsidR="00270C24" w:rsidRPr="0033055A">
        <w:rPr>
          <w:rFonts w:ascii="Times New Roman" w:hAnsi="Times New Roman" w:cs="Times New Roman"/>
          <w:lang w:val="en-GB"/>
        </w:rPr>
        <w:t xml:space="preserve">tion of children with at least </w:t>
      </w:r>
      <w:r w:rsidR="002472C1" w:rsidRPr="0033055A">
        <w:rPr>
          <w:rFonts w:ascii="Times New Roman" w:hAnsi="Times New Roman" w:cs="Times New Roman"/>
          <w:lang w:val="en-GB"/>
        </w:rPr>
        <w:t xml:space="preserve">one </w:t>
      </w:r>
      <w:r w:rsidRPr="0033055A">
        <w:rPr>
          <w:rFonts w:ascii="Times New Roman" w:hAnsi="Times New Roman" w:cs="Times New Roman"/>
          <w:lang w:val="en-GB"/>
        </w:rPr>
        <w:t xml:space="preserve">single </w:t>
      </w:r>
      <w:r w:rsidR="002472C1" w:rsidRPr="0033055A">
        <w:rPr>
          <w:rFonts w:ascii="Times New Roman" w:hAnsi="Times New Roman" w:cs="Times New Roman"/>
          <w:lang w:val="en-GB"/>
        </w:rPr>
        <w:t>stay</w:t>
      </w:r>
      <w:r w:rsidRPr="0033055A">
        <w:rPr>
          <w:rFonts w:ascii="Times New Roman" w:hAnsi="Times New Roman" w:cs="Times New Roman"/>
          <w:lang w:val="en-GB"/>
        </w:rPr>
        <w:t xml:space="preserve"> in hospital</w:t>
      </w:r>
      <w:r w:rsidR="002472C1" w:rsidRPr="0033055A">
        <w:rPr>
          <w:rFonts w:ascii="Times New Roman" w:hAnsi="Times New Roman" w:cs="Times New Roman"/>
          <w:lang w:val="en-GB"/>
        </w:rPr>
        <w:t xml:space="preserve"> longer than </w:t>
      </w:r>
      <w:r w:rsidR="00270C24" w:rsidRPr="0033055A">
        <w:rPr>
          <w:rFonts w:ascii="Times New Roman" w:hAnsi="Times New Roman" w:cs="Times New Roman"/>
          <w:lang w:val="en-GB"/>
        </w:rPr>
        <w:t xml:space="preserve">10 days </w:t>
      </w:r>
      <w:r w:rsidR="002472C1" w:rsidRPr="0033055A">
        <w:rPr>
          <w:rFonts w:ascii="Times New Roman" w:hAnsi="Times New Roman" w:cs="Times New Roman"/>
          <w:lang w:val="en-GB"/>
        </w:rPr>
        <w:t xml:space="preserve">or longer than </w:t>
      </w:r>
      <w:r w:rsidR="00270C24" w:rsidRPr="0033055A">
        <w:rPr>
          <w:rFonts w:ascii="Times New Roman" w:hAnsi="Times New Roman" w:cs="Times New Roman"/>
          <w:lang w:val="en-GB"/>
        </w:rPr>
        <w:t>21 days</w:t>
      </w:r>
      <w:r w:rsidR="00151715" w:rsidRPr="0033055A">
        <w:rPr>
          <w:rFonts w:ascii="Times New Roman" w:hAnsi="Times New Roman" w:cs="Times New Roman"/>
          <w:lang w:val="en-GB"/>
        </w:rPr>
        <w:t xml:space="preserve"> </w:t>
      </w:r>
      <w:r w:rsidR="00270C24" w:rsidRPr="0033055A">
        <w:rPr>
          <w:rFonts w:ascii="Times New Roman" w:hAnsi="Times New Roman" w:cs="Times New Roman"/>
          <w:lang w:val="en-GB"/>
        </w:rPr>
        <w:t>was calculated separately.</w:t>
      </w:r>
    </w:p>
    <w:p w14:paraId="2655B75B" w14:textId="6574D7BD" w:rsidR="00771FEA" w:rsidRPr="0033055A" w:rsidRDefault="00AD3F22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  <w:bookmarkStart w:id="3" w:name="_Hlk146090592"/>
      <w:r w:rsidRPr="00AD3F22">
        <w:rPr>
          <w:rFonts w:ascii="Times New Roman" w:hAnsi="Times New Roman" w:cs="Times New Roman"/>
          <w:lang w:val="en-GB"/>
        </w:rPr>
        <w:lastRenderedPageBreak/>
        <w:t>Surgical procedures were coded according to the coding systems used in the national health systems</w:t>
      </w:r>
      <w:r>
        <w:rPr>
          <w:rFonts w:ascii="Times New Roman" w:hAnsi="Times New Roman" w:cs="Times New Roman"/>
          <w:lang w:val="en-GB"/>
        </w:rPr>
        <w:t>. Procedures</w:t>
      </w:r>
      <w:r w:rsidR="00177A92" w:rsidRPr="0033055A">
        <w:rPr>
          <w:rFonts w:ascii="Times New Roman" w:hAnsi="Times New Roman" w:cs="Times New Roman"/>
          <w:lang w:val="en-GB"/>
        </w:rPr>
        <w:t xml:space="preserve"> </w:t>
      </w:r>
      <w:r w:rsidR="00252457" w:rsidRPr="0033055A">
        <w:rPr>
          <w:rFonts w:ascii="Times New Roman" w:hAnsi="Times New Roman" w:cs="Times New Roman"/>
          <w:lang w:val="en-GB"/>
        </w:rPr>
        <w:t xml:space="preserve">performed </w:t>
      </w:r>
      <w:r w:rsidR="002C1CCD">
        <w:rPr>
          <w:rFonts w:ascii="Times New Roman" w:hAnsi="Times New Roman" w:cs="Times New Roman"/>
          <w:lang w:val="en-GB"/>
        </w:rPr>
        <w:t xml:space="preserve">in the first </w:t>
      </w:r>
      <w:r w:rsidR="004B2E4A" w:rsidRPr="0033055A">
        <w:rPr>
          <w:rFonts w:ascii="Times New Roman" w:hAnsi="Times New Roman" w:cs="Times New Roman"/>
          <w:lang w:val="en-GB"/>
        </w:rPr>
        <w:t>year</w:t>
      </w:r>
      <w:r w:rsidR="002C1CCD">
        <w:rPr>
          <w:rFonts w:ascii="Times New Roman" w:hAnsi="Times New Roman" w:cs="Times New Roman"/>
          <w:lang w:val="en-GB"/>
        </w:rPr>
        <w:t xml:space="preserve"> of life</w:t>
      </w:r>
      <w:r w:rsidR="004B2E4A" w:rsidRPr="0033055A">
        <w:rPr>
          <w:rFonts w:ascii="Times New Roman" w:hAnsi="Times New Roman" w:cs="Times New Roman"/>
          <w:lang w:val="en-GB"/>
        </w:rPr>
        <w:t xml:space="preserve"> </w:t>
      </w:r>
      <w:r w:rsidR="003B4737" w:rsidRPr="0033055A">
        <w:rPr>
          <w:rFonts w:ascii="Times New Roman" w:hAnsi="Times New Roman" w:cs="Times New Roman"/>
          <w:lang w:val="en-GB"/>
        </w:rPr>
        <w:t>were</w:t>
      </w:r>
      <w:r w:rsidR="00B05F0F" w:rsidRPr="0033055A">
        <w:rPr>
          <w:rFonts w:ascii="Times New Roman" w:hAnsi="Times New Roman" w:cs="Times New Roman"/>
          <w:lang w:val="en-GB"/>
        </w:rPr>
        <w:t xml:space="preserve"> </w:t>
      </w:r>
      <w:r w:rsidR="00252457" w:rsidRPr="0033055A">
        <w:rPr>
          <w:rFonts w:ascii="Times New Roman" w:hAnsi="Times New Roman" w:cs="Times New Roman"/>
          <w:lang w:val="en-GB"/>
        </w:rPr>
        <w:t xml:space="preserve">identified </w:t>
      </w:r>
      <w:r w:rsidR="00B05F0F" w:rsidRPr="0033055A">
        <w:rPr>
          <w:rFonts w:ascii="Times New Roman" w:hAnsi="Times New Roman" w:cs="Times New Roman"/>
          <w:lang w:val="en-GB"/>
        </w:rPr>
        <w:t xml:space="preserve">based on the </w:t>
      </w:r>
      <w:r w:rsidR="00F65F01" w:rsidRPr="0033055A">
        <w:rPr>
          <w:rFonts w:ascii="Times New Roman" w:hAnsi="Times New Roman" w:cs="Times New Roman"/>
          <w:lang w:val="en-GB"/>
        </w:rPr>
        <w:t>local coding</w:t>
      </w:r>
      <w:r w:rsidR="00B05F0F" w:rsidRPr="0033055A">
        <w:rPr>
          <w:rFonts w:ascii="Times New Roman" w:hAnsi="Times New Roman" w:cs="Times New Roman"/>
          <w:lang w:val="en-GB"/>
        </w:rPr>
        <w:t xml:space="preserve"> system</w:t>
      </w:r>
      <w:r w:rsidR="00255211" w:rsidRPr="0033055A">
        <w:rPr>
          <w:rFonts w:ascii="Times New Roman" w:hAnsi="Times New Roman" w:cs="Times New Roman"/>
          <w:lang w:val="en-GB"/>
        </w:rPr>
        <w:t>: Italy and Spain used ICD-9-CM</w:t>
      </w:r>
      <w:r w:rsidR="002C1CCD">
        <w:rPr>
          <w:rFonts w:ascii="Times New Roman" w:hAnsi="Times New Roman" w:cs="Times New Roman"/>
          <w:lang w:val="en-GB"/>
        </w:rPr>
        <w:t xml:space="preserve"> (9</w:t>
      </w:r>
      <w:r w:rsidR="002C1CCD" w:rsidRPr="00693C1E">
        <w:rPr>
          <w:rFonts w:ascii="Times New Roman" w:hAnsi="Times New Roman" w:cs="Times New Roman"/>
          <w:vertAlign w:val="superscript"/>
          <w:lang w:val="en-GB"/>
        </w:rPr>
        <w:t>th</w:t>
      </w:r>
      <w:r w:rsidR="002C1CCD">
        <w:rPr>
          <w:rFonts w:ascii="Times New Roman" w:hAnsi="Times New Roman" w:cs="Times New Roman"/>
          <w:lang w:val="en-GB"/>
        </w:rPr>
        <w:t xml:space="preserve"> version of International Classification of Diseases – Clinical Modification)</w:t>
      </w:r>
      <w:r w:rsidR="00255211" w:rsidRPr="0033055A">
        <w:rPr>
          <w:rFonts w:ascii="Times New Roman" w:hAnsi="Times New Roman" w:cs="Times New Roman"/>
          <w:lang w:val="en-GB"/>
        </w:rPr>
        <w:t xml:space="preserve"> for the study period, Wales and England used OPCS-4 (The OPCS Classification of Interventions and Procedures) and Finland used a national adapt</w:t>
      </w:r>
      <w:r w:rsidR="005109AC" w:rsidRPr="0033055A">
        <w:rPr>
          <w:rFonts w:ascii="Times New Roman" w:hAnsi="Times New Roman" w:cs="Times New Roman"/>
          <w:lang w:val="en-GB"/>
        </w:rPr>
        <w:t>at</w:t>
      </w:r>
      <w:r w:rsidR="00255211" w:rsidRPr="0033055A">
        <w:rPr>
          <w:rFonts w:ascii="Times New Roman" w:hAnsi="Times New Roman" w:cs="Times New Roman"/>
          <w:lang w:val="en-GB"/>
        </w:rPr>
        <w:t>ion of NCSP (NOMESCO Classification of Surgical Procedures).</w:t>
      </w:r>
      <w:bookmarkEnd w:id="3"/>
      <w:r w:rsidR="00255211" w:rsidRPr="0033055A">
        <w:rPr>
          <w:rFonts w:ascii="Times New Roman" w:hAnsi="Times New Roman" w:cs="Times New Roman"/>
          <w:lang w:val="en-GB"/>
        </w:rPr>
        <w:t xml:space="preserve"> </w:t>
      </w:r>
      <w:r w:rsidR="002C1CCD">
        <w:rPr>
          <w:rFonts w:ascii="Times New Roman" w:hAnsi="Times New Roman" w:cs="Times New Roman"/>
          <w:lang w:val="en-GB"/>
        </w:rPr>
        <w:t xml:space="preserve">Since </w:t>
      </w:r>
      <w:r w:rsidR="002C1CCD">
        <w:rPr>
          <w:rFonts w:ascii="Times New Roman" w:hAnsi="Times New Roman" w:cs="Times New Roman"/>
          <w:lang w:val="en-US"/>
        </w:rPr>
        <w:t>d</w:t>
      </w:r>
      <w:r w:rsidR="00CE2B23" w:rsidRPr="001904AD">
        <w:rPr>
          <w:rFonts w:ascii="Times New Roman" w:hAnsi="Times New Roman" w:cs="Times New Roman"/>
          <w:lang w:val="en-US"/>
        </w:rPr>
        <w:t>ata on surg</w:t>
      </w:r>
      <w:r>
        <w:rPr>
          <w:rFonts w:ascii="Times New Roman" w:hAnsi="Times New Roman" w:cs="Times New Roman"/>
          <w:lang w:val="en-US"/>
        </w:rPr>
        <w:t>ical procedures</w:t>
      </w:r>
      <w:r w:rsidR="00CE2B23" w:rsidRPr="002B01E9">
        <w:rPr>
          <w:rFonts w:ascii="Times New Roman" w:hAnsi="Times New Roman" w:cs="Times New Roman"/>
          <w:lang w:val="en-US"/>
        </w:rPr>
        <w:t xml:space="preserve"> w</w:t>
      </w:r>
      <w:r w:rsidR="002E4BD0" w:rsidRPr="002B01E9">
        <w:rPr>
          <w:rFonts w:ascii="Times New Roman" w:hAnsi="Times New Roman" w:cs="Times New Roman"/>
          <w:lang w:val="en-US"/>
        </w:rPr>
        <w:t>ere</w:t>
      </w:r>
      <w:r w:rsidR="00CE2B23" w:rsidRPr="002B01E9">
        <w:rPr>
          <w:rFonts w:ascii="Times New Roman" w:hAnsi="Times New Roman" w:cs="Times New Roman"/>
          <w:lang w:val="en-US"/>
        </w:rPr>
        <w:t xml:space="preserve"> not available for the Northern Netherlands</w:t>
      </w:r>
      <w:r w:rsidR="002C1CCD">
        <w:rPr>
          <w:rFonts w:ascii="Times New Roman" w:hAnsi="Times New Roman" w:cs="Times New Roman"/>
          <w:lang w:val="en-US"/>
        </w:rPr>
        <w:t>, the cases from this register were excluded from the analyses</w:t>
      </w:r>
      <w:r w:rsidR="00CE2B23" w:rsidRPr="00693C1E">
        <w:rPr>
          <w:rFonts w:ascii="Times New Roman" w:hAnsi="Times New Roman" w:cs="Times New Roman"/>
          <w:lang w:val="en-US"/>
        </w:rPr>
        <w:t>.</w:t>
      </w:r>
      <w:r w:rsidR="00CE2B23" w:rsidRPr="0033055A">
        <w:rPr>
          <w:rFonts w:ascii="Times New Roman" w:hAnsi="Times New Roman" w:cs="Times New Roman"/>
          <w:lang w:val="en-GB"/>
        </w:rPr>
        <w:t xml:space="preserve"> </w:t>
      </w:r>
      <w:bookmarkStart w:id="4" w:name="_Hlk146090680"/>
      <w:r w:rsidR="00255211" w:rsidRPr="0033055A">
        <w:rPr>
          <w:rFonts w:ascii="Times New Roman" w:hAnsi="Times New Roman" w:cs="Times New Roman"/>
          <w:lang w:val="en-GB"/>
        </w:rPr>
        <w:t>All codes were reviewed by paediatricians</w:t>
      </w:r>
      <w:r w:rsidR="00594422" w:rsidRPr="0033055A">
        <w:rPr>
          <w:rFonts w:ascii="Times New Roman" w:hAnsi="Times New Roman" w:cs="Times New Roman"/>
          <w:lang w:val="en-GB"/>
        </w:rPr>
        <w:t>,</w:t>
      </w:r>
      <w:r w:rsidR="00255211" w:rsidRPr="0033055A">
        <w:rPr>
          <w:rFonts w:ascii="Times New Roman" w:hAnsi="Times New Roman" w:cs="Times New Roman"/>
          <w:lang w:val="en-GB"/>
        </w:rPr>
        <w:t xml:space="preserve"> as these coding systems</w:t>
      </w:r>
      <w:bookmarkEnd w:id="4"/>
      <w:r w:rsidR="002C1CCD">
        <w:rPr>
          <w:rFonts w:ascii="Times New Roman" w:hAnsi="Times New Roman" w:cs="Times New Roman"/>
          <w:lang w:val="en-GB"/>
        </w:rPr>
        <w:t xml:space="preserve"> also includes diagnostic and therapeutic procedures.</w:t>
      </w:r>
      <w:r w:rsidR="00B05F0F" w:rsidRPr="0033055A">
        <w:rPr>
          <w:rFonts w:ascii="Times New Roman" w:hAnsi="Times New Roman" w:cs="Times New Roman"/>
          <w:lang w:val="en-GB"/>
        </w:rPr>
        <w:t xml:space="preserve"> </w:t>
      </w:r>
      <w:r w:rsidR="00616530" w:rsidRPr="0033055A">
        <w:rPr>
          <w:rFonts w:ascii="Times New Roman" w:hAnsi="Times New Roman" w:cs="Times New Roman"/>
          <w:lang w:val="en-GB"/>
        </w:rPr>
        <w:t>The occurrence of surg</w:t>
      </w:r>
      <w:r>
        <w:rPr>
          <w:rFonts w:ascii="Times New Roman" w:hAnsi="Times New Roman" w:cs="Times New Roman"/>
          <w:lang w:val="en-GB"/>
        </w:rPr>
        <w:t>ical procedure</w:t>
      </w:r>
      <w:r w:rsidR="00D41C94">
        <w:rPr>
          <w:rFonts w:ascii="Times New Roman" w:hAnsi="Times New Roman" w:cs="Times New Roman"/>
          <w:lang w:val="en-GB"/>
        </w:rPr>
        <w:t>s</w:t>
      </w:r>
      <w:r w:rsidR="00616530" w:rsidRPr="0033055A">
        <w:rPr>
          <w:rFonts w:ascii="Times New Roman" w:hAnsi="Times New Roman" w:cs="Times New Roman"/>
          <w:lang w:val="en-GB"/>
        </w:rPr>
        <w:t xml:space="preserve"> during infan</w:t>
      </w:r>
      <w:r w:rsidR="006C2C9C" w:rsidRPr="0033055A">
        <w:rPr>
          <w:rFonts w:ascii="Times New Roman" w:hAnsi="Times New Roman" w:cs="Times New Roman"/>
          <w:lang w:val="en-GB"/>
        </w:rPr>
        <w:t>cy</w:t>
      </w:r>
      <w:r w:rsidR="00616530" w:rsidRPr="0033055A">
        <w:rPr>
          <w:rFonts w:ascii="Times New Roman" w:hAnsi="Times New Roman" w:cs="Times New Roman"/>
          <w:lang w:val="en-GB"/>
        </w:rPr>
        <w:t xml:space="preserve"> was </w:t>
      </w:r>
      <w:r w:rsidR="00032847" w:rsidRPr="0033055A">
        <w:rPr>
          <w:rFonts w:ascii="Times New Roman" w:hAnsi="Times New Roman" w:cs="Times New Roman"/>
          <w:lang w:val="en-GB"/>
        </w:rPr>
        <w:t xml:space="preserve">analysed by </w:t>
      </w:r>
      <w:r w:rsidR="00D41C94">
        <w:rPr>
          <w:rFonts w:ascii="Times New Roman" w:hAnsi="Times New Roman" w:cs="Times New Roman"/>
          <w:lang w:val="en-GB"/>
        </w:rPr>
        <w:t>separating</w:t>
      </w:r>
      <w:r w:rsidR="00D528FB" w:rsidRPr="0033055A">
        <w:rPr>
          <w:rFonts w:ascii="Times New Roman" w:hAnsi="Times New Roman" w:cs="Times New Roman"/>
          <w:lang w:val="en-GB"/>
        </w:rPr>
        <w:t xml:space="preserve"> </w:t>
      </w:r>
      <w:r w:rsidR="006E7898" w:rsidRPr="0033055A">
        <w:rPr>
          <w:rFonts w:ascii="Times New Roman" w:hAnsi="Times New Roman" w:cs="Times New Roman"/>
          <w:lang w:val="en-GB"/>
        </w:rPr>
        <w:t>surg</w:t>
      </w:r>
      <w:r>
        <w:rPr>
          <w:rFonts w:ascii="Times New Roman" w:hAnsi="Times New Roman" w:cs="Times New Roman"/>
          <w:lang w:val="en-GB"/>
        </w:rPr>
        <w:t>ical procedures</w:t>
      </w:r>
      <w:r w:rsidR="006E7898" w:rsidRPr="0033055A">
        <w:rPr>
          <w:rFonts w:ascii="Times New Roman" w:hAnsi="Times New Roman" w:cs="Times New Roman"/>
          <w:lang w:val="en-GB"/>
        </w:rPr>
        <w:t xml:space="preserve"> performed in </w:t>
      </w:r>
      <w:r w:rsidR="00BC082F" w:rsidRPr="0033055A">
        <w:rPr>
          <w:rFonts w:ascii="Times New Roman" w:hAnsi="Times New Roman" w:cs="Times New Roman"/>
          <w:lang w:val="en-GB"/>
        </w:rPr>
        <w:t xml:space="preserve">the </w:t>
      </w:r>
      <w:r w:rsidR="00616530" w:rsidRPr="0033055A">
        <w:rPr>
          <w:rFonts w:ascii="Times New Roman" w:hAnsi="Times New Roman" w:cs="Times New Roman"/>
          <w:lang w:val="en-GB"/>
        </w:rPr>
        <w:t>first week</w:t>
      </w:r>
      <w:r w:rsidR="00032847" w:rsidRPr="0033055A">
        <w:rPr>
          <w:rFonts w:ascii="Times New Roman" w:hAnsi="Times New Roman" w:cs="Times New Roman"/>
          <w:lang w:val="en-GB"/>
        </w:rPr>
        <w:t xml:space="preserve"> of life </w:t>
      </w:r>
      <w:r w:rsidR="00616530" w:rsidRPr="0033055A">
        <w:rPr>
          <w:rFonts w:ascii="Times New Roman" w:hAnsi="Times New Roman" w:cs="Times New Roman"/>
          <w:lang w:val="en-GB"/>
        </w:rPr>
        <w:t xml:space="preserve">(0-6 days) </w:t>
      </w:r>
      <w:r w:rsidR="00D41C94">
        <w:rPr>
          <w:rFonts w:ascii="Times New Roman" w:hAnsi="Times New Roman" w:cs="Times New Roman"/>
          <w:lang w:val="en-GB"/>
        </w:rPr>
        <w:t>from</w:t>
      </w:r>
      <w:r w:rsidR="00616530" w:rsidRPr="0033055A">
        <w:rPr>
          <w:rFonts w:ascii="Times New Roman" w:hAnsi="Times New Roman" w:cs="Times New Roman"/>
          <w:lang w:val="en-GB"/>
        </w:rPr>
        <w:t xml:space="preserve"> </w:t>
      </w:r>
      <w:r w:rsidR="009C2D57" w:rsidRPr="0033055A">
        <w:rPr>
          <w:rFonts w:ascii="Times New Roman" w:hAnsi="Times New Roman" w:cs="Times New Roman"/>
          <w:lang w:val="en-GB"/>
        </w:rPr>
        <w:t xml:space="preserve">those performed </w:t>
      </w:r>
      <w:r w:rsidR="00616530" w:rsidRPr="0033055A">
        <w:rPr>
          <w:rFonts w:ascii="Times New Roman" w:hAnsi="Times New Roman" w:cs="Times New Roman"/>
          <w:lang w:val="en-GB"/>
        </w:rPr>
        <w:t>later (7-</w:t>
      </w:r>
      <w:r w:rsidR="00906FC6" w:rsidRPr="0033055A">
        <w:rPr>
          <w:rFonts w:ascii="Times New Roman" w:hAnsi="Times New Roman" w:cs="Times New Roman"/>
          <w:lang w:val="en-GB"/>
        </w:rPr>
        <w:t>364</w:t>
      </w:r>
      <w:r w:rsidR="00616530" w:rsidRPr="0033055A">
        <w:rPr>
          <w:rFonts w:ascii="Times New Roman" w:hAnsi="Times New Roman" w:cs="Times New Roman"/>
          <w:lang w:val="en-GB"/>
        </w:rPr>
        <w:t xml:space="preserve"> days). </w:t>
      </w:r>
    </w:p>
    <w:p w14:paraId="4167DF9F" w14:textId="77777777" w:rsidR="0063342E" w:rsidRPr="0033055A" w:rsidRDefault="0063342E" w:rsidP="002467ED">
      <w:pPr>
        <w:pStyle w:val="Default"/>
        <w:suppressLineNumbers/>
        <w:shd w:val="clear" w:color="auto" w:fill="FFFFFF" w:themeFill="background1"/>
        <w:spacing w:line="480" w:lineRule="auto"/>
        <w:contextualSpacing/>
        <w:rPr>
          <w:rFonts w:ascii="Times New Roman" w:hAnsi="Times New Roman" w:cs="Times New Roman"/>
          <w:lang w:val="en-GB"/>
        </w:rPr>
      </w:pPr>
    </w:p>
    <w:p w14:paraId="48FAAE21" w14:textId="77777777" w:rsidR="00B112DE" w:rsidRPr="00DE0BE2" w:rsidRDefault="00B112DE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i/>
          <w:iCs/>
          <w:sz w:val="24"/>
          <w:szCs w:val="24"/>
          <w:lang w:val="en-GB"/>
        </w:rPr>
        <w:t>Statistical methods</w:t>
      </w:r>
    </w:p>
    <w:p w14:paraId="44DD4165" w14:textId="4E855536" w:rsidR="00CE13B1" w:rsidRPr="0033055A" w:rsidRDefault="005B4CA6" w:rsidP="002467ED">
      <w:pPr>
        <w:suppressLineNumbers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>For each congenital anomaly, t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he numbers of deaths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aggregated across the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C27D7F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according to whether the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children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diagnosed 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prenatally </w:t>
      </w:r>
      <w:r w:rsidR="00D044EC" w:rsidRPr="0033055A">
        <w:rPr>
          <w:rFonts w:ascii="Times New Roman" w:hAnsi="Times New Roman" w:cs="Times New Roman"/>
          <w:sz w:val="24"/>
          <w:szCs w:val="24"/>
          <w:lang w:val="en-GB"/>
        </w:rPr>
        <w:t>or postnat</w:t>
      </w:r>
      <w:r w:rsidR="00C27D7F" w:rsidRPr="0033055A">
        <w:rPr>
          <w:rFonts w:ascii="Times New Roman" w:hAnsi="Times New Roman" w:cs="Times New Roman"/>
          <w:sz w:val="24"/>
          <w:szCs w:val="24"/>
          <w:lang w:val="en-GB"/>
        </w:rPr>
        <w:t>ally</w:t>
      </w:r>
      <w:r w:rsidR="00BA6213" w:rsidRPr="0033055A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DA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death rates </w:t>
      </w:r>
      <w:r w:rsidR="00BA6213" w:rsidRPr="0033055A">
        <w:rPr>
          <w:rFonts w:ascii="Times New Roman" w:hAnsi="Times New Roman" w:cs="Times New Roman"/>
          <w:sz w:val="24"/>
          <w:szCs w:val="24"/>
          <w:lang w:val="en-GB"/>
        </w:rPr>
        <w:t>were compared using Fisher’s exact tests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>. No adjustment was made for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4F33E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due to the extremely small numbers involved.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mean gestational age at birth was </w:t>
      </w:r>
      <w:r w:rsidR="004445D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>compared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>for each congenital anomal</w:t>
      </w:r>
      <w:r w:rsidR="000A722B" w:rsidRPr="0033055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children who were prenatal</w:t>
      </w:r>
      <w:r w:rsidR="00AD1F28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y diagnosed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CF53F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postnatally 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>diagnosed</w:t>
      </w:r>
      <w:r w:rsidR="0070113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by fitting meta-regression models on the mean and standard </w:t>
      </w:r>
      <w:r w:rsidR="0095179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deviation 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>of the gestational ages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from each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6293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a variable indicating whether the mean was from the prenatal</w:t>
      </w:r>
      <w:r w:rsidR="00A03727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6293C" w:rsidRPr="0033055A">
        <w:rPr>
          <w:rFonts w:ascii="Times New Roman" w:hAnsi="Times New Roman" w:cs="Times New Roman"/>
          <w:sz w:val="24"/>
          <w:szCs w:val="24"/>
          <w:lang w:val="en-GB"/>
        </w:rPr>
        <w:t>y or postnatal</w:t>
      </w:r>
      <w:r w:rsidR="00A03727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6293C" w:rsidRPr="0033055A">
        <w:rPr>
          <w:rFonts w:ascii="Times New Roman" w:hAnsi="Times New Roman" w:cs="Times New Roman"/>
          <w:sz w:val="24"/>
          <w:szCs w:val="24"/>
          <w:lang w:val="en-GB"/>
        </w:rPr>
        <w:t>y diagnosed children</w:t>
      </w:r>
      <w:r w:rsidR="00806D11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5171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22A3" w:rsidRPr="002222A3">
        <w:rPr>
          <w:rFonts w:ascii="Times New Roman" w:hAnsi="Times New Roman" w:cs="Times New Roman"/>
          <w:sz w:val="24"/>
          <w:szCs w:val="24"/>
          <w:lang w:val="en-GB"/>
        </w:rPr>
        <w:t xml:space="preserve">The mean follow-up duration </w:t>
      </w:r>
      <w:r w:rsidR="00286FBE">
        <w:rPr>
          <w:rFonts w:ascii="Times New Roman" w:hAnsi="Times New Roman" w:cs="Times New Roman"/>
          <w:sz w:val="24"/>
          <w:szCs w:val="24"/>
          <w:lang w:val="en-GB"/>
        </w:rPr>
        <w:t>(calculated to</w:t>
      </w:r>
      <w:r w:rsidR="002222A3" w:rsidRPr="002222A3">
        <w:rPr>
          <w:rFonts w:ascii="Times New Roman" w:hAnsi="Times New Roman" w:cs="Times New Roman"/>
          <w:sz w:val="24"/>
          <w:szCs w:val="24"/>
          <w:lang w:val="en-GB"/>
        </w:rPr>
        <w:t xml:space="preserve"> fifth birthday</w:t>
      </w:r>
      <w:r w:rsidR="00F64B1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222A3" w:rsidRPr="002222A3">
        <w:rPr>
          <w:rFonts w:ascii="Times New Roman" w:hAnsi="Times New Roman" w:cs="Times New Roman"/>
          <w:sz w:val="24"/>
          <w:szCs w:val="24"/>
          <w:lang w:val="en-GB"/>
        </w:rPr>
        <w:t xml:space="preserve"> was 4.2 person-years for EUROCAT children and 4.3 person-years for reference children.</w:t>
      </w:r>
    </w:p>
    <w:p w14:paraId="2D5C5E58" w14:textId="77777777" w:rsidR="00DE0BE2" w:rsidRDefault="00DE0BE2" w:rsidP="002467ED">
      <w:pPr>
        <w:suppressLineNumbers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790AF40" w14:textId="009D4B3F" w:rsidR="00CE13B1" w:rsidRPr="0033055A" w:rsidRDefault="00CF53FF" w:rsidP="002467ED">
      <w:pPr>
        <w:suppressLineNumbers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>For each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03727" w:rsidRPr="0033055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B15A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proportion of children admitted to hospital within each age group</w:t>
      </w:r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22B" w:rsidRPr="0033055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>i.e.</w:t>
      </w:r>
      <w:proofErr w:type="gramEnd"/>
      <w:r w:rsidR="0081385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under 1 year and 1-4 years)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was calculated using </w:t>
      </w:r>
      <w:r w:rsidR="006B6E24" w:rsidRPr="0033055A">
        <w:rPr>
          <w:rFonts w:ascii="Times New Roman" w:hAnsi="Times New Roman" w:cs="Times New Roman"/>
          <w:sz w:val="24"/>
          <w:szCs w:val="24"/>
          <w:lang w:val="en-GB"/>
        </w:rPr>
        <w:t>Kaplan-Meier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survival analysis to allow for the censoring of children occurring on December 31</w:t>
      </w:r>
      <w:r w:rsidR="003B54FC" w:rsidRPr="003305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2015, death or emigration from the study region or country. </w:t>
      </w:r>
      <w:r w:rsidR="00DF3EC8" w:rsidRPr="0033055A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3E68" w:rsidRPr="0033055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ox’s proportional hazards models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used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15171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calculate the hazard ratios (HR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) for </w:t>
      </w:r>
      <w:r w:rsidR="00DF3EC8" w:rsidRPr="0033055A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ever admitted to hospital</w:t>
      </w:r>
      <w:r w:rsidR="00DF3EC8" w:rsidRPr="0033055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E213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2)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negative binomial regression models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used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to calculate the incidence rate ratios (IRR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) for number of days in hospital under the age of one year </w:t>
      </w:r>
      <w:r w:rsidR="00195BF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1-4 years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compar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prenatally diagnosed </w:t>
      </w:r>
      <w:r w:rsidR="00953E7D" w:rsidRPr="0033055A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postnatally 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>diagnosed.</w:t>
      </w:r>
    </w:p>
    <w:p w14:paraId="3FAF8EB9" w14:textId="77777777" w:rsidR="00DE0BE2" w:rsidRDefault="00DE0BE2" w:rsidP="002467ED">
      <w:pPr>
        <w:suppressLineNumbers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49FEBD0" w14:textId="6C22D381" w:rsidR="003B54FC" w:rsidRPr="0033055A" w:rsidRDefault="007B573E" w:rsidP="002467ED">
      <w:pPr>
        <w:suppressLineNumbers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confidence intervals for the </w:t>
      </w:r>
      <w:r w:rsidR="002E4BD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proportions of children admitted to hospital in the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6B6E24" w:rsidRPr="0033055A">
        <w:rPr>
          <w:rFonts w:ascii="Times New Roman" w:hAnsi="Times New Roman" w:cs="Times New Roman"/>
          <w:sz w:val="24"/>
          <w:szCs w:val="24"/>
          <w:lang w:val="en-GB"/>
        </w:rPr>
        <w:t>aplan-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B6E24" w:rsidRPr="0033055A">
        <w:rPr>
          <w:rFonts w:ascii="Times New Roman" w:hAnsi="Times New Roman" w:cs="Times New Roman"/>
          <w:sz w:val="24"/>
          <w:szCs w:val="24"/>
          <w:lang w:val="en-GB"/>
        </w:rPr>
        <w:t>eier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survival analysis estimates were calculated by STATA (version 1</w:t>
      </w:r>
      <w:r w:rsidR="00A03727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) using the ln(-ln(S(t))) transformation. To obtain pooled estimates of the</w:t>
      </w:r>
      <w:r w:rsidR="00EF540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proportion</w:t>
      </w:r>
      <w:r w:rsidR="00EF540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children admitted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across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>, the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random effects inverse-variance meta-analyses were performed using the ln(-ln(S(t))) transformation and the I</w:t>
      </w:r>
      <w:r w:rsidRPr="003305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statistic </w:t>
      </w:r>
      <w:r w:rsidR="00032ED3" w:rsidRPr="0033055A">
        <w:rPr>
          <w:rFonts w:ascii="Times New Roman" w:hAnsi="Times New Roman" w:cs="Times New Roman"/>
          <w:sz w:val="24"/>
          <w:szCs w:val="24"/>
          <w:lang w:val="en-GB"/>
        </w:rPr>
        <w:t>calculated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(using I</w:t>
      </w:r>
      <w:r w:rsidR="00010355" w:rsidRPr="003305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>=100x(</w:t>
      </w:r>
      <w:r w:rsidR="00010355" w:rsidRPr="0033055A">
        <w:rPr>
          <w:rStyle w:val="Korostus"/>
          <w:rFonts w:ascii="Times New Roman" w:hAnsi="Times New Roman" w:cs="Times New Roman"/>
          <w:sz w:val="24"/>
          <w:szCs w:val="24"/>
          <w:lang w:val="en-GB"/>
        </w:rPr>
        <w:t>Q−</w:t>
      </w:r>
      <w:proofErr w:type="spellStart"/>
      <w:r w:rsidR="00010355" w:rsidRPr="0033055A">
        <w:rPr>
          <w:rStyle w:val="Korostus"/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010355" w:rsidRPr="0033055A">
        <w:rPr>
          <w:rStyle w:val="Korostus"/>
          <w:rFonts w:ascii="Times New Roman" w:hAnsi="Times New Roman" w:cs="Times New Roman"/>
          <w:sz w:val="24"/>
          <w:szCs w:val="24"/>
          <w:lang w:val="en-GB"/>
        </w:rPr>
        <w:t>)/Q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where </w:t>
      </w:r>
      <w:r w:rsidR="00010355" w:rsidRPr="0033055A">
        <w:rPr>
          <w:rStyle w:val="Korostus"/>
          <w:rFonts w:ascii="Times New Roman" w:hAnsi="Times New Roman" w:cs="Times New Roman"/>
          <w:sz w:val="24"/>
          <w:szCs w:val="24"/>
          <w:lang w:val="en-GB"/>
        </w:rPr>
        <w:t>Q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is the Cochran's homogeneity test statistic and </w:t>
      </w:r>
      <w:proofErr w:type="spellStart"/>
      <w:r w:rsidR="00010355" w:rsidRPr="0033055A">
        <w:rPr>
          <w:rStyle w:val="Korostus"/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is the degrees of freedom)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0856B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C648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n several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0856B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648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all children with </w:t>
      </w:r>
      <w:r w:rsidR="00C648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 specific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anomaly were admitted to hospital before the age of one year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K</w:t>
      </w:r>
      <w:r w:rsidR="0029492D" w:rsidRPr="0033055A">
        <w:rPr>
          <w:rFonts w:ascii="Times New Roman" w:hAnsi="Times New Roman" w:cs="Times New Roman"/>
          <w:sz w:val="24"/>
          <w:szCs w:val="24"/>
          <w:lang w:val="en-GB"/>
        </w:rPr>
        <w:t>aplan-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9492D" w:rsidRPr="0033055A">
        <w:rPr>
          <w:rFonts w:ascii="Times New Roman" w:hAnsi="Times New Roman" w:cs="Times New Roman"/>
          <w:sz w:val="24"/>
          <w:szCs w:val="24"/>
          <w:lang w:val="en-GB"/>
        </w:rPr>
        <w:t>eier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survival analysis</w:t>
      </w:r>
      <w:r w:rsidR="00C648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STATA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48C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did not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provide estimates of the confidence interval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. Here, the lower confidence interval was calculated using the exact binomial estimates with the number of live births as the denominator</w:t>
      </w:r>
      <w:r w:rsidR="000D4DA2" w:rsidRPr="0033055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proportion of children admitted was estimated to be 99.9% and the upper 95% confidence interval was calculated assuming symmetry on the ln(-ln(S(t)) scale. The same analyses were performed for the proportion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children who had a single hospital stay of 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days or more</w:t>
      </w:r>
      <w:r w:rsidR="00B758AC" w:rsidRPr="0033055A">
        <w:rPr>
          <w:rFonts w:ascii="Times New Roman" w:hAnsi="Times New Roman" w:cs="Times New Roman"/>
          <w:sz w:val="24"/>
          <w:szCs w:val="24"/>
          <w:lang w:val="en-GB"/>
        </w:rPr>
        <w:t>, or 21 days or more.</w:t>
      </w:r>
      <w:r w:rsidR="003B54F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Pooled estimates of the 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t>HR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t>IRR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comparing prenatally diagnosed </w:t>
      </w:r>
      <w:r w:rsidR="00C20C42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35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postnatally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diagnosed cases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within each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D3368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obtained using random effects meta-analysis. </w:t>
      </w:r>
      <w:r w:rsidR="00EF1F6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Additionally, separate analyses were undertaken by birth cohort: 1995-2004, 2005-2009 and 2010-2014. 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All meta-analys</w:t>
      </w:r>
      <w:r w:rsidR="00A83309" w:rsidRPr="003305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s were performed using the “</w:t>
      </w:r>
      <w:proofErr w:type="spellStart"/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metan</w:t>
      </w:r>
      <w:proofErr w:type="spellEnd"/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” package in Stata, version 1</w:t>
      </w:r>
      <w:r w:rsidR="000D1897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70280F2" w14:textId="3089E00C" w:rsidR="00FF7E30" w:rsidRPr="0033055A" w:rsidRDefault="0062029B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</w:p>
    <w:p w14:paraId="6619BC2C" w14:textId="77777777" w:rsidR="00173AC7" w:rsidRPr="00DE0BE2" w:rsidRDefault="00FF7E30" w:rsidP="00D4474A">
      <w:pPr>
        <w:suppressLineNumbers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sz w:val="24"/>
          <w:szCs w:val="24"/>
          <w:lang w:val="en-GB"/>
        </w:rPr>
        <w:t>Results</w:t>
      </w:r>
    </w:p>
    <w:p w14:paraId="4513D605" w14:textId="48B0F635" w:rsidR="00CE13B1" w:rsidRPr="0033055A" w:rsidRDefault="00135A4E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>Linkage success was high</w:t>
      </w:r>
      <w:r w:rsidR="00E60AC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at over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85% for all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, except in Zagreb</w:t>
      </w:r>
      <w:r w:rsidR="00F44F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60AC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60AC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ere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the linkage was manually performed</w:t>
      </w:r>
      <w:r w:rsidR="002643C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only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47% of the children were linked (Table 1). 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26C3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226C3C" w:rsidRPr="00CD5D3F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included </w:t>
      </w:r>
      <w:r w:rsidR="0051473B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376 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children with spina bifida, </w:t>
      </w:r>
      <w:r w:rsidR="0051473B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1057 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children with TGA, </w:t>
      </w:r>
      <w:r w:rsidR="003A3109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510 </w:t>
      </w:r>
      <w:r w:rsidR="008A1F69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children 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with CDH, and </w:t>
      </w:r>
      <w:r w:rsidR="00CF4EC8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935 </w:t>
      </w:r>
      <w:r w:rsidR="00AD74C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children with gastroschisis. 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>Information on when the anomaly was diagnosed was missing for 7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>1.9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spina bifida, 55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>5.2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AD1F28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>TGA, 16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>3.1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CDH and 14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>1.5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D11" w:rsidRPr="00CD5D3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gastroschisis</w:t>
      </w:r>
      <w:r w:rsidR="00D72E8C" w:rsidRPr="00CD5D3F">
        <w:rPr>
          <w:rFonts w:ascii="Times New Roman" w:hAnsi="Times New Roman" w:cs="Times New Roman"/>
          <w:sz w:val="24"/>
          <w:szCs w:val="24"/>
          <w:lang w:val="en-GB"/>
        </w:rPr>
        <w:t>, and these cases were excluded from the analyses</w:t>
      </w:r>
      <w:r w:rsidR="00085995" w:rsidRPr="00CD5D3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F4EC8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1FEA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percentage of live births with a </w:t>
      </w:r>
      <w:r w:rsidR="00D9163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known 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>prenatal d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iagnosis 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was highest for 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children with 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>gastroschisis (9</w:t>
      </w:r>
      <w:r w:rsidR="00D91635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%) and lowest for 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children with </w:t>
      </w:r>
      <w:r w:rsidR="009D0EC7" w:rsidRPr="0033055A">
        <w:rPr>
          <w:rFonts w:ascii="Times New Roman" w:hAnsi="Times New Roman" w:cs="Times New Roman"/>
          <w:sz w:val="24"/>
          <w:szCs w:val="24"/>
          <w:lang w:val="en-GB"/>
        </w:rPr>
        <w:t>TGA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91635" w:rsidRPr="0033055A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%). </w:t>
      </w:r>
      <w:r w:rsidR="00685AA9" w:rsidRPr="0033055A">
        <w:rPr>
          <w:rFonts w:ascii="Times New Roman" w:hAnsi="Times New Roman" w:cs="Times New Roman"/>
          <w:sz w:val="24"/>
          <w:szCs w:val="24"/>
          <w:lang w:val="en-GB"/>
        </w:rPr>
        <w:t>Approximately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half </w:t>
      </w:r>
      <w:r w:rsidR="002C1CC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children 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>with sp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>ina bifida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(5</w:t>
      </w:r>
      <w:r w:rsidR="00D91635" w:rsidRPr="0033055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or with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>CDH</w:t>
      </w:r>
      <w:r w:rsidR="0077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>(5</w:t>
      </w:r>
      <w:r w:rsidR="00D91635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E827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4A6C99" w:rsidRPr="0033055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CCD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>prenatal</w:t>
      </w:r>
      <w:r w:rsidR="002C1CCD">
        <w:rPr>
          <w:rFonts w:ascii="Times New Roman" w:hAnsi="Times New Roman" w:cs="Times New Roman"/>
          <w:sz w:val="24"/>
          <w:szCs w:val="24"/>
          <w:lang w:val="en-GB"/>
        </w:rPr>
        <w:t>ly diagnosed</w:t>
      </w:r>
      <w:r w:rsidR="00330E6B">
        <w:rPr>
          <w:rFonts w:ascii="Times New Roman" w:hAnsi="Times New Roman" w:cs="Times New Roman"/>
          <w:sz w:val="24"/>
          <w:szCs w:val="24"/>
          <w:lang w:val="en-GB"/>
        </w:rPr>
        <w:t xml:space="preserve"> (Table 2)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075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FA8930" w14:textId="77777777" w:rsidR="00DE0BE2" w:rsidRDefault="00DE0BE2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D6C5013" w14:textId="4D0312F1" w:rsidR="00CE13B1" w:rsidRPr="0033055A" w:rsidRDefault="00EB15A8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For all </w:t>
      </w:r>
      <w:r w:rsidR="00685AA9" w:rsidRPr="0033055A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anomalies</w:t>
      </w:r>
      <w:r w:rsidR="00F23E95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children </w:t>
      </w:r>
      <w:r w:rsidR="00F3055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whose anomaly was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detected prenatal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2029B" w:rsidRPr="0033055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had a lower </w:t>
      </w:r>
      <w:r w:rsidR="002643C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mean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gestational age </w:t>
      </w:r>
      <w:r w:rsidR="0008300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those detected at birth or later (Table </w:t>
      </w:r>
      <w:r w:rsidR="00997D30" w:rsidRPr="0033055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C587E" w:rsidRPr="0033055A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147773" w:rsidRPr="0033055A">
        <w:rPr>
          <w:rFonts w:ascii="Times New Roman" w:hAnsi="Times New Roman" w:cs="Times New Roman"/>
          <w:sz w:val="24"/>
          <w:szCs w:val="24"/>
          <w:lang w:val="en-GB"/>
        </w:rPr>
        <w:t>he gestational age</w:t>
      </w:r>
      <w:r w:rsidR="0014777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</w:t>
      </w:r>
      <w:r w:rsidR="00685AA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lower</w:t>
      </w:r>
      <w:r w:rsidR="0014777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live born children with gastroschisis (35.9 weeks for prenatal</w:t>
      </w:r>
      <w:r w:rsidR="00CE13B1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14777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 diagnosed vs. 36.7 weeks for those </w:t>
      </w:r>
      <w:r w:rsidR="008A1F6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postnatally </w:t>
      </w:r>
      <w:r w:rsidR="0014777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diagnosed, p=0.089), and </w:t>
      </w:r>
      <w:r w:rsidR="00685AA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higher</w:t>
      </w:r>
      <w:r w:rsidR="0014777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children with CDH (37.5 vs. 38.7 weeks, p=0.011), spina bifida (38.3 vs. 39.1 weeks, p=0.011), and TGA (38.6 weeks vs. 39.2 weeks, P=0.026).</w:t>
      </w:r>
    </w:p>
    <w:p w14:paraId="3F48D8B2" w14:textId="3FE2A6AE" w:rsidR="00655C1C" w:rsidRPr="0033055A" w:rsidRDefault="0062029B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997D30" w:rsidRPr="0033055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shows that b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>oth early neonatal mortality and infant mortality were highest for children with CDH</w:t>
      </w:r>
      <w:r w:rsidR="0014777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lowest for children with spina bifida and gastroschisis. </w:t>
      </w:r>
      <w:bookmarkStart w:id="5" w:name="_Hlk146098281"/>
      <w:r w:rsidRPr="0033055A">
        <w:rPr>
          <w:rFonts w:ascii="Times New Roman" w:hAnsi="Times New Roman" w:cs="Times New Roman"/>
          <w:sz w:val="24"/>
          <w:szCs w:val="24"/>
          <w:lang w:val="en-GB"/>
        </w:rPr>
        <w:t>Mortality was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significantly higher in children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with CDH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>who were diagnosed prenatally compared with those diagnosed later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; e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arly neonatal mortality </w:t>
      </w:r>
      <w:r w:rsidR="0063342E" w:rsidRPr="0033055A">
        <w:rPr>
          <w:rFonts w:ascii="Times New Roman" w:hAnsi="Times New Roman" w:cs="Times New Roman"/>
          <w:sz w:val="24"/>
          <w:szCs w:val="24"/>
          <w:lang w:val="en-GB"/>
        </w:rPr>
        <w:t>for children with CD</w:t>
      </w:r>
      <w:r w:rsidR="006B6E24" w:rsidRPr="0033055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3342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F56B54" w:rsidRPr="0033055A">
        <w:rPr>
          <w:rFonts w:ascii="Times New Roman" w:hAnsi="Times New Roman" w:cs="Times New Roman"/>
          <w:sz w:val="24"/>
          <w:szCs w:val="24"/>
          <w:lang w:val="en-GB"/>
        </w:rPr>
        <w:t>277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vs. </w:t>
      </w:r>
      <w:r w:rsidR="00F56B54" w:rsidRPr="0033055A">
        <w:rPr>
          <w:rFonts w:ascii="Times New Roman" w:hAnsi="Times New Roman" w:cs="Times New Roman"/>
          <w:sz w:val="24"/>
          <w:szCs w:val="24"/>
          <w:lang w:val="en-GB"/>
        </w:rPr>
        <w:t>76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per 1000 (p&lt;0.001) and infant mortality was </w:t>
      </w:r>
      <w:r w:rsidR="00F56B54" w:rsidRPr="0033055A">
        <w:rPr>
          <w:rFonts w:ascii="Times New Roman" w:hAnsi="Times New Roman" w:cs="Times New Roman"/>
          <w:sz w:val="24"/>
          <w:szCs w:val="24"/>
          <w:lang w:val="en-GB"/>
        </w:rPr>
        <w:t>35</w:t>
      </w:r>
      <w:r w:rsidR="00997D30" w:rsidRPr="0033055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vs</w:t>
      </w:r>
      <w:r w:rsidR="00B018CF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B54" w:rsidRPr="0033055A">
        <w:rPr>
          <w:rFonts w:ascii="Times New Roman" w:hAnsi="Times New Roman" w:cs="Times New Roman"/>
          <w:sz w:val="24"/>
          <w:szCs w:val="24"/>
          <w:lang w:val="en-GB"/>
        </w:rPr>
        <w:t>116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per 1000 (p&lt;0.001</w:t>
      </w:r>
      <w:r w:rsidR="00147773" w:rsidRPr="003305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End w:id="5"/>
      <w:r w:rsidR="00EE7AF6" w:rsidRPr="0033055A">
        <w:rPr>
          <w:rFonts w:ascii="Times New Roman" w:hAnsi="Times New Roman" w:cs="Times New Roman"/>
          <w:sz w:val="24"/>
          <w:szCs w:val="24"/>
          <w:lang w:val="en-GB"/>
        </w:rPr>
        <w:t>These differences remained when gestational age at birth was included in the analysis</w:t>
      </w:r>
      <w:r w:rsidR="00A4468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E7AF6" w:rsidRPr="0033055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43FBD" w:rsidRPr="0033055A">
        <w:rPr>
          <w:rFonts w:ascii="Times New Roman" w:hAnsi="Times New Roman" w:cs="Times New Roman"/>
          <w:sz w:val="24"/>
          <w:szCs w:val="24"/>
          <w:lang w:val="en-GB"/>
        </w:rPr>
        <w:t>eonates</w:t>
      </w:r>
      <w:r w:rsidR="00EE7AF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CDH</w:t>
      </w:r>
      <w:r w:rsidR="005E7749" w:rsidRPr="0033055A">
        <w:rPr>
          <w:rFonts w:ascii="Times New Roman" w:hAnsi="Times New Roman" w:cs="Times New Roman"/>
          <w:sz w:val="24"/>
          <w:szCs w:val="24"/>
          <w:lang w:val="en-GB"/>
        </w:rPr>
        <w:t>, born before 37 weeks of gestation,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had higher mortality </w:t>
      </w:r>
      <w:r w:rsidR="0014777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diagnosed prenatally </w:t>
      </w:r>
      <w:r w:rsidR="00DF1FC4" w:rsidRPr="0033055A">
        <w:rPr>
          <w:rFonts w:ascii="Times New Roman" w:hAnsi="Times New Roman" w:cs="Times New Roman"/>
          <w:sz w:val="24"/>
          <w:szCs w:val="24"/>
          <w:lang w:val="en-GB"/>
        </w:rPr>
        <w:t>than when</w:t>
      </w:r>
      <w:r w:rsidR="00F3055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>diagnosed</w:t>
      </w:r>
      <w:r w:rsidR="00DF1FC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AA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postnatally 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E7AF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465/1000 vs 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>190/1000, p&lt;0.001)</w:t>
      </w:r>
      <w:r w:rsidR="00CA087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876"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as did </w:t>
      </w:r>
      <w:r w:rsidR="00206ED7" w:rsidRPr="0033055A">
        <w:rPr>
          <w:rFonts w:ascii="Times New Roman" w:hAnsi="Times New Roman" w:cs="Times New Roman"/>
          <w:sz w:val="24"/>
          <w:szCs w:val="24"/>
          <w:lang w:val="en-GB"/>
        </w:rPr>
        <w:t>neonates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2B620C" w:rsidRPr="0033055A">
        <w:rPr>
          <w:rFonts w:ascii="Times New Roman" w:hAnsi="Times New Roman" w:cs="Times New Roman"/>
          <w:sz w:val="24"/>
          <w:szCs w:val="24"/>
          <w:lang w:val="en-GB"/>
        </w:rPr>
        <w:t>CDH</w:t>
      </w:r>
      <w:r w:rsidR="00CA087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born at term </w:t>
      </w:r>
      <w:r w:rsidR="005D220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(271/1000 vs. 83/1000, p&lt;0.001).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For all other anomalies there were no significant differences in mortality </w:t>
      </w:r>
      <w:r w:rsidR="006D176F">
        <w:rPr>
          <w:rFonts w:ascii="Times New Roman" w:hAnsi="Times New Roman" w:cs="Times New Roman"/>
          <w:sz w:val="24"/>
          <w:szCs w:val="24"/>
          <w:lang w:val="en-GB"/>
        </w:rPr>
        <w:t xml:space="preserve">among preterm </w:t>
      </w:r>
      <w:proofErr w:type="spellStart"/>
      <w:r w:rsidR="00CD5D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in those diagnosed prenatally compared with those diagnosed </w:t>
      </w:r>
      <w:r w:rsidR="006B7FF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at birth or </w:t>
      </w:r>
      <w:r w:rsidR="00F91FEA" w:rsidRPr="0033055A">
        <w:rPr>
          <w:rFonts w:ascii="Times New Roman" w:hAnsi="Times New Roman" w:cs="Times New Roman"/>
          <w:sz w:val="24"/>
          <w:szCs w:val="24"/>
          <w:lang w:val="en-GB"/>
        </w:rPr>
        <w:t>later.</w:t>
      </w:r>
      <w:r w:rsidR="0063342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777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342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8ADFECD" w14:textId="47EBF427" w:rsidR="00CE13B1" w:rsidRPr="0033055A" w:rsidRDefault="0020699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D864D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Table 2 here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28A5E9B5" w14:textId="47E222B9" w:rsidR="00BD1EB9" w:rsidRDefault="006B7FF5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All children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born with </w:t>
      </w:r>
      <w:r w:rsidR="00701134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one of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these four </w:t>
      </w:r>
      <w:r w:rsidR="002F11CF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specific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anomalies require </w:t>
      </w:r>
      <w:r w:rsidR="00B011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surgical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treatment </w:t>
      </w:r>
      <w:r w:rsidR="00B011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hospital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their first year of life</w:t>
      </w:r>
      <w:r w:rsidR="00FB795E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survive</w:t>
      </w:r>
      <w:r w:rsidR="00B301E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B011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During the study period, </w:t>
      </w:r>
      <w:r w:rsidR="00BD1EB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proportion of children hospitalised in the first year of life was over 93% </w:t>
      </w:r>
      <w:r w:rsidR="00B011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</w:t>
      </w:r>
      <w:r w:rsidR="00B0114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or all four selected anomalies</w:t>
      </w:r>
      <w:r w:rsidR="00B01146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B0114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D1EB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these proportions (</w:t>
      </w:r>
      <w:r w:rsidR="00BD1EB9" w:rsidRPr="0033055A">
        <w:rPr>
          <w:rFonts w:ascii="Times New Roman" w:hAnsi="Times New Roman" w:cs="Times New Roman"/>
          <w:sz w:val="24"/>
          <w:szCs w:val="24"/>
          <w:lang w:val="en-GB"/>
        </w:rPr>
        <w:t>except for children with spina bifida</w:t>
      </w:r>
      <w:r w:rsidR="00BD1EB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increased to over 98% by 2010-2014 (</w:t>
      </w:r>
      <w:r w:rsidR="00BD1EB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D1EB9" w:rsidRPr="0033055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90D36D9" w14:textId="10D4A2C6" w:rsidR="00704EF3" w:rsidRDefault="00704EF3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(Figure 1 here)</w:t>
      </w:r>
    </w:p>
    <w:p w14:paraId="79014362" w14:textId="77777777" w:rsidR="00BD1EB9" w:rsidRDefault="00BD1EB9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614EC04" w14:textId="542427D5" w:rsidR="0066294C" w:rsidRPr="0033055A" w:rsidRDefault="008008B4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997D30" w:rsidRPr="0033055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shows that the median length of stay during the first year of life and for age 1-4 </w:t>
      </w:r>
      <w:r w:rsidR="00FB795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years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was significantly greater in children with a prenatal diagnosis than those diagnosed later</w:t>
      </w:r>
      <w:r w:rsidR="00234F89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F89" w:rsidRPr="0033055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>he relative risks of spending a</w:t>
      </w:r>
      <w:r w:rsidR="005109AC" w:rsidRPr="0033055A">
        <w:rPr>
          <w:rFonts w:ascii="Times New Roman" w:hAnsi="Times New Roman" w:cs="Times New Roman"/>
          <w:sz w:val="24"/>
          <w:szCs w:val="24"/>
          <w:lang w:val="en-GB"/>
        </w:rPr>
        <w:t>n additional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day in hospital reflected this</w:t>
      </w:r>
      <w:r w:rsidR="00055FAD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being significantly higher for children with</w:t>
      </w:r>
      <w:r w:rsidR="005E774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>prenatal diagnoses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children with CDH under one year of age with prenatal diagnoses were almost 2</w:t>
      </w:r>
      <w:r w:rsidR="000E5BAF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D49C4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times more likely to spend a</w:t>
      </w:r>
      <w:r w:rsidR="005109AC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 additional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day in hospital compared with those diagnosed later (IRR = 2.44; 95%</w:t>
      </w:r>
      <w:r w:rsidR="005E774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F12EA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CI:1.81-3.28).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Children aged </w:t>
      </w:r>
      <w:r w:rsidR="00472EA3" w:rsidRPr="0033055A">
        <w:rPr>
          <w:rFonts w:ascii="Times New Roman" w:hAnsi="Times New Roman" w:cs="Times New Roman"/>
          <w:sz w:val="24"/>
          <w:szCs w:val="24"/>
          <w:lang w:val="en-GB"/>
        </w:rPr>
        <w:t>1-4 years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spent much less time in hospital (the median length of stay per year was under </w:t>
      </w:r>
      <w:r w:rsidR="00CD5D3F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days for all </w:t>
      </w:r>
      <w:r w:rsidR="00685AA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four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anomalies compared </w:t>
      </w:r>
      <w:r w:rsidR="007A00D4" w:rsidRPr="0033055A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over 17 days in the first year of life). Therefore</w:t>
      </w:r>
      <w:r w:rsidR="00FD4181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2EA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absolute </w:t>
      </w:r>
      <w:r w:rsidR="00472EA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differences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E197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days spent in hospital </w:t>
      </w:r>
      <w:r w:rsidR="00472EA3" w:rsidRPr="0033055A">
        <w:rPr>
          <w:rFonts w:ascii="Times New Roman" w:hAnsi="Times New Roman" w:cs="Times New Roman"/>
          <w:sz w:val="24"/>
          <w:szCs w:val="24"/>
          <w:lang w:val="en-GB"/>
        </w:rPr>
        <w:t>were smaller</w:t>
      </w:r>
      <w:r w:rsidR="00CF12E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those with prenatal diagnoses compared with those diagnosed later, but the relative risks were greater</w:t>
      </w:r>
      <w:r w:rsidR="0066294C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7842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bookmarkStart w:id="6" w:name="_Hlk146099419"/>
      <w:r w:rsidR="007842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Excluding gastroschisis</w:t>
      </w:r>
      <w:r w:rsidR="00264B0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70B5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301E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proportions of children being admitted to hospital in years 1-4 is greater for children with prenatal diagnoses than those diagnosed later</w:t>
      </w:r>
      <w:r w:rsidR="007842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7B28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78427F" w:rsidRPr="007842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statistically significant difference was observed for children with TGA </w:t>
      </w:r>
      <w:r w:rsidR="00C70B53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(Table 4)</w:t>
      </w:r>
      <w:r w:rsidR="00B301E9"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bookmarkEnd w:id="6"/>
    </w:p>
    <w:p w14:paraId="1BAF44B9" w14:textId="5F468A18" w:rsidR="00CE13B1" w:rsidRPr="0033055A" w:rsidRDefault="0020699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>Table 3 here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B581EF4" w14:textId="5FD54DF0" w:rsidR="00D864DA" w:rsidRPr="0033055A" w:rsidRDefault="0020699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>Table 4 here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DEC3D02" w14:textId="15FFC0FD" w:rsidR="00A62A0D" w:rsidRPr="0033055A" w:rsidRDefault="00976158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proportion of children </w:t>
      </w:r>
      <w:r w:rsidR="009C5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having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at least </w:t>
      </w:r>
      <w:r w:rsidR="009C5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one hospital stay of </w:t>
      </w:r>
      <w:r w:rsidR="008008B4" w:rsidRPr="0033055A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days</w:t>
      </w:r>
      <w:r w:rsidR="009C5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their first year of life was high</w:t>
      </w:r>
      <w:r w:rsidR="009C5CA6" w:rsidRPr="0033055A">
        <w:rPr>
          <w:rFonts w:ascii="Times New Roman" w:hAnsi="Times New Roman" w:cs="Times New Roman"/>
          <w:sz w:val="24"/>
          <w:szCs w:val="24"/>
          <w:lang w:val="en-GB"/>
        </w:rPr>
        <w:t>er for children diagnosed prenatally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all </w:t>
      </w:r>
      <w:r w:rsidR="00C248B1" w:rsidRPr="0033055A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anomaly groups</w:t>
      </w:r>
      <w:r w:rsidR="00053C8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>with the differences being statistically significant only for children with TGA</w:t>
      </w:r>
      <w:r w:rsidR="00053C81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(Table </w:t>
      </w:r>
      <w:r w:rsidR="00FC587E" w:rsidRPr="0033055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53C81" w:rsidRPr="003305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E292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7" w:name="_Hlk146100098"/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same pattern was observed for children aged 1-4 years,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 xml:space="preserve">but the differences were </w:t>
      </w:r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statistically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1E72CD" w:rsidRPr="0033055A">
        <w:rPr>
          <w:rFonts w:ascii="Times New Roman" w:hAnsi="Times New Roman" w:cs="Times New Roman"/>
          <w:sz w:val="24"/>
          <w:szCs w:val="24"/>
          <w:lang w:val="en-GB"/>
        </w:rPr>
        <w:t>significant. A similar pattern is also seen when analysing hospital stays of 10 days or more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 xml:space="preserve"> among children aged 1-4 years, but here </w:t>
      </w:r>
      <w:r w:rsidR="00BB1D4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>difference for children with TGA was statistically significant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8BD" w:rsidRPr="003305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Appendix Table 1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>).</w:t>
      </w:r>
      <w:bookmarkEnd w:id="7"/>
    </w:p>
    <w:p w14:paraId="59E4C3F2" w14:textId="56145BB2" w:rsidR="0052169B" w:rsidRPr="0033055A" w:rsidRDefault="0006536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For children with </w:t>
      </w:r>
      <w:r w:rsidR="001A44A2" w:rsidRPr="0033055A">
        <w:rPr>
          <w:rFonts w:ascii="Times New Roman" w:hAnsi="Times New Roman" w:cs="Times New Roman"/>
          <w:sz w:val="24"/>
          <w:szCs w:val="24"/>
          <w:lang w:val="en-GB"/>
        </w:rPr>
        <w:t>spina bifida</w:t>
      </w:r>
      <w:r w:rsidR="00BB7E0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BB1D4D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B7E0B" w:rsidRPr="0033055A">
        <w:rPr>
          <w:rFonts w:ascii="Times New Roman" w:hAnsi="Times New Roman" w:cs="Times New Roman"/>
          <w:sz w:val="24"/>
          <w:szCs w:val="24"/>
          <w:lang w:val="en-GB"/>
        </w:rPr>
        <w:t>surg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ical procedure</w:t>
      </w:r>
      <w:r w:rsidR="00BB7E0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the first year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D478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461D4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diagnosed prenatally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more often had </w:t>
      </w:r>
      <w:r w:rsidR="00494802" w:rsidRPr="0033055A">
        <w:rPr>
          <w:rFonts w:ascii="Times New Roman" w:hAnsi="Times New Roman" w:cs="Times New Roman"/>
          <w:sz w:val="24"/>
          <w:szCs w:val="24"/>
          <w:lang w:val="en-GB"/>
        </w:rPr>
        <w:t>their first surg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 xml:space="preserve">ical procedure </w:t>
      </w:r>
      <w:r w:rsidR="003C7E3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during their first </w:t>
      </w:r>
      <w:r w:rsidR="0049480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week </w:t>
      </w:r>
      <w:r w:rsidR="00810CA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of life </w:t>
      </w:r>
      <w:r w:rsidR="00494802" w:rsidRPr="0033055A">
        <w:rPr>
          <w:rFonts w:ascii="Times New Roman" w:hAnsi="Times New Roman" w:cs="Times New Roman"/>
          <w:sz w:val="24"/>
          <w:szCs w:val="24"/>
          <w:lang w:val="en-GB"/>
        </w:rPr>
        <w:t>(79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%) </w:t>
      </w:r>
      <w:r w:rsidR="00E74A67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than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children with</w:t>
      </w:r>
      <w:r w:rsidR="00655879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</w:t>
      </w:r>
      <w:r w:rsidR="004B7A9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postnatal diagnosis</w:t>
      </w:r>
      <w:r w:rsidR="00902848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(</w:t>
      </w:r>
      <w:r w:rsidR="00BA555E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6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0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%</w:t>
      </w:r>
      <w:r w:rsidR="00BA555E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) 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(</w:t>
      </w:r>
      <w:r w:rsidR="00CD0939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p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=0.002)</w:t>
      </w:r>
      <w:r w:rsidR="004B4303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</w:t>
      </w:r>
      <w:r w:rsidR="00BB7E0B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(Figure </w:t>
      </w:r>
      <w:r w:rsidR="00BD1E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2</w:t>
      </w:r>
      <w:r w:rsidR="00BA555E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). </w:t>
      </w:r>
      <w:r w:rsidR="005E7749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F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or children with CDH, </w:t>
      </w:r>
      <w:r w:rsidR="00136DD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the difference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did not reach statistical significance (7</w:t>
      </w:r>
      <w:r w:rsidR="005E7749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9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% vs</w:t>
      </w:r>
      <w:r w:rsidR="00644614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.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69% for children with prenatal diagnoses vs later diagnoses, p=0.061)</w:t>
      </w:r>
      <w:r w:rsidR="005E7749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.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There was no association between timing of diagnoses and timing of first surg</w:t>
      </w:r>
      <w:r w:rsidR="00AD3F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ical procedure 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for children with TGA and gastroschisis, </w:t>
      </w:r>
      <w:r w:rsidR="00BB1D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with surgery </w:t>
      </w:r>
      <w:r w:rsidR="00EF540C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in the first week of life for 50% </w:t>
      </w:r>
      <w:r w:rsidR="006E3F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and 47% with prenatal and postnatal diagnosis of TGA</w:t>
      </w:r>
      <w:r w:rsidR="002B01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,</w:t>
      </w:r>
      <w:r w:rsidR="006E3F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and </w:t>
      </w:r>
      <w:r w:rsidR="006D176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89</w:t>
      </w:r>
      <w:r w:rsidR="00EF540C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%</w:t>
      </w:r>
      <w:r w:rsidR="006E3F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and 90%</w:t>
      </w:r>
      <w:r w:rsidR="00EF540C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of cases with prenatal and postnatal diagnosis of gastroschisis</w:t>
      </w:r>
      <w:r w:rsidR="002B01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</w:t>
      </w:r>
      <w:r w:rsidR="00C70B53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(Table </w:t>
      </w:r>
      <w:r w:rsidR="00AD3F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5</w:t>
      </w:r>
      <w:r w:rsidR="00C70B53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)</w:t>
      </w:r>
      <w:r w:rsidR="00494802"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>.</w:t>
      </w:r>
    </w:p>
    <w:p w14:paraId="383E03AA" w14:textId="11A3783A" w:rsidR="00B65627" w:rsidRPr="0033055A" w:rsidRDefault="0020699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here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EFE5A34" w14:textId="474804F0" w:rsidR="00D864DA" w:rsidRDefault="0020699D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864D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here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72035F7" w14:textId="49C31295" w:rsidR="00D4474A" w:rsidRDefault="00D4474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BACAD67" w14:textId="77777777" w:rsidR="00D4474A" w:rsidRPr="0033055A" w:rsidRDefault="00D4474A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E1F680D" w14:textId="538C717A" w:rsidR="00053C81" w:rsidRDefault="00B65627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0BE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53C81" w:rsidRPr="00DE0BE2">
        <w:rPr>
          <w:rFonts w:ascii="Times New Roman" w:hAnsi="Times New Roman" w:cs="Times New Roman"/>
          <w:sz w:val="24"/>
          <w:szCs w:val="24"/>
          <w:lang w:val="en-GB"/>
        </w:rPr>
        <w:t>iscussion</w:t>
      </w:r>
    </w:p>
    <w:p w14:paraId="62C92B01" w14:textId="26940A53" w:rsidR="00C079D4" w:rsidRPr="0033055A" w:rsidRDefault="00E601B3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In this study 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prenatal detection rate </w:t>
      </w:r>
      <w:r w:rsidR="005E774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among live births 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>was highest for gastroschisis (9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>%), lowest for TGA (3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>%) and similar for spina bifida (5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>%) and CDH (5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8027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%). </w:t>
      </w:r>
      <w:r w:rsidR="004339AD" w:rsidRPr="0033055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>hildren with a prenatal diagnosis were</w:t>
      </w:r>
      <w:r w:rsidR="00EE197E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born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9A9" w:rsidRPr="0033055A">
        <w:rPr>
          <w:rFonts w:ascii="Times New Roman" w:hAnsi="Times New Roman" w:cs="Times New Roman"/>
          <w:sz w:val="24"/>
          <w:szCs w:val="24"/>
          <w:lang w:val="en-GB"/>
        </w:rPr>
        <w:t>approximately one week</w:t>
      </w:r>
      <w:r w:rsidR="00C079D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2163" w:rsidRPr="0033055A">
        <w:rPr>
          <w:rFonts w:ascii="Times New Roman" w:hAnsi="Times New Roman" w:cs="Times New Roman"/>
          <w:sz w:val="24"/>
          <w:szCs w:val="24"/>
          <w:lang w:val="en-GB"/>
        </w:rPr>
        <w:t>earlier and had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530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longer </w:t>
      </w:r>
      <w:r w:rsidR="00FB216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stays in hospital 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during their first five years of life </w:t>
      </w:r>
      <w:r w:rsidR="0068314E" w:rsidRPr="0033055A">
        <w:rPr>
          <w:rFonts w:ascii="Times New Roman" w:hAnsi="Times New Roman" w:cs="Times New Roman"/>
          <w:sz w:val="24"/>
          <w:szCs w:val="24"/>
          <w:lang w:val="en-GB"/>
        </w:rPr>
        <w:t>than children diagnosed after birth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Children with CDH had a higher 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neonatal </w:t>
      </w:r>
      <w:r w:rsidR="005B4CA6"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and 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>infant mortality</w:t>
      </w:r>
      <w:r w:rsidR="00A03727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1A7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>prenatally diagnose</w:t>
      </w:r>
      <w:r w:rsidR="00D87C4C" w:rsidRPr="0033055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>One explanation may be that prenatally detected children may have more severe anomalies that are more readily visible on an ultrasound scan</w:t>
      </w:r>
      <w:r w:rsidR="002B5D3C" w:rsidRPr="003305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0E5BAF" w:rsidRPr="003305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hildren with 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CDH and 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spina bifida </w:t>
      </w:r>
      <w:r w:rsidR="00686CA9" w:rsidRPr="0033055A">
        <w:rPr>
          <w:rFonts w:ascii="Times New Roman" w:hAnsi="Times New Roman" w:cs="Times New Roman"/>
          <w:sz w:val="24"/>
          <w:szCs w:val="24"/>
          <w:lang w:val="en-GB"/>
        </w:rPr>
        <w:t>diagnosed prenata</w:t>
      </w:r>
      <w:r w:rsidR="00DB7278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86CA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ly 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were more likely to have their first 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surgical procedure</w:t>
      </w:r>
      <w:r w:rsidR="006C6768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within the first week of life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>, which may reflect more rapid and efficient planning of postnatal care</w:t>
      </w:r>
      <w:r w:rsidR="00EB217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B217F" w:rsidRPr="0033055A">
        <w:rPr>
          <w:rFonts w:ascii="Times New Roman" w:hAnsi="Times New Roman" w:cs="Times New Roman"/>
          <w:sz w:val="24"/>
          <w:szCs w:val="24"/>
          <w:lang w:val="en-GB"/>
        </w:rPr>
        <w:t>subsequent to</w:t>
      </w:r>
      <w:proofErr w:type="gramEnd"/>
      <w:r w:rsidR="00EB217F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perinatal diagnoses.</w:t>
      </w:r>
      <w:r w:rsidR="002B5D3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FEABC53" w14:textId="660EA7C9" w:rsidR="00C079D4" w:rsidRPr="0033055A" w:rsidRDefault="00A26E24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CE13B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pina bifida</w:t>
      </w:r>
      <w:r w:rsidR="00AF1A7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our results </w:t>
      </w:r>
      <w:r w:rsidR="00342ED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postulation that prenatally detected children may have more severe </w:t>
      </w:r>
      <w:r w:rsidR="00AF1A73" w:rsidRPr="0033055A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subtypes of this </w:t>
      </w:r>
      <w:r w:rsidR="00153669" w:rsidRPr="0033055A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congenital </w:t>
      </w:r>
      <w:r w:rsidR="00AF1A73" w:rsidRPr="0033055A">
        <w:rPr>
          <w:rFonts w:ascii="Times New Roman" w:hAnsi="Times New Roman" w:cs="Times New Roman"/>
          <w:color w:val="202124"/>
          <w:sz w:val="24"/>
          <w:szCs w:val="24"/>
          <w:lang w:val="en"/>
        </w:rPr>
        <w:t>anomaly</w:t>
      </w:r>
      <w:r w:rsidR="00342ED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consistent with the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guidelines </w:t>
      </w:r>
      <w:r w:rsidR="00C9154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33055A">
        <w:rPr>
          <w:rFonts w:ascii="Times New Roman" w:hAnsi="Times New Roman" w:cs="Times New Roman"/>
          <w:color w:val="2E2E2E"/>
          <w:sz w:val="24"/>
          <w:szCs w:val="24"/>
          <w:lang w:val="en-GB"/>
        </w:rPr>
        <w:t>Society of Obstetricians and Gynaecologists of Canada</w:t>
      </w:r>
      <w:r w:rsidR="00C62C08">
        <w:rPr>
          <w:rFonts w:ascii="Times New Roman" w:hAnsi="Times New Roman" w:cs="Times New Roman"/>
          <w:color w:val="2E2E2E"/>
          <w:sz w:val="24"/>
          <w:szCs w:val="24"/>
          <w:lang w:val="en-GB"/>
        </w:rPr>
        <w:t xml:space="preserve"> (</w:t>
      </w:r>
      <w:r w:rsidR="00C62C08" w:rsidRPr="00693C1E">
        <w:rPr>
          <w:rFonts w:ascii="Times New Roman" w:hAnsi="Times New Roman" w:cs="Times New Roman"/>
          <w:sz w:val="24"/>
          <w:szCs w:val="24"/>
          <w:lang w:val="en-US"/>
        </w:rPr>
        <w:t>Douglas Wilson et al. 2021)</w:t>
      </w:r>
      <w:r w:rsidR="00C6564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. These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recommend that </w:t>
      </w:r>
      <w:r w:rsidR="005C14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ability to </w:t>
      </w:r>
      <w:r w:rsidR="00FD06D7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detect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severity of the cases </w:t>
      </w:r>
      <w:r w:rsidR="005C14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through prenatal diagnosis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has increased, </w:t>
      </w:r>
      <w:r w:rsidR="00CA1330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specialist units should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plan the mode of delivery, </w:t>
      </w:r>
      <w:r w:rsidR="00F9693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plan and </w:t>
      </w:r>
      <w:r w:rsidR="00F9693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undertake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immediate and subsequent postnatal care</w:t>
      </w:r>
      <w:r w:rsidR="00C9154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AA747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Prenatal diagnosis can be used to plan the mode of delivery, but </w:t>
      </w:r>
      <w:r w:rsidR="002D0C6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those </w:t>
      </w:r>
      <w:r w:rsidR="00AA747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</w:t>
      </w:r>
      <w:r w:rsidR="00342ED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spina bifida</w:t>
      </w:r>
      <w:r w:rsidR="00CF38D0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AA747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choice between elective caesarean section and</w:t>
      </w:r>
      <w:r w:rsidR="003D49C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vaginal delivery after</w:t>
      </w:r>
      <w:r w:rsidR="00AA747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spontaneous labour did not seem to affect motor function or ambulation status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C62C08" w:rsidRPr="00C62C08"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="00C62C08">
        <w:rPr>
          <w:rFonts w:ascii="Times New Roman" w:hAnsi="Times New Roman" w:cs="Times New Roman"/>
          <w:sz w:val="24"/>
          <w:szCs w:val="24"/>
          <w:lang w:val="en-US"/>
        </w:rPr>
        <w:t xml:space="preserve"> et al. 2004</w:t>
      </w:r>
      <w:r w:rsidR="00BD26A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26A2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BD26A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5C14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randomised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tr</w:t>
      </w:r>
      <w:r w:rsidR="00CD093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ia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l reported in 2011 concluded that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myelomeningocele repair </w:t>
      </w:r>
      <w:r w:rsidR="006E3F8E" w:rsidRPr="00693C1E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in utero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by hysterotomy reduce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need for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shunt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placement within the first year </w:t>
      </w:r>
      <w:proofErr w:type="gramStart"/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also</w:t>
      </w:r>
      <w:proofErr w:type="gramEnd"/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improve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motor outcomes at 30 months compared </w:t>
      </w:r>
      <w:r w:rsidR="00D7509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standard postnatal repair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Adzick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2011)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However,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data from </w:t>
      </w:r>
      <w:r w:rsidR="00403C9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our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study covers the years 1995 to 2014 and</w:t>
      </w:r>
      <w:r w:rsidR="00976A0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very few such prenatal surg</w:t>
      </w:r>
      <w:r w:rsidR="00197BE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ical procedures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76A0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we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 likely to have occurred in </w:t>
      </w:r>
      <w:r w:rsidR="00197BE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children in </w:t>
      </w:r>
      <w:r w:rsidR="0028027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our data. </w:t>
      </w:r>
      <w:r w:rsidR="00AA747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C676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B194B5B" w14:textId="77777777" w:rsidR="00DE0BE2" w:rsidRDefault="00DE0BE2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2231DD5" w14:textId="0FFD28E9" w:rsidR="00CE13B1" w:rsidRPr="0033055A" w:rsidRDefault="00EA1121" w:rsidP="00693C1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461D4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CDH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there have been several studies reporting </w:t>
      </w:r>
      <w:r w:rsidR="0093548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either no association or a negative association </w:t>
      </w:r>
      <w:r w:rsidR="00F161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between </w:t>
      </w:r>
      <w:r w:rsidR="0093548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 prenatal diagnosis</w:t>
      </w:r>
      <w:r w:rsidR="00F161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="0093548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subsequent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mortality</w:t>
      </w:r>
      <w:r w:rsidR="00904FC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morbidity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Mesas Burgos et al. 2016; </w:t>
      </w:r>
      <w:proofErr w:type="spellStart"/>
      <w:r w:rsidR="00C62C08" w:rsidRPr="00C62C08">
        <w:rPr>
          <w:rFonts w:ascii="Times New Roman" w:hAnsi="Times New Roman" w:cs="Times New Roman"/>
          <w:sz w:val="24"/>
          <w:szCs w:val="24"/>
          <w:lang w:val="en-US"/>
        </w:rPr>
        <w:t>Skari</w:t>
      </w:r>
      <w:proofErr w:type="spellEnd"/>
      <w:r w:rsidR="00C62C08" w:rsidRPr="00C62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C08">
        <w:rPr>
          <w:rFonts w:ascii="Times New Roman" w:hAnsi="Times New Roman" w:cs="Times New Roman"/>
          <w:sz w:val="24"/>
          <w:szCs w:val="24"/>
          <w:lang w:val="en-US"/>
        </w:rPr>
        <w:t xml:space="preserve">et al. 1998; 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Colvin et al. 2005; 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Barriere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2018; Long et al. 2019)</w:t>
      </w:r>
      <w:r w:rsidRPr="0033055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</w:t>
      </w:r>
      <w:r w:rsidR="00461D4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356AE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conclud</w:t>
      </w:r>
      <w:r w:rsidR="0093548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ing that observed assoc</w:t>
      </w:r>
      <w:r w:rsidR="0059442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iation </w:t>
      </w:r>
      <w:r w:rsidR="0093548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were</w:t>
      </w:r>
      <w:r w:rsidR="0059442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56AE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due to the prenatal</w:t>
      </w:r>
      <w:r w:rsidR="0075529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l</w:t>
      </w:r>
      <w:r w:rsidR="00356AE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y diagnosed cases having more severe</w:t>
      </w:r>
      <w:r w:rsidR="00F1617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condition</w:t>
      </w:r>
      <w:r w:rsidR="00356AE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FA31F2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 recent RCT showed that prenatal treatment of severe CDH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Deprest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2021</w:t>
      </w:r>
      <w:r w:rsidR="00DE0BE2" w:rsidRPr="001904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but not moderate </w:t>
      </w:r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CDH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Deprest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2021</w:t>
      </w:r>
      <w:r w:rsidR="00DE0BE2" w:rsidRPr="001904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improved </w:t>
      </w:r>
      <w:proofErr w:type="spellStart"/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newborn</w:t>
      </w:r>
      <w:proofErr w:type="spellEnd"/>
      <w:r w:rsidR="000E5BA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outcomes. </w:t>
      </w:r>
      <w:r w:rsidR="00904FC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 study of 30 cases with CDH</w:t>
      </w:r>
      <w:r w:rsidR="00C62C0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>Bétrémieux</w:t>
      </w:r>
      <w:proofErr w:type="spellEnd"/>
      <w:r w:rsidR="00C62C08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2004)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apparently contradicts these findings by showing that prenatally diagnosed isolated </w:t>
      </w:r>
      <w:r w:rsidR="00323785" w:rsidRPr="0033055A">
        <w:rPr>
          <w:rFonts w:ascii="Times New Roman" w:hAnsi="Times New Roman" w:cs="Times New Roman"/>
          <w:sz w:val="24"/>
          <w:szCs w:val="24"/>
          <w:lang w:val="en-GB"/>
        </w:rPr>
        <w:t>CDH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treated with immediate planned </w:t>
      </w:r>
      <w:r w:rsidR="00A653D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intensive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care had a higher survival </w:t>
      </w:r>
      <w:r w:rsidR="001C37D9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>than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those diagnosed</w:t>
      </w:r>
      <w:r w:rsidR="004B7A9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at birth or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later or </w:t>
      </w:r>
      <w:r w:rsidR="00BF2C99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>those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B35ED2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 xml:space="preserve">receiving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>the full specifically adapted postnatal procedure. However</w:t>
      </w:r>
      <w:r w:rsidR="00B35ED2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>,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9A4FC1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>study</w:t>
      </w:r>
      <w:r w:rsidR="00904FC5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 xml:space="preserve"> evaluat</w:t>
      </w:r>
      <w:r w:rsidR="009A4FC1" w:rsidRPr="0033055A">
        <w:rPr>
          <w:rFonts w:ascii="Times New Roman" w:hAnsi="Times New Roman" w:cs="Times New Roman"/>
          <w:color w:val="2D2D2D"/>
          <w:sz w:val="24"/>
          <w:szCs w:val="24"/>
          <w:shd w:val="clear" w:color="auto" w:fill="F9F8F7"/>
          <w:lang w:val="en-GB"/>
        </w:rPr>
        <w:t>ed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effectiveness of the </w:t>
      </w:r>
      <w:r w:rsidR="00B02C50" w:rsidRPr="0033055A">
        <w:rPr>
          <w:rFonts w:ascii="Times New Roman" w:hAnsi="Times New Roman" w:cs="Times New Roman"/>
          <w:sz w:val="24"/>
          <w:szCs w:val="24"/>
          <w:lang w:val="en-GB"/>
        </w:rPr>
        <w:t>immediate planned care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as well as the effe</w:t>
      </w:r>
      <w:r w:rsidR="00B02C50" w:rsidRPr="0033055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>tiveness of prenatal diagnosis</w:t>
      </w:r>
      <w:r w:rsidR="00C91B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BF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>Bétrémieux</w:t>
      </w:r>
      <w:proofErr w:type="spellEnd"/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2004</w:t>
      </w:r>
      <w:r w:rsidR="00C91BF4" w:rsidRPr="00CD5D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4FC5" w:rsidRPr="00CD5D3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61497" w:rsidRPr="00CD5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1497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The big difference in mortality found in this study between prenatal and postnatal diagnosis may be explained by inclusion of infants </w:t>
      </w:r>
      <w:r w:rsidR="00F16175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with CDH </w:t>
      </w:r>
      <w:r w:rsidR="00F61497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>diagnosed weeks or months after birth. All these children are expected to survive the</w:t>
      </w:r>
      <w:r w:rsidR="00C63673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>ir</w:t>
      </w:r>
      <w:r w:rsidR="00F61497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surgery</w:t>
      </w:r>
      <w:r w:rsidR="00B01146" w:rsidRPr="00693C1E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and their </w:t>
      </w:r>
      <w:r w:rsidR="0006670C" w:rsidRPr="00CD5D3F">
        <w:rPr>
          <w:rFonts w:ascii="Times New Roman" w:hAnsi="Times New Roman" w:cs="Times New Roman"/>
          <w:sz w:val="24"/>
          <w:szCs w:val="24"/>
        </w:rPr>
        <w:t>mortality rate was 25.3%. Mortality for prenatally diagnosed</w:t>
      </w:r>
      <w:r w:rsidR="0006670C" w:rsidRPr="001904AD">
        <w:rPr>
          <w:rFonts w:ascii="Times New Roman" w:hAnsi="Times New Roman" w:cs="Times New Roman"/>
          <w:sz w:val="24"/>
          <w:szCs w:val="24"/>
        </w:rPr>
        <w:t xml:space="preserve"> CDH cases was 35.9% which is consistent with the literature, while it was 11.9% for postnatally diagnosed cases, which is lower than expected. Infants who died ≥1 day after birth not identified in hospital databases were excluded from </w:t>
      </w:r>
      <w:r w:rsidR="005E0C2B">
        <w:rPr>
          <w:rFonts w:ascii="Times New Roman" w:hAnsi="Times New Roman" w:cs="Times New Roman"/>
          <w:sz w:val="24"/>
          <w:szCs w:val="24"/>
        </w:rPr>
        <w:t>our</w:t>
      </w:r>
      <w:r w:rsidR="0006670C" w:rsidRPr="001904AD">
        <w:rPr>
          <w:rFonts w:ascii="Times New Roman" w:hAnsi="Times New Roman" w:cs="Times New Roman"/>
          <w:sz w:val="24"/>
          <w:szCs w:val="24"/>
        </w:rPr>
        <w:t xml:space="preserve"> study to avoid bias due to "missing" linkage. It is possible that some infants diagnosed with CDH postnatally may have died be</w:t>
      </w:r>
      <w:r w:rsidR="002B0B2C" w:rsidRPr="001904AD">
        <w:rPr>
          <w:rFonts w:ascii="Times New Roman" w:hAnsi="Times New Roman" w:cs="Times New Roman"/>
          <w:sz w:val="24"/>
          <w:szCs w:val="24"/>
        </w:rPr>
        <w:t>f</w:t>
      </w:r>
      <w:r w:rsidR="0006670C" w:rsidRPr="001904AD">
        <w:rPr>
          <w:rFonts w:ascii="Times New Roman" w:hAnsi="Times New Roman" w:cs="Times New Roman"/>
          <w:sz w:val="24"/>
          <w:szCs w:val="24"/>
        </w:rPr>
        <w:t>ore being transferred to a tertiary hospital for treatment, and these deaths (most of which occurred in the first 28 days of life) were excluded from the study</w:t>
      </w:r>
      <w:r w:rsidR="002C2213" w:rsidRPr="001904AD">
        <w:rPr>
          <w:rFonts w:ascii="Times New Roman" w:hAnsi="Times New Roman" w:cs="Times New Roman"/>
          <w:sz w:val="24"/>
          <w:szCs w:val="24"/>
        </w:rPr>
        <w:t xml:space="preserve"> </w:t>
      </w:r>
      <w:r w:rsidR="00154A3F">
        <w:rPr>
          <w:rFonts w:ascii="Times New Roman" w:hAnsi="Times New Roman" w:cs="Times New Roman"/>
          <w:sz w:val="24"/>
          <w:szCs w:val="24"/>
        </w:rPr>
        <w:t>(</w:t>
      </w:r>
      <w:r w:rsidR="002C2213" w:rsidRPr="001904AD">
        <w:rPr>
          <w:rFonts w:ascii="Times New Roman" w:hAnsi="Times New Roman" w:cs="Times New Roman"/>
          <w:sz w:val="24"/>
          <w:szCs w:val="24"/>
        </w:rPr>
        <w:t>Loane et al</w:t>
      </w:r>
      <w:r w:rsidR="000D7D52">
        <w:rPr>
          <w:rFonts w:ascii="Times New Roman" w:hAnsi="Times New Roman" w:cs="Times New Roman"/>
          <w:sz w:val="24"/>
          <w:szCs w:val="24"/>
        </w:rPr>
        <w:t>.</w:t>
      </w:r>
      <w:r w:rsidR="002C2213" w:rsidRPr="00CD5D3F">
        <w:rPr>
          <w:rFonts w:ascii="Times New Roman" w:hAnsi="Times New Roman" w:cs="Times New Roman"/>
          <w:sz w:val="24"/>
          <w:szCs w:val="24"/>
        </w:rPr>
        <w:t xml:space="preserve"> 2023</w:t>
      </w:r>
      <w:r w:rsidR="00154A3F">
        <w:rPr>
          <w:rFonts w:ascii="Times New Roman" w:hAnsi="Times New Roman" w:cs="Times New Roman"/>
          <w:sz w:val="24"/>
          <w:szCs w:val="24"/>
        </w:rPr>
        <w:t>)</w:t>
      </w:r>
      <w:r w:rsidR="002C2213" w:rsidRPr="00CD5D3F">
        <w:rPr>
          <w:rFonts w:ascii="Times New Roman" w:hAnsi="Times New Roman" w:cs="Times New Roman"/>
          <w:sz w:val="24"/>
          <w:szCs w:val="24"/>
        </w:rPr>
        <w:t>.</w:t>
      </w:r>
      <w:r w:rsidR="006E3F8E">
        <w:rPr>
          <w:rFonts w:ascii="Times New Roman" w:hAnsi="Times New Roman" w:cs="Times New Roman"/>
          <w:sz w:val="24"/>
          <w:szCs w:val="24"/>
        </w:rPr>
        <w:t xml:space="preserve">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 European Reference Network ERNICA has proposed a protocol </w:t>
      </w:r>
      <w:r w:rsidR="00C44730" w:rsidRPr="0033055A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recommends using standardized ultrasound assessments of </w:t>
      </w:r>
      <w:proofErr w:type="spellStart"/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>fetuses</w:t>
      </w:r>
      <w:proofErr w:type="spellEnd"/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isolated CDH to predict the neonatal outcome</w:t>
      </w:r>
      <w:r w:rsidR="00C91B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>Russo et al. 2018)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D42B91" w14:textId="25FEC4B1" w:rsidR="00CE13B1" w:rsidRPr="0033055A" w:rsidRDefault="00CC1D59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0BE9" w:rsidRPr="0033055A">
        <w:rPr>
          <w:rFonts w:ascii="Times New Roman" w:hAnsi="Times New Roman" w:cs="Times New Roman"/>
          <w:sz w:val="24"/>
          <w:szCs w:val="24"/>
          <w:lang w:val="en-GB"/>
        </w:rPr>
        <w:t>tudies have reported either lower mortality and morbidity in children with p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>renatal</w:t>
      </w:r>
      <w:r w:rsidR="00B02C50" w:rsidRPr="0033055A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diagnos</w:t>
      </w:r>
      <w:r w:rsidR="00B02C50" w:rsidRPr="0033055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TGA</w:t>
      </w:r>
      <w:r w:rsidR="002D0BE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compared with </w:t>
      </w:r>
      <w:r w:rsidR="00323785" w:rsidRPr="0033055A">
        <w:rPr>
          <w:rFonts w:ascii="Times New Roman" w:hAnsi="Times New Roman" w:cs="Times New Roman"/>
          <w:sz w:val="24"/>
          <w:szCs w:val="24"/>
          <w:lang w:val="en-GB"/>
        </w:rPr>
        <w:t>postnatal</w:t>
      </w:r>
      <w:r w:rsidR="00710942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32378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BE9" w:rsidRPr="0033055A">
        <w:rPr>
          <w:rFonts w:ascii="Times New Roman" w:hAnsi="Times New Roman" w:cs="Times New Roman"/>
          <w:sz w:val="24"/>
          <w:szCs w:val="24"/>
          <w:lang w:val="en-GB"/>
        </w:rPr>
        <w:t>diagnos</w:t>
      </w:r>
      <w:r w:rsidR="0071094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2D0BE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or no association of prenatal diagnoses with outcome</w:t>
      </w:r>
      <w:r w:rsidR="00C91B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Russo et al. 1999; Cloete et al. 2019; Kunde et al. 2021; </w:t>
      </w:r>
      <w:r w:rsidR="00C91BF4" w:rsidRPr="00C91BF4">
        <w:rPr>
          <w:rFonts w:ascii="Times New Roman" w:hAnsi="Times New Roman" w:cs="Times New Roman"/>
          <w:sz w:val="24"/>
          <w:szCs w:val="24"/>
          <w:lang w:val="en-US"/>
        </w:rPr>
        <w:t>Nagata et al.</w:t>
      </w:r>
      <w:r w:rsidR="00C91BF4">
        <w:rPr>
          <w:rFonts w:ascii="Times New Roman" w:hAnsi="Times New Roman" w:cs="Times New Roman"/>
          <w:sz w:val="24"/>
          <w:szCs w:val="24"/>
          <w:lang w:val="en-US"/>
        </w:rPr>
        <w:t xml:space="preserve"> 2020; </w:t>
      </w:r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>Velzen</w:t>
      </w:r>
      <w:proofErr w:type="spellEnd"/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et al. 2015; Domínguez-Manzano et al. 2017)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Postnatal acidosis and need for intubation have been reported to be more common among postnatally diagnosed cases, but many longer-term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outcome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measures, for example the length of post-operative Intensive Care Unit (ICU) stay, have not differed between the groups. </w:t>
      </w:r>
      <w:r w:rsidR="00323785" w:rsidRPr="0033055A">
        <w:rPr>
          <w:rFonts w:ascii="Times New Roman" w:hAnsi="Times New Roman" w:cs="Times New Roman"/>
          <w:sz w:val="24"/>
          <w:szCs w:val="24"/>
          <w:lang w:val="en-GB"/>
        </w:rPr>
        <w:t>It has been suggested that p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renatal diagnosis of TGA </w:t>
      </w:r>
      <w:r w:rsidR="00323785" w:rsidRPr="0033055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associated with better 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>neurocognitive outcomes, especially executive function</w:t>
      </w:r>
      <w:r w:rsidR="00C91B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91BF4" w:rsidRPr="001904AD">
        <w:rPr>
          <w:rFonts w:ascii="Times New Roman" w:hAnsi="Times New Roman" w:cs="Times New Roman"/>
          <w:sz w:val="24"/>
          <w:szCs w:val="24"/>
          <w:lang w:val="en-US"/>
        </w:rPr>
        <w:t>Calderon et al. 2012; Peake et al. 2015)</w:t>
      </w:r>
      <w:r w:rsidR="00904FC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D5D3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>e found that prenatal</w:t>
      </w:r>
      <w:r w:rsidR="00CE13B1" w:rsidRPr="0033055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y diagnosed cases were more likely to spend more time in hospital up to the age of </w:t>
      </w:r>
      <w:r w:rsidR="000E5BAF" w:rsidRPr="0033055A">
        <w:rPr>
          <w:rFonts w:ascii="Times New Roman" w:hAnsi="Times New Roman" w:cs="Times New Roman"/>
          <w:sz w:val="24"/>
          <w:szCs w:val="24"/>
          <w:lang w:val="en-GB"/>
        </w:rPr>
        <w:t>five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>, but, in agreement with other studies, there was no clear difference in surgi</w:t>
      </w:r>
      <w:r w:rsidR="007F2830" w:rsidRPr="0033055A">
        <w:rPr>
          <w:rFonts w:ascii="Times New Roman" w:hAnsi="Times New Roman" w:cs="Times New Roman"/>
          <w:sz w:val="24"/>
          <w:szCs w:val="24"/>
          <w:lang w:val="en-GB"/>
        </w:rPr>
        <w:t>cal procedures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within the first week</w:t>
      </w:r>
      <w:r w:rsidR="00917A8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life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146FD8" w14:textId="77777777" w:rsidR="00B01146" w:rsidRDefault="00B01146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B986185" w14:textId="4AE5A5BF" w:rsidR="007E5367" w:rsidRPr="0033055A" w:rsidRDefault="007E5367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Prenatal diagnosis of gastroschisis does not seem to be associated with a poorer outcome when compared </w:t>
      </w:r>
      <w:r w:rsidR="004C051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postnatal diagnosis</w:t>
      </w:r>
      <w:r w:rsidR="00C91B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C91BF4" w:rsidRPr="001904AD">
        <w:rPr>
          <w:rFonts w:ascii="Times New Roman" w:hAnsi="Times New Roman" w:cs="Times New Roman"/>
          <w:bCs/>
          <w:sz w:val="24"/>
          <w:szCs w:val="24"/>
          <w:lang w:val="en-US"/>
        </w:rPr>
        <w:t>Sipes et al. 1990)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However, there are indications that certain prenatal ultrasound </w:t>
      </w:r>
      <w:r w:rsidR="00780C6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findings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(intra</w:t>
      </w:r>
      <w:r w:rsidR="00B43DA5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abdominal bowel dilatation, </w:t>
      </w:r>
      <w:proofErr w:type="gramStart"/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polyhydramnios</w:t>
      </w:r>
      <w:proofErr w:type="gramEnd"/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gastric dilatation)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can be used to identify neonates with a higher risk of postnatal complications</w:t>
      </w:r>
      <w:r w:rsidR="00C91B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C91BF4" w:rsidRPr="001904AD">
        <w:rPr>
          <w:rFonts w:ascii="Times New Roman" w:hAnsi="Times New Roman" w:cs="Times New Roman"/>
          <w:bCs/>
          <w:sz w:val="24"/>
          <w:szCs w:val="24"/>
          <w:lang w:val="en-US"/>
        </w:rPr>
        <w:t>D'Antonio</w:t>
      </w:r>
      <w:proofErr w:type="spellEnd"/>
      <w:r w:rsidR="00C91BF4" w:rsidRPr="001904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et al. 2015)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In our study, over 90% </w:t>
      </w:r>
      <w:r w:rsidR="00616530" w:rsidRPr="0033055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f cases were detected prenatal</w:t>
      </w:r>
      <w:r w:rsidR="00FC48FF" w:rsidRPr="0033055A">
        <w:rPr>
          <w:rFonts w:ascii="Times New Roman" w:hAnsi="Times New Roman" w:cs="Times New Roman"/>
          <w:sz w:val="24"/>
          <w:szCs w:val="24"/>
          <w:lang w:val="en-GB"/>
        </w:rPr>
        <w:t>ly,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resulting in </w:t>
      </w:r>
      <w:r w:rsidR="0061653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small sample of cases detected </w:t>
      </w:r>
      <w:r w:rsidR="00614EBB" w:rsidRPr="0033055A">
        <w:rPr>
          <w:rFonts w:ascii="Times New Roman" w:hAnsi="Times New Roman" w:cs="Times New Roman"/>
          <w:sz w:val="24"/>
          <w:szCs w:val="24"/>
          <w:lang w:val="en-GB"/>
        </w:rPr>
        <w:t>postnatally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653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limited the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power</w:t>
      </w:r>
      <w:r w:rsidR="0061653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our study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to detect any associations with a prenatal diagnosis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7FE2114A" w14:textId="77777777" w:rsidR="007E5367" w:rsidRPr="0033055A" w:rsidRDefault="007E5367" w:rsidP="002467ED">
      <w:pPr>
        <w:suppressLineNumbers/>
        <w:shd w:val="clear" w:color="auto" w:fill="FFFFFF" w:themeFill="background1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EBE4C41" w14:textId="4F4B4CD7" w:rsidR="00E601B3" w:rsidRPr="00D4474A" w:rsidRDefault="00E601B3" w:rsidP="00D4474A">
      <w:pPr>
        <w:suppressLineNumbers/>
        <w:shd w:val="clear" w:color="auto" w:fill="FFFFFF" w:themeFill="background1"/>
        <w:spacing w:after="0" w:line="48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4474A">
        <w:rPr>
          <w:rFonts w:ascii="Times New Roman" w:hAnsi="Times New Roman" w:cs="Times New Roman"/>
          <w:i/>
          <w:iCs/>
          <w:sz w:val="24"/>
          <w:szCs w:val="24"/>
          <w:lang w:val="en-GB"/>
        </w:rPr>
        <w:t>Strengths</w:t>
      </w:r>
      <w:r w:rsidR="00053C81" w:rsidRPr="00D4474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limitations</w:t>
      </w:r>
    </w:p>
    <w:p w14:paraId="0DFBCD2D" w14:textId="7300D870" w:rsidR="006E3F8E" w:rsidRDefault="00CC1D59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strength of this study was that </w:t>
      </w:r>
      <w:r w:rsidR="00542CA1" w:rsidRPr="0033055A">
        <w:rPr>
          <w:rFonts w:ascii="Times New Roman" w:hAnsi="Times New Roman" w:cs="Times New Roman"/>
          <w:sz w:val="24"/>
          <w:szCs w:val="24"/>
          <w:lang w:val="en-GB"/>
        </w:rPr>
        <w:t>data were standardised to a CDM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by each participating regist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Further, a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ll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FC48FF" w:rsidRPr="0033055A">
        <w:rPr>
          <w:rFonts w:ascii="Times New Roman" w:hAnsi="Times New Roman" w:cs="Times New Roman"/>
          <w:sz w:val="24"/>
          <w:szCs w:val="24"/>
          <w:lang w:val="en-GB"/>
        </w:rPr>
        <w:t>population-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>based and are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members of EUROCAT and therefore the quality of the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36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coding of the congenital anomalies is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>high and all births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>with the specified anomal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>in areas covered by the registers</w:t>
      </w:r>
      <w:r w:rsidR="00C50DB6">
        <w:rPr>
          <w:rFonts w:ascii="Times New Roman" w:hAnsi="Times New Roman" w:cs="Times New Roman"/>
          <w:sz w:val="24"/>
          <w:szCs w:val="24"/>
          <w:lang w:val="en-GB"/>
        </w:rPr>
        <w:t xml:space="preserve"> are included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Many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published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studies are based on children presenting to tertiary care centres, which </w:t>
      </w:r>
      <w:r w:rsidR="00F6149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C9763F">
        <w:rPr>
          <w:rFonts w:ascii="Times New Roman" w:hAnsi="Times New Roman" w:cs="Times New Roman"/>
          <w:sz w:val="24"/>
          <w:szCs w:val="24"/>
          <w:lang w:val="en-GB"/>
        </w:rPr>
        <w:t>yield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biased samples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by excluding the less severely affected children</w:t>
      </w:r>
      <w:r w:rsidR="00F61497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It may be a limitation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this study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that the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diagnosis of an isolated TGA may 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be a proxy for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 more complex heart </w:t>
      </w:r>
      <w:proofErr w:type="gramStart"/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anomaly, </w:t>
      </w:r>
      <w:r w:rsidR="00F30554" w:rsidRPr="0033055A">
        <w:rPr>
          <w:rFonts w:ascii="Times New Roman" w:hAnsi="Times New Roman" w:cs="Times New Roman"/>
          <w:sz w:val="24"/>
          <w:szCs w:val="24"/>
          <w:lang w:val="en-GB"/>
        </w:rPr>
        <w:t>since</w:t>
      </w:r>
      <w:proofErr w:type="gramEnd"/>
      <w:r w:rsidR="00F3055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there may be differences 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>TGAs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are coded across the participating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4422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6AAF58" w14:textId="77777777" w:rsidR="006E3F8E" w:rsidRDefault="006E3F8E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2B5E622" w14:textId="08475CB7" w:rsidR="004B2E4A" w:rsidRPr="0033055A" w:rsidRDefault="00065577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The r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egistration of hospitali</w:t>
      </w:r>
      <w:r w:rsidR="002C5DE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ations and surgical procedures</w:t>
      </w:r>
      <w:r w:rsidR="00B011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 hospital database</w:t>
      </w:r>
      <w:r w:rsidR="00F47927">
        <w:rPr>
          <w:rFonts w:ascii="Times New Roman" w:hAnsi="Times New Roman" w:cs="Times New Roman"/>
          <w:color w:val="000000"/>
          <w:sz w:val="24"/>
          <w:szCs w:val="24"/>
          <w:lang w:val="en-GB"/>
        </w:rPr>
        <w:t>, and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011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47927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access to surgical care 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may differ </w:t>
      </w:r>
      <w:r w:rsidR="00452C4D">
        <w:rPr>
          <w:rFonts w:ascii="Times New Roman" w:hAnsi="Times New Roman" w:cs="Times New Roman"/>
          <w:color w:val="000000"/>
          <w:sz w:val="24"/>
          <w:szCs w:val="24"/>
          <w:lang w:val="en-GB"/>
        </w:rPr>
        <w:t>in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time and place. </w:t>
      </w:r>
      <w:r w:rsidR="005B4CA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011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Moreover, </w:t>
      </w:r>
      <w:r w:rsidR="00B0114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D03B3" w:rsidRPr="00486162">
        <w:rPr>
          <w:rFonts w:ascii="Times New Roman" w:hAnsi="Times New Roman" w:cs="Times New Roman"/>
          <w:sz w:val="24"/>
          <w:szCs w:val="24"/>
          <w:lang w:val="en-GB"/>
        </w:rPr>
        <w:t>hildren with severe and complex congenital anomalies may have been referred for specialised surgical or medical treatment outside the registry area before or after birth</w:t>
      </w:r>
      <w:r w:rsidR="00667F3E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2D03B3" w:rsidRPr="00486162">
        <w:rPr>
          <w:rFonts w:ascii="Times New Roman" w:hAnsi="Times New Roman" w:cs="Times New Roman"/>
          <w:sz w:val="24"/>
          <w:szCs w:val="24"/>
          <w:lang w:val="en-GB"/>
        </w:rPr>
        <w:t xml:space="preserve"> may underestimate the morbidity.</w:t>
      </w:r>
      <w:r w:rsidR="002D03B3">
        <w:rPr>
          <w:rFonts w:ascii="MinionPro-Regular" w:hAnsi="MinionPro-Regular" w:cs="MinionPro-Regular"/>
          <w:sz w:val="20"/>
          <w:szCs w:val="20"/>
          <w:lang w:val="en-GB"/>
        </w:rPr>
        <w:t xml:space="preserve"> 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expected that </w:t>
      </w:r>
      <w:r w:rsidR="002D16B0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</w:t>
      </w:r>
      <w:r w:rsidR="00EB4CA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children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 the selected congenital anomalies would be </w:t>
      </w:r>
      <w:r w:rsidR="002D16B0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treated in hospital unless they died before receiving a unique ID and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/or</w:t>
      </w:r>
      <w:r w:rsidR="002D16B0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being registered in the hospital database.</w:t>
      </w:r>
      <w:r w:rsidR="00E601B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all </w:t>
      </w:r>
      <w:r w:rsidR="00917A8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four selected 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anomalies the proportion of children hospitalised in the first year</w:t>
      </w:r>
      <w:r w:rsidR="00917A8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life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D1E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increased from 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93%</w:t>
      </w:r>
      <w:r w:rsidR="00EC64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or more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C648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over 98% 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D81C09" w:rsidRPr="0033055A">
        <w:rPr>
          <w:rFonts w:ascii="Times New Roman" w:hAnsi="Times New Roman" w:cs="Times New Roman"/>
          <w:sz w:val="24"/>
          <w:szCs w:val="24"/>
          <w:lang w:val="en-GB"/>
        </w:rPr>
        <w:t>except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for children with</w:t>
      </w:r>
      <w:r w:rsidR="00D81C0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spina bifida</w:t>
      </w:r>
      <w:r w:rsidR="00D81C0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="00EC648F">
        <w:rPr>
          <w:rFonts w:ascii="Times New Roman" w:hAnsi="Times New Roman" w:cs="Times New Roman"/>
          <w:color w:val="000000"/>
          <w:sz w:val="24"/>
          <w:szCs w:val="24"/>
          <w:lang w:val="en-GB"/>
        </w:rPr>
        <w:t>during the study period</w:t>
      </w:r>
      <w:r w:rsidR="00D72E8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>Thus, the proportion of ne</w:t>
      </w:r>
      <w:r w:rsidR="00A74E8A" w:rsidRPr="0033055A">
        <w:rPr>
          <w:rFonts w:ascii="Times New Roman" w:hAnsi="Times New Roman" w:cs="Times New Roman"/>
          <w:sz w:val="24"/>
          <w:szCs w:val="24"/>
          <w:lang w:val="en-GB"/>
        </w:rPr>
        <w:t>onates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with the selected four congenital anomalies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with a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hospital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stay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surg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ical procedure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recorded in our study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2D16B0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likely to be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81C0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slight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underestimate of the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true </w:t>
      </w:r>
      <w:r w:rsidR="00E601B3" w:rsidRPr="0033055A">
        <w:rPr>
          <w:rFonts w:ascii="Times New Roman" w:hAnsi="Times New Roman" w:cs="Times New Roman"/>
          <w:sz w:val="24"/>
          <w:szCs w:val="24"/>
          <w:lang w:val="en-GB"/>
        </w:rPr>
        <w:t>number requiring such care</w:t>
      </w:r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in early life.</w:t>
      </w:r>
    </w:p>
    <w:p w14:paraId="3AC5C91D" w14:textId="1AA7EED4" w:rsidR="00F80863" w:rsidRDefault="002D16B0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 weakness of </w:t>
      </w:r>
      <w:r w:rsidR="00032ED3" w:rsidRPr="0033055A">
        <w:rPr>
          <w:rFonts w:ascii="Times New Roman" w:hAnsi="Times New Roman" w:cs="Times New Roman"/>
          <w:sz w:val="24"/>
          <w:szCs w:val="24"/>
          <w:lang w:val="en-GB"/>
        </w:rPr>
        <w:t>our study w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as that we could not receive individual patient data from the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CA1" w:rsidRPr="0033055A">
        <w:rPr>
          <w:rFonts w:ascii="Times New Roman" w:hAnsi="Times New Roman" w:cs="Times New Roman"/>
          <w:sz w:val="24"/>
          <w:szCs w:val="24"/>
          <w:lang w:val="en-GB"/>
        </w:rPr>
        <w:t>as this was a linkage study using secondary data sources</w:t>
      </w:r>
      <w:r w:rsidR="00065577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there were </w:t>
      </w:r>
      <w:r w:rsidR="00F16175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governance </w:t>
      </w:r>
      <w:r w:rsidR="00065577" w:rsidRPr="0033055A">
        <w:rPr>
          <w:rFonts w:ascii="Times New Roman" w:hAnsi="Times New Roman" w:cs="Times New Roman"/>
          <w:sz w:val="24"/>
          <w:szCs w:val="24"/>
          <w:lang w:val="en-GB"/>
        </w:rPr>
        <w:t>restrictions on the onward sharing of data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. Therefore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all analyses had to be pre-</w:t>
      </w:r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="00EB4CA4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it was not possible to investigate specific results in greater detail.</w:t>
      </w:r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>In particular</w:t>
      </w:r>
      <w:r w:rsidR="000159C4" w:rsidRPr="0033055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proofErr w:type="gramEnd"/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was not possible to </w:t>
      </w:r>
      <w:r w:rsidR="00F3055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confirm the assumption </w:t>
      </w:r>
      <w:r w:rsidR="006D033A" w:rsidRPr="0033055A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children with prenatal diagnoses had more severe anomalies than those detected at birth or later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as there was no access to the individual medical records</w:t>
      </w:r>
      <w:r w:rsidR="008843C9" w:rsidRPr="003305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8" w:name="_Hlk146091491"/>
      <w:bookmarkStart w:id="9" w:name="_Hlk146090133"/>
      <w:r w:rsidR="002B0DF9">
        <w:rPr>
          <w:rFonts w:ascii="Times New Roman" w:hAnsi="Times New Roman" w:cs="Times New Roman"/>
          <w:sz w:val="24"/>
          <w:szCs w:val="24"/>
          <w:lang w:val="en-GB"/>
        </w:rPr>
        <w:t xml:space="preserve">Further, we were not able to adjust our results </w:t>
      </w:r>
      <w:r w:rsidR="002B0DF9" w:rsidRPr="00F40C96">
        <w:rPr>
          <w:rFonts w:ascii="Times New Roman" w:hAnsi="Times New Roman" w:cs="Times New Roman"/>
          <w:sz w:val="24"/>
          <w:szCs w:val="24"/>
          <w:lang w:val="en-GB"/>
        </w:rPr>
        <w:t>for potential confounders</w:t>
      </w:r>
      <w:r w:rsidR="002B0DF9">
        <w:rPr>
          <w:rFonts w:ascii="Times New Roman" w:hAnsi="Times New Roman" w:cs="Times New Roman"/>
          <w:sz w:val="24"/>
          <w:szCs w:val="24"/>
          <w:lang w:val="en-GB"/>
        </w:rPr>
        <w:t xml:space="preserve"> due to differences in the availability and comparability of relevant background characteristics.</w:t>
      </w:r>
      <w:bookmarkEnd w:id="8"/>
      <w:r w:rsidR="002B0DF9" w:rsidRPr="00F40C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103">
        <w:rPr>
          <w:rFonts w:ascii="Times New Roman" w:hAnsi="Times New Roman" w:cs="Times New Roman"/>
          <w:sz w:val="24"/>
          <w:szCs w:val="24"/>
          <w:lang w:val="en-GB"/>
        </w:rPr>
        <w:t>Differences</w:t>
      </w:r>
      <w:r w:rsidR="004C7196" w:rsidRPr="004C7196">
        <w:rPr>
          <w:rFonts w:ascii="Times New Roman" w:hAnsi="Times New Roman" w:cs="Times New Roman"/>
          <w:sz w:val="24"/>
          <w:szCs w:val="24"/>
          <w:lang w:val="en-GB"/>
        </w:rPr>
        <w:t xml:space="preserve"> in morbidity and mortality may be impacted by </w:t>
      </w:r>
      <w:r w:rsidR="00926720">
        <w:rPr>
          <w:rFonts w:ascii="Times New Roman" w:hAnsi="Times New Roman" w:cs="Times New Roman"/>
          <w:sz w:val="24"/>
          <w:szCs w:val="24"/>
          <w:lang w:val="en-GB"/>
        </w:rPr>
        <w:t xml:space="preserve">changes and </w:t>
      </w:r>
      <w:r w:rsidR="004C7196" w:rsidRPr="004C7196">
        <w:rPr>
          <w:rFonts w:ascii="Times New Roman" w:hAnsi="Times New Roman" w:cs="Times New Roman"/>
          <w:sz w:val="24"/>
          <w:szCs w:val="24"/>
          <w:lang w:val="en-GB"/>
        </w:rPr>
        <w:t xml:space="preserve">advances in prenatal care </w:t>
      </w:r>
      <w:r w:rsidR="004C719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C7196" w:rsidRPr="004C7196">
        <w:rPr>
          <w:rFonts w:ascii="Times New Roman" w:hAnsi="Times New Roman" w:cs="Times New Roman"/>
          <w:sz w:val="24"/>
          <w:szCs w:val="24"/>
          <w:lang w:val="en-GB"/>
        </w:rPr>
        <w:t xml:space="preserve">in care of </w:t>
      </w:r>
      <w:r w:rsidR="004C7196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infants with </w:t>
      </w:r>
      <w:r w:rsidR="00C13C85" w:rsidRPr="002B01E9">
        <w:rPr>
          <w:rFonts w:ascii="Times New Roman" w:hAnsi="Times New Roman" w:cs="Times New Roman"/>
          <w:sz w:val="24"/>
          <w:szCs w:val="24"/>
          <w:lang w:val="en-GB"/>
        </w:rPr>
        <w:t>congenital anomalies</w:t>
      </w:r>
      <w:r w:rsidR="004C7196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over the study period. </w:t>
      </w:r>
      <w:r w:rsidR="00667528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926720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screening </w:t>
      </w:r>
      <w:r w:rsidR="00667528" w:rsidRPr="002B01E9">
        <w:rPr>
          <w:rFonts w:ascii="Times New Roman" w:hAnsi="Times New Roman" w:cs="Times New Roman"/>
          <w:sz w:val="24"/>
          <w:szCs w:val="24"/>
          <w:lang w:val="en-GB"/>
        </w:rPr>
        <w:t>policie</w:t>
      </w:r>
      <w:r w:rsidR="00926720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s and practices </w:t>
      </w:r>
      <w:r w:rsidR="009249F5" w:rsidRPr="002B01E9">
        <w:rPr>
          <w:rFonts w:ascii="Times New Roman" w:hAnsi="Times New Roman" w:cs="Times New Roman"/>
          <w:sz w:val="24"/>
          <w:szCs w:val="24"/>
          <w:lang w:val="en-GB"/>
        </w:rPr>
        <w:t>vary over time and between counties, only</w:t>
      </w:r>
      <w:r w:rsidR="001904AD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three</w:t>
      </w:r>
      <w:r w:rsidR="009249F5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registries contributed data for the earlier years in our study (1995-1999).</w:t>
      </w:r>
      <w:r w:rsidR="00ED187E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29F8" w:rsidRPr="002B01E9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C7196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e were </w:t>
      </w:r>
      <w:r w:rsidR="00FB29F8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unable to assess the impact </w:t>
      </w:r>
      <w:r w:rsidR="007811A6" w:rsidRPr="002B01E9">
        <w:rPr>
          <w:rFonts w:ascii="Times New Roman" w:hAnsi="Times New Roman" w:cs="Times New Roman"/>
          <w:sz w:val="24"/>
          <w:szCs w:val="24"/>
          <w:lang w:val="en-GB"/>
        </w:rPr>
        <w:t>of advances in health care in our study</w:t>
      </w:r>
      <w:r w:rsidR="004C7196" w:rsidRPr="002B01E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26720" w:rsidRPr="002B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0" w:name="_Hlk147209930"/>
      <w:bookmarkEnd w:id="9"/>
    </w:p>
    <w:p w14:paraId="5A65991F" w14:textId="77777777" w:rsidR="00F80863" w:rsidRDefault="00F80863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DFFA22D" w14:textId="5F1D5A13" w:rsidR="00E601B3" w:rsidRDefault="00712119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data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EURO</w:t>
      </w:r>
      <w:r w:rsidR="0069637A">
        <w:rPr>
          <w:rFonts w:ascii="Times New Roman" w:hAnsi="Times New Roman" w:cs="Times New Roman"/>
          <w:sz w:val="24"/>
          <w:szCs w:val="24"/>
          <w:lang w:val="en-GB"/>
        </w:rPr>
        <w:t>link</w:t>
      </w:r>
      <w:r>
        <w:rPr>
          <w:rFonts w:ascii="Times New Roman" w:hAnsi="Times New Roman" w:cs="Times New Roman"/>
          <w:sz w:val="24"/>
          <w:szCs w:val="24"/>
          <w:lang w:val="en-GB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has been shown to be reliable and misclassification bias is unlikely to have occurred, However, linkage was not 100% </w:t>
      </w:r>
      <w:r w:rsidR="002E7A41">
        <w:rPr>
          <w:rFonts w:ascii="Times New Roman" w:hAnsi="Times New Roman" w:cs="Times New Roman"/>
          <w:sz w:val="24"/>
          <w:szCs w:val="24"/>
          <w:lang w:val="en-GB"/>
        </w:rPr>
        <w:t xml:space="preserve">and an earlier study demonstrated that 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>live births resulting in deaths in the first week of life were less likely to be linked. However</w:t>
      </w:r>
      <w:r w:rsidR="00F8086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 the data in this study </w:t>
      </w:r>
      <w:r w:rsidR="00FA2AC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 restricted </w:t>
      </w:r>
      <w:r w:rsidR="00A071E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>those regis</w:t>
      </w:r>
      <w:r w:rsidR="002E7A4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ries </w:t>
      </w:r>
      <w:r w:rsidR="00A071ED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 very high linkage success (apart from Zagreb) and therefore bias is unlikely to have arisen due to missed linkages. Zagreb contributed only </w:t>
      </w:r>
      <w:r w:rsidR="00F80863">
        <w:rPr>
          <w:rFonts w:ascii="Times New Roman" w:hAnsi="Times New Roman" w:cs="Times New Roman"/>
          <w:sz w:val="24"/>
          <w:szCs w:val="24"/>
          <w:lang w:val="en-GB"/>
        </w:rPr>
        <w:t>ten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 cases and therefore their data </w:t>
      </w:r>
      <w:r w:rsidR="003F15D7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712119">
        <w:rPr>
          <w:rFonts w:ascii="Times New Roman" w:hAnsi="Times New Roman" w:cs="Times New Roman"/>
          <w:sz w:val="24"/>
          <w:szCs w:val="24"/>
          <w:lang w:val="en-GB"/>
        </w:rPr>
        <w:t xml:space="preserve"> unlikely to bias the overall results.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0"/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Finally, even though our data were based on </w:t>
      </w:r>
      <w:r w:rsidR="006D033A" w:rsidRPr="0033055A">
        <w:rPr>
          <w:rFonts w:ascii="Times New Roman" w:hAnsi="Times New Roman" w:cs="Times New Roman"/>
          <w:sz w:val="24"/>
          <w:szCs w:val="24"/>
          <w:lang w:val="en-GB"/>
        </w:rPr>
        <w:t>ten</w:t>
      </w:r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BE8" w:rsidRPr="0033055A">
        <w:rPr>
          <w:rFonts w:ascii="Times New Roman" w:hAnsi="Times New Roman" w:cs="Times New Roman"/>
          <w:sz w:val="24"/>
          <w:szCs w:val="24"/>
          <w:lang w:val="en-GB"/>
        </w:rPr>
        <w:t>registers</w:t>
      </w:r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>the sample size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850974" w:rsidRPr="0033055A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032EEB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small, especially for some outcomes such as </w:t>
      </w:r>
      <w:r w:rsidR="002C5DE6" w:rsidRPr="0033055A">
        <w:rPr>
          <w:rFonts w:ascii="Times New Roman" w:hAnsi="Times New Roman" w:cs="Times New Roman"/>
          <w:sz w:val="24"/>
          <w:szCs w:val="24"/>
          <w:lang w:val="en-GB"/>
        </w:rPr>
        <w:t>death.</w:t>
      </w:r>
      <w:r w:rsidR="0030064A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1" w:name="_Hlk146101006"/>
      <w:r w:rsidR="002B0DF9">
        <w:rPr>
          <w:rFonts w:ascii="Times New Roman" w:hAnsi="Times New Roman" w:cs="Times New Roman"/>
          <w:sz w:val="24"/>
          <w:szCs w:val="24"/>
          <w:lang w:val="en-GB"/>
        </w:rPr>
        <w:t>Neither did we have information on the quality of information on prenatal diagnoses in these registers</w:t>
      </w:r>
      <w:r w:rsidR="002222A3">
        <w:rPr>
          <w:rFonts w:ascii="Times New Roman" w:hAnsi="Times New Roman" w:cs="Times New Roman"/>
          <w:sz w:val="24"/>
          <w:szCs w:val="24"/>
          <w:lang w:val="en-GB"/>
        </w:rPr>
        <w:t xml:space="preserve">, but the data are provided to </w:t>
      </w:r>
      <w:proofErr w:type="gramStart"/>
      <w:r w:rsidR="002222A3">
        <w:rPr>
          <w:rFonts w:ascii="Times New Roman" w:hAnsi="Times New Roman" w:cs="Times New Roman"/>
          <w:sz w:val="24"/>
          <w:szCs w:val="24"/>
          <w:lang w:val="en-GB"/>
        </w:rPr>
        <w:t>EUROCAT</w:t>
      </w:r>
      <w:proofErr w:type="gramEnd"/>
      <w:r w:rsidR="002222A3">
        <w:rPr>
          <w:rFonts w:ascii="Times New Roman" w:hAnsi="Times New Roman" w:cs="Times New Roman"/>
          <w:sz w:val="24"/>
          <w:szCs w:val="24"/>
          <w:lang w:val="en-GB"/>
        </w:rPr>
        <w:t xml:space="preserve"> and their quality is assumed to be good</w:t>
      </w:r>
      <w:r w:rsidR="00F53504">
        <w:rPr>
          <w:rFonts w:ascii="Times New Roman" w:hAnsi="Times New Roman" w:cs="Times New Roman"/>
          <w:sz w:val="24"/>
          <w:szCs w:val="24"/>
          <w:lang w:val="en-GB"/>
        </w:rPr>
        <w:t xml:space="preserve"> (see: </w:t>
      </w:r>
      <w:r w:rsidR="00F53504" w:rsidRPr="00F53504">
        <w:rPr>
          <w:rFonts w:ascii="Times New Roman" w:hAnsi="Times New Roman" w:cs="Times New Roman"/>
          <w:sz w:val="24"/>
          <w:szCs w:val="24"/>
          <w:lang w:val="en-GB"/>
        </w:rPr>
        <w:t>https://eu-rd-platform.jrc.ec.europa.eu/eurocat/data-collection/data-quality_en</w:t>
      </w:r>
      <w:bookmarkEnd w:id="11"/>
      <w:r w:rsidR="00F5350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8C84D80" w14:textId="77777777" w:rsidR="000D7D52" w:rsidRPr="0033055A" w:rsidRDefault="000D7D52" w:rsidP="002467ED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B0C078" w14:textId="3067FAD8" w:rsidR="002630CE" w:rsidRDefault="00E601B3" w:rsidP="002630CE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study showed that</w:t>
      </w:r>
      <w:r w:rsidR="008843C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CDH and spina bifida, children with anomalies diagnosed prenatally appeared to have </w:t>
      </w:r>
      <w:r w:rsidR="00AC4CC7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lower gestational ages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AC4CC7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higher </w:t>
      </w:r>
      <w:r w:rsidR="005F7C6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rates of</w:t>
      </w:r>
      <w:r w:rsidR="008843C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mortality and morbidity 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undergo </w:t>
      </w:r>
      <w:r w:rsidR="003966D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surger</w:t>
      </w:r>
      <w:r w:rsidR="0006614F">
        <w:rPr>
          <w:rFonts w:ascii="Times New Roman" w:hAnsi="Times New Roman" w:cs="Times New Roman"/>
          <w:color w:val="000000"/>
          <w:sz w:val="24"/>
          <w:szCs w:val="24"/>
          <w:lang w:val="en-GB"/>
        </w:rPr>
        <w:t>y</w:t>
      </w:r>
      <w:r w:rsidR="003966D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earlier </w:t>
      </w:r>
      <w:r w:rsidR="008843C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than those </w:t>
      </w:r>
      <w:r w:rsidR="002F79B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diagnosed </w:t>
      </w:r>
      <w:r w:rsidR="008843C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at birth or later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AC4CC7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E2E3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prenatal </w:t>
      </w:r>
      <w:r w:rsidR="0071573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diagnosis </w:t>
      </w:r>
      <w:r w:rsidR="003F6C3D">
        <w:rPr>
          <w:rFonts w:ascii="Times New Roman" w:hAnsi="Times New Roman" w:cs="Times New Roman"/>
          <w:color w:val="000000"/>
          <w:sz w:val="24"/>
          <w:szCs w:val="24"/>
          <w:lang w:val="en-GB"/>
        </w:rPr>
        <w:t>appeared to make</w:t>
      </w:r>
      <w:r w:rsidR="007E2E3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less </w:t>
      </w:r>
      <w:r w:rsidR="003F6C3D">
        <w:rPr>
          <w:rFonts w:ascii="Times New Roman" w:hAnsi="Times New Roman" w:cs="Times New Roman"/>
          <w:color w:val="000000"/>
          <w:sz w:val="24"/>
          <w:szCs w:val="24"/>
          <w:lang w:val="en-GB"/>
        </w:rPr>
        <w:t>difference to</w:t>
      </w:r>
      <w:r w:rsidR="007E2E3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1573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="008843C9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hildren with TGA or gastroschisis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 although they spen</w:t>
      </w:r>
      <w:r w:rsidR="005B6A2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longer in hospital</w:t>
      </w:r>
      <w:r w:rsidR="002C5DE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2C5DE6" w:rsidRPr="0033055A" w:rsidDel="002C5DE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From a clinical </w:t>
      </w:r>
      <w:r w:rsidR="0020735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pe</w:t>
      </w:r>
      <w:r w:rsidR="002C5DE6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207353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spective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it seems 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plausible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outcomes 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would be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improved if the diagnosis is known before birth</w:t>
      </w:r>
      <w:r w:rsidR="00A56D9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e.g.</w:t>
      </w:r>
      <w:r w:rsidR="00AC45F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pregnant woman </w:t>
      </w:r>
      <w:r w:rsidR="00A56D9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can be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referred </w:t>
      </w:r>
      <w:r w:rsidR="00EE0A2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tertiary hospital </w:t>
      </w:r>
      <w:r w:rsidR="00A56D9F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38322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childbirth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optimal </w:t>
      </w:r>
      <w:r w:rsidR="00DF485D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gestational age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="0038322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specialist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clinicians 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can care for 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severely ill ne</w:t>
      </w:r>
      <w:r w:rsidR="0092255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onate</w:t>
      </w:r>
      <w:r w:rsidR="00CA518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immediately after birth. </w:t>
      </w:r>
      <w:r w:rsidR="00D11210" w:rsidRPr="00D112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those diagnoses, where prenatal diagnoses correlated with higher mortality and morbidity, the findings were probably due to the more severe anomalies </w:t>
      </w:r>
      <w:r w:rsidR="00A222B6">
        <w:rPr>
          <w:rFonts w:ascii="Times New Roman" w:hAnsi="Times New Roman" w:cs="Times New Roman"/>
          <w:color w:val="000000"/>
          <w:sz w:val="24"/>
          <w:szCs w:val="24"/>
          <w:lang w:val="en-GB"/>
        </w:rPr>
        <w:t>being</w:t>
      </w:r>
      <w:r w:rsidR="00D11210" w:rsidRPr="00D112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more likely to be detected.</w:t>
      </w:r>
      <w:r w:rsidR="00D112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Start w:id="12" w:name="_Hlk146906548"/>
      <w:r w:rsidR="00CB2B93">
        <w:rPr>
          <w:rFonts w:ascii="Times New Roman" w:hAnsi="Times New Roman" w:cs="Times New Roman"/>
          <w:color w:val="000000"/>
          <w:sz w:val="24"/>
          <w:szCs w:val="24"/>
          <w:lang w:val="en-GB"/>
        </w:rPr>
        <w:t>An</w:t>
      </w:r>
      <w:r w:rsidR="008605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important finding </w:t>
      </w:r>
      <w:r w:rsidR="001E2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our study </w:t>
      </w:r>
      <w:r w:rsidR="002529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</w:t>
      </w:r>
      <w:r w:rsidR="001E2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gestational age </w:t>
      </w:r>
      <w:r w:rsidR="00F1400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birth </w:t>
      </w:r>
      <w:r w:rsidR="001E2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lower for children diagnosed prenatally. </w:t>
      </w:r>
      <w:bookmarkStart w:id="13" w:name="_Hlk147305240"/>
      <w:r w:rsidR="00F14002">
        <w:rPr>
          <w:rFonts w:ascii="Times New Roman" w:hAnsi="Times New Roman" w:cs="Times New Roman"/>
          <w:color w:val="000000"/>
          <w:sz w:val="24"/>
          <w:szCs w:val="24"/>
          <w:lang w:val="en-GB"/>
        </w:rPr>
        <w:t>L</w:t>
      </w:r>
      <w:r w:rsidR="006A73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ower gestational age </w:t>
      </w:r>
      <w:r w:rsidR="001E2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may contribute to the </w:t>
      </w:r>
      <w:r w:rsidR="003C6E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increased morbidity shortly after birth due to </w:t>
      </w:r>
      <w:r w:rsidR="003413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immaturity </w:t>
      </w:r>
      <w:r w:rsidR="008D1F4A">
        <w:rPr>
          <w:rFonts w:ascii="Times New Roman" w:hAnsi="Times New Roman" w:cs="Times New Roman"/>
          <w:color w:val="000000"/>
          <w:sz w:val="24"/>
          <w:szCs w:val="24"/>
          <w:lang w:val="en-GB"/>
        </w:rPr>
        <w:t>of the respiratory system</w:t>
      </w:r>
      <w:r w:rsidR="00A150E6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3C6E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because transition at birth may take longer. </w:t>
      </w:r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is especially important for these four groups of ch</w:t>
      </w:r>
      <w:r w:rsidR="00BE7726">
        <w:rPr>
          <w:rFonts w:ascii="Times New Roman" w:hAnsi="Times New Roman" w:cs="Times New Roman"/>
          <w:color w:val="000000"/>
          <w:sz w:val="24"/>
          <w:szCs w:val="24"/>
          <w:lang w:val="en-GB"/>
        </w:rPr>
        <w:t>ildren</w:t>
      </w:r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they </w:t>
      </w:r>
      <w:proofErr w:type="gramStart"/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t>have to</w:t>
      </w:r>
      <w:proofErr w:type="gramEnd"/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undergo </w:t>
      </w:r>
      <w:r w:rsidR="003E6C37">
        <w:rPr>
          <w:rFonts w:ascii="Times New Roman" w:hAnsi="Times New Roman" w:cs="Times New Roman"/>
          <w:color w:val="000000"/>
          <w:sz w:val="24"/>
          <w:szCs w:val="24"/>
          <w:lang w:val="en-GB"/>
        </w:rPr>
        <w:t>anaesthesia</w:t>
      </w:r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1737E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and surgery </w:t>
      </w:r>
      <w:r w:rsidR="00BE7726">
        <w:rPr>
          <w:rFonts w:ascii="Times New Roman" w:hAnsi="Times New Roman" w:cs="Times New Roman"/>
          <w:color w:val="000000"/>
          <w:sz w:val="24"/>
          <w:szCs w:val="24"/>
          <w:lang w:val="en-GB"/>
        </w:rPr>
        <w:t>shortly after birth</w:t>
      </w:r>
      <w:bookmarkEnd w:id="12"/>
      <w:r w:rsidR="00BE772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bookmarkEnd w:id="13"/>
      <w:r w:rsidR="002222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22A3" w:rsidRPr="002222A3">
        <w:rPr>
          <w:rFonts w:ascii="Times New Roman" w:hAnsi="Times New Roman" w:cs="Times New Roman"/>
          <w:sz w:val="24"/>
          <w:szCs w:val="24"/>
          <w:lang w:val="en-US"/>
        </w:rPr>
        <w:t>arlier</w:t>
      </w:r>
      <w:r w:rsidR="004D112F" w:rsidRPr="001904AD">
        <w:rPr>
          <w:rFonts w:ascii="Times New Roman" w:hAnsi="Times New Roman" w:cs="Times New Roman"/>
          <w:sz w:val="24"/>
          <w:szCs w:val="24"/>
          <w:lang w:val="en-US"/>
        </w:rPr>
        <w:t xml:space="preserve"> gestational age at birth in the prenatally diagnosed infants may be related to the presence of a more severe type of anomaly</w:t>
      </w:r>
      <w:r w:rsidR="000909A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B8308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="0055082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hen assessing the potential benefits of any early intervention</w:t>
      </w:r>
      <w:r w:rsidR="00B8308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 t</w:t>
      </w:r>
      <w:r w:rsidR="000909A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reatment protocols for these infants should 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be </w:t>
      </w:r>
      <w:r w:rsidR="007C2491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informed by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339A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possible harms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r w:rsidR="009929CB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labour induction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63B8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A0230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137C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early elective </w:t>
      </w:r>
      <w:r w:rsidR="004E0B38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caesarean </w:t>
      </w:r>
      <w:r w:rsidR="000137C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section</w:t>
      </w:r>
      <w:r w:rsidR="00863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(such as reduced breastfeeding rates</w:t>
      </w:r>
      <w:r w:rsidR="00F25C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CD5D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example </w:t>
      </w:r>
      <w:r w:rsidR="00F25CE5">
        <w:rPr>
          <w:rFonts w:ascii="Times New Roman" w:hAnsi="Times New Roman" w:cs="Times New Roman"/>
          <w:color w:val="000000"/>
          <w:sz w:val="24"/>
          <w:szCs w:val="24"/>
          <w:lang w:val="en-GB"/>
        </w:rPr>
        <w:t>Jordan et al. 2009</w:t>
      </w:r>
      <w:r w:rsidR="00DF57B8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0137C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14F3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compared with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8308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watchful </w:t>
      </w:r>
      <w:r w:rsidR="00D9073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waiting for spontaneous </w:t>
      </w:r>
      <w:r w:rsidR="00914F34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childbirth</w:t>
      </w:r>
      <w:r w:rsidR="000909A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E86B6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all four congenital anomalies, appropriate prenatal counselling about the time and </w:t>
      </w:r>
      <w:r w:rsidR="005B6A2E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>mode</w:t>
      </w:r>
      <w:r w:rsidR="00E86B6A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delivery is needed.</w:t>
      </w:r>
      <w:r w:rsidR="002630CE">
        <w:rPr>
          <w:rFonts w:ascii="Times New Roman" w:hAnsi="Times New Roman" w:cs="Times New Roman"/>
          <w:color w:val="000000"/>
          <w:sz w:val="24"/>
          <w:szCs w:val="24"/>
          <w:lang w:val="en-GB"/>
        </w:rPr>
        <w:br w:type="page"/>
      </w:r>
    </w:p>
    <w:p w14:paraId="03B9E55D" w14:textId="55349A27" w:rsidR="00676CB9" w:rsidRPr="00DE0BE2" w:rsidRDefault="00D86322" w:rsidP="00D4474A">
      <w:pPr>
        <w:suppressLineNumbers/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14" w:name="_Hlk137125689"/>
      <w:bookmarkEnd w:id="0"/>
      <w:r w:rsidRPr="00DE0BE2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References</w:t>
      </w:r>
    </w:p>
    <w:p w14:paraId="34913F6E" w14:textId="1D4CD963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Adzick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NS, Thom E,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Spong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C, et a</w:t>
      </w:r>
      <w:r w:rsidR="00DE0BE2">
        <w:rPr>
          <w:rFonts w:ascii="Times New Roman" w:hAnsi="Times New Roman" w:cs="Times New Roman"/>
          <w:sz w:val="24"/>
          <w:szCs w:val="24"/>
        </w:rPr>
        <w:t>l</w:t>
      </w:r>
      <w:r w:rsidRPr="0033055A">
        <w:rPr>
          <w:rFonts w:ascii="Times New Roman" w:hAnsi="Times New Roman" w:cs="Times New Roman"/>
          <w:sz w:val="24"/>
          <w:szCs w:val="24"/>
        </w:rPr>
        <w:t>. A randomized trial of prenatal versus postnatal</w:t>
      </w:r>
    </w:p>
    <w:p w14:paraId="253A2FF8" w14:textId="4745839B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repair of myelomeningocele.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2011 Mar 17;364(11):993-1004.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10.1056/NEJMoa1014379</w:t>
      </w:r>
    </w:p>
    <w:p w14:paraId="6118C447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4AD">
        <w:rPr>
          <w:rFonts w:ascii="Times New Roman" w:hAnsi="Times New Roman" w:cs="Times New Roman"/>
          <w:sz w:val="24"/>
          <w:szCs w:val="24"/>
          <w:lang w:val="da-DK"/>
        </w:rPr>
        <w:t xml:space="preserve">Barriere F, Michel F, Loundou AD, et al. </w:t>
      </w:r>
      <w:r w:rsidRPr="0033055A">
        <w:rPr>
          <w:rFonts w:ascii="Times New Roman" w:hAnsi="Times New Roman" w:cs="Times New Roman"/>
          <w:sz w:val="24"/>
          <w:szCs w:val="24"/>
        </w:rPr>
        <w:t>One-Year Outcome for Congenital</w:t>
      </w:r>
    </w:p>
    <w:p w14:paraId="26C87C2C" w14:textId="20F138B2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diaphragmatic hernia: Results from the French National Register.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02;193:204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>-210.</w:t>
      </w:r>
    </w:p>
    <w:p w14:paraId="10A0A0C9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Bétrémieux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Gaillot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T, de la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Pintière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A, et al. Congenital diaphragmatic hernia:</w:t>
      </w:r>
    </w:p>
    <w:p w14:paraId="344F8525" w14:textId="3E7B05F7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prenatal diagnosis permits immediate intensive care with high survival rate in isolated cases. A population-based study.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Prenat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Diagn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3055A">
        <w:rPr>
          <w:rFonts w:ascii="Times New Roman" w:hAnsi="Times New Roman" w:cs="Times New Roman"/>
          <w:sz w:val="24"/>
          <w:szCs w:val="24"/>
        </w:rPr>
        <w:t xml:space="preserve"> 2004 Jul;24(7):487-93.</w:t>
      </w:r>
    </w:p>
    <w:p w14:paraId="365DA7B7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Bonnet D, Coltri A, Butera G, et al. Detection of transposition of the great arteries in</w:t>
      </w:r>
    </w:p>
    <w:p w14:paraId="0A29B95B" w14:textId="030D7567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fetuses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reduces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 xml:space="preserve"> neonatal morbidity and mortality. Circulation. 1999 Feb 23;99(7):916-8.</w:t>
      </w:r>
    </w:p>
    <w:p w14:paraId="3736298C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Calderon J,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Angeard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N, Moutier S, et al. Impact of prenatal diagnosis on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neurocognitive</w:t>
      </w:r>
      <w:proofErr w:type="gramEnd"/>
    </w:p>
    <w:p w14:paraId="076CDE68" w14:textId="252FD61F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outcomes in children with transposition of the great arteries.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. 2012 Jul;161(1):94-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8.e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>1.</w:t>
      </w:r>
    </w:p>
    <w:p w14:paraId="52D2C405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Cloete E, Bloomfield FH, Sadler L, et al. Antenatal Detection of Treatable Critical</w:t>
      </w:r>
    </w:p>
    <w:p w14:paraId="74EFE330" w14:textId="15615A52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Congenital Heart Disease Is Associated with Lower Morbidity and Mortality.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. 2019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Jan;204:66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 xml:space="preserve">-70. </w:t>
      </w:r>
    </w:p>
    <w:p w14:paraId="127D154F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Colvin J, Bower C, Dickinson JE, Sokol J. Outcomes of Congenital Diaphragmatic</w:t>
      </w:r>
    </w:p>
    <w:p w14:paraId="136D0A5F" w14:textId="75171B3E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Hernia: A Population-Based Study in Western Australia.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2005; 116 (3): e356–e363. </w:t>
      </w:r>
    </w:p>
    <w:p w14:paraId="22A33E49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Costello JM,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Pasquali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SK, Jacobs JP, et al. Gestational age at birth and outcomes after</w:t>
      </w:r>
    </w:p>
    <w:p w14:paraId="599802CD" w14:textId="5FF705B8" w:rsidR="005C41BC" w:rsidRP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neonatal cardiac surgery: an analysis of the Society of Thoracic Surgeons Congenital Heart Surgery Database.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>Circulation</w:t>
      </w:r>
      <w:r w:rsidRPr="00C76125">
        <w:rPr>
          <w:rFonts w:ascii="Times New Roman" w:hAnsi="Times New Roman" w:cs="Times New Roman"/>
          <w:sz w:val="24"/>
          <w:szCs w:val="24"/>
        </w:rPr>
        <w:t xml:space="preserve">. 2014 Jun 17;129(24):2511-7.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>: 10.1161/CIRCULATIONAHA.113.005864</w:t>
      </w:r>
    </w:p>
    <w:p w14:paraId="0C5D7A7C" w14:textId="261E26B9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="002222A3">
        <w:rPr>
          <w:rFonts w:ascii="Times New Roman" w:hAnsi="Times New Roman" w:cs="Times New Roman"/>
          <w:bCs/>
          <w:sz w:val="24"/>
          <w:szCs w:val="24"/>
        </w:rPr>
        <w:t>’</w:t>
      </w:r>
      <w:r w:rsidRPr="0033055A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Pr="0033055A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33055A">
        <w:rPr>
          <w:rFonts w:ascii="Times New Roman" w:hAnsi="Times New Roman" w:cs="Times New Roman"/>
          <w:bCs/>
          <w:sz w:val="24"/>
          <w:szCs w:val="24"/>
        </w:rPr>
        <w:t>Virgone</w:t>
      </w:r>
      <w:proofErr w:type="spellEnd"/>
      <w:r w:rsidRPr="0033055A">
        <w:rPr>
          <w:rFonts w:ascii="Times New Roman" w:hAnsi="Times New Roman" w:cs="Times New Roman"/>
          <w:bCs/>
          <w:sz w:val="24"/>
          <w:szCs w:val="24"/>
        </w:rPr>
        <w:t xml:space="preserve"> C, Rizzo G, et al. Prenatal Risk Factors and Outcomes in</w:t>
      </w:r>
    </w:p>
    <w:p w14:paraId="04402386" w14:textId="37888B87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bCs/>
          <w:sz w:val="24"/>
          <w:szCs w:val="24"/>
        </w:rPr>
        <w:t xml:space="preserve">Gastroschisis: A Meta-Analysis. </w:t>
      </w:r>
      <w:proofErr w:type="spellStart"/>
      <w:r w:rsidRPr="004812C8">
        <w:rPr>
          <w:rFonts w:ascii="Times New Roman" w:hAnsi="Times New Roman" w:cs="Times New Roman"/>
          <w:bCs/>
          <w:i/>
          <w:iCs/>
          <w:sz w:val="24"/>
          <w:szCs w:val="24"/>
        </w:rPr>
        <w:t>Pediatrics</w:t>
      </w:r>
      <w:proofErr w:type="spellEnd"/>
      <w:r w:rsidRPr="0033055A">
        <w:rPr>
          <w:rFonts w:ascii="Times New Roman" w:hAnsi="Times New Roman" w:cs="Times New Roman"/>
          <w:bCs/>
          <w:sz w:val="24"/>
          <w:szCs w:val="24"/>
        </w:rPr>
        <w:t>. 2015 Jul;136(1</w:t>
      </w:r>
      <w:proofErr w:type="gramStart"/>
      <w:r w:rsidRPr="0033055A">
        <w:rPr>
          <w:rFonts w:ascii="Times New Roman" w:hAnsi="Times New Roman" w:cs="Times New Roman"/>
          <w:bCs/>
          <w:sz w:val="24"/>
          <w:szCs w:val="24"/>
        </w:rPr>
        <w:t>):e</w:t>
      </w:r>
      <w:proofErr w:type="gramEnd"/>
      <w:r w:rsidRPr="0033055A">
        <w:rPr>
          <w:rFonts w:ascii="Times New Roman" w:hAnsi="Times New Roman" w:cs="Times New Roman"/>
          <w:bCs/>
          <w:sz w:val="24"/>
          <w:szCs w:val="24"/>
        </w:rPr>
        <w:t>159-69.</w:t>
      </w:r>
    </w:p>
    <w:p w14:paraId="2F04FC96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Deprest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JA, Nicolaides KH,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Benachi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Gratacos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E, Ryan G, Persico N, Sago H,</w:t>
      </w:r>
    </w:p>
    <w:p w14:paraId="324C3750" w14:textId="2CF87513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Johnson 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Wielgoś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M, Berg C, Van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Calster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B, Russo FM; TOTAL Trial for Severe Hypoplasia Investigators. Randomized Trial of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Surgery for Severe Left Diaphragmatic Hernia.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2021 Jul 8;385(2):107-118.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: 10.1056/NEJMoa2027030. </w:t>
      </w:r>
    </w:p>
    <w:p w14:paraId="11A1E45D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Deprest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Benachi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Gratacos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E, Nicolaides KH, Berg C, Persico N, Belfort M,</w:t>
      </w:r>
    </w:p>
    <w:p w14:paraId="30F2D593" w14:textId="119513A6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Gardener GJ, Ville Y, Johnson 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Wielgoś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M, Van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Calster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DeKoninck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PLJ; TOTAL Trial for Moderate Hypoplasia Investigators. Randomized Trial of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Surgery for Moderate Left Diaphragmatic Hernia.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2021 Jul 8;385(2):119-129.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10.1056/NEJMoa2026983.</w:t>
      </w:r>
    </w:p>
    <w:p w14:paraId="6E8EA553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Domínguez-Manzano P,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Herraiz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I, Mendoza A, et al. Impact of prenatal diagnosis of</w:t>
      </w:r>
    </w:p>
    <w:p w14:paraId="5B2B9DC4" w14:textId="0397B886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transposition of the great arteries on postnatal outcome,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>The Journal of Maternal-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Fetal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&amp; Neonatal Medicine</w:t>
      </w:r>
      <w:r w:rsidRPr="0033055A">
        <w:rPr>
          <w:rFonts w:ascii="Times New Roman" w:hAnsi="Times New Roman" w:cs="Times New Roman"/>
          <w:sz w:val="24"/>
          <w:szCs w:val="24"/>
        </w:rPr>
        <w:t xml:space="preserve"> 2017;30:23,2858-2863.</w:t>
      </w:r>
    </w:p>
    <w:p w14:paraId="45C07E50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Douglas Wilson R, Van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Mieghem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T, Langlois S, Church P. Guideline No. 410:</w:t>
      </w:r>
    </w:p>
    <w:p w14:paraId="0EA25499" w14:textId="541F099C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Prevention, Screening, Diagnosis, and Pregnancy Management for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Neural Tube Defects.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Gynaecol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Can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2021 Jan;43(1):124-139.e8.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: 10.1016/j.jogc.2020.11.003.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2020 Nov 17. PMID: 33212246.</w:t>
      </w:r>
    </w:p>
    <w:p w14:paraId="36C72FD4" w14:textId="77777777" w:rsidR="00C76125" w:rsidRDefault="005C41BC" w:rsidP="002467ED">
      <w:pPr>
        <w:suppressLineNumbers/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</w:pPr>
      <w:proofErr w:type="spellStart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Gamba</w:t>
      </w:r>
      <w:proofErr w:type="spellEnd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 P, </w:t>
      </w:r>
      <w:proofErr w:type="spellStart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Midrio</w:t>
      </w:r>
      <w:proofErr w:type="spellEnd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 P. Abdominal wall defects: prenatal diagnosis, </w:t>
      </w:r>
      <w:proofErr w:type="spellStart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newborn</w:t>
      </w:r>
      <w:proofErr w:type="spellEnd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 management,</w:t>
      </w:r>
    </w:p>
    <w:p w14:paraId="5AB94A77" w14:textId="6D0DD8DD" w:rsidR="005C41BC" w:rsidRPr="00C76125" w:rsidRDefault="005C41BC" w:rsidP="002467ED">
      <w:pPr>
        <w:suppressLineNumbers/>
        <w:shd w:val="clear" w:color="auto" w:fill="FFFFFF" w:themeFill="background1"/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and long-term outcomes. </w:t>
      </w:r>
      <w:r w:rsidRPr="004812C8">
        <w:rPr>
          <w:rFonts w:ascii="Times New Roman" w:eastAsia="Times New Roman" w:hAnsi="Times New Roman" w:cs="Times New Roman"/>
          <w:i/>
          <w:sz w:val="24"/>
          <w:szCs w:val="24"/>
          <w:lang w:val="en-GB" w:eastAsia="fi-FI"/>
        </w:rPr>
        <w:t xml:space="preserve">Semin </w:t>
      </w:r>
      <w:proofErr w:type="spellStart"/>
      <w:r w:rsidRPr="004812C8">
        <w:rPr>
          <w:rFonts w:ascii="Times New Roman" w:eastAsia="Times New Roman" w:hAnsi="Times New Roman" w:cs="Times New Roman"/>
          <w:i/>
          <w:sz w:val="24"/>
          <w:szCs w:val="24"/>
          <w:lang w:val="en-GB" w:eastAsia="fi-FI"/>
        </w:rPr>
        <w:t>Pediatr</w:t>
      </w:r>
      <w:proofErr w:type="spellEnd"/>
      <w:r w:rsidRPr="004812C8">
        <w:rPr>
          <w:rFonts w:ascii="Times New Roman" w:eastAsia="Times New Roman" w:hAnsi="Times New Roman" w:cs="Times New Roman"/>
          <w:i/>
          <w:sz w:val="24"/>
          <w:szCs w:val="24"/>
          <w:lang w:val="en-GB" w:eastAsia="fi-FI"/>
        </w:rPr>
        <w:t xml:space="preserve"> Surg</w:t>
      </w:r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 xml:space="preserve">. 2014 Oct;23(5):283-90. </w:t>
      </w:r>
      <w:proofErr w:type="spellStart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doi</w:t>
      </w:r>
      <w:proofErr w:type="spellEnd"/>
      <w:r w:rsidRPr="00C76125">
        <w:rPr>
          <w:rFonts w:ascii="Times New Roman" w:eastAsia="Times New Roman" w:hAnsi="Times New Roman" w:cs="Times New Roman"/>
          <w:iCs/>
          <w:sz w:val="24"/>
          <w:szCs w:val="24"/>
          <w:lang w:val="en-GB" w:eastAsia="fi-FI"/>
        </w:rPr>
        <w:t>: 10.1053/j.sempedsurg.2014.09.009</w:t>
      </w:r>
    </w:p>
    <w:p w14:paraId="3BADB6C1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4AD">
        <w:rPr>
          <w:rFonts w:ascii="Times New Roman" w:hAnsi="Times New Roman" w:cs="Times New Roman"/>
          <w:sz w:val="24"/>
          <w:szCs w:val="24"/>
          <w:lang w:val="da-DK"/>
        </w:rPr>
        <w:t xml:space="preserve">Garne E, Dolk H, Loane M, et al. </w:t>
      </w:r>
      <w:r w:rsidRPr="0033055A">
        <w:rPr>
          <w:rFonts w:ascii="Times New Roman" w:hAnsi="Times New Roman" w:cs="Times New Roman"/>
          <w:sz w:val="24"/>
          <w:szCs w:val="24"/>
        </w:rPr>
        <w:t>Paper 5: Surveillance of multiple congenital</w:t>
      </w:r>
    </w:p>
    <w:p w14:paraId="09CF386A" w14:textId="7CA8FADB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anomalies: Implementation of a computer algorithm in European registers for classification of cases.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>Birth Defects Research</w:t>
      </w:r>
      <w:r w:rsidRPr="0033055A">
        <w:rPr>
          <w:rFonts w:ascii="Times New Roman" w:hAnsi="Times New Roman" w:cs="Times New Roman"/>
          <w:sz w:val="24"/>
          <w:szCs w:val="24"/>
        </w:rPr>
        <w:t xml:space="preserve"> (Part A) 2011;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91:S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 xml:space="preserve">44-S50.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10.1002/bdra.20777</w:t>
      </w:r>
    </w:p>
    <w:p w14:paraId="2143B74C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0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Glinianaia S, Rankin J, </w:t>
      </w:r>
      <w:proofErr w:type="spellStart"/>
      <w:r w:rsidRPr="002630CE">
        <w:rPr>
          <w:rFonts w:ascii="Times New Roman" w:hAnsi="Times New Roman" w:cs="Times New Roman"/>
          <w:sz w:val="24"/>
          <w:szCs w:val="24"/>
          <w:lang w:val="en-US"/>
        </w:rPr>
        <w:t>Pierini</w:t>
      </w:r>
      <w:proofErr w:type="spellEnd"/>
      <w:r w:rsidRPr="002630CE">
        <w:rPr>
          <w:rFonts w:ascii="Times New Roman" w:hAnsi="Times New Roman" w:cs="Times New Roman"/>
          <w:sz w:val="24"/>
          <w:szCs w:val="24"/>
          <w:lang w:val="en-US"/>
        </w:rPr>
        <w:t xml:space="preserve"> A, et al. </w:t>
      </w:r>
      <w:r w:rsidRPr="0033055A">
        <w:rPr>
          <w:rFonts w:ascii="Times New Roman" w:hAnsi="Times New Roman" w:cs="Times New Roman"/>
          <w:sz w:val="24"/>
          <w:szCs w:val="24"/>
        </w:rPr>
        <w:t>Ten-Year Survival of Children with Congenital</w:t>
      </w:r>
    </w:p>
    <w:p w14:paraId="2C84D0B4" w14:textId="02E188A4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Anomalies: A European Cohort Study.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2022 149 (3): e2021053793.</w:t>
      </w:r>
    </w:p>
    <w:p w14:paraId="6FCF073A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Goldstein MJ, Bailer JM, Gonzalez-Brown VM. Preterm vs term delivery in antenatally</w:t>
      </w:r>
    </w:p>
    <w:p w14:paraId="034A1EBA" w14:textId="6A378AA7" w:rsidR="005C41BC" w:rsidRP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diagnosed gastroschisis: a systematic review and meta-analysis.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Gynecol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MFM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2022 Jul;4(4):100651.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10.1016/j.ajogmf.2022.100651</w:t>
      </w:r>
    </w:p>
    <w:p w14:paraId="041EB6F9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C1E">
        <w:rPr>
          <w:rFonts w:ascii="Times New Roman" w:hAnsi="Times New Roman" w:cs="Times New Roman"/>
          <w:sz w:val="24"/>
          <w:szCs w:val="24"/>
          <w:lang w:val="sv-SE"/>
        </w:rPr>
        <w:t>Grivell</w:t>
      </w:r>
      <w:proofErr w:type="spellEnd"/>
      <w:r w:rsidRPr="00693C1E">
        <w:rPr>
          <w:rFonts w:ascii="Times New Roman" w:hAnsi="Times New Roman" w:cs="Times New Roman"/>
          <w:sz w:val="24"/>
          <w:szCs w:val="24"/>
          <w:lang w:val="sv-SE"/>
        </w:rPr>
        <w:t xml:space="preserve"> RM, Andersen C, </w:t>
      </w:r>
      <w:proofErr w:type="spellStart"/>
      <w:r w:rsidRPr="00693C1E">
        <w:rPr>
          <w:rFonts w:ascii="Times New Roman" w:hAnsi="Times New Roman" w:cs="Times New Roman"/>
          <w:sz w:val="24"/>
          <w:szCs w:val="24"/>
          <w:lang w:val="sv-SE"/>
        </w:rPr>
        <w:t>Dodd</w:t>
      </w:r>
      <w:proofErr w:type="spellEnd"/>
      <w:r w:rsidRPr="00693C1E">
        <w:rPr>
          <w:rFonts w:ascii="Times New Roman" w:hAnsi="Times New Roman" w:cs="Times New Roman"/>
          <w:sz w:val="24"/>
          <w:szCs w:val="24"/>
          <w:lang w:val="sv-SE"/>
        </w:rPr>
        <w:t xml:space="preserve"> JM. </w:t>
      </w:r>
      <w:r w:rsidRPr="0033055A">
        <w:rPr>
          <w:rFonts w:ascii="Times New Roman" w:hAnsi="Times New Roman" w:cs="Times New Roman"/>
          <w:sz w:val="24"/>
          <w:szCs w:val="24"/>
        </w:rPr>
        <w:t>Prenatal versus postnatal repair procedures for</w:t>
      </w:r>
    </w:p>
    <w:p w14:paraId="38AE5BEC" w14:textId="2430EDC7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spina bifida for improving infant and maternal outcomes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. Cochrane Database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Syst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Rev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2014 Oct 28;(10):CD008825.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10.1002/14651858.CD008825.pub2</w:t>
      </w:r>
    </w:p>
    <w:p w14:paraId="4D6CE7F5" w14:textId="77777777" w:rsidR="00C76125" w:rsidRDefault="00043D42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Ho P, Quigley MA,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Tatwavedi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D, Britto C,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Kurinczuk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JJ. Neonatal and infant mortality</w:t>
      </w:r>
    </w:p>
    <w:p w14:paraId="7D675DC7" w14:textId="77777777" w:rsidR="00F25CE5" w:rsidRDefault="00043D42" w:rsidP="00F25CE5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associated with spina bifida: A systematic review and meta-analysis.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P</w:t>
      </w:r>
      <w:r w:rsidR="002222A3" w:rsidRPr="0033055A">
        <w:rPr>
          <w:rFonts w:ascii="Times New Roman" w:hAnsi="Times New Roman" w:cs="Times New Roman"/>
          <w:sz w:val="24"/>
          <w:szCs w:val="24"/>
        </w:rPr>
        <w:t>l</w:t>
      </w:r>
      <w:r w:rsidRPr="0033055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One. 2021 May 12;16(5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 xml:space="preserve">0250098.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10.1371/journal.pone.0250098</w:t>
      </w:r>
    </w:p>
    <w:p w14:paraId="7F94E25D" w14:textId="77777777" w:rsidR="004B239C" w:rsidRDefault="00F25CE5" w:rsidP="004B239C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25CE5">
        <w:rPr>
          <w:rFonts w:ascii="Times New Roman" w:hAnsi="Times New Roman" w:cs="Times New Roman"/>
          <w:sz w:val="24"/>
          <w:szCs w:val="24"/>
        </w:rPr>
        <w:t xml:space="preserve">ordan S, Emery S, Watkins A, </w:t>
      </w:r>
      <w:r w:rsidR="004B239C">
        <w:rPr>
          <w:rFonts w:ascii="Times New Roman" w:hAnsi="Times New Roman" w:cs="Times New Roman"/>
          <w:sz w:val="24"/>
          <w:szCs w:val="24"/>
        </w:rPr>
        <w:t>et al</w:t>
      </w:r>
      <w:r w:rsidRPr="00F25CE5">
        <w:rPr>
          <w:rFonts w:ascii="Times New Roman" w:hAnsi="Times New Roman" w:cs="Times New Roman"/>
          <w:sz w:val="24"/>
          <w:szCs w:val="24"/>
        </w:rPr>
        <w:t>. Associations of drugs routinely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CE5">
        <w:rPr>
          <w:rFonts w:ascii="Times New Roman" w:hAnsi="Times New Roman" w:cs="Times New Roman"/>
          <w:sz w:val="24"/>
          <w:szCs w:val="24"/>
        </w:rPr>
        <w:t>given in labour with</w:t>
      </w:r>
      <w:r w:rsidR="004B2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88940" w14:textId="0B1F7807" w:rsidR="00F25CE5" w:rsidRDefault="00F25CE5" w:rsidP="004B239C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5CE5">
        <w:rPr>
          <w:rFonts w:ascii="Times New Roman" w:hAnsi="Times New Roman" w:cs="Times New Roman"/>
          <w:sz w:val="24"/>
          <w:szCs w:val="24"/>
        </w:rPr>
        <w:t xml:space="preserve">breastfeeding at 48 hours: analysis of the Cardiff Births Survey. </w:t>
      </w:r>
      <w:r w:rsidRPr="002B01E9">
        <w:rPr>
          <w:rFonts w:ascii="Times New Roman" w:hAnsi="Times New Roman" w:cs="Times New Roman"/>
          <w:i/>
          <w:iCs/>
          <w:sz w:val="24"/>
          <w:szCs w:val="24"/>
        </w:rPr>
        <w:t>BJOG.</w:t>
      </w:r>
      <w:r w:rsidRPr="00F25CE5">
        <w:rPr>
          <w:rFonts w:ascii="Times New Roman" w:hAnsi="Times New Roman" w:cs="Times New Roman"/>
          <w:sz w:val="24"/>
          <w:szCs w:val="24"/>
        </w:rPr>
        <w:t xml:space="preserve"> 2009 Nov;116(12):1622-9</w:t>
      </w:r>
    </w:p>
    <w:p w14:paraId="41C246A9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Hlk148503169"/>
      <w:r w:rsidRPr="0033055A">
        <w:rPr>
          <w:rFonts w:ascii="Times New Roman" w:hAnsi="Times New Roman" w:cs="Times New Roman"/>
          <w:sz w:val="24"/>
          <w:szCs w:val="24"/>
        </w:rPr>
        <w:t>Kunde F, Thomas S, Sudhakar A, et al. Prenatal diagnosis and planned peripartum care</w:t>
      </w:r>
    </w:p>
    <w:p w14:paraId="6EF77486" w14:textId="409F7E6F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improve perinatal outcome of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fetuses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with transposition of the great arteries and intact ventricular septum in low-resource settings.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Ultrasound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Gynecol</w:t>
      </w:r>
      <w:r w:rsidRPr="0033055A">
        <w:rPr>
          <w:rFonts w:ascii="Times New Roman" w:hAnsi="Times New Roman" w:cs="Times New Roman"/>
          <w:sz w:val="24"/>
          <w:szCs w:val="24"/>
        </w:rPr>
        <w:t>. 2021 Sep;58(3):398-404.</w:t>
      </w:r>
    </w:p>
    <w:bookmarkEnd w:id="15"/>
    <w:p w14:paraId="670CB499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4AD">
        <w:rPr>
          <w:rFonts w:ascii="Times New Roman" w:hAnsi="Times New Roman" w:cs="Times New Roman"/>
          <w:sz w:val="24"/>
          <w:szCs w:val="24"/>
          <w:lang w:val="da-DK"/>
        </w:rPr>
        <w:t xml:space="preserve">Lazar DA, Cass DL, Rodriguez MA, et al. </w:t>
      </w:r>
      <w:r w:rsidRPr="0033055A">
        <w:rPr>
          <w:rFonts w:ascii="Times New Roman" w:hAnsi="Times New Roman" w:cs="Times New Roman"/>
          <w:sz w:val="24"/>
          <w:szCs w:val="24"/>
        </w:rPr>
        <w:t>Impact of prenatal evaluation and protocol</w:t>
      </w:r>
    </w:p>
    <w:p w14:paraId="08013C5D" w14:textId="5830919A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based perinatal management on congenital diaphragmatic hernia outcomes.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Surg</w:t>
      </w:r>
      <w:r w:rsidRPr="0033055A">
        <w:rPr>
          <w:rFonts w:ascii="Times New Roman" w:hAnsi="Times New Roman" w:cs="Times New Roman"/>
          <w:sz w:val="24"/>
          <w:szCs w:val="24"/>
        </w:rPr>
        <w:t xml:space="preserve">. 2011 May;46(5):808-13.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10.1016/j.jpedsurg.2011.02.009</w:t>
      </w:r>
    </w:p>
    <w:p w14:paraId="5F4B7A2D" w14:textId="451585B8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0CE">
        <w:rPr>
          <w:rFonts w:ascii="Times New Roman" w:hAnsi="Times New Roman" w:cs="Times New Roman"/>
          <w:sz w:val="24"/>
          <w:szCs w:val="24"/>
        </w:rPr>
        <w:t xml:space="preserve">Lewis D, </w:t>
      </w:r>
      <w:proofErr w:type="spellStart"/>
      <w:r w:rsidRPr="002630CE">
        <w:rPr>
          <w:rFonts w:ascii="Times New Roman" w:hAnsi="Times New Roman" w:cs="Times New Roman"/>
          <w:sz w:val="24"/>
          <w:szCs w:val="24"/>
        </w:rPr>
        <w:t>Tolosa</w:t>
      </w:r>
      <w:proofErr w:type="spellEnd"/>
      <w:r w:rsidRPr="002630CE">
        <w:rPr>
          <w:rFonts w:ascii="Times New Roman" w:hAnsi="Times New Roman" w:cs="Times New Roman"/>
          <w:sz w:val="24"/>
          <w:szCs w:val="24"/>
        </w:rPr>
        <w:t xml:space="preserve"> JE, Kaufmann M, et al. </w:t>
      </w:r>
      <w:r w:rsidRPr="0033055A">
        <w:rPr>
          <w:rFonts w:ascii="Times New Roman" w:hAnsi="Times New Roman" w:cs="Times New Roman"/>
          <w:sz w:val="24"/>
          <w:szCs w:val="24"/>
        </w:rPr>
        <w:t xml:space="preserve">Elective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cesarean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delivery and long-term</w:t>
      </w:r>
    </w:p>
    <w:p w14:paraId="061BDD7E" w14:textId="7208D717" w:rsidR="005C41BC" w:rsidRPr="001904AD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da-DK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motor function or ambulation status in infants with meningomyelocele. </w:t>
      </w:r>
      <w:r w:rsidRPr="001904AD">
        <w:rPr>
          <w:rFonts w:ascii="Times New Roman" w:hAnsi="Times New Roman" w:cs="Times New Roman"/>
          <w:i/>
          <w:iCs/>
          <w:sz w:val="24"/>
          <w:szCs w:val="24"/>
          <w:lang w:val="da-DK"/>
        </w:rPr>
        <w:t>Obstet Gynecol</w:t>
      </w:r>
      <w:r w:rsidRPr="001904AD">
        <w:rPr>
          <w:rFonts w:ascii="Times New Roman" w:hAnsi="Times New Roman" w:cs="Times New Roman"/>
          <w:sz w:val="24"/>
          <w:szCs w:val="24"/>
          <w:lang w:val="da-DK"/>
        </w:rPr>
        <w:t>. 2004 Mar;103(3):469-73. doi: 10.1097/01.AOG.0000113624.94710.ce</w:t>
      </w:r>
    </w:p>
    <w:p w14:paraId="12CAE811" w14:textId="77777777" w:rsidR="00C76125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4AD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Loane M, Given JE, Tan J, et al. </w:t>
      </w:r>
      <w:r w:rsidRPr="00C76125">
        <w:rPr>
          <w:rFonts w:ascii="Times New Roman" w:hAnsi="Times New Roman" w:cs="Times New Roman"/>
          <w:sz w:val="24"/>
          <w:szCs w:val="24"/>
        </w:rPr>
        <w:t>Linking a European cohort of children born with</w:t>
      </w:r>
    </w:p>
    <w:p w14:paraId="36CDF461" w14:textId="45DD81FF" w:rsidR="00043D42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congenital anomalies to vital statistics and mortality records: A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EUROlinkCAT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study.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222A3" w:rsidRPr="004812C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>oS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Pr="00C76125">
        <w:rPr>
          <w:rFonts w:ascii="Times New Roman" w:hAnsi="Times New Roman" w:cs="Times New Roman"/>
          <w:sz w:val="24"/>
          <w:szCs w:val="24"/>
        </w:rPr>
        <w:t>. 2021 Aug 27;16(8</w:t>
      </w:r>
      <w:proofErr w:type="gramStart"/>
      <w:r w:rsidRPr="00C76125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C76125">
        <w:rPr>
          <w:rFonts w:ascii="Times New Roman" w:hAnsi="Times New Roman" w:cs="Times New Roman"/>
          <w:sz w:val="24"/>
          <w:szCs w:val="24"/>
        </w:rPr>
        <w:t xml:space="preserve">0256535.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>: 10.1371/journal.pone.0256535</w:t>
      </w:r>
    </w:p>
    <w:p w14:paraId="74ADC3A3" w14:textId="6DC044DF" w:rsidR="004B239C" w:rsidRDefault="004B239C" w:rsidP="004B239C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239C">
        <w:rPr>
          <w:rFonts w:ascii="Times New Roman" w:hAnsi="Times New Roman" w:cs="Times New Roman"/>
          <w:sz w:val="24"/>
          <w:szCs w:val="24"/>
        </w:rPr>
        <w:t>Loane M, Given JE, Tan J, et al. Creating a population-based cohort of children born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0F198" w14:textId="4F679D9C" w:rsidR="004B239C" w:rsidRDefault="004B239C" w:rsidP="004B239C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239C">
        <w:rPr>
          <w:rFonts w:ascii="Times New Roman" w:hAnsi="Times New Roman" w:cs="Times New Roman"/>
          <w:sz w:val="24"/>
          <w:szCs w:val="24"/>
        </w:rPr>
        <w:t xml:space="preserve">and without congenital anomalies using birth data matched to hospital discharge databases in 11 European regions: Assessment of linkage success and data quality. </w:t>
      </w:r>
      <w:proofErr w:type="spellStart"/>
      <w:r w:rsidRPr="002B01E9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B01E9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Pr="004B239C">
        <w:rPr>
          <w:rFonts w:ascii="Times New Roman" w:hAnsi="Times New Roman" w:cs="Times New Roman"/>
          <w:sz w:val="24"/>
          <w:szCs w:val="24"/>
        </w:rPr>
        <w:t xml:space="preserve"> </w:t>
      </w:r>
      <w:r w:rsidR="004D3B46">
        <w:rPr>
          <w:rFonts w:ascii="Times New Roman" w:hAnsi="Times New Roman" w:cs="Times New Roman"/>
          <w:sz w:val="24"/>
          <w:szCs w:val="24"/>
        </w:rPr>
        <w:t xml:space="preserve">2023, </w:t>
      </w:r>
      <w:r w:rsidRPr="004B239C">
        <w:rPr>
          <w:rFonts w:ascii="Times New Roman" w:hAnsi="Times New Roman" w:cs="Times New Roman"/>
          <w:sz w:val="24"/>
          <w:szCs w:val="24"/>
        </w:rPr>
        <w:t xml:space="preserve">18(8): e0290711. https://doi.org/10.1371/journal.pone.0290711  </w:t>
      </w:r>
    </w:p>
    <w:p w14:paraId="32F56A3B" w14:textId="77777777" w:rsidR="00C76125" w:rsidRDefault="001937C6" w:rsidP="00A86106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Long A-M, Bunch KJ, Knight M</w:t>
      </w:r>
      <w:r w:rsidR="004F762D" w:rsidRPr="0033055A">
        <w:rPr>
          <w:rFonts w:ascii="Times New Roman" w:hAnsi="Times New Roman" w:cs="Times New Roman"/>
          <w:sz w:val="24"/>
          <w:szCs w:val="24"/>
        </w:rPr>
        <w:t xml:space="preserve">, </w:t>
      </w:r>
      <w:r w:rsidR="00B51F92" w:rsidRPr="0033055A">
        <w:rPr>
          <w:rFonts w:ascii="Times New Roman" w:hAnsi="Times New Roman" w:cs="Times New Roman"/>
          <w:sz w:val="24"/>
          <w:szCs w:val="24"/>
        </w:rPr>
        <w:t>et al.</w:t>
      </w:r>
      <w:r w:rsidR="004F762D" w:rsidRPr="0033055A">
        <w:rPr>
          <w:rFonts w:ascii="Times New Roman" w:hAnsi="Times New Roman" w:cs="Times New Roman"/>
          <w:sz w:val="24"/>
          <w:szCs w:val="24"/>
        </w:rPr>
        <w:t xml:space="preserve"> One-year outcomes of infants born with</w:t>
      </w:r>
    </w:p>
    <w:p w14:paraId="0D6D5598" w14:textId="0CDE1CBC" w:rsidR="000E5BAF" w:rsidRDefault="004F762D" w:rsidP="00A86106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congenital diaphragmatic hernia: a national population cohort study. </w:t>
      </w:r>
      <w:r w:rsidR="001937C6"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Arch Dis Child </w:t>
      </w:r>
      <w:proofErr w:type="spellStart"/>
      <w:r w:rsidR="001937C6" w:rsidRPr="004812C8">
        <w:rPr>
          <w:rFonts w:ascii="Times New Roman" w:hAnsi="Times New Roman" w:cs="Times New Roman"/>
          <w:i/>
          <w:iCs/>
          <w:sz w:val="24"/>
          <w:szCs w:val="24"/>
        </w:rPr>
        <w:t>Fetal</w:t>
      </w:r>
      <w:proofErr w:type="spellEnd"/>
      <w:r w:rsidR="001937C6"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Neonatal Ed</w:t>
      </w:r>
      <w:r w:rsidR="001937C6" w:rsidRPr="0033055A">
        <w:rPr>
          <w:rFonts w:ascii="Times New Roman" w:hAnsi="Times New Roman" w:cs="Times New Roman"/>
          <w:sz w:val="24"/>
          <w:szCs w:val="24"/>
        </w:rPr>
        <w:t xml:space="preserve"> 2019;104:</w:t>
      </w:r>
      <w:r w:rsidRPr="0033055A">
        <w:rPr>
          <w:rFonts w:ascii="Times New Roman" w:hAnsi="Times New Roman" w:cs="Times New Roman"/>
          <w:sz w:val="24"/>
          <w:szCs w:val="24"/>
        </w:rPr>
        <w:t xml:space="preserve"> </w:t>
      </w:r>
      <w:r w:rsidR="001937C6" w:rsidRPr="0033055A">
        <w:rPr>
          <w:rFonts w:ascii="Times New Roman" w:hAnsi="Times New Roman" w:cs="Times New Roman"/>
          <w:sz w:val="24"/>
          <w:szCs w:val="24"/>
        </w:rPr>
        <w:t>F643–F647.</w:t>
      </w:r>
      <w:r w:rsidRPr="00330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10.1136/archdischild-2018-316396</w:t>
      </w:r>
    </w:p>
    <w:p w14:paraId="604AA0DC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C1E">
        <w:rPr>
          <w:rFonts w:ascii="Times New Roman" w:hAnsi="Times New Roman" w:cs="Times New Roman"/>
          <w:sz w:val="24"/>
          <w:szCs w:val="24"/>
          <w:lang w:val="sv-SE"/>
        </w:rPr>
        <w:t>Nagata</w:t>
      </w:r>
      <w:proofErr w:type="spellEnd"/>
      <w:r w:rsidRPr="00693C1E">
        <w:rPr>
          <w:rFonts w:ascii="Times New Roman" w:hAnsi="Times New Roman" w:cs="Times New Roman"/>
          <w:sz w:val="24"/>
          <w:szCs w:val="24"/>
          <w:lang w:val="sv-SE"/>
        </w:rPr>
        <w:t xml:space="preserve"> H, </w:t>
      </w:r>
      <w:proofErr w:type="spellStart"/>
      <w:r w:rsidRPr="00693C1E">
        <w:rPr>
          <w:rFonts w:ascii="Times New Roman" w:hAnsi="Times New Roman" w:cs="Times New Roman"/>
          <w:sz w:val="24"/>
          <w:szCs w:val="24"/>
          <w:lang w:val="sv-SE"/>
        </w:rPr>
        <w:t>Glick</w:t>
      </w:r>
      <w:proofErr w:type="spellEnd"/>
      <w:r w:rsidRPr="00693C1E">
        <w:rPr>
          <w:rFonts w:ascii="Times New Roman" w:hAnsi="Times New Roman" w:cs="Times New Roman"/>
          <w:sz w:val="24"/>
          <w:szCs w:val="24"/>
          <w:lang w:val="sv-SE"/>
        </w:rPr>
        <w:t xml:space="preserve"> L, </w:t>
      </w:r>
      <w:proofErr w:type="spellStart"/>
      <w:r w:rsidRPr="00693C1E">
        <w:rPr>
          <w:rFonts w:ascii="Times New Roman" w:hAnsi="Times New Roman" w:cs="Times New Roman"/>
          <w:sz w:val="24"/>
          <w:szCs w:val="24"/>
          <w:lang w:val="sv-SE"/>
        </w:rPr>
        <w:t>Lougheed</w:t>
      </w:r>
      <w:proofErr w:type="spellEnd"/>
      <w:r w:rsidRPr="00693C1E">
        <w:rPr>
          <w:rFonts w:ascii="Times New Roman" w:hAnsi="Times New Roman" w:cs="Times New Roman"/>
          <w:sz w:val="24"/>
          <w:szCs w:val="24"/>
          <w:lang w:val="sv-SE"/>
        </w:rPr>
        <w:t xml:space="preserve"> J, et al. </w:t>
      </w:r>
      <w:r w:rsidRPr="0033055A">
        <w:rPr>
          <w:rFonts w:ascii="Times New Roman" w:hAnsi="Times New Roman" w:cs="Times New Roman"/>
          <w:sz w:val="24"/>
          <w:szCs w:val="24"/>
        </w:rPr>
        <w:t>Prenatal Diagnosis of Transposition of the Great</w:t>
      </w:r>
    </w:p>
    <w:p w14:paraId="49E8A7B8" w14:textId="571F213A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Arteries Reduces Postnatal Mortality: A Population-Based Study.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Can J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Cardiol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. 2020 Oct;36(10):1592-1597.</w:t>
      </w:r>
    </w:p>
    <w:p w14:paraId="617273E3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Mesas Burgos C,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Hammarqvist-Vejde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Frenckner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B, Conner P. Differences in</w:t>
      </w:r>
    </w:p>
    <w:p w14:paraId="7D7723AB" w14:textId="228EF5A5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Outcomes in Prenatally Diagnosed Congenital diaphragmatic hernia Compared to Postnatal Detection: A Single-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Experience.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Fetal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Diagn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Ther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. 2016;39(4):241-7.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10.1159/000439303</w:t>
      </w:r>
    </w:p>
    <w:p w14:paraId="54898472" w14:textId="77777777" w:rsidR="00C76125" w:rsidRDefault="00C76125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Peake LK, Draper ES, Budd JL, Field D. Outcomes when congenital heart disease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526D5C8C" w14:textId="7F6804B5" w:rsidR="00C76125" w:rsidRPr="0033055A" w:rsidRDefault="00C76125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diagnosed antenatally versus postnatally in the UK: a retrospective population-based study.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BMC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55A">
        <w:rPr>
          <w:rFonts w:ascii="Times New Roman" w:hAnsi="Times New Roman" w:cs="Times New Roman"/>
          <w:sz w:val="24"/>
          <w:szCs w:val="24"/>
        </w:rPr>
        <w:t>2015;15:58</w:t>
      </w:r>
      <w:proofErr w:type="gramEnd"/>
      <w:r w:rsidRPr="00330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CF092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125">
        <w:rPr>
          <w:rFonts w:ascii="Times New Roman" w:hAnsi="Times New Roman" w:cs="Times New Roman"/>
          <w:sz w:val="24"/>
          <w:szCs w:val="24"/>
        </w:rPr>
        <w:t>Peyvandi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S, De Santiago V,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Chakkarapani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E, Chau V, et al.  Association of Prenatal</w:t>
      </w:r>
    </w:p>
    <w:p w14:paraId="7FAACA5C" w14:textId="2C347A84" w:rsidR="005C41BC" w:rsidRP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Diagnosis of Critical Congenital Heart Disease with Postnatal Brain Development and the Risk of Brain Injury.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JAMA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Pediatr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>. 2016 Apr; 170(4</w:t>
      </w:r>
      <w:proofErr w:type="gramStart"/>
      <w:r w:rsidRPr="00C76125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C76125">
        <w:rPr>
          <w:rFonts w:ascii="Times New Roman" w:hAnsi="Times New Roman" w:cs="Times New Roman"/>
          <w:sz w:val="24"/>
          <w:szCs w:val="24"/>
        </w:rPr>
        <w:t xml:space="preserve">154450.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>: 10.1001/jamapediatrics.2015.4450</w:t>
      </w:r>
    </w:p>
    <w:p w14:paraId="1E8E8392" w14:textId="77777777" w:rsidR="00C76125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lastRenderedPageBreak/>
        <w:t xml:space="preserve">Russo FM, Cordier AG, De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Catte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L, </w:t>
      </w:r>
      <w:r w:rsidR="00B51F92" w:rsidRPr="00C76125">
        <w:rPr>
          <w:rFonts w:ascii="Times New Roman" w:hAnsi="Times New Roman" w:cs="Times New Roman"/>
          <w:sz w:val="24"/>
          <w:szCs w:val="24"/>
        </w:rPr>
        <w:t xml:space="preserve">et al. </w:t>
      </w:r>
      <w:r w:rsidRPr="00C76125">
        <w:rPr>
          <w:rFonts w:ascii="Times New Roman" w:hAnsi="Times New Roman" w:cs="Times New Roman"/>
          <w:sz w:val="24"/>
          <w:szCs w:val="24"/>
        </w:rPr>
        <w:t>Workstream Prenatal Proposal for</w:t>
      </w:r>
    </w:p>
    <w:p w14:paraId="7CAE87AB" w14:textId="0B24D1BA" w:rsidR="00043D42" w:rsidRPr="00C76125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standardized prenatal ultrasound assessment of the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with congenital diaphragmatic hernia by the European reference network on rare inherited and congenital anomalies (ERNICA).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Prenat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Diagn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>. 2018 Aug;38(9):629-637</w:t>
      </w:r>
      <w:r w:rsidR="00043D42" w:rsidRPr="00C76125">
        <w:rPr>
          <w:rFonts w:ascii="Times New Roman" w:hAnsi="Times New Roman" w:cs="Times New Roman"/>
          <w:sz w:val="24"/>
          <w:szCs w:val="24"/>
        </w:rPr>
        <w:t>.</w:t>
      </w:r>
    </w:p>
    <w:p w14:paraId="235AE144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55A">
        <w:rPr>
          <w:rFonts w:ascii="Times New Roman" w:hAnsi="Times New Roman" w:cs="Times New Roman"/>
          <w:sz w:val="24"/>
          <w:szCs w:val="24"/>
        </w:rPr>
        <w:t>Sadlecki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Walentowicz-Sadlecka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M. Prenatal diagnosis of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 xml:space="preserve"> defects and its</w:t>
      </w:r>
    </w:p>
    <w:p w14:paraId="4ACC92CB" w14:textId="5B66ABEA" w:rsidR="005C41BC" w:rsidRPr="0033055A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 xml:space="preserve">implications on the delivery mode.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>Open Med</w:t>
      </w:r>
      <w:r w:rsidRPr="0033055A">
        <w:rPr>
          <w:rFonts w:ascii="Times New Roman" w:hAnsi="Times New Roman" w:cs="Times New Roman"/>
          <w:sz w:val="24"/>
          <w:szCs w:val="24"/>
        </w:rPr>
        <w:t xml:space="preserve"> (Wars). 2023 May 12;18(1):20230704. </w:t>
      </w:r>
      <w:proofErr w:type="spellStart"/>
      <w:r w:rsidRPr="003305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3055A">
        <w:rPr>
          <w:rFonts w:ascii="Times New Roman" w:hAnsi="Times New Roman" w:cs="Times New Roman"/>
          <w:sz w:val="24"/>
          <w:szCs w:val="24"/>
        </w:rPr>
        <w:t>: 10.1515/med-2023-0704</w:t>
      </w:r>
    </w:p>
    <w:p w14:paraId="1E187B00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904AD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Sipes SL, Weiner CP, Sipes DR 2nd, et al. </w:t>
      </w:r>
      <w:r w:rsidRPr="0033055A">
        <w:rPr>
          <w:rFonts w:ascii="Times New Roman" w:hAnsi="Times New Roman" w:cs="Times New Roman"/>
          <w:bCs/>
          <w:sz w:val="24"/>
          <w:szCs w:val="24"/>
        </w:rPr>
        <w:t>Gastroschisis and omphalocele: does either</w:t>
      </w:r>
    </w:p>
    <w:p w14:paraId="5BE311EB" w14:textId="567693FF" w:rsidR="005C41BC" w:rsidRPr="001904AD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da-DK"/>
        </w:rPr>
      </w:pPr>
      <w:r w:rsidRPr="0033055A">
        <w:rPr>
          <w:rFonts w:ascii="Times New Roman" w:hAnsi="Times New Roman" w:cs="Times New Roman"/>
          <w:bCs/>
          <w:sz w:val="24"/>
          <w:szCs w:val="24"/>
        </w:rPr>
        <w:t xml:space="preserve">antenatal diagnosis or route of delivery make a difference in perinatal outcome? </w:t>
      </w:r>
      <w:r w:rsidRPr="001904AD">
        <w:rPr>
          <w:rFonts w:ascii="Times New Roman" w:hAnsi="Times New Roman" w:cs="Times New Roman"/>
          <w:bCs/>
          <w:i/>
          <w:iCs/>
          <w:sz w:val="24"/>
          <w:szCs w:val="24"/>
          <w:lang w:val="da-DK"/>
        </w:rPr>
        <w:t>Obstet Gynecol</w:t>
      </w:r>
      <w:r w:rsidRPr="001904AD">
        <w:rPr>
          <w:rFonts w:ascii="Times New Roman" w:hAnsi="Times New Roman" w:cs="Times New Roman"/>
          <w:bCs/>
          <w:sz w:val="24"/>
          <w:szCs w:val="24"/>
          <w:lang w:val="da-DK"/>
        </w:rPr>
        <w:t>. 1990 Aug;76(2):195-9.</w:t>
      </w:r>
    </w:p>
    <w:p w14:paraId="666870BF" w14:textId="77777777" w:rsidR="00C76125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4AD">
        <w:rPr>
          <w:rFonts w:ascii="Times New Roman" w:hAnsi="Times New Roman" w:cs="Times New Roman"/>
          <w:sz w:val="24"/>
          <w:szCs w:val="24"/>
          <w:lang w:val="da-DK"/>
        </w:rPr>
        <w:t xml:space="preserve">Skari H, Bjornland K, Bjornstad-Ostensen A, et al. </w:t>
      </w:r>
      <w:r w:rsidRPr="00C76125">
        <w:rPr>
          <w:rFonts w:ascii="Times New Roman" w:hAnsi="Times New Roman" w:cs="Times New Roman"/>
          <w:sz w:val="24"/>
          <w:szCs w:val="24"/>
        </w:rPr>
        <w:t>Consequences of prenatal ultrasound</w:t>
      </w:r>
    </w:p>
    <w:p w14:paraId="1514EF97" w14:textId="0C3DBB6A" w:rsidR="005C41BC" w:rsidRDefault="005C41BC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diagnosis: a preliminary report on neonates with congenital malformations.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Gynecol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Scand</w:t>
      </w:r>
      <w:r w:rsidRPr="00C76125">
        <w:rPr>
          <w:rFonts w:ascii="Times New Roman" w:hAnsi="Times New Roman" w:cs="Times New Roman"/>
          <w:sz w:val="24"/>
          <w:szCs w:val="24"/>
        </w:rPr>
        <w:t>. 1998 Jul;77(6):635-42.</w:t>
      </w:r>
    </w:p>
    <w:p w14:paraId="28993342" w14:textId="041F0BA9" w:rsidR="004B239C" w:rsidRDefault="004B239C" w:rsidP="004B239C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5A">
        <w:rPr>
          <w:rFonts w:ascii="Times New Roman" w:hAnsi="Times New Roman" w:cs="Times New Roman"/>
          <w:sz w:val="24"/>
          <w:szCs w:val="24"/>
          <w:lang w:val="sv-SE"/>
        </w:rPr>
        <w:t>Urhoj</w:t>
      </w:r>
      <w:proofErr w:type="spellEnd"/>
      <w:r w:rsidRPr="0063545A">
        <w:rPr>
          <w:rFonts w:ascii="Times New Roman" w:hAnsi="Times New Roman" w:cs="Times New Roman"/>
          <w:sz w:val="24"/>
          <w:szCs w:val="24"/>
          <w:lang w:val="sv-SE"/>
        </w:rPr>
        <w:t xml:space="preserve"> SK, Tan J, Morris JK, et al. </w:t>
      </w:r>
      <w:r w:rsidRPr="004B239C">
        <w:rPr>
          <w:rFonts w:ascii="Times New Roman" w:hAnsi="Times New Roman" w:cs="Times New Roman"/>
          <w:sz w:val="24"/>
          <w:szCs w:val="24"/>
        </w:rPr>
        <w:t>Hospital length of stay among children with and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B8E5A" w14:textId="40CF01FE" w:rsidR="004B239C" w:rsidRDefault="004B239C" w:rsidP="004B239C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239C">
        <w:rPr>
          <w:rFonts w:ascii="Times New Roman" w:hAnsi="Times New Roman" w:cs="Times New Roman"/>
          <w:sz w:val="24"/>
          <w:szCs w:val="24"/>
        </w:rPr>
        <w:t xml:space="preserve">congenital anomalies across 11 European regions - A population-based data linkage study. </w:t>
      </w:r>
      <w:proofErr w:type="spellStart"/>
      <w:r w:rsidRPr="002B01E9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B01E9">
        <w:rPr>
          <w:rFonts w:ascii="Times New Roman" w:hAnsi="Times New Roman" w:cs="Times New Roman"/>
          <w:i/>
          <w:iCs/>
          <w:sz w:val="24"/>
          <w:szCs w:val="24"/>
        </w:rPr>
        <w:t xml:space="preserve"> ONE </w:t>
      </w:r>
      <w:r w:rsidR="004D3B46">
        <w:rPr>
          <w:rFonts w:ascii="Times New Roman" w:hAnsi="Times New Roman" w:cs="Times New Roman"/>
          <w:sz w:val="24"/>
          <w:szCs w:val="24"/>
        </w:rPr>
        <w:t xml:space="preserve">2022, </w:t>
      </w:r>
      <w:r w:rsidRPr="004B239C">
        <w:rPr>
          <w:rFonts w:ascii="Times New Roman" w:hAnsi="Times New Roman" w:cs="Times New Roman"/>
          <w:sz w:val="24"/>
          <w:szCs w:val="24"/>
        </w:rPr>
        <w:t>17(7): e0269874. https://doi.org/10.1371/journal.pone.0269874</w:t>
      </w:r>
    </w:p>
    <w:p w14:paraId="6F8FBC6D" w14:textId="77777777" w:rsidR="00C76125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Velzen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CL, </w:t>
      </w:r>
      <w:proofErr w:type="spellStart"/>
      <w:r w:rsidRPr="00C76125">
        <w:rPr>
          <w:rFonts w:ascii="Times New Roman" w:hAnsi="Times New Roman" w:cs="Times New Roman"/>
          <w:sz w:val="24"/>
          <w:szCs w:val="24"/>
        </w:rPr>
        <w:t>Haak</w:t>
      </w:r>
      <w:proofErr w:type="spellEnd"/>
      <w:r w:rsidRPr="00C76125">
        <w:rPr>
          <w:rFonts w:ascii="Times New Roman" w:hAnsi="Times New Roman" w:cs="Times New Roman"/>
          <w:sz w:val="24"/>
          <w:szCs w:val="24"/>
        </w:rPr>
        <w:t xml:space="preserve"> MC, Reijnders G, </w:t>
      </w:r>
      <w:r w:rsidR="004F762D" w:rsidRPr="00C76125">
        <w:rPr>
          <w:rFonts w:ascii="Times New Roman" w:hAnsi="Times New Roman" w:cs="Times New Roman"/>
          <w:sz w:val="24"/>
          <w:szCs w:val="24"/>
        </w:rPr>
        <w:t xml:space="preserve">et al. </w:t>
      </w:r>
      <w:r w:rsidRPr="00C76125">
        <w:rPr>
          <w:rFonts w:ascii="Times New Roman" w:hAnsi="Times New Roman" w:cs="Times New Roman"/>
          <w:sz w:val="24"/>
          <w:szCs w:val="24"/>
        </w:rPr>
        <w:t>Prenatal detection of transposition of the</w:t>
      </w:r>
    </w:p>
    <w:p w14:paraId="723584CB" w14:textId="780EEC64" w:rsidR="00386C41" w:rsidRPr="00C76125" w:rsidRDefault="001937C6" w:rsidP="002467ED">
      <w:pPr>
        <w:pStyle w:val="Loppuviitteenteksti"/>
        <w:suppressLineNumbers/>
        <w:shd w:val="clear" w:color="auto" w:fill="FFFFFF" w:themeFill="background1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6125">
        <w:rPr>
          <w:rFonts w:ascii="Times New Roman" w:hAnsi="Times New Roman" w:cs="Times New Roman"/>
          <w:sz w:val="24"/>
          <w:szCs w:val="24"/>
        </w:rPr>
        <w:t xml:space="preserve">great arteries </w:t>
      </w:r>
      <w:proofErr w:type="gramStart"/>
      <w:r w:rsidRPr="00C76125">
        <w:rPr>
          <w:rFonts w:ascii="Times New Roman" w:hAnsi="Times New Roman" w:cs="Times New Roman"/>
          <w:sz w:val="24"/>
          <w:szCs w:val="24"/>
        </w:rPr>
        <w:t>reduces</w:t>
      </w:r>
      <w:proofErr w:type="gramEnd"/>
      <w:r w:rsidRPr="00C76125">
        <w:rPr>
          <w:rFonts w:ascii="Times New Roman" w:hAnsi="Times New Roman" w:cs="Times New Roman"/>
          <w:sz w:val="24"/>
          <w:szCs w:val="24"/>
        </w:rPr>
        <w:t xml:space="preserve"> mortality and morbidity. </w:t>
      </w:r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Ultrasound </w:t>
      </w:r>
      <w:proofErr w:type="spellStart"/>
      <w:r w:rsidRPr="004812C8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4812C8">
        <w:rPr>
          <w:rFonts w:ascii="Times New Roman" w:hAnsi="Times New Roman" w:cs="Times New Roman"/>
          <w:i/>
          <w:iCs/>
          <w:sz w:val="24"/>
          <w:szCs w:val="24"/>
        </w:rPr>
        <w:t xml:space="preserve"> Gynecol</w:t>
      </w:r>
      <w:r w:rsidRPr="00C76125">
        <w:rPr>
          <w:rFonts w:ascii="Times New Roman" w:hAnsi="Times New Roman" w:cs="Times New Roman"/>
          <w:sz w:val="24"/>
          <w:szCs w:val="24"/>
        </w:rPr>
        <w:t xml:space="preserve">. 2015 Mar;45(3):320-5. </w:t>
      </w:r>
      <w:r w:rsidR="00386C41" w:rsidRPr="0033055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C855149" w14:textId="6658A55B" w:rsidR="0060030C" w:rsidRPr="0033055A" w:rsidRDefault="0060030C" w:rsidP="002467ED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  <w:bookmarkStart w:id="16" w:name="_Hlk94531224"/>
      <w:bookmarkEnd w:id="14"/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Table 1: The proportion of children with congenital anomalies that were linked to their national/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vital statistics or hospital databases and the number of live births according to </w:t>
      </w:r>
      <w:proofErr w:type="gramStart"/>
      <w:r w:rsidRPr="0033055A">
        <w:rPr>
          <w:rFonts w:ascii="Times New Roman" w:hAnsi="Times New Roman" w:cs="Times New Roman"/>
          <w:sz w:val="24"/>
          <w:szCs w:val="24"/>
          <w:lang w:val="en-GB"/>
        </w:rPr>
        <w:t>anomaly</w:t>
      </w:r>
      <w:proofErr w:type="gramEnd"/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Yksinkertainentaulukko4"/>
        <w:tblW w:w="9016" w:type="dxa"/>
        <w:tblLook w:val="04A0" w:firstRow="1" w:lastRow="0" w:firstColumn="1" w:lastColumn="0" w:noHBand="0" w:noVBand="1"/>
      </w:tblPr>
      <w:tblGrid>
        <w:gridCol w:w="2568"/>
        <w:gridCol w:w="2062"/>
        <w:gridCol w:w="1457"/>
        <w:gridCol w:w="710"/>
        <w:gridCol w:w="723"/>
        <w:gridCol w:w="1496"/>
      </w:tblGrid>
      <w:tr w:rsidR="0060030C" w:rsidRPr="00860586" w14:paraId="73D61671" w14:textId="77777777" w:rsidTr="00F21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14:paraId="418C2DC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39C4A6A6" w14:textId="77777777" w:rsidR="0060030C" w:rsidRPr="0033055A" w:rsidRDefault="0060030C" w:rsidP="002467ED">
            <w:pPr>
              <w:pStyle w:val="Eivli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3305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% Children linked to national/vital statistics or hospital databases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39FE1A" w14:textId="77777777" w:rsidR="0060030C" w:rsidRPr="0033055A" w:rsidRDefault="0060030C" w:rsidP="002467ED">
            <w:pPr>
              <w:pStyle w:val="Eivli"/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305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Number of live births with isolated anomalies</w:t>
            </w:r>
          </w:p>
        </w:tc>
      </w:tr>
      <w:tr w:rsidR="0060030C" w:rsidRPr="0033055A" w14:paraId="2FACED10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14:paraId="7727D593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E39513A" w14:textId="77777777" w:rsidR="0060030C" w:rsidRPr="0033055A" w:rsidRDefault="0060030C" w:rsidP="002467ED">
            <w:pPr>
              <w:pStyle w:val="Eivli"/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EDFC69" w14:textId="77777777" w:rsidR="0060030C" w:rsidRPr="0033055A" w:rsidRDefault="0060030C" w:rsidP="002467ED">
            <w:pPr>
              <w:pStyle w:val="Eivli"/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Spina bifida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F8EF8E" w14:textId="77777777" w:rsidR="0060030C" w:rsidRPr="0033055A" w:rsidRDefault="0060030C" w:rsidP="002467ED">
            <w:pPr>
              <w:pStyle w:val="Eivli"/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TGA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0B0942" w14:textId="77777777" w:rsidR="0060030C" w:rsidRPr="0033055A" w:rsidRDefault="0060030C" w:rsidP="002467ED">
            <w:pPr>
              <w:pStyle w:val="Eivli"/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CDH 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6EE750" w14:textId="77777777" w:rsidR="0060030C" w:rsidRPr="0033055A" w:rsidRDefault="0060030C" w:rsidP="002467ED">
            <w:pPr>
              <w:pStyle w:val="Eivli"/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Gastroschisis</w:t>
            </w:r>
          </w:p>
        </w:tc>
      </w:tr>
      <w:tr w:rsidR="0060030C" w:rsidRPr="0033055A" w14:paraId="63CC3237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hideMark/>
          </w:tcPr>
          <w:p w14:paraId="180F422D" w14:textId="18593645" w:rsidR="0060030C" w:rsidRPr="001904AD" w:rsidRDefault="0060030C" w:rsidP="002467ED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Croatia, Zagreb</w:t>
            </w:r>
            <w:r w:rsidR="002222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(200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8-</w:t>
            </w:r>
            <w:r w:rsidR="002222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2014)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1C6A7724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46.8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3B695BCC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53F37208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14:paraId="3D6A7D5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395743AE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60030C" w:rsidRPr="0033055A" w14:paraId="01B6F404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2BAF572D" w14:textId="7B82D2BF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Finland</w:t>
            </w:r>
            <w:r w:rsidR="002222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(1997-2014)</w:t>
            </w: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hideMark/>
          </w:tcPr>
          <w:p w14:paraId="00B0221B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99.4</w:t>
            </w:r>
          </w:p>
        </w:tc>
        <w:tc>
          <w:tcPr>
            <w:tcW w:w="1532" w:type="dxa"/>
          </w:tcPr>
          <w:p w14:paraId="0019279A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663" w:type="dxa"/>
          </w:tcPr>
          <w:p w14:paraId="6010DE7D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273</w:t>
            </w:r>
          </w:p>
        </w:tc>
        <w:tc>
          <w:tcPr>
            <w:tcW w:w="620" w:type="dxa"/>
          </w:tcPr>
          <w:p w14:paraId="023458CF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</w:t>
            </w:r>
          </w:p>
        </w:tc>
        <w:tc>
          <w:tcPr>
            <w:tcW w:w="1381" w:type="dxa"/>
          </w:tcPr>
          <w:p w14:paraId="2D3FC009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155</w:t>
            </w:r>
          </w:p>
        </w:tc>
      </w:tr>
      <w:tr w:rsidR="0060030C" w:rsidRPr="0033055A" w14:paraId="0E78937C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62BBE04B" w14:textId="20B00BA6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Italy, Emilia Romagna</w:t>
            </w:r>
            <w:r w:rsidR="002222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(2008-2014)</w:t>
            </w:r>
          </w:p>
        </w:tc>
        <w:tc>
          <w:tcPr>
            <w:tcW w:w="2126" w:type="dxa"/>
            <w:hideMark/>
          </w:tcPr>
          <w:p w14:paraId="5C9888D8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92.8</w:t>
            </w:r>
          </w:p>
        </w:tc>
        <w:tc>
          <w:tcPr>
            <w:tcW w:w="1532" w:type="dxa"/>
          </w:tcPr>
          <w:p w14:paraId="62C6B104" w14:textId="31A0EB4F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  <w:r w:rsidR="002F63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663" w:type="dxa"/>
          </w:tcPr>
          <w:p w14:paraId="7B81CB8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66</w:t>
            </w:r>
          </w:p>
        </w:tc>
        <w:tc>
          <w:tcPr>
            <w:tcW w:w="620" w:type="dxa"/>
          </w:tcPr>
          <w:p w14:paraId="3D69FB8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</w:t>
            </w:r>
          </w:p>
        </w:tc>
        <w:tc>
          <w:tcPr>
            <w:tcW w:w="1381" w:type="dxa"/>
          </w:tcPr>
          <w:p w14:paraId="25E2F25D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</w:tr>
      <w:tr w:rsidR="0060030C" w:rsidRPr="0033055A" w14:paraId="4C8D554D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2BEAA47" w14:textId="2ED10123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Italy, Tuscany</w:t>
            </w:r>
            <w:r w:rsidR="002222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2005-2014)</w:t>
            </w: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hideMark/>
          </w:tcPr>
          <w:p w14:paraId="27974268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87.6</w:t>
            </w:r>
          </w:p>
        </w:tc>
        <w:tc>
          <w:tcPr>
            <w:tcW w:w="1532" w:type="dxa"/>
          </w:tcPr>
          <w:p w14:paraId="70DB56BC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663" w:type="dxa"/>
          </w:tcPr>
          <w:p w14:paraId="299B6B06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68</w:t>
            </w:r>
          </w:p>
        </w:tc>
        <w:tc>
          <w:tcPr>
            <w:tcW w:w="620" w:type="dxa"/>
          </w:tcPr>
          <w:p w14:paraId="4A65A16B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</w:t>
            </w:r>
          </w:p>
        </w:tc>
        <w:tc>
          <w:tcPr>
            <w:tcW w:w="1381" w:type="dxa"/>
          </w:tcPr>
          <w:p w14:paraId="37EE505A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</w:tr>
      <w:tr w:rsidR="0060030C" w:rsidRPr="0033055A" w14:paraId="1036E17C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650E452F" w14:textId="066080AF" w:rsidR="0060030C" w:rsidRPr="00594DD3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The Netherlands, North (LMR)</w:t>
            </w:r>
            <w:r w:rsidR="0020699D" w:rsidRPr="0020699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GB" w:eastAsia="en-GB"/>
              </w:rPr>
              <w:t>a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(1995-2010)</w:t>
            </w:r>
          </w:p>
        </w:tc>
        <w:tc>
          <w:tcPr>
            <w:tcW w:w="2126" w:type="dxa"/>
            <w:hideMark/>
          </w:tcPr>
          <w:p w14:paraId="6F811096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95.4</w:t>
            </w:r>
          </w:p>
        </w:tc>
        <w:tc>
          <w:tcPr>
            <w:tcW w:w="1532" w:type="dxa"/>
            <w:hideMark/>
          </w:tcPr>
          <w:p w14:paraId="456635A4" w14:textId="3CE6742C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63" w:type="dxa"/>
            <w:hideMark/>
          </w:tcPr>
          <w:p w14:paraId="7D24A4D3" w14:textId="68FFC3B4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  <w:tc>
          <w:tcPr>
            <w:tcW w:w="620" w:type="dxa"/>
            <w:hideMark/>
          </w:tcPr>
          <w:p w14:paraId="01D4211A" w14:textId="1F251251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  <w:r w:rsidR="0020699D"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1381" w:type="dxa"/>
            <w:hideMark/>
          </w:tcPr>
          <w:p w14:paraId="42068C08" w14:textId="79D11F44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</w:tr>
      <w:tr w:rsidR="0060030C" w:rsidRPr="0033055A" w14:paraId="3FB61FF4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2474FC9C" w14:textId="3C321899" w:rsidR="0060030C" w:rsidRPr="00594DD3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The Netherlands, North (LBZ)</w:t>
            </w: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GB" w:eastAsia="en-GB"/>
              </w:rPr>
              <w:t xml:space="preserve"> </w:t>
            </w:r>
            <w:r w:rsidR="0020699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GB" w:eastAsia="en-GB"/>
              </w:rPr>
              <w:t>a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(2013-2014)</w:t>
            </w:r>
          </w:p>
        </w:tc>
        <w:tc>
          <w:tcPr>
            <w:tcW w:w="2126" w:type="dxa"/>
            <w:hideMark/>
          </w:tcPr>
          <w:p w14:paraId="370BA6BE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94.9</w:t>
            </w:r>
          </w:p>
        </w:tc>
        <w:tc>
          <w:tcPr>
            <w:tcW w:w="1532" w:type="dxa"/>
            <w:hideMark/>
          </w:tcPr>
          <w:p w14:paraId="55089818" w14:textId="29A8FF26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  <w:tc>
          <w:tcPr>
            <w:tcW w:w="663" w:type="dxa"/>
            <w:hideMark/>
          </w:tcPr>
          <w:p w14:paraId="45BFBF17" w14:textId="32D9DD4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  <w:tc>
          <w:tcPr>
            <w:tcW w:w="620" w:type="dxa"/>
            <w:hideMark/>
          </w:tcPr>
          <w:p w14:paraId="68129E2F" w14:textId="1E00E629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  <w:tc>
          <w:tcPr>
            <w:tcW w:w="1381" w:type="dxa"/>
            <w:hideMark/>
          </w:tcPr>
          <w:p w14:paraId="2D4B6032" w14:textId="4EBF6225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20699D" w:rsidRPr="002069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 b</w:t>
            </w:r>
          </w:p>
        </w:tc>
      </w:tr>
      <w:tr w:rsidR="0060030C" w:rsidRPr="0033055A" w14:paraId="5D75B878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8F4998C" w14:textId="3C28FB1F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Spain, Valencian Region 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(2010-2014)</w:t>
            </w:r>
          </w:p>
        </w:tc>
        <w:tc>
          <w:tcPr>
            <w:tcW w:w="2126" w:type="dxa"/>
            <w:hideMark/>
          </w:tcPr>
          <w:p w14:paraId="6AB37BC1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98.9</w:t>
            </w:r>
          </w:p>
        </w:tc>
        <w:tc>
          <w:tcPr>
            <w:tcW w:w="1532" w:type="dxa"/>
          </w:tcPr>
          <w:p w14:paraId="029F8A89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663" w:type="dxa"/>
          </w:tcPr>
          <w:p w14:paraId="3D926111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620" w:type="dxa"/>
          </w:tcPr>
          <w:p w14:paraId="33A2A4F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381" w:type="dxa"/>
          </w:tcPr>
          <w:p w14:paraId="019F75C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</w:tr>
      <w:tr w:rsidR="0060030C" w:rsidRPr="0033055A" w14:paraId="3E5C625A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0832AC64" w14:textId="7F1E89DF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UK, Wales 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(1998-2014)</w:t>
            </w:r>
          </w:p>
        </w:tc>
        <w:tc>
          <w:tcPr>
            <w:tcW w:w="2126" w:type="dxa"/>
            <w:hideMark/>
          </w:tcPr>
          <w:p w14:paraId="1B0C1A46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98.9</w:t>
            </w:r>
          </w:p>
        </w:tc>
        <w:tc>
          <w:tcPr>
            <w:tcW w:w="1532" w:type="dxa"/>
          </w:tcPr>
          <w:p w14:paraId="3A58ADC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663" w:type="dxa"/>
          </w:tcPr>
          <w:p w14:paraId="770F3D33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131</w:t>
            </w:r>
          </w:p>
        </w:tc>
        <w:tc>
          <w:tcPr>
            <w:tcW w:w="620" w:type="dxa"/>
          </w:tcPr>
          <w:p w14:paraId="1EABB72E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</w:t>
            </w:r>
          </w:p>
        </w:tc>
        <w:tc>
          <w:tcPr>
            <w:tcW w:w="1381" w:type="dxa"/>
          </w:tcPr>
          <w:p w14:paraId="3C9F17AF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235</w:t>
            </w:r>
          </w:p>
        </w:tc>
      </w:tr>
      <w:tr w:rsidR="0060030C" w:rsidRPr="0033055A" w14:paraId="77BC3CF1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935DEFF" w14:textId="62DAAE03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UK, England, East Midlands &amp; South Yorkshire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(2003-2012)</w:t>
            </w:r>
          </w:p>
        </w:tc>
        <w:tc>
          <w:tcPr>
            <w:tcW w:w="2126" w:type="dxa"/>
            <w:hideMark/>
          </w:tcPr>
          <w:p w14:paraId="22B8E7B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89.4</w:t>
            </w:r>
          </w:p>
        </w:tc>
        <w:tc>
          <w:tcPr>
            <w:tcW w:w="1532" w:type="dxa"/>
          </w:tcPr>
          <w:p w14:paraId="2A9DC30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</w:t>
            </w:r>
          </w:p>
        </w:tc>
        <w:tc>
          <w:tcPr>
            <w:tcW w:w="663" w:type="dxa"/>
          </w:tcPr>
          <w:p w14:paraId="014FA6D5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214</w:t>
            </w:r>
          </w:p>
        </w:tc>
        <w:tc>
          <w:tcPr>
            <w:tcW w:w="620" w:type="dxa"/>
          </w:tcPr>
          <w:p w14:paraId="67BFF133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131</w:t>
            </w:r>
          </w:p>
        </w:tc>
        <w:tc>
          <w:tcPr>
            <w:tcW w:w="1381" w:type="dxa"/>
          </w:tcPr>
          <w:p w14:paraId="499517BB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291</w:t>
            </w:r>
          </w:p>
        </w:tc>
      </w:tr>
      <w:tr w:rsidR="0060030C" w:rsidRPr="0033055A" w14:paraId="24B0F354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0B7AEBDB" w14:textId="19B6E087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UK, England, Thames Valley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(2005-2013)</w:t>
            </w:r>
          </w:p>
        </w:tc>
        <w:tc>
          <w:tcPr>
            <w:tcW w:w="2126" w:type="dxa"/>
            <w:hideMark/>
          </w:tcPr>
          <w:p w14:paraId="05B6DF3E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87.6</w:t>
            </w:r>
          </w:p>
        </w:tc>
        <w:tc>
          <w:tcPr>
            <w:tcW w:w="1532" w:type="dxa"/>
          </w:tcPr>
          <w:p w14:paraId="539F0738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663" w:type="dxa"/>
          </w:tcPr>
          <w:p w14:paraId="16E4C3F1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</w:t>
            </w:r>
          </w:p>
        </w:tc>
        <w:tc>
          <w:tcPr>
            <w:tcW w:w="620" w:type="dxa"/>
          </w:tcPr>
          <w:p w14:paraId="613DAACC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</w:p>
        </w:tc>
        <w:tc>
          <w:tcPr>
            <w:tcW w:w="1381" w:type="dxa"/>
          </w:tcPr>
          <w:p w14:paraId="15CE416F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65</w:t>
            </w:r>
          </w:p>
        </w:tc>
      </w:tr>
      <w:tr w:rsidR="0060030C" w:rsidRPr="0033055A" w14:paraId="43A125A1" w14:textId="77777777" w:rsidTr="00F2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hideMark/>
          </w:tcPr>
          <w:p w14:paraId="3373933E" w14:textId="7D0F15AF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UK, England, Wessex</w:t>
            </w:r>
            <w:r w:rsidR="00594DD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(2004-2014)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73E46E10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D5F530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D00E6B7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569FFD01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2B9F963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124</w:t>
            </w:r>
          </w:p>
        </w:tc>
      </w:tr>
      <w:tr w:rsidR="0060030C" w:rsidRPr="0033055A" w14:paraId="3F303275" w14:textId="77777777" w:rsidTr="00F2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2D6317" w14:textId="77777777" w:rsidR="0060030C" w:rsidRPr="0033055A" w:rsidRDefault="0060030C" w:rsidP="002467ED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Total number of live births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3F156A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2555DB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5B7DF0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FB2FB0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14210" w14:textId="77777777" w:rsidR="0060030C" w:rsidRPr="0033055A" w:rsidRDefault="0060030C" w:rsidP="002467ED">
            <w:pPr>
              <w:suppressLineNumbers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935</w:t>
            </w:r>
          </w:p>
        </w:tc>
      </w:tr>
    </w:tbl>
    <w:p w14:paraId="370C99C2" w14:textId="7B947455" w:rsidR="0060030C" w:rsidRPr="0033055A" w:rsidRDefault="0020699D" w:rsidP="002467ED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  <w:r w:rsidRPr="002069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 xml:space="preserve">a </w:t>
      </w:r>
      <w:r w:rsidR="0060030C" w:rsidRPr="003305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EUROCAT Northern Netherlands </w:t>
      </w:r>
      <w:r w:rsidR="0060030C" w:rsidRPr="0033055A">
        <w:rPr>
          <w:rFonts w:ascii="Times New Roman" w:hAnsi="Times New Roman" w:cs="Times New Roman"/>
          <w:sz w:val="24"/>
          <w:szCs w:val="24"/>
          <w:lang w:val="en-GB"/>
        </w:rPr>
        <w:t>linked to t</w:t>
      </w:r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wo healthcare databases: LMR (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Landelijke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Medische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Registratie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) and LBZ (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Landelijke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Basisregistratie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Ziekenhuiszorg</w:t>
      </w:r>
      <w:proofErr w:type="spellEnd"/>
      <w:r w:rsidR="0060030C" w:rsidRPr="0033055A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</w:p>
    <w:p w14:paraId="7973667D" w14:textId="6CC1F6C9" w:rsidR="0060030C" w:rsidRPr="0033055A" w:rsidRDefault="0020699D" w:rsidP="002467ED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  <w:r w:rsidRPr="0020699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b</w:t>
      </w:r>
      <w:r w:rsidR="0060030C"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All results rounded to the nearest five.</w:t>
      </w:r>
    </w:p>
    <w:p w14:paraId="5B2FC065" w14:textId="77777777" w:rsidR="0060030C" w:rsidRPr="0033055A" w:rsidRDefault="0060030C" w:rsidP="00CD4F0E">
      <w:pPr>
        <w:rPr>
          <w:rFonts w:ascii="Times New Roman" w:hAnsi="Times New Roman" w:cs="Times New Roman"/>
          <w:sz w:val="24"/>
          <w:szCs w:val="24"/>
          <w:lang w:val="en-GB"/>
        </w:rPr>
        <w:sectPr w:rsidR="0060030C" w:rsidRPr="0033055A" w:rsidSect="0006670C">
          <w:footerReference w:type="default" r:id="rId12"/>
          <w:pgSz w:w="11906" w:h="16838" w:code="9"/>
          <w:pgMar w:top="1701" w:right="1134" w:bottom="1701" w:left="1134" w:header="709" w:footer="709" w:gutter="0"/>
          <w:cols w:space="708"/>
          <w:docGrid w:linePitch="360"/>
        </w:sectPr>
      </w:pPr>
    </w:p>
    <w:p w14:paraId="51F4CD9D" w14:textId="31E2E42E" w:rsidR="0060030C" w:rsidRPr="0033055A" w:rsidRDefault="0060030C" w:rsidP="00CD4F0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Hlk94529211"/>
      <w:bookmarkEnd w:id="16"/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2: Mean gestational age, early neonatal (0-6 days) and infant mortality (&lt;1 year including 0-6 days), number and rate per 1000 live births </w:t>
      </w:r>
      <w:r w:rsidR="00594DD3">
        <w:rPr>
          <w:rFonts w:ascii="Times New Roman" w:hAnsi="Times New Roman" w:cs="Times New Roman"/>
          <w:sz w:val="24"/>
          <w:szCs w:val="24"/>
          <w:lang w:val="en-GB"/>
        </w:rPr>
        <w:t xml:space="preserve">with 95% confidence intervals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(excluding data from the Northern Netherlands)</w:t>
      </w: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2174"/>
        <w:gridCol w:w="1190"/>
        <w:gridCol w:w="1787"/>
        <w:gridCol w:w="1830"/>
        <w:gridCol w:w="281"/>
        <w:gridCol w:w="1003"/>
        <w:gridCol w:w="1123"/>
        <w:gridCol w:w="1390"/>
        <w:gridCol w:w="307"/>
        <w:gridCol w:w="1003"/>
        <w:gridCol w:w="1123"/>
        <w:gridCol w:w="1390"/>
      </w:tblGrid>
      <w:tr w:rsidR="0060030C" w:rsidRPr="0033055A" w14:paraId="40C79FB3" w14:textId="77777777" w:rsidTr="00693C1E">
        <w:tc>
          <w:tcPr>
            <w:tcW w:w="21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80E19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Congenital anomaly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B4AB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Prenatally diagnosed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E987C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No. of Live births (%)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CC1DB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 xml:space="preserve">Mean gestational age and 95% CI (weeks) 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F59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B14E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Early neonatal period (0-6 days)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5EC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993CC" w14:textId="54E998D0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Whole Infant Period (0-364 days)</w:t>
            </w:r>
          </w:p>
        </w:tc>
      </w:tr>
      <w:tr w:rsidR="0060030C" w:rsidRPr="0033055A" w14:paraId="2A950A40" w14:textId="77777777" w:rsidTr="00693C1E">
        <w:tc>
          <w:tcPr>
            <w:tcW w:w="21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465E6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A0A774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44E7A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77DBB1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3EFF7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9A85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Number of deaths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9F5DA" w14:textId="77777777" w:rsidR="0060030C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Mortality per 1000 live births</w:t>
            </w:r>
          </w:p>
          <w:p w14:paraId="2B0B70F0" w14:textId="06A078E9" w:rsidR="00594DD3" w:rsidRPr="0033055A" w:rsidRDefault="00594DD3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(95% CI)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87988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Comparison prenatal vs postnatal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B4827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BA97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Number of deaths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0A43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Mortality per 1000 live births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8294B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Comparison prenatal vs postnatal </w:t>
            </w:r>
          </w:p>
        </w:tc>
      </w:tr>
      <w:tr w:rsidR="0060030C" w:rsidRPr="0033055A" w14:paraId="1D01FC82" w14:textId="77777777" w:rsidTr="00693C1E"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F13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Spina bifida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57C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8E5A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174 (55)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F76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38.3 (37.8-38.7)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E2B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39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4FAD" w14:textId="4237D7F0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(1-41)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60D" w14:textId="20983E61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0.50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714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480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D80" w14:textId="46519298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(2-50)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474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0.25 </w:t>
            </w:r>
          </w:p>
        </w:tc>
      </w:tr>
      <w:tr w:rsidR="0060030C" w:rsidRPr="0033055A" w14:paraId="21AD88AA" w14:textId="77777777" w:rsidTr="00693C1E"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0CF8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91D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05C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145 (45)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997D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39.1 (38.7-39.6)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13B3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71DA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8389" w14:textId="26F0EECB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(0-25)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7FDF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D12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EE7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9217" w14:textId="06D32ABF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(0-25)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F5931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0030C" w:rsidRPr="0033055A" w14:paraId="73FEB855" w14:textId="77777777" w:rsidTr="00693C1E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AFC3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82B0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248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ED8E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194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B26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11C9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0E1B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0397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34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89F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0B55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030C" w:rsidRPr="0033055A" w14:paraId="26905452" w14:textId="77777777" w:rsidTr="00693C1E"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9C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Transposition of great arteries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BD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A5D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342 (38)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3E6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38.6 (38.3-39.0)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6F33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CE7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B9DE" w14:textId="4F260AB0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(8-42)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3F0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0.40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8A87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3F2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F8C" w14:textId="3779E5F4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114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(92-153)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E4B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0.096</w:t>
            </w:r>
          </w:p>
        </w:tc>
      </w:tr>
      <w:tr w:rsidR="0060030C" w:rsidRPr="0033055A" w14:paraId="679E3073" w14:textId="77777777" w:rsidTr="00693C1E"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F95CC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BF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54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555 (62)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B97C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39.2 (38.9-39.6)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B65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2D5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235" w14:textId="5814E5F2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(18-49)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0D8EA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64CC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AD2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F69" w14:textId="6D5CA675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(58-105)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9D71C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0030C" w:rsidRPr="0033055A" w14:paraId="3B56A173" w14:textId="77777777" w:rsidTr="00693C1E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9F78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8373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D035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5DA4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34F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DB0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69F7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EFD6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CD0A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F2D8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05D5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384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030C" w:rsidRPr="0033055A" w14:paraId="64717A7D" w14:textId="77777777" w:rsidTr="00693C1E"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921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Congenital diaphragmatic hernia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69FA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6BB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256 (56)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574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37.5 (36.9-38.0)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B01B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E4E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78AC" w14:textId="2CC28D85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277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(223-337)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BC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&lt;0.001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6B1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74B3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CFF7" w14:textId="61C63788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359</w:t>
            </w:r>
            <w:r w:rsidR="00594D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(301-421)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27D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&lt;0.001</w:t>
            </w:r>
          </w:p>
        </w:tc>
      </w:tr>
      <w:tr w:rsidR="0060030C" w:rsidRPr="0033055A" w14:paraId="1411823A" w14:textId="77777777" w:rsidTr="00693C1E"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4FD80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0D83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37BA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198 (44)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ABF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38.7 (38.0-39.3)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206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FAAC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62BE" w14:textId="271FF14B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(43-122)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9C6B9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8DC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50D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0CB6" w14:textId="1EFDBCDF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116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(75-169)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F634E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0030C" w:rsidRPr="0033055A" w14:paraId="3A542781" w14:textId="77777777" w:rsidTr="00693C1E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B35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FCAD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4C65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8679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AA3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80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564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CDCD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0E75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884F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DE19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CAF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030C" w:rsidRPr="0033055A" w14:paraId="265FA506" w14:textId="77777777" w:rsidTr="00693C1E">
        <w:tc>
          <w:tcPr>
            <w:tcW w:w="21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C4474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Gastroschisis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437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62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861 (96)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571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35.9 (35.4-36.4)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D3AB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2AE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6C11" w14:textId="73408773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(1-12)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D8F8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1.0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451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8B18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0377" w14:textId="7BCF39E1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(16-38)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BCDB6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 = 1.0</w:t>
            </w:r>
          </w:p>
        </w:tc>
      </w:tr>
      <w:tr w:rsidR="0060030C" w:rsidRPr="0033055A" w14:paraId="7400E726" w14:textId="77777777" w:rsidTr="00693C1E"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A8BDB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1EA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1107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 (4)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3421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36.7 (35.9-37.5)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8FC2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E10A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151F" w14:textId="011C126E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(0-88)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33F4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14D9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9050" w14:textId="77777777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31D8" w14:textId="328E19CF" w:rsidR="0060030C" w:rsidRPr="0033055A" w:rsidRDefault="0060030C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</w:t>
            </w:r>
            <w:r w:rsidR="002A17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(0-132)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9EAC9" w14:textId="77777777" w:rsidR="0060030C" w:rsidRPr="0033055A" w:rsidRDefault="0060030C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904AD" w:rsidRPr="0033055A" w14:paraId="5A6BE4EC" w14:textId="77777777" w:rsidTr="00594DD3"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8CCEC2" w14:textId="77777777" w:rsidR="001904AD" w:rsidRPr="0033055A" w:rsidRDefault="001904AD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E4E395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FBB5AE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7592EE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926936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DB11A9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416073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1E16BB" w14:textId="77777777" w:rsidR="001904AD" w:rsidRPr="0033055A" w:rsidRDefault="001904AD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5B06E9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4DF9B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A2F150" w14:textId="77777777" w:rsidR="001904AD" w:rsidRPr="0033055A" w:rsidRDefault="001904AD" w:rsidP="00F21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103FCA" w14:textId="77777777" w:rsidR="001904AD" w:rsidRPr="0033055A" w:rsidRDefault="001904AD" w:rsidP="00F21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1B09D9B" w14:textId="77777777" w:rsidR="0060030C" w:rsidRPr="0033055A" w:rsidRDefault="0060030C" w:rsidP="00CD4F0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9B2670" w14:textId="77777777" w:rsidR="0060030C" w:rsidRPr="0033055A" w:rsidRDefault="0060030C" w:rsidP="00CD4F0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1E7C72" w14:textId="77777777" w:rsidR="0060030C" w:rsidRPr="0033055A" w:rsidRDefault="0060030C" w:rsidP="00CD4F0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298C827" w14:textId="6AB7CC01" w:rsidR="0060030C" w:rsidRPr="0033055A" w:rsidRDefault="0060030C" w:rsidP="00CD4F0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3: </w:t>
      </w:r>
      <w:r w:rsidR="00F637C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edian </w:t>
      </w:r>
      <w:r w:rsidR="00F637C8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days in hospital </w:t>
      </w:r>
      <w:r w:rsidR="00F637C8">
        <w:rPr>
          <w:rFonts w:ascii="Times New Roman" w:hAnsi="Times New Roman" w:cs="Times New Roman"/>
          <w:sz w:val="24"/>
          <w:szCs w:val="24"/>
          <w:lang w:val="en-GB"/>
        </w:rPr>
        <w:t>before one year</w:t>
      </w:r>
      <w:r w:rsidR="00992E1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3055A">
        <w:rPr>
          <w:rFonts w:ascii="Times New Roman" w:hAnsi="Times New Roman" w:cs="Times New Roman"/>
          <w:sz w:val="24"/>
          <w:szCs w:val="24"/>
          <w:lang w:val="en-GB"/>
        </w:rPr>
        <w:t>age  and</w:t>
      </w:r>
      <w:proofErr w:type="gramEnd"/>
      <w:r w:rsidR="00992E15">
        <w:rPr>
          <w:rFonts w:ascii="Times New Roman" w:hAnsi="Times New Roman" w:cs="Times New Roman"/>
          <w:sz w:val="24"/>
          <w:szCs w:val="24"/>
          <w:lang w:val="en-GB"/>
        </w:rPr>
        <w:t xml:space="preserve"> between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1-4 years </w:t>
      </w:r>
      <w:r w:rsidR="00992E15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prenatal diagnosis, </w:t>
      </w:r>
      <w:r w:rsidR="00992E15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incidence rate ratio of days in hospital and percentage with a stay of more than 21 days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264"/>
        <w:gridCol w:w="1190"/>
        <w:gridCol w:w="1843"/>
        <w:gridCol w:w="1700"/>
        <w:gridCol w:w="2126"/>
        <w:gridCol w:w="233"/>
        <w:gridCol w:w="1726"/>
        <w:gridCol w:w="1698"/>
        <w:gridCol w:w="1957"/>
      </w:tblGrid>
      <w:tr w:rsidR="0060030C" w:rsidRPr="00860586" w14:paraId="6BB1D3F3" w14:textId="77777777" w:rsidTr="00F2194D"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67B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67B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41A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Children hospitalised before the age of 1 year</w:t>
            </w: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75B3F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677E1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Children hospitalised between the ages of 1-4 years</w:t>
            </w:r>
          </w:p>
        </w:tc>
      </w:tr>
      <w:tr w:rsidR="0060030C" w:rsidRPr="00860586" w14:paraId="12A79E59" w14:textId="77777777" w:rsidTr="00F2194D"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1D10B2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Anomaly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63ED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Prenatally diagnosed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50D6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Median days per year (Lower Quartile – Upper Quartile)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8FFFB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 xml:space="preserve">IRR for </w:t>
            </w:r>
            <w:proofErr w:type="gramStart"/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hospitalisation  (</w:t>
            </w:r>
            <w:proofErr w:type="gramEnd"/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95% 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1B41E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Percentage in hospital with a stay of more than 21 days (95% CI)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7DC4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A99E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Median days per year (Lower Quartile – Upper Quartile)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E6A3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 xml:space="preserve">IRR for </w:t>
            </w:r>
            <w:proofErr w:type="gramStart"/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hospitalisation  (</w:t>
            </w:r>
            <w:proofErr w:type="gramEnd"/>
            <w:r w:rsidRPr="0033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3E78A8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Percentage in hospital with a stay of more than 21 days (95% CI)</w:t>
            </w:r>
          </w:p>
        </w:tc>
      </w:tr>
      <w:tr w:rsidR="0060030C" w:rsidRPr="0033055A" w14:paraId="4A31B242" w14:textId="77777777" w:rsidTr="00F2194D"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397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Spina bifida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07BB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5C8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17.5 (17.0-22.0)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82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1.83 (1.32-2.54)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F91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36.3 (29.1-43.5)</w:t>
            </w: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07AF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C94C3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1.7 (0.6-3.9)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7E8E1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1.32 (1.20-1.44)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1DB83B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 (4.0-12.6)</w:t>
            </w:r>
          </w:p>
        </w:tc>
      </w:tr>
      <w:tr w:rsidR="0060030C" w:rsidRPr="0033055A" w14:paraId="7C65EB71" w14:textId="77777777" w:rsidTr="00F2194D"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6F906D8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604C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B1CCD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 (10.5-30.5)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D0B19D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EAEB27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 (23.2-39.0)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584C0AC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846B621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 (0.5-3.3)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60C85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DB1FF7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2.5 (0.0-5.4)</w:t>
            </w:r>
          </w:p>
        </w:tc>
      </w:tr>
      <w:tr w:rsidR="0060030C" w:rsidRPr="0033055A" w14:paraId="5A584E16" w14:textId="77777777" w:rsidTr="00F2194D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6D064E67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AA51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9CAEA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4E4750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6AC19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3991D091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9FB172E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B504A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800BF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1E835454" w14:textId="77777777" w:rsidTr="00F2194D"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08B87AC9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Transposition of great arteries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B2DD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2B3DA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27.0 (25.75-30.0)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0E8ABE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1.44 (1.11-1.86)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18536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53.9 (45.6-59.3)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35455C8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0FAB96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 (0.4-3.4)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A8480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2.38 (2.03-2.73)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E07F5F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 (5.9-12.6)</w:t>
            </w:r>
          </w:p>
        </w:tc>
      </w:tr>
      <w:tr w:rsidR="0060030C" w:rsidRPr="0033055A" w14:paraId="0A4C5BAB" w14:textId="77777777" w:rsidTr="00F2194D"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2F46D4E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1CF0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50DD4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 (22.0-25.0)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344843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91130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45.3 (41.1-49.6)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2693538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CF90C8E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 (0.3-2.1)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639699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9564E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 (2.4-6.1)</w:t>
            </w:r>
          </w:p>
        </w:tc>
      </w:tr>
      <w:tr w:rsidR="0060030C" w:rsidRPr="0033055A" w14:paraId="0A763B2E" w14:textId="77777777" w:rsidTr="00F2194D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E6564B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4D5A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1480F1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A37645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FD01F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1140625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E08FA05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6C72E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81B12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64DA02E8" w14:textId="77777777" w:rsidTr="00F2194D"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74C8F98C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Congenital diaphragmatic hernia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1A712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7395A5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 (19.0-28.0)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F40C8C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2.44 (1.81-3.28)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63ABC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50.7 (44.2-57.1)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71C296B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11CA9A5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 (0.3-3.9)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A4FD9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1.42 (1.31-1.53)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A0DA0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 (0.5-7.1)</w:t>
            </w:r>
          </w:p>
        </w:tc>
      </w:tr>
      <w:tr w:rsidR="0060030C" w:rsidRPr="0033055A" w14:paraId="41AD5ABB" w14:textId="77777777" w:rsidTr="00F2194D"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1AAE649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49978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904A1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 (13.7-23.0)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9762DD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CA604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46.2 (38.9-53.4)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4FDBB02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A026CE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 (0.2-14)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91A3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0E5A5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 (0.0-1.9)</w:t>
            </w:r>
          </w:p>
        </w:tc>
      </w:tr>
      <w:tr w:rsidR="0060030C" w:rsidRPr="0033055A" w14:paraId="59275CB6" w14:textId="77777777" w:rsidTr="00F2194D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27E939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0352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33452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F1916F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65311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6A19B438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723B942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70EE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53FD4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5881FBC7" w14:textId="77777777" w:rsidTr="00F2194D"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561C9180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Gastroschisis</w:t>
            </w:r>
          </w:p>
          <w:p w14:paraId="2106BE1C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B7ED2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118E6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34.2 (34.0-39.0)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590660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1.15 (0.76-1.73)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A6C9E6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82.1 (79.5-84.7)</w:t>
            </w:r>
          </w:p>
        </w:tc>
        <w:tc>
          <w:tcPr>
            <w:tcW w:w="234" w:type="dxa"/>
            <w:shd w:val="clear" w:color="auto" w:fill="auto"/>
            <w:vAlign w:val="center"/>
            <w:hideMark/>
          </w:tcPr>
          <w:p w14:paraId="4C9C4E9A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3803FD1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 (0.4-3.2)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CEE8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3.11 (3.00-3.23)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F83E7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 (2.3-5.0)</w:t>
            </w:r>
          </w:p>
        </w:tc>
      </w:tr>
      <w:tr w:rsidR="0060030C" w:rsidRPr="0033055A" w14:paraId="47A31161" w14:textId="77777777" w:rsidTr="00F2194D"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EE3E" w14:textId="77777777" w:rsidR="0060030C" w:rsidRPr="0033055A" w:rsidRDefault="0060030C" w:rsidP="00F21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80D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EB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28.2 (26.0-36.2)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6F8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A8C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77.1 (63.2-91.1)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070A0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4D75F3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 (0.1-0.3)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B2E497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82B54" w14:textId="77777777" w:rsidR="0060030C" w:rsidRPr="0033055A" w:rsidRDefault="0060030C" w:rsidP="00F2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</w:tr>
    </w:tbl>
    <w:p w14:paraId="55DE843D" w14:textId="77777777" w:rsidR="0060030C" w:rsidRPr="0033055A" w:rsidRDefault="0060030C" w:rsidP="00CD4F0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>CI: confidence interval</w:t>
      </w:r>
    </w:p>
    <w:p w14:paraId="1C3B0EBA" w14:textId="0C5EB0BB" w:rsidR="0060030C" w:rsidRDefault="0060030C" w:rsidP="0063545A">
      <w:pPr>
        <w:shd w:val="clear" w:color="auto" w:fill="FFFFFF" w:themeFill="background1"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IRR = Incidence rate ratio estimated from Negative Binomial Regression of length of stay in hospital with exposure being days in study before upper age limit or censored on 31/12/2015, whichever occurred first.</w:t>
      </w:r>
      <w:bookmarkStart w:id="18" w:name="_Hlk94529632"/>
      <w:bookmarkEnd w:id="17"/>
    </w:p>
    <w:p w14:paraId="27AE9DDF" w14:textId="70EB46BB" w:rsidR="0063545A" w:rsidRDefault="0063545A" w:rsidP="0063545A">
      <w:pPr>
        <w:shd w:val="clear" w:color="auto" w:fill="FFFFFF" w:themeFill="background1"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D056228" w14:textId="77777777" w:rsidR="0063545A" w:rsidRPr="0033055A" w:rsidRDefault="0063545A" w:rsidP="0063545A">
      <w:pPr>
        <w:shd w:val="clear" w:color="auto" w:fill="FFFFFF" w:themeFill="background1"/>
        <w:spacing w:after="16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B0BC4E" w14:textId="03C53AD9" w:rsidR="0060030C" w:rsidRPr="0033055A" w:rsidRDefault="0060030C" w:rsidP="00B13801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4: Hospitalisations before the age of one year and </w:t>
      </w:r>
      <w:r w:rsidR="00EA08A8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1-4 years</w:t>
      </w:r>
      <w:r w:rsidR="00EA08A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number</w:t>
      </w:r>
      <w:r w:rsidR="00EA08A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cases and proportions </w:t>
      </w:r>
      <w:r w:rsidR="00EA08A8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prenatal diagnoses </w:t>
      </w:r>
      <w:r w:rsidR="00AF0DC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hazard ratio</w:t>
      </w:r>
      <w:r w:rsidR="00AF0DC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(HR) for hospitalisation in children prenatally diagnosed compared with those later </w:t>
      </w:r>
      <w:proofErr w:type="gramStart"/>
      <w:r w:rsidRPr="0033055A">
        <w:rPr>
          <w:rFonts w:ascii="Times New Roman" w:hAnsi="Times New Roman" w:cs="Times New Roman"/>
          <w:sz w:val="24"/>
          <w:szCs w:val="24"/>
          <w:lang w:val="en-GB"/>
        </w:rPr>
        <w:t>diagnosed</w:t>
      </w:r>
      <w:proofErr w:type="gramEnd"/>
      <w:r w:rsidRPr="003305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194"/>
        <w:gridCol w:w="812"/>
        <w:gridCol w:w="1927"/>
        <w:gridCol w:w="1984"/>
        <w:gridCol w:w="1276"/>
        <w:gridCol w:w="1843"/>
        <w:gridCol w:w="1843"/>
      </w:tblGrid>
      <w:tr w:rsidR="0060030C" w:rsidRPr="00860586" w14:paraId="419C6FB2" w14:textId="77777777" w:rsidTr="006D11B3">
        <w:trPr>
          <w:trHeight w:val="339"/>
        </w:trPr>
        <w:tc>
          <w:tcPr>
            <w:tcW w:w="202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2326CF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Anomaly</w:t>
            </w:r>
          </w:p>
          <w:p w14:paraId="538A5B6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DE14FF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Prenatally diagnosed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C49C0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Children </w:t>
            </w:r>
            <w:proofErr w:type="gramStart"/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hospitalised</w:t>
            </w:r>
            <w:proofErr w:type="gramEnd"/>
          </w:p>
          <w:p w14:paraId="5CA1A8E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before the age of 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D99E4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Children </w:t>
            </w:r>
            <w:proofErr w:type="gramStart"/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hospitalised</w:t>
            </w:r>
            <w:proofErr w:type="gramEnd"/>
          </w:p>
          <w:p w14:paraId="7798F282" w14:textId="406F381A" w:rsidR="0060030C" w:rsidRPr="0033055A" w:rsidRDefault="002E7A41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between</w:t>
            </w: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</w:t>
            </w:r>
            <w:r w:rsidR="0060030C"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the 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s</w:t>
            </w:r>
            <w:r w:rsidR="0060030C"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of 1-4</w:t>
            </w:r>
          </w:p>
        </w:tc>
      </w:tr>
      <w:tr w:rsidR="0060030C" w:rsidRPr="0033055A" w14:paraId="0D80AC7E" w14:textId="77777777" w:rsidTr="006D11B3">
        <w:trPr>
          <w:trHeight w:val="946"/>
        </w:trPr>
        <w:tc>
          <w:tcPr>
            <w:tcW w:w="202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975CCEB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743114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FA128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</w:t>
            </w:r>
          </w:p>
          <w:p w14:paraId="5EA5A10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20720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%</w:t>
            </w:r>
          </w:p>
          <w:p w14:paraId="5EC3252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74FBE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HR for hospitalisation</w:t>
            </w:r>
          </w:p>
          <w:p w14:paraId="45F058E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988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</w:t>
            </w:r>
          </w:p>
          <w:p w14:paraId="0FDAF0CC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8AB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i-FI"/>
              </w:rPr>
              <w:t>%</w:t>
            </w:r>
          </w:p>
          <w:p w14:paraId="0F5A68B3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42D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HR for hospitalisation</w:t>
            </w:r>
          </w:p>
          <w:p w14:paraId="396310B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(95% CI)</w:t>
            </w:r>
          </w:p>
          <w:p w14:paraId="2884E63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030C" w:rsidRPr="0033055A" w14:paraId="5F541286" w14:textId="77777777" w:rsidTr="006D11B3">
        <w:trPr>
          <w:trHeight w:val="295"/>
        </w:trPr>
        <w:tc>
          <w:tcPr>
            <w:tcW w:w="202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C660F7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Spina bifida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6B990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DA6AB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191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3E0CF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98.1 (93.3 - 99.5)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84F31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1.13 (0.97 – 1.32)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6EA78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4C1CB3C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93.6 (89.9-97.4)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042A218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1.05 (0.98-1.13)</w:t>
            </w:r>
          </w:p>
        </w:tc>
      </w:tr>
      <w:tr w:rsidR="0060030C" w:rsidRPr="0033055A" w14:paraId="5F6A2BD4" w14:textId="77777777" w:rsidTr="006D11B3">
        <w:trPr>
          <w:trHeight w:val="295"/>
        </w:trPr>
        <w:tc>
          <w:tcPr>
            <w:tcW w:w="2021" w:type="dxa"/>
            <w:vMerge/>
            <w:noWrap/>
            <w:vAlign w:val="center"/>
            <w:hideMark/>
          </w:tcPr>
          <w:p w14:paraId="3757958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360FC5F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812" w:type="dxa"/>
            <w:noWrap/>
            <w:vAlign w:val="center"/>
            <w:hideMark/>
          </w:tcPr>
          <w:p w14:paraId="162971F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157</w:t>
            </w:r>
          </w:p>
        </w:tc>
        <w:tc>
          <w:tcPr>
            <w:tcW w:w="1927" w:type="dxa"/>
            <w:noWrap/>
            <w:vAlign w:val="center"/>
            <w:hideMark/>
          </w:tcPr>
          <w:p w14:paraId="4F06BCAB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92.8 (81.9 - 97.2)</w:t>
            </w:r>
          </w:p>
        </w:tc>
        <w:tc>
          <w:tcPr>
            <w:tcW w:w="1984" w:type="dxa"/>
            <w:noWrap/>
            <w:vAlign w:val="center"/>
            <w:hideMark/>
          </w:tcPr>
          <w:p w14:paraId="5080CA1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  <w:tc>
          <w:tcPr>
            <w:tcW w:w="1276" w:type="dxa"/>
            <w:vAlign w:val="center"/>
          </w:tcPr>
          <w:p w14:paraId="77D558EC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116</w:t>
            </w:r>
          </w:p>
        </w:tc>
        <w:tc>
          <w:tcPr>
            <w:tcW w:w="1843" w:type="dxa"/>
            <w:vAlign w:val="center"/>
            <w:hideMark/>
          </w:tcPr>
          <w:p w14:paraId="4EC1590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88.9 (83.5-94.3)</w:t>
            </w:r>
          </w:p>
        </w:tc>
        <w:tc>
          <w:tcPr>
            <w:tcW w:w="1843" w:type="dxa"/>
            <w:vAlign w:val="center"/>
          </w:tcPr>
          <w:p w14:paraId="6A80848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</w:tr>
      <w:tr w:rsidR="0060030C" w:rsidRPr="0033055A" w14:paraId="2E3097F4" w14:textId="77777777" w:rsidTr="006D11B3">
        <w:trPr>
          <w:trHeight w:val="295"/>
        </w:trPr>
        <w:tc>
          <w:tcPr>
            <w:tcW w:w="2021" w:type="dxa"/>
            <w:noWrap/>
            <w:vAlign w:val="center"/>
            <w:hideMark/>
          </w:tcPr>
          <w:p w14:paraId="0720419B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7B8185C3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14:paraId="32F57B5B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27" w:type="dxa"/>
            <w:noWrap/>
            <w:vAlign w:val="center"/>
            <w:hideMark/>
          </w:tcPr>
          <w:p w14:paraId="0E8A3318" w14:textId="77777777" w:rsidR="0060030C" w:rsidRPr="0033055A" w:rsidRDefault="0060030C" w:rsidP="006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6D6DBCF" w14:textId="77777777" w:rsidR="0060030C" w:rsidRPr="0033055A" w:rsidRDefault="0060030C" w:rsidP="006D11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5BBB87F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445BDA8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12DC72E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030C" w:rsidRPr="0033055A" w14:paraId="00280021" w14:textId="77777777" w:rsidTr="006D11B3">
        <w:trPr>
          <w:trHeight w:val="295"/>
        </w:trPr>
        <w:tc>
          <w:tcPr>
            <w:tcW w:w="2021" w:type="dxa"/>
            <w:vMerge w:val="restart"/>
            <w:noWrap/>
            <w:vAlign w:val="center"/>
            <w:hideMark/>
          </w:tcPr>
          <w:p w14:paraId="19424089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Transposition of great arteries</w:t>
            </w:r>
          </w:p>
        </w:tc>
        <w:tc>
          <w:tcPr>
            <w:tcW w:w="1194" w:type="dxa"/>
            <w:noWrap/>
            <w:vAlign w:val="center"/>
            <w:hideMark/>
          </w:tcPr>
          <w:p w14:paraId="1DB299E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812" w:type="dxa"/>
            <w:noWrap/>
            <w:vAlign w:val="center"/>
            <w:hideMark/>
          </w:tcPr>
          <w:p w14:paraId="67C69CA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347</w:t>
            </w:r>
          </w:p>
        </w:tc>
        <w:tc>
          <w:tcPr>
            <w:tcW w:w="1927" w:type="dxa"/>
            <w:noWrap/>
            <w:vAlign w:val="center"/>
            <w:hideMark/>
          </w:tcPr>
          <w:p w14:paraId="4975019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97.8 (92.2 - 99.4)</w:t>
            </w:r>
          </w:p>
        </w:tc>
        <w:tc>
          <w:tcPr>
            <w:tcW w:w="1984" w:type="dxa"/>
            <w:noWrap/>
            <w:vAlign w:val="center"/>
            <w:hideMark/>
          </w:tcPr>
          <w:p w14:paraId="28CBFEC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1.15 (0.99 – 1.32)</w:t>
            </w:r>
          </w:p>
        </w:tc>
        <w:tc>
          <w:tcPr>
            <w:tcW w:w="1276" w:type="dxa"/>
            <w:vAlign w:val="center"/>
          </w:tcPr>
          <w:p w14:paraId="34F95C0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199</w:t>
            </w:r>
          </w:p>
        </w:tc>
        <w:tc>
          <w:tcPr>
            <w:tcW w:w="1843" w:type="dxa"/>
            <w:vAlign w:val="center"/>
            <w:hideMark/>
          </w:tcPr>
          <w:p w14:paraId="5D4D371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76.8 (71.6-81.9)</w:t>
            </w:r>
          </w:p>
        </w:tc>
        <w:tc>
          <w:tcPr>
            <w:tcW w:w="1843" w:type="dxa"/>
            <w:vAlign w:val="center"/>
            <w:hideMark/>
          </w:tcPr>
          <w:p w14:paraId="7646409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1.26 (1.14-1.39)</w:t>
            </w:r>
          </w:p>
        </w:tc>
      </w:tr>
      <w:tr w:rsidR="0060030C" w:rsidRPr="0033055A" w14:paraId="5FA623D9" w14:textId="77777777" w:rsidTr="006D11B3">
        <w:trPr>
          <w:trHeight w:val="295"/>
        </w:trPr>
        <w:tc>
          <w:tcPr>
            <w:tcW w:w="2021" w:type="dxa"/>
            <w:vMerge/>
            <w:noWrap/>
            <w:vAlign w:val="center"/>
            <w:hideMark/>
          </w:tcPr>
          <w:p w14:paraId="1999926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339378C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812" w:type="dxa"/>
            <w:noWrap/>
            <w:vAlign w:val="center"/>
            <w:hideMark/>
          </w:tcPr>
          <w:p w14:paraId="3B8C507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616</w:t>
            </w:r>
          </w:p>
        </w:tc>
        <w:tc>
          <w:tcPr>
            <w:tcW w:w="1927" w:type="dxa"/>
            <w:noWrap/>
            <w:vAlign w:val="center"/>
            <w:hideMark/>
          </w:tcPr>
          <w:p w14:paraId="10F70AA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98.6 (94.3 - 99.6)</w:t>
            </w:r>
          </w:p>
        </w:tc>
        <w:tc>
          <w:tcPr>
            <w:tcW w:w="1984" w:type="dxa"/>
            <w:noWrap/>
            <w:vAlign w:val="center"/>
            <w:hideMark/>
          </w:tcPr>
          <w:p w14:paraId="70601EA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  <w:tc>
          <w:tcPr>
            <w:tcW w:w="1276" w:type="dxa"/>
            <w:vAlign w:val="center"/>
          </w:tcPr>
          <w:p w14:paraId="3283D34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291</w:t>
            </w:r>
          </w:p>
        </w:tc>
        <w:tc>
          <w:tcPr>
            <w:tcW w:w="1843" w:type="dxa"/>
            <w:vAlign w:val="center"/>
            <w:hideMark/>
          </w:tcPr>
          <w:p w14:paraId="064D9EC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61.0 (56.6-65.4)</w:t>
            </w:r>
          </w:p>
        </w:tc>
        <w:tc>
          <w:tcPr>
            <w:tcW w:w="1843" w:type="dxa"/>
            <w:vAlign w:val="center"/>
          </w:tcPr>
          <w:p w14:paraId="6AD099B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</w:tr>
      <w:tr w:rsidR="0060030C" w:rsidRPr="0033055A" w14:paraId="37D32DB6" w14:textId="77777777" w:rsidTr="006D11B3">
        <w:trPr>
          <w:trHeight w:val="295"/>
        </w:trPr>
        <w:tc>
          <w:tcPr>
            <w:tcW w:w="2021" w:type="dxa"/>
            <w:noWrap/>
            <w:vAlign w:val="center"/>
            <w:hideMark/>
          </w:tcPr>
          <w:p w14:paraId="03BA2D5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186A904B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14:paraId="4B2E425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27" w:type="dxa"/>
            <w:noWrap/>
            <w:vAlign w:val="center"/>
            <w:hideMark/>
          </w:tcPr>
          <w:p w14:paraId="48B50809" w14:textId="77777777" w:rsidR="0060030C" w:rsidRPr="0033055A" w:rsidRDefault="0060030C" w:rsidP="006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4020CB8" w14:textId="77777777" w:rsidR="0060030C" w:rsidRPr="0033055A" w:rsidRDefault="0060030C" w:rsidP="006D11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3DAEEBA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7A9416D9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1E3D7C3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030C" w:rsidRPr="0033055A" w14:paraId="7AF7C856" w14:textId="77777777" w:rsidTr="006D11B3">
        <w:trPr>
          <w:trHeight w:val="295"/>
        </w:trPr>
        <w:tc>
          <w:tcPr>
            <w:tcW w:w="2021" w:type="dxa"/>
            <w:vMerge w:val="restart"/>
            <w:noWrap/>
            <w:vAlign w:val="center"/>
            <w:hideMark/>
          </w:tcPr>
          <w:p w14:paraId="3B8D6FE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Congenital diaphragmatic hernia</w:t>
            </w:r>
          </w:p>
        </w:tc>
        <w:tc>
          <w:tcPr>
            <w:tcW w:w="1194" w:type="dxa"/>
            <w:noWrap/>
            <w:vAlign w:val="center"/>
            <w:hideMark/>
          </w:tcPr>
          <w:p w14:paraId="3C0A5053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812" w:type="dxa"/>
            <w:noWrap/>
            <w:vAlign w:val="center"/>
            <w:hideMark/>
          </w:tcPr>
          <w:p w14:paraId="72B8597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239</w:t>
            </w:r>
          </w:p>
        </w:tc>
        <w:tc>
          <w:tcPr>
            <w:tcW w:w="1927" w:type="dxa"/>
            <w:noWrap/>
            <w:vAlign w:val="center"/>
            <w:hideMark/>
          </w:tcPr>
          <w:p w14:paraId="254D17D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96.7 (89.9 - 98.9)</w:t>
            </w:r>
          </w:p>
        </w:tc>
        <w:tc>
          <w:tcPr>
            <w:tcW w:w="1984" w:type="dxa"/>
            <w:noWrap/>
            <w:vAlign w:val="center"/>
            <w:hideMark/>
          </w:tcPr>
          <w:p w14:paraId="1998D62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1.05 (0.94 – 1.18)</w:t>
            </w:r>
          </w:p>
        </w:tc>
        <w:tc>
          <w:tcPr>
            <w:tcW w:w="1276" w:type="dxa"/>
            <w:vAlign w:val="center"/>
          </w:tcPr>
          <w:p w14:paraId="175C1C0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91</w:t>
            </w:r>
          </w:p>
        </w:tc>
        <w:tc>
          <w:tcPr>
            <w:tcW w:w="1843" w:type="dxa"/>
            <w:vAlign w:val="center"/>
          </w:tcPr>
          <w:p w14:paraId="43AB7F5F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66.7 (58.8-74.6)</w:t>
            </w:r>
          </w:p>
        </w:tc>
        <w:tc>
          <w:tcPr>
            <w:tcW w:w="1843" w:type="dxa"/>
            <w:vAlign w:val="center"/>
          </w:tcPr>
          <w:p w14:paraId="25424903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1.05 (0.89-1.25)</w:t>
            </w:r>
          </w:p>
        </w:tc>
      </w:tr>
      <w:tr w:rsidR="0060030C" w:rsidRPr="0033055A" w14:paraId="0C84C8B2" w14:textId="77777777" w:rsidTr="006D11B3">
        <w:trPr>
          <w:trHeight w:val="295"/>
        </w:trPr>
        <w:tc>
          <w:tcPr>
            <w:tcW w:w="2021" w:type="dxa"/>
            <w:vMerge/>
            <w:noWrap/>
            <w:vAlign w:val="center"/>
            <w:hideMark/>
          </w:tcPr>
          <w:p w14:paraId="0ECD79B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7BC224E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812" w:type="dxa"/>
            <w:noWrap/>
            <w:vAlign w:val="center"/>
            <w:hideMark/>
          </w:tcPr>
          <w:p w14:paraId="620DEB09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207</w:t>
            </w:r>
          </w:p>
        </w:tc>
        <w:tc>
          <w:tcPr>
            <w:tcW w:w="1927" w:type="dxa"/>
            <w:noWrap/>
            <w:vAlign w:val="center"/>
            <w:hideMark/>
          </w:tcPr>
          <w:p w14:paraId="4AFE98B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92.9 (86.0 - 96.5)</w:t>
            </w:r>
          </w:p>
        </w:tc>
        <w:tc>
          <w:tcPr>
            <w:tcW w:w="1984" w:type="dxa"/>
            <w:noWrap/>
            <w:vAlign w:val="center"/>
            <w:hideMark/>
          </w:tcPr>
          <w:p w14:paraId="2435027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  <w:tc>
          <w:tcPr>
            <w:tcW w:w="1276" w:type="dxa"/>
            <w:vAlign w:val="center"/>
          </w:tcPr>
          <w:p w14:paraId="20AC573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14:paraId="0E9B87F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63.3 (55.8-70.8)</w:t>
            </w:r>
          </w:p>
        </w:tc>
        <w:tc>
          <w:tcPr>
            <w:tcW w:w="1843" w:type="dxa"/>
            <w:vAlign w:val="center"/>
          </w:tcPr>
          <w:p w14:paraId="7FBCE40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</w:tr>
      <w:tr w:rsidR="0060030C" w:rsidRPr="0033055A" w14:paraId="2904E0EE" w14:textId="77777777" w:rsidTr="006D11B3">
        <w:trPr>
          <w:trHeight w:val="295"/>
        </w:trPr>
        <w:tc>
          <w:tcPr>
            <w:tcW w:w="2021" w:type="dxa"/>
            <w:noWrap/>
            <w:vAlign w:val="center"/>
            <w:hideMark/>
          </w:tcPr>
          <w:p w14:paraId="5D141AB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noWrap/>
            <w:vAlign w:val="center"/>
            <w:hideMark/>
          </w:tcPr>
          <w:p w14:paraId="6751FEA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812" w:type="dxa"/>
            <w:noWrap/>
            <w:vAlign w:val="center"/>
            <w:hideMark/>
          </w:tcPr>
          <w:p w14:paraId="4FA41A0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27" w:type="dxa"/>
            <w:noWrap/>
            <w:vAlign w:val="center"/>
            <w:hideMark/>
          </w:tcPr>
          <w:p w14:paraId="65873696" w14:textId="77777777" w:rsidR="0060030C" w:rsidRPr="0033055A" w:rsidRDefault="0060030C" w:rsidP="006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0F46139A" w14:textId="77777777" w:rsidR="0060030C" w:rsidRPr="0033055A" w:rsidRDefault="0060030C" w:rsidP="006D11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0E6ABF2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30333A1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43" w:type="dxa"/>
            <w:vAlign w:val="center"/>
          </w:tcPr>
          <w:p w14:paraId="3847794A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030C" w:rsidRPr="0033055A" w14:paraId="6FEEA378" w14:textId="77777777" w:rsidTr="006D11B3">
        <w:trPr>
          <w:trHeight w:val="295"/>
        </w:trPr>
        <w:tc>
          <w:tcPr>
            <w:tcW w:w="2021" w:type="dxa"/>
            <w:vMerge w:val="restart"/>
            <w:noWrap/>
            <w:vAlign w:val="center"/>
            <w:hideMark/>
          </w:tcPr>
          <w:p w14:paraId="3B35C428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Gastroschisis</w:t>
            </w:r>
          </w:p>
        </w:tc>
        <w:tc>
          <w:tcPr>
            <w:tcW w:w="1194" w:type="dxa"/>
            <w:noWrap/>
            <w:vAlign w:val="center"/>
            <w:hideMark/>
          </w:tcPr>
          <w:p w14:paraId="18B30721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812" w:type="dxa"/>
            <w:noWrap/>
            <w:vAlign w:val="center"/>
            <w:hideMark/>
          </w:tcPr>
          <w:p w14:paraId="2725333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830</w:t>
            </w:r>
          </w:p>
        </w:tc>
        <w:tc>
          <w:tcPr>
            <w:tcW w:w="1927" w:type="dxa"/>
            <w:noWrap/>
            <w:vAlign w:val="center"/>
            <w:hideMark/>
          </w:tcPr>
          <w:p w14:paraId="592B721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97.6 (94.6 - 99.0)</w:t>
            </w:r>
          </w:p>
        </w:tc>
        <w:tc>
          <w:tcPr>
            <w:tcW w:w="1984" w:type="dxa"/>
            <w:noWrap/>
            <w:vAlign w:val="center"/>
            <w:hideMark/>
          </w:tcPr>
          <w:p w14:paraId="72C5C342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0.97 (0.94-1.00)</w:t>
            </w:r>
          </w:p>
        </w:tc>
        <w:tc>
          <w:tcPr>
            <w:tcW w:w="1276" w:type="dxa"/>
            <w:vAlign w:val="center"/>
          </w:tcPr>
          <w:p w14:paraId="27E0BD6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399</w:t>
            </w:r>
          </w:p>
        </w:tc>
        <w:tc>
          <w:tcPr>
            <w:tcW w:w="1843" w:type="dxa"/>
            <w:vAlign w:val="center"/>
            <w:hideMark/>
          </w:tcPr>
          <w:p w14:paraId="73CFE193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54.6 (51.0-58.2)</w:t>
            </w:r>
          </w:p>
        </w:tc>
        <w:tc>
          <w:tcPr>
            <w:tcW w:w="1843" w:type="dxa"/>
            <w:vAlign w:val="center"/>
            <w:hideMark/>
          </w:tcPr>
          <w:p w14:paraId="090DC296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0.83 (0.64-1.09)</w:t>
            </w:r>
          </w:p>
        </w:tc>
      </w:tr>
      <w:tr w:rsidR="0060030C" w:rsidRPr="0033055A" w14:paraId="0FEB6FFC" w14:textId="77777777" w:rsidTr="006D11B3">
        <w:trPr>
          <w:trHeight w:val="295"/>
        </w:trPr>
        <w:tc>
          <w:tcPr>
            <w:tcW w:w="202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1022E87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BFB54E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9B3705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40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9A91D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95.9 (75.2 - 99.4)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D8879D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794F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14:paraId="5B797B40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65.6 (48.7-82.5)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7A2BB4" w14:textId="77777777" w:rsidR="0060030C" w:rsidRPr="0033055A" w:rsidRDefault="0060030C" w:rsidP="006D1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1.0</w:t>
            </w:r>
          </w:p>
        </w:tc>
      </w:tr>
    </w:tbl>
    <w:p w14:paraId="1DCB637B" w14:textId="77777777" w:rsidR="0060030C" w:rsidRPr="0033055A" w:rsidRDefault="0060030C" w:rsidP="00B138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HR = Cox Proportional Hazard Ratio - ever admitted to hospital </w:t>
      </w:r>
      <w:r w:rsidRPr="0033055A">
        <w:rPr>
          <w:rFonts w:ascii="Times New Roman" w:hAnsi="Times New Roman" w:cs="Times New Roman"/>
          <w:sz w:val="24"/>
          <w:szCs w:val="24"/>
          <w:lang w:val="en-GB" w:eastAsia="en-GB"/>
        </w:rPr>
        <w:br w:type="page"/>
      </w:r>
    </w:p>
    <w:p w14:paraId="61453EB5" w14:textId="10C95388" w:rsidR="0060030C" w:rsidRPr="0033055A" w:rsidRDefault="0060030C" w:rsidP="00B1380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Hlk147304284"/>
      <w:r w:rsidRPr="0033055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C0F8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umber</w:t>
      </w:r>
      <w:r w:rsidR="00DC0F8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and proportion</w:t>
      </w:r>
      <w:r w:rsidR="00DC0F8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of children undergoing first surg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 xml:space="preserve">ical procedure </w:t>
      </w:r>
      <w:r w:rsidR="00E71D68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the age of one week and one year </w:t>
      </w:r>
      <w:r w:rsidR="008A4BD3" w:rsidRPr="0033055A">
        <w:rPr>
          <w:rFonts w:ascii="Times New Roman" w:hAnsi="Times New Roman" w:cs="Times New Roman"/>
          <w:sz w:val="24"/>
          <w:szCs w:val="24"/>
          <w:lang w:val="en-GB"/>
        </w:rPr>
        <w:t>(excluding data from the Northern Netherlands)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1123"/>
        <w:gridCol w:w="1134"/>
        <w:gridCol w:w="1134"/>
        <w:gridCol w:w="1701"/>
        <w:gridCol w:w="1842"/>
      </w:tblGrid>
      <w:tr w:rsidR="0060030C" w:rsidRPr="0033055A" w14:paraId="319D7CFA" w14:textId="77777777" w:rsidTr="006D11B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8838D02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Anomaly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9C544BE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Prenatal diagnosis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EAFDA6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No. with surgery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5118DDD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Percentage having surgery in first week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D7C38D7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Comparison Prenatal diagnosis</w:t>
            </w:r>
          </w:p>
        </w:tc>
      </w:tr>
      <w:tr w:rsidR="0060030C" w:rsidRPr="0033055A" w14:paraId="28A02CD9" w14:textId="77777777" w:rsidTr="006D11B3">
        <w:trPr>
          <w:trHeight w:val="345"/>
        </w:trPr>
        <w:tc>
          <w:tcPr>
            <w:tcW w:w="0" w:type="auto"/>
            <w:vMerge/>
            <w:vAlign w:val="center"/>
            <w:hideMark/>
          </w:tcPr>
          <w:p w14:paraId="01D059BE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F761C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32F0D5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Within 1</w:t>
            </w: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4DF1FE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Within 1</w:t>
            </w: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year</w:t>
            </w:r>
          </w:p>
        </w:tc>
        <w:tc>
          <w:tcPr>
            <w:tcW w:w="0" w:type="auto"/>
            <w:vMerge/>
            <w:vAlign w:val="center"/>
            <w:hideMark/>
          </w:tcPr>
          <w:p w14:paraId="33499C94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8A49F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625DF956" w14:textId="77777777" w:rsidTr="006D11B3">
        <w:trPr>
          <w:trHeight w:val="80"/>
        </w:trPr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E54671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CC2D13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EA0B72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C5CA37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EB637F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54A57F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012C3AB3" w14:textId="77777777" w:rsidTr="006D11B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A33505A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Spina bifida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9E6D0E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CA7C3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0B2FEE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3A85EC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3054A6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P=0.002</w:t>
            </w:r>
          </w:p>
        </w:tc>
      </w:tr>
      <w:tr w:rsidR="0060030C" w:rsidRPr="0033055A" w14:paraId="4D020E11" w14:textId="77777777" w:rsidTr="006D11B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8D4A911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166A1F5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495FFC7F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14:paraId="02667715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701" w:type="dxa"/>
            <w:noWrap/>
            <w:vAlign w:val="center"/>
            <w:hideMark/>
          </w:tcPr>
          <w:p w14:paraId="2FF321D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60%</w:t>
            </w:r>
          </w:p>
        </w:tc>
        <w:tc>
          <w:tcPr>
            <w:tcW w:w="1842" w:type="dxa"/>
            <w:noWrap/>
            <w:vAlign w:val="center"/>
            <w:hideMark/>
          </w:tcPr>
          <w:p w14:paraId="1D6529D2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745A2224" w14:textId="77777777" w:rsidTr="006D11B3">
        <w:trPr>
          <w:trHeight w:val="300"/>
        </w:trPr>
        <w:tc>
          <w:tcPr>
            <w:tcW w:w="2410" w:type="dxa"/>
            <w:noWrap/>
            <w:vAlign w:val="center"/>
            <w:hideMark/>
          </w:tcPr>
          <w:p w14:paraId="62E28587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72986B4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216820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A4916E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76C01E7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591C5B2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0241D822" w14:textId="77777777" w:rsidTr="006D11B3">
        <w:trPr>
          <w:trHeight w:val="300"/>
        </w:trPr>
        <w:tc>
          <w:tcPr>
            <w:tcW w:w="2410" w:type="dxa"/>
            <w:vMerge w:val="restart"/>
            <w:noWrap/>
            <w:vAlign w:val="center"/>
            <w:hideMark/>
          </w:tcPr>
          <w:p w14:paraId="40DCAF3F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Transposition of the great arteries</w:t>
            </w:r>
          </w:p>
        </w:tc>
        <w:tc>
          <w:tcPr>
            <w:tcW w:w="851" w:type="dxa"/>
            <w:noWrap/>
            <w:vAlign w:val="center"/>
            <w:hideMark/>
          </w:tcPr>
          <w:p w14:paraId="6D3BDA94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34" w:type="dxa"/>
            <w:noWrap/>
            <w:vAlign w:val="center"/>
            <w:hideMark/>
          </w:tcPr>
          <w:p w14:paraId="2C3D3FAD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1134" w:type="dxa"/>
            <w:noWrap/>
            <w:vAlign w:val="center"/>
            <w:hideMark/>
          </w:tcPr>
          <w:p w14:paraId="44C0968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304</w:t>
            </w:r>
          </w:p>
        </w:tc>
        <w:tc>
          <w:tcPr>
            <w:tcW w:w="1701" w:type="dxa"/>
            <w:noWrap/>
            <w:vAlign w:val="center"/>
            <w:hideMark/>
          </w:tcPr>
          <w:p w14:paraId="2B5AB7B8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50%</w:t>
            </w:r>
          </w:p>
        </w:tc>
        <w:tc>
          <w:tcPr>
            <w:tcW w:w="1842" w:type="dxa"/>
            <w:noWrap/>
            <w:vAlign w:val="center"/>
            <w:hideMark/>
          </w:tcPr>
          <w:p w14:paraId="5246D40D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P=0.34</w:t>
            </w:r>
          </w:p>
        </w:tc>
      </w:tr>
      <w:tr w:rsidR="0060030C" w:rsidRPr="0033055A" w14:paraId="40C9F87A" w14:textId="77777777" w:rsidTr="006D11B3">
        <w:trPr>
          <w:trHeight w:val="375"/>
        </w:trPr>
        <w:tc>
          <w:tcPr>
            <w:tcW w:w="0" w:type="auto"/>
            <w:vMerge/>
            <w:vAlign w:val="center"/>
            <w:hideMark/>
          </w:tcPr>
          <w:p w14:paraId="330D48EC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FB364E6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403289E5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215</w:t>
            </w:r>
          </w:p>
        </w:tc>
        <w:tc>
          <w:tcPr>
            <w:tcW w:w="1134" w:type="dxa"/>
            <w:noWrap/>
            <w:vAlign w:val="center"/>
            <w:hideMark/>
          </w:tcPr>
          <w:p w14:paraId="6DE0F4D3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462</w:t>
            </w:r>
          </w:p>
        </w:tc>
        <w:tc>
          <w:tcPr>
            <w:tcW w:w="1701" w:type="dxa"/>
            <w:noWrap/>
            <w:vAlign w:val="center"/>
            <w:hideMark/>
          </w:tcPr>
          <w:p w14:paraId="6A1D2C4D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47%</w:t>
            </w:r>
          </w:p>
        </w:tc>
        <w:tc>
          <w:tcPr>
            <w:tcW w:w="1842" w:type="dxa"/>
            <w:noWrap/>
            <w:vAlign w:val="center"/>
            <w:hideMark/>
          </w:tcPr>
          <w:p w14:paraId="7C39644E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2239C24A" w14:textId="77777777" w:rsidTr="006D11B3">
        <w:trPr>
          <w:trHeight w:val="300"/>
        </w:trPr>
        <w:tc>
          <w:tcPr>
            <w:tcW w:w="2410" w:type="dxa"/>
            <w:noWrap/>
            <w:vAlign w:val="center"/>
            <w:hideMark/>
          </w:tcPr>
          <w:p w14:paraId="1F4E28C7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47F2693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F7856E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C6B75B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8751B90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FAF46BF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60DB0812" w14:textId="77777777" w:rsidTr="006D11B3">
        <w:trPr>
          <w:trHeight w:val="300"/>
        </w:trPr>
        <w:tc>
          <w:tcPr>
            <w:tcW w:w="2410" w:type="dxa"/>
            <w:vMerge w:val="restart"/>
            <w:noWrap/>
            <w:vAlign w:val="center"/>
            <w:hideMark/>
          </w:tcPr>
          <w:p w14:paraId="1CDF4D8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Congenital diaphragmatic hernia</w:t>
            </w:r>
          </w:p>
        </w:tc>
        <w:tc>
          <w:tcPr>
            <w:tcW w:w="851" w:type="dxa"/>
            <w:noWrap/>
            <w:vAlign w:val="center"/>
            <w:hideMark/>
          </w:tcPr>
          <w:p w14:paraId="3DACFF5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34" w:type="dxa"/>
            <w:noWrap/>
            <w:vAlign w:val="center"/>
            <w:hideMark/>
          </w:tcPr>
          <w:p w14:paraId="30CB9BC5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1134" w:type="dxa"/>
            <w:noWrap/>
            <w:vAlign w:val="center"/>
            <w:hideMark/>
          </w:tcPr>
          <w:p w14:paraId="0E23AA23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1701" w:type="dxa"/>
            <w:noWrap/>
            <w:vAlign w:val="center"/>
            <w:hideMark/>
          </w:tcPr>
          <w:p w14:paraId="0942C4D4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79%</w:t>
            </w:r>
          </w:p>
        </w:tc>
        <w:tc>
          <w:tcPr>
            <w:tcW w:w="1842" w:type="dxa"/>
            <w:noWrap/>
            <w:vAlign w:val="center"/>
            <w:hideMark/>
          </w:tcPr>
          <w:p w14:paraId="6185B0C3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P=0.06</w:t>
            </w:r>
          </w:p>
        </w:tc>
      </w:tr>
      <w:tr w:rsidR="0060030C" w:rsidRPr="0033055A" w14:paraId="3323BA25" w14:textId="77777777" w:rsidTr="006D11B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DD19592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C63E59E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1F6CC79A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1134" w:type="dxa"/>
            <w:noWrap/>
            <w:vAlign w:val="center"/>
            <w:hideMark/>
          </w:tcPr>
          <w:p w14:paraId="2B321352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157</w:t>
            </w:r>
          </w:p>
        </w:tc>
        <w:tc>
          <w:tcPr>
            <w:tcW w:w="1701" w:type="dxa"/>
            <w:noWrap/>
            <w:vAlign w:val="center"/>
            <w:hideMark/>
          </w:tcPr>
          <w:p w14:paraId="3B1C095B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69%</w:t>
            </w:r>
          </w:p>
        </w:tc>
        <w:tc>
          <w:tcPr>
            <w:tcW w:w="1842" w:type="dxa"/>
            <w:noWrap/>
            <w:vAlign w:val="center"/>
            <w:hideMark/>
          </w:tcPr>
          <w:p w14:paraId="3D9FB65C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1505F20B" w14:textId="77777777" w:rsidTr="006D11B3">
        <w:trPr>
          <w:trHeight w:val="375"/>
        </w:trPr>
        <w:tc>
          <w:tcPr>
            <w:tcW w:w="2410" w:type="dxa"/>
            <w:noWrap/>
            <w:vAlign w:val="center"/>
            <w:hideMark/>
          </w:tcPr>
          <w:p w14:paraId="7CA8E54B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7175DD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C396CB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7CDF28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489F3A5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B54F348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0030C" w:rsidRPr="0033055A" w14:paraId="0BA3A088" w14:textId="77777777" w:rsidTr="006D11B3">
        <w:trPr>
          <w:trHeight w:val="300"/>
        </w:trPr>
        <w:tc>
          <w:tcPr>
            <w:tcW w:w="2410" w:type="dxa"/>
            <w:vMerge w:val="restart"/>
            <w:noWrap/>
            <w:vAlign w:val="center"/>
            <w:hideMark/>
          </w:tcPr>
          <w:p w14:paraId="20233E27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Gastroschisis</w:t>
            </w:r>
          </w:p>
        </w:tc>
        <w:tc>
          <w:tcPr>
            <w:tcW w:w="851" w:type="dxa"/>
            <w:noWrap/>
            <w:vAlign w:val="center"/>
            <w:hideMark/>
          </w:tcPr>
          <w:p w14:paraId="031433D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34" w:type="dxa"/>
            <w:noWrap/>
            <w:vAlign w:val="center"/>
            <w:hideMark/>
          </w:tcPr>
          <w:p w14:paraId="39147DA4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629</w:t>
            </w:r>
          </w:p>
        </w:tc>
        <w:tc>
          <w:tcPr>
            <w:tcW w:w="1134" w:type="dxa"/>
            <w:noWrap/>
            <w:vAlign w:val="center"/>
            <w:hideMark/>
          </w:tcPr>
          <w:p w14:paraId="6224D691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708</w:t>
            </w:r>
          </w:p>
        </w:tc>
        <w:tc>
          <w:tcPr>
            <w:tcW w:w="1701" w:type="dxa"/>
            <w:noWrap/>
            <w:vAlign w:val="center"/>
            <w:hideMark/>
          </w:tcPr>
          <w:p w14:paraId="3A486F4A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89%</w:t>
            </w:r>
          </w:p>
        </w:tc>
        <w:tc>
          <w:tcPr>
            <w:tcW w:w="1842" w:type="dxa"/>
            <w:noWrap/>
            <w:vAlign w:val="center"/>
            <w:hideMark/>
          </w:tcPr>
          <w:p w14:paraId="07E231F8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P=1.00</w:t>
            </w:r>
          </w:p>
        </w:tc>
      </w:tr>
      <w:tr w:rsidR="0060030C" w:rsidRPr="0033055A" w14:paraId="30CBB5C3" w14:textId="77777777" w:rsidTr="006D11B3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F52460B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55D629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05A548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A29272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D910B4" w14:textId="77777777" w:rsidR="0060030C" w:rsidRPr="0033055A" w:rsidRDefault="0060030C" w:rsidP="006D11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62BBCE" w14:textId="77777777" w:rsidR="0060030C" w:rsidRPr="0033055A" w:rsidRDefault="0060030C" w:rsidP="006D11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bookmarkEnd w:id="18"/>
    </w:tbl>
    <w:p w14:paraId="1208D136" w14:textId="455A65AF" w:rsidR="0060030C" w:rsidRDefault="0060030C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End w:id="19"/>
    <w:p w14:paraId="37FBD2BA" w14:textId="52CFEF7A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230738" w14:textId="70D8B865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26FEB7" w14:textId="04068E6C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9273D8" w14:textId="2F72D832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DCCEE1" w14:textId="28F969FA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63664E" w14:textId="17586095" w:rsidR="00A724FB" w:rsidRDefault="00A724FB" w:rsidP="00E515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801753" w14:textId="3F3B0EE3" w:rsidR="001816AF" w:rsidRDefault="001816AF" w:rsidP="001816AF">
      <w:pPr>
        <w:shd w:val="clear" w:color="auto" w:fill="FFFFFF" w:themeFill="background1"/>
        <w:spacing w:after="16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Figure </w:t>
      </w:r>
      <w:r w:rsidR="00BD1EB9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top</w:t>
      </w:r>
    </w:p>
    <w:p w14:paraId="1A434312" w14:textId="57B6E684" w:rsidR="001816AF" w:rsidRPr="001816AF" w:rsidRDefault="001816AF" w:rsidP="001816AF">
      <w:pPr>
        <w:shd w:val="clear" w:color="auto" w:fill="FFFFFF" w:themeFill="background1"/>
        <w:spacing w:after="16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The proportion of children hospitalised under the age of one year, </w:t>
      </w:r>
      <w:r w:rsidR="00006CE8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 congenital anomaly and birth </w:t>
      </w:r>
      <w:proofErr w:type="gramStart"/>
      <w:r w:rsidRPr="001816AF">
        <w:rPr>
          <w:rFonts w:ascii="Times New Roman" w:hAnsi="Times New Roman" w:cs="Times New Roman"/>
          <w:sz w:val="24"/>
          <w:szCs w:val="24"/>
          <w:lang w:val="en-GB"/>
        </w:rPr>
        <w:t>cohort</w:t>
      </w:r>
      <w:proofErr w:type="gramEnd"/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F2C383" w14:textId="7A8DA712" w:rsidR="001816AF" w:rsidRDefault="001816AF" w:rsidP="001816AF">
      <w:pPr>
        <w:shd w:val="clear" w:color="auto" w:fill="FFFFFF" w:themeFill="background1"/>
        <w:spacing w:line="360" w:lineRule="auto"/>
        <w:rPr>
          <w:rFonts w:ascii="Calibri" w:hAnsi="Calibri" w:cs="Calibri"/>
          <w:b/>
          <w:color w:val="000000"/>
          <w:lang w:val="en-GB"/>
        </w:rPr>
      </w:pPr>
      <w:r w:rsidRPr="002B5D3C">
        <w:rPr>
          <w:noProof/>
          <w:lang w:val="en-GB"/>
        </w:rPr>
        <w:drawing>
          <wp:inline distT="0" distB="0" distL="0" distR="0" wp14:anchorId="003AAFA9" wp14:editId="66718E2E">
            <wp:extent cx="4724400" cy="3149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4" cy="31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49BD" w14:textId="27CC963A" w:rsidR="005F4ECC" w:rsidRDefault="005F4ECC" w:rsidP="001816AF">
      <w:pPr>
        <w:shd w:val="clear" w:color="auto" w:fill="FFFFFF" w:themeFill="background1"/>
        <w:spacing w:line="360" w:lineRule="auto"/>
        <w:rPr>
          <w:rFonts w:ascii="Calibri" w:hAnsi="Calibri" w:cs="Calibri"/>
          <w:b/>
          <w:color w:val="000000"/>
          <w:lang w:val="en-GB"/>
        </w:rPr>
      </w:pPr>
    </w:p>
    <w:p w14:paraId="6EABFC3E" w14:textId="524A5E81" w:rsidR="00BD1EB9" w:rsidRDefault="00BD1EB9">
      <w:pPr>
        <w:spacing w:after="160" w:line="259" w:lineRule="auto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br w:type="page"/>
      </w:r>
    </w:p>
    <w:p w14:paraId="60B01199" w14:textId="77777777" w:rsidR="00BD1EB9" w:rsidRDefault="00BD1EB9" w:rsidP="00BD1EB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2 top</w:t>
      </w:r>
    </w:p>
    <w:p w14:paraId="5D9FFA57" w14:textId="506DD83C" w:rsidR="00BD1EB9" w:rsidRPr="001816AF" w:rsidRDefault="00BD1EB9" w:rsidP="00BD1EB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Percentage with 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1816AF">
        <w:rPr>
          <w:rFonts w:ascii="Times New Roman" w:hAnsi="Times New Roman" w:cs="Times New Roman"/>
          <w:sz w:val="24"/>
          <w:szCs w:val="24"/>
          <w:lang w:val="en-GB"/>
        </w:rPr>
        <w:t>surg</w:t>
      </w:r>
      <w:r w:rsidR="00AD3F22">
        <w:rPr>
          <w:rFonts w:ascii="Times New Roman" w:hAnsi="Times New Roman" w:cs="Times New Roman"/>
          <w:sz w:val="24"/>
          <w:szCs w:val="24"/>
          <w:lang w:val="en-GB"/>
        </w:rPr>
        <w:t xml:space="preserve">ical procedure </w:t>
      </w:r>
      <w:r w:rsidRPr="001816AF">
        <w:rPr>
          <w:rFonts w:ascii="Times New Roman" w:hAnsi="Times New Roman" w:cs="Times New Roman"/>
          <w:sz w:val="24"/>
          <w:szCs w:val="24"/>
          <w:lang w:val="en-GB"/>
        </w:rPr>
        <w:t>during the first week of life (with 95% confidence intervals)</w:t>
      </w:r>
      <w:r w:rsidR="000A55E4">
        <w:rPr>
          <w:rFonts w:ascii="Times New Roman" w:hAnsi="Times New Roman" w:cs="Times New Roman"/>
          <w:sz w:val="24"/>
          <w:szCs w:val="24"/>
          <w:lang w:val="en-GB"/>
        </w:rPr>
        <w:t xml:space="preserve"> in children with</w:t>
      </w:r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 prenatal </w:t>
      </w:r>
      <w:r w:rsidR="00285A1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1816AF">
        <w:rPr>
          <w:rFonts w:ascii="Times New Roman" w:hAnsi="Times New Roman" w:cs="Times New Roman"/>
          <w:sz w:val="24"/>
          <w:szCs w:val="24"/>
          <w:lang w:val="en-GB"/>
        </w:rPr>
        <w:t xml:space="preserve"> postnatal diagnoses</w:t>
      </w:r>
    </w:p>
    <w:p w14:paraId="5D53BAB0" w14:textId="77777777" w:rsidR="00BD1EB9" w:rsidRDefault="00BD1EB9" w:rsidP="00BD1EB9">
      <w:pPr>
        <w:spacing w:after="160" w:line="259" w:lineRule="auto"/>
      </w:pPr>
      <w:r w:rsidRPr="002B5D3C">
        <w:rPr>
          <w:noProof/>
          <w:lang w:val="en-GB"/>
        </w:rPr>
        <w:drawing>
          <wp:inline distT="0" distB="0" distL="0" distR="0" wp14:anchorId="702DDF08" wp14:editId="2AD221BB">
            <wp:extent cx="5029200" cy="3657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53E2" w14:textId="77777777" w:rsidR="005F4ECC" w:rsidRDefault="005F4ECC" w:rsidP="001816AF">
      <w:pPr>
        <w:shd w:val="clear" w:color="auto" w:fill="FFFFFF" w:themeFill="background1"/>
        <w:spacing w:line="360" w:lineRule="auto"/>
        <w:rPr>
          <w:rFonts w:ascii="Calibri" w:hAnsi="Calibri" w:cs="Calibri"/>
          <w:b/>
          <w:color w:val="000000"/>
          <w:lang w:val="en-GB"/>
        </w:rPr>
      </w:pPr>
    </w:p>
    <w:p w14:paraId="23D6A95F" w14:textId="7D2C5DC0" w:rsidR="005F4ECC" w:rsidRDefault="005F4ECC" w:rsidP="001816AF">
      <w:pPr>
        <w:shd w:val="clear" w:color="auto" w:fill="FFFFFF" w:themeFill="background1"/>
        <w:spacing w:line="360" w:lineRule="auto"/>
        <w:rPr>
          <w:rFonts w:ascii="Calibri" w:hAnsi="Calibri" w:cs="Calibri"/>
          <w:b/>
          <w:color w:val="000000"/>
          <w:lang w:val="en-GB"/>
        </w:rPr>
      </w:pPr>
    </w:p>
    <w:p w14:paraId="2A159074" w14:textId="185375CE" w:rsidR="005F4ECC" w:rsidRDefault="005F4ECC" w:rsidP="001816AF">
      <w:pPr>
        <w:shd w:val="clear" w:color="auto" w:fill="FFFFFF" w:themeFill="background1"/>
        <w:spacing w:line="360" w:lineRule="auto"/>
        <w:rPr>
          <w:rFonts w:ascii="Calibri" w:hAnsi="Calibri" w:cs="Calibri"/>
          <w:b/>
          <w:color w:val="000000"/>
          <w:lang w:val="en-GB"/>
        </w:rPr>
      </w:pPr>
    </w:p>
    <w:p w14:paraId="73A0544F" w14:textId="77777777" w:rsidR="005F4ECC" w:rsidRDefault="005F4ECC" w:rsidP="005F4ECC">
      <w:pPr>
        <w:suppressLineNumbers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Figure Captions</w:t>
      </w:r>
    </w:p>
    <w:p w14:paraId="3C1CCF83" w14:textId="67D27014" w:rsidR="00704EF3" w:rsidRPr="001816AF" w:rsidRDefault="00704EF3" w:rsidP="00704EF3">
      <w:pPr>
        <w:suppressLineNumbers/>
        <w:rPr>
          <w:rFonts w:ascii="Calibri" w:hAnsi="Calibri" w:cs="Calibri"/>
          <w:b/>
          <w:color w:val="000000"/>
          <w:lang w:val="en-GB"/>
        </w:rPr>
      </w:pPr>
      <w:r w:rsidRPr="001816A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1</w:t>
      </w:r>
      <w:r w:rsidRPr="001816A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.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proportion of children hospitalised under the age of one year, by congenital anomaly and birth </w:t>
      </w:r>
      <w:proofErr w:type="gramStart"/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>cohort</w:t>
      </w:r>
      <w:proofErr w:type="gramEnd"/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8CF537B" w14:textId="087D2534" w:rsidR="005F4ECC" w:rsidRPr="0033055A" w:rsidRDefault="005F4ECC" w:rsidP="005F4ECC">
      <w:pPr>
        <w:suppressLineNumbers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816A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Figure </w:t>
      </w:r>
      <w:r w:rsidR="00704EF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2</w:t>
      </w:r>
      <w:r w:rsidRPr="001816A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.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Percentage </w:t>
      </w:r>
      <w:r w:rsidR="005009B2">
        <w:rPr>
          <w:rFonts w:ascii="Times New Roman" w:hAnsi="Times New Roman" w:cs="Times New Roman"/>
          <w:bCs/>
          <w:sz w:val="24"/>
          <w:szCs w:val="24"/>
          <w:lang w:val="en-GB"/>
        </w:rPr>
        <w:t>of children undergoing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surg</w:t>
      </w:r>
      <w:r w:rsidR="00AD3F22">
        <w:rPr>
          <w:rFonts w:ascii="Times New Roman" w:hAnsi="Times New Roman" w:cs="Times New Roman"/>
          <w:bCs/>
          <w:sz w:val="24"/>
          <w:szCs w:val="24"/>
          <w:lang w:val="en-GB"/>
        </w:rPr>
        <w:t>ical procedure</w:t>
      </w:r>
      <w:r w:rsidR="00285A10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during the first week of life (with 95% confidence intervals)</w:t>
      </w:r>
      <w:r w:rsidR="0053434B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comparison </w:t>
      </w:r>
      <w:r w:rsidR="00AE49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between those with 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prenatal </w:t>
      </w:r>
      <w:r w:rsidR="00006CE8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3305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postnatal diagnoses</w:t>
      </w:r>
    </w:p>
    <w:p w14:paraId="54DB1423" w14:textId="2588FE2F" w:rsidR="00AD3F22" w:rsidRDefault="00AD3F22" w:rsidP="0073438F">
      <w:pPr>
        <w:suppressLineNumbers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E19A0C" w14:textId="77777777" w:rsidR="00AD3F22" w:rsidRDefault="00AD3F2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14:paraId="5A79FCA1" w14:textId="138C2286" w:rsidR="00AD3F22" w:rsidRPr="0033055A" w:rsidRDefault="00AD3F22" w:rsidP="00AD3F22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Appendix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Number and proportion </w:t>
      </w:r>
      <w:r w:rsidRPr="0033055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305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i-FI"/>
        </w:rPr>
        <w:t xml:space="preserve"> children with a stay of more than 10 days in hospital, by age at admission </w:t>
      </w:r>
    </w:p>
    <w:tbl>
      <w:tblPr>
        <w:tblpPr w:leftFromText="141" w:rightFromText="141" w:vertAnchor="text" w:tblpY="1"/>
        <w:tblOverlap w:val="never"/>
        <w:tblW w:w="1176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174"/>
        <w:gridCol w:w="1520"/>
        <w:gridCol w:w="1940"/>
        <w:gridCol w:w="1133"/>
        <w:gridCol w:w="1312"/>
        <w:gridCol w:w="61"/>
        <w:gridCol w:w="1433"/>
        <w:gridCol w:w="127"/>
        <w:gridCol w:w="962"/>
      </w:tblGrid>
      <w:tr w:rsidR="00AD3F22" w:rsidRPr="0033055A" w14:paraId="3F444D90" w14:textId="77777777" w:rsidTr="001479BC">
        <w:trPr>
          <w:trHeight w:val="305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4DD85F5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sz w:val="24"/>
                <w:szCs w:val="24"/>
                <w:lang w:val="en-GB" w:eastAsia="fi-FI"/>
              </w:rPr>
              <w:t xml:space="preserve">Anomaly 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68B6D6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Prenatal diagnoses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93AF75F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No. children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30EA3A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Proportion in hospital &lt;1 year (95% CI)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969081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p-value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2921D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No. children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1C0FB7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Proportion in hospital 1 – 4 years (95% CI)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693CDA1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fi-FI"/>
              </w:rPr>
              <w:t>p-value</w:t>
            </w:r>
          </w:p>
        </w:tc>
      </w:tr>
      <w:tr w:rsidR="00AD3F22" w:rsidRPr="0033055A" w14:paraId="23B13E61" w14:textId="77777777" w:rsidTr="001479BC">
        <w:trPr>
          <w:trHeight w:val="305"/>
        </w:trPr>
        <w:tc>
          <w:tcPr>
            <w:tcW w:w="2104" w:type="dxa"/>
            <w:vMerge w:val="restart"/>
            <w:shd w:val="clear" w:color="auto" w:fill="auto"/>
            <w:noWrap/>
            <w:vAlign w:val="bottom"/>
            <w:hideMark/>
          </w:tcPr>
          <w:p w14:paraId="3A60705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Spina bifida</w:t>
            </w:r>
          </w:p>
          <w:p w14:paraId="20C3A4E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C9B360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75404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124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230B0EC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63.2 (51.0-73.1)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1003D9B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0.04</w:t>
            </w:r>
          </w:p>
        </w:tc>
        <w:tc>
          <w:tcPr>
            <w:tcW w:w="1312" w:type="dxa"/>
            <w:vAlign w:val="bottom"/>
            <w:hideMark/>
          </w:tcPr>
          <w:p w14:paraId="01481E0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27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46B5C226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17.2 (11.3-23.1)</w:t>
            </w:r>
          </w:p>
        </w:tc>
        <w:tc>
          <w:tcPr>
            <w:tcW w:w="962" w:type="dxa"/>
            <w:vAlign w:val="bottom"/>
            <w:hideMark/>
          </w:tcPr>
          <w:p w14:paraId="45E60095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0.10</w:t>
            </w:r>
          </w:p>
        </w:tc>
      </w:tr>
      <w:tr w:rsidR="00AD3F22" w:rsidRPr="0033055A" w14:paraId="279CF2E3" w14:textId="77777777" w:rsidTr="001479BC">
        <w:trPr>
          <w:trHeight w:val="305"/>
        </w:trPr>
        <w:tc>
          <w:tcPr>
            <w:tcW w:w="2104" w:type="dxa"/>
            <w:vMerge/>
            <w:shd w:val="clear" w:color="auto" w:fill="auto"/>
            <w:vAlign w:val="bottom"/>
            <w:hideMark/>
          </w:tcPr>
          <w:p w14:paraId="61B2D871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252652A6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3D7DD9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90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411DBF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51.5 (35.8-65.2)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30E01C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312" w:type="dxa"/>
            <w:vAlign w:val="bottom"/>
            <w:hideMark/>
          </w:tcPr>
          <w:p w14:paraId="6A12674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12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5F1168E8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10.2 (4.7-15.6)</w:t>
            </w:r>
          </w:p>
        </w:tc>
        <w:tc>
          <w:tcPr>
            <w:tcW w:w="962" w:type="dxa"/>
            <w:vAlign w:val="bottom"/>
          </w:tcPr>
          <w:p w14:paraId="39F2831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56D2ADBE" w14:textId="77777777" w:rsidTr="001479BC">
        <w:trPr>
          <w:trHeight w:val="30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B1EB1E6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39BB0AC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D5BAC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06C68A6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9F76CCB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12" w:type="dxa"/>
            <w:vAlign w:val="bottom"/>
            <w:hideMark/>
          </w:tcPr>
          <w:p w14:paraId="44155BF9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1621" w:type="dxa"/>
            <w:gridSpan w:val="3"/>
            <w:vAlign w:val="bottom"/>
          </w:tcPr>
          <w:p w14:paraId="02762A17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962" w:type="dxa"/>
            <w:vAlign w:val="bottom"/>
          </w:tcPr>
          <w:p w14:paraId="0A39648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3ED77321" w14:textId="77777777" w:rsidTr="001479BC">
        <w:trPr>
          <w:trHeight w:val="305"/>
        </w:trPr>
        <w:tc>
          <w:tcPr>
            <w:tcW w:w="2104" w:type="dxa"/>
            <w:vMerge w:val="restart"/>
            <w:shd w:val="clear" w:color="auto" w:fill="auto"/>
            <w:noWrap/>
            <w:vAlign w:val="bottom"/>
            <w:hideMark/>
          </w:tcPr>
          <w:p w14:paraId="6B6037E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Transposition of great arteries</w:t>
            </w:r>
          </w:p>
          <w:p w14:paraId="654DFE1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C1ADDA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B71DB3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306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4FB2C93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85.6 (75.9-91.6)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2E9E75C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0.60</w:t>
            </w:r>
          </w:p>
        </w:tc>
        <w:tc>
          <w:tcPr>
            <w:tcW w:w="1312" w:type="dxa"/>
            <w:vAlign w:val="bottom"/>
            <w:hideMark/>
          </w:tcPr>
          <w:p w14:paraId="325D73B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61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462DDFCB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21.7 (16.9-26.5)</w:t>
            </w:r>
          </w:p>
        </w:tc>
        <w:tc>
          <w:tcPr>
            <w:tcW w:w="962" w:type="dxa"/>
            <w:vAlign w:val="bottom"/>
            <w:hideMark/>
          </w:tcPr>
          <w:p w14:paraId="68EF492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0.001</w:t>
            </w:r>
          </w:p>
        </w:tc>
      </w:tr>
      <w:tr w:rsidR="00AD3F22" w:rsidRPr="0033055A" w14:paraId="06EED474" w14:textId="77777777" w:rsidTr="001479BC">
        <w:trPr>
          <w:trHeight w:val="305"/>
        </w:trPr>
        <w:tc>
          <w:tcPr>
            <w:tcW w:w="2104" w:type="dxa"/>
            <w:vMerge/>
            <w:shd w:val="clear" w:color="auto" w:fill="auto"/>
            <w:vAlign w:val="bottom"/>
            <w:hideMark/>
          </w:tcPr>
          <w:p w14:paraId="6A6897C5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9935827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A9A61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515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56671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83.2 (77.6-87.6)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CBF0021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312" w:type="dxa"/>
            <w:vAlign w:val="bottom"/>
            <w:hideMark/>
          </w:tcPr>
          <w:p w14:paraId="7674D32B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60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7AD60916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12.7 (9.7-15.7)</w:t>
            </w:r>
          </w:p>
        </w:tc>
        <w:tc>
          <w:tcPr>
            <w:tcW w:w="962" w:type="dxa"/>
            <w:vAlign w:val="bottom"/>
          </w:tcPr>
          <w:p w14:paraId="00278390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7AB328AA" w14:textId="77777777" w:rsidTr="001479BC">
        <w:trPr>
          <w:trHeight w:val="30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3590EE8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A9D94F0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67B4C2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78E587C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AE55701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12" w:type="dxa"/>
            <w:vAlign w:val="bottom"/>
          </w:tcPr>
          <w:p w14:paraId="6B477F8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1621" w:type="dxa"/>
            <w:gridSpan w:val="3"/>
            <w:vAlign w:val="bottom"/>
          </w:tcPr>
          <w:p w14:paraId="30F53B49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962" w:type="dxa"/>
            <w:vAlign w:val="bottom"/>
          </w:tcPr>
          <w:p w14:paraId="4AF02B1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13772D39" w14:textId="77777777" w:rsidTr="001479BC">
        <w:trPr>
          <w:trHeight w:val="305"/>
        </w:trPr>
        <w:tc>
          <w:tcPr>
            <w:tcW w:w="2104" w:type="dxa"/>
            <w:vMerge w:val="restart"/>
            <w:shd w:val="clear" w:color="auto" w:fill="auto"/>
            <w:noWrap/>
            <w:vAlign w:val="bottom"/>
            <w:hideMark/>
          </w:tcPr>
          <w:p w14:paraId="462BEAE2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Congenital diaphragmatic hernia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1DDEB3F3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AA2E93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167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2C960D8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66.5 (58.7-73.1)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2951515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0.45</w:t>
            </w:r>
          </w:p>
        </w:tc>
        <w:tc>
          <w:tcPr>
            <w:tcW w:w="1312" w:type="dxa"/>
            <w:vAlign w:val="bottom"/>
            <w:hideMark/>
          </w:tcPr>
          <w:p w14:paraId="5C56C5E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07F42CA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7.6 (3.1-12.2)</w:t>
            </w:r>
          </w:p>
        </w:tc>
        <w:tc>
          <w:tcPr>
            <w:tcW w:w="962" w:type="dxa"/>
            <w:vAlign w:val="bottom"/>
            <w:hideMark/>
          </w:tcPr>
          <w:p w14:paraId="3D62D44C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0.18</w:t>
            </w:r>
          </w:p>
        </w:tc>
      </w:tr>
      <w:tr w:rsidR="00AD3F22" w:rsidRPr="0033055A" w14:paraId="3E616F48" w14:textId="77777777" w:rsidTr="001479BC">
        <w:trPr>
          <w:trHeight w:val="305"/>
        </w:trPr>
        <w:tc>
          <w:tcPr>
            <w:tcW w:w="2104" w:type="dxa"/>
            <w:vMerge/>
            <w:shd w:val="clear" w:color="auto" w:fill="auto"/>
            <w:vAlign w:val="bottom"/>
            <w:hideMark/>
          </w:tcPr>
          <w:p w14:paraId="5E0E8D5E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F5228A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EFC41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157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242DD1B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69.3 (59.7-77.0)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292F79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312" w:type="dxa"/>
            <w:vAlign w:val="bottom"/>
            <w:hideMark/>
          </w:tcPr>
          <w:p w14:paraId="290F068E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407B4802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4.0 (0.9-7.0)</w:t>
            </w:r>
          </w:p>
        </w:tc>
        <w:tc>
          <w:tcPr>
            <w:tcW w:w="962" w:type="dxa"/>
            <w:vAlign w:val="bottom"/>
          </w:tcPr>
          <w:p w14:paraId="54864712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015662B3" w14:textId="77777777" w:rsidTr="001479BC">
        <w:trPr>
          <w:trHeight w:val="30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AF6ECA8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2DE1B828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62A92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F010A9A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60074F6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12" w:type="dxa"/>
            <w:hideMark/>
          </w:tcPr>
          <w:p w14:paraId="6A93D1F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1621" w:type="dxa"/>
            <w:gridSpan w:val="3"/>
            <w:vAlign w:val="bottom"/>
          </w:tcPr>
          <w:p w14:paraId="43EBC1D5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962" w:type="dxa"/>
            <w:vAlign w:val="bottom"/>
          </w:tcPr>
          <w:p w14:paraId="4677E9E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AD3F22" w:rsidRPr="0033055A" w14:paraId="6AE8FE5B" w14:textId="77777777" w:rsidTr="001479BC">
        <w:trPr>
          <w:trHeight w:val="305"/>
        </w:trPr>
        <w:tc>
          <w:tcPr>
            <w:tcW w:w="2104" w:type="dxa"/>
            <w:vMerge w:val="restart"/>
            <w:shd w:val="clear" w:color="auto" w:fill="auto"/>
            <w:noWrap/>
            <w:vAlign w:val="bottom"/>
            <w:hideMark/>
          </w:tcPr>
          <w:p w14:paraId="6A151D94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Gastroschisis</w:t>
            </w:r>
          </w:p>
          <w:p w14:paraId="471CAB94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1EF38E3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663A6D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786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9DC38E6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92.7 (86.9-96.0)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07F861A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0.72</w:t>
            </w:r>
          </w:p>
        </w:tc>
        <w:tc>
          <w:tcPr>
            <w:tcW w:w="1312" w:type="dxa"/>
            <w:vAlign w:val="bottom"/>
            <w:hideMark/>
          </w:tcPr>
          <w:p w14:paraId="17487647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36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51EE4BAC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4.7 (3.2-6.2)</w:t>
            </w:r>
          </w:p>
        </w:tc>
        <w:tc>
          <w:tcPr>
            <w:tcW w:w="962" w:type="dxa"/>
            <w:vAlign w:val="bottom"/>
            <w:hideMark/>
          </w:tcPr>
          <w:p w14:paraId="3DD9E312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0.23</w:t>
            </w:r>
          </w:p>
        </w:tc>
      </w:tr>
      <w:tr w:rsidR="00AD3F22" w:rsidRPr="0033055A" w14:paraId="71FB937A" w14:textId="77777777" w:rsidTr="001479BC">
        <w:trPr>
          <w:trHeight w:val="305"/>
        </w:trPr>
        <w:tc>
          <w:tcPr>
            <w:tcW w:w="2104" w:type="dxa"/>
            <w:vMerge/>
            <w:shd w:val="clear" w:color="auto" w:fill="auto"/>
            <w:vAlign w:val="bottom"/>
            <w:hideMark/>
          </w:tcPr>
          <w:p w14:paraId="0772DA94" w14:textId="77777777" w:rsidR="00AD3F22" w:rsidRPr="0033055A" w:rsidRDefault="00AD3F22" w:rsidP="00147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C381A6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No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5AF6C7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37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FBA240F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87.5 (56.6-96.9)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3061F59" w14:textId="77777777" w:rsidR="00AD3F22" w:rsidRPr="0033055A" w:rsidRDefault="00AD3F22" w:rsidP="00147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312" w:type="dxa"/>
            <w:vAlign w:val="bottom"/>
            <w:hideMark/>
          </w:tcPr>
          <w:p w14:paraId="4CED999C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0</w:t>
            </w:r>
          </w:p>
        </w:tc>
        <w:tc>
          <w:tcPr>
            <w:tcW w:w="1621" w:type="dxa"/>
            <w:gridSpan w:val="3"/>
            <w:vAlign w:val="bottom"/>
            <w:hideMark/>
          </w:tcPr>
          <w:p w14:paraId="522ACE50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33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  <w:t>-</w:t>
            </w:r>
          </w:p>
        </w:tc>
        <w:tc>
          <w:tcPr>
            <w:tcW w:w="962" w:type="dxa"/>
            <w:vAlign w:val="bottom"/>
          </w:tcPr>
          <w:p w14:paraId="4F39A855" w14:textId="77777777" w:rsidR="00AD3F22" w:rsidRPr="0033055A" w:rsidRDefault="00AD3F22" w:rsidP="001479B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i-FI"/>
              </w:rPr>
            </w:pPr>
          </w:p>
        </w:tc>
      </w:tr>
    </w:tbl>
    <w:p w14:paraId="5B559DEA" w14:textId="77777777" w:rsidR="00AD3F22" w:rsidRPr="0033055A" w:rsidRDefault="00AD3F22" w:rsidP="00AD3F22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E97F7BD" w14:textId="77777777" w:rsidR="00AD3F22" w:rsidRPr="0033055A" w:rsidRDefault="00AD3F22" w:rsidP="00AD3F22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0816C8" w14:textId="77777777" w:rsidR="00AD3F22" w:rsidRPr="0033055A" w:rsidRDefault="00AD3F22" w:rsidP="00AD3F22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5EB9B7" w14:textId="77777777" w:rsidR="00AD3F22" w:rsidRPr="0033055A" w:rsidRDefault="00AD3F22" w:rsidP="00AD3F22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07911F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5744FB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FE082F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8CB2FE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BB6B6E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15146E" w14:textId="77777777" w:rsidR="00AD3F22" w:rsidRPr="0033055A" w:rsidRDefault="00AD3F22" w:rsidP="00AD3F2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E35A81" w14:textId="77777777" w:rsidR="005F4ECC" w:rsidRPr="001816AF" w:rsidRDefault="005F4ECC" w:rsidP="001904AD">
      <w:pPr>
        <w:spacing w:after="160" w:line="259" w:lineRule="auto"/>
        <w:rPr>
          <w:rFonts w:ascii="Calibri" w:hAnsi="Calibri" w:cs="Calibri"/>
          <w:b/>
          <w:color w:val="000000"/>
          <w:lang w:val="en-GB"/>
        </w:rPr>
      </w:pPr>
    </w:p>
    <w:sectPr w:rsidR="005F4ECC" w:rsidRPr="001816AF" w:rsidSect="0060030C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4014" w14:textId="77777777" w:rsidR="00470443" w:rsidRDefault="00470443" w:rsidP="004C43C3">
      <w:pPr>
        <w:spacing w:after="0" w:line="240" w:lineRule="auto"/>
      </w:pPr>
      <w:r>
        <w:separator/>
      </w:r>
    </w:p>
  </w:endnote>
  <w:endnote w:type="continuationSeparator" w:id="0">
    <w:p w14:paraId="4514154F" w14:textId="77777777" w:rsidR="00470443" w:rsidRDefault="00470443" w:rsidP="004C43C3">
      <w:pPr>
        <w:spacing w:after="0" w:line="240" w:lineRule="auto"/>
      </w:pPr>
      <w:r>
        <w:continuationSeparator/>
      </w:r>
    </w:p>
  </w:endnote>
  <w:endnote w:type="continuationNotice" w:id="1">
    <w:p w14:paraId="566844DC" w14:textId="77777777" w:rsidR="00470443" w:rsidRDefault="00470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25475"/>
      <w:docPartObj>
        <w:docPartGallery w:val="Page Numbers (Bottom of Page)"/>
        <w:docPartUnique/>
      </w:docPartObj>
    </w:sdtPr>
    <w:sdtEndPr/>
    <w:sdtContent>
      <w:p w14:paraId="4A310889" w14:textId="562B962E" w:rsidR="00E23FD8" w:rsidRDefault="00E23FD8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62775479" w14:textId="77777777" w:rsidR="00E23FD8" w:rsidRDefault="00E23FD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B3158" w14:textId="77777777" w:rsidR="0094295D" w:rsidRDefault="0094295D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CF0BFBB" w14:textId="77777777" w:rsidR="0094295D" w:rsidRDefault="0094295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6936" w14:textId="77777777" w:rsidR="00470443" w:rsidRDefault="00470443" w:rsidP="004C43C3">
      <w:pPr>
        <w:spacing w:after="0" w:line="240" w:lineRule="auto"/>
      </w:pPr>
      <w:r>
        <w:separator/>
      </w:r>
    </w:p>
  </w:footnote>
  <w:footnote w:type="continuationSeparator" w:id="0">
    <w:p w14:paraId="3A55CB30" w14:textId="77777777" w:rsidR="00470443" w:rsidRDefault="00470443" w:rsidP="004C43C3">
      <w:pPr>
        <w:spacing w:after="0" w:line="240" w:lineRule="auto"/>
      </w:pPr>
      <w:r>
        <w:continuationSeparator/>
      </w:r>
    </w:p>
  </w:footnote>
  <w:footnote w:type="continuationNotice" w:id="1">
    <w:p w14:paraId="02F80615" w14:textId="77777777" w:rsidR="00470443" w:rsidRDefault="00470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1EECFE"/>
    <w:lvl w:ilvl="0">
      <w:start w:val="1"/>
      <w:numFmt w:val="bullet"/>
      <w:pStyle w:val="Merkittyluettelo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</w:abstractNum>
  <w:abstractNum w:abstractNumId="1" w15:restartNumberingAfterBreak="0">
    <w:nsid w:val="07FF7A17"/>
    <w:multiLevelType w:val="hybridMultilevel"/>
    <w:tmpl w:val="558E7DFE"/>
    <w:lvl w:ilvl="0" w:tplc="70421D5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color w:val="333333"/>
        <w:sz w:val="27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FA3"/>
    <w:multiLevelType w:val="hybridMultilevel"/>
    <w:tmpl w:val="E08AA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BD9"/>
    <w:multiLevelType w:val="hybridMultilevel"/>
    <w:tmpl w:val="500EAB3A"/>
    <w:lvl w:ilvl="0" w:tplc="3FECA0B2">
      <w:start w:val="9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A48"/>
    <w:multiLevelType w:val="hybridMultilevel"/>
    <w:tmpl w:val="CD00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A16"/>
    <w:multiLevelType w:val="hybridMultilevel"/>
    <w:tmpl w:val="072A4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B59"/>
    <w:multiLevelType w:val="hybridMultilevel"/>
    <w:tmpl w:val="4BD6CE7E"/>
    <w:lvl w:ilvl="0" w:tplc="B8D2DE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24DF1"/>
    <w:multiLevelType w:val="multilevel"/>
    <w:tmpl w:val="3ACE8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D66866"/>
    <w:multiLevelType w:val="hybridMultilevel"/>
    <w:tmpl w:val="072A48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419"/>
    <w:multiLevelType w:val="hybridMultilevel"/>
    <w:tmpl w:val="514EA7F4"/>
    <w:lvl w:ilvl="0" w:tplc="B8D2D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A6F75"/>
    <w:multiLevelType w:val="hybridMultilevel"/>
    <w:tmpl w:val="30FC78D0"/>
    <w:lvl w:ilvl="0" w:tplc="B8D2DE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125CB"/>
    <w:multiLevelType w:val="hybridMultilevel"/>
    <w:tmpl w:val="114CD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A4EEC"/>
    <w:multiLevelType w:val="hybridMultilevel"/>
    <w:tmpl w:val="1E04D268"/>
    <w:lvl w:ilvl="0" w:tplc="26B687D2">
      <w:start w:val="8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9" w:hanging="360"/>
      </w:pPr>
    </w:lvl>
    <w:lvl w:ilvl="2" w:tplc="0406001B" w:tentative="1">
      <w:start w:val="1"/>
      <w:numFmt w:val="lowerRoman"/>
      <w:lvlText w:val="%3."/>
      <w:lvlJc w:val="right"/>
      <w:pPr>
        <w:ind w:left="2159" w:hanging="180"/>
      </w:pPr>
    </w:lvl>
    <w:lvl w:ilvl="3" w:tplc="0406000F" w:tentative="1">
      <w:start w:val="1"/>
      <w:numFmt w:val="decimal"/>
      <w:lvlText w:val="%4."/>
      <w:lvlJc w:val="left"/>
      <w:pPr>
        <w:ind w:left="2879" w:hanging="360"/>
      </w:pPr>
    </w:lvl>
    <w:lvl w:ilvl="4" w:tplc="04060019" w:tentative="1">
      <w:start w:val="1"/>
      <w:numFmt w:val="lowerLetter"/>
      <w:lvlText w:val="%5."/>
      <w:lvlJc w:val="left"/>
      <w:pPr>
        <w:ind w:left="3599" w:hanging="360"/>
      </w:pPr>
    </w:lvl>
    <w:lvl w:ilvl="5" w:tplc="0406001B" w:tentative="1">
      <w:start w:val="1"/>
      <w:numFmt w:val="lowerRoman"/>
      <w:lvlText w:val="%6."/>
      <w:lvlJc w:val="right"/>
      <w:pPr>
        <w:ind w:left="4319" w:hanging="180"/>
      </w:pPr>
    </w:lvl>
    <w:lvl w:ilvl="6" w:tplc="0406000F" w:tentative="1">
      <w:start w:val="1"/>
      <w:numFmt w:val="decimal"/>
      <w:lvlText w:val="%7."/>
      <w:lvlJc w:val="left"/>
      <w:pPr>
        <w:ind w:left="5039" w:hanging="360"/>
      </w:pPr>
    </w:lvl>
    <w:lvl w:ilvl="7" w:tplc="04060019" w:tentative="1">
      <w:start w:val="1"/>
      <w:numFmt w:val="lowerLetter"/>
      <w:lvlText w:val="%8."/>
      <w:lvlJc w:val="left"/>
      <w:pPr>
        <w:ind w:left="5759" w:hanging="360"/>
      </w:pPr>
    </w:lvl>
    <w:lvl w:ilvl="8" w:tplc="040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5B202CEB"/>
    <w:multiLevelType w:val="hybridMultilevel"/>
    <w:tmpl w:val="1B16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65262"/>
    <w:multiLevelType w:val="hybridMultilevel"/>
    <w:tmpl w:val="68C02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03A4"/>
    <w:multiLevelType w:val="hybridMultilevel"/>
    <w:tmpl w:val="51A49090"/>
    <w:lvl w:ilvl="0" w:tplc="430ED7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3267">
    <w:abstractNumId w:val="7"/>
  </w:num>
  <w:num w:numId="2" w16cid:durableId="2111386080">
    <w:abstractNumId w:val="13"/>
  </w:num>
  <w:num w:numId="3" w16cid:durableId="1529177438">
    <w:abstractNumId w:val="12"/>
  </w:num>
  <w:num w:numId="4" w16cid:durableId="928662421">
    <w:abstractNumId w:val="15"/>
  </w:num>
  <w:num w:numId="5" w16cid:durableId="686370804">
    <w:abstractNumId w:val="4"/>
  </w:num>
  <w:num w:numId="6" w16cid:durableId="1822386221">
    <w:abstractNumId w:val="14"/>
  </w:num>
  <w:num w:numId="7" w16cid:durableId="1713505827">
    <w:abstractNumId w:val="11"/>
  </w:num>
  <w:num w:numId="8" w16cid:durableId="1873573596">
    <w:abstractNumId w:val="2"/>
  </w:num>
  <w:num w:numId="9" w16cid:durableId="158159210">
    <w:abstractNumId w:val="10"/>
  </w:num>
  <w:num w:numId="10" w16cid:durableId="721830247">
    <w:abstractNumId w:val="9"/>
  </w:num>
  <w:num w:numId="11" w16cid:durableId="924801546">
    <w:abstractNumId w:val="6"/>
  </w:num>
  <w:num w:numId="12" w16cid:durableId="1911041570">
    <w:abstractNumId w:val="0"/>
  </w:num>
  <w:num w:numId="13" w16cid:durableId="151414064">
    <w:abstractNumId w:val="8"/>
  </w:num>
  <w:num w:numId="14" w16cid:durableId="730154895">
    <w:abstractNumId w:val="3"/>
  </w:num>
  <w:num w:numId="15" w16cid:durableId="826171123">
    <w:abstractNumId w:val="5"/>
  </w:num>
  <w:num w:numId="16" w16cid:durableId="154798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1"/>
    <w:rsid w:val="000004C1"/>
    <w:rsid w:val="0000057B"/>
    <w:rsid w:val="00001966"/>
    <w:rsid w:val="00001F52"/>
    <w:rsid w:val="00001F74"/>
    <w:rsid w:val="00002210"/>
    <w:rsid w:val="00002362"/>
    <w:rsid w:val="00002A56"/>
    <w:rsid w:val="00002BC4"/>
    <w:rsid w:val="0000464E"/>
    <w:rsid w:val="0000487A"/>
    <w:rsid w:val="000059D2"/>
    <w:rsid w:val="00006A8C"/>
    <w:rsid w:val="00006CE8"/>
    <w:rsid w:val="00010355"/>
    <w:rsid w:val="0001041F"/>
    <w:rsid w:val="00011E0F"/>
    <w:rsid w:val="0001255C"/>
    <w:rsid w:val="00012E99"/>
    <w:rsid w:val="000137CC"/>
    <w:rsid w:val="000137D1"/>
    <w:rsid w:val="000140FF"/>
    <w:rsid w:val="000149D3"/>
    <w:rsid w:val="000151DB"/>
    <w:rsid w:val="000155D1"/>
    <w:rsid w:val="000159C4"/>
    <w:rsid w:val="00015C18"/>
    <w:rsid w:val="00015E0C"/>
    <w:rsid w:val="00016102"/>
    <w:rsid w:val="00016807"/>
    <w:rsid w:val="000171A8"/>
    <w:rsid w:val="00017268"/>
    <w:rsid w:val="000174BA"/>
    <w:rsid w:val="00020CEF"/>
    <w:rsid w:val="00021B27"/>
    <w:rsid w:val="000225E2"/>
    <w:rsid w:val="000226BD"/>
    <w:rsid w:val="00023F1E"/>
    <w:rsid w:val="00024267"/>
    <w:rsid w:val="0002538D"/>
    <w:rsid w:val="00025A02"/>
    <w:rsid w:val="00025B77"/>
    <w:rsid w:val="00025FD7"/>
    <w:rsid w:val="00026760"/>
    <w:rsid w:val="000268FA"/>
    <w:rsid w:val="00026AF3"/>
    <w:rsid w:val="00027204"/>
    <w:rsid w:val="000274FD"/>
    <w:rsid w:val="00027C46"/>
    <w:rsid w:val="00027CC6"/>
    <w:rsid w:val="00027EF3"/>
    <w:rsid w:val="00030034"/>
    <w:rsid w:val="00032847"/>
    <w:rsid w:val="00032ED3"/>
    <w:rsid w:val="00032EEB"/>
    <w:rsid w:val="00033034"/>
    <w:rsid w:val="000332FB"/>
    <w:rsid w:val="000336D0"/>
    <w:rsid w:val="000344E7"/>
    <w:rsid w:val="000352AC"/>
    <w:rsid w:val="00035F95"/>
    <w:rsid w:val="000373AF"/>
    <w:rsid w:val="00040385"/>
    <w:rsid w:val="0004039F"/>
    <w:rsid w:val="00041023"/>
    <w:rsid w:val="0004177E"/>
    <w:rsid w:val="00042539"/>
    <w:rsid w:val="000429B9"/>
    <w:rsid w:val="00042D8E"/>
    <w:rsid w:val="000438A5"/>
    <w:rsid w:val="00043D42"/>
    <w:rsid w:val="00043FBD"/>
    <w:rsid w:val="000445C4"/>
    <w:rsid w:val="00044DDA"/>
    <w:rsid w:val="00045097"/>
    <w:rsid w:val="000454E1"/>
    <w:rsid w:val="000468FA"/>
    <w:rsid w:val="000473D5"/>
    <w:rsid w:val="00047A4B"/>
    <w:rsid w:val="00047CBD"/>
    <w:rsid w:val="000508F2"/>
    <w:rsid w:val="00050C4C"/>
    <w:rsid w:val="00051225"/>
    <w:rsid w:val="00051B8A"/>
    <w:rsid w:val="00052838"/>
    <w:rsid w:val="00052F7B"/>
    <w:rsid w:val="00053B6A"/>
    <w:rsid w:val="00053C81"/>
    <w:rsid w:val="00053E13"/>
    <w:rsid w:val="00053EFD"/>
    <w:rsid w:val="000541F5"/>
    <w:rsid w:val="0005465C"/>
    <w:rsid w:val="00054966"/>
    <w:rsid w:val="000552D8"/>
    <w:rsid w:val="000559C2"/>
    <w:rsid w:val="00055B11"/>
    <w:rsid w:val="00055EA8"/>
    <w:rsid w:val="00055FAD"/>
    <w:rsid w:val="000564DB"/>
    <w:rsid w:val="00056C6E"/>
    <w:rsid w:val="00056D69"/>
    <w:rsid w:val="000572E9"/>
    <w:rsid w:val="0005735D"/>
    <w:rsid w:val="00057F19"/>
    <w:rsid w:val="000600E4"/>
    <w:rsid w:val="00060F3B"/>
    <w:rsid w:val="00061DFA"/>
    <w:rsid w:val="0006396E"/>
    <w:rsid w:val="00063B8A"/>
    <w:rsid w:val="00063C56"/>
    <w:rsid w:val="000642E4"/>
    <w:rsid w:val="00064766"/>
    <w:rsid w:val="0006536D"/>
    <w:rsid w:val="00065577"/>
    <w:rsid w:val="0006614F"/>
    <w:rsid w:val="0006670C"/>
    <w:rsid w:val="0006687B"/>
    <w:rsid w:val="00071314"/>
    <w:rsid w:val="0007140C"/>
    <w:rsid w:val="000717BC"/>
    <w:rsid w:val="00071BB9"/>
    <w:rsid w:val="00072130"/>
    <w:rsid w:val="00074B6D"/>
    <w:rsid w:val="00074E1B"/>
    <w:rsid w:val="000754DD"/>
    <w:rsid w:val="00075D76"/>
    <w:rsid w:val="00076F64"/>
    <w:rsid w:val="00080C96"/>
    <w:rsid w:val="00081A35"/>
    <w:rsid w:val="00081B38"/>
    <w:rsid w:val="00082BEA"/>
    <w:rsid w:val="00083000"/>
    <w:rsid w:val="000840B5"/>
    <w:rsid w:val="000844A4"/>
    <w:rsid w:val="000846AF"/>
    <w:rsid w:val="000856B3"/>
    <w:rsid w:val="00085995"/>
    <w:rsid w:val="00085CA9"/>
    <w:rsid w:val="00087850"/>
    <w:rsid w:val="000909AE"/>
    <w:rsid w:val="00090C24"/>
    <w:rsid w:val="00091235"/>
    <w:rsid w:val="000923FC"/>
    <w:rsid w:val="00092A18"/>
    <w:rsid w:val="000936C8"/>
    <w:rsid w:val="00093CBA"/>
    <w:rsid w:val="00093F12"/>
    <w:rsid w:val="00093FE2"/>
    <w:rsid w:val="0009421B"/>
    <w:rsid w:val="00094797"/>
    <w:rsid w:val="000948B4"/>
    <w:rsid w:val="00094AF3"/>
    <w:rsid w:val="00094C87"/>
    <w:rsid w:val="000951C3"/>
    <w:rsid w:val="00095A5D"/>
    <w:rsid w:val="00096592"/>
    <w:rsid w:val="00096E41"/>
    <w:rsid w:val="000A0132"/>
    <w:rsid w:val="000A1A41"/>
    <w:rsid w:val="000A226E"/>
    <w:rsid w:val="000A22CB"/>
    <w:rsid w:val="000A266A"/>
    <w:rsid w:val="000A3238"/>
    <w:rsid w:val="000A3E7E"/>
    <w:rsid w:val="000A40FA"/>
    <w:rsid w:val="000A55E4"/>
    <w:rsid w:val="000A7079"/>
    <w:rsid w:val="000A722B"/>
    <w:rsid w:val="000A7DC7"/>
    <w:rsid w:val="000B01E6"/>
    <w:rsid w:val="000B021B"/>
    <w:rsid w:val="000B0AA0"/>
    <w:rsid w:val="000B0DF9"/>
    <w:rsid w:val="000B203B"/>
    <w:rsid w:val="000B2584"/>
    <w:rsid w:val="000B3989"/>
    <w:rsid w:val="000B405C"/>
    <w:rsid w:val="000B4510"/>
    <w:rsid w:val="000B4724"/>
    <w:rsid w:val="000B4E00"/>
    <w:rsid w:val="000B521E"/>
    <w:rsid w:val="000B7C32"/>
    <w:rsid w:val="000B7EA0"/>
    <w:rsid w:val="000C0D48"/>
    <w:rsid w:val="000C0E7C"/>
    <w:rsid w:val="000C0FA3"/>
    <w:rsid w:val="000C177E"/>
    <w:rsid w:val="000C2333"/>
    <w:rsid w:val="000C28D0"/>
    <w:rsid w:val="000C3166"/>
    <w:rsid w:val="000C3A89"/>
    <w:rsid w:val="000C3D72"/>
    <w:rsid w:val="000C4856"/>
    <w:rsid w:val="000C649A"/>
    <w:rsid w:val="000C67C6"/>
    <w:rsid w:val="000C70AE"/>
    <w:rsid w:val="000C7114"/>
    <w:rsid w:val="000C71A2"/>
    <w:rsid w:val="000C7691"/>
    <w:rsid w:val="000C7892"/>
    <w:rsid w:val="000D17CD"/>
    <w:rsid w:val="000D1897"/>
    <w:rsid w:val="000D18A4"/>
    <w:rsid w:val="000D2E4C"/>
    <w:rsid w:val="000D30C3"/>
    <w:rsid w:val="000D330F"/>
    <w:rsid w:val="000D3A65"/>
    <w:rsid w:val="000D3CEF"/>
    <w:rsid w:val="000D4064"/>
    <w:rsid w:val="000D4480"/>
    <w:rsid w:val="000D4DA2"/>
    <w:rsid w:val="000D51E2"/>
    <w:rsid w:val="000D5E6F"/>
    <w:rsid w:val="000D6228"/>
    <w:rsid w:val="000D62E6"/>
    <w:rsid w:val="000D631C"/>
    <w:rsid w:val="000D6D93"/>
    <w:rsid w:val="000D73FF"/>
    <w:rsid w:val="000D76FE"/>
    <w:rsid w:val="000D79A0"/>
    <w:rsid w:val="000D7D52"/>
    <w:rsid w:val="000E09FB"/>
    <w:rsid w:val="000E0BA4"/>
    <w:rsid w:val="000E1783"/>
    <w:rsid w:val="000E200A"/>
    <w:rsid w:val="000E37FA"/>
    <w:rsid w:val="000E3976"/>
    <w:rsid w:val="000E414E"/>
    <w:rsid w:val="000E44D9"/>
    <w:rsid w:val="000E4656"/>
    <w:rsid w:val="000E4816"/>
    <w:rsid w:val="000E5140"/>
    <w:rsid w:val="000E5BAF"/>
    <w:rsid w:val="000E5D73"/>
    <w:rsid w:val="000E5F08"/>
    <w:rsid w:val="000E6A8B"/>
    <w:rsid w:val="000E6C0D"/>
    <w:rsid w:val="000E6C82"/>
    <w:rsid w:val="000E7689"/>
    <w:rsid w:val="000E776B"/>
    <w:rsid w:val="000E7E6C"/>
    <w:rsid w:val="000E7E6F"/>
    <w:rsid w:val="000E7F9F"/>
    <w:rsid w:val="000F0AE0"/>
    <w:rsid w:val="000F1BE3"/>
    <w:rsid w:val="000F2034"/>
    <w:rsid w:val="000F225D"/>
    <w:rsid w:val="000F2822"/>
    <w:rsid w:val="000F348E"/>
    <w:rsid w:val="000F362A"/>
    <w:rsid w:val="000F3672"/>
    <w:rsid w:val="000F403A"/>
    <w:rsid w:val="000F52BD"/>
    <w:rsid w:val="000F587D"/>
    <w:rsid w:val="000F665D"/>
    <w:rsid w:val="000F6BB3"/>
    <w:rsid w:val="000F7C57"/>
    <w:rsid w:val="0010024B"/>
    <w:rsid w:val="00100F05"/>
    <w:rsid w:val="00101BA8"/>
    <w:rsid w:val="00101FE0"/>
    <w:rsid w:val="00102C26"/>
    <w:rsid w:val="0010303C"/>
    <w:rsid w:val="0010340B"/>
    <w:rsid w:val="00104671"/>
    <w:rsid w:val="00104E1A"/>
    <w:rsid w:val="00104E45"/>
    <w:rsid w:val="0010567F"/>
    <w:rsid w:val="00106255"/>
    <w:rsid w:val="0010756F"/>
    <w:rsid w:val="001078EA"/>
    <w:rsid w:val="001108ED"/>
    <w:rsid w:val="00110A3B"/>
    <w:rsid w:val="001126E8"/>
    <w:rsid w:val="00112C59"/>
    <w:rsid w:val="00112ED5"/>
    <w:rsid w:val="00113958"/>
    <w:rsid w:val="00114301"/>
    <w:rsid w:val="00115FCB"/>
    <w:rsid w:val="00115FD7"/>
    <w:rsid w:val="001163F1"/>
    <w:rsid w:val="00116E8B"/>
    <w:rsid w:val="00117212"/>
    <w:rsid w:val="00117217"/>
    <w:rsid w:val="0011770E"/>
    <w:rsid w:val="00117AC9"/>
    <w:rsid w:val="00117F9F"/>
    <w:rsid w:val="00120F79"/>
    <w:rsid w:val="00121BC6"/>
    <w:rsid w:val="00122848"/>
    <w:rsid w:val="001231A9"/>
    <w:rsid w:val="0012343A"/>
    <w:rsid w:val="00123BD6"/>
    <w:rsid w:val="00124266"/>
    <w:rsid w:val="00125B98"/>
    <w:rsid w:val="001265C8"/>
    <w:rsid w:val="001266DB"/>
    <w:rsid w:val="00126F9A"/>
    <w:rsid w:val="001275FF"/>
    <w:rsid w:val="00130FF3"/>
    <w:rsid w:val="00131866"/>
    <w:rsid w:val="0013199F"/>
    <w:rsid w:val="00131F31"/>
    <w:rsid w:val="00132047"/>
    <w:rsid w:val="001324DC"/>
    <w:rsid w:val="00132AB8"/>
    <w:rsid w:val="00133852"/>
    <w:rsid w:val="00134098"/>
    <w:rsid w:val="0013443B"/>
    <w:rsid w:val="00134454"/>
    <w:rsid w:val="001344DE"/>
    <w:rsid w:val="00135450"/>
    <w:rsid w:val="00135A4E"/>
    <w:rsid w:val="00135A77"/>
    <w:rsid w:val="0013687C"/>
    <w:rsid w:val="00136DDF"/>
    <w:rsid w:val="001404B1"/>
    <w:rsid w:val="001408A6"/>
    <w:rsid w:val="001415AE"/>
    <w:rsid w:val="00141B5F"/>
    <w:rsid w:val="00142AA0"/>
    <w:rsid w:val="00142C69"/>
    <w:rsid w:val="00142C9A"/>
    <w:rsid w:val="001435D7"/>
    <w:rsid w:val="0014419A"/>
    <w:rsid w:val="0014435E"/>
    <w:rsid w:val="00144FDF"/>
    <w:rsid w:val="00145AE1"/>
    <w:rsid w:val="00145E4E"/>
    <w:rsid w:val="00145E6E"/>
    <w:rsid w:val="001464EB"/>
    <w:rsid w:val="001468A5"/>
    <w:rsid w:val="001469BA"/>
    <w:rsid w:val="00147773"/>
    <w:rsid w:val="00151533"/>
    <w:rsid w:val="00151715"/>
    <w:rsid w:val="001518D2"/>
    <w:rsid w:val="00152448"/>
    <w:rsid w:val="0015347B"/>
    <w:rsid w:val="001535BD"/>
    <w:rsid w:val="00153627"/>
    <w:rsid w:val="00153669"/>
    <w:rsid w:val="0015374A"/>
    <w:rsid w:val="001538E0"/>
    <w:rsid w:val="00153BE1"/>
    <w:rsid w:val="001541AF"/>
    <w:rsid w:val="00154A3F"/>
    <w:rsid w:val="00154AF3"/>
    <w:rsid w:val="00154DF3"/>
    <w:rsid w:val="00154ECF"/>
    <w:rsid w:val="001551C0"/>
    <w:rsid w:val="00155832"/>
    <w:rsid w:val="00155F0B"/>
    <w:rsid w:val="00156B60"/>
    <w:rsid w:val="00156E39"/>
    <w:rsid w:val="00157C5B"/>
    <w:rsid w:val="001606C9"/>
    <w:rsid w:val="00160920"/>
    <w:rsid w:val="00160D3E"/>
    <w:rsid w:val="001615EC"/>
    <w:rsid w:val="00162A71"/>
    <w:rsid w:val="00163234"/>
    <w:rsid w:val="0016354F"/>
    <w:rsid w:val="00163A20"/>
    <w:rsid w:val="00164099"/>
    <w:rsid w:val="00164F13"/>
    <w:rsid w:val="001650EA"/>
    <w:rsid w:val="00165461"/>
    <w:rsid w:val="00165C39"/>
    <w:rsid w:val="0016673A"/>
    <w:rsid w:val="00166870"/>
    <w:rsid w:val="00166E3A"/>
    <w:rsid w:val="00166FD8"/>
    <w:rsid w:val="00167551"/>
    <w:rsid w:val="001676FD"/>
    <w:rsid w:val="00167AE8"/>
    <w:rsid w:val="0017074C"/>
    <w:rsid w:val="00171CCE"/>
    <w:rsid w:val="00171E4F"/>
    <w:rsid w:val="00172295"/>
    <w:rsid w:val="0017269A"/>
    <w:rsid w:val="00173085"/>
    <w:rsid w:val="00173720"/>
    <w:rsid w:val="00173AC7"/>
    <w:rsid w:val="001746BD"/>
    <w:rsid w:val="00174A85"/>
    <w:rsid w:val="00174C2C"/>
    <w:rsid w:val="0017576F"/>
    <w:rsid w:val="00175BFF"/>
    <w:rsid w:val="00175DC8"/>
    <w:rsid w:val="00177A92"/>
    <w:rsid w:val="00177AFC"/>
    <w:rsid w:val="00180002"/>
    <w:rsid w:val="0018059C"/>
    <w:rsid w:val="00180B7C"/>
    <w:rsid w:val="00180F66"/>
    <w:rsid w:val="001814EA"/>
    <w:rsid w:val="001816A5"/>
    <w:rsid w:val="001816AF"/>
    <w:rsid w:val="0018177E"/>
    <w:rsid w:val="00181C8E"/>
    <w:rsid w:val="0018229C"/>
    <w:rsid w:val="0018254E"/>
    <w:rsid w:val="001826CD"/>
    <w:rsid w:val="0018302D"/>
    <w:rsid w:val="001835D4"/>
    <w:rsid w:val="00184A62"/>
    <w:rsid w:val="00184ACD"/>
    <w:rsid w:val="00184BB6"/>
    <w:rsid w:val="00184FE6"/>
    <w:rsid w:val="001851E6"/>
    <w:rsid w:val="001860A5"/>
    <w:rsid w:val="001863BB"/>
    <w:rsid w:val="00186907"/>
    <w:rsid w:val="0018693D"/>
    <w:rsid w:val="00186E6B"/>
    <w:rsid w:val="00187017"/>
    <w:rsid w:val="001904AD"/>
    <w:rsid w:val="00190552"/>
    <w:rsid w:val="001908C5"/>
    <w:rsid w:val="0019147B"/>
    <w:rsid w:val="00192FDE"/>
    <w:rsid w:val="001937C6"/>
    <w:rsid w:val="001938CF"/>
    <w:rsid w:val="00193ABD"/>
    <w:rsid w:val="00193D60"/>
    <w:rsid w:val="00195155"/>
    <w:rsid w:val="00195247"/>
    <w:rsid w:val="0019561D"/>
    <w:rsid w:val="00195BFF"/>
    <w:rsid w:val="00195D52"/>
    <w:rsid w:val="00195E4A"/>
    <w:rsid w:val="00195F11"/>
    <w:rsid w:val="00196916"/>
    <w:rsid w:val="00197080"/>
    <w:rsid w:val="0019762F"/>
    <w:rsid w:val="00197684"/>
    <w:rsid w:val="0019773A"/>
    <w:rsid w:val="0019774A"/>
    <w:rsid w:val="001978BD"/>
    <w:rsid w:val="00197B27"/>
    <w:rsid w:val="00197BE8"/>
    <w:rsid w:val="00197EEB"/>
    <w:rsid w:val="001A0054"/>
    <w:rsid w:val="001A01A4"/>
    <w:rsid w:val="001A027C"/>
    <w:rsid w:val="001A0922"/>
    <w:rsid w:val="001A0DCA"/>
    <w:rsid w:val="001A1BF2"/>
    <w:rsid w:val="001A2C1B"/>
    <w:rsid w:val="001A3ED3"/>
    <w:rsid w:val="001A43E5"/>
    <w:rsid w:val="001A44A2"/>
    <w:rsid w:val="001A4F6D"/>
    <w:rsid w:val="001A5433"/>
    <w:rsid w:val="001A6122"/>
    <w:rsid w:val="001A61C8"/>
    <w:rsid w:val="001A6CF6"/>
    <w:rsid w:val="001A7F39"/>
    <w:rsid w:val="001B048D"/>
    <w:rsid w:val="001B0D19"/>
    <w:rsid w:val="001B0D38"/>
    <w:rsid w:val="001B157D"/>
    <w:rsid w:val="001B19EE"/>
    <w:rsid w:val="001B3F5F"/>
    <w:rsid w:val="001B47BA"/>
    <w:rsid w:val="001B52D0"/>
    <w:rsid w:val="001B59AB"/>
    <w:rsid w:val="001B6228"/>
    <w:rsid w:val="001B626B"/>
    <w:rsid w:val="001B646D"/>
    <w:rsid w:val="001B6C50"/>
    <w:rsid w:val="001B6E9D"/>
    <w:rsid w:val="001B702A"/>
    <w:rsid w:val="001B70F2"/>
    <w:rsid w:val="001C16DF"/>
    <w:rsid w:val="001C1BEA"/>
    <w:rsid w:val="001C1E58"/>
    <w:rsid w:val="001C243B"/>
    <w:rsid w:val="001C2778"/>
    <w:rsid w:val="001C3351"/>
    <w:rsid w:val="001C37D9"/>
    <w:rsid w:val="001C3867"/>
    <w:rsid w:val="001C4275"/>
    <w:rsid w:val="001C5DA5"/>
    <w:rsid w:val="001C5DF3"/>
    <w:rsid w:val="001C6086"/>
    <w:rsid w:val="001C64D1"/>
    <w:rsid w:val="001C6CDD"/>
    <w:rsid w:val="001C7297"/>
    <w:rsid w:val="001C74C6"/>
    <w:rsid w:val="001C7FC7"/>
    <w:rsid w:val="001D00DC"/>
    <w:rsid w:val="001D260D"/>
    <w:rsid w:val="001D2724"/>
    <w:rsid w:val="001D2A7C"/>
    <w:rsid w:val="001D2AD4"/>
    <w:rsid w:val="001D3146"/>
    <w:rsid w:val="001D34D6"/>
    <w:rsid w:val="001D429B"/>
    <w:rsid w:val="001D42D9"/>
    <w:rsid w:val="001D514A"/>
    <w:rsid w:val="001D57F1"/>
    <w:rsid w:val="001D59B5"/>
    <w:rsid w:val="001D5A00"/>
    <w:rsid w:val="001D6440"/>
    <w:rsid w:val="001D675C"/>
    <w:rsid w:val="001D78A6"/>
    <w:rsid w:val="001E070F"/>
    <w:rsid w:val="001E078E"/>
    <w:rsid w:val="001E19E8"/>
    <w:rsid w:val="001E2157"/>
    <w:rsid w:val="001E2863"/>
    <w:rsid w:val="001E2FEB"/>
    <w:rsid w:val="001E5A77"/>
    <w:rsid w:val="001E5CFA"/>
    <w:rsid w:val="001E668B"/>
    <w:rsid w:val="001E72CD"/>
    <w:rsid w:val="001E7D5D"/>
    <w:rsid w:val="001F1464"/>
    <w:rsid w:val="001F17CB"/>
    <w:rsid w:val="001F1977"/>
    <w:rsid w:val="001F1A8E"/>
    <w:rsid w:val="001F25D9"/>
    <w:rsid w:val="001F292D"/>
    <w:rsid w:val="001F2BA4"/>
    <w:rsid w:val="001F3ADB"/>
    <w:rsid w:val="001F3B04"/>
    <w:rsid w:val="001F47F8"/>
    <w:rsid w:val="001F4C14"/>
    <w:rsid w:val="001F58C8"/>
    <w:rsid w:val="001F5CCE"/>
    <w:rsid w:val="001F5FED"/>
    <w:rsid w:val="001F64B4"/>
    <w:rsid w:val="001F6EB2"/>
    <w:rsid w:val="001F6F16"/>
    <w:rsid w:val="001F71B1"/>
    <w:rsid w:val="001F742A"/>
    <w:rsid w:val="00200D96"/>
    <w:rsid w:val="00201300"/>
    <w:rsid w:val="00201B6C"/>
    <w:rsid w:val="00201F74"/>
    <w:rsid w:val="0020216A"/>
    <w:rsid w:val="00203143"/>
    <w:rsid w:val="002046B7"/>
    <w:rsid w:val="00204703"/>
    <w:rsid w:val="002051A3"/>
    <w:rsid w:val="002058C1"/>
    <w:rsid w:val="00205C8A"/>
    <w:rsid w:val="00206315"/>
    <w:rsid w:val="0020699D"/>
    <w:rsid w:val="00206AAC"/>
    <w:rsid w:val="00206C1B"/>
    <w:rsid w:val="00206ED7"/>
    <w:rsid w:val="00207353"/>
    <w:rsid w:val="00207723"/>
    <w:rsid w:val="00207985"/>
    <w:rsid w:val="00207BEF"/>
    <w:rsid w:val="00207D7B"/>
    <w:rsid w:val="00207ED8"/>
    <w:rsid w:val="00210561"/>
    <w:rsid w:val="00211570"/>
    <w:rsid w:val="0021205E"/>
    <w:rsid w:val="00212CF5"/>
    <w:rsid w:val="00213618"/>
    <w:rsid w:val="00213FC1"/>
    <w:rsid w:val="002144DB"/>
    <w:rsid w:val="00214911"/>
    <w:rsid w:val="00214F2A"/>
    <w:rsid w:val="00215362"/>
    <w:rsid w:val="00215C35"/>
    <w:rsid w:val="00217750"/>
    <w:rsid w:val="00220619"/>
    <w:rsid w:val="002212C7"/>
    <w:rsid w:val="00222161"/>
    <w:rsid w:val="002222A3"/>
    <w:rsid w:val="002228FC"/>
    <w:rsid w:val="00223360"/>
    <w:rsid w:val="00223374"/>
    <w:rsid w:val="00223DAA"/>
    <w:rsid w:val="00223EBF"/>
    <w:rsid w:val="00224C99"/>
    <w:rsid w:val="0022579A"/>
    <w:rsid w:val="002264E8"/>
    <w:rsid w:val="00226C3C"/>
    <w:rsid w:val="002273CE"/>
    <w:rsid w:val="0022746A"/>
    <w:rsid w:val="002277C4"/>
    <w:rsid w:val="00227CC8"/>
    <w:rsid w:val="00227D6B"/>
    <w:rsid w:val="0023296F"/>
    <w:rsid w:val="00234060"/>
    <w:rsid w:val="0023407E"/>
    <w:rsid w:val="00234343"/>
    <w:rsid w:val="002344F1"/>
    <w:rsid w:val="002346F8"/>
    <w:rsid w:val="00234A9F"/>
    <w:rsid w:val="00234F0E"/>
    <w:rsid w:val="00234F89"/>
    <w:rsid w:val="00235E0A"/>
    <w:rsid w:val="00236400"/>
    <w:rsid w:val="002368AA"/>
    <w:rsid w:val="00236975"/>
    <w:rsid w:val="00236AE6"/>
    <w:rsid w:val="00236D39"/>
    <w:rsid w:val="00236DB9"/>
    <w:rsid w:val="00240560"/>
    <w:rsid w:val="00240FD3"/>
    <w:rsid w:val="00241CD3"/>
    <w:rsid w:val="002426D8"/>
    <w:rsid w:val="00242DE0"/>
    <w:rsid w:val="00242F2B"/>
    <w:rsid w:val="00243D9D"/>
    <w:rsid w:val="002447E5"/>
    <w:rsid w:val="002447F5"/>
    <w:rsid w:val="00244F07"/>
    <w:rsid w:val="00244F15"/>
    <w:rsid w:val="002451F4"/>
    <w:rsid w:val="002467ED"/>
    <w:rsid w:val="00246C4B"/>
    <w:rsid w:val="00246E7E"/>
    <w:rsid w:val="00246E98"/>
    <w:rsid w:val="002472C1"/>
    <w:rsid w:val="002474F7"/>
    <w:rsid w:val="0024795F"/>
    <w:rsid w:val="00250B74"/>
    <w:rsid w:val="00250C14"/>
    <w:rsid w:val="00251081"/>
    <w:rsid w:val="002511CB"/>
    <w:rsid w:val="002512DE"/>
    <w:rsid w:val="00251961"/>
    <w:rsid w:val="00251E03"/>
    <w:rsid w:val="00252457"/>
    <w:rsid w:val="0025291C"/>
    <w:rsid w:val="0025442B"/>
    <w:rsid w:val="00255211"/>
    <w:rsid w:val="00255550"/>
    <w:rsid w:val="00255596"/>
    <w:rsid w:val="00257CE6"/>
    <w:rsid w:val="00260B6B"/>
    <w:rsid w:val="00260F86"/>
    <w:rsid w:val="00261550"/>
    <w:rsid w:val="002619E1"/>
    <w:rsid w:val="00261AF2"/>
    <w:rsid w:val="00262173"/>
    <w:rsid w:val="00262D59"/>
    <w:rsid w:val="00262FAD"/>
    <w:rsid w:val="002630CE"/>
    <w:rsid w:val="002643C3"/>
    <w:rsid w:val="002643CA"/>
    <w:rsid w:val="0026474F"/>
    <w:rsid w:val="00264816"/>
    <w:rsid w:val="00264B07"/>
    <w:rsid w:val="00264BDE"/>
    <w:rsid w:val="00265894"/>
    <w:rsid w:val="0026594B"/>
    <w:rsid w:val="00266149"/>
    <w:rsid w:val="0026622D"/>
    <w:rsid w:val="00266F87"/>
    <w:rsid w:val="002704C0"/>
    <w:rsid w:val="00270C24"/>
    <w:rsid w:val="00270F3F"/>
    <w:rsid w:val="002720CD"/>
    <w:rsid w:val="00273D00"/>
    <w:rsid w:val="00273F0A"/>
    <w:rsid w:val="00274C01"/>
    <w:rsid w:val="00274FD2"/>
    <w:rsid w:val="00275D37"/>
    <w:rsid w:val="002761D8"/>
    <w:rsid w:val="002762E3"/>
    <w:rsid w:val="00276B32"/>
    <w:rsid w:val="002770A7"/>
    <w:rsid w:val="0027748B"/>
    <w:rsid w:val="00277635"/>
    <w:rsid w:val="00277688"/>
    <w:rsid w:val="00280272"/>
    <w:rsid w:val="002816E7"/>
    <w:rsid w:val="00281FD5"/>
    <w:rsid w:val="00282A79"/>
    <w:rsid w:val="00283414"/>
    <w:rsid w:val="002845DD"/>
    <w:rsid w:val="00284892"/>
    <w:rsid w:val="00284E57"/>
    <w:rsid w:val="002857D1"/>
    <w:rsid w:val="00285A10"/>
    <w:rsid w:val="002866F4"/>
    <w:rsid w:val="00286FBE"/>
    <w:rsid w:val="002907D4"/>
    <w:rsid w:val="0029189E"/>
    <w:rsid w:val="00291AB8"/>
    <w:rsid w:val="002925F1"/>
    <w:rsid w:val="00292A9B"/>
    <w:rsid w:val="00292ADB"/>
    <w:rsid w:val="00292FE1"/>
    <w:rsid w:val="002936D5"/>
    <w:rsid w:val="0029478A"/>
    <w:rsid w:val="0029480F"/>
    <w:rsid w:val="0029492D"/>
    <w:rsid w:val="00294A09"/>
    <w:rsid w:val="00294B2C"/>
    <w:rsid w:val="00294F69"/>
    <w:rsid w:val="00295CA8"/>
    <w:rsid w:val="00295FBB"/>
    <w:rsid w:val="00296F83"/>
    <w:rsid w:val="002A17CE"/>
    <w:rsid w:val="002A181D"/>
    <w:rsid w:val="002A1916"/>
    <w:rsid w:val="002A254E"/>
    <w:rsid w:val="002A2DA5"/>
    <w:rsid w:val="002A3D46"/>
    <w:rsid w:val="002A42DD"/>
    <w:rsid w:val="002A492B"/>
    <w:rsid w:val="002A501F"/>
    <w:rsid w:val="002A5482"/>
    <w:rsid w:val="002A5796"/>
    <w:rsid w:val="002A5865"/>
    <w:rsid w:val="002A5A13"/>
    <w:rsid w:val="002A5F84"/>
    <w:rsid w:val="002A6095"/>
    <w:rsid w:val="002A675B"/>
    <w:rsid w:val="002A6B68"/>
    <w:rsid w:val="002A7169"/>
    <w:rsid w:val="002A7576"/>
    <w:rsid w:val="002B01E9"/>
    <w:rsid w:val="002B035F"/>
    <w:rsid w:val="002B0B2C"/>
    <w:rsid w:val="002B0DF9"/>
    <w:rsid w:val="002B0F71"/>
    <w:rsid w:val="002B1122"/>
    <w:rsid w:val="002B2464"/>
    <w:rsid w:val="002B253E"/>
    <w:rsid w:val="002B311E"/>
    <w:rsid w:val="002B3CEA"/>
    <w:rsid w:val="002B427F"/>
    <w:rsid w:val="002B45FD"/>
    <w:rsid w:val="002B50C7"/>
    <w:rsid w:val="002B5D04"/>
    <w:rsid w:val="002B5D3C"/>
    <w:rsid w:val="002B5F08"/>
    <w:rsid w:val="002B5F1C"/>
    <w:rsid w:val="002B620C"/>
    <w:rsid w:val="002B6FC3"/>
    <w:rsid w:val="002B7E79"/>
    <w:rsid w:val="002C02C6"/>
    <w:rsid w:val="002C0BFF"/>
    <w:rsid w:val="002C0E8F"/>
    <w:rsid w:val="002C0FF2"/>
    <w:rsid w:val="002C1481"/>
    <w:rsid w:val="002C1ADD"/>
    <w:rsid w:val="002C1CCD"/>
    <w:rsid w:val="002C2213"/>
    <w:rsid w:val="002C22B7"/>
    <w:rsid w:val="002C2CA6"/>
    <w:rsid w:val="002C3B92"/>
    <w:rsid w:val="002C3C3E"/>
    <w:rsid w:val="002C4246"/>
    <w:rsid w:val="002C431A"/>
    <w:rsid w:val="002C44B7"/>
    <w:rsid w:val="002C48D3"/>
    <w:rsid w:val="002C4E6E"/>
    <w:rsid w:val="002C595B"/>
    <w:rsid w:val="002C5DE6"/>
    <w:rsid w:val="002C62E2"/>
    <w:rsid w:val="002C70BB"/>
    <w:rsid w:val="002C72DA"/>
    <w:rsid w:val="002D03B3"/>
    <w:rsid w:val="002D0BE9"/>
    <w:rsid w:val="002D0C6A"/>
    <w:rsid w:val="002D16B0"/>
    <w:rsid w:val="002D18B7"/>
    <w:rsid w:val="002D1E71"/>
    <w:rsid w:val="002D1EE9"/>
    <w:rsid w:val="002D2106"/>
    <w:rsid w:val="002D28B8"/>
    <w:rsid w:val="002D290A"/>
    <w:rsid w:val="002D3507"/>
    <w:rsid w:val="002D3B81"/>
    <w:rsid w:val="002D403B"/>
    <w:rsid w:val="002D4B97"/>
    <w:rsid w:val="002D4C7F"/>
    <w:rsid w:val="002D61E8"/>
    <w:rsid w:val="002D6888"/>
    <w:rsid w:val="002D7AA5"/>
    <w:rsid w:val="002D7DA7"/>
    <w:rsid w:val="002E0796"/>
    <w:rsid w:val="002E1A59"/>
    <w:rsid w:val="002E421E"/>
    <w:rsid w:val="002E4916"/>
    <w:rsid w:val="002E4BD0"/>
    <w:rsid w:val="002E4CAF"/>
    <w:rsid w:val="002E6241"/>
    <w:rsid w:val="002E65F7"/>
    <w:rsid w:val="002E6658"/>
    <w:rsid w:val="002E6B4B"/>
    <w:rsid w:val="002E7A41"/>
    <w:rsid w:val="002E7DA6"/>
    <w:rsid w:val="002F0630"/>
    <w:rsid w:val="002F0A7A"/>
    <w:rsid w:val="002F0C53"/>
    <w:rsid w:val="002F11CF"/>
    <w:rsid w:val="002F2B21"/>
    <w:rsid w:val="002F336B"/>
    <w:rsid w:val="002F3B44"/>
    <w:rsid w:val="002F4AEE"/>
    <w:rsid w:val="002F5256"/>
    <w:rsid w:val="002F5641"/>
    <w:rsid w:val="002F5997"/>
    <w:rsid w:val="002F5E82"/>
    <w:rsid w:val="002F6038"/>
    <w:rsid w:val="002F6395"/>
    <w:rsid w:val="002F6D7E"/>
    <w:rsid w:val="002F6E8C"/>
    <w:rsid w:val="002F719A"/>
    <w:rsid w:val="002F76AC"/>
    <w:rsid w:val="002F79B9"/>
    <w:rsid w:val="002F7F34"/>
    <w:rsid w:val="0030061D"/>
    <w:rsid w:val="0030064A"/>
    <w:rsid w:val="0030100A"/>
    <w:rsid w:val="0030150B"/>
    <w:rsid w:val="003016FA"/>
    <w:rsid w:val="003018E0"/>
    <w:rsid w:val="003024EF"/>
    <w:rsid w:val="0030260F"/>
    <w:rsid w:val="0030296B"/>
    <w:rsid w:val="00302C48"/>
    <w:rsid w:val="00302CDE"/>
    <w:rsid w:val="00302F6C"/>
    <w:rsid w:val="0030307A"/>
    <w:rsid w:val="003034FB"/>
    <w:rsid w:val="0030424A"/>
    <w:rsid w:val="003045A7"/>
    <w:rsid w:val="003047A0"/>
    <w:rsid w:val="00305350"/>
    <w:rsid w:val="00305670"/>
    <w:rsid w:val="0030568C"/>
    <w:rsid w:val="00305955"/>
    <w:rsid w:val="00305C38"/>
    <w:rsid w:val="00307F77"/>
    <w:rsid w:val="00310AB6"/>
    <w:rsid w:val="003110E0"/>
    <w:rsid w:val="0031120C"/>
    <w:rsid w:val="003117A0"/>
    <w:rsid w:val="003132A3"/>
    <w:rsid w:val="0031339C"/>
    <w:rsid w:val="00313CF8"/>
    <w:rsid w:val="00314233"/>
    <w:rsid w:val="003147A2"/>
    <w:rsid w:val="00314F4D"/>
    <w:rsid w:val="00315EA9"/>
    <w:rsid w:val="00316190"/>
    <w:rsid w:val="00316576"/>
    <w:rsid w:val="003170FB"/>
    <w:rsid w:val="003210FF"/>
    <w:rsid w:val="00321722"/>
    <w:rsid w:val="003217FB"/>
    <w:rsid w:val="003218B5"/>
    <w:rsid w:val="00322C8D"/>
    <w:rsid w:val="00322FEB"/>
    <w:rsid w:val="0032349B"/>
    <w:rsid w:val="00323785"/>
    <w:rsid w:val="00323B68"/>
    <w:rsid w:val="00324158"/>
    <w:rsid w:val="00324616"/>
    <w:rsid w:val="003246DC"/>
    <w:rsid w:val="00325372"/>
    <w:rsid w:val="00326EB2"/>
    <w:rsid w:val="00326ED2"/>
    <w:rsid w:val="00327174"/>
    <w:rsid w:val="003275C7"/>
    <w:rsid w:val="0032790F"/>
    <w:rsid w:val="0033055A"/>
    <w:rsid w:val="003307ED"/>
    <w:rsid w:val="00330E6B"/>
    <w:rsid w:val="00331192"/>
    <w:rsid w:val="00331B93"/>
    <w:rsid w:val="00331F12"/>
    <w:rsid w:val="00332175"/>
    <w:rsid w:val="00332717"/>
    <w:rsid w:val="00332B41"/>
    <w:rsid w:val="00333253"/>
    <w:rsid w:val="00333BA3"/>
    <w:rsid w:val="00333CD5"/>
    <w:rsid w:val="00333FA8"/>
    <w:rsid w:val="00335338"/>
    <w:rsid w:val="003359AE"/>
    <w:rsid w:val="00335DEC"/>
    <w:rsid w:val="00335FCB"/>
    <w:rsid w:val="003366AC"/>
    <w:rsid w:val="00336F16"/>
    <w:rsid w:val="00337621"/>
    <w:rsid w:val="0034107B"/>
    <w:rsid w:val="0034136F"/>
    <w:rsid w:val="00342C7E"/>
    <w:rsid w:val="00342E13"/>
    <w:rsid w:val="00342EDD"/>
    <w:rsid w:val="0034332E"/>
    <w:rsid w:val="003467FC"/>
    <w:rsid w:val="00350358"/>
    <w:rsid w:val="003506C2"/>
    <w:rsid w:val="00350769"/>
    <w:rsid w:val="00350978"/>
    <w:rsid w:val="00350DF1"/>
    <w:rsid w:val="00351395"/>
    <w:rsid w:val="0035173F"/>
    <w:rsid w:val="00351C86"/>
    <w:rsid w:val="00352221"/>
    <w:rsid w:val="00352878"/>
    <w:rsid w:val="003529E5"/>
    <w:rsid w:val="00352FD6"/>
    <w:rsid w:val="003530E0"/>
    <w:rsid w:val="00353158"/>
    <w:rsid w:val="003531AD"/>
    <w:rsid w:val="00353D1D"/>
    <w:rsid w:val="00353D38"/>
    <w:rsid w:val="00354574"/>
    <w:rsid w:val="00355638"/>
    <w:rsid w:val="00355970"/>
    <w:rsid w:val="00356006"/>
    <w:rsid w:val="00356139"/>
    <w:rsid w:val="00356AEF"/>
    <w:rsid w:val="00357EF3"/>
    <w:rsid w:val="003606ED"/>
    <w:rsid w:val="0036094D"/>
    <w:rsid w:val="003609ED"/>
    <w:rsid w:val="0036256B"/>
    <w:rsid w:val="00362D2F"/>
    <w:rsid w:val="00363263"/>
    <w:rsid w:val="00363548"/>
    <w:rsid w:val="00363FDB"/>
    <w:rsid w:val="0036467E"/>
    <w:rsid w:val="00364AB9"/>
    <w:rsid w:val="00364F3C"/>
    <w:rsid w:val="00365FCA"/>
    <w:rsid w:val="00366778"/>
    <w:rsid w:val="0036689E"/>
    <w:rsid w:val="00366991"/>
    <w:rsid w:val="00366C4A"/>
    <w:rsid w:val="00367D53"/>
    <w:rsid w:val="00367FEF"/>
    <w:rsid w:val="003701DE"/>
    <w:rsid w:val="003703EC"/>
    <w:rsid w:val="00370A16"/>
    <w:rsid w:val="0037103D"/>
    <w:rsid w:val="00371101"/>
    <w:rsid w:val="00371E77"/>
    <w:rsid w:val="003720A3"/>
    <w:rsid w:val="00372D91"/>
    <w:rsid w:val="00373BCF"/>
    <w:rsid w:val="0037494D"/>
    <w:rsid w:val="00375D51"/>
    <w:rsid w:val="00376B94"/>
    <w:rsid w:val="00376CC9"/>
    <w:rsid w:val="00376FCD"/>
    <w:rsid w:val="00377C4D"/>
    <w:rsid w:val="00377EDC"/>
    <w:rsid w:val="00380FDC"/>
    <w:rsid w:val="003811CA"/>
    <w:rsid w:val="0038142C"/>
    <w:rsid w:val="0038322B"/>
    <w:rsid w:val="00383585"/>
    <w:rsid w:val="003840E3"/>
    <w:rsid w:val="0038519E"/>
    <w:rsid w:val="00385443"/>
    <w:rsid w:val="003861EB"/>
    <w:rsid w:val="003862EC"/>
    <w:rsid w:val="003866C5"/>
    <w:rsid w:val="003867F4"/>
    <w:rsid w:val="003868BD"/>
    <w:rsid w:val="00386C41"/>
    <w:rsid w:val="0038704D"/>
    <w:rsid w:val="00387D26"/>
    <w:rsid w:val="00390875"/>
    <w:rsid w:val="00390F96"/>
    <w:rsid w:val="00391CE0"/>
    <w:rsid w:val="003922A9"/>
    <w:rsid w:val="00392391"/>
    <w:rsid w:val="00392E10"/>
    <w:rsid w:val="0039309B"/>
    <w:rsid w:val="003931E5"/>
    <w:rsid w:val="0039334C"/>
    <w:rsid w:val="00393855"/>
    <w:rsid w:val="003938B7"/>
    <w:rsid w:val="00394339"/>
    <w:rsid w:val="00394A71"/>
    <w:rsid w:val="00394B88"/>
    <w:rsid w:val="00395104"/>
    <w:rsid w:val="003952D3"/>
    <w:rsid w:val="003955CF"/>
    <w:rsid w:val="00395CDB"/>
    <w:rsid w:val="00396159"/>
    <w:rsid w:val="003966D4"/>
    <w:rsid w:val="003976D7"/>
    <w:rsid w:val="00397EFB"/>
    <w:rsid w:val="003A01D1"/>
    <w:rsid w:val="003A055B"/>
    <w:rsid w:val="003A15BA"/>
    <w:rsid w:val="003A1BAB"/>
    <w:rsid w:val="003A2611"/>
    <w:rsid w:val="003A28F1"/>
    <w:rsid w:val="003A2DBF"/>
    <w:rsid w:val="003A3109"/>
    <w:rsid w:val="003A3E24"/>
    <w:rsid w:val="003A401D"/>
    <w:rsid w:val="003A45E7"/>
    <w:rsid w:val="003A5B8F"/>
    <w:rsid w:val="003A60EC"/>
    <w:rsid w:val="003A6105"/>
    <w:rsid w:val="003A6387"/>
    <w:rsid w:val="003A6396"/>
    <w:rsid w:val="003A6CC7"/>
    <w:rsid w:val="003B04AC"/>
    <w:rsid w:val="003B0738"/>
    <w:rsid w:val="003B07F0"/>
    <w:rsid w:val="003B141E"/>
    <w:rsid w:val="003B1C35"/>
    <w:rsid w:val="003B3C56"/>
    <w:rsid w:val="003B456E"/>
    <w:rsid w:val="003B4737"/>
    <w:rsid w:val="003B4FBF"/>
    <w:rsid w:val="003B54FC"/>
    <w:rsid w:val="003B5835"/>
    <w:rsid w:val="003B5FB8"/>
    <w:rsid w:val="003B74BA"/>
    <w:rsid w:val="003C11B1"/>
    <w:rsid w:val="003C13AA"/>
    <w:rsid w:val="003C2216"/>
    <w:rsid w:val="003C234E"/>
    <w:rsid w:val="003C2758"/>
    <w:rsid w:val="003C2761"/>
    <w:rsid w:val="003C27AF"/>
    <w:rsid w:val="003C3A37"/>
    <w:rsid w:val="003C3CB9"/>
    <w:rsid w:val="003C5C88"/>
    <w:rsid w:val="003C6206"/>
    <w:rsid w:val="003C6215"/>
    <w:rsid w:val="003C6443"/>
    <w:rsid w:val="003C6E86"/>
    <w:rsid w:val="003C7AC4"/>
    <w:rsid w:val="003C7E38"/>
    <w:rsid w:val="003C7E68"/>
    <w:rsid w:val="003D003B"/>
    <w:rsid w:val="003D00A5"/>
    <w:rsid w:val="003D01AA"/>
    <w:rsid w:val="003D06C8"/>
    <w:rsid w:val="003D074E"/>
    <w:rsid w:val="003D085D"/>
    <w:rsid w:val="003D0B84"/>
    <w:rsid w:val="003D186C"/>
    <w:rsid w:val="003D2618"/>
    <w:rsid w:val="003D3661"/>
    <w:rsid w:val="003D392D"/>
    <w:rsid w:val="003D3E2C"/>
    <w:rsid w:val="003D43CF"/>
    <w:rsid w:val="003D49C4"/>
    <w:rsid w:val="003D56DA"/>
    <w:rsid w:val="003D68E3"/>
    <w:rsid w:val="003D6F10"/>
    <w:rsid w:val="003E0930"/>
    <w:rsid w:val="003E0FA8"/>
    <w:rsid w:val="003E1852"/>
    <w:rsid w:val="003E1C88"/>
    <w:rsid w:val="003E1F68"/>
    <w:rsid w:val="003E23FE"/>
    <w:rsid w:val="003E329E"/>
    <w:rsid w:val="003E473C"/>
    <w:rsid w:val="003E55C1"/>
    <w:rsid w:val="003E61BF"/>
    <w:rsid w:val="003E6C37"/>
    <w:rsid w:val="003E7000"/>
    <w:rsid w:val="003E7A8A"/>
    <w:rsid w:val="003E7E92"/>
    <w:rsid w:val="003F15D7"/>
    <w:rsid w:val="003F2D21"/>
    <w:rsid w:val="003F2F62"/>
    <w:rsid w:val="003F3CC2"/>
    <w:rsid w:val="003F43EA"/>
    <w:rsid w:val="003F4CA5"/>
    <w:rsid w:val="003F517D"/>
    <w:rsid w:val="003F6125"/>
    <w:rsid w:val="003F6768"/>
    <w:rsid w:val="003F6871"/>
    <w:rsid w:val="003F6C3D"/>
    <w:rsid w:val="003F6CEF"/>
    <w:rsid w:val="003F6E92"/>
    <w:rsid w:val="003F74EA"/>
    <w:rsid w:val="003F7BEF"/>
    <w:rsid w:val="003F7F66"/>
    <w:rsid w:val="00400033"/>
    <w:rsid w:val="004006E1"/>
    <w:rsid w:val="00400A91"/>
    <w:rsid w:val="00400BCA"/>
    <w:rsid w:val="00400CCB"/>
    <w:rsid w:val="004015C6"/>
    <w:rsid w:val="00401D3C"/>
    <w:rsid w:val="0040291C"/>
    <w:rsid w:val="0040294D"/>
    <w:rsid w:val="0040398B"/>
    <w:rsid w:val="00403C93"/>
    <w:rsid w:val="00405242"/>
    <w:rsid w:val="00405505"/>
    <w:rsid w:val="00405883"/>
    <w:rsid w:val="004060F0"/>
    <w:rsid w:val="00406239"/>
    <w:rsid w:val="00406278"/>
    <w:rsid w:val="004069E3"/>
    <w:rsid w:val="00406E1B"/>
    <w:rsid w:val="00406F00"/>
    <w:rsid w:val="004104D8"/>
    <w:rsid w:val="00411349"/>
    <w:rsid w:val="00411658"/>
    <w:rsid w:val="00411F65"/>
    <w:rsid w:val="00412A8A"/>
    <w:rsid w:val="00412B6E"/>
    <w:rsid w:val="00412E80"/>
    <w:rsid w:val="00412EA3"/>
    <w:rsid w:val="00413419"/>
    <w:rsid w:val="0041394E"/>
    <w:rsid w:val="004139A1"/>
    <w:rsid w:val="00415379"/>
    <w:rsid w:val="00415A7F"/>
    <w:rsid w:val="00415ECC"/>
    <w:rsid w:val="00415F8C"/>
    <w:rsid w:val="004166C8"/>
    <w:rsid w:val="00416EB3"/>
    <w:rsid w:val="004172DF"/>
    <w:rsid w:val="00420AF8"/>
    <w:rsid w:val="004224C8"/>
    <w:rsid w:val="00422935"/>
    <w:rsid w:val="0042352F"/>
    <w:rsid w:val="00423AB5"/>
    <w:rsid w:val="00423F5A"/>
    <w:rsid w:val="00424134"/>
    <w:rsid w:val="00424508"/>
    <w:rsid w:val="00424A2F"/>
    <w:rsid w:val="00424B14"/>
    <w:rsid w:val="0042510C"/>
    <w:rsid w:val="00425A91"/>
    <w:rsid w:val="00425B2D"/>
    <w:rsid w:val="00425EB7"/>
    <w:rsid w:val="00426063"/>
    <w:rsid w:val="004267AB"/>
    <w:rsid w:val="004300CA"/>
    <w:rsid w:val="00430AD9"/>
    <w:rsid w:val="00430DD2"/>
    <w:rsid w:val="004320C7"/>
    <w:rsid w:val="00432475"/>
    <w:rsid w:val="00433949"/>
    <w:rsid w:val="004339AD"/>
    <w:rsid w:val="00433FF4"/>
    <w:rsid w:val="00435A26"/>
    <w:rsid w:val="00437574"/>
    <w:rsid w:val="00437E0F"/>
    <w:rsid w:val="00440E1D"/>
    <w:rsid w:val="00441226"/>
    <w:rsid w:val="0044175A"/>
    <w:rsid w:val="00441906"/>
    <w:rsid w:val="00441E43"/>
    <w:rsid w:val="00442762"/>
    <w:rsid w:val="00442B35"/>
    <w:rsid w:val="00442B5D"/>
    <w:rsid w:val="00443A8D"/>
    <w:rsid w:val="0044440F"/>
    <w:rsid w:val="004445DB"/>
    <w:rsid w:val="004446C0"/>
    <w:rsid w:val="0044716F"/>
    <w:rsid w:val="00447B9A"/>
    <w:rsid w:val="00447BDE"/>
    <w:rsid w:val="004501B2"/>
    <w:rsid w:val="00450473"/>
    <w:rsid w:val="00450D3C"/>
    <w:rsid w:val="004516D5"/>
    <w:rsid w:val="00451E99"/>
    <w:rsid w:val="00452085"/>
    <w:rsid w:val="0045231D"/>
    <w:rsid w:val="00452C4D"/>
    <w:rsid w:val="00452EBD"/>
    <w:rsid w:val="004539CD"/>
    <w:rsid w:val="0045455B"/>
    <w:rsid w:val="004555C0"/>
    <w:rsid w:val="00456ECD"/>
    <w:rsid w:val="00456EFC"/>
    <w:rsid w:val="00457F2E"/>
    <w:rsid w:val="00461D4B"/>
    <w:rsid w:val="00462B7A"/>
    <w:rsid w:val="00464843"/>
    <w:rsid w:val="004649BC"/>
    <w:rsid w:val="00465154"/>
    <w:rsid w:val="004663C3"/>
    <w:rsid w:val="00466E16"/>
    <w:rsid w:val="00466E99"/>
    <w:rsid w:val="00470005"/>
    <w:rsid w:val="00470443"/>
    <w:rsid w:val="00470B31"/>
    <w:rsid w:val="00470BD4"/>
    <w:rsid w:val="0047146C"/>
    <w:rsid w:val="00471BBD"/>
    <w:rsid w:val="00472EA3"/>
    <w:rsid w:val="00473172"/>
    <w:rsid w:val="004736A0"/>
    <w:rsid w:val="00474E14"/>
    <w:rsid w:val="004755D1"/>
    <w:rsid w:val="0048011B"/>
    <w:rsid w:val="00480849"/>
    <w:rsid w:val="00480959"/>
    <w:rsid w:val="00480EAC"/>
    <w:rsid w:val="004812C8"/>
    <w:rsid w:val="00481306"/>
    <w:rsid w:val="0048154B"/>
    <w:rsid w:val="0048194E"/>
    <w:rsid w:val="00482F7F"/>
    <w:rsid w:val="004838BD"/>
    <w:rsid w:val="0048391B"/>
    <w:rsid w:val="00483CDC"/>
    <w:rsid w:val="004842CF"/>
    <w:rsid w:val="0048435F"/>
    <w:rsid w:val="00484C73"/>
    <w:rsid w:val="00486162"/>
    <w:rsid w:val="004862EC"/>
    <w:rsid w:val="0048691C"/>
    <w:rsid w:val="00486A5B"/>
    <w:rsid w:val="00490BC9"/>
    <w:rsid w:val="00490DE3"/>
    <w:rsid w:val="004913CD"/>
    <w:rsid w:val="0049144E"/>
    <w:rsid w:val="004919B4"/>
    <w:rsid w:val="00492A39"/>
    <w:rsid w:val="00492E2E"/>
    <w:rsid w:val="004937B4"/>
    <w:rsid w:val="00493F10"/>
    <w:rsid w:val="00494802"/>
    <w:rsid w:val="00494FE3"/>
    <w:rsid w:val="004951C6"/>
    <w:rsid w:val="0049563B"/>
    <w:rsid w:val="00495921"/>
    <w:rsid w:val="00495DDB"/>
    <w:rsid w:val="00496FEB"/>
    <w:rsid w:val="0049711C"/>
    <w:rsid w:val="004A0362"/>
    <w:rsid w:val="004A0B2C"/>
    <w:rsid w:val="004A0C38"/>
    <w:rsid w:val="004A1810"/>
    <w:rsid w:val="004A2BE8"/>
    <w:rsid w:val="004A2DB8"/>
    <w:rsid w:val="004A3BFF"/>
    <w:rsid w:val="004A4341"/>
    <w:rsid w:val="004A4E2C"/>
    <w:rsid w:val="004A6C99"/>
    <w:rsid w:val="004A70EE"/>
    <w:rsid w:val="004A73DC"/>
    <w:rsid w:val="004A7DB0"/>
    <w:rsid w:val="004B0AD4"/>
    <w:rsid w:val="004B1327"/>
    <w:rsid w:val="004B1DE5"/>
    <w:rsid w:val="004B239C"/>
    <w:rsid w:val="004B2E4A"/>
    <w:rsid w:val="004B40C4"/>
    <w:rsid w:val="004B4303"/>
    <w:rsid w:val="004B4D2B"/>
    <w:rsid w:val="004B51FE"/>
    <w:rsid w:val="004B7161"/>
    <w:rsid w:val="004B7206"/>
    <w:rsid w:val="004B7A92"/>
    <w:rsid w:val="004C0513"/>
    <w:rsid w:val="004C19A4"/>
    <w:rsid w:val="004C2055"/>
    <w:rsid w:val="004C3039"/>
    <w:rsid w:val="004C43C3"/>
    <w:rsid w:val="004C62ED"/>
    <w:rsid w:val="004C68F7"/>
    <w:rsid w:val="004C6E4C"/>
    <w:rsid w:val="004C7196"/>
    <w:rsid w:val="004C7C19"/>
    <w:rsid w:val="004D109A"/>
    <w:rsid w:val="004D112F"/>
    <w:rsid w:val="004D2AF4"/>
    <w:rsid w:val="004D32F2"/>
    <w:rsid w:val="004D3671"/>
    <w:rsid w:val="004D3B46"/>
    <w:rsid w:val="004D440D"/>
    <w:rsid w:val="004D49C8"/>
    <w:rsid w:val="004D4E52"/>
    <w:rsid w:val="004D4E88"/>
    <w:rsid w:val="004D5381"/>
    <w:rsid w:val="004D5E23"/>
    <w:rsid w:val="004D6236"/>
    <w:rsid w:val="004D7389"/>
    <w:rsid w:val="004D77AC"/>
    <w:rsid w:val="004D7E98"/>
    <w:rsid w:val="004E06ED"/>
    <w:rsid w:val="004E0ACC"/>
    <w:rsid w:val="004E0B38"/>
    <w:rsid w:val="004E170A"/>
    <w:rsid w:val="004E263F"/>
    <w:rsid w:val="004E2D55"/>
    <w:rsid w:val="004E379B"/>
    <w:rsid w:val="004E3F1B"/>
    <w:rsid w:val="004E43ED"/>
    <w:rsid w:val="004E458E"/>
    <w:rsid w:val="004E4E11"/>
    <w:rsid w:val="004E64F9"/>
    <w:rsid w:val="004E73DA"/>
    <w:rsid w:val="004E75DA"/>
    <w:rsid w:val="004E7A2F"/>
    <w:rsid w:val="004E7D4E"/>
    <w:rsid w:val="004E7FA7"/>
    <w:rsid w:val="004F0713"/>
    <w:rsid w:val="004F0DBC"/>
    <w:rsid w:val="004F10EB"/>
    <w:rsid w:val="004F1A33"/>
    <w:rsid w:val="004F2F06"/>
    <w:rsid w:val="004F33E0"/>
    <w:rsid w:val="004F37E3"/>
    <w:rsid w:val="004F53BF"/>
    <w:rsid w:val="004F5F20"/>
    <w:rsid w:val="004F6153"/>
    <w:rsid w:val="004F6AAD"/>
    <w:rsid w:val="004F6D10"/>
    <w:rsid w:val="004F762D"/>
    <w:rsid w:val="005006B4"/>
    <w:rsid w:val="005009B2"/>
    <w:rsid w:val="005016B1"/>
    <w:rsid w:val="005016BF"/>
    <w:rsid w:val="005019FB"/>
    <w:rsid w:val="0050207C"/>
    <w:rsid w:val="005023B6"/>
    <w:rsid w:val="00503089"/>
    <w:rsid w:val="00503B8F"/>
    <w:rsid w:val="00503DB9"/>
    <w:rsid w:val="005048CF"/>
    <w:rsid w:val="00504DED"/>
    <w:rsid w:val="00505FAF"/>
    <w:rsid w:val="00506024"/>
    <w:rsid w:val="00506163"/>
    <w:rsid w:val="005064FA"/>
    <w:rsid w:val="00506F3B"/>
    <w:rsid w:val="005070E5"/>
    <w:rsid w:val="00507371"/>
    <w:rsid w:val="005079D6"/>
    <w:rsid w:val="00510373"/>
    <w:rsid w:val="005109AC"/>
    <w:rsid w:val="00510D50"/>
    <w:rsid w:val="0051331B"/>
    <w:rsid w:val="00513E45"/>
    <w:rsid w:val="005146E9"/>
    <w:rsid w:val="0051473B"/>
    <w:rsid w:val="00514B9E"/>
    <w:rsid w:val="005150D2"/>
    <w:rsid w:val="00515D95"/>
    <w:rsid w:val="0051601E"/>
    <w:rsid w:val="005167CC"/>
    <w:rsid w:val="00516A15"/>
    <w:rsid w:val="0051798B"/>
    <w:rsid w:val="00517CE0"/>
    <w:rsid w:val="00520114"/>
    <w:rsid w:val="0052169B"/>
    <w:rsid w:val="00523803"/>
    <w:rsid w:val="00524756"/>
    <w:rsid w:val="005262AA"/>
    <w:rsid w:val="00530458"/>
    <w:rsid w:val="00530B0F"/>
    <w:rsid w:val="00531015"/>
    <w:rsid w:val="00531049"/>
    <w:rsid w:val="00531901"/>
    <w:rsid w:val="005325FC"/>
    <w:rsid w:val="00532624"/>
    <w:rsid w:val="00532759"/>
    <w:rsid w:val="00532F92"/>
    <w:rsid w:val="0053372B"/>
    <w:rsid w:val="00533BD3"/>
    <w:rsid w:val="00533F04"/>
    <w:rsid w:val="0053434B"/>
    <w:rsid w:val="005348A0"/>
    <w:rsid w:val="00534C24"/>
    <w:rsid w:val="005351B3"/>
    <w:rsid w:val="00535955"/>
    <w:rsid w:val="005364EE"/>
    <w:rsid w:val="0053650B"/>
    <w:rsid w:val="005367AA"/>
    <w:rsid w:val="005370B4"/>
    <w:rsid w:val="00537726"/>
    <w:rsid w:val="00537B11"/>
    <w:rsid w:val="00540A8A"/>
    <w:rsid w:val="00540D77"/>
    <w:rsid w:val="00540F49"/>
    <w:rsid w:val="00540FAC"/>
    <w:rsid w:val="005412A0"/>
    <w:rsid w:val="005413B7"/>
    <w:rsid w:val="005415AD"/>
    <w:rsid w:val="005417A3"/>
    <w:rsid w:val="00541FEE"/>
    <w:rsid w:val="00542013"/>
    <w:rsid w:val="0054201E"/>
    <w:rsid w:val="00542C74"/>
    <w:rsid w:val="00542CA1"/>
    <w:rsid w:val="005434AB"/>
    <w:rsid w:val="00544343"/>
    <w:rsid w:val="0054536A"/>
    <w:rsid w:val="005453C7"/>
    <w:rsid w:val="005455CB"/>
    <w:rsid w:val="0054560D"/>
    <w:rsid w:val="00545734"/>
    <w:rsid w:val="00545C0C"/>
    <w:rsid w:val="00546B96"/>
    <w:rsid w:val="00546DAE"/>
    <w:rsid w:val="00546F33"/>
    <w:rsid w:val="00547C3C"/>
    <w:rsid w:val="0055063C"/>
    <w:rsid w:val="0055082C"/>
    <w:rsid w:val="00551519"/>
    <w:rsid w:val="005519CE"/>
    <w:rsid w:val="00551B50"/>
    <w:rsid w:val="005528A9"/>
    <w:rsid w:val="005531DA"/>
    <w:rsid w:val="00553A76"/>
    <w:rsid w:val="00554268"/>
    <w:rsid w:val="00555F44"/>
    <w:rsid w:val="00556102"/>
    <w:rsid w:val="00556342"/>
    <w:rsid w:val="005573CC"/>
    <w:rsid w:val="005574AF"/>
    <w:rsid w:val="00557C21"/>
    <w:rsid w:val="00557D9B"/>
    <w:rsid w:val="00560138"/>
    <w:rsid w:val="00560F1A"/>
    <w:rsid w:val="00561072"/>
    <w:rsid w:val="00561D20"/>
    <w:rsid w:val="0056205B"/>
    <w:rsid w:val="00562258"/>
    <w:rsid w:val="005627CD"/>
    <w:rsid w:val="00562ECE"/>
    <w:rsid w:val="0056470C"/>
    <w:rsid w:val="005648C7"/>
    <w:rsid w:val="00565026"/>
    <w:rsid w:val="00565B56"/>
    <w:rsid w:val="00565BEB"/>
    <w:rsid w:val="00566057"/>
    <w:rsid w:val="00566083"/>
    <w:rsid w:val="00566543"/>
    <w:rsid w:val="00566A59"/>
    <w:rsid w:val="005677A1"/>
    <w:rsid w:val="00567820"/>
    <w:rsid w:val="00570768"/>
    <w:rsid w:val="00570A31"/>
    <w:rsid w:val="00570D09"/>
    <w:rsid w:val="005713E8"/>
    <w:rsid w:val="00572342"/>
    <w:rsid w:val="005725DD"/>
    <w:rsid w:val="005738FA"/>
    <w:rsid w:val="00573FFC"/>
    <w:rsid w:val="00574194"/>
    <w:rsid w:val="005744EC"/>
    <w:rsid w:val="0057493D"/>
    <w:rsid w:val="00574A79"/>
    <w:rsid w:val="00574B72"/>
    <w:rsid w:val="00574CD2"/>
    <w:rsid w:val="00576166"/>
    <w:rsid w:val="00577872"/>
    <w:rsid w:val="0057787C"/>
    <w:rsid w:val="00577BFD"/>
    <w:rsid w:val="00577F82"/>
    <w:rsid w:val="00580593"/>
    <w:rsid w:val="005807A4"/>
    <w:rsid w:val="00580D54"/>
    <w:rsid w:val="0058261F"/>
    <w:rsid w:val="0058297E"/>
    <w:rsid w:val="00583A3B"/>
    <w:rsid w:val="00583C77"/>
    <w:rsid w:val="005846D6"/>
    <w:rsid w:val="00584BDE"/>
    <w:rsid w:val="00584D16"/>
    <w:rsid w:val="00585214"/>
    <w:rsid w:val="00585C5E"/>
    <w:rsid w:val="0058623F"/>
    <w:rsid w:val="00586ADD"/>
    <w:rsid w:val="00590D34"/>
    <w:rsid w:val="00591130"/>
    <w:rsid w:val="00591832"/>
    <w:rsid w:val="005919F6"/>
    <w:rsid w:val="00591AA4"/>
    <w:rsid w:val="005931D0"/>
    <w:rsid w:val="00593674"/>
    <w:rsid w:val="00593C26"/>
    <w:rsid w:val="00594422"/>
    <w:rsid w:val="00594A08"/>
    <w:rsid w:val="00594DD3"/>
    <w:rsid w:val="00595A85"/>
    <w:rsid w:val="00595DEF"/>
    <w:rsid w:val="005964DE"/>
    <w:rsid w:val="005A0CD1"/>
    <w:rsid w:val="005A0DD9"/>
    <w:rsid w:val="005A1A81"/>
    <w:rsid w:val="005A2BEB"/>
    <w:rsid w:val="005A2FF0"/>
    <w:rsid w:val="005A3582"/>
    <w:rsid w:val="005A3603"/>
    <w:rsid w:val="005A4609"/>
    <w:rsid w:val="005A4A23"/>
    <w:rsid w:val="005A4A65"/>
    <w:rsid w:val="005A4B2D"/>
    <w:rsid w:val="005A5000"/>
    <w:rsid w:val="005A5306"/>
    <w:rsid w:val="005A6C77"/>
    <w:rsid w:val="005A6D78"/>
    <w:rsid w:val="005A6ECD"/>
    <w:rsid w:val="005A73AB"/>
    <w:rsid w:val="005A7B08"/>
    <w:rsid w:val="005A7E5A"/>
    <w:rsid w:val="005A7FB3"/>
    <w:rsid w:val="005B00F8"/>
    <w:rsid w:val="005B0A77"/>
    <w:rsid w:val="005B1834"/>
    <w:rsid w:val="005B1EE5"/>
    <w:rsid w:val="005B264D"/>
    <w:rsid w:val="005B3496"/>
    <w:rsid w:val="005B35B8"/>
    <w:rsid w:val="005B38D4"/>
    <w:rsid w:val="005B4909"/>
    <w:rsid w:val="005B4CA6"/>
    <w:rsid w:val="005B569B"/>
    <w:rsid w:val="005B592A"/>
    <w:rsid w:val="005B5C3C"/>
    <w:rsid w:val="005B6A2E"/>
    <w:rsid w:val="005B71B3"/>
    <w:rsid w:val="005B73C5"/>
    <w:rsid w:val="005B7A6B"/>
    <w:rsid w:val="005C02BC"/>
    <w:rsid w:val="005C0EB5"/>
    <w:rsid w:val="005C0F7F"/>
    <w:rsid w:val="005C13D9"/>
    <w:rsid w:val="005C1475"/>
    <w:rsid w:val="005C1838"/>
    <w:rsid w:val="005C1BC8"/>
    <w:rsid w:val="005C2BAE"/>
    <w:rsid w:val="005C2E4C"/>
    <w:rsid w:val="005C34D0"/>
    <w:rsid w:val="005C41BC"/>
    <w:rsid w:val="005C6069"/>
    <w:rsid w:val="005C6229"/>
    <w:rsid w:val="005C6911"/>
    <w:rsid w:val="005C7040"/>
    <w:rsid w:val="005C7BF2"/>
    <w:rsid w:val="005C7E0A"/>
    <w:rsid w:val="005D0666"/>
    <w:rsid w:val="005D0A61"/>
    <w:rsid w:val="005D0CC5"/>
    <w:rsid w:val="005D145B"/>
    <w:rsid w:val="005D1C8E"/>
    <w:rsid w:val="005D1F0C"/>
    <w:rsid w:val="005D1FAA"/>
    <w:rsid w:val="005D2205"/>
    <w:rsid w:val="005D289C"/>
    <w:rsid w:val="005D2E77"/>
    <w:rsid w:val="005D2F75"/>
    <w:rsid w:val="005D351C"/>
    <w:rsid w:val="005D361C"/>
    <w:rsid w:val="005D41D5"/>
    <w:rsid w:val="005D4582"/>
    <w:rsid w:val="005D46E0"/>
    <w:rsid w:val="005D49A4"/>
    <w:rsid w:val="005D5324"/>
    <w:rsid w:val="005D569B"/>
    <w:rsid w:val="005D5CD5"/>
    <w:rsid w:val="005D63C0"/>
    <w:rsid w:val="005D6EDD"/>
    <w:rsid w:val="005D7C20"/>
    <w:rsid w:val="005D7F46"/>
    <w:rsid w:val="005E0663"/>
    <w:rsid w:val="005E066E"/>
    <w:rsid w:val="005E0785"/>
    <w:rsid w:val="005E0C2B"/>
    <w:rsid w:val="005E0C83"/>
    <w:rsid w:val="005E0CAD"/>
    <w:rsid w:val="005E0FC9"/>
    <w:rsid w:val="005E1E2B"/>
    <w:rsid w:val="005E2519"/>
    <w:rsid w:val="005E292A"/>
    <w:rsid w:val="005E2A30"/>
    <w:rsid w:val="005E3F46"/>
    <w:rsid w:val="005E51E7"/>
    <w:rsid w:val="005E68BA"/>
    <w:rsid w:val="005E71C7"/>
    <w:rsid w:val="005E7749"/>
    <w:rsid w:val="005E776A"/>
    <w:rsid w:val="005F0227"/>
    <w:rsid w:val="005F0410"/>
    <w:rsid w:val="005F0EE0"/>
    <w:rsid w:val="005F1000"/>
    <w:rsid w:val="005F1FB1"/>
    <w:rsid w:val="005F3956"/>
    <w:rsid w:val="005F3F0C"/>
    <w:rsid w:val="005F4643"/>
    <w:rsid w:val="005F4ECC"/>
    <w:rsid w:val="005F5560"/>
    <w:rsid w:val="005F6195"/>
    <w:rsid w:val="005F6C59"/>
    <w:rsid w:val="005F6FF9"/>
    <w:rsid w:val="005F73F7"/>
    <w:rsid w:val="005F780B"/>
    <w:rsid w:val="005F7C64"/>
    <w:rsid w:val="0060030C"/>
    <w:rsid w:val="006003E9"/>
    <w:rsid w:val="00600B74"/>
    <w:rsid w:val="00601BAA"/>
    <w:rsid w:val="00602016"/>
    <w:rsid w:val="006025A5"/>
    <w:rsid w:val="00603677"/>
    <w:rsid w:val="006036D0"/>
    <w:rsid w:val="00603916"/>
    <w:rsid w:val="006046C7"/>
    <w:rsid w:val="006059AD"/>
    <w:rsid w:val="0060657E"/>
    <w:rsid w:val="00606A1B"/>
    <w:rsid w:val="006072D3"/>
    <w:rsid w:val="00607DD7"/>
    <w:rsid w:val="00610EB0"/>
    <w:rsid w:val="00611F81"/>
    <w:rsid w:val="006124BD"/>
    <w:rsid w:val="00612C48"/>
    <w:rsid w:val="00612CC4"/>
    <w:rsid w:val="00614CD1"/>
    <w:rsid w:val="00614EBB"/>
    <w:rsid w:val="00615269"/>
    <w:rsid w:val="00615445"/>
    <w:rsid w:val="006154AF"/>
    <w:rsid w:val="00615B06"/>
    <w:rsid w:val="00615B15"/>
    <w:rsid w:val="00616530"/>
    <w:rsid w:val="006165BB"/>
    <w:rsid w:val="00616E7B"/>
    <w:rsid w:val="00617756"/>
    <w:rsid w:val="0062029B"/>
    <w:rsid w:val="006202FC"/>
    <w:rsid w:val="00621C5D"/>
    <w:rsid w:val="00623322"/>
    <w:rsid w:val="00623A0C"/>
    <w:rsid w:val="00623DDD"/>
    <w:rsid w:val="00623E4C"/>
    <w:rsid w:val="00624297"/>
    <w:rsid w:val="00624345"/>
    <w:rsid w:val="00624494"/>
    <w:rsid w:val="00624A79"/>
    <w:rsid w:val="00624AF9"/>
    <w:rsid w:val="00624C93"/>
    <w:rsid w:val="00624D46"/>
    <w:rsid w:val="00624D9F"/>
    <w:rsid w:val="00624E86"/>
    <w:rsid w:val="0062570E"/>
    <w:rsid w:val="00626321"/>
    <w:rsid w:val="006264D1"/>
    <w:rsid w:val="0062691E"/>
    <w:rsid w:val="0062707D"/>
    <w:rsid w:val="0062708B"/>
    <w:rsid w:val="006277FD"/>
    <w:rsid w:val="00630117"/>
    <w:rsid w:val="00630A21"/>
    <w:rsid w:val="006322C0"/>
    <w:rsid w:val="00632E90"/>
    <w:rsid w:val="0063342E"/>
    <w:rsid w:val="0063362F"/>
    <w:rsid w:val="00633811"/>
    <w:rsid w:val="006339AA"/>
    <w:rsid w:val="00633E7D"/>
    <w:rsid w:val="00634A7B"/>
    <w:rsid w:val="0063545A"/>
    <w:rsid w:val="00636150"/>
    <w:rsid w:val="0063636A"/>
    <w:rsid w:val="006363BF"/>
    <w:rsid w:val="0063668A"/>
    <w:rsid w:val="00636CE2"/>
    <w:rsid w:val="00637565"/>
    <w:rsid w:val="00640E6E"/>
    <w:rsid w:val="0064197C"/>
    <w:rsid w:val="00641A23"/>
    <w:rsid w:val="00641AD3"/>
    <w:rsid w:val="00644614"/>
    <w:rsid w:val="00644728"/>
    <w:rsid w:val="00645276"/>
    <w:rsid w:val="00645682"/>
    <w:rsid w:val="00645A98"/>
    <w:rsid w:val="00645D13"/>
    <w:rsid w:val="006463EB"/>
    <w:rsid w:val="006468DE"/>
    <w:rsid w:val="00650D5D"/>
    <w:rsid w:val="0065111E"/>
    <w:rsid w:val="00651DF3"/>
    <w:rsid w:val="00651F7E"/>
    <w:rsid w:val="006526BA"/>
    <w:rsid w:val="00652A6E"/>
    <w:rsid w:val="00652BD5"/>
    <w:rsid w:val="00652C49"/>
    <w:rsid w:val="00653268"/>
    <w:rsid w:val="00653772"/>
    <w:rsid w:val="00653B92"/>
    <w:rsid w:val="006546A6"/>
    <w:rsid w:val="00654B0F"/>
    <w:rsid w:val="00654F3A"/>
    <w:rsid w:val="006557BB"/>
    <w:rsid w:val="00655879"/>
    <w:rsid w:val="00655C1C"/>
    <w:rsid w:val="00656EEC"/>
    <w:rsid w:val="0065777B"/>
    <w:rsid w:val="00657881"/>
    <w:rsid w:val="0065789C"/>
    <w:rsid w:val="00657A1B"/>
    <w:rsid w:val="00660885"/>
    <w:rsid w:val="006610E9"/>
    <w:rsid w:val="00661346"/>
    <w:rsid w:val="00661F1C"/>
    <w:rsid w:val="00662287"/>
    <w:rsid w:val="0066293C"/>
    <w:rsid w:val="0066294C"/>
    <w:rsid w:val="00662F58"/>
    <w:rsid w:val="0066345A"/>
    <w:rsid w:val="00665461"/>
    <w:rsid w:val="00665A36"/>
    <w:rsid w:val="00665B68"/>
    <w:rsid w:val="00665DEE"/>
    <w:rsid w:val="0066722C"/>
    <w:rsid w:val="00667528"/>
    <w:rsid w:val="00667F3E"/>
    <w:rsid w:val="00670758"/>
    <w:rsid w:val="00670C12"/>
    <w:rsid w:val="00670FF1"/>
    <w:rsid w:val="006722C4"/>
    <w:rsid w:val="00672BE0"/>
    <w:rsid w:val="00673124"/>
    <w:rsid w:val="0067316B"/>
    <w:rsid w:val="006736EE"/>
    <w:rsid w:val="00673835"/>
    <w:rsid w:val="0067426E"/>
    <w:rsid w:val="006746B9"/>
    <w:rsid w:val="006746DC"/>
    <w:rsid w:val="00674919"/>
    <w:rsid w:val="00674F14"/>
    <w:rsid w:val="006750D4"/>
    <w:rsid w:val="006754F5"/>
    <w:rsid w:val="00675A22"/>
    <w:rsid w:val="00675F61"/>
    <w:rsid w:val="006766A3"/>
    <w:rsid w:val="00676CA3"/>
    <w:rsid w:val="00676CB9"/>
    <w:rsid w:val="00676DD5"/>
    <w:rsid w:val="006775D2"/>
    <w:rsid w:val="00677BDE"/>
    <w:rsid w:val="00677EE4"/>
    <w:rsid w:val="0068019F"/>
    <w:rsid w:val="006801C2"/>
    <w:rsid w:val="0068044A"/>
    <w:rsid w:val="006807E2"/>
    <w:rsid w:val="00680AF9"/>
    <w:rsid w:val="0068107D"/>
    <w:rsid w:val="00681599"/>
    <w:rsid w:val="006822FC"/>
    <w:rsid w:val="00682B13"/>
    <w:rsid w:val="00682E2B"/>
    <w:rsid w:val="0068314E"/>
    <w:rsid w:val="006838CA"/>
    <w:rsid w:val="00684A50"/>
    <w:rsid w:val="00684B92"/>
    <w:rsid w:val="00685404"/>
    <w:rsid w:val="00685AA9"/>
    <w:rsid w:val="00685BF9"/>
    <w:rsid w:val="00686BA2"/>
    <w:rsid w:val="00686C7D"/>
    <w:rsid w:val="00686CA9"/>
    <w:rsid w:val="006875D8"/>
    <w:rsid w:val="00687F8E"/>
    <w:rsid w:val="00690378"/>
    <w:rsid w:val="00690685"/>
    <w:rsid w:val="00690FB4"/>
    <w:rsid w:val="006910BA"/>
    <w:rsid w:val="00691278"/>
    <w:rsid w:val="00692431"/>
    <w:rsid w:val="006927C1"/>
    <w:rsid w:val="00693C1E"/>
    <w:rsid w:val="00694CB3"/>
    <w:rsid w:val="00694E1E"/>
    <w:rsid w:val="006951C3"/>
    <w:rsid w:val="00695279"/>
    <w:rsid w:val="006956FF"/>
    <w:rsid w:val="00695C83"/>
    <w:rsid w:val="0069637A"/>
    <w:rsid w:val="00696D4F"/>
    <w:rsid w:val="006971DC"/>
    <w:rsid w:val="00697DA8"/>
    <w:rsid w:val="00697FCF"/>
    <w:rsid w:val="006A0E3E"/>
    <w:rsid w:val="006A13A7"/>
    <w:rsid w:val="006A13E2"/>
    <w:rsid w:val="006A18C5"/>
    <w:rsid w:val="006A18F9"/>
    <w:rsid w:val="006A1DED"/>
    <w:rsid w:val="006A25C8"/>
    <w:rsid w:val="006A2CB6"/>
    <w:rsid w:val="006A363B"/>
    <w:rsid w:val="006A45CC"/>
    <w:rsid w:val="006A4B72"/>
    <w:rsid w:val="006A5315"/>
    <w:rsid w:val="006A553E"/>
    <w:rsid w:val="006A5A54"/>
    <w:rsid w:val="006A6806"/>
    <w:rsid w:val="006A71AB"/>
    <w:rsid w:val="006A731E"/>
    <w:rsid w:val="006A73D0"/>
    <w:rsid w:val="006A79FD"/>
    <w:rsid w:val="006A7F26"/>
    <w:rsid w:val="006B0190"/>
    <w:rsid w:val="006B0615"/>
    <w:rsid w:val="006B0754"/>
    <w:rsid w:val="006B190B"/>
    <w:rsid w:val="006B2016"/>
    <w:rsid w:val="006B26A5"/>
    <w:rsid w:val="006B39E8"/>
    <w:rsid w:val="006B3C47"/>
    <w:rsid w:val="006B438F"/>
    <w:rsid w:val="006B4951"/>
    <w:rsid w:val="006B6E24"/>
    <w:rsid w:val="006B7A1A"/>
    <w:rsid w:val="006B7ACF"/>
    <w:rsid w:val="006B7DEB"/>
    <w:rsid w:val="006B7EC7"/>
    <w:rsid w:val="006B7FF5"/>
    <w:rsid w:val="006C01D5"/>
    <w:rsid w:val="006C08B9"/>
    <w:rsid w:val="006C0C6A"/>
    <w:rsid w:val="006C14C6"/>
    <w:rsid w:val="006C1A58"/>
    <w:rsid w:val="006C208C"/>
    <w:rsid w:val="006C21B9"/>
    <w:rsid w:val="006C23B1"/>
    <w:rsid w:val="006C2492"/>
    <w:rsid w:val="006C297F"/>
    <w:rsid w:val="006C2C9C"/>
    <w:rsid w:val="006C2E2D"/>
    <w:rsid w:val="006C30A2"/>
    <w:rsid w:val="006C3360"/>
    <w:rsid w:val="006C3897"/>
    <w:rsid w:val="006C3A2E"/>
    <w:rsid w:val="006C41B2"/>
    <w:rsid w:val="006C4616"/>
    <w:rsid w:val="006C4720"/>
    <w:rsid w:val="006C590E"/>
    <w:rsid w:val="006C6768"/>
    <w:rsid w:val="006C7628"/>
    <w:rsid w:val="006D000F"/>
    <w:rsid w:val="006D033A"/>
    <w:rsid w:val="006D0D59"/>
    <w:rsid w:val="006D176F"/>
    <w:rsid w:val="006D21E9"/>
    <w:rsid w:val="006D2BCB"/>
    <w:rsid w:val="006D3630"/>
    <w:rsid w:val="006D6E52"/>
    <w:rsid w:val="006E0AEC"/>
    <w:rsid w:val="006E0BB1"/>
    <w:rsid w:val="006E0F1B"/>
    <w:rsid w:val="006E1383"/>
    <w:rsid w:val="006E2135"/>
    <w:rsid w:val="006E248B"/>
    <w:rsid w:val="006E29C7"/>
    <w:rsid w:val="006E29E4"/>
    <w:rsid w:val="006E3F8E"/>
    <w:rsid w:val="006E40D0"/>
    <w:rsid w:val="006E4B98"/>
    <w:rsid w:val="006E52F8"/>
    <w:rsid w:val="006E5483"/>
    <w:rsid w:val="006E55D0"/>
    <w:rsid w:val="006E5804"/>
    <w:rsid w:val="006E602A"/>
    <w:rsid w:val="006E6624"/>
    <w:rsid w:val="006E7433"/>
    <w:rsid w:val="006E7898"/>
    <w:rsid w:val="006E7D1B"/>
    <w:rsid w:val="006F0A4B"/>
    <w:rsid w:val="006F1384"/>
    <w:rsid w:val="006F1508"/>
    <w:rsid w:val="006F1B7A"/>
    <w:rsid w:val="006F1EDB"/>
    <w:rsid w:val="006F2ED9"/>
    <w:rsid w:val="006F3E5A"/>
    <w:rsid w:val="006F4CCF"/>
    <w:rsid w:val="006F565F"/>
    <w:rsid w:val="006F56CD"/>
    <w:rsid w:val="006F62C7"/>
    <w:rsid w:val="006F685B"/>
    <w:rsid w:val="006F6953"/>
    <w:rsid w:val="0070058A"/>
    <w:rsid w:val="00701134"/>
    <w:rsid w:val="007016EF"/>
    <w:rsid w:val="00701E50"/>
    <w:rsid w:val="007020B4"/>
    <w:rsid w:val="007022C0"/>
    <w:rsid w:val="007024D3"/>
    <w:rsid w:val="00704EF3"/>
    <w:rsid w:val="00705E9E"/>
    <w:rsid w:val="00706425"/>
    <w:rsid w:val="00707109"/>
    <w:rsid w:val="00707170"/>
    <w:rsid w:val="00710942"/>
    <w:rsid w:val="00711ABC"/>
    <w:rsid w:val="00712119"/>
    <w:rsid w:val="00713E64"/>
    <w:rsid w:val="00714AF8"/>
    <w:rsid w:val="00715318"/>
    <w:rsid w:val="00715472"/>
    <w:rsid w:val="007155A2"/>
    <w:rsid w:val="0071573F"/>
    <w:rsid w:val="00716F10"/>
    <w:rsid w:val="00717DC5"/>
    <w:rsid w:val="007200BF"/>
    <w:rsid w:val="00720CF2"/>
    <w:rsid w:val="00720D99"/>
    <w:rsid w:val="00721315"/>
    <w:rsid w:val="00721B28"/>
    <w:rsid w:val="00721BA8"/>
    <w:rsid w:val="00722860"/>
    <w:rsid w:val="00722B1A"/>
    <w:rsid w:val="00722B26"/>
    <w:rsid w:val="00722F6B"/>
    <w:rsid w:val="007235DE"/>
    <w:rsid w:val="0072393C"/>
    <w:rsid w:val="00723FA6"/>
    <w:rsid w:val="00724652"/>
    <w:rsid w:val="00724C66"/>
    <w:rsid w:val="0072570E"/>
    <w:rsid w:val="00726377"/>
    <w:rsid w:val="0072711B"/>
    <w:rsid w:val="00727CF4"/>
    <w:rsid w:val="00727FDE"/>
    <w:rsid w:val="00730005"/>
    <w:rsid w:val="007302B4"/>
    <w:rsid w:val="0073169E"/>
    <w:rsid w:val="00731C5A"/>
    <w:rsid w:val="007328C6"/>
    <w:rsid w:val="00733520"/>
    <w:rsid w:val="007339D9"/>
    <w:rsid w:val="00733B96"/>
    <w:rsid w:val="00733F45"/>
    <w:rsid w:val="0073438F"/>
    <w:rsid w:val="007343D5"/>
    <w:rsid w:val="0073455D"/>
    <w:rsid w:val="007347C5"/>
    <w:rsid w:val="007348F4"/>
    <w:rsid w:val="00734A04"/>
    <w:rsid w:val="00736F95"/>
    <w:rsid w:val="007377BD"/>
    <w:rsid w:val="00737B31"/>
    <w:rsid w:val="0074008F"/>
    <w:rsid w:val="00740682"/>
    <w:rsid w:val="00740AD5"/>
    <w:rsid w:val="00741594"/>
    <w:rsid w:val="007422F7"/>
    <w:rsid w:val="00742A32"/>
    <w:rsid w:val="00743D78"/>
    <w:rsid w:val="00743E68"/>
    <w:rsid w:val="00743FAB"/>
    <w:rsid w:val="0074440D"/>
    <w:rsid w:val="00744A0F"/>
    <w:rsid w:val="00745DD8"/>
    <w:rsid w:val="007468BE"/>
    <w:rsid w:val="00750165"/>
    <w:rsid w:val="0075023E"/>
    <w:rsid w:val="00750A05"/>
    <w:rsid w:val="00750A57"/>
    <w:rsid w:val="00750A97"/>
    <w:rsid w:val="00751088"/>
    <w:rsid w:val="00751103"/>
    <w:rsid w:val="00751675"/>
    <w:rsid w:val="00752834"/>
    <w:rsid w:val="00753253"/>
    <w:rsid w:val="007539F3"/>
    <w:rsid w:val="00753B0A"/>
    <w:rsid w:val="00754E61"/>
    <w:rsid w:val="00754FF4"/>
    <w:rsid w:val="00755295"/>
    <w:rsid w:val="007553BD"/>
    <w:rsid w:val="0075591E"/>
    <w:rsid w:val="007564F8"/>
    <w:rsid w:val="007568A3"/>
    <w:rsid w:val="0075697A"/>
    <w:rsid w:val="00756B30"/>
    <w:rsid w:val="00756BF5"/>
    <w:rsid w:val="007608A2"/>
    <w:rsid w:val="00762622"/>
    <w:rsid w:val="0076366A"/>
    <w:rsid w:val="0076488E"/>
    <w:rsid w:val="00764899"/>
    <w:rsid w:val="00764A54"/>
    <w:rsid w:val="007655BA"/>
    <w:rsid w:val="00765707"/>
    <w:rsid w:val="00765F2C"/>
    <w:rsid w:val="00766378"/>
    <w:rsid w:val="00766809"/>
    <w:rsid w:val="00766A1B"/>
    <w:rsid w:val="00766DFF"/>
    <w:rsid w:val="00767B56"/>
    <w:rsid w:val="00767C27"/>
    <w:rsid w:val="007705BF"/>
    <w:rsid w:val="00771C92"/>
    <w:rsid w:val="00771CE2"/>
    <w:rsid w:val="00771FEA"/>
    <w:rsid w:val="0077406A"/>
    <w:rsid w:val="00774A95"/>
    <w:rsid w:val="0077511E"/>
    <w:rsid w:val="007763E1"/>
    <w:rsid w:val="00776F22"/>
    <w:rsid w:val="0077709D"/>
    <w:rsid w:val="007770F2"/>
    <w:rsid w:val="00780396"/>
    <w:rsid w:val="007807BE"/>
    <w:rsid w:val="00780C6B"/>
    <w:rsid w:val="007811A6"/>
    <w:rsid w:val="0078147D"/>
    <w:rsid w:val="00782B32"/>
    <w:rsid w:val="00782C20"/>
    <w:rsid w:val="00782E85"/>
    <w:rsid w:val="007837B1"/>
    <w:rsid w:val="00783C01"/>
    <w:rsid w:val="00784084"/>
    <w:rsid w:val="0078427F"/>
    <w:rsid w:val="00784B91"/>
    <w:rsid w:val="007858E8"/>
    <w:rsid w:val="00785B30"/>
    <w:rsid w:val="00786065"/>
    <w:rsid w:val="007860C6"/>
    <w:rsid w:val="007861F1"/>
    <w:rsid w:val="00786995"/>
    <w:rsid w:val="007869A2"/>
    <w:rsid w:val="007879F4"/>
    <w:rsid w:val="00787BFC"/>
    <w:rsid w:val="00787F3F"/>
    <w:rsid w:val="0079039E"/>
    <w:rsid w:val="00790B3B"/>
    <w:rsid w:val="00790EAB"/>
    <w:rsid w:val="007910E3"/>
    <w:rsid w:val="007914A5"/>
    <w:rsid w:val="00791DEA"/>
    <w:rsid w:val="007926E5"/>
    <w:rsid w:val="00793162"/>
    <w:rsid w:val="0079353B"/>
    <w:rsid w:val="007936B8"/>
    <w:rsid w:val="00793A7B"/>
    <w:rsid w:val="00794DB2"/>
    <w:rsid w:val="00796935"/>
    <w:rsid w:val="00796F55"/>
    <w:rsid w:val="0079711F"/>
    <w:rsid w:val="00797161"/>
    <w:rsid w:val="00797174"/>
    <w:rsid w:val="00797351"/>
    <w:rsid w:val="00797BC6"/>
    <w:rsid w:val="007A00D4"/>
    <w:rsid w:val="007A1263"/>
    <w:rsid w:val="007A129C"/>
    <w:rsid w:val="007A16AB"/>
    <w:rsid w:val="007A277A"/>
    <w:rsid w:val="007A330F"/>
    <w:rsid w:val="007A3407"/>
    <w:rsid w:val="007A3627"/>
    <w:rsid w:val="007A3B5A"/>
    <w:rsid w:val="007A401A"/>
    <w:rsid w:val="007A4EE4"/>
    <w:rsid w:val="007A6D6B"/>
    <w:rsid w:val="007A7F5C"/>
    <w:rsid w:val="007B143E"/>
    <w:rsid w:val="007B17CA"/>
    <w:rsid w:val="007B28EF"/>
    <w:rsid w:val="007B3332"/>
    <w:rsid w:val="007B3C58"/>
    <w:rsid w:val="007B4588"/>
    <w:rsid w:val="007B4708"/>
    <w:rsid w:val="007B4E7A"/>
    <w:rsid w:val="007B573E"/>
    <w:rsid w:val="007B5DAA"/>
    <w:rsid w:val="007B60E4"/>
    <w:rsid w:val="007B65D5"/>
    <w:rsid w:val="007B7B0E"/>
    <w:rsid w:val="007B7F04"/>
    <w:rsid w:val="007C0ABC"/>
    <w:rsid w:val="007C1C46"/>
    <w:rsid w:val="007C1C99"/>
    <w:rsid w:val="007C210B"/>
    <w:rsid w:val="007C2491"/>
    <w:rsid w:val="007C28A3"/>
    <w:rsid w:val="007C344C"/>
    <w:rsid w:val="007C3C3A"/>
    <w:rsid w:val="007C579A"/>
    <w:rsid w:val="007C5827"/>
    <w:rsid w:val="007C5ABE"/>
    <w:rsid w:val="007C6369"/>
    <w:rsid w:val="007D00EE"/>
    <w:rsid w:val="007D028B"/>
    <w:rsid w:val="007D06EE"/>
    <w:rsid w:val="007D0955"/>
    <w:rsid w:val="007D0A6F"/>
    <w:rsid w:val="007D1570"/>
    <w:rsid w:val="007D1848"/>
    <w:rsid w:val="007D1960"/>
    <w:rsid w:val="007D2007"/>
    <w:rsid w:val="007D22AE"/>
    <w:rsid w:val="007D24A5"/>
    <w:rsid w:val="007D3468"/>
    <w:rsid w:val="007D44C8"/>
    <w:rsid w:val="007D46CF"/>
    <w:rsid w:val="007D47DD"/>
    <w:rsid w:val="007D5F84"/>
    <w:rsid w:val="007D71C9"/>
    <w:rsid w:val="007D72B8"/>
    <w:rsid w:val="007D76BB"/>
    <w:rsid w:val="007D7898"/>
    <w:rsid w:val="007D7AC8"/>
    <w:rsid w:val="007D7CF4"/>
    <w:rsid w:val="007E0064"/>
    <w:rsid w:val="007E0248"/>
    <w:rsid w:val="007E0641"/>
    <w:rsid w:val="007E09F5"/>
    <w:rsid w:val="007E0A52"/>
    <w:rsid w:val="007E0AA3"/>
    <w:rsid w:val="007E220A"/>
    <w:rsid w:val="007E260B"/>
    <w:rsid w:val="007E2720"/>
    <w:rsid w:val="007E2E38"/>
    <w:rsid w:val="007E3848"/>
    <w:rsid w:val="007E3A55"/>
    <w:rsid w:val="007E3BCD"/>
    <w:rsid w:val="007E49CA"/>
    <w:rsid w:val="007E4C9E"/>
    <w:rsid w:val="007E5367"/>
    <w:rsid w:val="007E5E9A"/>
    <w:rsid w:val="007E7C47"/>
    <w:rsid w:val="007E7F59"/>
    <w:rsid w:val="007F0E74"/>
    <w:rsid w:val="007F2830"/>
    <w:rsid w:val="007F2CAB"/>
    <w:rsid w:val="007F40F4"/>
    <w:rsid w:val="007F4432"/>
    <w:rsid w:val="007F486F"/>
    <w:rsid w:val="007F4F9A"/>
    <w:rsid w:val="007F55D0"/>
    <w:rsid w:val="007F5656"/>
    <w:rsid w:val="007F577E"/>
    <w:rsid w:val="007F67A0"/>
    <w:rsid w:val="007F713F"/>
    <w:rsid w:val="0080024C"/>
    <w:rsid w:val="00800262"/>
    <w:rsid w:val="008008B4"/>
    <w:rsid w:val="008012FC"/>
    <w:rsid w:val="0080201A"/>
    <w:rsid w:val="00803176"/>
    <w:rsid w:val="008031BE"/>
    <w:rsid w:val="00805ACE"/>
    <w:rsid w:val="00805DB8"/>
    <w:rsid w:val="00805FA1"/>
    <w:rsid w:val="008066D4"/>
    <w:rsid w:val="00806D11"/>
    <w:rsid w:val="00807248"/>
    <w:rsid w:val="008073B9"/>
    <w:rsid w:val="00810BCE"/>
    <w:rsid w:val="00810CAB"/>
    <w:rsid w:val="00810E83"/>
    <w:rsid w:val="00810FA5"/>
    <w:rsid w:val="0081106B"/>
    <w:rsid w:val="008115BC"/>
    <w:rsid w:val="008115FB"/>
    <w:rsid w:val="0081185A"/>
    <w:rsid w:val="0081213A"/>
    <w:rsid w:val="00812F28"/>
    <w:rsid w:val="00813160"/>
    <w:rsid w:val="00813856"/>
    <w:rsid w:val="0081390C"/>
    <w:rsid w:val="008139A6"/>
    <w:rsid w:val="00814285"/>
    <w:rsid w:val="00814845"/>
    <w:rsid w:val="008149FA"/>
    <w:rsid w:val="00815A32"/>
    <w:rsid w:val="00815DA4"/>
    <w:rsid w:val="00816582"/>
    <w:rsid w:val="00820C2B"/>
    <w:rsid w:val="0082115D"/>
    <w:rsid w:val="008213DC"/>
    <w:rsid w:val="00821929"/>
    <w:rsid w:val="008228BE"/>
    <w:rsid w:val="00822C2B"/>
    <w:rsid w:val="008233BA"/>
    <w:rsid w:val="00824589"/>
    <w:rsid w:val="008249BE"/>
    <w:rsid w:val="008250AD"/>
    <w:rsid w:val="00830D6F"/>
    <w:rsid w:val="008316BE"/>
    <w:rsid w:val="00831BBF"/>
    <w:rsid w:val="00831DDD"/>
    <w:rsid w:val="0083309B"/>
    <w:rsid w:val="008338B5"/>
    <w:rsid w:val="00834199"/>
    <w:rsid w:val="00836B1F"/>
    <w:rsid w:val="008372DA"/>
    <w:rsid w:val="00837555"/>
    <w:rsid w:val="00837E08"/>
    <w:rsid w:val="00837FF0"/>
    <w:rsid w:val="0084027C"/>
    <w:rsid w:val="0084042B"/>
    <w:rsid w:val="00840875"/>
    <w:rsid w:val="008412A4"/>
    <w:rsid w:val="00841DB9"/>
    <w:rsid w:val="00842A5C"/>
    <w:rsid w:val="0084396B"/>
    <w:rsid w:val="00843B4F"/>
    <w:rsid w:val="00844286"/>
    <w:rsid w:val="00844A89"/>
    <w:rsid w:val="00844E99"/>
    <w:rsid w:val="00845EE0"/>
    <w:rsid w:val="0084617F"/>
    <w:rsid w:val="008464B7"/>
    <w:rsid w:val="00846625"/>
    <w:rsid w:val="008500E3"/>
    <w:rsid w:val="008502EF"/>
    <w:rsid w:val="00850489"/>
    <w:rsid w:val="00850974"/>
    <w:rsid w:val="00850AC6"/>
    <w:rsid w:val="0085108C"/>
    <w:rsid w:val="00851168"/>
    <w:rsid w:val="0085129E"/>
    <w:rsid w:val="00851429"/>
    <w:rsid w:val="008523CC"/>
    <w:rsid w:val="00853E4A"/>
    <w:rsid w:val="008545AC"/>
    <w:rsid w:val="00854654"/>
    <w:rsid w:val="0085487E"/>
    <w:rsid w:val="00857113"/>
    <w:rsid w:val="00857E73"/>
    <w:rsid w:val="00860586"/>
    <w:rsid w:val="00860DC2"/>
    <w:rsid w:val="008618AC"/>
    <w:rsid w:val="00861FFE"/>
    <w:rsid w:val="00862866"/>
    <w:rsid w:val="00862BC3"/>
    <w:rsid w:val="008635B6"/>
    <w:rsid w:val="00863715"/>
    <w:rsid w:val="008639AD"/>
    <w:rsid w:val="00863C43"/>
    <w:rsid w:val="00863F7B"/>
    <w:rsid w:val="008645C7"/>
    <w:rsid w:val="00864A21"/>
    <w:rsid w:val="008656EA"/>
    <w:rsid w:val="008657F0"/>
    <w:rsid w:val="00865854"/>
    <w:rsid w:val="00865E57"/>
    <w:rsid w:val="00865E98"/>
    <w:rsid w:val="00866054"/>
    <w:rsid w:val="008672B8"/>
    <w:rsid w:val="00867602"/>
    <w:rsid w:val="00867F97"/>
    <w:rsid w:val="0087004C"/>
    <w:rsid w:val="00870382"/>
    <w:rsid w:val="008721E9"/>
    <w:rsid w:val="00873526"/>
    <w:rsid w:val="00873773"/>
    <w:rsid w:val="00873778"/>
    <w:rsid w:val="0087399F"/>
    <w:rsid w:val="00873C1A"/>
    <w:rsid w:val="00873D9B"/>
    <w:rsid w:val="0087482F"/>
    <w:rsid w:val="0087553C"/>
    <w:rsid w:val="00875C24"/>
    <w:rsid w:val="00877C40"/>
    <w:rsid w:val="00880B9F"/>
    <w:rsid w:val="0088114F"/>
    <w:rsid w:val="0088290F"/>
    <w:rsid w:val="00882D67"/>
    <w:rsid w:val="008835EA"/>
    <w:rsid w:val="008843C9"/>
    <w:rsid w:val="00884693"/>
    <w:rsid w:val="00884A24"/>
    <w:rsid w:val="0088562D"/>
    <w:rsid w:val="00885BFB"/>
    <w:rsid w:val="00885FB1"/>
    <w:rsid w:val="00886106"/>
    <w:rsid w:val="00886946"/>
    <w:rsid w:val="00886BFA"/>
    <w:rsid w:val="00886C59"/>
    <w:rsid w:val="00890A29"/>
    <w:rsid w:val="00892666"/>
    <w:rsid w:val="008927BB"/>
    <w:rsid w:val="00892B52"/>
    <w:rsid w:val="00893817"/>
    <w:rsid w:val="00893894"/>
    <w:rsid w:val="0089454F"/>
    <w:rsid w:val="008947A7"/>
    <w:rsid w:val="00896408"/>
    <w:rsid w:val="008965A2"/>
    <w:rsid w:val="00896640"/>
    <w:rsid w:val="0089696E"/>
    <w:rsid w:val="00896AB4"/>
    <w:rsid w:val="00896EEF"/>
    <w:rsid w:val="00897D58"/>
    <w:rsid w:val="00897FD9"/>
    <w:rsid w:val="008A072E"/>
    <w:rsid w:val="008A07E9"/>
    <w:rsid w:val="008A0D39"/>
    <w:rsid w:val="008A147C"/>
    <w:rsid w:val="008A1F69"/>
    <w:rsid w:val="008A36CE"/>
    <w:rsid w:val="008A3BE4"/>
    <w:rsid w:val="008A3C6C"/>
    <w:rsid w:val="008A3FA0"/>
    <w:rsid w:val="008A3FDF"/>
    <w:rsid w:val="008A4182"/>
    <w:rsid w:val="008A42BC"/>
    <w:rsid w:val="008A4BD3"/>
    <w:rsid w:val="008A5716"/>
    <w:rsid w:val="008A688A"/>
    <w:rsid w:val="008A69FC"/>
    <w:rsid w:val="008A6F84"/>
    <w:rsid w:val="008A714E"/>
    <w:rsid w:val="008A7CC1"/>
    <w:rsid w:val="008B0C3B"/>
    <w:rsid w:val="008B11BE"/>
    <w:rsid w:val="008B1CBA"/>
    <w:rsid w:val="008B1E0B"/>
    <w:rsid w:val="008B1F9D"/>
    <w:rsid w:val="008B25B2"/>
    <w:rsid w:val="008B282D"/>
    <w:rsid w:val="008B2EE9"/>
    <w:rsid w:val="008B3B2B"/>
    <w:rsid w:val="008B4E2A"/>
    <w:rsid w:val="008B60C0"/>
    <w:rsid w:val="008B6204"/>
    <w:rsid w:val="008B6B72"/>
    <w:rsid w:val="008B7BF4"/>
    <w:rsid w:val="008B7E86"/>
    <w:rsid w:val="008C002E"/>
    <w:rsid w:val="008C12A4"/>
    <w:rsid w:val="008C14EC"/>
    <w:rsid w:val="008C1BA9"/>
    <w:rsid w:val="008C1D39"/>
    <w:rsid w:val="008C252E"/>
    <w:rsid w:val="008C2B76"/>
    <w:rsid w:val="008C2C19"/>
    <w:rsid w:val="008C37CE"/>
    <w:rsid w:val="008C47B8"/>
    <w:rsid w:val="008C5755"/>
    <w:rsid w:val="008C65F3"/>
    <w:rsid w:val="008C769D"/>
    <w:rsid w:val="008D02D6"/>
    <w:rsid w:val="008D04F9"/>
    <w:rsid w:val="008D0B00"/>
    <w:rsid w:val="008D0E1D"/>
    <w:rsid w:val="008D1B8F"/>
    <w:rsid w:val="008D1D35"/>
    <w:rsid w:val="008D1F4A"/>
    <w:rsid w:val="008D234A"/>
    <w:rsid w:val="008D2571"/>
    <w:rsid w:val="008D32DA"/>
    <w:rsid w:val="008D3CAC"/>
    <w:rsid w:val="008D3D7C"/>
    <w:rsid w:val="008D40DC"/>
    <w:rsid w:val="008D43DF"/>
    <w:rsid w:val="008D5D14"/>
    <w:rsid w:val="008D78A5"/>
    <w:rsid w:val="008E09D2"/>
    <w:rsid w:val="008E17D0"/>
    <w:rsid w:val="008E3265"/>
    <w:rsid w:val="008E3515"/>
    <w:rsid w:val="008E3A7C"/>
    <w:rsid w:val="008E4E2F"/>
    <w:rsid w:val="008E51C5"/>
    <w:rsid w:val="008E51F5"/>
    <w:rsid w:val="008E549D"/>
    <w:rsid w:val="008E5592"/>
    <w:rsid w:val="008E65DE"/>
    <w:rsid w:val="008E687E"/>
    <w:rsid w:val="008E6D2E"/>
    <w:rsid w:val="008E745A"/>
    <w:rsid w:val="008F0193"/>
    <w:rsid w:val="008F04C4"/>
    <w:rsid w:val="008F1626"/>
    <w:rsid w:val="008F1F2B"/>
    <w:rsid w:val="008F21CD"/>
    <w:rsid w:val="008F22C7"/>
    <w:rsid w:val="008F2502"/>
    <w:rsid w:val="008F2706"/>
    <w:rsid w:val="008F299A"/>
    <w:rsid w:val="008F403B"/>
    <w:rsid w:val="008F4530"/>
    <w:rsid w:val="008F4DDD"/>
    <w:rsid w:val="008F786E"/>
    <w:rsid w:val="008F794A"/>
    <w:rsid w:val="0090093E"/>
    <w:rsid w:val="00900AF9"/>
    <w:rsid w:val="00900D76"/>
    <w:rsid w:val="00900EF3"/>
    <w:rsid w:val="00900F06"/>
    <w:rsid w:val="00900F25"/>
    <w:rsid w:val="0090142C"/>
    <w:rsid w:val="0090168C"/>
    <w:rsid w:val="0090173F"/>
    <w:rsid w:val="009019C2"/>
    <w:rsid w:val="00902546"/>
    <w:rsid w:val="00902848"/>
    <w:rsid w:val="00902FF1"/>
    <w:rsid w:val="0090325F"/>
    <w:rsid w:val="00903C6C"/>
    <w:rsid w:val="00904FC5"/>
    <w:rsid w:val="00905157"/>
    <w:rsid w:val="00906FC6"/>
    <w:rsid w:val="00907C07"/>
    <w:rsid w:val="00910042"/>
    <w:rsid w:val="009108DD"/>
    <w:rsid w:val="00911928"/>
    <w:rsid w:val="00911D29"/>
    <w:rsid w:val="009125C1"/>
    <w:rsid w:val="00913CC8"/>
    <w:rsid w:val="00914ED4"/>
    <w:rsid w:val="00914F34"/>
    <w:rsid w:val="00915A9D"/>
    <w:rsid w:val="0091657B"/>
    <w:rsid w:val="009165D4"/>
    <w:rsid w:val="0091737E"/>
    <w:rsid w:val="00917711"/>
    <w:rsid w:val="00917783"/>
    <w:rsid w:val="00917A84"/>
    <w:rsid w:val="00917C25"/>
    <w:rsid w:val="009206F0"/>
    <w:rsid w:val="00921667"/>
    <w:rsid w:val="00921A83"/>
    <w:rsid w:val="00921C3B"/>
    <w:rsid w:val="00921F3C"/>
    <w:rsid w:val="00922551"/>
    <w:rsid w:val="0092275D"/>
    <w:rsid w:val="00922C37"/>
    <w:rsid w:val="00922FB2"/>
    <w:rsid w:val="00924515"/>
    <w:rsid w:val="009249F5"/>
    <w:rsid w:val="00925362"/>
    <w:rsid w:val="00925EA1"/>
    <w:rsid w:val="00926720"/>
    <w:rsid w:val="00926C30"/>
    <w:rsid w:val="00930021"/>
    <w:rsid w:val="009306D7"/>
    <w:rsid w:val="00930FF7"/>
    <w:rsid w:val="009317C1"/>
    <w:rsid w:val="00932A00"/>
    <w:rsid w:val="00932F4D"/>
    <w:rsid w:val="009330BC"/>
    <w:rsid w:val="0093548C"/>
    <w:rsid w:val="00935512"/>
    <w:rsid w:val="00935D54"/>
    <w:rsid w:val="00936C10"/>
    <w:rsid w:val="00936E9B"/>
    <w:rsid w:val="00940423"/>
    <w:rsid w:val="009407A8"/>
    <w:rsid w:val="00940AEA"/>
    <w:rsid w:val="00942422"/>
    <w:rsid w:val="0094254D"/>
    <w:rsid w:val="0094295D"/>
    <w:rsid w:val="00947585"/>
    <w:rsid w:val="009475D9"/>
    <w:rsid w:val="00947834"/>
    <w:rsid w:val="00947E76"/>
    <w:rsid w:val="00950A26"/>
    <w:rsid w:val="00951793"/>
    <w:rsid w:val="00951DD8"/>
    <w:rsid w:val="00951EA5"/>
    <w:rsid w:val="009523FF"/>
    <w:rsid w:val="00952A88"/>
    <w:rsid w:val="00953E7D"/>
    <w:rsid w:val="00954492"/>
    <w:rsid w:val="00954FDB"/>
    <w:rsid w:val="00955A5C"/>
    <w:rsid w:val="00955A73"/>
    <w:rsid w:val="00956AA7"/>
    <w:rsid w:val="00956CF9"/>
    <w:rsid w:val="00960957"/>
    <w:rsid w:val="009609F3"/>
    <w:rsid w:val="009621BF"/>
    <w:rsid w:val="009628BA"/>
    <w:rsid w:val="0096342C"/>
    <w:rsid w:val="00963EB8"/>
    <w:rsid w:val="00965DA8"/>
    <w:rsid w:val="009668AF"/>
    <w:rsid w:val="00970203"/>
    <w:rsid w:val="00971713"/>
    <w:rsid w:val="00971A21"/>
    <w:rsid w:val="0097308D"/>
    <w:rsid w:val="009731F6"/>
    <w:rsid w:val="00973B00"/>
    <w:rsid w:val="00974137"/>
    <w:rsid w:val="00974719"/>
    <w:rsid w:val="00974867"/>
    <w:rsid w:val="009758CD"/>
    <w:rsid w:val="00975F7F"/>
    <w:rsid w:val="00976158"/>
    <w:rsid w:val="0097637A"/>
    <w:rsid w:val="009764DA"/>
    <w:rsid w:val="00976A01"/>
    <w:rsid w:val="009801BB"/>
    <w:rsid w:val="00980D80"/>
    <w:rsid w:val="00981014"/>
    <w:rsid w:val="009820F7"/>
    <w:rsid w:val="009824E5"/>
    <w:rsid w:val="00982931"/>
    <w:rsid w:val="00982D1B"/>
    <w:rsid w:val="00983DE5"/>
    <w:rsid w:val="00984023"/>
    <w:rsid w:val="00984458"/>
    <w:rsid w:val="00984697"/>
    <w:rsid w:val="009846E7"/>
    <w:rsid w:val="009851B8"/>
    <w:rsid w:val="00985962"/>
    <w:rsid w:val="00986A95"/>
    <w:rsid w:val="00987FC9"/>
    <w:rsid w:val="00990291"/>
    <w:rsid w:val="0099030C"/>
    <w:rsid w:val="0099048C"/>
    <w:rsid w:val="009904E6"/>
    <w:rsid w:val="009916AD"/>
    <w:rsid w:val="009919BD"/>
    <w:rsid w:val="00991A8C"/>
    <w:rsid w:val="009929C5"/>
    <w:rsid w:val="009929CB"/>
    <w:rsid w:val="00992D7C"/>
    <w:rsid w:val="00992E15"/>
    <w:rsid w:val="00994BB3"/>
    <w:rsid w:val="00994ECF"/>
    <w:rsid w:val="00995E8A"/>
    <w:rsid w:val="00995E93"/>
    <w:rsid w:val="00996426"/>
    <w:rsid w:val="0099643C"/>
    <w:rsid w:val="009965DF"/>
    <w:rsid w:val="00996C38"/>
    <w:rsid w:val="00996DD6"/>
    <w:rsid w:val="009972C6"/>
    <w:rsid w:val="00997377"/>
    <w:rsid w:val="0099766D"/>
    <w:rsid w:val="00997D30"/>
    <w:rsid w:val="009A3001"/>
    <w:rsid w:val="009A318A"/>
    <w:rsid w:val="009A31C0"/>
    <w:rsid w:val="009A4102"/>
    <w:rsid w:val="009A426E"/>
    <w:rsid w:val="009A45D5"/>
    <w:rsid w:val="009A47B5"/>
    <w:rsid w:val="009A4FC1"/>
    <w:rsid w:val="009A5778"/>
    <w:rsid w:val="009A5CBB"/>
    <w:rsid w:val="009A5D83"/>
    <w:rsid w:val="009A5F00"/>
    <w:rsid w:val="009A6D06"/>
    <w:rsid w:val="009A6EED"/>
    <w:rsid w:val="009A76C5"/>
    <w:rsid w:val="009B07EC"/>
    <w:rsid w:val="009B0C82"/>
    <w:rsid w:val="009B1310"/>
    <w:rsid w:val="009B1C7B"/>
    <w:rsid w:val="009B2F3E"/>
    <w:rsid w:val="009B31C1"/>
    <w:rsid w:val="009B4329"/>
    <w:rsid w:val="009B4BEE"/>
    <w:rsid w:val="009B4EF4"/>
    <w:rsid w:val="009B50BE"/>
    <w:rsid w:val="009B519E"/>
    <w:rsid w:val="009B573E"/>
    <w:rsid w:val="009B5D7F"/>
    <w:rsid w:val="009B6656"/>
    <w:rsid w:val="009B67D6"/>
    <w:rsid w:val="009B6A4E"/>
    <w:rsid w:val="009B79CC"/>
    <w:rsid w:val="009B7D7B"/>
    <w:rsid w:val="009C0BAF"/>
    <w:rsid w:val="009C0E7A"/>
    <w:rsid w:val="009C140A"/>
    <w:rsid w:val="009C2D45"/>
    <w:rsid w:val="009C2D57"/>
    <w:rsid w:val="009C2E99"/>
    <w:rsid w:val="009C40BA"/>
    <w:rsid w:val="009C5CA6"/>
    <w:rsid w:val="009C6DB2"/>
    <w:rsid w:val="009C73DE"/>
    <w:rsid w:val="009C75E5"/>
    <w:rsid w:val="009C793B"/>
    <w:rsid w:val="009C79EB"/>
    <w:rsid w:val="009D0898"/>
    <w:rsid w:val="009D0EC7"/>
    <w:rsid w:val="009D1824"/>
    <w:rsid w:val="009D2A50"/>
    <w:rsid w:val="009D4491"/>
    <w:rsid w:val="009D4AAE"/>
    <w:rsid w:val="009D52C7"/>
    <w:rsid w:val="009D54A8"/>
    <w:rsid w:val="009D5A36"/>
    <w:rsid w:val="009D6A80"/>
    <w:rsid w:val="009D7356"/>
    <w:rsid w:val="009E004C"/>
    <w:rsid w:val="009E0ABD"/>
    <w:rsid w:val="009E15AE"/>
    <w:rsid w:val="009E1DE3"/>
    <w:rsid w:val="009E282D"/>
    <w:rsid w:val="009E297C"/>
    <w:rsid w:val="009E3B68"/>
    <w:rsid w:val="009E3C18"/>
    <w:rsid w:val="009E3D7B"/>
    <w:rsid w:val="009E5024"/>
    <w:rsid w:val="009E6903"/>
    <w:rsid w:val="009E6A9F"/>
    <w:rsid w:val="009E7979"/>
    <w:rsid w:val="009F038D"/>
    <w:rsid w:val="009F0CE9"/>
    <w:rsid w:val="009F0D23"/>
    <w:rsid w:val="009F192F"/>
    <w:rsid w:val="009F2675"/>
    <w:rsid w:val="009F31AF"/>
    <w:rsid w:val="009F31ED"/>
    <w:rsid w:val="009F3CEE"/>
    <w:rsid w:val="009F4866"/>
    <w:rsid w:val="009F497B"/>
    <w:rsid w:val="009F5378"/>
    <w:rsid w:val="009F5C82"/>
    <w:rsid w:val="009F5D9F"/>
    <w:rsid w:val="009F6140"/>
    <w:rsid w:val="009F7940"/>
    <w:rsid w:val="009F7BB3"/>
    <w:rsid w:val="00A00196"/>
    <w:rsid w:val="00A00CDB"/>
    <w:rsid w:val="00A00EBA"/>
    <w:rsid w:val="00A01625"/>
    <w:rsid w:val="00A02304"/>
    <w:rsid w:val="00A03727"/>
    <w:rsid w:val="00A03925"/>
    <w:rsid w:val="00A04B2D"/>
    <w:rsid w:val="00A04F06"/>
    <w:rsid w:val="00A05092"/>
    <w:rsid w:val="00A071ED"/>
    <w:rsid w:val="00A074B4"/>
    <w:rsid w:val="00A07545"/>
    <w:rsid w:val="00A11755"/>
    <w:rsid w:val="00A11D68"/>
    <w:rsid w:val="00A127DC"/>
    <w:rsid w:val="00A14C86"/>
    <w:rsid w:val="00A150E6"/>
    <w:rsid w:val="00A174C1"/>
    <w:rsid w:val="00A20574"/>
    <w:rsid w:val="00A21337"/>
    <w:rsid w:val="00A21D84"/>
    <w:rsid w:val="00A21E20"/>
    <w:rsid w:val="00A222B6"/>
    <w:rsid w:val="00A22E04"/>
    <w:rsid w:val="00A22E0F"/>
    <w:rsid w:val="00A23367"/>
    <w:rsid w:val="00A23400"/>
    <w:rsid w:val="00A24442"/>
    <w:rsid w:val="00A24718"/>
    <w:rsid w:val="00A264BE"/>
    <w:rsid w:val="00A26782"/>
    <w:rsid w:val="00A26E24"/>
    <w:rsid w:val="00A273F7"/>
    <w:rsid w:val="00A27B93"/>
    <w:rsid w:val="00A30E5A"/>
    <w:rsid w:val="00A318E6"/>
    <w:rsid w:val="00A31BE9"/>
    <w:rsid w:val="00A325D9"/>
    <w:rsid w:val="00A332FA"/>
    <w:rsid w:val="00A3365D"/>
    <w:rsid w:val="00A34384"/>
    <w:rsid w:val="00A3460C"/>
    <w:rsid w:val="00A34D1B"/>
    <w:rsid w:val="00A34EFE"/>
    <w:rsid w:val="00A350C4"/>
    <w:rsid w:val="00A36468"/>
    <w:rsid w:val="00A36975"/>
    <w:rsid w:val="00A36FD5"/>
    <w:rsid w:val="00A36FDF"/>
    <w:rsid w:val="00A373BA"/>
    <w:rsid w:val="00A40532"/>
    <w:rsid w:val="00A40AF8"/>
    <w:rsid w:val="00A40EC2"/>
    <w:rsid w:val="00A40FFF"/>
    <w:rsid w:val="00A41C67"/>
    <w:rsid w:val="00A422B7"/>
    <w:rsid w:val="00A42E6E"/>
    <w:rsid w:val="00A431B3"/>
    <w:rsid w:val="00A43CBA"/>
    <w:rsid w:val="00A43ECC"/>
    <w:rsid w:val="00A44681"/>
    <w:rsid w:val="00A447C8"/>
    <w:rsid w:val="00A451BB"/>
    <w:rsid w:val="00A456B4"/>
    <w:rsid w:val="00A4652B"/>
    <w:rsid w:val="00A466A6"/>
    <w:rsid w:val="00A47324"/>
    <w:rsid w:val="00A50007"/>
    <w:rsid w:val="00A5074A"/>
    <w:rsid w:val="00A5080E"/>
    <w:rsid w:val="00A50C50"/>
    <w:rsid w:val="00A50D84"/>
    <w:rsid w:val="00A5129F"/>
    <w:rsid w:val="00A5180C"/>
    <w:rsid w:val="00A53806"/>
    <w:rsid w:val="00A541F9"/>
    <w:rsid w:val="00A548D3"/>
    <w:rsid w:val="00A56707"/>
    <w:rsid w:val="00A56CFF"/>
    <w:rsid w:val="00A56D9F"/>
    <w:rsid w:val="00A5751F"/>
    <w:rsid w:val="00A601F0"/>
    <w:rsid w:val="00A60D6B"/>
    <w:rsid w:val="00A616BD"/>
    <w:rsid w:val="00A61F87"/>
    <w:rsid w:val="00A62A0D"/>
    <w:rsid w:val="00A631F6"/>
    <w:rsid w:val="00A64092"/>
    <w:rsid w:val="00A648C8"/>
    <w:rsid w:val="00A6508A"/>
    <w:rsid w:val="00A653D3"/>
    <w:rsid w:val="00A66455"/>
    <w:rsid w:val="00A66672"/>
    <w:rsid w:val="00A667A6"/>
    <w:rsid w:val="00A66B6A"/>
    <w:rsid w:val="00A6710E"/>
    <w:rsid w:val="00A678D6"/>
    <w:rsid w:val="00A71087"/>
    <w:rsid w:val="00A719AB"/>
    <w:rsid w:val="00A719AE"/>
    <w:rsid w:val="00A71B26"/>
    <w:rsid w:val="00A71C4F"/>
    <w:rsid w:val="00A72186"/>
    <w:rsid w:val="00A724FB"/>
    <w:rsid w:val="00A72749"/>
    <w:rsid w:val="00A732C0"/>
    <w:rsid w:val="00A744E4"/>
    <w:rsid w:val="00A74568"/>
    <w:rsid w:val="00A74E8A"/>
    <w:rsid w:val="00A75335"/>
    <w:rsid w:val="00A76256"/>
    <w:rsid w:val="00A77871"/>
    <w:rsid w:val="00A77AC6"/>
    <w:rsid w:val="00A804F7"/>
    <w:rsid w:val="00A8100B"/>
    <w:rsid w:val="00A81AAC"/>
    <w:rsid w:val="00A8226D"/>
    <w:rsid w:val="00A82A0D"/>
    <w:rsid w:val="00A82E02"/>
    <w:rsid w:val="00A82F48"/>
    <w:rsid w:val="00A8321C"/>
    <w:rsid w:val="00A83309"/>
    <w:rsid w:val="00A83DD7"/>
    <w:rsid w:val="00A83F27"/>
    <w:rsid w:val="00A84855"/>
    <w:rsid w:val="00A8585C"/>
    <w:rsid w:val="00A86106"/>
    <w:rsid w:val="00A86457"/>
    <w:rsid w:val="00A86595"/>
    <w:rsid w:val="00A873D0"/>
    <w:rsid w:val="00A87547"/>
    <w:rsid w:val="00A87F44"/>
    <w:rsid w:val="00A87F50"/>
    <w:rsid w:val="00A904D1"/>
    <w:rsid w:val="00A906B0"/>
    <w:rsid w:val="00A90FEA"/>
    <w:rsid w:val="00A910A4"/>
    <w:rsid w:val="00A91B2A"/>
    <w:rsid w:val="00A91DE2"/>
    <w:rsid w:val="00A92389"/>
    <w:rsid w:val="00A93DE1"/>
    <w:rsid w:val="00A9400A"/>
    <w:rsid w:val="00A94347"/>
    <w:rsid w:val="00A948E2"/>
    <w:rsid w:val="00A94AB9"/>
    <w:rsid w:val="00A960EC"/>
    <w:rsid w:val="00A96ACD"/>
    <w:rsid w:val="00A9731A"/>
    <w:rsid w:val="00A9754C"/>
    <w:rsid w:val="00A97E66"/>
    <w:rsid w:val="00AA01B6"/>
    <w:rsid w:val="00AA1C9C"/>
    <w:rsid w:val="00AA3526"/>
    <w:rsid w:val="00AA4024"/>
    <w:rsid w:val="00AA40B9"/>
    <w:rsid w:val="00AA4489"/>
    <w:rsid w:val="00AA4C57"/>
    <w:rsid w:val="00AA4CC3"/>
    <w:rsid w:val="00AA4F74"/>
    <w:rsid w:val="00AA6161"/>
    <w:rsid w:val="00AA65F6"/>
    <w:rsid w:val="00AA6BB1"/>
    <w:rsid w:val="00AA6F2A"/>
    <w:rsid w:val="00AA747A"/>
    <w:rsid w:val="00AB083B"/>
    <w:rsid w:val="00AB0B1C"/>
    <w:rsid w:val="00AB18D6"/>
    <w:rsid w:val="00AB213C"/>
    <w:rsid w:val="00AB21AE"/>
    <w:rsid w:val="00AB39FD"/>
    <w:rsid w:val="00AB3A3A"/>
    <w:rsid w:val="00AB4125"/>
    <w:rsid w:val="00AB4370"/>
    <w:rsid w:val="00AB5046"/>
    <w:rsid w:val="00AB51CE"/>
    <w:rsid w:val="00AB5380"/>
    <w:rsid w:val="00AB5660"/>
    <w:rsid w:val="00AB57AD"/>
    <w:rsid w:val="00AB61BA"/>
    <w:rsid w:val="00AB680D"/>
    <w:rsid w:val="00AB6DE8"/>
    <w:rsid w:val="00AB7B1B"/>
    <w:rsid w:val="00AB7D75"/>
    <w:rsid w:val="00AC044C"/>
    <w:rsid w:val="00AC0869"/>
    <w:rsid w:val="00AC128C"/>
    <w:rsid w:val="00AC18FC"/>
    <w:rsid w:val="00AC23E6"/>
    <w:rsid w:val="00AC2DD7"/>
    <w:rsid w:val="00AC2EEF"/>
    <w:rsid w:val="00AC3C4B"/>
    <w:rsid w:val="00AC45FE"/>
    <w:rsid w:val="00AC4CC7"/>
    <w:rsid w:val="00AC4F11"/>
    <w:rsid w:val="00AC6179"/>
    <w:rsid w:val="00AC6A0D"/>
    <w:rsid w:val="00AC6B5F"/>
    <w:rsid w:val="00AC6F81"/>
    <w:rsid w:val="00AC6F97"/>
    <w:rsid w:val="00AC7199"/>
    <w:rsid w:val="00AC76A7"/>
    <w:rsid w:val="00AD05AF"/>
    <w:rsid w:val="00AD09F4"/>
    <w:rsid w:val="00AD1F28"/>
    <w:rsid w:val="00AD257A"/>
    <w:rsid w:val="00AD2E7F"/>
    <w:rsid w:val="00AD3882"/>
    <w:rsid w:val="00AD3F22"/>
    <w:rsid w:val="00AD4BDC"/>
    <w:rsid w:val="00AD503A"/>
    <w:rsid w:val="00AD53C3"/>
    <w:rsid w:val="00AD595A"/>
    <w:rsid w:val="00AD6997"/>
    <w:rsid w:val="00AD6D3A"/>
    <w:rsid w:val="00AD74CC"/>
    <w:rsid w:val="00AD7CFE"/>
    <w:rsid w:val="00AE014B"/>
    <w:rsid w:val="00AE02A4"/>
    <w:rsid w:val="00AE0A2C"/>
    <w:rsid w:val="00AE3725"/>
    <w:rsid w:val="00AE4930"/>
    <w:rsid w:val="00AE4F08"/>
    <w:rsid w:val="00AE5025"/>
    <w:rsid w:val="00AE533A"/>
    <w:rsid w:val="00AE5BF2"/>
    <w:rsid w:val="00AE6C26"/>
    <w:rsid w:val="00AF044F"/>
    <w:rsid w:val="00AF0DC6"/>
    <w:rsid w:val="00AF12BD"/>
    <w:rsid w:val="00AF1A2B"/>
    <w:rsid w:val="00AF1A73"/>
    <w:rsid w:val="00AF1BAE"/>
    <w:rsid w:val="00AF1E05"/>
    <w:rsid w:val="00AF2312"/>
    <w:rsid w:val="00AF2BEE"/>
    <w:rsid w:val="00AF3D3A"/>
    <w:rsid w:val="00AF402D"/>
    <w:rsid w:val="00AF4322"/>
    <w:rsid w:val="00AF4BC8"/>
    <w:rsid w:val="00AF51C2"/>
    <w:rsid w:val="00AF5413"/>
    <w:rsid w:val="00AF627C"/>
    <w:rsid w:val="00AF64B3"/>
    <w:rsid w:val="00AF72A0"/>
    <w:rsid w:val="00B005E3"/>
    <w:rsid w:val="00B00749"/>
    <w:rsid w:val="00B00A3E"/>
    <w:rsid w:val="00B01146"/>
    <w:rsid w:val="00B018CF"/>
    <w:rsid w:val="00B01FDE"/>
    <w:rsid w:val="00B02C50"/>
    <w:rsid w:val="00B0438E"/>
    <w:rsid w:val="00B04D38"/>
    <w:rsid w:val="00B04EE4"/>
    <w:rsid w:val="00B04F38"/>
    <w:rsid w:val="00B0504A"/>
    <w:rsid w:val="00B05DEB"/>
    <w:rsid w:val="00B05F0F"/>
    <w:rsid w:val="00B0690D"/>
    <w:rsid w:val="00B07911"/>
    <w:rsid w:val="00B07E46"/>
    <w:rsid w:val="00B10840"/>
    <w:rsid w:val="00B1096E"/>
    <w:rsid w:val="00B10C8C"/>
    <w:rsid w:val="00B112C0"/>
    <w:rsid w:val="00B112DE"/>
    <w:rsid w:val="00B12214"/>
    <w:rsid w:val="00B12C47"/>
    <w:rsid w:val="00B1314E"/>
    <w:rsid w:val="00B13E40"/>
    <w:rsid w:val="00B13EFB"/>
    <w:rsid w:val="00B1530C"/>
    <w:rsid w:val="00B159E5"/>
    <w:rsid w:val="00B165C0"/>
    <w:rsid w:val="00B16AA8"/>
    <w:rsid w:val="00B17DE6"/>
    <w:rsid w:val="00B17DED"/>
    <w:rsid w:val="00B2094F"/>
    <w:rsid w:val="00B20E1B"/>
    <w:rsid w:val="00B2107E"/>
    <w:rsid w:val="00B2445A"/>
    <w:rsid w:val="00B24CCE"/>
    <w:rsid w:val="00B25036"/>
    <w:rsid w:val="00B25475"/>
    <w:rsid w:val="00B257C4"/>
    <w:rsid w:val="00B271E4"/>
    <w:rsid w:val="00B301E9"/>
    <w:rsid w:val="00B31524"/>
    <w:rsid w:val="00B32E12"/>
    <w:rsid w:val="00B32E8B"/>
    <w:rsid w:val="00B346C6"/>
    <w:rsid w:val="00B34C7C"/>
    <w:rsid w:val="00B34F20"/>
    <w:rsid w:val="00B34FEB"/>
    <w:rsid w:val="00B351F8"/>
    <w:rsid w:val="00B35AD9"/>
    <w:rsid w:val="00B35D27"/>
    <w:rsid w:val="00B35ED2"/>
    <w:rsid w:val="00B36D9F"/>
    <w:rsid w:val="00B37CFC"/>
    <w:rsid w:val="00B405FC"/>
    <w:rsid w:val="00B419D3"/>
    <w:rsid w:val="00B41D13"/>
    <w:rsid w:val="00B425C6"/>
    <w:rsid w:val="00B43A26"/>
    <w:rsid w:val="00B43DA5"/>
    <w:rsid w:val="00B44B7B"/>
    <w:rsid w:val="00B44FD7"/>
    <w:rsid w:val="00B45E6B"/>
    <w:rsid w:val="00B46ABF"/>
    <w:rsid w:val="00B46C47"/>
    <w:rsid w:val="00B46EAF"/>
    <w:rsid w:val="00B470BE"/>
    <w:rsid w:val="00B47892"/>
    <w:rsid w:val="00B503A7"/>
    <w:rsid w:val="00B5144A"/>
    <w:rsid w:val="00B51B46"/>
    <w:rsid w:val="00B51D6C"/>
    <w:rsid w:val="00B51F92"/>
    <w:rsid w:val="00B52464"/>
    <w:rsid w:val="00B5343A"/>
    <w:rsid w:val="00B53D55"/>
    <w:rsid w:val="00B543C1"/>
    <w:rsid w:val="00B54B5D"/>
    <w:rsid w:val="00B55D3A"/>
    <w:rsid w:val="00B56119"/>
    <w:rsid w:val="00B57056"/>
    <w:rsid w:val="00B6063E"/>
    <w:rsid w:val="00B60C6F"/>
    <w:rsid w:val="00B615CC"/>
    <w:rsid w:val="00B621B5"/>
    <w:rsid w:val="00B624F1"/>
    <w:rsid w:val="00B6271F"/>
    <w:rsid w:val="00B629A5"/>
    <w:rsid w:val="00B62E8A"/>
    <w:rsid w:val="00B62FF4"/>
    <w:rsid w:val="00B63274"/>
    <w:rsid w:val="00B63316"/>
    <w:rsid w:val="00B633B1"/>
    <w:rsid w:val="00B63A68"/>
    <w:rsid w:val="00B63C8C"/>
    <w:rsid w:val="00B64D70"/>
    <w:rsid w:val="00B652D7"/>
    <w:rsid w:val="00B65627"/>
    <w:rsid w:val="00B65734"/>
    <w:rsid w:val="00B6573B"/>
    <w:rsid w:val="00B65832"/>
    <w:rsid w:val="00B65E30"/>
    <w:rsid w:val="00B6775A"/>
    <w:rsid w:val="00B67FA3"/>
    <w:rsid w:val="00B702BD"/>
    <w:rsid w:val="00B70303"/>
    <w:rsid w:val="00B70D02"/>
    <w:rsid w:val="00B70E5F"/>
    <w:rsid w:val="00B70EE4"/>
    <w:rsid w:val="00B71726"/>
    <w:rsid w:val="00B72127"/>
    <w:rsid w:val="00B72341"/>
    <w:rsid w:val="00B730E7"/>
    <w:rsid w:val="00B734A6"/>
    <w:rsid w:val="00B73B26"/>
    <w:rsid w:val="00B758AC"/>
    <w:rsid w:val="00B76B1C"/>
    <w:rsid w:val="00B77292"/>
    <w:rsid w:val="00B80C95"/>
    <w:rsid w:val="00B820C9"/>
    <w:rsid w:val="00B83084"/>
    <w:rsid w:val="00B83C63"/>
    <w:rsid w:val="00B84E32"/>
    <w:rsid w:val="00B86D4C"/>
    <w:rsid w:val="00B86EE6"/>
    <w:rsid w:val="00B86F53"/>
    <w:rsid w:val="00B875AA"/>
    <w:rsid w:val="00B87822"/>
    <w:rsid w:val="00B87F0E"/>
    <w:rsid w:val="00B90BC3"/>
    <w:rsid w:val="00B924B0"/>
    <w:rsid w:val="00B931BD"/>
    <w:rsid w:val="00B936BD"/>
    <w:rsid w:val="00B9377F"/>
    <w:rsid w:val="00B939BF"/>
    <w:rsid w:val="00B94FCA"/>
    <w:rsid w:val="00B956E7"/>
    <w:rsid w:val="00B95A74"/>
    <w:rsid w:val="00B96037"/>
    <w:rsid w:val="00B962DA"/>
    <w:rsid w:val="00B9706A"/>
    <w:rsid w:val="00B97B95"/>
    <w:rsid w:val="00BA0483"/>
    <w:rsid w:val="00BA0830"/>
    <w:rsid w:val="00BA191B"/>
    <w:rsid w:val="00BA4744"/>
    <w:rsid w:val="00BA4781"/>
    <w:rsid w:val="00BA4B91"/>
    <w:rsid w:val="00BA4BE8"/>
    <w:rsid w:val="00BA5072"/>
    <w:rsid w:val="00BA555E"/>
    <w:rsid w:val="00BA5E0E"/>
    <w:rsid w:val="00BA600D"/>
    <w:rsid w:val="00BA6213"/>
    <w:rsid w:val="00BA6E7F"/>
    <w:rsid w:val="00BA7195"/>
    <w:rsid w:val="00BA7BE9"/>
    <w:rsid w:val="00BB0A78"/>
    <w:rsid w:val="00BB0ADF"/>
    <w:rsid w:val="00BB0CA8"/>
    <w:rsid w:val="00BB1380"/>
    <w:rsid w:val="00BB1D4D"/>
    <w:rsid w:val="00BB1F23"/>
    <w:rsid w:val="00BB23D9"/>
    <w:rsid w:val="00BB334F"/>
    <w:rsid w:val="00BB3490"/>
    <w:rsid w:val="00BB402A"/>
    <w:rsid w:val="00BB52DF"/>
    <w:rsid w:val="00BB605E"/>
    <w:rsid w:val="00BB6695"/>
    <w:rsid w:val="00BB6750"/>
    <w:rsid w:val="00BB69AB"/>
    <w:rsid w:val="00BB7294"/>
    <w:rsid w:val="00BB7E0B"/>
    <w:rsid w:val="00BC035B"/>
    <w:rsid w:val="00BC082F"/>
    <w:rsid w:val="00BC0927"/>
    <w:rsid w:val="00BC14DF"/>
    <w:rsid w:val="00BC18B4"/>
    <w:rsid w:val="00BC2D2E"/>
    <w:rsid w:val="00BC3369"/>
    <w:rsid w:val="00BC378D"/>
    <w:rsid w:val="00BC37DD"/>
    <w:rsid w:val="00BC3A34"/>
    <w:rsid w:val="00BC468A"/>
    <w:rsid w:val="00BC4920"/>
    <w:rsid w:val="00BC5CE2"/>
    <w:rsid w:val="00BC6B24"/>
    <w:rsid w:val="00BC7062"/>
    <w:rsid w:val="00BC7512"/>
    <w:rsid w:val="00BC78F6"/>
    <w:rsid w:val="00BD0E06"/>
    <w:rsid w:val="00BD12A5"/>
    <w:rsid w:val="00BD13D1"/>
    <w:rsid w:val="00BD1EB9"/>
    <w:rsid w:val="00BD26A2"/>
    <w:rsid w:val="00BD283B"/>
    <w:rsid w:val="00BD30E0"/>
    <w:rsid w:val="00BD3A43"/>
    <w:rsid w:val="00BD3E85"/>
    <w:rsid w:val="00BD3EC7"/>
    <w:rsid w:val="00BD400C"/>
    <w:rsid w:val="00BD42E5"/>
    <w:rsid w:val="00BD488D"/>
    <w:rsid w:val="00BD5B07"/>
    <w:rsid w:val="00BD6000"/>
    <w:rsid w:val="00BD64BA"/>
    <w:rsid w:val="00BD652C"/>
    <w:rsid w:val="00BD7AE4"/>
    <w:rsid w:val="00BE008C"/>
    <w:rsid w:val="00BE0ECB"/>
    <w:rsid w:val="00BE151A"/>
    <w:rsid w:val="00BE186F"/>
    <w:rsid w:val="00BE1A1E"/>
    <w:rsid w:val="00BE4004"/>
    <w:rsid w:val="00BE5759"/>
    <w:rsid w:val="00BE7133"/>
    <w:rsid w:val="00BE71E8"/>
    <w:rsid w:val="00BE7511"/>
    <w:rsid w:val="00BE7726"/>
    <w:rsid w:val="00BE7BAB"/>
    <w:rsid w:val="00BF0830"/>
    <w:rsid w:val="00BF0B5B"/>
    <w:rsid w:val="00BF0E0D"/>
    <w:rsid w:val="00BF0FB0"/>
    <w:rsid w:val="00BF216F"/>
    <w:rsid w:val="00BF24CB"/>
    <w:rsid w:val="00BF29D6"/>
    <w:rsid w:val="00BF2AF8"/>
    <w:rsid w:val="00BF2C99"/>
    <w:rsid w:val="00BF3169"/>
    <w:rsid w:val="00BF4542"/>
    <w:rsid w:val="00BF4E7C"/>
    <w:rsid w:val="00BF53B0"/>
    <w:rsid w:val="00BF5997"/>
    <w:rsid w:val="00BF5D2B"/>
    <w:rsid w:val="00BF6398"/>
    <w:rsid w:val="00BF6CD6"/>
    <w:rsid w:val="00BF7048"/>
    <w:rsid w:val="00BF7522"/>
    <w:rsid w:val="00BF791F"/>
    <w:rsid w:val="00C00273"/>
    <w:rsid w:val="00C00495"/>
    <w:rsid w:val="00C00C25"/>
    <w:rsid w:val="00C00E24"/>
    <w:rsid w:val="00C00F42"/>
    <w:rsid w:val="00C0125F"/>
    <w:rsid w:val="00C01EF0"/>
    <w:rsid w:val="00C02040"/>
    <w:rsid w:val="00C02D6B"/>
    <w:rsid w:val="00C03BED"/>
    <w:rsid w:val="00C041C8"/>
    <w:rsid w:val="00C048B7"/>
    <w:rsid w:val="00C04E88"/>
    <w:rsid w:val="00C050E4"/>
    <w:rsid w:val="00C05AD6"/>
    <w:rsid w:val="00C05CAD"/>
    <w:rsid w:val="00C0654E"/>
    <w:rsid w:val="00C071D9"/>
    <w:rsid w:val="00C07483"/>
    <w:rsid w:val="00C074E8"/>
    <w:rsid w:val="00C076B2"/>
    <w:rsid w:val="00C079D4"/>
    <w:rsid w:val="00C10317"/>
    <w:rsid w:val="00C10EDD"/>
    <w:rsid w:val="00C11166"/>
    <w:rsid w:val="00C11173"/>
    <w:rsid w:val="00C11942"/>
    <w:rsid w:val="00C12230"/>
    <w:rsid w:val="00C128F7"/>
    <w:rsid w:val="00C12971"/>
    <w:rsid w:val="00C13C85"/>
    <w:rsid w:val="00C13D06"/>
    <w:rsid w:val="00C13D5B"/>
    <w:rsid w:val="00C144E0"/>
    <w:rsid w:val="00C149E2"/>
    <w:rsid w:val="00C14C55"/>
    <w:rsid w:val="00C16316"/>
    <w:rsid w:val="00C165F3"/>
    <w:rsid w:val="00C16A1E"/>
    <w:rsid w:val="00C16A3D"/>
    <w:rsid w:val="00C17121"/>
    <w:rsid w:val="00C1794B"/>
    <w:rsid w:val="00C17B96"/>
    <w:rsid w:val="00C2096A"/>
    <w:rsid w:val="00C20C42"/>
    <w:rsid w:val="00C21721"/>
    <w:rsid w:val="00C2226B"/>
    <w:rsid w:val="00C222FA"/>
    <w:rsid w:val="00C22AF7"/>
    <w:rsid w:val="00C23274"/>
    <w:rsid w:val="00C239C2"/>
    <w:rsid w:val="00C241E8"/>
    <w:rsid w:val="00C244D4"/>
    <w:rsid w:val="00C248B1"/>
    <w:rsid w:val="00C249C9"/>
    <w:rsid w:val="00C251D2"/>
    <w:rsid w:val="00C2527B"/>
    <w:rsid w:val="00C25DB2"/>
    <w:rsid w:val="00C26AD9"/>
    <w:rsid w:val="00C27438"/>
    <w:rsid w:val="00C27556"/>
    <w:rsid w:val="00C278F7"/>
    <w:rsid w:val="00C279DA"/>
    <w:rsid w:val="00C27CAD"/>
    <w:rsid w:val="00C27D7F"/>
    <w:rsid w:val="00C3034C"/>
    <w:rsid w:val="00C3037C"/>
    <w:rsid w:val="00C30DAB"/>
    <w:rsid w:val="00C317C6"/>
    <w:rsid w:val="00C31F13"/>
    <w:rsid w:val="00C32723"/>
    <w:rsid w:val="00C33032"/>
    <w:rsid w:val="00C336E9"/>
    <w:rsid w:val="00C336FB"/>
    <w:rsid w:val="00C33C92"/>
    <w:rsid w:val="00C349E3"/>
    <w:rsid w:val="00C34E1E"/>
    <w:rsid w:val="00C34EB9"/>
    <w:rsid w:val="00C35F46"/>
    <w:rsid w:val="00C36507"/>
    <w:rsid w:val="00C376CC"/>
    <w:rsid w:val="00C4082B"/>
    <w:rsid w:val="00C40A50"/>
    <w:rsid w:val="00C40C2E"/>
    <w:rsid w:val="00C40C79"/>
    <w:rsid w:val="00C41826"/>
    <w:rsid w:val="00C419FB"/>
    <w:rsid w:val="00C42095"/>
    <w:rsid w:val="00C42190"/>
    <w:rsid w:val="00C428E8"/>
    <w:rsid w:val="00C42C58"/>
    <w:rsid w:val="00C4385E"/>
    <w:rsid w:val="00C44730"/>
    <w:rsid w:val="00C44B66"/>
    <w:rsid w:val="00C44F69"/>
    <w:rsid w:val="00C44FDE"/>
    <w:rsid w:val="00C471FF"/>
    <w:rsid w:val="00C4791E"/>
    <w:rsid w:val="00C500A9"/>
    <w:rsid w:val="00C50785"/>
    <w:rsid w:val="00C50DB6"/>
    <w:rsid w:val="00C51C1A"/>
    <w:rsid w:val="00C52109"/>
    <w:rsid w:val="00C52B84"/>
    <w:rsid w:val="00C52D99"/>
    <w:rsid w:val="00C53000"/>
    <w:rsid w:val="00C53469"/>
    <w:rsid w:val="00C537E1"/>
    <w:rsid w:val="00C547CE"/>
    <w:rsid w:val="00C550F8"/>
    <w:rsid w:val="00C55AB2"/>
    <w:rsid w:val="00C55CA9"/>
    <w:rsid w:val="00C55D1F"/>
    <w:rsid w:val="00C55E71"/>
    <w:rsid w:val="00C5797A"/>
    <w:rsid w:val="00C60265"/>
    <w:rsid w:val="00C60F50"/>
    <w:rsid w:val="00C60FD7"/>
    <w:rsid w:val="00C610C0"/>
    <w:rsid w:val="00C610DF"/>
    <w:rsid w:val="00C61482"/>
    <w:rsid w:val="00C61766"/>
    <w:rsid w:val="00C61A54"/>
    <w:rsid w:val="00C62219"/>
    <w:rsid w:val="00C62824"/>
    <w:rsid w:val="00C62C08"/>
    <w:rsid w:val="00C6315B"/>
    <w:rsid w:val="00C63673"/>
    <w:rsid w:val="00C63F4B"/>
    <w:rsid w:val="00C648C1"/>
    <w:rsid w:val="00C64CFD"/>
    <w:rsid w:val="00C64E70"/>
    <w:rsid w:val="00C64EED"/>
    <w:rsid w:val="00C65641"/>
    <w:rsid w:val="00C6601B"/>
    <w:rsid w:val="00C67945"/>
    <w:rsid w:val="00C67C10"/>
    <w:rsid w:val="00C7042C"/>
    <w:rsid w:val="00C70B53"/>
    <w:rsid w:val="00C70EF5"/>
    <w:rsid w:val="00C715D6"/>
    <w:rsid w:val="00C716CE"/>
    <w:rsid w:val="00C71932"/>
    <w:rsid w:val="00C71A92"/>
    <w:rsid w:val="00C72D98"/>
    <w:rsid w:val="00C72F1B"/>
    <w:rsid w:val="00C73A3F"/>
    <w:rsid w:val="00C73F9F"/>
    <w:rsid w:val="00C74267"/>
    <w:rsid w:val="00C7448B"/>
    <w:rsid w:val="00C74D83"/>
    <w:rsid w:val="00C750A2"/>
    <w:rsid w:val="00C75171"/>
    <w:rsid w:val="00C75CBD"/>
    <w:rsid w:val="00C75D8F"/>
    <w:rsid w:val="00C76125"/>
    <w:rsid w:val="00C7660E"/>
    <w:rsid w:val="00C76682"/>
    <w:rsid w:val="00C76F6D"/>
    <w:rsid w:val="00C7774A"/>
    <w:rsid w:val="00C77CA0"/>
    <w:rsid w:val="00C801AD"/>
    <w:rsid w:val="00C80D53"/>
    <w:rsid w:val="00C83300"/>
    <w:rsid w:val="00C83812"/>
    <w:rsid w:val="00C83B14"/>
    <w:rsid w:val="00C84439"/>
    <w:rsid w:val="00C84485"/>
    <w:rsid w:val="00C871EE"/>
    <w:rsid w:val="00C8747A"/>
    <w:rsid w:val="00C87714"/>
    <w:rsid w:val="00C87D47"/>
    <w:rsid w:val="00C90734"/>
    <w:rsid w:val="00C9154D"/>
    <w:rsid w:val="00C91BF4"/>
    <w:rsid w:val="00C91C97"/>
    <w:rsid w:val="00C91DBE"/>
    <w:rsid w:val="00C939C6"/>
    <w:rsid w:val="00C944EE"/>
    <w:rsid w:val="00C94849"/>
    <w:rsid w:val="00C949AA"/>
    <w:rsid w:val="00C94AF0"/>
    <w:rsid w:val="00C95EF6"/>
    <w:rsid w:val="00C9763F"/>
    <w:rsid w:val="00C9783D"/>
    <w:rsid w:val="00CA0393"/>
    <w:rsid w:val="00CA0876"/>
    <w:rsid w:val="00CA106D"/>
    <w:rsid w:val="00CA1330"/>
    <w:rsid w:val="00CA1670"/>
    <w:rsid w:val="00CA1ABA"/>
    <w:rsid w:val="00CA323D"/>
    <w:rsid w:val="00CA4642"/>
    <w:rsid w:val="00CA4887"/>
    <w:rsid w:val="00CA4C32"/>
    <w:rsid w:val="00CA5181"/>
    <w:rsid w:val="00CA6D27"/>
    <w:rsid w:val="00CA7689"/>
    <w:rsid w:val="00CA7756"/>
    <w:rsid w:val="00CA7772"/>
    <w:rsid w:val="00CA7B3B"/>
    <w:rsid w:val="00CA7F84"/>
    <w:rsid w:val="00CB05D1"/>
    <w:rsid w:val="00CB1F4D"/>
    <w:rsid w:val="00CB2B93"/>
    <w:rsid w:val="00CB2CD8"/>
    <w:rsid w:val="00CB2F6F"/>
    <w:rsid w:val="00CB381B"/>
    <w:rsid w:val="00CB3902"/>
    <w:rsid w:val="00CB3BF8"/>
    <w:rsid w:val="00CB3F2B"/>
    <w:rsid w:val="00CB4851"/>
    <w:rsid w:val="00CB4C00"/>
    <w:rsid w:val="00CB547D"/>
    <w:rsid w:val="00CB5D06"/>
    <w:rsid w:val="00CB5F3F"/>
    <w:rsid w:val="00CC0BBD"/>
    <w:rsid w:val="00CC14AD"/>
    <w:rsid w:val="00CC1D59"/>
    <w:rsid w:val="00CC1DF2"/>
    <w:rsid w:val="00CC1FF8"/>
    <w:rsid w:val="00CC283C"/>
    <w:rsid w:val="00CC30D0"/>
    <w:rsid w:val="00CC310C"/>
    <w:rsid w:val="00CC3138"/>
    <w:rsid w:val="00CC392B"/>
    <w:rsid w:val="00CC3A25"/>
    <w:rsid w:val="00CC4078"/>
    <w:rsid w:val="00CC409A"/>
    <w:rsid w:val="00CC43EA"/>
    <w:rsid w:val="00CC4715"/>
    <w:rsid w:val="00CC48E1"/>
    <w:rsid w:val="00CC4DF5"/>
    <w:rsid w:val="00CC519F"/>
    <w:rsid w:val="00CC6F28"/>
    <w:rsid w:val="00CC7324"/>
    <w:rsid w:val="00CC73EB"/>
    <w:rsid w:val="00CD0939"/>
    <w:rsid w:val="00CD0C6A"/>
    <w:rsid w:val="00CD0CC7"/>
    <w:rsid w:val="00CD1365"/>
    <w:rsid w:val="00CD1B73"/>
    <w:rsid w:val="00CD20C0"/>
    <w:rsid w:val="00CD2E41"/>
    <w:rsid w:val="00CD2EA3"/>
    <w:rsid w:val="00CD379F"/>
    <w:rsid w:val="00CD4642"/>
    <w:rsid w:val="00CD5D3F"/>
    <w:rsid w:val="00CD5D97"/>
    <w:rsid w:val="00CD7528"/>
    <w:rsid w:val="00CE0E30"/>
    <w:rsid w:val="00CE119C"/>
    <w:rsid w:val="00CE13B1"/>
    <w:rsid w:val="00CE1400"/>
    <w:rsid w:val="00CE1B71"/>
    <w:rsid w:val="00CE2B23"/>
    <w:rsid w:val="00CE4360"/>
    <w:rsid w:val="00CE45B9"/>
    <w:rsid w:val="00CE74B1"/>
    <w:rsid w:val="00CE795F"/>
    <w:rsid w:val="00CE7BB1"/>
    <w:rsid w:val="00CF02D0"/>
    <w:rsid w:val="00CF039D"/>
    <w:rsid w:val="00CF0474"/>
    <w:rsid w:val="00CF08BE"/>
    <w:rsid w:val="00CF09D3"/>
    <w:rsid w:val="00CF12EA"/>
    <w:rsid w:val="00CF1878"/>
    <w:rsid w:val="00CF3286"/>
    <w:rsid w:val="00CF38D0"/>
    <w:rsid w:val="00CF4182"/>
    <w:rsid w:val="00CF4EC8"/>
    <w:rsid w:val="00CF53FF"/>
    <w:rsid w:val="00CF5739"/>
    <w:rsid w:val="00CF635F"/>
    <w:rsid w:val="00CF6D1E"/>
    <w:rsid w:val="00D0110E"/>
    <w:rsid w:val="00D01F24"/>
    <w:rsid w:val="00D0241C"/>
    <w:rsid w:val="00D024A3"/>
    <w:rsid w:val="00D0257F"/>
    <w:rsid w:val="00D02614"/>
    <w:rsid w:val="00D02690"/>
    <w:rsid w:val="00D030A7"/>
    <w:rsid w:val="00D04421"/>
    <w:rsid w:val="00D044EC"/>
    <w:rsid w:val="00D047CD"/>
    <w:rsid w:val="00D04BFE"/>
    <w:rsid w:val="00D04F0C"/>
    <w:rsid w:val="00D070FF"/>
    <w:rsid w:val="00D07BA0"/>
    <w:rsid w:val="00D11210"/>
    <w:rsid w:val="00D117A7"/>
    <w:rsid w:val="00D11845"/>
    <w:rsid w:val="00D12E4B"/>
    <w:rsid w:val="00D1325A"/>
    <w:rsid w:val="00D14D54"/>
    <w:rsid w:val="00D1590D"/>
    <w:rsid w:val="00D16167"/>
    <w:rsid w:val="00D16180"/>
    <w:rsid w:val="00D161CE"/>
    <w:rsid w:val="00D164C8"/>
    <w:rsid w:val="00D17A81"/>
    <w:rsid w:val="00D20606"/>
    <w:rsid w:val="00D20E2E"/>
    <w:rsid w:val="00D21AC0"/>
    <w:rsid w:val="00D21BFA"/>
    <w:rsid w:val="00D2313F"/>
    <w:rsid w:val="00D23E9F"/>
    <w:rsid w:val="00D24F43"/>
    <w:rsid w:val="00D26083"/>
    <w:rsid w:val="00D26D5E"/>
    <w:rsid w:val="00D26F10"/>
    <w:rsid w:val="00D2701B"/>
    <w:rsid w:val="00D2705E"/>
    <w:rsid w:val="00D274A4"/>
    <w:rsid w:val="00D27E14"/>
    <w:rsid w:val="00D30324"/>
    <w:rsid w:val="00D306D0"/>
    <w:rsid w:val="00D3071B"/>
    <w:rsid w:val="00D312EA"/>
    <w:rsid w:val="00D31528"/>
    <w:rsid w:val="00D321FA"/>
    <w:rsid w:val="00D32E98"/>
    <w:rsid w:val="00D33044"/>
    <w:rsid w:val="00D3368C"/>
    <w:rsid w:val="00D33A6F"/>
    <w:rsid w:val="00D33DAE"/>
    <w:rsid w:val="00D33EB1"/>
    <w:rsid w:val="00D341C0"/>
    <w:rsid w:val="00D34412"/>
    <w:rsid w:val="00D36881"/>
    <w:rsid w:val="00D3745B"/>
    <w:rsid w:val="00D3767C"/>
    <w:rsid w:val="00D41007"/>
    <w:rsid w:val="00D41C94"/>
    <w:rsid w:val="00D4294D"/>
    <w:rsid w:val="00D42C10"/>
    <w:rsid w:val="00D42D24"/>
    <w:rsid w:val="00D4322C"/>
    <w:rsid w:val="00D4474A"/>
    <w:rsid w:val="00D4528D"/>
    <w:rsid w:val="00D45745"/>
    <w:rsid w:val="00D45B8C"/>
    <w:rsid w:val="00D4631E"/>
    <w:rsid w:val="00D46477"/>
    <w:rsid w:val="00D47296"/>
    <w:rsid w:val="00D47563"/>
    <w:rsid w:val="00D4761C"/>
    <w:rsid w:val="00D47A85"/>
    <w:rsid w:val="00D508E4"/>
    <w:rsid w:val="00D5222F"/>
    <w:rsid w:val="00D528FB"/>
    <w:rsid w:val="00D52CF0"/>
    <w:rsid w:val="00D54578"/>
    <w:rsid w:val="00D54E4D"/>
    <w:rsid w:val="00D55C9A"/>
    <w:rsid w:val="00D562B5"/>
    <w:rsid w:val="00D56850"/>
    <w:rsid w:val="00D56D7A"/>
    <w:rsid w:val="00D57DC5"/>
    <w:rsid w:val="00D60D38"/>
    <w:rsid w:val="00D61470"/>
    <w:rsid w:val="00D61E50"/>
    <w:rsid w:val="00D61F88"/>
    <w:rsid w:val="00D63C3C"/>
    <w:rsid w:val="00D64B84"/>
    <w:rsid w:val="00D64F9D"/>
    <w:rsid w:val="00D67F67"/>
    <w:rsid w:val="00D701FD"/>
    <w:rsid w:val="00D70D92"/>
    <w:rsid w:val="00D714E5"/>
    <w:rsid w:val="00D714E9"/>
    <w:rsid w:val="00D71A6D"/>
    <w:rsid w:val="00D726A5"/>
    <w:rsid w:val="00D72980"/>
    <w:rsid w:val="00D72E8C"/>
    <w:rsid w:val="00D73116"/>
    <w:rsid w:val="00D73ED0"/>
    <w:rsid w:val="00D74CCF"/>
    <w:rsid w:val="00D74D8B"/>
    <w:rsid w:val="00D75099"/>
    <w:rsid w:val="00D762CF"/>
    <w:rsid w:val="00D77AC4"/>
    <w:rsid w:val="00D77C21"/>
    <w:rsid w:val="00D77D53"/>
    <w:rsid w:val="00D8108B"/>
    <w:rsid w:val="00D81C09"/>
    <w:rsid w:val="00D81E4A"/>
    <w:rsid w:val="00D826A4"/>
    <w:rsid w:val="00D828F5"/>
    <w:rsid w:val="00D8329F"/>
    <w:rsid w:val="00D834A6"/>
    <w:rsid w:val="00D84FB2"/>
    <w:rsid w:val="00D850C3"/>
    <w:rsid w:val="00D855B5"/>
    <w:rsid w:val="00D86322"/>
    <w:rsid w:val="00D864DA"/>
    <w:rsid w:val="00D86FF6"/>
    <w:rsid w:val="00D873A4"/>
    <w:rsid w:val="00D87C4C"/>
    <w:rsid w:val="00D9073C"/>
    <w:rsid w:val="00D90ED1"/>
    <w:rsid w:val="00D90FC0"/>
    <w:rsid w:val="00D90FDD"/>
    <w:rsid w:val="00D9106F"/>
    <w:rsid w:val="00D91635"/>
    <w:rsid w:val="00D9167B"/>
    <w:rsid w:val="00D917DF"/>
    <w:rsid w:val="00D9183C"/>
    <w:rsid w:val="00D920D2"/>
    <w:rsid w:val="00D927D3"/>
    <w:rsid w:val="00D934B2"/>
    <w:rsid w:val="00D95F9C"/>
    <w:rsid w:val="00D96806"/>
    <w:rsid w:val="00D97F0F"/>
    <w:rsid w:val="00DA0474"/>
    <w:rsid w:val="00DA0ACF"/>
    <w:rsid w:val="00DA0B65"/>
    <w:rsid w:val="00DA277B"/>
    <w:rsid w:val="00DA299D"/>
    <w:rsid w:val="00DA3716"/>
    <w:rsid w:val="00DA3C00"/>
    <w:rsid w:val="00DA3F8F"/>
    <w:rsid w:val="00DA42E2"/>
    <w:rsid w:val="00DA44A9"/>
    <w:rsid w:val="00DA46F8"/>
    <w:rsid w:val="00DA483E"/>
    <w:rsid w:val="00DA4D2E"/>
    <w:rsid w:val="00DA515F"/>
    <w:rsid w:val="00DA5420"/>
    <w:rsid w:val="00DA5A94"/>
    <w:rsid w:val="00DA5B25"/>
    <w:rsid w:val="00DA5C49"/>
    <w:rsid w:val="00DA7F6E"/>
    <w:rsid w:val="00DB0CAD"/>
    <w:rsid w:val="00DB0E0C"/>
    <w:rsid w:val="00DB176C"/>
    <w:rsid w:val="00DB1B32"/>
    <w:rsid w:val="00DB1ECC"/>
    <w:rsid w:val="00DB2020"/>
    <w:rsid w:val="00DB216C"/>
    <w:rsid w:val="00DB24D8"/>
    <w:rsid w:val="00DB2B56"/>
    <w:rsid w:val="00DB3E39"/>
    <w:rsid w:val="00DB4B73"/>
    <w:rsid w:val="00DB4F0C"/>
    <w:rsid w:val="00DB55A6"/>
    <w:rsid w:val="00DB5A10"/>
    <w:rsid w:val="00DB608B"/>
    <w:rsid w:val="00DB66DF"/>
    <w:rsid w:val="00DB6D38"/>
    <w:rsid w:val="00DB7278"/>
    <w:rsid w:val="00DB7854"/>
    <w:rsid w:val="00DC0F77"/>
    <w:rsid w:val="00DC0F86"/>
    <w:rsid w:val="00DC168E"/>
    <w:rsid w:val="00DC2A18"/>
    <w:rsid w:val="00DC2DE2"/>
    <w:rsid w:val="00DC30A0"/>
    <w:rsid w:val="00DC32C8"/>
    <w:rsid w:val="00DC3E46"/>
    <w:rsid w:val="00DC4199"/>
    <w:rsid w:val="00DC4434"/>
    <w:rsid w:val="00DC530A"/>
    <w:rsid w:val="00DC7FA3"/>
    <w:rsid w:val="00DD199D"/>
    <w:rsid w:val="00DD1F23"/>
    <w:rsid w:val="00DD1F9D"/>
    <w:rsid w:val="00DD22DF"/>
    <w:rsid w:val="00DD2E4A"/>
    <w:rsid w:val="00DD2E6C"/>
    <w:rsid w:val="00DD3D47"/>
    <w:rsid w:val="00DD41CC"/>
    <w:rsid w:val="00DD499F"/>
    <w:rsid w:val="00DD4F88"/>
    <w:rsid w:val="00DD556D"/>
    <w:rsid w:val="00DD5FA4"/>
    <w:rsid w:val="00DD66B0"/>
    <w:rsid w:val="00DD799E"/>
    <w:rsid w:val="00DD7BE5"/>
    <w:rsid w:val="00DE056B"/>
    <w:rsid w:val="00DE0BE2"/>
    <w:rsid w:val="00DE0E37"/>
    <w:rsid w:val="00DE1A08"/>
    <w:rsid w:val="00DE2A01"/>
    <w:rsid w:val="00DE3251"/>
    <w:rsid w:val="00DE3605"/>
    <w:rsid w:val="00DE383A"/>
    <w:rsid w:val="00DE3BFB"/>
    <w:rsid w:val="00DE4350"/>
    <w:rsid w:val="00DE45AF"/>
    <w:rsid w:val="00DE535E"/>
    <w:rsid w:val="00DE57C6"/>
    <w:rsid w:val="00DE5996"/>
    <w:rsid w:val="00DE5B22"/>
    <w:rsid w:val="00DE7D19"/>
    <w:rsid w:val="00DF00B2"/>
    <w:rsid w:val="00DF014A"/>
    <w:rsid w:val="00DF033C"/>
    <w:rsid w:val="00DF03A4"/>
    <w:rsid w:val="00DF0962"/>
    <w:rsid w:val="00DF0A75"/>
    <w:rsid w:val="00DF1D34"/>
    <w:rsid w:val="00DF1FC4"/>
    <w:rsid w:val="00DF2B86"/>
    <w:rsid w:val="00DF3553"/>
    <w:rsid w:val="00DF3B62"/>
    <w:rsid w:val="00DF3D7E"/>
    <w:rsid w:val="00DF3EC8"/>
    <w:rsid w:val="00DF45EA"/>
    <w:rsid w:val="00DF485D"/>
    <w:rsid w:val="00DF5165"/>
    <w:rsid w:val="00DF57B8"/>
    <w:rsid w:val="00DF5E16"/>
    <w:rsid w:val="00DF5E22"/>
    <w:rsid w:val="00DF6805"/>
    <w:rsid w:val="00DF6B7D"/>
    <w:rsid w:val="00DF6DA2"/>
    <w:rsid w:val="00DF72E7"/>
    <w:rsid w:val="00DF738A"/>
    <w:rsid w:val="00DF7636"/>
    <w:rsid w:val="00DF7F60"/>
    <w:rsid w:val="00E00731"/>
    <w:rsid w:val="00E01285"/>
    <w:rsid w:val="00E01692"/>
    <w:rsid w:val="00E01989"/>
    <w:rsid w:val="00E01F98"/>
    <w:rsid w:val="00E02FDC"/>
    <w:rsid w:val="00E030E8"/>
    <w:rsid w:val="00E04376"/>
    <w:rsid w:val="00E0515E"/>
    <w:rsid w:val="00E0564C"/>
    <w:rsid w:val="00E05657"/>
    <w:rsid w:val="00E057F0"/>
    <w:rsid w:val="00E10DB4"/>
    <w:rsid w:val="00E1132C"/>
    <w:rsid w:val="00E11542"/>
    <w:rsid w:val="00E1164C"/>
    <w:rsid w:val="00E12700"/>
    <w:rsid w:val="00E133E2"/>
    <w:rsid w:val="00E13DB6"/>
    <w:rsid w:val="00E14F2B"/>
    <w:rsid w:val="00E16153"/>
    <w:rsid w:val="00E1632F"/>
    <w:rsid w:val="00E177AC"/>
    <w:rsid w:val="00E20BF3"/>
    <w:rsid w:val="00E215F6"/>
    <w:rsid w:val="00E22086"/>
    <w:rsid w:val="00E22291"/>
    <w:rsid w:val="00E2375E"/>
    <w:rsid w:val="00E23948"/>
    <w:rsid w:val="00E23FD8"/>
    <w:rsid w:val="00E24A71"/>
    <w:rsid w:val="00E24A7C"/>
    <w:rsid w:val="00E25421"/>
    <w:rsid w:val="00E25781"/>
    <w:rsid w:val="00E25837"/>
    <w:rsid w:val="00E25E50"/>
    <w:rsid w:val="00E25FAB"/>
    <w:rsid w:val="00E261CE"/>
    <w:rsid w:val="00E2639B"/>
    <w:rsid w:val="00E2691C"/>
    <w:rsid w:val="00E26BF8"/>
    <w:rsid w:val="00E277FE"/>
    <w:rsid w:val="00E27BC8"/>
    <w:rsid w:val="00E3040D"/>
    <w:rsid w:val="00E30449"/>
    <w:rsid w:val="00E31AF7"/>
    <w:rsid w:val="00E31ED7"/>
    <w:rsid w:val="00E32301"/>
    <w:rsid w:val="00E32F4D"/>
    <w:rsid w:val="00E348AC"/>
    <w:rsid w:val="00E34C8D"/>
    <w:rsid w:val="00E3638F"/>
    <w:rsid w:val="00E4047E"/>
    <w:rsid w:val="00E4059C"/>
    <w:rsid w:val="00E41195"/>
    <w:rsid w:val="00E426A0"/>
    <w:rsid w:val="00E42723"/>
    <w:rsid w:val="00E42FE8"/>
    <w:rsid w:val="00E43346"/>
    <w:rsid w:val="00E43F13"/>
    <w:rsid w:val="00E442FF"/>
    <w:rsid w:val="00E44559"/>
    <w:rsid w:val="00E4574F"/>
    <w:rsid w:val="00E465F3"/>
    <w:rsid w:val="00E479F9"/>
    <w:rsid w:val="00E501AE"/>
    <w:rsid w:val="00E50654"/>
    <w:rsid w:val="00E51571"/>
    <w:rsid w:val="00E5190E"/>
    <w:rsid w:val="00E51B20"/>
    <w:rsid w:val="00E52EF6"/>
    <w:rsid w:val="00E52F27"/>
    <w:rsid w:val="00E5393B"/>
    <w:rsid w:val="00E53C81"/>
    <w:rsid w:val="00E53D88"/>
    <w:rsid w:val="00E540C1"/>
    <w:rsid w:val="00E54827"/>
    <w:rsid w:val="00E549CD"/>
    <w:rsid w:val="00E54A01"/>
    <w:rsid w:val="00E55133"/>
    <w:rsid w:val="00E55456"/>
    <w:rsid w:val="00E5599A"/>
    <w:rsid w:val="00E5683A"/>
    <w:rsid w:val="00E56864"/>
    <w:rsid w:val="00E5702B"/>
    <w:rsid w:val="00E57BDB"/>
    <w:rsid w:val="00E601B3"/>
    <w:rsid w:val="00E60ACB"/>
    <w:rsid w:val="00E60B92"/>
    <w:rsid w:val="00E61D73"/>
    <w:rsid w:val="00E62165"/>
    <w:rsid w:val="00E6351A"/>
    <w:rsid w:val="00E63BC0"/>
    <w:rsid w:val="00E6455C"/>
    <w:rsid w:val="00E6460A"/>
    <w:rsid w:val="00E650AB"/>
    <w:rsid w:val="00E66178"/>
    <w:rsid w:val="00E6710D"/>
    <w:rsid w:val="00E67D28"/>
    <w:rsid w:val="00E70AD8"/>
    <w:rsid w:val="00E7144D"/>
    <w:rsid w:val="00E71D68"/>
    <w:rsid w:val="00E71EED"/>
    <w:rsid w:val="00E720F9"/>
    <w:rsid w:val="00E724C8"/>
    <w:rsid w:val="00E7393C"/>
    <w:rsid w:val="00E73B54"/>
    <w:rsid w:val="00E73C6A"/>
    <w:rsid w:val="00E74230"/>
    <w:rsid w:val="00E744E2"/>
    <w:rsid w:val="00E74A67"/>
    <w:rsid w:val="00E74BC3"/>
    <w:rsid w:val="00E76808"/>
    <w:rsid w:val="00E774D7"/>
    <w:rsid w:val="00E77AA6"/>
    <w:rsid w:val="00E80C8B"/>
    <w:rsid w:val="00E816C4"/>
    <w:rsid w:val="00E817FD"/>
    <w:rsid w:val="00E81AD4"/>
    <w:rsid w:val="00E81C03"/>
    <w:rsid w:val="00E81DC9"/>
    <w:rsid w:val="00E827F5"/>
    <w:rsid w:val="00E836FE"/>
    <w:rsid w:val="00E843E1"/>
    <w:rsid w:val="00E846CF"/>
    <w:rsid w:val="00E848BF"/>
    <w:rsid w:val="00E85650"/>
    <w:rsid w:val="00E85658"/>
    <w:rsid w:val="00E85BCF"/>
    <w:rsid w:val="00E86B6A"/>
    <w:rsid w:val="00E86D69"/>
    <w:rsid w:val="00E90086"/>
    <w:rsid w:val="00E90BE9"/>
    <w:rsid w:val="00E9151C"/>
    <w:rsid w:val="00E9220B"/>
    <w:rsid w:val="00E9228B"/>
    <w:rsid w:val="00E92F4A"/>
    <w:rsid w:val="00E92FA6"/>
    <w:rsid w:val="00E933A7"/>
    <w:rsid w:val="00E94EF1"/>
    <w:rsid w:val="00E95E53"/>
    <w:rsid w:val="00E96242"/>
    <w:rsid w:val="00E96383"/>
    <w:rsid w:val="00E963DC"/>
    <w:rsid w:val="00E969AF"/>
    <w:rsid w:val="00E96EC4"/>
    <w:rsid w:val="00E9708F"/>
    <w:rsid w:val="00E97628"/>
    <w:rsid w:val="00EA026D"/>
    <w:rsid w:val="00EA0643"/>
    <w:rsid w:val="00EA0716"/>
    <w:rsid w:val="00EA08A8"/>
    <w:rsid w:val="00EA0A4E"/>
    <w:rsid w:val="00EA1121"/>
    <w:rsid w:val="00EA15F7"/>
    <w:rsid w:val="00EA2699"/>
    <w:rsid w:val="00EA2815"/>
    <w:rsid w:val="00EA317D"/>
    <w:rsid w:val="00EA35C4"/>
    <w:rsid w:val="00EA4295"/>
    <w:rsid w:val="00EA50E5"/>
    <w:rsid w:val="00EA5162"/>
    <w:rsid w:val="00EA53A9"/>
    <w:rsid w:val="00EA7366"/>
    <w:rsid w:val="00EB094A"/>
    <w:rsid w:val="00EB0C8B"/>
    <w:rsid w:val="00EB0CBC"/>
    <w:rsid w:val="00EB10C7"/>
    <w:rsid w:val="00EB15A8"/>
    <w:rsid w:val="00EB217F"/>
    <w:rsid w:val="00EB2249"/>
    <w:rsid w:val="00EB2735"/>
    <w:rsid w:val="00EB29BB"/>
    <w:rsid w:val="00EB37F2"/>
    <w:rsid w:val="00EB4244"/>
    <w:rsid w:val="00EB439B"/>
    <w:rsid w:val="00EB48B4"/>
    <w:rsid w:val="00EB4CA4"/>
    <w:rsid w:val="00EB5203"/>
    <w:rsid w:val="00EB55AE"/>
    <w:rsid w:val="00EB57F4"/>
    <w:rsid w:val="00EB62DA"/>
    <w:rsid w:val="00EB6D4B"/>
    <w:rsid w:val="00EB704E"/>
    <w:rsid w:val="00EB7187"/>
    <w:rsid w:val="00EC06FD"/>
    <w:rsid w:val="00EC0830"/>
    <w:rsid w:val="00EC08C7"/>
    <w:rsid w:val="00EC0FF2"/>
    <w:rsid w:val="00EC1726"/>
    <w:rsid w:val="00EC19E6"/>
    <w:rsid w:val="00EC2302"/>
    <w:rsid w:val="00EC2C84"/>
    <w:rsid w:val="00EC2E62"/>
    <w:rsid w:val="00EC34B5"/>
    <w:rsid w:val="00EC53C8"/>
    <w:rsid w:val="00EC606F"/>
    <w:rsid w:val="00EC634A"/>
    <w:rsid w:val="00EC63AF"/>
    <w:rsid w:val="00EC648F"/>
    <w:rsid w:val="00EC6F4C"/>
    <w:rsid w:val="00EC746C"/>
    <w:rsid w:val="00EC7723"/>
    <w:rsid w:val="00EC7CE6"/>
    <w:rsid w:val="00EC7F27"/>
    <w:rsid w:val="00ED0C57"/>
    <w:rsid w:val="00ED0C8A"/>
    <w:rsid w:val="00ED187E"/>
    <w:rsid w:val="00ED2210"/>
    <w:rsid w:val="00ED30CE"/>
    <w:rsid w:val="00ED36B8"/>
    <w:rsid w:val="00ED4391"/>
    <w:rsid w:val="00ED4780"/>
    <w:rsid w:val="00ED484F"/>
    <w:rsid w:val="00ED4C52"/>
    <w:rsid w:val="00ED6662"/>
    <w:rsid w:val="00ED7D4B"/>
    <w:rsid w:val="00EE0A28"/>
    <w:rsid w:val="00EE1827"/>
    <w:rsid w:val="00EE197E"/>
    <w:rsid w:val="00EE290C"/>
    <w:rsid w:val="00EE3B2A"/>
    <w:rsid w:val="00EE4A4C"/>
    <w:rsid w:val="00EE4B4B"/>
    <w:rsid w:val="00EE54C0"/>
    <w:rsid w:val="00EE58C7"/>
    <w:rsid w:val="00EE633D"/>
    <w:rsid w:val="00EE65F5"/>
    <w:rsid w:val="00EE6AFF"/>
    <w:rsid w:val="00EE7AF6"/>
    <w:rsid w:val="00EE7CBB"/>
    <w:rsid w:val="00EF01F3"/>
    <w:rsid w:val="00EF0381"/>
    <w:rsid w:val="00EF03CF"/>
    <w:rsid w:val="00EF0588"/>
    <w:rsid w:val="00EF0BF7"/>
    <w:rsid w:val="00EF105A"/>
    <w:rsid w:val="00EF1AB8"/>
    <w:rsid w:val="00EF1F6A"/>
    <w:rsid w:val="00EF3023"/>
    <w:rsid w:val="00EF41D9"/>
    <w:rsid w:val="00EF49DA"/>
    <w:rsid w:val="00EF4A12"/>
    <w:rsid w:val="00EF540C"/>
    <w:rsid w:val="00EF6D56"/>
    <w:rsid w:val="00EF769D"/>
    <w:rsid w:val="00EF76E1"/>
    <w:rsid w:val="00F01260"/>
    <w:rsid w:val="00F02364"/>
    <w:rsid w:val="00F026EF"/>
    <w:rsid w:val="00F03482"/>
    <w:rsid w:val="00F03901"/>
    <w:rsid w:val="00F03BE8"/>
    <w:rsid w:val="00F0458B"/>
    <w:rsid w:val="00F05B6B"/>
    <w:rsid w:val="00F06072"/>
    <w:rsid w:val="00F066E4"/>
    <w:rsid w:val="00F06C46"/>
    <w:rsid w:val="00F10A10"/>
    <w:rsid w:val="00F10E7B"/>
    <w:rsid w:val="00F11195"/>
    <w:rsid w:val="00F113C6"/>
    <w:rsid w:val="00F11804"/>
    <w:rsid w:val="00F11A81"/>
    <w:rsid w:val="00F11CEA"/>
    <w:rsid w:val="00F12527"/>
    <w:rsid w:val="00F12DEB"/>
    <w:rsid w:val="00F14002"/>
    <w:rsid w:val="00F142AE"/>
    <w:rsid w:val="00F1470A"/>
    <w:rsid w:val="00F14C7B"/>
    <w:rsid w:val="00F14FCC"/>
    <w:rsid w:val="00F1583E"/>
    <w:rsid w:val="00F15901"/>
    <w:rsid w:val="00F1600D"/>
    <w:rsid w:val="00F16175"/>
    <w:rsid w:val="00F17059"/>
    <w:rsid w:val="00F173F8"/>
    <w:rsid w:val="00F205B2"/>
    <w:rsid w:val="00F20B07"/>
    <w:rsid w:val="00F20DF3"/>
    <w:rsid w:val="00F23D09"/>
    <w:rsid w:val="00F23E95"/>
    <w:rsid w:val="00F249FF"/>
    <w:rsid w:val="00F24DD3"/>
    <w:rsid w:val="00F24FF6"/>
    <w:rsid w:val="00F252A1"/>
    <w:rsid w:val="00F2586E"/>
    <w:rsid w:val="00F259D4"/>
    <w:rsid w:val="00F259E4"/>
    <w:rsid w:val="00F25CE5"/>
    <w:rsid w:val="00F25F26"/>
    <w:rsid w:val="00F2697B"/>
    <w:rsid w:val="00F26E18"/>
    <w:rsid w:val="00F27F5E"/>
    <w:rsid w:val="00F3028F"/>
    <w:rsid w:val="00F30554"/>
    <w:rsid w:val="00F30F1A"/>
    <w:rsid w:val="00F31031"/>
    <w:rsid w:val="00F3111E"/>
    <w:rsid w:val="00F327E5"/>
    <w:rsid w:val="00F33384"/>
    <w:rsid w:val="00F34295"/>
    <w:rsid w:val="00F34DAF"/>
    <w:rsid w:val="00F354A4"/>
    <w:rsid w:val="00F3581F"/>
    <w:rsid w:val="00F36EE3"/>
    <w:rsid w:val="00F37BFA"/>
    <w:rsid w:val="00F37CE5"/>
    <w:rsid w:val="00F40C96"/>
    <w:rsid w:val="00F40E9D"/>
    <w:rsid w:val="00F42880"/>
    <w:rsid w:val="00F44F80"/>
    <w:rsid w:val="00F45337"/>
    <w:rsid w:val="00F45BC9"/>
    <w:rsid w:val="00F45D87"/>
    <w:rsid w:val="00F45EE8"/>
    <w:rsid w:val="00F46B28"/>
    <w:rsid w:val="00F47927"/>
    <w:rsid w:val="00F47B89"/>
    <w:rsid w:val="00F47C87"/>
    <w:rsid w:val="00F508EC"/>
    <w:rsid w:val="00F50D9D"/>
    <w:rsid w:val="00F51B43"/>
    <w:rsid w:val="00F521BF"/>
    <w:rsid w:val="00F5236F"/>
    <w:rsid w:val="00F52A33"/>
    <w:rsid w:val="00F52D0E"/>
    <w:rsid w:val="00F533E0"/>
    <w:rsid w:val="00F53504"/>
    <w:rsid w:val="00F53BA1"/>
    <w:rsid w:val="00F5464C"/>
    <w:rsid w:val="00F5513E"/>
    <w:rsid w:val="00F557A4"/>
    <w:rsid w:val="00F55845"/>
    <w:rsid w:val="00F55899"/>
    <w:rsid w:val="00F55A71"/>
    <w:rsid w:val="00F56B54"/>
    <w:rsid w:val="00F56F6C"/>
    <w:rsid w:val="00F5727F"/>
    <w:rsid w:val="00F600FE"/>
    <w:rsid w:val="00F60933"/>
    <w:rsid w:val="00F61497"/>
    <w:rsid w:val="00F6189E"/>
    <w:rsid w:val="00F61AA3"/>
    <w:rsid w:val="00F637C8"/>
    <w:rsid w:val="00F637E1"/>
    <w:rsid w:val="00F6456D"/>
    <w:rsid w:val="00F64B1A"/>
    <w:rsid w:val="00F659C4"/>
    <w:rsid w:val="00F65DBA"/>
    <w:rsid w:val="00F65F01"/>
    <w:rsid w:val="00F660E0"/>
    <w:rsid w:val="00F66191"/>
    <w:rsid w:val="00F66D25"/>
    <w:rsid w:val="00F67987"/>
    <w:rsid w:val="00F703A8"/>
    <w:rsid w:val="00F7108C"/>
    <w:rsid w:val="00F71164"/>
    <w:rsid w:val="00F7246A"/>
    <w:rsid w:val="00F73098"/>
    <w:rsid w:val="00F7329B"/>
    <w:rsid w:val="00F73CF2"/>
    <w:rsid w:val="00F740A1"/>
    <w:rsid w:val="00F755B9"/>
    <w:rsid w:val="00F756C4"/>
    <w:rsid w:val="00F756D7"/>
    <w:rsid w:val="00F75DE8"/>
    <w:rsid w:val="00F7747F"/>
    <w:rsid w:val="00F77D9D"/>
    <w:rsid w:val="00F800C5"/>
    <w:rsid w:val="00F80863"/>
    <w:rsid w:val="00F80A4F"/>
    <w:rsid w:val="00F81821"/>
    <w:rsid w:val="00F81C9A"/>
    <w:rsid w:val="00F81CEE"/>
    <w:rsid w:val="00F81D9F"/>
    <w:rsid w:val="00F826A1"/>
    <w:rsid w:val="00F831DC"/>
    <w:rsid w:val="00F8397D"/>
    <w:rsid w:val="00F83FE1"/>
    <w:rsid w:val="00F844D4"/>
    <w:rsid w:val="00F84E43"/>
    <w:rsid w:val="00F8533F"/>
    <w:rsid w:val="00F85E2E"/>
    <w:rsid w:val="00F8615C"/>
    <w:rsid w:val="00F876B7"/>
    <w:rsid w:val="00F8774E"/>
    <w:rsid w:val="00F87754"/>
    <w:rsid w:val="00F911A4"/>
    <w:rsid w:val="00F91FEA"/>
    <w:rsid w:val="00F922CD"/>
    <w:rsid w:val="00F92742"/>
    <w:rsid w:val="00F930B6"/>
    <w:rsid w:val="00F93459"/>
    <w:rsid w:val="00F93C0A"/>
    <w:rsid w:val="00F93EA8"/>
    <w:rsid w:val="00F94D5A"/>
    <w:rsid w:val="00F94F02"/>
    <w:rsid w:val="00F9642C"/>
    <w:rsid w:val="00F96935"/>
    <w:rsid w:val="00F96E42"/>
    <w:rsid w:val="00FA1D88"/>
    <w:rsid w:val="00FA1EEB"/>
    <w:rsid w:val="00FA2087"/>
    <w:rsid w:val="00FA29F4"/>
    <w:rsid w:val="00FA2AC7"/>
    <w:rsid w:val="00FA2F77"/>
    <w:rsid w:val="00FA31F2"/>
    <w:rsid w:val="00FA38C4"/>
    <w:rsid w:val="00FA41E9"/>
    <w:rsid w:val="00FA4249"/>
    <w:rsid w:val="00FA4DA3"/>
    <w:rsid w:val="00FA4E2E"/>
    <w:rsid w:val="00FA55BB"/>
    <w:rsid w:val="00FA5A8C"/>
    <w:rsid w:val="00FA5BE6"/>
    <w:rsid w:val="00FA6BCD"/>
    <w:rsid w:val="00FA7182"/>
    <w:rsid w:val="00FA71B3"/>
    <w:rsid w:val="00FA748C"/>
    <w:rsid w:val="00FA761E"/>
    <w:rsid w:val="00FA775A"/>
    <w:rsid w:val="00FA7D87"/>
    <w:rsid w:val="00FA7E1B"/>
    <w:rsid w:val="00FB1857"/>
    <w:rsid w:val="00FB18D5"/>
    <w:rsid w:val="00FB1C1E"/>
    <w:rsid w:val="00FB2163"/>
    <w:rsid w:val="00FB237E"/>
    <w:rsid w:val="00FB270A"/>
    <w:rsid w:val="00FB29F8"/>
    <w:rsid w:val="00FB364C"/>
    <w:rsid w:val="00FB383F"/>
    <w:rsid w:val="00FB3F37"/>
    <w:rsid w:val="00FB441D"/>
    <w:rsid w:val="00FB4B86"/>
    <w:rsid w:val="00FB6085"/>
    <w:rsid w:val="00FB613D"/>
    <w:rsid w:val="00FB675E"/>
    <w:rsid w:val="00FB6785"/>
    <w:rsid w:val="00FB6D98"/>
    <w:rsid w:val="00FB795E"/>
    <w:rsid w:val="00FC005A"/>
    <w:rsid w:val="00FC0202"/>
    <w:rsid w:val="00FC0757"/>
    <w:rsid w:val="00FC1744"/>
    <w:rsid w:val="00FC19A9"/>
    <w:rsid w:val="00FC1ADD"/>
    <w:rsid w:val="00FC22D5"/>
    <w:rsid w:val="00FC2553"/>
    <w:rsid w:val="00FC2B67"/>
    <w:rsid w:val="00FC3558"/>
    <w:rsid w:val="00FC404E"/>
    <w:rsid w:val="00FC4206"/>
    <w:rsid w:val="00FC446B"/>
    <w:rsid w:val="00FC464A"/>
    <w:rsid w:val="00FC48FF"/>
    <w:rsid w:val="00FC4DD8"/>
    <w:rsid w:val="00FC587E"/>
    <w:rsid w:val="00FC6011"/>
    <w:rsid w:val="00FC602C"/>
    <w:rsid w:val="00FC67DD"/>
    <w:rsid w:val="00FC73CC"/>
    <w:rsid w:val="00FD06D7"/>
    <w:rsid w:val="00FD0917"/>
    <w:rsid w:val="00FD1236"/>
    <w:rsid w:val="00FD22A0"/>
    <w:rsid w:val="00FD2A7E"/>
    <w:rsid w:val="00FD2BBB"/>
    <w:rsid w:val="00FD3758"/>
    <w:rsid w:val="00FD389C"/>
    <w:rsid w:val="00FD4181"/>
    <w:rsid w:val="00FD510C"/>
    <w:rsid w:val="00FD532A"/>
    <w:rsid w:val="00FD620B"/>
    <w:rsid w:val="00FD6D77"/>
    <w:rsid w:val="00FE0B02"/>
    <w:rsid w:val="00FE0EFF"/>
    <w:rsid w:val="00FE0FB1"/>
    <w:rsid w:val="00FE1775"/>
    <w:rsid w:val="00FE1BC0"/>
    <w:rsid w:val="00FE1F95"/>
    <w:rsid w:val="00FE2B60"/>
    <w:rsid w:val="00FE2E6C"/>
    <w:rsid w:val="00FE321D"/>
    <w:rsid w:val="00FE354A"/>
    <w:rsid w:val="00FE3BB8"/>
    <w:rsid w:val="00FE3DEF"/>
    <w:rsid w:val="00FE43F6"/>
    <w:rsid w:val="00FE4DAE"/>
    <w:rsid w:val="00FE4E73"/>
    <w:rsid w:val="00FE52CA"/>
    <w:rsid w:val="00FE5BBD"/>
    <w:rsid w:val="00FE601B"/>
    <w:rsid w:val="00FE609F"/>
    <w:rsid w:val="00FE681D"/>
    <w:rsid w:val="00FE761D"/>
    <w:rsid w:val="00FF0BE7"/>
    <w:rsid w:val="00FF10BA"/>
    <w:rsid w:val="00FF154F"/>
    <w:rsid w:val="00FF1A1A"/>
    <w:rsid w:val="00FF2025"/>
    <w:rsid w:val="00FF378C"/>
    <w:rsid w:val="00FF4582"/>
    <w:rsid w:val="00FF55DB"/>
    <w:rsid w:val="00FF6147"/>
    <w:rsid w:val="00FF665B"/>
    <w:rsid w:val="00FF6682"/>
    <w:rsid w:val="00FF7938"/>
    <w:rsid w:val="00FF7E30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D90B"/>
  <w15:docId w15:val="{B36ABC5D-CAE2-405B-8BFB-6242173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1E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7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0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link w:val="DefaultChar"/>
    <w:rsid w:val="00D17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Kappaleenoletusfontti"/>
    <w:link w:val="Default"/>
    <w:rsid w:val="00DD7BE5"/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DD7B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D7BE5"/>
    <w:pPr>
      <w:spacing w:after="160" w:line="240" w:lineRule="auto"/>
    </w:pPr>
    <w:rPr>
      <w:sz w:val="20"/>
      <w:szCs w:val="20"/>
      <w:lang w:val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D7BE5"/>
    <w:rPr>
      <w:sz w:val="20"/>
      <w:szCs w:val="20"/>
      <w:lang w:val="en-GB"/>
    </w:rPr>
  </w:style>
  <w:style w:type="table" w:styleId="TaulukkoRuudukko">
    <w:name w:val="Table Grid"/>
    <w:basedOn w:val="Normaalitaulukko"/>
    <w:uiPriority w:val="39"/>
    <w:rsid w:val="001B70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B70F2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B70F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1B70F2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1B70F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B70F2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28B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C43C3"/>
    <w:pPr>
      <w:ind w:left="720"/>
      <w:contextualSpacing/>
    </w:pPr>
  </w:style>
  <w:style w:type="character" w:customStyle="1" w:styleId="highlight">
    <w:name w:val="highlight"/>
    <w:basedOn w:val="Kappaleenoletusfontti"/>
    <w:rsid w:val="0080024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4CA5"/>
    <w:pPr>
      <w:spacing w:after="200"/>
    </w:pPr>
    <w:rPr>
      <w:b/>
      <w:bCs/>
      <w:lang w:val="da-DK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4CA5"/>
    <w:rPr>
      <w:b/>
      <w:bCs/>
      <w:sz w:val="20"/>
      <w:szCs w:val="20"/>
      <w:lang w:val="en-GB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FA1D88"/>
    <w:pPr>
      <w:spacing w:after="0" w:line="240" w:lineRule="auto"/>
    </w:pPr>
    <w:rPr>
      <w:sz w:val="20"/>
      <w:szCs w:val="20"/>
      <w:lang w:val="en-GB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FA1D88"/>
    <w:rPr>
      <w:sz w:val="20"/>
      <w:szCs w:val="20"/>
      <w:lang w:val="en-GB"/>
    </w:rPr>
  </w:style>
  <w:style w:type="character" w:styleId="Loppuviitteenviite">
    <w:name w:val="endnote reference"/>
    <w:basedOn w:val="Kappaleenoletusfontti"/>
    <w:uiPriority w:val="99"/>
    <w:semiHidden/>
    <w:unhideWhenUsed/>
    <w:rsid w:val="00FA1D88"/>
    <w:rPr>
      <w:vertAlign w:val="superscript"/>
    </w:rPr>
  </w:style>
  <w:style w:type="paragraph" w:styleId="Muutos">
    <w:name w:val="Revision"/>
    <w:hidden/>
    <w:uiPriority w:val="99"/>
    <w:semiHidden/>
    <w:rsid w:val="008657F0"/>
    <w:pPr>
      <w:spacing w:after="0" w:line="240" w:lineRule="auto"/>
    </w:pPr>
  </w:style>
  <w:style w:type="character" w:customStyle="1" w:styleId="Menzionenonrisolta1">
    <w:name w:val="Menzione non risolta1"/>
    <w:basedOn w:val="Kappaleenoletusfontti"/>
    <w:uiPriority w:val="99"/>
    <w:semiHidden/>
    <w:unhideWhenUsed/>
    <w:rsid w:val="00F34295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AA6BB1"/>
  </w:style>
  <w:style w:type="paragraph" w:styleId="Eivli">
    <w:name w:val="No Spacing"/>
    <w:basedOn w:val="Normaali"/>
    <w:uiPriority w:val="1"/>
    <w:qFormat/>
    <w:rsid w:val="0051473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Korostus">
    <w:name w:val="Emphasis"/>
    <w:basedOn w:val="Kappaleenoletusfontti"/>
    <w:uiPriority w:val="20"/>
    <w:qFormat/>
    <w:rsid w:val="00892B52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42DD"/>
    <w:rPr>
      <w:color w:val="605E5C"/>
      <w:shd w:val="clear" w:color="auto" w:fill="E1DFDD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412A4"/>
    <w:rPr>
      <w:color w:val="605E5C"/>
      <w:shd w:val="clear" w:color="auto" w:fill="E1DFDD"/>
    </w:rPr>
  </w:style>
  <w:style w:type="paragraph" w:styleId="Merkittyluettelo">
    <w:name w:val="List Bullet"/>
    <w:basedOn w:val="Normaali"/>
    <w:uiPriority w:val="99"/>
    <w:unhideWhenUsed/>
    <w:rsid w:val="008412A4"/>
    <w:pPr>
      <w:numPr>
        <w:numId w:val="12"/>
      </w:numPr>
      <w:tabs>
        <w:tab w:val="clear" w:pos="3904"/>
        <w:tab w:val="num" w:pos="360"/>
      </w:tabs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E6241"/>
    <w:rPr>
      <w:color w:val="954F72" w:themeColor="followedHyperlink"/>
      <w:u w:val="single"/>
    </w:rPr>
  </w:style>
  <w:style w:type="table" w:styleId="Yksinkertainentaulukko4">
    <w:name w:val="Plain Table 4"/>
    <w:basedOn w:val="Normaalitaulukko"/>
    <w:uiPriority w:val="44"/>
    <w:rsid w:val="003C64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iWWW">
    <w:name w:val="Normal (Web)"/>
    <w:basedOn w:val="Normaali"/>
    <w:uiPriority w:val="99"/>
    <w:semiHidden/>
    <w:unhideWhenUsed/>
    <w:rsid w:val="00A27B93"/>
    <w:pPr>
      <w:spacing w:after="0" w:line="240" w:lineRule="auto"/>
    </w:pPr>
    <w:rPr>
      <w:rFonts w:ascii="Calibri" w:hAnsi="Calibri" w:cs="Calibri"/>
      <w:lang w:eastAsia="da-DK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D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D40D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Kappaleenoletusfontti"/>
    <w:rsid w:val="008D40DC"/>
  </w:style>
  <w:style w:type="paragraph" w:customStyle="1" w:styleId="Maria">
    <w:name w:val="Maria"/>
    <w:basedOn w:val="Leipteksti"/>
    <w:link w:val="MariaChar"/>
    <w:autoRedefine/>
    <w:qFormat/>
    <w:rsid w:val="00A86106"/>
    <w:pPr>
      <w:shd w:val="clear" w:color="auto" w:fill="FFFFFF"/>
      <w:tabs>
        <w:tab w:val="left" w:pos="426"/>
      </w:tabs>
      <w:spacing w:before="100" w:beforeAutospacing="1" w:after="100" w:afterAutospacing="1" w:line="480" w:lineRule="auto"/>
    </w:pPr>
    <w:rPr>
      <w:rFonts w:ascii="Times New Roman" w:eastAsia="Times New Roman" w:hAnsi="Times New Roman" w:cstheme="minorHAnsi"/>
      <w:color w:val="2A2A2A"/>
      <w:sz w:val="24"/>
      <w:szCs w:val="24"/>
      <w:shd w:val="clear" w:color="auto" w:fill="FFFFFF"/>
      <w:lang w:val="en-GB" w:eastAsia="en-GB"/>
    </w:rPr>
  </w:style>
  <w:style w:type="character" w:customStyle="1" w:styleId="MariaChar">
    <w:name w:val="Maria Char"/>
    <w:basedOn w:val="LeiptekstiChar"/>
    <w:link w:val="Maria"/>
    <w:rsid w:val="00A86106"/>
    <w:rPr>
      <w:rFonts w:ascii="Times New Roman" w:eastAsia="Times New Roman" w:hAnsi="Times New Roman" w:cstheme="minorHAnsi"/>
      <w:color w:val="2A2A2A"/>
      <w:sz w:val="24"/>
      <w:szCs w:val="24"/>
      <w:shd w:val="clear" w:color="auto" w:fill="FFFFFF"/>
      <w:lang w:val="en-GB" w:eastAsia="en-GB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3772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3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-rd-platform.jrc.ec.europa.eu/eurocat/data-collection/guidelines-for-data-registration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43E30EEBB174082869B0AFAFE5612" ma:contentTypeVersion="11" ma:contentTypeDescription="Create a new document." ma:contentTypeScope="" ma:versionID="27ff76b85da04a0c5efc81e68ab0b777">
  <xsd:schema xmlns:xsd="http://www.w3.org/2001/XMLSchema" xmlns:xs="http://www.w3.org/2001/XMLSchema" xmlns:p="http://schemas.microsoft.com/office/2006/metadata/properties" xmlns:ns3="335106d5-d9cf-441a-a2e2-4d7a2b332b30" targetNamespace="http://schemas.microsoft.com/office/2006/metadata/properties" ma:root="true" ma:fieldsID="4e879715b3f2f0fe7a7c5c949febd72d" ns3:_="">
    <xsd:import namespace="335106d5-d9cf-441a-a2e2-4d7a2b332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06d5-d9cf-441a-a2e2-4d7a2b332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7788A-09F2-48E9-9C93-DE4965CDC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BE98B-70BC-45ED-B7CF-EE50B04F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106d5-d9cf-441a-a2e2-4d7a2b33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D70C3-C087-4259-AF0C-C66C15B72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1DC19-499D-4553-8C34-397EA0FC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4853</Words>
  <Characters>39313</Characters>
  <Application>Microsoft Office Word</Application>
  <DocSecurity>0</DocSecurity>
  <Lines>327</Lines>
  <Paragraphs>88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Garne</dc:creator>
  <cp:keywords/>
  <dc:description/>
  <cp:lastModifiedBy>Anna Heino</cp:lastModifiedBy>
  <cp:revision>4</cp:revision>
  <cp:lastPrinted>2023-10-17T06:38:00Z</cp:lastPrinted>
  <dcterms:created xsi:type="dcterms:W3CDTF">2023-10-18T05:44:00Z</dcterms:created>
  <dcterms:modified xsi:type="dcterms:W3CDTF">2023-10-19T04:19:00Z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0x01010044A43E30EEBB174082869B0AFAFE5612</vt:lpwstr>
  </property>
</Properties>
</file>