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AA80C" w14:textId="77777777" w:rsidR="00582574" w:rsidRPr="00582574" w:rsidRDefault="00582574" w:rsidP="00582574">
      <w:pPr>
        <w:pStyle w:val="BodyText"/>
        <w:spacing w:before="0" w:after="0" w:line="480" w:lineRule="auto"/>
        <w:jc w:val="both"/>
        <w:rPr>
          <w:rFonts w:ascii="Times New Roman" w:hAnsi="Times New Roman" w:cs="Times New Roman"/>
          <w:sz w:val="20"/>
          <w:szCs w:val="20"/>
        </w:rPr>
      </w:pPr>
      <w:r w:rsidRPr="00582574">
        <w:rPr>
          <w:rFonts w:ascii="Times New Roman" w:hAnsi="Times New Roman" w:cs="Times New Roman"/>
          <w:b/>
          <w:bCs/>
          <w:sz w:val="20"/>
          <w:szCs w:val="20"/>
        </w:rPr>
        <w:t>Supplemental Digital Content 5.</w:t>
      </w:r>
      <w:r w:rsidRPr="00582574">
        <w:rPr>
          <w:rFonts w:ascii="Times New Roman" w:hAnsi="Times New Roman" w:cs="Times New Roman"/>
          <w:sz w:val="20"/>
          <w:szCs w:val="20"/>
        </w:rPr>
        <w:t xml:space="preserve"> </w:t>
      </w:r>
      <w:bookmarkStart w:id="0" w:name="OLE_LINK8"/>
      <w:r w:rsidRPr="00582574">
        <w:rPr>
          <w:rFonts w:ascii="Times New Roman" w:hAnsi="Times New Roman" w:cs="Times New Roman"/>
          <w:sz w:val="20"/>
          <w:szCs w:val="20"/>
        </w:rPr>
        <w:t>Reasons provided by parents for declining COVID-19 vaccination for their children. Responses were categorized into five classes: "not eligible," "not necessary," "safety concern," "environment against," and "doctor against." Multiple selections were permitted, so that each response category is not mutually exclusive from the others. The percentage breakdown is given in the top graph, while individual family responses are presented in the bottom graph, separated into the pre-MIS-C (n=54) and post-MIS-C (n=47) periods, enabling an analysis of individual trends across both periods. Questionnaires without responses were excluded from the analysis; none of the questionnaires were incomplete. Percentages were calculated based on the total population.</w:t>
      </w:r>
      <w:bookmarkEnd w:id="0"/>
    </w:p>
    <w:p w14:paraId="40775DA0" w14:textId="1051B4B6" w:rsidR="00000000" w:rsidRDefault="00E91174">
      <w:r>
        <w:rPr>
          <w:noProof/>
        </w:rPr>
        <w:drawing>
          <wp:anchor distT="0" distB="0" distL="114300" distR="114300" simplePos="0" relativeHeight="251658240" behindDoc="0" locked="0" layoutInCell="1" allowOverlap="1" wp14:anchorId="2F75CB9D" wp14:editId="6CB7E4DC">
            <wp:simplePos x="0" y="0"/>
            <wp:positionH relativeFrom="column">
              <wp:posOffset>84455</wp:posOffset>
            </wp:positionH>
            <wp:positionV relativeFrom="paragraph">
              <wp:posOffset>1905</wp:posOffset>
            </wp:positionV>
            <wp:extent cx="5760720" cy="768096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6E5D712-E519-4075-99B8-44AAB763D186"/>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760720" cy="76809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B6347" w:rsidSect="0058257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67"/>
    <w:rsid w:val="00173450"/>
    <w:rsid w:val="001A47AC"/>
    <w:rsid w:val="003A0A67"/>
    <w:rsid w:val="00582574"/>
    <w:rsid w:val="005B364B"/>
    <w:rsid w:val="009F5D40"/>
    <w:rsid w:val="00BD205A"/>
    <w:rsid w:val="00E9117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220D"/>
  <w15:chartTrackingRefBased/>
  <w15:docId w15:val="{DDBFABF4-1B7A-41DF-8A4D-BEADF56E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82574"/>
    <w:pPr>
      <w:spacing w:before="180" w:after="180" w:line="240" w:lineRule="auto"/>
    </w:pPr>
    <w:rPr>
      <w:sz w:val="24"/>
      <w:szCs w:val="24"/>
      <w:lang w:val="en-US"/>
    </w:rPr>
  </w:style>
  <w:style w:type="character" w:customStyle="1" w:styleId="BodyTextChar">
    <w:name w:val="Body Text Char"/>
    <w:basedOn w:val="DefaultParagraphFont"/>
    <w:link w:val="BodyText"/>
    <w:rsid w:val="00582574"/>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9D063.89D04DD0"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672</Characters>
  <Application>Microsoft Office Word</Application>
  <DocSecurity>0</DocSecurity>
  <Lines>5</Lines>
  <Paragraphs>1</Paragraphs>
  <ScaleCrop>false</ScaleCrop>
  <Company>HOPITAUX UNIVERSITAIRES GENEVE</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BLANCHARD ROHNER Geraldine</dc:creator>
  <cp:keywords/>
  <dc:description/>
  <cp:lastModifiedBy>Amy Sue Manley</cp:lastModifiedBy>
  <cp:revision>2</cp:revision>
  <dcterms:created xsi:type="dcterms:W3CDTF">2023-11-17T14:50:00Z</dcterms:created>
  <dcterms:modified xsi:type="dcterms:W3CDTF">2023-11-17T14:50:00Z</dcterms:modified>
</cp:coreProperties>
</file>