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ABC0E" w14:textId="74A5E356" w:rsidR="004E541E" w:rsidRPr="00901A98" w:rsidRDefault="004E541E" w:rsidP="00525BD2">
      <w:pPr>
        <w:rPr>
          <w:rFonts w:ascii="Times New Roman" w:eastAsia="Times New Roman" w:hAnsi="Times New Roman" w:cs="Times New Roman"/>
          <w:b/>
          <w:sz w:val="32"/>
          <w:szCs w:val="24"/>
          <w:lang w:val="en-GB" w:eastAsia="es-ES"/>
        </w:rPr>
      </w:pPr>
      <w:r w:rsidRPr="00901A98">
        <w:rPr>
          <w:rFonts w:ascii="Times New Roman" w:eastAsia="Times New Roman" w:hAnsi="Times New Roman" w:cs="Times New Roman"/>
          <w:b/>
          <w:sz w:val="32"/>
          <w:szCs w:val="24"/>
          <w:lang w:val="en-GB" w:eastAsia="es-ES"/>
        </w:rPr>
        <w:t>Immunogenicity of PE18, PE31</w:t>
      </w:r>
      <w:r w:rsidR="006310CD" w:rsidRPr="00901A98">
        <w:rPr>
          <w:rFonts w:ascii="Times New Roman" w:eastAsia="Times New Roman" w:hAnsi="Times New Roman" w:cs="Times New Roman"/>
          <w:b/>
          <w:sz w:val="32"/>
          <w:szCs w:val="24"/>
          <w:lang w:val="en-GB" w:eastAsia="es-ES"/>
        </w:rPr>
        <w:t>,</w:t>
      </w:r>
      <w:r w:rsidRPr="00901A98">
        <w:rPr>
          <w:rFonts w:ascii="Times New Roman" w:eastAsia="Times New Roman" w:hAnsi="Times New Roman" w:cs="Times New Roman"/>
          <w:b/>
          <w:sz w:val="32"/>
          <w:szCs w:val="24"/>
          <w:lang w:val="en-GB" w:eastAsia="es-ES"/>
        </w:rPr>
        <w:t xml:space="preserve"> and PPE26 proteins from </w:t>
      </w:r>
      <w:r w:rsidRPr="00901A98">
        <w:rPr>
          <w:rFonts w:ascii="Times New Roman" w:eastAsia="Times New Roman" w:hAnsi="Times New Roman" w:cs="Times New Roman"/>
          <w:b/>
          <w:i/>
          <w:sz w:val="32"/>
          <w:szCs w:val="24"/>
          <w:lang w:val="en-GB" w:eastAsia="es-ES"/>
        </w:rPr>
        <w:t xml:space="preserve">Mycobacterium tuberculosis </w:t>
      </w:r>
      <w:r w:rsidRPr="00901A98">
        <w:rPr>
          <w:rFonts w:ascii="Times New Roman" w:eastAsia="Times New Roman" w:hAnsi="Times New Roman" w:cs="Times New Roman"/>
          <w:b/>
          <w:iCs/>
          <w:sz w:val="32"/>
          <w:szCs w:val="24"/>
          <w:lang w:val="en-GB" w:eastAsia="es-ES"/>
        </w:rPr>
        <w:t>in humans and mice</w:t>
      </w:r>
    </w:p>
    <w:p w14:paraId="4D26F5A3" w14:textId="12574295" w:rsidR="009E374D" w:rsidRPr="00901A98" w:rsidRDefault="009E374D" w:rsidP="009E374D">
      <w:pPr>
        <w:spacing w:afterLines="100" w:after="240" w:line="480" w:lineRule="auto"/>
        <w:jc w:val="both"/>
        <w:rPr>
          <w:rFonts w:ascii="Times New Roman" w:eastAsia="Times New Roman" w:hAnsi="Times New Roman" w:cs="Times New Roman"/>
          <w:b/>
          <w:sz w:val="24"/>
          <w:szCs w:val="24"/>
          <w:lang w:val="en-GB" w:eastAsia="es-ES"/>
        </w:rPr>
      </w:pPr>
      <w:r w:rsidRPr="00901A98">
        <w:rPr>
          <w:rFonts w:ascii="Times New Roman" w:eastAsia="Times New Roman" w:hAnsi="Times New Roman" w:cs="Times New Roman"/>
          <w:b/>
          <w:sz w:val="24"/>
          <w:szCs w:val="24"/>
          <w:lang w:val="en-GB" w:eastAsia="es-ES"/>
        </w:rPr>
        <w:t>María García-Bengoa</w:t>
      </w:r>
      <w:r w:rsidRPr="00901A98">
        <w:rPr>
          <w:rFonts w:ascii="Times New Roman" w:eastAsia="Times New Roman" w:hAnsi="Times New Roman" w:cs="Times New Roman"/>
          <w:b/>
          <w:sz w:val="24"/>
          <w:szCs w:val="24"/>
          <w:vertAlign w:val="superscript"/>
          <w:lang w:val="en-GB" w:eastAsia="es-ES"/>
        </w:rPr>
        <w:t>1,2,3*</w:t>
      </w:r>
      <w:r w:rsidRPr="00901A98">
        <w:rPr>
          <w:rFonts w:ascii="Times New Roman" w:eastAsia="Times New Roman" w:hAnsi="Times New Roman" w:cs="Times New Roman"/>
          <w:b/>
          <w:sz w:val="24"/>
          <w:szCs w:val="24"/>
          <w:lang w:val="en-GB" w:eastAsia="es-ES"/>
        </w:rPr>
        <w:t xml:space="preserve">, Emil </w:t>
      </w:r>
      <w:r w:rsidR="00FB55C7" w:rsidRPr="00901A98">
        <w:rPr>
          <w:rFonts w:ascii="Times New Roman" w:eastAsia="Times New Roman" w:hAnsi="Times New Roman" w:cs="Times New Roman"/>
          <w:b/>
          <w:sz w:val="24"/>
          <w:szCs w:val="24"/>
          <w:lang w:val="en-GB" w:eastAsia="es-ES"/>
        </w:rPr>
        <w:t>Joseph</w:t>
      </w:r>
      <w:r w:rsidRPr="00901A98">
        <w:rPr>
          <w:rFonts w:ascii="Times New Roman" w:eastAsia="Times New Roman" w:hAnsi="Times New Roman" w:cs="Times New Roman"/>
          <w:b/>
          <w:sz w:val="24"/>
          <w:szCs w:val="24"/>
          <w:lang w:val="en-GB" w:eastAsia="es-ES"/>
        </w:rPr>
        <w:t xml:space="preserve"> Vergara</w:t>
      </w:r>
      <w:r w:rsidRPr="00901A98">
        <w:rPr>
          <w:rFonts w:ascii="Times New Roman" w:eastAsia="Times New Roman" w:hAnsi="Times New Roman" w:cs="Times New Roman"/>
          <w:b/>
          <w:sz w:val="24"/>
          <w:szCs w:val="24"/>
          <w:vertAlign w:val="superscript"/>
          <w:lang w:val="en-GB" w:eastAsia="es-ES"/>
        </w:rPr>
        <w:t>4*</w:t>
      </w:r>
      <w:r w:rsidRPr="00901A98">
        <w:rPr>
          <w:rFonts w:ascii="Times New Roman" w:eastAsia="Times New Roman" w:hAnsi="Times New Roman" w:cs="Times New Roman"/>
          <w:b/>
          <w:sz w:val="24"/>
          <w:szCs w:val="24"/>
          <w:lang w:val="en-GB" w:eastAsia="es-ES"/>
        </w:rPr>
        <w:t>, Andy C. Tran</w:t>
      </w:r>
      <w:r w:rsidRPr="00901A98">
        <w:rPr>
          <w:rFonts w:ascii="Times New Roman" w:eastAsia="Times New Roman" w:hAnsi="Times New Roman" w:cs="Times New Roman"/>
          <w:b/>
          <w:sz w:val="24"/>
          <w:szCs w:val="24"/>
          <w:vertAlign w:val="superscript"/>
          <w:lang w:val="en-GB" w:eastAsia="es-ES"/>
        </w:rPr>
        <w:t>4*</w:t>
      </w:r>
      <w:r w:rsidRPr="00901A98">
        <w:rPr>
          <w:rFonts w:ascii="Times New Roman" w:eastAsia="Times New Roman" w:hAnsi="Times New Roman" w:cs="Times New Roman"/>
          <w:b/>
          <w:sz w:val="24"/>
          <w:szCs w:val="24"/>
          <w:lang w:val="en-GB" w:eastAsia="es-ES"/>
        </w:rPr>
        <w:t>, Lorenzo Bossi</w:t>
      </w:r>
      <w:r w:rsidRPr="00901A98">
        <w:rPr>
          <w:rFonts w:ascii="Times New Roman" w:eastAsia="Times New Roman" w:hAnsi="Times New Roman" w:cs="Times New Roman"/>
          <w:b/>
          <w:sz w:val="24"/>
          <w:szCs w:val="24"/>
          <w:vertAlign w:val="superscript"/>
          <w:lang w:val="en-GB" w:eastAsia="es-ES"/>
        </w:rPr>
        <w:t>5</w:t>
      </w:r>
      <w:r w:rsidRPr="00901A98">
        <w:rPr>
          <w:rFonts w:ascii="Times New Roman" w:eastAsia="Times New Roman" w:hAnsi="Times New Roman" w:cs="Times New Roman"/>
          <w:b/>
          <w:sz w:val="24"/>
          <w:szCs w:val="24"/>
          <w:lang w:val="en-GB" w:eastAsia="es-ES"/>
        </w:rPr>
        <w:t>, Andrea M. Cooper</w:t>
      </w:r>
      <w:r w:rsidRPr="00901A98">
        <w:rPr>
          <w:rFonts w:ascii="Times New Roman" w:eastAsia="Times New Roman" w:hAnsi="Times New Roman" w:cs="Times New Roman"/>
          <w:b/>
          <w:sz w:val="24"/>
          <w:szCs w:val="24"/>
          <w:vertAlign w:val="superscript"/>
          <w:lang w:val="en-GB" w:eastAsia="es-ES"/>
        </w:rPr>
        <w:t>6</w:t>
      </w:r>
      <w:r w:rsidRPr="00901A98">
        <w:rPr>
          <w:rFonts w:ascii="Times New Roman" w:eastAsia="Times New Roman" w:hAnsi="Times New Roman" w:cs="Times New Roman"/>
          <w:b/>
          <w:sz w:val="24"/>
          <w:szCs w:val="24"/>
          <w:lang w:val="en-GB" w:eastAsia="es-ES"/>
        </w:rPr>
        <w:t>, John E. Pearl</w:t>
      </w:r>
      <w:r w:rsidRPr="00901A98">
        <w:rPr>
          <w:rFonts w:ascii="Times New Roman" w:eastAsia="Times New Roman" w:hAnsi="Times New Roman" w:cs="Times New Roman"/>
          <w:b/>
          <w:sz w:val="24"/>
          <w:szCs w:val="24"/>
          <w:vertAlign w:val="superscript"/>
          <w:lang w:val="en-GB" w:eastAsia="es-ES"/>
        </w:rPr>
        <w:t>6</w:t>
      </w:r>
      <w:r w:rsidRPr="00901A98">
        <w:rPr>
          <w:rFonts w:ascii="Times New Roman" w:eastAsia="Times New Roman" w:hAnsi="Times New Roman" w:cs="Times New Roman"/>
          <w:b/>
          <w:sz w:val="24"/>
          <w:szCs w:val="24"/>
          <w:lang w:val="en-GB" w:eastAsia="es-ES"/>
        </w:rPr>
        <w:t xml:space="preserve">, </w:t>
      </w:r>
      <w:proofErr w:type="spellStart"/>
      <w:r w:rsidRPr="00901A98">
        <w:rPr>
          <w:rFonts w:ascii="Times New Roman" w:eastAsia="Times New Roman" w:hAnsi="Times New Roman" w:cs="Times New Roman"/>
          <w:b/>
          <w:sz w:val="24"/>
          <w:szCs w:val="24"/>
          <w:lang w:val="en-GB" w:eastAsia="es-ES"/>
        </w:rPr>
        <w:t>Tufária</w:t>
      </w:r>
      <w:proofErr w:type="spellEnd"/>
      <w:r w:rsidRPr="00901A98">
        <w:rPr>
          <w:rFonts w:ascii="Times New Roman" w:eastAsia="Times New Roman" w:hAnsi="Times New Roman" w:cs="Times New Roman"/>
          <w:b/>
          <w:sz w:val="24"/>
          <w:szCs w:val="24"/>
          <w:lang w:val="en-GB" w:eastAsia="es-ES"/>
        </w:rPr>
        <w:t xml:space="preserve"> Mussá</w:t>
      </w:r>
      <w:r w:rsidRPr="00901A98">
        <w:rPr>
          <w:rFonts w:ascii="Times New Roman" w:eastAsia="Times New Roman" w:hAnsi="Times New Roman" w:cs="Times New Roman"/>
          <w:b/>
          <w:sz w:val="24"/>
          <w:szCs w:val="24"/>
          <w:vertAlign w:val="superscript"/>
          <w:lang w:val="en-GB" w:eastAsia="es-ES"/>
        </w:rPr>
        <w:t>7</w:t>
      </w:r>
      <w:r w:rsidRPr="00901A98">
        <w:rPr>
          <w:rFonts w:ascii="Times New Roman" w:eastAsia="Times New Roman" w:hAnsi="Times New Roman" w:cs="Times New Roman"/>
          <w:b/>
          <w:sz w:val="24"/>
          <w:szCs w:val="24"/>
          <w:lang w:val="en-GB" w:eastAsia="es-ES"/>
        </w:rPr>
        <w:t>, Maren von Köckritz-Blickwede</w:t>
      </w:r>
      <w:r w:rsidRPr="00901A98">
        <w:rPr>
          <w:rFonts w:ascii="Times New Roman" w:eastAsia="Times New Roman" w:hAnsi="Times New Roman" w:cs="Times New Roman"/>
          <w:b/>
          <w:sz w:val="24"/>
          <w:szCs w:val="24"/>
          <w:vertAlign w:val="superscript"/>
          <w:lang w:val="en-GB" w:eastAsia="es-ES"/>
        </w:rPr>
        <w:t>1,2</w:t>
      </w:r>
      <w:r w:rsidRPr="00901A98">
        <w:rPr>
          <w:rFonts w:ascii="Times New Roman" w:eastAsia="Times New Roman" w:hAnsi="Times New Roman" w:cs="Times New Roman"/>
          <w:b/>
          <w:sz w:val="24"/>
          <w:szCs w:val="24"/>
          <w:lang w:val="en-GB" w:eastAsia="es-ES"/>
        </w:rPr>
        <w:t>, Mahavir Singh</w:t>
      </w:r>
      <w:r w:rsidRPr="00901A98">
        <w:rPr>
          <w:rFonts w:ascii="Times New Roman" w:eastAsia="Times New Roman" w:hAnsi="Times New Roman" w:cs="Times New Roman"/>
          <w:b/>
          <w:sz w:val="24"/>
          <w:szCs w:val="24"/>
          <w:vertAlign w:val="superscript"/>
          <w:lang w:val="en-GB" w:eastAsia="es-ES"/>
        </w:rPr>
        <w:t>3</w:t>
      </w:r>
      <w:r w:rsidRPr="00901A98">
        <w:rPr>
          <w:rFonts w:ascii="Times New Roman" w:eastAsia="Times New Roman" w:hAnsi="Times New Roman" w:cs="Times New Roman"/>
          <w:b/>
          <w:sz w:val="24"/>
          <w:szCs w:val="24"/>
          <w:lang w:val="en-GB" w:eastAsia="es-ES"/>
        </w:rPr>
        <w:t>, Rajko Reljic</w:t>
      </w:r>
      <w:r w:rsidRPr="00901A98">
        <w:rPr>
          <w:rFonts w:ascii="Times New Roman" w:eastAsia="Times New Roman" w:hAnsi="Times New Roman" w:cs="Times New Roman"/>
          <w:b/>
          <w:sz w:val="24"/>
          <w:szCs w:val="24"/>
          <w:vertAlign w:val="superscript"/>
          <w:lang w:val="en-GB" w:eastAsia="es-ES"/>
        </w:rPr>
        <w:t>4</w:t>
      </w:r>
    </w:p>
    <w:p w14:paraId="775541A4" w14:textId="0C7AD7B0" w:rsidR="004E541E" w:rsidRPr="00901A98" w:rsidRDefault="004E541E" w:rsidP="004E541E">
      <w:pPr>
        <w:spacing w:before="240" w:after="0"/>
        <w:rPr>
          <w:rFonts w:ascii="Times New Roman" w:eastAsia="Times New Roman" w:hAnsi="Times New Roman" w:cs="Times New Roman"/>
          <w:sz w:val="24"/>
          <w:szCs w:val="24"/>
          <w:lang w:val="en-US" w:eastAsia="es-ES"/>
        </w:rPr>
      </w:pPr>
      <w:r w:rsidRPr="00901A98">
        <w:rPr>
          <w:rFonts w:ascii="Times New Roman" w:eastAsia="Times New Roman" w:hAnsi="Times New Roman" w:cs="Times New Roman"/>
          <w:sz w:val="24"/>
          <w:szCs w:val="24"/>
          <w:vertAlign w:val="superscript"/>
          <w:lang w:val="en-US" w:eastAsia="es-ES"/>
        </w:rPr>
        <w:t>1</w:t>
      </w:r>
      <w:r w:rsidR="009E374D" w:rsidRPr="00901A98">
        <w:rPr>
          <w:rFonts w:ascii="Times New Roman" w:eastAsia="Times New Roman" w:hAnsi="Times New Roman" w:cs="Times New Roman"/>
          <w:sz w:val="24"/>
          <w:szCs w:val="24"/>
          <w:lang w:val="en-US" w:eastAsia="es-ES"/>
        </w:rPr>
        <w:t>Institute</w:t>
      </w:r>
      <w:r w:rsidRPr="00901A98">
        <w:rPr>
          <w:rFonts w:ascii="Times New Roman" w:eastAsia="Times New Roman" w:hAnsi="Times New Roman" w:cs="Times New Roman"/>
          <w:sz w:val="24"/>
          <w:szCs w:val="24"/>
          <w:lang w:val="en-US" w:eastAsia="es-ES"/>
        </w:rPr>
        <w:t xml:space="preserve"> of Biochemistry, University of Veterinary Medicine Hannover, Germany</w:t>
      </w:r>
    </w:p>
    <w:p w14:paraId="1CC42B3D" w14:textId="77777777" w:rsidR="004E541E" w:rsidRPr="00901A98" w:rsidRDefault="004E541E" w:rsidP="004E541E">
      <w:pPr>
        <w:spacing w:before="240" w:after="0"/>
        <w:rPr>
          <w:rFonts w:ascii="Times New Roman" w:eastAsia="Times New Roman" w:hAnsi="Times New Roman" w:cs="Times New Roman"/>
          <w:sz w:val="24"/>
          <w:szCs w:val="24"/>
          <w:lang w:val="en-US" w:eastAsia="es-ES"/>
        </w:rPr>
      </w:pPr>
      <w:r w:rsidRPr="00901A98">
        <w:rPr>
          <w:rFonts w:ascii="Times New Roman" w:eastAsia="Times New Roman" w:hAnsi="Times New Roman" w:cs="Times New Roman"/>
          <w:sz w:val="24"/>
          <w:szCs w:val="24"/>
          <w:vertAlign w:val="superscript"/>
          <w:lang w:val="en-US" w:eastAsia="es-ES"/>
        </w:rPr>
        <w:t>2</w:t>
      </w:r>
      <w:r w:rsidRPr="00901A98">
        <w:rPr>
          <w:rFonts w:ascii="Times New Roman" w:eastAsia="Times New Roman" w:hAnsi="Times New Roman" w:cs="Times New Roman"/>
          <w:sz w:val="24"/>
          <w:szCs w:val="24"/>
          <w:lang w:val="en-US" w:eastAsia="es-ES"/>
        </w:rPr>
        <w:t>Research Center for Emerging Infections and Zoonosis (RIZ), University of Veterinary Medicine Hannover, Germany</w:t>
      </w:r>
    </w:p>
    <w:p w14:paraId="2CBB83FA" w14:textId="77777777" w:rsidR="004E541E" w:rsidRPr="00901A98" w:rsidRDefault="004E541E" w:rsidP="004E541E">
      <w:pPr>
        <w:spacing w:after="0"/>
        <w:rPr>
          <w:rFonts w:ascii="Times New Roman" w:eastAsia="Times New Roman" w:hAnsi="Times New Roman" w:cs="Times New Roman"/>
          <w:sz w:val="24"/>
          <w:szCs w:val="24"/>
          <w:lang w:val="en-US" w:eastAsia="es-ES"/>
        </w:rPr>
      </w:pPr>
      <w:r w:rsidRPr="00901A98">
        <w:rPr>
          <w:rFonts w:ascii="Times New Roman" w:eastAsia="Times New Roman" w:hAnsi="Times New Roman" w:cs="Times New Roman"/>
          <w:sz w:val="24"/>
          <w:szCs w:val="24"/>
          <w:vertAlign w:val="superscript"/>
          <w:lang w:val="en-US" w:eastAsia="es-ES"/>
        </w:rPr>
        <w:t>3</w:t>
      </w:r>
      <w:r w:rsidRPr="00901A98">
        <w:rPr>
          <w:rFonts w:ascii="Times New Roman" w:eastAsia="Times New Roman" w:hAnsi="Times New Roman" w:cs="Times New Roman"/>
          <w:sz w:val="24"/>
          <w:szCs w:val="24"/>
          <w:lang w:val="en-US" w:eastAsia="es-ES"/>
        </w:rPr>
        <w:t>LIONEX Diagnostics and Therapeutics GmbH, Braunschweig, Germany</w:t>
      </w:r>
      <w:r w:rsidRPr="00901A98" w:rsidDel="008202DF">
        <w:rPr>
          <w:rFonts w:ascii="Times New Roman" w:eastAsia="Times New Roman" w:hAnsi="Times New Roman" w:cs="Times New Roman"/>
          <w:sz w:val="24"/>
          <w:szCs w:val="24"/>
          <w:lang w:val="en-US" w:eastAsia="es-ES"/>
        </w:rPr>
        <w:t xml:space="preserve"> </w:t>
      </w:r>
    </w:p>
    <w:p w14:paraId="30C2C5DE" w14:textId="77777777" w:rsidR="004E541E" w:rsidRPr="00901A98" w:rsidRDefault="004E541E" w:rsidP="004E541E">
      <w:pPr>
        <w:rPr>
          <w:rFonts w:ascii="Times New Roman" w:eastAsia="Times New Roman" w:hAnsi="Times New Roman" w:cs="Times New Roman"/>
          <w:sz w:val="24"/>
          <w:szCs w:val="24"/>
          <w:lang w:val="en-GB" w:eastAsia="es-ES"/>
        </w:rPr>
      </w:pPr>
      <w:r w:rsidRPr="00901A98">
        <w:rPr>
          <w:rFonts w:ascii="Times New Roman" w:eastAsia="Times New Roman" w:hAnsi="Times New Roman" w:cs="Times New Roman"/>
          <w:sz w:val="24"/>
          <w:szCs w:val="24"/>
          <w:vertAlign w:val="superscript"/>
          <w:lang w:val="en-US" w:eastAsia="es-ES"/>
        </w:rPr>
        <w:t>4</w:t>
      </w:r>
      <w:r w:rsidRPr="00901A98">
        <w:rPr>
          <w:rFonts w:ascii="Times New Roman" w:eastAsia="Times New Roman" w:hAnsi="Times New Roman" w:cs="Times New Roman"/>
          <w:sz w:val="24"/>
          <w:szCs w:val="24"/>
          <w:lang w:val="en-US" w:eastAsia="es-ES"/>
        </w:rPr>
        <w:t>Institute for Infection and Immunity, St. George’s University of London, London, United</w:t>
      </w:r>
      <w:r w:rsidRPr="00901A98">
        <w:rPr>
          <w:rFonts w:ascii="Times New Roman" w:eastAsia="Times New Roman" w:hAnsi="Times New Roman" w:cs="Times New Roman"/>
          <w:sz w:val="24"/>
          <w:szCs w:val="24"/>
          <w:lang w:val="en-GB" w:eastAsia="es-ES"/>
        </w:rPr>
        <w:t xml:space="preserve"> Kingdom</w:t>
      </w:r>
    </w:p>
    <w:p w14:paraId="3B2DAA65" w14:textId="0A06B2B9" w:rsidR="004E541E" w:rsidRPr="00901A98" w:rsidRDefault="004E541E" w:rsidP="004E541E">
      <w:pPr>
        <w:rPr>
          <w:rFonts w:ascii="Times New Roman" w:eastAsia="Times New Roman" w:hAnsi="Times New Roman" w:cs="Times New Roman"/>
          <w:sz w:val="24"/>
          <w:szCs w:val="24"/>
          <w:lang w:val="en-GB" w:eastAsia="es-ES"/>
        </w:rPr>
      </w:pPr>
      <w:r w:rsidRPr="00901A98">
        <w:rPr>
          <w:rFonts w:ascii="Times New Roman" w:eastAsia="Times New Roman" w:hAnsi="Times New Roman" w:cs="Times New Roman"/>
          <w:sz w:val="24"/>
          <w:szCs w:val="24"/>
          <w:vertAlign w:val="superscript"/>
          <w:lang w:val="en-US" w:eastAsia="es-ES"/>
        </w:rPr>
        <w:t>5</w:t>
      </w:r>
      <w:proofErr w:type="spellStart"/>
      <w:r w:rsidRPr="00901A98">
        <w:rPr>
          <w:rFonts w:ascii="Times New Roman" w:eastAsia="Times New Roman" w:hAnsi="Times New Roman" w:cs="Times New Roman"/>
          <w:sz w:val="24"/>
          <w:szCs w:val="24"/>
          <w:lang w:val="en-GB" w:eastAsia="es-ES"/>
        </w:rPr>
        <w:t>Immunxperts</w:t>
      </w:r>
      <w:proofErr w:type="spellEnd"/>
      <w:r w:rsidRPr="00901A98">
        <w:rPr>
          <w:rFonts w:ascii="Times New Roman" w:eastAsia="Times New Roman" w:hAnsi="Times New Roman" w:cs="Times New Roman"/>
          <w:sz w:val="24"/>
          <w:szCs w:val="24"/>
          <w:lang w:val="en-GB" w:eastAsia="es-ES"/>
        </w:rPr>
        <w:t xml:space="preserve"> SA, </w:t>
      </w:r>
      <w:r w:rsidR="007C2B40" w:rsidRPr="00901A98">
        <w:rPr>
          <w:rFonts w:ascii="Times New Roman" w:eastAsia="Times New Roman" w:hAnsi="Times New Roman" w:cs="Times New Roman"/>
          <w:sz w:val="24"/>
          <w:szCs w:val="24"/>
          <w:lang w:val="en-US" w:eastAsia="es-ES"/>
        </w:rPr>
        <w:t>a Q² Solutions Company</w:t>
      </w:r>
      <w:r w:rsidRPr="00901A98">
        <w:rPr>
          <w:rFonts w:ascii="Times New Roman" w:eastAsia="Times New Roman" w:hAnsi="Times New Roman" w:cs="Times New Roman"/>
          <w:sz w:val="24"/>
          <w:szCs w:val="24"/>
          <w:lang w:val="en-GB" w:eastAsia="es-ES"/>
        </w:rPr>
        <w:t xml:space="preserve">, </w:t>
      </w:r>
      <w:proofErr w:type="spellStart"/>
      <w:r w:rsidRPr="00901A98">
        <w:rPr>
          <w:rFonts w:ascii="Times New Roman" w:eastAsia="Times New Roman" w:hAnsi="Times New Roman" w:cs="Times New Roman"/>
          <w:sz w:val="24"/>
          <w:szCs w:val="24"/>
          <w:lang w:val="en-GB" w:eastAsia="es-ES"/>
        </w:rPr>
        <w:t>Gosselies</w:t>
      </w:r>
      <w:proofErr w:type="spellEnd"/>
      <w:r w:rsidRPr="00901A98">
        <w:rPr>
          <w:rFonts w:ascii="Times New Roman" w:eastAsia="Times New Roman" w:hAnsi="Times New Roman" w:cs="Times New Roman"/>
          <w:sz w:val="24"/>
          <w:szCs w:val="24"/>
          <w:lang w:val="en-GB" w:eastAsia="es-ES"/>
        </w:rPr>
        <w:t>, Belgium</w:t>
      </w:r>
    </w:p>
    <w:p w14:paraId="61EEA8E0" w14:textId="77777777" w:rsidR="004E541E" w:rsidRPr="00901A98" w:rsidRDefault="004E541E" w:rsidP="004E541E">
      <w:pPr>
        <w:rPr>
          <w:rFonts w:ascii="Times New Roman" w:eastAsia="Times New Roman" w:hAnsi="Times New Roman" w:cs="Times New Roman"/>
          <w:bCs/>
          <w:sz w:val="24"/>
          <w:szCs w:val="24"/>
          <w:lang w:val="en-US" w:eastAsia="es-ES"/>
        </w:rPr>
      </w:pPr>
      <w:r w:rsidRPr="00901A98">
        <w:rPr>
          <w:rFonts w:ascii="Times New Roman" w:eastAsia="Times New Roman" w:hAnsi="Times New Roman" w:cs="Times New Roman"/>
          <w:sz w:val="24"/>
          <w:szCs w:val="24"/>
          <w:vertAlign w:val="superscript"/>
          <w:lang w:val="en-US" w:eastAsia="es-ES"/>
        </w:rPr>
        <w:t>6</w:t>
      </w:r>
      <w:r w:rsidRPr="00901A98">
        <w:rPr>
          <w:rFonts w:ascii="Times New Roman" w:eastAsia="Times New Roman" w:hAnsi="Times New Roman" w:cs="Times New Roman"/>
          <w:bCs/>
          <w:sz w:val="24"/>
          <w:szCs w:val="24"/>
          <w:lang w:val="en-US" w:eastAsia="es-ES"/>
        </w:rPr>
        <w:t>Department of Infection, Immunity and Inflammation, University of Leicester, UK</w:t>
      </w:r>
    </w:p>
    <w:p w14:paraId="6CE6EAD7" w14:textId="77777777" w:rsidR="004E541E" w:rsidRPr="00901A98" w:rsidRDefault="004E541E" w:rsidP="004E541E">
      <w:pPr>
        <w:rPr>
          <w:rFonts w:ascii="Times New Roman" w:eastAsia="Times New Roman" w:hAnsi="Times New Roman" w:cs="Times New Roman"/>
          <w:bCs/>
          <w:sz w:val="24"/>
          <w:szCs w:val="24"/>
          <w:lang w:val="en-US" w:eastAsia="es-ES"/>
        </w:rPr>
      </w:pPr>
      <w:r w:rsidRPr="00901A98">
        <w:rPr>
          <w:rFonts w:ascii="Times New Roman" w:eastAsia="Times New Roman" w:hAnsi="Times New Roman" w:cs="Times New Roman"/>
          <w:bCs/>
          <w:sz w:val="24"/>
          <w:szCs w:val="24"/>
          <w:vertAlign w:val="superscript"/>
          <w:lang w:val="en-US" w:eastAsia="es-ES"/>
        </w:rPr>
        <w:t>7</w:t>
      </w:r>
      <w:r w:rsidRPr="00901A98">
        <w:rPr>
          <w:rFonts w:ascii="Times New Roman" w:eastAsia="Times New Roman" w:hAnsi="Times New Roman" w:cs="Times New Roman"/>
          <w:bCs/>
          <w:sz w:val="24"/>
          <w:szCs w:val="24"/>
          <w:lang w:val="en-US" w:eastAsia="es-ES"/>
        </w:rPr>
        <w:t>Eduardo Mondlane University, Mozambique</w:t>
      </w:r>
    </w:p>
    <w:p w14:paraId="28BD6AF8" w14:textId="7D691113" w:rsidR="00F00611" w:rsidRPr="00901A98" w:rsidRDefault="00F00611" w:rsidP="004E541E">
      <w:pPr>
        <w:rPr>
          <w:rFonts w:ascii="Times New Roman" w:eastAsia="Times New Roman" w:hAnsi="Times New Roman" w:cs="Times New Roman"/>
          <w:bCs/>
          <w:sz w:val="24"/>
          <w:szCs w:val="24"/>
          <w:lang w:val="en-US" w:eastAsia="es-ES"/>
        </w:rPr>
      </w:pPr>
      <w:r w:rsidRPr="00901A98">
        <w:rPr>
          <w:rFonts w:ascii="Times New Roman" w:eastAsia="Times New Roman" w:hAnsi="Times New Roman" w:cs="Times New Roman"/>
          <w:bCs/>
          <w:sz w:val="24"/>
          <w:szCs w:val="24"/>
          <w:lang w:val="en-US" w:eastAsia="es-ES"/>
        </w:rPr>
        <w:t>*These authors contributed equally to this work.</w:t>
      </w:r>
    </w:p>
    <w:p w14:paraId="06AC9C65" w14:textId="77777777" w:rsidR="009E374D" w:rsidRPr="00901A98" w:rsidRDefault="009E374D" w:rsidP="009E374D">
      <w:pPr>
        <w:spacing w:afterLines="100" w:after="240" w:line="480" w:lineRule="auto"/>
        <w:jc w:val="both"/>
        <w:rPr>
          <w:rFonts w:ascii="Times New Roman" w:eastAsia="Times New Roman" w:hAnsi="Times New Roman" w:cs="Times New Roman"/>
          <w:b/>
          <w:sz w:val="24"/>
          <w:szCs w:val="24"/>
          <w:lang w:val="es-ES" w:eastAsia="es-ES"/>
        </w:rPr>
      </w:pPr>
      <w:r w:rsidRPr="00901A98">
        <w:rPr>
          <w:lang w:val="es-ES"/>
        </w:rPr>
        <w:t>§</w:t>
      </w:r>
      <w:r w:rsidRPr="00901A98">
        <w:rPr>
          <w:rFonts w:ascii="Times New Roman" w:eastAsia="Times New Roman" w:hAnsi="Times New Roman" w:cs="Times New Roman"/>
          <w:bCs/>
          <w:sz w:val="24"/>
          <w:szCs w:val="24"/>
          <w:lang w:val="es-ES" w:eastAsia="es-ES"/>
        </w:rPr>
        <w:t xml:space="preserve"> </w:t>
      </w:r>
      <w:r w:rsidRPr="00901A98">
        <w:rPr>
          <w:rFonts w:ascii="Times New Roman" w:eastAsia="Times New Roman" w:hAnsi="Times New Roman" w:cs="Times New Roman"/>
          <w:b/>
          <w:sz w:val="24"/>
          <w:szCs w:val="24"/>
          <w:lang w:val="es-ES" w:eastAsia="es-ES"/>
        </w:rPr>
        <w:t xml:space="preserve">Correspondence: </w:t>
      </w:r>
      <w:r w:rsidRPr="00901A98">
        <w:rPr>
          <w:rFonts w:ascii="Times New Roman" w:eastAsia="Times New Roman" w:hAnsi="Times New Roman" w:cs="Times New Roman"/>
          <w:bCs/>
          <w:sz w:val="24"/>
          <w:szCs w:val="24"/>
          <w:lang w:val="es-ES" w:eastAsia="es-ES"/>
        </w:rPr>
        <w:t>María García-Bengoa Maria.Garcia.Bengoa@tiho-hannover.de</w:t>
      </w:r>
    </w:p>
    <w:p w14:paraId="34CCDCDB" w14:textId="77777777" w:rsidR="00BE2B48" w:rsidRPr="00901A98" w:rsidRDefault="00BE2B48" w:rsidP="00BE2B48">
      <w:pPr>
        <w:pStyle w:val="Heading1"/>
      </w:pPr>
      <w:r w:rsidRPr="00901A98">
        <w:t>Supplementary Figures and Tables</w:t>
      </w:r>
    </w:p>
    <w:p w14:paraId="3241863D" w14:textId="77777777" w:rsidR="00BE2B48" w:rsidRPr="00901A98" w:rsidRDefault="00BE2B48" w:rsidP="00BE2B48">
      <w:pPr>
        <w:pStyle w:val="Heading2"/>
      </w:pPr>
      <w:r w:rsidRPr="00901A98">
        <w:t>Supplementary Figures</w:t>
      </w:r>
    </w:p>
    <w:p w14:paraId="08E55946" w14:textId="7D583133" w:rsidR="006310CD" w:rsidRPr="00901A98" w:rsidRDefault="00E02A81" w:rsidP="00E02A81">
      <w:pPr>
        <w:pStyle w:val="NormalWeb"/>
        <w:spacing w:before="0" w:beforeAutospacing="0" w:after="0" w:afterAutospacing="0"/>
        <w:ind w:left="284" w:right="-143"/>
        <w:rPr>
          <w:b/>
          <w:lang w:val="en-US"/>
        </w:rPr>
      </w:pPr>
      <w:r w:rsidRPr="00901A98">
        <w:rPr>
          <w:b/>
          <w:noProof/>
        </w:rPr>
        <w:drawing>
          <wp:inline distT="0" distB="0" distL="0" distR="0" wp14:anchorId="3B646ECF" wp14:editId="7A7043B0">
            <wp:extent cx="5184251" cy="3443717"/>
            <wp:effectExtent l="0" t="0" r="0" b="444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png"/>
                    <pic:cNvPicPr/>
                  </pic:nvPicPr>
                  <pic:blipFill rotWithShape="1">
                    <a:blip r:embed="rId6" cstate="print">
                      <a:extLst>
                        <a:ext uri="{28A0092B-C50C-407E-A947-70E740481C1C}">
                          <a14:useLocalDpi xmlns:a14="http://schemas.microsoft.com/office/drawing/2010/main" val="0"/>
                        </a:ext>
                      </a:extLst>
                    </a:blip>
                    <a:srcRect l="2762" t="12154" r="1381" b="24171"/>
                    <a:stretch/>
                  </pic:blipFill>
                  <pic:spPr bwMode="auto">
                    <a:xfrm>
                      <a:off x="0" y="0"/>
                      <a:ext cx="5186687" cy="3445335"/>
                    </a:xfrm>
                    <a:prstGeom prst="rect">
                      <a:avLst/>
                    </a:prstGeom>
                    <a:ln>
                      <a:noFill/>
                    </a:ln>
                    <a:extLst>
                      <a:ext uri="{53640926-AAD7-44D8-BBD7-CCE9431645EC}">
                        <a14:shadowObscured xmlns:a14="http://schemas.microsoft.com/office/drawing/2010/main"/>
                      </a:ext>
                    </a:extLst>
                  </pic:spPr>
                </pic:pic>
              </a:graphicData>
            </a:graphic>
          </wp:inline>
        </w:drawing>
      </w:r>
    </w:p>
    <w:p w14:paraId="16C7B358" w14:textId="4AD5FB1E" w:rsidR="00BE2B48" w:rsidRPr="00901A98" w:rsidRDefault="00BE2B48" w:rsidP="00BE2B48">
      <w:pPr>
        <w:pStyle w:val="NormalWeb"/>
        <w:spacing w:before="0" w:beforeAutospacing="0" w:after="0" w:afterAutospacing="0"/>
        <w:ind w:left="284" w:right="-143"/>
        <w:jc w:val="both"/>
        <w:rPr>
          <w:lang w:val="en-US"/>
        </w:rPr>
      </w:pPr>
      <w:r w:rsidRPr="00901A98">
        <w:rPr>
          <w:b/>
          <w:lang w:val="en-US"/>
        </w:rPr>
        <w:lastRenderedPageBreak/>
        <w:t xml:space="preserve">Supplementary Figure 1. </w:t>
      </w:r>
      <w:r w:rsidRPr="00901A98">
        <w:rPr>
          <w:lang w:val="en-US"/>
        </w:rPr>
        <w:t>Sequential gating for flow cytometry analysis of spleen cells from immunized mice. Initial gating was performed based on forward scatter area (FSC-A) versus forward scatter height (FSC-H) parameters to select single cells for subsequent analysis. To exclude non-viable cells, cells were gated based on viability dye fluorescence. Then, resultant live cells were further analyzed to identify CD3+ T cells. Within the CD3+ cell population, CD4+ and CD8+ T cells were identified with specific markers and resultant populations were further analyzed based on CD44</w:t>
      </w:r>
      <w:r w:rsidR="003A2A6F" w:rsidRPr="00901A98">
        <w:rPr>
          <w:lang w:val="en-US"/>
        </w:rPr>
        <w:t>+</w:t>
      </w:r>
      <w:r w:rsidRPr="00901A98">
        <w:rPr>
          <w:lang w:val="en-US"/>
        </w:rPr>
        <w:t>CD62</w:t>
      </w:r>
      <w:r w:rsidR="0026655A" w:rsidRPr="00901A98">
        <w:rPr>
          <w:lang w:val="en-US"/>
        </w:rPr>
        <w:t xml:space="preserve">L- </w:t>
      </w:r>
      <w:r w:rsidRPr="00901A98">
        <w:rPr>
          <w:lang w:val="en-US"/>
        </w:rPr>
        <w:t>to distinguish activated effector memory (Tem) CD4+ or CD8+ T cells, respectively. Within the resultant CD4+ T cell and CD8+ T cell Tem populations, the expression of specific cytokines like IL-2, TNF, or IFN</w:t>
      </w:r>
      <w:r w:rsidRPr="00901A98">
        <w:t>γ</w:t>
      </w:r>
      <w:r w:rsidR="00933CD0" w:rsidRPr="00901A98">
        <w:rPr>
          <w:lang w:val="en-US"/>
        </w:rPr>
        <w:t xml:space="preserve"> (Panel A</w:t>
      </w:r>
      <w:r w:rsidRPr="00901A98">
        <w:rPr>
          <w:lang w:val="en-US"/>
        </w:rPr>
        <w:t>) was assessed.</w:t>
      </w:r>
    </w:p>
    <w:p w14:paraId="7E55E2F3" w14:textId="77777777" w:rsidR="00E02A81" w:rsidRPr="00901A98" w:rsidRDefault="00E02A81" w:rsidP="00BE2B48">
      <w:pPr>
        <w:pStyle w:val="NormalWeb"/>
        <w:spacing w:before="0" w:beforeAutospacing="0" w:after="0" w:afterAutospacing="0"/>
        <w:ind w:left="284" w:right="-143"/>
        <w:jc w:val="both"/>
        <w:rPr>
          <w:lang w:val="en-US"/>
        </w:rPr>
      </w:pPr>
    </w:p>
    <w:p w14:paraId="0101D110" w14:textId="71E8039F" w:rsidR="00E02A81" w:rsidRPr="00901A98" w:rsidRDefault="00E02A81" w:rsidP="00BE2B48">
      <w:pPr>
        <w:pStyle w:val="NormalWeb"/>
        <w:spacing w:before="0" w:beforeAutospacing="0" w:after="0" w:afterAutospacing="0"/>
        <w:ind w:left="284" w:right="-143"/>
        <w:jc w:val="both"/>
        <w:rPr>
          <w:lang w:val="en-US"/>
        </w:rPr>
      </w:pPr>
      <w:r w:rsidRPr="00901A98">
        <w:rPr>
          <w:noProof/>
        </w:rPr>
        <w:drawing>
          <wp:inline distT="0" distB="0" distL="0" distR="0" wp14:anchorId="6CDFE93D" wp14:editId="2DD8F5E7">
            <wp:extent cx="5756745" cy="3919993"/>
            <wp:effectExtent l="0" t="0" r="0"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png"/>
                    <pic:cNvPicPr/>
                  </pic:nvPicPr>
                  <pic:blipFill rotWithShape="1">
                    <a:blip r:embed="rId7" cstate="print">
                      <a:extLst>
                        <a:ext uri="{28A0092B-C50C-407E-A947-70E740481C1C}">
                          <a14:useLocalDpi xmlns:a14="http://schemas.microsoft.com/office/drawing/2010/main" val="0"/>
                        </a:ext>
                      </a:extLst>
                    </a:blip>
                    <a:srcRect t="14226" b="17680"/>
                    <a:stretch/>
                  </pic:blipFill>
                  <pic:spPr bwMode="auto">
                    <a:xfrm>
                      <a:off x="0" y="0"/>
                      <a:ext cx="5759450" cy="3921835"/>
                    </a:xfrm>
                    <a:prstGeom prst="rect">
                      <a:avLst/>
                    </a:prstGeom>
                    <a:ln>
                      <a:noFill/>
                    </a:ln>
                    <a:extLst>
                      <a:ext uri="{53640926-AAD7-44D8-BBD7-CCE9431645EC}">
                        <a14:shadowObscured xmlns:a14="http://schemas.microsoft.com/office/drawing/2010/main"/>
                      </a:ext>
                    </a:extLst>
                  </pic:spPr>
                </pic:pic>
              </a:graphicData>
            </a:graphic>
          </wp:inline>
        </w:drawing>
      </w:r>
    </w:p>
    <w:p w14:paraId="0F1F7480" w14:textId="77777777" w:rsidR="00E02A81" w:rsidRPr="00901A98" w:rsidRDefault="00E02A81" w:rsidP="00BE2B48">
      <w:pPr>
        <w:pStyle w:val="NormalWeb"/>
        <w:spacing w:before="0" w:beforeAutospacing="0" w:after="0" w:afterAutospacing="0"/>
        <w:ind w:left="284" w:right="-143"/>
        <w:jc w:val="both"/>
        <w:rPr>
          <w:lang w:val="en-US"/>
        </w:rPr>
      </w:pPr>
    </w:p>
    <w:p w14:paraId="4FF47B5A" w14:textId="6DCF6F18" w:rsidR="00E02A81" w:rsidRPr="00901A98" w:rsidRDefault="00E02A81" w:rsidP="00BE2B48">
      <w:pPr>
        <w:pStyle w:val="NormalWeb"/>
        <w:spacing w:before="0" w:beforeAutospacing="0" w:after="0" w:afterAutospacing="0"/>
        <w:ind w:left="284" w:right="-143"/>
        <w:jc w:val="both"/>
        <w:rPr>
          <w:lang w:val="en-US"/>
        </w:rPr>
      </w:pPr>
      <w:r w:rsidRPr="00901A98">
        <w:rPr>
          <w:rFonts w:eastAsiaTheme="minorHAnsi"/>
          <w:b/>
          <w:iCs/>
          <w:szCs w:val="22"/>
          <w:lang w:val="en-GB" w:eastAsia="en-US"/>
        </w:rPr>
        <w:t>Supplementary Figure 2</w:t>
      </w:r>
      <w:r w:rsidRPr="00901A98">
        <w:rPr>
          <w:rFonts w:eastAsiaTheme="minorHAnsi"/>
          <w:iCs/>
          <w:szCs w:val="22"/>
          <w:lang w:val="en-GB" w:eastAsia="en-US"/>
        </w:rPr>
        <w:t>. Sequential gating strategy for flow cytometry analysis of lung resident memory cells from vaccinated mice. The initial gating process involved the discrimination of single cells based on forward scatter area (FSC-A) versus forward scatter height (FSC-H) parameters. Viability dye fluorescence was utilized to exclude non-viable cells from the analysis. The resulting live cells were subjected to identification of CD3+ T cells. Within the CD3+ cell population, specific markers were employed to distinguish CD4+ and CD8+ T cells. The subsequent analysis involved the characterization of activated effector memory (Tem) CD4+ and CD8+ T cells based on CD44+ and CD62</w:t>
      </w:r>
      <w:r w:rsidR="0026655A" w:rsidRPr="00901A98">
        <w:rPr>
          <w:rFonts w:eastAsiaTheme="minorHAnsi"/>
          <w:iCs/>
          <w:szCs w:val="22"/>
          <w:lang w:val="en-GB" w:eastAsia="en-US"/>
        </w:rPr>
        <w:t>L-</w:t>
      </w:r>
      <w:r w:rsidRPr="00901A98">
        <w:rPr>
          <w:rFonts w:eastAsiaTheme="minorHAnsi"/>
          <w:iCs/>
          <w:szCs w:val="22"/>
          <w:lang w:val="en-GB" w:eastAsia="en-US"/>
        </w:rPr>
        <w:t>. In the CD4+ and CD8+ Tem cell populations, the expression of the T resident memory (</w:t>
      </w:r>
      <w:proofErr w:type="spellStart"/>
      <w:r w:rsidRPr="00901A98">
        <w:rPr>
          <w:rFonts w:eastAsiaTheme="minorHAnsi"/>
          <w:iCs/>
          <w:szCs w:val="22"/>
          <w:lang w:val="en-GB" w:eastAsia="en-US"/>
        </w:rPr>
        <w:t>Trm</w:t>
      </w:r>
      <w:proofErr w:type="spellEnd"/>
      <w:r w:rsidRPr="00901A98">
        <w:rPr>
          <w:rFonts w:eastAsiaTheme="minorHAnsi"/>
          <w:iCs/>
          <w:szCs w:val="22"/>
          <w:lang w:val="en-GB" w:eastAsia="en-US"/>
        </w:rPr>
        <w:t>) cell markers CD69 and CD103 was evaluated.</w:t>
      </w:r>
    </w:p>
    <w:p w14:paraId="49C3FAAC" w14:textId="77777777" w:rsidR="00116B85" w:rsidRPr="00901A98" w:rsidRDefault="00116B85" w:rsidP="00BE2B48">
      <w:pPr>
        <w:pStyle w:val="NormalWeb"/>
        <w:spacing w:before="0" w:beforeAutospacing="0" w:after="0" w:afterAutospacing="0"/>
        <w:ind w:left="284" w:right="-143"/>
        <w:jc w:val="both"/>
        <w:rPr>
          <w:lang w:val="en-US"/>
        </w:rPr>
      </w:pPr>
    </w:p>
    <w:p w14:paraId="06380100" w14:textId="6F09C146" w:rsidR="00BE2B48" w:rsidRPr="00901A98" w:rsidRDefault="00116B85" w:rsidP="00BE2B48">
      <w:pPr>
        <w:pStyle w:val="NormalWeb"/>
        <w:spacing w:before="0" w:beforeAutospacing="0" w:after="0" w:afterAutospacing="0"/>
        <w:ind w:right="-143"/>
        <w:jc w:val="both"/>
        <w:rPr>
          <w:lang w:val="en-US"/>
        </w:rPr>
      </w:pPr>
      <w:r w:rsidRPr="00901A98">
        <w:rPr>
          <w:noProof/>
        </w:rPr>
        <w:lastRenderedPageBreak/>
        <w:drawing>
          <wp:inline distT="0" distB="0" distL="0" distR="0" wp14:anchorId="64487F48" wp14:editId="03F3EE6A">
            <wp:extent cx="5759450" cy="2774950"/>
            <wp:effectExtent l="0" t="0" r="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png"/>
                    <pic:cNvPicPr/>
                  </pic:nvPicPr>
                  <pic:blipFill rotWithShape="1">
                    <a:blip r:embed="rId8" cstate="print">
                      <a:extLst>
                        <a:ext uri="{28A0092B-C50C-407E-A947-70E740481C1C}">
                          <a14:useLocalDpi xmlns:a14="http://schemas.microsoft.com/office/drawing/2010/main" val="0"/>
                        </a:ext>
                      </a:extLst>
                    </a:blip>
                    <a:srcRect t="21058" b="30761"/>
                    <a:stretch/>
                  </pic:blipFill>
                  <pic:spPr bwMode="auto">
                    <a:xfrm>
                      <a:off x="0" y="0"/>
                      <a:ext cx="5759450" cy="2774950"/>
                    </a:xfrm>
                    <a:prstGeom prst="rect">
                      <a:avLst/>
                    </a:prstGeom>
                    <a:ln>
                      <a:noFill/>
                    </a:ln>
                    <a:extLst>
                      <a:ext uri="{53640926-AAD7-44D8-BBD7-CCE9431645EC}">
                        <a14:shadowObscured xmlns:a14="http://schemas.microsoft.com/office/drawing/2010/main"/>
                      </a:ext>
                    </a:extLst>
                  </pic:spPr>
                </pic:pic>
              </a:graphicData>
            </a:graphic>
          </wp:inline>
        </w:drawing>
      </w:r>
    </w:p>
    <w:p w14:paraId="2D8B2229" w14:textId="063EAB41" w:rsidR="00BE2B48" w:rsidRPr="00901A98" w:rsidRDefault="00933CD0" w:rsidP="001C2618">
      <w:pPr>
        <w:pStyle w:val="NormalWeb"/>
        <w:spacing w:before="0" w:beforeAutospacing="0" w:after="0" w:afterAutospacing="0"/>
        <w:ind w:left="284" w:right="-143"/>
        <w:jc w:val="both"/>
        <w:rPr>
          <w:lang w:val="en-US"/>
        </w:rPr>
      </w:pPr>
      <w:r w:rsidRPr="00901A98">
        <w:rPr>
          <w:b/>
          <w:lang w:val="en-US"/>
        </w:rPr>
        <w:t>Supplementary Figure 3</w:t>
      </w:r>
      <w:r w:rsidR="00BE2B48" w:rsidRPr="00901A98">
        <w:rPr>
          <w:b/>
          <w:lang w:val="en-US"/>
        </w:rPr>
        <w:t xml:space="preserve">. </w:t>
      </w:r>
      <w:r w:rsidR="00BE2B48" w:rsidRPr="00901A98">
        <w:rPr>
          <w:lang w:val="en-US"/>
        </w:rPr>
        <w:t xml:space="preserve">Human antibody response to </w:t>
      </w:r>
      <w:proofErr w:type="spellStart"/>
      <w:r w:rsidR="00BE2B48" w:rsidRPr="00901A98">
        <w:rPr>
          <w:i/>
          <w:lang w:val="en-US"/>
        </w:rPr>
        <w:t>Mtb</w:t>
      </w:r>
      <w:proofErr w:type="spellEnd"/>
      <w:r w:rsidR="00BE2B48" w:rsidRPr="00901A98">
        <w:rPr>
          <w:lang w:val="en-US"/>
        </w:rPr>
        <w:t xml:space="preserve"> proteins PE18, PE31 and PPE26 in different TB populations. Serum samples were collected from individuals with active TB, LTB infected individuals, and IGRA-negative BCG vaccinated healthy controls from Mozambique. For this experiment, each population group consisted of five individuals, providing robust representation within each group. A healthy donor with no previous history of BCG vaccination </w:t>
      </w:r>
      <w:r w:rsidR="001C2618" w:rsidRPr="00901A98">
        <w:rPr>
          <w:lang w:val="en-US"/>
        </w:rPr>
        <w:t xml:space="preserve">served as </w:t>
      </w:r>
      <w:r w:rsidR="00BE2B48" w:rsidRPr="00901A98">
        <w:rPr>
          <w:lang w:val="en-US"/>
        </w:rPr>
        <w:t>control</w:t>
      </w:r>
      <w:r w:rsidR="001C2618" w:rsidRPr="00901A98">
        <w:rPr>
          <w:lang w:val="en-US"/>
        </w:rPr>
        <w:t xml:space="preserve"> (represented cero)</w:t>
      </w:r>
      <w:r w:rsidR="00BE2B48" w:rsidRPr="00901A98">
        <w:rPr>
          <w:lang w:val="en-US"/>
        </w:rPr>
        <w:t xml:space="preserve">. The levels of antigen-specific IgM antibody </w:t>
      </w:r>
      <w:r w:rsidR="00BE2B48" w:rsidRPr="00901A98">
        <w:rPr>
          <w:b/>
          <w:lang w:val="en-US"/>
        </w:rPr>
        <w:t>(A-B)</w:t>
      </w:r>
      <w:r w:rsidR="00BE2B48" w:rsidRPr="00901A98">
        <w:rPr>
          <w:lang w:val="en-US"/>
        </w:rPr>
        <w:t xml:space="preserve"> were measured using quantitative ELISA assay. These results repre</w:t>
      </w:r>
      <w:r w:rsidR="000A3C4A" w:rsidRPr="00901A98">
        <w:rPr>
          <w:lang w:val="en-US"/>
        </w:rPr>
        <w:t xml:space="preserve">sent individual values </w:t>
      </w:r>
      <w:r w:rsidR="00ED0276" w:rsidRPr="00901A98">
        <w:rPr>
          <w:lang w:val="en-US"/>
        </w:rPr>
        <w:t>by the</w:t>
      </w:r>
      <w:r w:rsidR="000A3C4A" w:rsidRPr="00901A98">
        <w:rPr>
          <w:lang w:val="en-US"/>
        </w:rPr>
        <w:t xml:space="preserve"> median and</w:t>
      </w:r>
      <w:r w:rsidR="00ED0276" w:rsidRPr="00901A98">
        <w:rPr>
          <w:lang w:val="en-US"/>
        </w:rPr>
        <w:t xml:space="preserve"> the interquartile range</w:t>
      </w:r>
      <w:r w:rsidR="000A3C4A" w:rsidRPr="00901A98">
        <w:rPr>
          <w:lang w:val="en-US"/>
        </w:rPr>
        <w:t xml:space="preserve"> </w:t>
      </w:r>
      <w:r w:rsidR="00ED0276" w:rsidRPr="00901A98">
        <w:rPr>
          <w:lang w:val="en-US"/>
        </w:rPr>
        <w:t>(</w:t>
      </w:r>
      <w:r w:rsidR="000A3C4A" w:rsidRPr="00901A98">
        <w:rPr>
          <w:lang w:val="en-US"/>
        </w:rPr>
        <w:t>IQR</w:t>
      </w:r>
      <w:r w:rsidR="00ED0276" w:rsidRPr="00901A98">
        <w:rPr>
          <w:lang w:val="en-US"/>
        </w:rPr>
        <w:t>)</w:t>
      </w:r>
      <w:r w:rsidR="00BE2B48" w:rsidRPr="00901A98">
        <w:rPr>
          <w:lang w:val="en-US"/>
        </w:rPr>
        <w:t xml:space="preserve">. Statistical analysis were performed using a </w:t>
      </w:r>
      <w:r w:rsidR="000A3C4A" w:rsidRPr="00901A98">
        <w:rPr>
          <w:lang w:val="en-US"/>
        </w:rPr>
        <w:t>Kruskal-Wallis test for non-parametric analysis.</w:t>
      </w:r>
      <w:r w:rsidR="00BE2B48" w:rsidRPr="00901A98">
        <w:rPr>
          <w:lang w:val="en-US"/>
        </w:rPr>
        <w:t xml:space="preserve"> Multiple comparisons were adjusted using the </w:t>
      </w:r>
      <w:r w:rsidR="000A3C4A" w:rsidRPr="00901A98">
        <w:rPr>
          <w:lang w:val="en-US"/>
        </w:rPr>
        <w:t>Dunn´s</w:t>
      </w:r>
      <w:r w:rsidR="00BE2B48" w:rsidRPr="00901A98">
        <w:rPr>
          <w:lang w:val="en-US"/>
        </w:rPr>
        <w:t xml:space="preserve"> </w:t>
      </w:r>
      <w:r w:rsidR="000A3C4A" w:rsidRPr="00901A98">
        <w:rPr>
          <w:lang w:val="en-US"/>
        </w:rPr>
        <w:t>test</w:t>
      </w:r>
      <w:r w:rsidR="00BE2B48" w:rsidRPr="00901A98">
        <w:rPr>
          <w:lang w:val="en-US"/>
        </w:rPr>
        <w:t xml:space="preserve"> </w:t>
      </w:r>
      <w:r w:rsidR="000A3C4A" w:rsidRPr="00901A98">
        <w:rPr>
          <w:lang w:val="en-US"/>
        </w:rPr>
        <w:t>for correction</w:t>
      </w:r>
      <w:r w:rsidR="00BE2B48" w:rsidRPr="00901A98">
        <w:rPr>
          <w:lang w:val="en-US"/>
        </w:rPr>
        <w:t>. The levels of significance are indicated as numbers.</w:t>
      </w:r>
    </w:p>
    <w:p w14:paraId="0CED7DB3" w14:textId="77777777" w:rsidR="008A74BF" w:rsidRPr="00901A98" w:rsidRDefault="008A74BF" w:rsidP="00BE2B48">
      <w:pPr>
        <w:pStyle w:val="NormalWeb"/>
        <w:spacing w:before="0" w:beforeAutospacing="0" w:after="0" w:afterAutospacing="0"/>
        <w:ind w:left="284" w:right="-143"/>
        <w:jc w:val="both"/>
        <w:rPr>
          <w:lang w:val="en-US"/>
        </w:rPr>
      </w:pPr>
    </w:p>
    <w:p w14:paraId="6946EA22" w14:textId="57B7F702" w:rsidR="00413273" w:rsidRPr="00901A98" w:rsidRDefault="00413273" w:rsidP="00BE2B48">
      <w:pPr>
        <w:pStyle w:val="NormalWeb"/>
        <w:spacing w:before="0" w:beforeAutospacing="0" w:after="0" w:afterAutospacing="0"/>
        <w:ind w:left="284" w:right="-143"/>
        <w:jc w:val="both"/>
        <w:rPr>
          <w:lang w:val="en-US"/>
        </w:rPr>
      </w:pPr>
      <w:r w:rsidRPr="00901A98">
        <w:rPr>
          <w:noProof/>
        </w:rPr>
        <w:lastRenderedPageBreak/>
        <w:drawing>
          <wp:inline distT="0" distB="0" distL="0" distR="0" wp14:anchorId="478BDE1F" wp14:editId="28861BF9">
            <wp:extent cx="5289550" cy="5759450"/>
            <wp:effectExtent l="0" t="0" r="635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png"/>
                    <pic:cNvPicPr/>
                  </pic:nvPicPr>
                  <pic:blipFill rotWithShape="1">
                    <a:blip r:embed="rId9" cstate="print">
                      <a:extLst>
                        <a:ext uri="{28A0092B-C50C-407E-A947-70E740481C1C}">
                          <a14:useLocalDpi xmlns:a14="http://schemas.microsoft.com/office/drawing/2010/main" val="0"/>
                        </a:ext>
                      </a:extLst>
                    </a:blip>
                    <a:srcRect r="8159"/>
                    <a:stretch/>
                  </pic:blipFill>
                  <pic:spPr bwMode="auto">
                    <a:xfrm>
                      <a:off x="0" y="0"/>
                      <a:ext cx="5289550" cy="5759450"/>
                    </a:xfrm>
                    <a:prstGeom prst="rect">
                      <a:avLst/>
                    </a:prstGeom>
                    <a:ln>
                      <a:noFill/>
                    </a:ln>
                    <a:extLst>
                      <a:ext uri="{53640926-AAD7-44D8-BBD7-CCE9431645EC}">
                        <a14:shadowObscured xmlns:a14="http://schemas.microsoft.com/office/drawing/2010/main"/>
                      </a:ext>
                    </a:extLst>
                  </pic:spPr>
                </pic:pic>
              </a:graphicData>
            </a:graphic>
          </wp:inline>
        </w:drawing>
      </w:r>
    </w:p>
    <w:p w14:paraId="7E1438B3" w14:textId="555E7AD1" w:rsidR="004C65AB" w:rsidRPr="00901A98" w:rsidRDefault="00933CD0" w:rsidP="0043240B">
      <w:pPr>
        <w:pStyle w:val="NormalWeb"/>
        <w:spacing w:before="0" w:beforeAutospacing="0" w:after="0" w:afterAutospacing="0"/>
        <w:ind w:left="284" w:right="-143"/>
        <w:jc w:val="both"/>
        <w:rPr>
          <w:b/>
          <w:lang w:val="en-US"/>
        </w:rPr>
      </w:pPr>
      <w:r w:rsidRPr="00901A98">
        <w:rPr>
          <w:b/>
          <w:lang w:val="en-US"/>
        </w:rPr>
        <w:t>Supplementary Figure 4</w:t>
      </w:r>
      <w:r w:rsidR="008A74BF" w:rsidRPr="00901A98">
        <w:rPr>
          <w:b/>
          <w:lang w:val="en-US"/>
        </w:rPr>
        <w:t xml:space="preserve">. </w:t>
      </w:r>
      <w:r w:rsidR="004C65AB" w:rsidRPr="00901A98">
        <w:rPr>
          <w:lang w:val="en-US"/>
        </w:rPr>
        <w:t xml:space="preserve">Gating strategy and representative Th1 cytokine expression in human PBMC from individuals with exposure to mycobacteria. The PBMC were stimulated </w:t>
      </w:r>
      <w:r w:rsidR="004C65AB" w:rsidRPr="00901A98">
        <w:rPr>
          <w:i/>
          <w:lang w:val="en-US"/>
        </w:rPr>
        <w:t>in vitro</w:t>
      </w:r>
      <w:r w:rsidR="004C65AB" w:rsidRPr="00901A98">
        <w:rPr>
          <w:lang w:val="en-US"/>
        </w:rPr>
        <w:t xml:space="preserve"> with respective antigens. </w:t>
      </w:r>
      <w:r w:rsidR="004C65AB" w:rsidRPr="00901A98">
        <w:rPr>
          <w:b/>
          <w:lang w:val="en-US"/>
        </w:rPr>
        <w:t>(A)</w:t>
      </w:r>
      <w:r w:rsidR="004C65AB" w:rsidRPr="00901A98">
        <w:rPr>
          <w:lang w:val="en-US"/>
        </w:rPr>
        <w:t xml:space="preserve"> Gating strategy shows first the selection of single cells based on forward scatter (FSC) and side scatter (SSC). Live cells were further identified, followed by gating on CD3+ cells to select T cells. From the CD3+ population, CD4+ and CD8+ T cells were specifically gated to analyze Th1 cytokine expression. </w:t>
      </w:r>
      <w:r w:rsidR="004C65AB" w:rsidRPr="00901A98">
        <w:rPr>
          <w:b/>
          <w:lang w:val="en-US"/>
        </w:rPr>
        <w:t>(B)</w:t>
      </w:r>
      <w:r w:rsidR="004C65AB" w:rsidRPr="00901A98">
        <w:rPr>
          <w:lang w:val="en-US"/>
        </w:rPr>
        <w:t xml:space="preserve"> Representative dot plot is depicted for one donor, displaying Th1 cytokine (</w:t>
      </w:r>
      <w:proofErr w:type="spellStart"/>
      <w:r w:rsidR="004C65AB" w:rsidRPr="00901A98">
        <w:rPr>
          <w:lang w:val="en-US"/>
        </w:rPr>
        <w:t>IFNγ</w:t>
      </w:r>
      <w:proofErr w:type="spellEnd"/>
      <w:r w:rsidR="004C65AB" w:rsidRPr="00901A98">
        <w:rPr>
          <w:lang w:val="en-US"/>
        </w:rPr>
        <w:t xml:space="preserve"> and TNF) expression in unstimulated, antigen-stimulated (PE18, PE31, or PPE26), and PMA/ionomycin-stimulated samples. </w:t>
      </w:r>
      <w:r w:rsidR="004C65AB" w:rsidRPr="00901A98">
        <w:rPr>
          <w:b/>
          <w:lang w:val="en-US"/>
        </w:rPr>
        <w:t>(C)</w:t>
      </w:r>
      <w:r w:rsidR="004C65AB" w:rsidRPr="00901A98">
        <w:rPr>
          <w:lang w:val="en-US"/>
        </w:rPr>
        <w:t xml:space="preserve"> The proportion of Th1 cytokine-positive CD4 T cells after PMA/ionomycin treatment of cells from individuals with latent TB infection (LTBI), active TB disease (ATB), and healthy controls (HC, BCG vaccinated) is presented. </w:t>
      </w:r>
      <w:r w:rsidR="0043240B" w:rsidRPr="00901A98">
        <w:rPr>
          <w:lang w:val="en-US"/>
        </w:rPr>
        <w:t xml:space="preserve">Data were analyzed using </w:t>
      </w:r>
      <w:r w:rsidR="00ED0276" w:rsidRPr="00901A98">
        <w:rPr>
          <w:lang w:val="en-US"/>
        </w:rPr>
        <w:t>a Kruskal-Wallis test, followed by post hoc Dunn</w:t>
      </w:r>
      <w:r w:rsidR="0043240B" w:rsidRPr="00901A98">
        <w:rPr>
          <w:lang w:val="en-US"/>
        </w:rPr>
        <w:t xml:space="preserve">'s test to compare each group against the control group (HC). </w:t>
      </w:r>
      <w:r w:rsidR="004C65AB" w:rsidRPr="00901A98">
        <w:rPr>
          <w:lang w:val="en-US"/>
        </w:rPr>
        <w:t>The res</w:t>
      </w:r>
      <w:r w:rsidR="00ED0276" w:rsidRPr="00901A98">
        <w:rPr>
          <w:lang w:val="en-US"/>
        </w:rPr>
        <w:t>ults are presented as mean with SEM</w:t>
      </w:r>
      <w:r w:rsidR="004C65AB" w:rsidRPr="00901A98">
        <w:rPr>
          <w:lang w:val="en-US"/>
        </w:rPr>
        <w:t xml:space="preserve">. Significance levels were denoted as </w:t>
      </w:r>
      <w:r w:rsidR="0043240B" w:rsidRPr="00901A98">
        <w:rPr>
          <w:lang w:val="en-US"/>
        </w:rPr>
        <w:t>numbers.</w:t>
      </w:r>
    </w:p>
    <w:p w14:paraId="168B5F70" w14:textId="77777777" w:rsidR="0094716A" w:rsidRPr="00901A98" w:rsidRDefault="0094716A" w:rsidP="008A74BF">
      <w:pPr>
        <w:pStyle w:val="NormalWeb"/>
        <w:spacing w:before="0" w:beforeAutospacing="0" w:after="0" w:afterAutospacing="0"/>
        <w:ind w:right="-143"/>
        <w:jc w:val="both"/>
        <w:rPr>
          <w:lang w:val="en-US"/>
        </w:rPr>
      </w:pPr>
    </w:p>
    <w:p w14:paraId="5B4F7DA5" w14:textId="3AA02C7B" w:rsidR="00914AA9" w:rsidRPr="00901A98" w:rsidRDefault="00574F0C" w:rsidP="008A74BF">
      <w:pPr>
        <w:pStyle w:val="NormalWeb"/>
        <w:spacing w:before="0" w:beforeAutospacing="0" w:after="0" w:afterAutospacing="0"/>
        <w:ind w:right="-143"/>
        <w:jc w:val="both"/>
        <w:rPr>
          <w:lang w:val="en-US"/>
        </w:rPr>
      </w:pPr>
      <w:r w:rsidRPr="00901A98">
        <w:rPr>
          <w:noProof/>
        </w:rPr>
        <w:lastRenderedPageBreak/>
        <w:drawing>
          <wp:inline distT="0" distB="0" distL="0" distR="0" wp14:anchorId="2DD74799" wp14:editId="1622C3ED">
            <wp:extent cx="5759450" cy="28575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png"/>
                    <pic:cNvPicPr/>
                  </pic:nvPicPr>
                  <pic:blipFill rotWithShape="1">
                    <a:blip r:embed="rId10" cstate="print">
                      <a:extLst>
                        <a:ext uri="{28A0092B-C50C-407E-A947-70E740481C1C}">
                          <a14:useLocalDpi xmlns:a14="http://schemas.microsoft.com/office/drawing/2010/main" val="0"/>
                        </a:ext>
                      </a:extLst>
                    </a:blip>
                    <a:srcRect t="24035" b="26350"/>
                    <a:stretch/>
                  </pic:blipFill>
                  <pic:spPr bwMode="auto">
                    <a:xfrm>
                      <a:off x="0" y="0"/>
                      <a:ext cx="5759450" cy="2857500"/>
                    </a:xfrm>
                    <a:prstGeom prst="rect">
                      <a:avLst/>
                    </a:prstGeom>
                    <a:ln>
                      <a:noFill/>
                    </a:ln>
                    <a:extLst>
                      <a:ext uri="{53640926-AAD7-44D8-BBD7-CCE9431645EC}">
                        <a14:shadowObscured xmlns:a14="http://schemas.microsoft.com/office/drawing/2010/main"/>
                      </a:ext>
                    </a:extLst>
                  </pic:spPr>
                </pic:pic>
              </a:graphicData>
            </a:graphic>
          </wp:inline>
        </w:drawing>
      </w:r>
    </w:p>
    <w:p w14:paraId="61F89432" w14:textId="224B8979" w:rsidR="0094716A" w:rsidRPr="00901A98" w:rsidRDefault="00A8208B" w:rsidP="007D2AFA">
      <w:pPr>
        <w:pStyle w:val="NormalWeb"/>
        <w:spacing w:before="0" w:beforeAutospacing="0" w:after="0" w:afterAutospacing="0"/>
        <w:ind w:left="284" w:right="-143"/>
        <w:jc w:val="both"/>
        <w:rPr>
          <w:b/>
          <w:lang w:val="en-US"/>
        </w:rPr>
      </w:pPr>
      <w:r w:rsidRPr="00901A98">
        <w:rPr>
          <w:b/>
          <w:lang w:val="en-US"/>
        </w:rPr>
        <w:t xml:space="preserve">Supplementary Figure </w:t>
      </w:r>
      <w:r w:rsidR="00933CD0" w:rsidRPr="00901A98">
        <w:rPr>
          <w:b/>
          <w:lang w:val="en-US"/>
        </w:rPr>
        <w:t>5</w:t>
      </w:r>
      <w:r w:rsidRPr="00901A98">
        <w:rPr>
          <w:b/>
          <w:lang w:val="en-US"/>
        </w:rPr>
        <w:t>.</w:t>
      </w:r>
      <w:r w:rsidR="0094716A" w:rsidRPr="00901A98">
        <w:rPr>
          <w:b/>
          <w:lang w:val="en-US"/>
        </w:rPr>
        <w:t xml:space="preserve"> </w:t>
      </w:r>
      <w:r w:rsidR="0094716A" w:rsidRPr="00901A98">
        <w:rPr>
          <w:lang w:val="en-US"/>
        </w:rPr>
        <w:t xml:space="preserve">Antigen-induced T cell proliferation in PBMC from individuals exposed to </w:t>
      </w:r>
      <w:proofErr w:type="spellStart"/>
      <w:r w:rsidR="0094716A" w:rsidRPr="00901A98">
        <w:rPr>
          <w:i/>
          <w:lang w:val="en-US"/>
        </w:rPr>
        <w:t>Mtb</w:t>
      </w:r>
      <w:proofErr w:type="spellEnd"/>
      <w:r w:rsidR="0094716A" w:rsidRPr="00901A98">
        <w:rPr>
          <w:lang w:val="en-US"/>
        </w:rPr>
        <w:t xml:space="preserve"> or BCG. Human PBMCs from individuals with exposure to </w:t>
      </w:r>
      <w:proofErr w:type="spellStart"/>
      <w:r w:rsidR="0094716A" w:rsidRPr="00901A98">
        <w:rPr>
          <w:i/>
          <w:lang w:val="en-US"/>
        </w:rPr>
        <w:t>Mtb</w:t>
      </w:r>
      <w:proofErr w:type="spellEnd"/>
      <w:r w:rsidR="0094716A" w:rsidRPr="00901A98">
        <w:rPr>
          <w:lang w:val="en-US"/>
        </w:rPr>
        <w:t xml:space="preserve"> (ATB or LTBI) or BCG were stimulated </w:t>
      </w:r>
      <w:r w:rsidR="0094716A" w:rsidRPr="00901A98">
        <w:rPr>
          <w:i/>
          <w:lang w:val="en-US"/>
        </w:rPr>
        <w:t>in vitro</w:t>
      </w:r>
      <w:r w:rsidR="0094716A" w:rsidRPr="00901A98">
        <w:rPr>
          <w:lang w:val="en-US"/>
        </w:rPr>
        <w:t xml:space="preserve"> with each respective protein. For each antigen, the </w:t>
      </w:r>
      <w:r w:rsidR="001F6D72" w:rsidRPr="00901A98">
        <w:rPr>
          <w:lang w:val="en-US"/>
        </w:rPr>
        <w:t>proportion</w:t>
      </w:r>
      <w:r w:rsidR="0094716A" w:rsidRPr="00901A98">
        <w:rPr>
          <w:lang w:val="en-US"/>
        </w:rPr>
        <w:t xml:space="preserve"> of </w:t>
      </w:r>
      <w:r w:rsidR="0094716A" w:rsidRPr="00901A98">
        <w:rPr>
          <w:rStyle w:val="normaltextrun"/>
          <w:rFonts w:eastAsia="Cambria"/>
          <w:lang w:val="en-US"/>
        </w:rPr>
        <w:t>all T cells producing IFN</w:t>
      </w:r>
      <w:r w:rsidR="0094716A" w:rsidRPr="00901A98">
        <w:rPr>
          <w:rStyle w:val="normaltextrun"/>
          <w:rFonts w:eastAsia="Cambria"/>
        </w:rPr>
        <w:t>γ</w:t>
      </w:r>
      <w:r w:rsidR="0094716A" w:rsidRPr="00901A98">
        <w:rPr>
          <w:rStyle w:val="normaltextrun"/>
          <w:rFonts w:eastAsia="Cambria"/>
          <w:lang w:val="en-US"/>
        </w:rPr>
        <w:t xml:space="preserve"> and TNF </w:t>
      </w:r>
      <w:r w:rsidR="001F6D72" w:rsidRPr="00901A98">
        <w:rPr>
          <w:lang w:val="en-US"/>
        </w:rPr>
        <w:t>is presented for the</w:t>
      </w:r>
      <w:r w:rsidR="0094716A" w:rsidRPr="00901A98">
        <w:rPr>
          <w:lang w:val="en-US"/>
        </w:rPr>
        <w:t xml:space="preserve"> LTBI, ATB, and BCG groups. The resul</w:t>
      </w:r>
      <w:r w:rsidR="00ED0276" w:rsidRPr="00901A98">
        <w:rPr>
          <w:lang w:val="en-US"/>
        </w:rPr>
        <w:t xml:space="preserve">ts show the </w:t>
      </w:r>
      <w:r w:rsidR="009E374D" w:rsidRPr="00901A98">
        <w:rPr>
          <w:lang w:val="en-US"/>
        </w:rPr>
        <w:t xml:space="preserve">individual values with the median and the interquartile range (IQR) </w:t>
      </w:r>
      <w:r w:rsidR="00ED0276" w:rsidRPr="00901A98">
        <w:rPr>
          <w:lang w:val="en-US"/>
        </w:rPr>
        <w:t>for</w:t>
      </w:r>
      <w:r w:rsidR="0094716A" w:rsidRPr="00901A98">
        <w:rPr>
          <w:lang w:val="en-US"/>
        </w:rPr>
        <w:t xml:space="preserve"> </w:t>
      </w:r>
      <w:r w:rsidR="001F6D72" w:rsidRPr="00901A98">
        <w:rPr>
          <w:lang w:val="en-US"/>
        </w:rPr>
        <w:t xml:space="preserve">the </w:t>
      </w:r>
      <w:r w:rsidR="0094716A" w:rsidRPr="00901A98">
        <w:rPr>
          <w:lang w:val="en-US"/>
        </w:rPr>
        <w:t xml:space="preserve">percentage of </w:t>
      </w:r>
      <w:proofErr w:type="spellStart"/>
      <w:r w:rsidR="0094716A" w:rsidRPr="00901A98">
        <w:rPr>
          <w:lang w:val="en-US"/>
        </w:rPr>
        <w:t>IFNγ</w:t>
      </w:r>
      <w:proofErr w:type="spellEnd"/>
      <w:r w:rsidR="0094716A" w:rsidRPr="00901A98">
        <w:rPr>
          <w:lang w:val="en-US"/>
        </w:rPr>
        <w:t xml:space="preserve"> and TNF positive antigen-specific T-cells</w:t>
      </w:r>
      <w:r w:rsidR="00ED0276" w:rsidRPr="00901A98">
        <w:rPr>
          <w:lang w:val="en-US"/>
        </w:rPr>
        <w:t>. The data were</w:t>
      </w:r>
      <w:r w:rsidR="001F6D72" w:rsidRPr="00901A98">
        <w:rPr>
          <w:lang w:val="en-US"/>
        </w:rPr>
        <w:t xml:space="preserve"> analyzed</w:t>
      </w:r>
      <w:r w:rsidR="0094716A" w:rsidRPr="00901A98">
        <w:rPr>
          <w:lang w:val="en-US"/>
        </w:rPr>
        <w:t xml:space="preserve"> </w:t>
      </w:r>
      <w:r w:rsidR="001F6D72" w:rsidRPr="00901A98">
        <w:rPr>
          <w:lang w:val="en-US"/>
        </w:rPr>
        <w:t>using</w:t>
      </w:r>
      <w:r w:rsidR="0094716A" w:rsidRPr="00901A98">
        <w:rPr>
          <w:lang w:val="en-US"/>
        </w:rPr>
        <w:t xml:space="preserve"> a </w:t>
      </w:r>
      <w:r w:rsidR="00ED0276" w:rsidRPr="00901A98">
        <w:rPr>
          <w:lang w:val="en-US"/>
        </w:rPr>
        <w:t>Kruskal-Wallis test followed by Dunn´s</w:t>
      </w:r>
      <w:r w:rsidR="0094716A" w:rsidRPr="00901A98">
        <w:rPr>
          <w:lang w:val="en-US"/>
        </w:rPr>
        <w:t xml:space="preserve"> test correction.</w:t>
      </w:r>
      <w:r w:rsidR="00ED0276" w:rsidRPr="00901A98">
        <w:rPr>
          <w:lang w:val="en-US"/>
        </w:rPr>
        <w:t xml:space="preserve"> The significance levels were indicated as numbers.</w:t>
      </w:r>
    </w:p>
    <w:p w14:paraId="661B1AE6" w14:textId="77777777" w:rsidR="0094716A" w:rsidRPr="00901A98" w:rsidRDefault="0094716A" w:rsidP="00BE2B48">
      <w:pPr>
        <w:pStyle w:val="NormalWeb"/>
        <w:spacing w:before="0" w:beforeAutospacing="0" w:after="0" w:afterAutospacing="0"/>
        <w:ind w:left="284" w:right="-143"/>
        <w:jc w:val="both"/>
        <w:rPr>
          <w:b/>
          <w:lang w:val="en-US"/>
        </w:rPr>
      </w:pPr>
    </w:p>
    <w:p w14:paraId="6F840F4C" w14:textId="539A3349" w:rsidR="00914AA9" w:rsidRPr="00901A98" w:rsidRDefault="00574F0C" w:rsidP="00BE2B48">
      <w:pPr>
        <w:pStyle w:val="NormalWeb"/>
        <w:spacing w:before="0" w:beforeAutospacing="0" w:after="0" w:afterAutospacing="0"/>
        <w:ind w:left="284" w:right="-143"/>
        <w:jc w:val="both"/>
        <w:rPr>
          <w:b/>
          <w:lang w:val="en-US"/>
        </w:rPr>
      </w:pPr>
      <w:r w:rsidRPr="00901A98">
        <w:rPr>
          <w:b/>
          <w:noProof/>
        </w:rPr>
        <w:lastRenderedPageBreak/>
        <w:drawing>
          <wp:inline distT="0" distB="0" distL="0" distR="0" wp14:anchorId="5DAE5627" wp14:editId="025EB5E9">
            <wp:extent cx="5759450" cy="57594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59CDEC75" w14:textId="00EA0001" w:rsidR="00A8208B" w:rsidRPr="00901A98" w:rsidRDefault="00A8208B" w:rsidP="00903C77">
      <w:pPr>
        <w:pStyle w:val="NormalWeb"/>
        <w:spacing w:before="0" w:beforeAutospacing="0" w:after="0" w:afterAutospacing="0"/>
        <w:ind w:left="284" w:right="-143"/>
        <w:jc w:val="both"/>
        <w:rPr>
          <w:b/>
          <w:lang w:val="en-US"/>
        </w:rPr>
      </w:pPr>
      <w:r w:rsidRPr="00901A98">
        <w:rPr>
          <w:b/>
          <w:lang w:val="en-US"/>
        </w:rPr>
        <w:t xml:space="preserve">Supplementary Figure </w:t>
      </w:r>
      <w:r w:rsidR="00933CD0" w:rsidRPr="00901A98">
        <w:rPr>
          <w:b/>
          <w:lang w:val="en-US"/>
        </w:rPr>
        <w:t>6</w:t>
      </w:r>
      <w:r w:rsidRPr="00901A98">
        <w:rPr>
          <w:b/>
          <w:lang w:val="en-US"/>
        </w:rPr>
        <w:t>.</w:t>
      </w:r>
      <w:r w:rsidR="00903C77" w:rsidRPr="00901A98">
        <w:rPr>
          <w:lang w:val="en-US"/>
        </w:rPr>
        <w:t xml:space="preserve"> Comparison of PE18, PE31 and PPE26 antigen-specific T cell proliferation responses in LTBI, ATB and BCG-vaccinated individuals. For each sub-cohort, the percentage</w:t>
      </w:r>
      <w:r w:rsidR="007D2AFA" w:rsidRPr="00901A98">
        <w:rPr>
          <w:lang w:val="en-US"/>
        </w:rPr>
        <w:t xml:space="preserve"> of </w:t>
      </w:r>
      <w:proofErr w:type="spellStart"/>
      <w:r w:rsidR="007D2AFA" w:rsidRPr="00901A98">
        <w:rPr>
          <w:lang w:val="en-US"/>
        </w:rPr>
        <w:t>IFNγ</w:t>
      </w:r>
      <w:proofErr w:type="spellEnd"/>
      <w:r w:rsidR="007D2AFA" w:rsidRPr="00901A98">
        <w:rPr>
          <w:lang w:val="en-US"/>
        </w:rPr>
        <w:t xml:space="preserve"> and TNF positive antigen-specific CD4 </w:t>
      </w:r>
      <w:r w:rsidR="007D2AFA" w:rsidRPr="00901A98">
        <w:rPr>
          <w:b/>
          <w:lang w:val="en-US"/>
        </w:rPr>
        <w:t xml:space="preserve">(A), </w:t>
      </w:r>
      <w:r w:rsidR="007D2AFA" w:rsidRPr="00901A98">
        <w:rPr>
          <w:lang w:val="en-US"/>
        </w:rPr>
        <w:t>CD8</w:t>
      </w:r>
      <w:r w:rsidR="007D2AFA" w:rsidRPr="00901A98">
        <w:rPr>
          <w:b/>
          <w:lang w:val="en-US"/>
        </w:rPr>
        <w:t xml:space="preserve"> (B) </w:t>
      </w:r>
      <w:r w:rsidR="007D2AFA" w:rsidRPr="00901A98">
        <w:rPr>
          <w:lang w:val="en-US"/>
        </w:rPr>
        <w:t xml:space="preserve">and total CD4 and CD8 </w:t>
      </w:r>
      <w:r w:rsidR="007D2AFA" w:rsidRPr="00901A98">
        <w:rPr>
          <w:b/>
          <w:lang w:val="en-US"/>
        </w:rPr>
        <w:t xml:space="preserve">(C) </w:t>
      </w:r>
      <w:r w:rsidR="004B3B73" w:rsidRPr="00901A98">
        <w:rPr>
          <w:lang w:val="en-US"/>
        </w:rPr>
        <w:t xml:space="preserve">T </w:t>
      </w:r>
      <w:r w:rsidR="007D2AFA" w:rsidRPr="00901A98">
        <w:rPr>
          <w:lang w:val="en-US"/>
        </w:rPr>
        <w:t>cells</w:t>
      </w:r>
      <w:r w:rsidR="007D2AFA" w:rsidRPr="00901A98">
        <w:rPr>
          <w:b/>
          <w:lang w:val="en-US"/>
        </w:rPr>
        <w:t xml:space="preserve"> </w:t>
      </w:r>
      <w:r w:rsidR="007D2AFA" w:rsidRPr="00901A98">
        <w:rPr>
          <w:lang w:val="en-US"/>
        </w:rPr>
        <w:t>for each antigen are represented.</w:t>
      </w:r>
      <w:r w:rsidR="00903C77" w:rsidRPr="00901A98">
        <w:rPr>
          <w:lang w:val="en-US"/>
        </w:rPr>
        <w:t xml:space="preserve"> The results represent </w:t>
      </w:r>
      <w:r w:rsidR="00804224" w:rsidRPr="00901A98">
        <w:rPr>
          <w:lang w:val="en-US"/>
        </w:rPr>
        <w:t>individual values with median and IQR</w:t>
      </w:r>
      <w:r w:rsidR="00ED0276" w:rsidRPr="00901A98">
        <w:rPr>
          <w:lang w:val="en-US"/>
        </w:rPr>
        <w:t xml:space="preserve"> for</w:t>
      </w:r>
      <w:r w:rsidR="00903C77" w:rsidRPr="00901A98">
        <w:rPr>
          <w:lang w:val="en-US"/>
        </w:rPr>
        <w:t xml:space="preserve"> the percentage of </w:t>
      </w:r>
      <w:proofErr w:type="spellStart"/>
      <w:r w:rsidR="00903C77" w:rsidRPr="00901A98">
        <w:rPr>
          <w:lang w:val="en-US"/>
        </w:rPr>
        <w:t>IFNγ</w:t>
      </w:r>
      <w:proofErr w:type="spellEnd"/>
      <w:r w:rsidR="00903C77" w:rsidRPr="00901A98">
        <w:rPr>
          <w:lang w:val="en-US"/>
        </w:rPr>
        <w:t xml:space="preserve"> and TNF positive antigen-specific T-cells, analyzed using a </w:t>
      </w:r>
      <w:r w:rsidR="00ED0276" w:rsidRPr="00901A98">
        <w:rPr>
          <w:lang w:val="en-US"/>
        </w:rPr>
        <w:t>Kruskal-Wallis analysis followed by Dunn´s</w:t>
      </w:r>
      <w:r w:rsidR="00903C77" w:rsidRPr="00901A98">
        <w:rPr>
          <w:lang w:val="en-US"/>
        </w:rPr>
        <w:t xml:space="preserve"> test correction.</w:t>
      </w:r>
      <w:r w:rsidR="00ED0276" w:rsidRPr="00901A98">
        <w:rPr>
          <w:lang w:val="en-US"/>
        </w:rPr>
        <w:t xml:space="preserve"> The significance levels were indicated as numbers.</w:t>
      </w:r>
    </w:p>
    <w:p w14:paraId="4DAA4B79" w14:textId="77777777" w:rsidR="00BE2B48" w:rsidRPr="00901A98" w:rsidRDefault="00BE2B48" w:rsidP="00BE2B48">
      <w:pPr>
        <w:pStyle w:val="NormalWeb"/>
        <w:spacing w:before="0" w:beforeAutospacing="0" w:after="0" w:afterAutospacing="0"/>
        <w:ind w:right="-143"/>
        <w:jc w:val="both"/>
        <w:rPr>
          <w:b/>
          <w:lang w:val="en-US"/>
        </w:rPr>
      </w:pPr>
    </w:p>
    <w:p w14:paraId="6CADB7BE" w14:textId="79F012CA" w:rsidR="009A2D87" w:rsidRPr="00901A98" w:rsidRDefault="009A2D87" w:rsidP="00BE2B48">
      <w:pPr>
        <w:pStyle w:val="NormalWeb"/>
        <w:spacing w:before="0" w:beforeAutospacing="0" w:after="0" w:afterAutospacing="0"/>
        <w:ind w:right="-143"/>
        <w:jc w:val="both"/>
        <w:rPr>
          <w:b/>
          <w:lang w:val="en-US"/>
        </w:rPr>
      </w:pPr>
      <w:r w:rsidRPr="00901A98">
        <w:rPr>
          <w:b/>
          <w:noProof/>
        </w:rPr>
        <w:lastRenderedPageBreak/>
        <w:drawing>
          <wp:inline distT="0" distB="0" distL="0" distR="0" wp14:anchorId="0A0DCCBE" wp14:editId="739472C4">
            <wp:extent cx="5721350" cy="32639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png"/>
                    <pic:cNvPicPr/>
                  </pic:nvPicPr>
                  <pic:blipFill rotWithShape="1">
                    <a:blip r:embed="rId12" cstate="print">
                      <a:extLst>
                        <a:ext uri="{28A0092B-C50C-407E-A947-70E740481C1C}">
                          <a14:useLocalDpi xmlns:a14="http://schemas.microsoft.com/office/drawing/2010/main" val="0"/>
                        </a:ext>
                      </a:extLst>
                    </a:blip>
                    <a:srcRect t="21500" r="662" b="21831"/>
                    <a:stretch/>
                  </pic:blipFill>
                  <pic:spPr bwMode="auto">
                    <a:xfrm>
                      <a:off x="0" y="0"/>
                      <a:ext cx="5721350" cy="3263900"/>
                    </a:xfrm>
                    <a:prstGeom prst="rect">
                      <a:avLst/>
                    </a:prstGeom>
                    <a:ln>
                      <a:noFill/>
                    </a:ln>
                    <a:extLst>
                      <a:ext uri="{53640926-AAD7-44D8-BBD7-CCE9431645EC}">
                        <a14:shadowObscured xmlns:a14="http://schemas.microsoft.com/office/drawing/2010/main"/>
                      </a:ext>
                    </a:extLst>
                  </pic:spPr>
                </pic:pic>
              </a:graphicData>
            </a:graphic>
          </wp:inline>
        </w:drawing>
      </w:r>
    </w:p>
    <w:p w14:paraId="7C3F2A41" w14:textId="383B5412" w:rsidR="0009769B" w:rsidRPr="00901A98" w:rsidRDefault="00BE2B48" w:rsidP="00ED0276">
      <w:pPr>
        <w:pStyle w:val="NormalWeb"/>
        <w:spacing w:before="0" w:beforeAutospacing="0" w:after="0" w:afterAutospacing="0"/>
        <w:ind w:left="284" w:right="-143"/>
        <w:jc w:val="both"/>
        <w:rPr>
          <w:lang w:val="en-US"/>
        </w:rPr>
      </w:pPr>
      <w:r w:rsidRPr="00901A98">
        <w:rPr>
          <w:b/>
          <w:lang w:val="en-US"/>
        </w:rPr>
        <w:t xml:space="preserve">Supplementary Figure </w:t>
      </w:r>
      <w:r w:rsidR="00933CD0" w:rsidRPr="00901A98">
        <w:rPr>
          <w:b/>
          <w:lang w:val="en-US"/>
        </w:rPr>
        <w:t>7</w:t>
      </w:r>
      <w:r w:rsidRPr="00901A98">
        <w:rPr>
          <w:b/>
          <w:lang w:val="en-US"/>
        </w:rPr>
        <w:t>.</w:t>
      </w:r>
      <w:r w:rsidRPr="00901A98">
        <w:rPr>
          <w:lang w:val="en-US"/>
        </w:rPr>
        <w:t xml:space="preserve"> Evaluation of dendritic cell </w:t>
      </w:r>
      <w:r w:rsidR="00A93215" w:rsidRPr="00901A98">
        <w:rPr>
          <w:lang w:val="en-US"/>
        </w:rPr>
        <w:t>maturation</w:t>
      </w:r>
      <w:r w:rsidRPr="00901A98">
        <w:rPr>
          <w:lang w:val="en-US"/>
        </w:rPr>
        <w:t xml:space="preserve"> induced by PE/PPE antigens. The assay was performed using dendritic cells (DCs) </w:t>
      </w:r>
      <w:r w:rsidR="00A93215" w:rsidRPr="00901A98">
        <w:rPr>
          <w:lang w:val="en-US"/>
        </w:rPr>
        <w:t xml:space="preserve">generated from monocytes </w:t>
      </w:r>
      <w:r w:rsidRPr="00901A98">
        <w:rPr>
          <w:lang w:val="en-US"/>
        </w:rPr>
        <w:t>derived from peripheral blood mononuclear cells (PBMCs) obtained from healthy human donors with no record of prior exposure to mycobacteria. Initially, the DCs were stained with fluorescence-activated cell sorting (FACS) markers to assess their immature dendritic cell (</w:t>
      </w:r>
      <w:proofErr w:type="spellStart"/>
      <w:r w:rsidRPr="00901A98">
        <w:rPr>
          <w:lang w:val="en-US"/>
        </w:rPr>
        <w:t>iDC</w:t>
      </w:r>
      <w:proofErr w:type="spellEnd"/>
      <w:r w:rsidRPr="00901A98">
        <w:rPr>
          <w:lang w:val="en-US"/>
        </w:rPr>
        <w:t>) state, including CD14, CD40, CD80, CD83, CD86, CD209, and HLA-DR. Subsequently, the respective antigens (at a concentration of 10µg/mL) were added to the cell culture and the cells were incubated for 48 hours. The mature state was assessed by staining with same FACS markers. Lipopolysaccharide (LPS) at a concentration of 1µg/mL was used as a positive control. The resulting fluorescence data were collected and processed using FACS. Statistical comparisons were performed between the experimental groups and the control condition (</w:t>
      </w:r>
      <w:proofErr w:type="spellStart"/>
      <w:r w:rsidRPr="00901A98">
        <w:rPr>
          <w:lang w:val="en-US"/>
        </w:rPr>
        <w:t>iDCs</w:t>
      </w:r>
      <w:proofErr w:type="spellEnd"/>
      <w:r w:rsidRPr="00901A98">
        <w:rPr>
          <w:lang w:val="en-US"/>
        </w:rPr>
        <w:t xml:space="preserve">). These results depict the mean fluorescence intensity (MFI) for each marker assessed. </w:t>
      </w:r>
      <w:r w:rsidR="00ED0276" w:rsidRPr="00901A98">
        <w:rPr>
          <w:lang w:val="en-US"/>
        </w:rPr>
        <w:t xml:space="preserve">To assess significant differences between the experimental groups and the control condition, a one-way ANOVA with assumed sphericity was performed, followed by Dunnett correction. </w:t>
      </w:r>
      <w:r w:rsidRPr="00901A98">
        <w:rPr>
          <w:lang w:val="en-US"/>
        </w:rPr>
        <w:t>The levels of significance are indicated by asterisks as follows: (*</w:t>
      </w:r>
      <w:r w:rsidR="00571B9F" w:rsidRPr="00901A98">
        <w:rPr>
          <w:lang w:val="en-US"/>
        </w:rPr>
        <w:t>*</w:t>
      </w:r>
      <w:r w:rsidRPr="00901A98">
        <w:rPr>
          <w:lang w:val="en-US"/>
        </w:rPr>
        <w:t>*, p &lt; 0.</w:t>
      </w:r>
      <w:r w:rsidR="00571B9F" w:rsidRPr="00901A98">
        <w:rPr>
          <w:lang w:val="en-US"/>
        </w:rPr>
        <w:t>0</w:t>
      </w:r>
      <w:r w:rsidRPr="00901A98">
        <w:rPr>
          <w:lang w:val="en-US"/>
        </w:rPr>
        <w:t>01</w:t>
      </w:r>
      <w:r w:rsidR="00ED0276" w:rsidRPr="00901A98">
        <w:rPr>
          <w:lang w:val="en-US"/>
        </w:rPr>
        <w:t>)</w:t>
      </w:r>
      <w:r w:rsidR="00571B9F" w:rsidRPr="00901A98">
        <w:rPr>
          <w:lang w:val="en-US"/>
        </w:rPr>
        <w:t xml:space="preserve"> </w:t>
      </w:r>
      <w:r w:rsidR="00ED0276" w:rsidRPr="00901A98">
        <w:rPr>
          <w:lang w:val="en-US"/>
        </w:rPr>
        <w:t>and (****, p &lt; 0.0001)</w:t>
      </w:r>
      <w:r w:rsidR="00571B9F" w:rsidRPr="00901A98">
        <w:rPr>
          <w:lang w:val="en-US"/>
        </w:rPr>
        <w:t>.</w:t>
      </w:r>
    </w:p>
    <w:p w14:paraId="24934B41" w14:textId="77777777" w:rsidR="0009769B" w:rsidRPr="00901A98" w:rsidRDefault="0009769B" w:rsidP="007D2AFA">
      <w:pPr>
        <w:pStyle w:val="NormalWeb"/>
        <w:spacing w:before="0" w:beforeAutospacing="0" w:after="0" w:afterAutospacing="0"/>
        <w:ind w:left="284" w:right="-143"/>
        <w:jc w:val="both"/>
        <w:rPr>
          <w:b/>
          <w:lang w:val="en-US"/>
        </w:rPr>
      </w:pPr>
    </w:p>
    <w:p w14:paraId="18B652A8" w14:textId="0C15D2FA" w:rsidR="009A2D87" w:rsidRPr="00901A98" w:rsidRDefault="009A2D87" w:rsidP="007D2AFA">
      <w:pPr>
        <w:pStyle w:val="NormalWeb"/>
        <w:spacing w:before="0" w:beforeAutospacing="0" w:after="0" w:afterAutospacing="0"/>
        <w:ind w:left="284" w:right="-143"/>
        <w:jc w:val="both"/>
        <w:rPr>
          <w:b/>
          <w:lang w:val="en-US"/>
        </w:rPr>
      </w:pPr>
      <w:r w:rsidRPr="00901A98">
        <w:rPr>
          <w:b/>
          <w:noProof/>
        </w:rPr>
        <w:drawing>
          <wp:inline distT="0" distB="0" distL="0" distR="0" wp14:anchorId="3C4B84DB" wp14:editId="2B7CDC99">
            <wp:extent cx="5756745" cy="2282025"/>
            <wp:effectExtent l="0" t="0" r="0" b="444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7.png"/>
                    <pic:cNvPicPr/>
                  </pic:nvPicPr>
                  <pic:blipFill rotWithShape="1">
                    <a:blip r:embed="rId13" cstate="print">
                      <a:extLst>
                        <a:ext uri="{28A0092B-C50C-407E-A947-70E740481C1C}">
                          <a14:useLocalDpi xmlns:a14="http://schemas.microsoft.com/office/drawing/2010/main" val="0"/>
                        </a:ext>
                      </a:extLst>
                    </a:blip>
                    <a:srcRect t="32855" b="27504"/>
                    <a:stretch/>
                  </pic:blipFill>
                  <pic:spPr bwMode="auto">
                    <a:xfrm>
                      <a:off x="0" y="0"/>
                      <a:ext cx="5759450" cy="2283097"/>
                    </a:xfrm>
                    <a:prstGeom prst="rect">
                      <a:avLst/>
                    </a:prstGeom>
                    <a:ln>
                      <a:noFill/>
                    </a:ln>
                    <a:extLst>
                      <a:ext uri="{53640926-AAD7-44D8-BBD7-CCE9431645EC}">
                        <a14:shadowObscured xmlns:a14="http://schemas.microsoft.com/office/drawing/2010/main"/>
                      </a:ext>
                    </a:extLst>
                  </pic:spPr>
                </pic:pic>
              </a:graphicData>
            </a:graphic>
          </wp:inline>
        </w:drawing>
      </w:r>
    </w:p>
    <w:p w14:paraId="270C8500" w14:textId="3DE1E307" w:rsidR="009A2D87" w:rsidRPr="00901A98" w:rsidRDefault="00A8208B" w:rsidP="009A2D87">
      <w:pPr>
        <w:pStyle w:val="NormalWeb"/>
        <w:spacing w:before="0" w:beforeAutospacing="0" w:after="0" w:afterAutospacing="0"/>
        <w:ind w:left="284" w:right="-143"/>
        <w:jc w:val="both"/>
        <w:rPr>
          <w:lang w:val="en-US"/>
        </w:rPr>
      </w:pPr>
      <w:r w:rsidRPr="00901A98">
        <w:rPr>
          <w:b/>
          <w:lang w:val="en-US"/>
        </w:rPr>
        <w:t xml:space="preserve">Supplementary Figure </w:t>
      </w:r>
      <w:r w:rsidR="00933CD0" w:rsidRPr="00901A98">
        <w:rPr>
          <w:b/>
          <w:lang w:val="en-US"/>
        </w:rPr>
        <w:t>8</w:t>
      </w:r>
      <w:r w:rsidR="0009769B" w:rsidRPr="00901A98">
        <w:rPr>
          <w:b/>
          <w:lang w:val="en-US"/>
        </w:rPr>
        <w:t>.</w:t>
      </w:r>
      <w:r w:rsidR="0009769B" w:rsidRPr="00901A98">
        <w:rPr>
          <w:lang w:val="en-US"/>
        </w:rPr>
        <w:t xml:space="preserve"> Antigen-induced T cell proliferation in unexposed hosts. Human PBMCs from unexposed healthy donors were stimulated in vitro with each antigen separately at a concentration of 10µg/</w:t>
      </w:r>
      <w:proofErr w:type="spellStart"/>
      <w:r w:rsidR="0009769B" w:rsidRPr="00901A98">
        <w:rPr>
          <w:lang w:val="en-US"/>
        </w:rPr>
        <w:t>mL.</w:t>
      </w:r>
      <w:proofErr w:type="spellEnd"/>
      <w:r w:rsidR="0009769B" w:rsidRPr="00901A98">
        <w:rPr>
          <w:lang w:val="en-US"/>
        </w:rPr>
        <w:t xml:space="preserve"> </w:t>
      </w:r>
      <w:r w:rsidR="008A74BF" w:rsidRPr="00901A98">
        <w:rPr>
          <w:b/>
          <w:lang w:val="en-US"/>
        </w:rPr>
        <w:t>(A)</w:t>
      </w:r>
      <w:r w:rsidR="008A74BF" w:rsidRPr="00901A98">
        <w:rPr>
          <w:lang w:val="en-US"/>
        </w:rPr>
        <w:t xml:space="preserve"> </w:t>
      </w:r>
      <w:r w:rsidR="0009769B" w:rsidRPr="00901A98">
        <w:rPr>
          <w:lang w:val="en-US"/>
        </w:rPr>
        <w:t xml:space="preserve">Proliferation of antigen-specific CD4+ and </w:t>
      </w:r>
      <w:r w:rsidR="0009769B" w:rsidRPr="00901A98">
        <w:rPr>
          <w:lang w:val="en-US"/>
        </w:rPr>
        <w:lastRenderedPageBreak/>
        <w:t xml:space="preserve">CD8+ T cell populations in five different donors by PPE26, PE18 or PE31 was measured in terms of </w:t>
      </w:r>
      <w:proofErr w:type="spellStart"/>
      <w:r w:rsidR="0009769B" w:rsidRPr="00901A98">
        <w:rPr>
          <w:lang w:val="en-US"/>
        </w:rPr>
        <w:t>EdU</w:t>
      </w:r>
      <w:proofErr w:type="spellEnd"/>
      <w:r w:rsidR="0009769B" w:rsidRPr="00901A98">
        <w:rPr>
          <w:lang w:val="en-US"/>
        </w:rPr>
        <w:t xml:space="preserve"> incorporation using flow cytometry, and calculated as stimulation index (SI). Stimulation index indicates the ratio of the mean response of the test product condition over the mean response of the control condition, and it is considered positive when the response in higher that SI=2. </w:t>
      </w:r>
      <w:r w:rsidR="008A74BF" w:rsidRPr="00901A98">
        <w:rPr>
          <w:b/>
          <w:lang w:val="en-US"/>
        </w:rPr>
        <w:t>(B)</w:t>
      </w:r>
      <w:r w:rsidR="008A74BF" w:rsidRPr="00901A98">
        <w:rPr>
          <w:lang w:val="en-US"/>
        </w:rPr>
        <w:t xml:space="preserve"> </w:t>
      </w:r>
      <w:r w:rsidR="0009769B" w:rsidRPr="00901A98">
        <w:rPr>
          <w:lang w:val="en-US"/>
        </w:rPr>
        <w:t xml:space="preserve">Levels of </w:t>
      </w:r>
      <w:proofErr w:type="spellStart"/>
      <w:r w:rsidR="0009769B" w:rsidRPr="00901A98">
        <w:rPr>
          <w:lang w:val="en-US"/>
        </w:rPr>
        <w:t>IFNγ</w:t>
      </w:r>
      <w:proofErr w:type="spellEnd"/>
      <w:r w:rsidR="0009769B" w:rsidRPr="00901A98">
        <w:rPr>
          <w:lang w:val="en-US"/>
        </w:rPr>
        <w:t xml:space="preserve"> production (</w:t>
      </w:r>
      <w:proofErr w:type="spellStart"/>
      <w:r w:rsidR="0009769B" w:rsidRPr="00901A98">
        <w:rPr>
          <w:lang w:val="en-US"/>
        </w:rPr>
        <w:t>pg</w:t>
      </w:r>
      <w:proofErr w:type="spellEnd"/>
      <w:r w:rsidR="0009769B" w:rsidRPr="00901A98">
        <w:rPr>
          <w:lang w:val="en-US"/>
        </w:rPr>
        <w:t xml:space="preserve">/mL) in the harvested supernatants after 7 days were measured. </w:t>
      </w:r>
      <w:r w:rsidR="00216746" w:rsidRPr="00901A98">
        <w:rPr>
          <w:lang w:val="en-US"/>
        </w:rPr>
        <w:t xml:space="preserve">CEF+CEFTA peptide pools were included as positive control for T cell stimulation. </w:t>
      </w:r>
      <w:r w:rsidR="0009769B" w:rsidRPr="00901A98">
        <w:rPr>
          <w:lang w:val="en-US"/>
        </w:rPr>
        <w:t>The resul</w:t>
      </w:r>
      <w:r w:rsidR="00C02376" w:rsidRPr="00901A98">
        <w:rPr>
          <w:lang w:val="en-US"/>
        </w:rPr>
        <w:t>ts represent mean values with SEM</w:t>
      </w:r>
      <w:r w:rsidR="0009769B" w:rsidRPr="00901A98">
        <w:rPr>
          <w:lang w:val="en-US"/>
        </w:rPr>
        <w:t xml:space="preserve"> of </w:t>
      </w:r>
      <w:proofErr w:type="spellStart"/>
      <w:r w:rsidR="0009769B" w:rsidRPr="00901A98">
        <w:rPr>
          <w:lang w:val="en-US"/>
        </w:rPr>
        <w:t>IFNγ</w:t>
      </w:r>
      <w:proofErr w:type="spellEnd"/>
      <w:r w:rsidR="0009769B" w:rsidRPr="00901A98">
        <w:rPr>
          <w:lang w:val="en-US"/>
        </w:rPr>
        <w:t xml:space="preserve"> levels according to a one-way ANOVA </w:t>
      </w:r>
      <w:r w:rsidR="00C02376" w:rsidRPr="00901A98">
        <w:rPr>
          <w:lang w:val="en-US"/>
        </w:rPr>
        <w:t xml:space="preserve">with assumed sphericity, </w:t>
      </w:r>
      <w:r w:rsidR="0009769B" w:rsidRPr="00901A98">
        <w:rPr>
          <w:lang w:val="en-US"/>
        </w:rPr>
        <w:t>followed by Dunnett</w:t>
      </w:r>
      <w:r w:rsidR="00C02376" w:rsidRPr="00901A98">
        <w:rPr>
          <w:lang w:val="en-US"/>
        </w:rPr>
        <w:t xml:space="preserve"> test correction (****, p &lt; 0.0001).</w:t>
      </w:r>
    </w:p>
    <w:p w14:paraId="678165DB" w14:textId="77777777" w:rsidR="0009769B" w:rsidRPr="00901A98" w:rsidRDefault="0009769B" w:rsidP="007D2AFA">
      <w:pPr>
        <w:pStyle w:val="NormalWeb"/>
        <w:spacing w:before="0" w:beforeAutospacing="0" w:after="0" w:afterAutospacing="0"/>
        <w:ind w:left="284" w:right="-143"/>
        <w:jc w:val="both"/>
        <w:rPr>
          <w:lang w:val="en-US"/>
        </w:rPr>
      </w:pPr>
    </w:p>
    <w:p w14:paraId="66582BF8" w14:textId="192D185D" w:rsidR="009A2D87" w:rsidRPr="00901A98" w:rsidRDefault="009A2D87" w:rsidP="007D2AFA">
      <w:pPr>
        <w:pStyle w:val="NormalWeb"/>
        <w:spacing w:before="0" w:beforeAutospacing="0" w:after="0" w:afterAutospacing="0"/>
        <w:ind w:left="284" w:right="-143"/>
        <w:jc w:val="both"/>
        <w:rPr>
          <w:lang w:val="en-US"/>
        </w:rPr>
      </w:pPr>
      <w:r w:rsidRPr="00901A98">
        <w:rPr>
          <w:noProof/>
        </w:rPr>
        <w:drawing>
          <wp:inline distT="0" distB="0" distL="0" distR="0" wp14:anchorId="720C5D82" wp14:editId="6428EF96">
            <wp:extent cx="5749292" cy="1963972"/>
            <wp:effectExtent l="0" t="0" r="381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8.png"/>
                    <pic:cNvPicPr/>
                  </pic:nvPicPr>
                  <pic:blipFill rotWithShape="1">
                    <a:blip r:embed="rId14" cstate="print">
                      <a:extLst>
                        <a:ext uri="{28A0092B-C50C-407E-A947-70E740481C1C}">
                          <a14:useLocalDpi xmlns:a14="http://schemas.microsoft.com/office/drawing/2010/main" val="0"/>
                        </a:ext>
                      </a:extLst>
                    </a:blip>
                    <a:srcRect t="28446" b="37394"/>
                    <a:stretch/>
                  </pic:blipFill>
                  <pic:spPr bwMode="auto">
                    <a:xfrm>
                      <a:off x="0" y="0"/>
                      <a:ext cx="5759450" cy="1967442"/>
                    </a:xfrm>
                    <a:prstGeom prst="rect">
                      <a:avLst/>
                    </a:prstGeom>
                    <a:ln>
                      <a:noFill/>
                    </a:ln>
                    <a:extLst>
                      <a:ext uri="{53640926-AAD7-44D8-BBD7-CCE9431645EC}">
                        <a14:shadowObscured xmlns:a14="http://schemas.microsoft.com/office/drawing/2010/main"/>
                      </a:ext>
                    </a:extLst>
                  </pic:spPr>
                </pic:pic>
              </a:graphicData>
            </a:graphic>
          </wp:inline>
        </w:drawing>
      </w:r>
    </w:p>
    <w:p w14:paraId="1B046363" w14:textId="7286FFB6" w:rsidR="00BE2B48" w:rsidRPr="00322CDE" w:rsidRDefault="00BE2B48" w:rsidP="00BE2B48">
      <w:pPr>
        <w:pStyle w:val="NormalWeb"/>
        <w:spacing w:before="0" w:beforeAutospacing="0" w:after="0" w:afterAutospacing="0"/>
        <w:ind w:left="284" w:right="-143"/>
        <w:jc w:val="both"/>
      </w:pPr>
      <w:r w:rsidRPr="00901A98">
        <w:rPr>
          <w:b/>
          <w:lang w:val="en-US"/>
        </w:rPr>
        <w:t xml:space="preserve">Supplementary Figure </w:t>
      </w:r>
      <w:r w:rsidR="00933CD0" w:rsidRPr="00901A98">
        <w:rPr>
          <w:b/>
          <w:lang w:val="en-US"/>
        </w:rPr>
        <w:t>9</w:t>
      </w:r>
      <w:r w:rsidRPr="00901A98">
        <w:rPr>
          <w:b/>
          <w:lang w:val="en-US"/>
        </w:rPr>
        <w:t xml:space="preserve">. </w:t>
      </w:r>
      <w:r w:rsidRPr="00901A98">
        <w:rPr>
          <w:lang w:val="en-US"/>
        </w:rPr>
        <w:t xml:space="preserve">Reactivity of PPE26, PE18 and PE31 from </w:t>
      </w:r>
      <w:proofErr w:type="spellStart"/>
      <w:r w:rsidRPr="00901A98">
        <w:rPr>
          <w:lang w:val="en-US"/>
        </w:rPr>
        <w:t>Mtb</w:t>
      </w:r>
      <w:proofErr w:type="spellEnd"/>
      <w:r w:rsidRPr="00901A98">
        <w:rPr>
          <w:lang w:val="en-US"/>
        </w:rPr>
        <w:t xml:space="preserve"> H37Rv in BCG Pasteur strain. Sera from immunized mice were evaluated for antigen-specific IgG antibodies against proteins PPE26, PE18 and PE31, as well as the BCG Pasteur strain, using ELISA and western blot analysis. For ELISA </w:t>
      </w:r>
      <w:r w:rsidRPr="00901A98">
        <w:rPr>
          <w:b/>
          <w:lang w:val="en-US"/>
        </w:rPr>
        <w:t>(A)</w:t>
      </w:r>
      <w:r w:rsidRPr="00901A98">
        <w:rPr>
          <w:lang w:val="en-US"/>
        </w:rPr>
        <w:t xml:space="preserve">, two different concentrations (6 and 20µg/mL) of each antigen or BCG were coated on the ELISA plates. The absorbance at 450nm was measured to assess the antibody response. Results are presented as the signal of serial dilutions, reflecting the antibody reactivity. </w:t>
      </w:r>
      <w:r w:rsidRPr="00901A98">
        <w:rPr>
          <w:b/>
          <w:lang w:val="en-US"/>
        </w:rPr>
        <w:t>(B)</w:t>
      </w:r>
      <w:r w:rsidRPr="00901A98">
        <w:rPr>
          <w:lang w:val="en-US"/>
        </w:rPr>
        <w:t xml:space="preserve"> Proteins were subjected to electrophoresis under reducing and non-reducing conditions, followed by transfer onto a PVDF membrane, along with BCG Pasteur strain. The membranes were probed with sera from immunized mice to detect the reactivity or presence of these proteins in the BCG strain. Lane 1 corresponds to non-reducing conditions, Lane 2 to reducing conditions, and Lane 3 to BCG lysate. The molecular sizes of the individual antigens are indicated in bold. </w:t>
      </w:r>
      <w:r w:rsidRPr="00901A98">
        <w:t>The ladder/marker (M) was included for size reference.</w:t>
      </w:r>
    </w:p>
    <w:p w14:paraId="5A58C49F" w14:textId="625A576B" w:rsidR="003E3E94" w:rsidRPr="000C2A1D" w:rsidRDefault="003E3E94" w:rsidP="0029185A">
      <w:pPr>
        <w:pStyle w:val="NormalWeb"/>
        <w:spacing w:before="0" w:beforeAutospacing="0" w:after="0" w:afterAutospacing="0"/>
        <w:ind w:right="-142"/>
        <w:jc w:val="both"/>
        <w:rPr>
          <w:lang w:val="en-GB"/>
        </w:rPr>
      </w:pPr>
    </w:p>
    <w:sectPr w:rsidR="003E3E94" w:rsidRPr="000C2A1D" w:rsidSect="00901A98">
      <w:pgSz w:w="11906" w:h="16838" w:code="9"/>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A010D"/>
    <w:multiLevelType w:val="hybridMultilevel"/>
    <w:tmpl w:val="F4E8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315D720E"/>
    <w:multiLevelType w:val="hybridMultilevel"/>
    <w:tmpl w:val="FD621BE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9A67D0"/>
    <w:multiLevelType w:val="multilevel"/>
    <w:tmpl w:val="DD9E9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5F2C82"/>
    <w:multiLevelType w:val="multilevel"/>
    <w:tmpl w:val="53DA2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D8761D"/>
    <w:multiLevelType w:val="hybridMultilevel"/>
    <w:tmpl w:val="F558E1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C1378A"/>
    <w:multiLevelType w:val="hybridMultilevel"/>
    <w:tmpl w:val="B246A3D2"/>
    <w:lvl w:ilvl="0" w:tplc="48902A30">
      <w:start w:val="1"/>
      <w:numFmt w:val="bullet"/>
      <w:lvlText w:val="•"/>
      <w:lvlJc w:val="left"/>
      <w:pPr>
        <w:tabs>
          <w:tab w:val="num" w:pos="720"/>
        </w:tabs>
        <w:ind w:left="720" w:hanging="360"/>
      </w:pPr>
      <w:rPr>
        <w:rFonts w:ascii="Arial" w:hAnsi="Arial" w:hint="default"/>
      </w:rPr>
    </w:lvl>
    <w:lvl w:ilvl="1" w:tplc="E8B86BEE">
      <w:start w:val="1"/>
      <w:numFmt w:val="bullet"/>
      <w:lvlText w:val="•"/>
      <w:lvlJc w:val="left"/>
      <w:pPr>
        <w:tabs>
          <w:tab w:val="num" w:pos="1440"/>
        </w:tabs>
        <w:ind w:left="1440" w:hanging="360"/>
      </w:pPr>
      <w:rPr>
        <w:rFonts w:ascii="Arial" w:hAnsi="Arial" w:hint="default"/>
      </w:rPr>
    </w:lvl>
    <w:lvl w:ilvl="2" w:tplc="E17617AE" w:tentative="1">
      <w:start w:val="1"/>
      <w:numFmt w:val="bullet"/>
      <w:lvlText w:val="•"/>
      <w:lvlJc w:val="left"/>
      <w:pPr>
        <w:tabs>
          <w:tab w:val="num" w:pos="2160"/>
        </w:tabs>
        <w:ind w:left="2160" w:hanging="360"/>
      </w:pPr>
      <w:rPr>
        <w:rFonts w:ascii="Arial" w:hAnsi="Arial" w:hint="default"/>
      </w:rPr>
    </w:lvl>
    <w:lvl w:ilvl="3" w:tplc="C0C863DE" w:tentative="1">
      <w:start w:val="1"/>
      <w:numFmt w:val="bullet"/>
      <w:lvlText w:val="•"/>
      <w:lvlJc w:val="left"/>
      <w:pPr>
        <w:tabs>
          <w:tab w:val="num" w:pos="2880"/>
        </w:tabs>
        <w:ind w:left="2880" w:hanging="360"/>
      </w:pPr>
      <w:rPr>
        <w:rFonts w:ascii="Arial" w:hAnsi="Arial" w:hint="default"/>
      </w:rPr>
    </w:lvl>
    <w:lvl w:ilvl="4" w:tplc="9462E638" w:tentative="1">
      <w:start w:val="1"/>
      <w:numFmt w:val="bullet"/>
      <w:lvlText w:val="•"/>
      <w:lvlJc w:val="left"/>
      <w:pPr>
        <w:tabs>
          <w:tab w:val="num" w:pos="3600"/>
        </w:tabs>
        <w:ind w:left="3600" w:hanging="360"/>
      </w:pPr>
      <w:rPr>
        <w:rFonts w:ascii="Arial" w:hAnsi="Arial" w:hint="default"/>
      </w:rPr>
    </w:lvl>
    <w:lvl w:ilvl="5" w:tplc="A81CE7A8" w:tentative="1">
      <w:start w:val="1"/>
      <w:numFmt w:val="bullet"/>
      <w:lvlText w:val="•"/>
      <w:lvlJc w:val="left"/>
      <w:pPr>
        <w:tabs>
          <w:tab w:val="num" w:pos="4320"/>
        </w:tabs>
        <w:ind w:left="4320" w:hanging="360"/>
      </w:pPr>
      <w:rPr>
        <w:rFonts w:ascii="Arial" w:hAnsi="Arial" w:hint="default"/>
      </w:rPr>
    </w:lvl>
    <w:lvl w:ilvl="6" w:tplc="96189E1A" w:tentative="1">
      <w:start w:val="1"/>
      <w:numFmt w:val="bullet"/>
      <w:lvlText w:val="•"/>
      <w:lvlJc w:val="left"/>
      <w:pPr>
        <w:tabs>
          <w:tab w:val="num" w:pos="5040"/>
        </w:tabs>
        <w:ind w:left="5040" w:hanging="360"/>
      </w:pPr>
      <w:rPr>
        <w:rFonts w:ascii="Arial" w:hAnsi="Arial" w:hint="default"/>
      </w:rPr>
    </w:lvl>
    <w:lvl w:ilvl="7" w:tplc="E2BE4952" w:tentative="1">
      <w:start w:val="1"/>
      <w:numFmt w:val="bullet"/>
      <w:lvlText w:val="•"/>
      <w:lvlJc w:val="left"/>
      <w:pPr>
        <w:tabs>
          <w:tab w:val="num" w:pos="5760"/>
        </w:tabs>
        <w:ind w:left="5760" w:hanging="360"/>
      </w:pPr>
      <w:rPr>
        <w:rFonts w:ascii="Arial" w:hAnsi="Arial" w:hint="default"/>
      </w:rPr>
    </w:lvl>
    <w:lvl w:ilvl="8" w:tplc="3E245844" w:tentative="1">
      <w:start w:val="1"/>
      <w:numFmt w:val="bullet"/>
      <w:lvlText w:val="•"/>
      <w:lvlJc w:val="left"/>
      <w:pPr>
        <w:tabs>
          <w:tab w:val="num" w:pos="6480"/>
        </w:tabs>
        <w:ind w:left="6480" w:hanging="360"/>
      </w:pPr>
      <w:rPr>
        <w:rFonts w:ascii="Arial" w:hAnsi="Arial" w:hint="default"/>
      </w:rPr>
    </w:lvl>
  </w:abstractNum>
  <w:num w:numId="1" w16cid:durableId="450636143">
    <w:abstractNumId w:val="6"/>
  </w:num>
  <w:num w:numId="2" w16cid:durableId="739710704">
    <w:abstractNumId w:val="5"/>
  </w:num>
  <w:num w:numId="3" w16cid:durableId="376784115">
    <w:abstractNumId w:val="2"/>
  </w:num>
  <w:num w:numId="4" w16cid:durableId="43255783">
    <w:abstractNumId w:val="3"/>
  </w:num>
  <w:num w:numId="5" w16cid:durableId="771978457">
    <w:abstractNumId w:val="4"/>
  </w:num>
  <w:num w:numId="6" w16cid:durableId="1843157814">
    <w:abstractNumId w:val="0"/>
  </w:num>
  <w:num w:numId="7" w16cid:durableId="2062242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427"/>
    <w:rsid w:val="0001452D"/>
    <w:rsid w:val="00014FD8"/>
    <w:rsid w:val="00016947"/>
    <w:rsid w:val="00022DDB"/>
    <w:rsid w:val="00025527"/>
    <w:rsid w:val="000274B8"/>
    <w:rsid w:val="00036663"/>
    <w:rsid w:val="000443C6"/>
    <w:rsid w:val="00045B2A"/>
    <w:rsid w:val="00046895"/>
    <w:rsid w:val="00052048"/>
    <w:rsid w:val="00052BFF"/>
    <w:rsid w:val="000555EB"/>
    <w:rsid w:val="000559BA"/>
    <w:rsid w:val="000605E4"/>
    <w:rsid w:val="00061A3D"/>
    <w:rsid w:val="00065DAE"/>
    <w:rsid w:val="000741D7"/>
    <w:rsid w:val="000749F8"/>
    <w:rsid w:val="00077090"/>
    <w:rsid w:val="000778A5"/>
    <w:rsid w:val="00080745"/>
    <w:rsid w:val="00081461"/>
    <w:rsid w:val="00082C39"/>
    <w:rsid w:val="000830B6"/>
    <w:rsid w:val="0008483B"/>
    <w:rsid w:val="00095B0E"/>
    <w:rsid w:val="0009769B"/>
    <w:rsid w:val="00097C0A"/>
    <w:rsid w:val="000A07E6"/>
    <w:rsid w:val="000A3C4A"/>
    <w:rsid w:val="000A552A"/>
    <w:rsid w:val="000A6494"/>
    <w:rsid w:val="000A6B20"/>
    <w:rsid w:val="000B07C2"/>
    <w:rsid w:val="000C2A1D"/>
    <w:rsid w:val="000C3131"/>
    <w:rsid w:val="000C39A3"/>
    <w:rsid w:val="000C54E2"/>
    <w:rsid w:val="000D2FD6"/>
    <w:rsid w:val="000D658F"/>
    <w:rsid w:val="000D7E18"/>
    <w:rsid w:val="000E056B"/>
    <w:rsid w:val="000E3BD4"/>
    <w:rsid w:val="000E41FF"/>
    <w:rsid w:val="000E4803"/>
    <w:rsid w:val="00104B19"/>
    <w:rsid w:val="001054BE"/>
    <w:rsid w:val="00107C35"/>
    <w:rsid w:val="00116B85"/>
    <w:rsid w:val="0012141D"/>
    <w:rsid w:val="001257CE"/>
    <w:rsid w:val="00126507"/>
    <w:rsid w:val="0013078D"/>
    <w:rsid w:val="00144A92"/>
    <w:rsid w:val="00150D92"/>
    <w:rsid w:val="00153510"/>
    <w:rsid w:val="00160453"/>
    <w:rsid w:val="001629FC"/>
    <w:rsid w:val="00170800"/>
    <w:rsid w:val="00173461"/>
    <w:rsid w:val="00173C47"/>
    <w:rsid w:val="001750D0"/>
    <w:rsid w:val="00182A41"/>
    <w:rsid w:val="00195AF1"/>
    <w:rsid w:val="00195EAC"/>
    <w:rsid w:val="001A05E2"/>
    <w:rsid w:val="001A138D"/>
    <w:rsid w:val="001A3FB2"/>
    <w:rsid w:val="001B5E50"/>
    <w:rsid w:val="001B6701"/>
    <w:rsid w:val="001B7C91"/>
    <w:rsid w:val="001C0830"/>
    <w:rsid w:val="001C246B"/>
    <w:rsid w:val="001C2618"/>
    <w:rsid w:val="001D2715"/>
    <w:rsid w:val="001D3015"/>
    <w:rsid w:val="001D39E4"/>
    <w:rsid w:val="001D41D6"/>
    <w:rsid w:val="001E5AB3"/>
    <w:rsid w:val="001E64F2"/>
    <w:rsid w:val="001F022B"/>
    <w:rsid w:val="001F15B9"/>
    <w:rsid w:val="001F1732"/>
    <w:rsid w:val="001F64C6"/>
    <w:rsid w:val="001F6D72"/>
    <w:rsid w:val="001F77FB"/>
    <w:rsid w:val="00202E18"/>
    <w:rsid w:val="002037B1"/>
    <w:rsid w:val="00204A2C"/>
    <w:rsid w:val="00210571"/>
    <w:rsid w:val="00211C8A"/>
    <w:rsid w:val="00211D5A"/>
    <w:rsid w:val="00211E7F"/>
    <w:rsid w:val="00212BEA"/>
    <w:rsid w:val="00213EB3"/>
    <w:rsid w:val="00215B28"/>
    <w:rsid w:val="00216746"/>
    <w:rsid w:val="00217651"/>
    <w:rsid w:val="002210CB"/>
    <w:rsid w:val="00223584"/>
    <w:rsid w:val="00227642"/>
    <w:rsid w:val="002316DE"/>
    <w:rsid w:val="00232EC8"/>
    <w:rsid w:val="0023342A"/>
    <w:rsid w:val="00235151"/>
    <w:rsid w:val="00241AE2"/>
    <w:rsid w:val="00246C2A"/>
    <w:rsid w:val="00252C2A"/>
    <w:rsid w:val="00252DD3"/>
    <w:rsid w:val="0025384F"/>
    <w:rsid w:val="00254C15"/>
    <w:rsid w:val="00255881"/>
    <w:rsid w:val="0026655A"/>
    <w:rsid w:val="0026732C"/>
    <w:rsid w:val="00270D7F"/>
    <w:rsid w:val="00272573"/>
    <w:rsid w:val="002728B3"/>
    <w:rsid w:val="00272950"/>
    <w:rsid w:val="00277B26"/>
    <w:rsid w:val="002846E0"/>
    <w:rsid w:val="00285320"/>
    <w:rsid w:val="00285C7D"/>
    <w:rsid w:val="002862F0"/>
    <w:rsid w:val="0028705C"/>
    <w:rsid w:val="0029185A"/>
    <w:rsid w:val="002919A4"/>
    <w:rsid w:val="00295448"/>
    <w:rsid w:val="0029612B"/>
    <w:rsid w:val="002A21D5"/>
    <w:rsid w:val="002A3F03"/>
    <w:rsid w:val="002A4C04"/>
    <w:rsid w:val="002B4AC0"/>
    <w:rsid w:val="002B5575"/>
    <w:rsid w:val="002C27FD"/>
    <w:rsid w:val="002C28DA"/>
    <w:rsid w:val="002C4F45"/>
    <w:rsid w:val="002C5227"/>
    <w:rsid w:val="002C5FA5"/>
    <w:rsid w:val="002C70F7"/>
    <w:rsid w:val="002C74DF"/>
    <w:rsid w:val="002D11D5"/>
    <w:rsid w:val="002D17F5"/>
    <w:rsid w:val="002D39BF"/>
    <w:rsid w:val="002D43C9"/>
    <w:rsid w:val="002D68A1"/>
    <w:rsid w:val="002F368B"/>
    <w:rsid w:val="002F3714"/>
    <w:rsid w:val="002F4A13"/>
    <w:rsid w:val="002F5DB0"/>
    <w:rsid w:val="002F5DBC"/>
    <w:rsid w:val="00306224"/>
    <w:rsid w:val="0030675D"/>
    <w:rsid w:val="00307ED6"/>
    <w:rsid w:val="00310874"/>
    <w:rsid w:val="00313D85"/>
    <w:rsid w:val="00313E93"/>
    <w:rsid w:val="0032047C"/>
    <w:rsid w:val="00324E60"/>
    <w:rsid w:val="00331598"/>
    <w:rsid w:val="00337560"/>
    <w:rsid w:val="003423BD"/>
    <w:rsid w:val="00344DAE"/>
    <w:rsid w:val="00345EE7"/>
    <w:rsid w:val="00346B93"/>
    <w:rsid w:val="00352A44"/>
    <w:rsid w:val="00352EE0"/>
    <w:rsid w:val="00355A95"/>
    <w:rsid w:val="00355CA2"/>
    <w:rsid w:val="0035676B"/>
    <w:rsid w:val="003758A3"/>
    <w:rsid w:val="00375C53"/>
    <w:rsid w:val="00375C6E"/>
    <w:rsid w:val="00376A92"/>
    <w:rsid w:val="00376F13"/>
    <w:rsid w:val="00380978"/>
    <w:rsid w:val="00381BB8"/>
    <w:rsid w:val="00383644"/>
    <w:rsid w:val="00384298"/>
    <w:rsid w:val="00396BAE"/>
    <w:rsid w:val="003A2A6F"/>
    <w:rsid w:val="003A4B1B"/>
    <w:rsid w:val="003A589D"/>
    <w:rsid w:val="003A6BD5"/>
    <w:rsid w:val="003B1F6F"/>
    <w:rsid w:val="003B365E"/>
    <w:rsid w:val="003B707D"/>
    <w:rsid w:val="003B7838"/>
    <w:rsid w:val="003C29A3"/>
    <w:rsid w:val="003C54BD"/>
    <w:rsid w:val="003C5B7C"/>
    <w:rsid w:val="003E3E94"/>
    <w:rsid w:val="003E5A33"/>
    <w:rsid w:val="003F2932"/>
    <w:rsid w:val="003F31CF"/>
    <w:rsid w:val="003F5281"/>
    <w:rsid w:val="003F7189"/>
    <w:rsid w:val="003F7716"/>
    <w:rsid w:val="0040249F"/>
    <w:rsid w:val="00405CDB"/>
    <w:rsid w:val="00412AEC"/>
    <w:rsid w:val="00413273"/>
    <w:rsid w:val="0041535D"/>
    <w:rsid w:val="00416920"/>
    <w:rsid w:val="00422544"/>
    <w:rsid w:val="004261D4"/>
    <w:rsid w:val="00431499"/>
    <w:rsid w:val="0043240B"/>
    <w:rsid w:val="004351D5"/>
    <w:rsid w:val="00435F87"/>
    <w:rsid w:val="0044437F"/>
    <w:rsid w:val="0044628C"/>
    <w:rsid w:val="004506AF"/>
    <w:rsid w:val="0045274B"/>
    <w:rsid w:val="00461647"/>
    <w:rsid w:val="0046175C"/>
    <w:rsid w:val="00463221"/>
    <w:rsid w:val="0046494D"/>
    <w:rsid w:val="00467F75"/>
    <w:rsid w:val="00474EEC"/>
    <w:rsid w:val="00476F52"/>
    <w:rsid w:val="00482D63"/>
    <w:rsid w:val="00485727"/>
    <w:rsid w:val="00494663"/>
    <w:rsid w:val="004965D8"/>
    <w:rsid w:val="0049789E"/>
    <w:rsid w:val="004A05A5"/>
    <w:rsid w:val="004A0AC7"/>
    <w:rsid w:val="004A1057"/>
    <w:rsid w:val="004A5275"/>
    <w:rsid w:val="004B330B"/>
    <w:rsid w:val="004B3B73"/>
    <w:rsid w:val="004B61F3"/>
    <w:rsid w:val="004C03B3"/>
    <w:rsid w:val="004C2254"/>
    <w:rsid w:val="004C41F6"/>
    <w:rsid w:val="004C65AB"/>
    <w:rsid w:val="004C777C"/>
    <w:rsid w:val="004D302C"/>
    <w:rsid w:val="004D3149"/>
    <w:rsid w:val="004D3922"/>
    <w:rsid w:val="004D4D78"/>
    <w:rsid w:val="004D6D97"/>
    <w:rsid w:val="004E541E"/>
    <w:rsid w:val="004E5AED"/>
    <w:rsid w:val="004F0A08"/>
    <w:rsid w:val="004F13B7"/>
    <w:rsid w:val="004F250C"/>
    <w:rsid w:val="004F7CF5"/>
    <w:rsid w:val="00500D85"/>
    <w:rsid w:val="00510097"/>
    <w:rsid w:val="00517238"/>
    <w:rsid w:val="00520427"/>
    <w:rsid w:val="005227A3"/>
    <w:rsid w:val="005241A1"/>
    <w:rsid w:val="005242C1"/>
    <w:rsid w:val="00524644"/>
    <w:rsid w:val="00524BFC"/>
    <w:rsid w:val="00525BD2"/>
    <w:rsid w:val="00526CF3"/>
    <w:rsid w:val="0053145B"/>
    <w:rsid w:val="00532F3D"/>
    <w:rsid w:val="005341FB"/>
    <w:rsid w:val="00534443"/>
    <w:rsid w:val="00535784"/>
    <w:rsid w:val="00535C6E"/>
    <w:rsid w:val="005504FD"/>
    <w:rsid w:val="005525F6"/>
    <w:rsid w:val="0055539B"/>
    <w:rsid w:val="00557972"/>
    <w:rsid w:val="00557D2B"/>
    <w:rsid w:val="00561F97"/>
    <w:rsid w:val="0056377A"/>
    <w:rsid w:val="0056576C"/>
    <w:rsid w:val="00566262"/>
    <w:rsid w:val="0056797A"/>
    <w:rsid w:val="00567F7F"/>
    <w:rsid w:val="00571392"/>
    <w:rsid w:val="00571B9F"/>
    <w:rsid w:val="00572C81"/>
    <w:rsid w:val="0057487C"/>
    <w:rsid w:val="00574F0C"/>
    <w:rsid w:val="0059206A"/>
    <w:rsid w:val="005A0E41"/>
    <w:rsid w:val="005A1868"/>
    <w:rsid w:val="005A402E"/>
    <w:rsid w:val="005B133C"/>
    <w:rsid w:val="005B5798"/>
    <w:rsid w:val="005B6115"/>
    <w:rsid w:val="005C035E"/>
    <w:rsid w:val="005C1667"/>
    <w:rsid w:val="005C5C7B"/>
    <w:rsid w:val="005D0644"/>
    <w:rsid w:val="005D2BB8"/>
    <w:rsid w:val="005E08A1"/>
    <w:rsid w:val="005E2173"/>
    <w:rsid w:val="005E7211"/>
    <w:rsid w:val="005F3FEF"/>
    <w:rsid w:val="005F4102"/>
    <w:rsid w:val="005F493D"/>
    <w:rsid w:val="005F4A61"/>
    <w:rsid w:val="00600491"/>
    <w:rsid w:val="00611051"/>
    <w:rsid w:val="00612728"/>
    <w:rsid w:val="00626872"/>
    <w:rsid w:val="006310CD"/>
    <w:rsid w:val="006362A0"/>
    <w:rsid w:val="00643D9C"/>
    <w:rsid w:val="006445B4"/>
    <w:rsid w:val="00646CE6"/>
    <w:rsid w:val="006506A9"/>
    <w:rsid w:val="00653DE6"/>
    <w:rsid w:val="00676B13"/>
    <w:rsid w:val="00683FDB"/>
    <w:rsid w:val="00691550"/>
    <w:rsid w:val="00691BC8"/>
    <w:rsid w:val="00695233"/>
    <w:rsid w:val="006A00BC"/>
    <w:rsid w:val="006A04BC"/>
    <w:rsid w:val="006A1BAD"/>
    <w:rsid w:val="006B3C59"/>
    <w:rsid w:val="006B522A"/>
    <w:rsid w:val="006B5296"/>
    <w:rsid w:val="006B69AF"/>
    <w:rsid w:val="006C40D7"/>
    <w:rsid w:val="006C6119"/>
    <w:rsid w:val="006D4705"/>
    <w:rsid w:val="006D58A9"/>
    <w:rsid w:val="006E0811"/>
    <w:rsid w:val="006E12AE"/>
    <w:rsid w:val="006E27D7"/>
    <w:rsid w:val="006E30EC"/>
    <w:rsid w:val="006E4412"/>
    <w:rsid w:val="006E6219"/>
    <w:rsid w:val="006E6478"/>
    <w:rsid w:val="006F03FA"/>
    <w:rsid w:val="006F501D"/>
    <w:rsid w:val="006F730E"/>
    <w:rsid w:val="006F7BD0"/>
    <w:rsid w:val="007045D5"/>
    <w:rsid w:val="0071102D"/>
    <w:rsid w:val="007221DC"/>
    <w:rsid w:val="007228AC"/>
    <w:rsid w:val="00723FA6"/>
    <w:rsid w:val="0072648E"/>
    <w:rsid w:val="00727921"/>
    <w:rsid w:val="0073311F"/>
    <w:rsid w:val="00734E78"/>
    <w:rsid w:val="007404FC"/>
    <w:rsid w:val="00740512"/>
    <w:rsid w:val="00740C6B"/>
    <w:rsid w:val="00741B93"/>
    <w:rsid w:val="0075091B"/>
    <w:rsid w:val="00751A3F"/>
    <w:rsid w:val="007561A7"/>
    <w:rsid w:val="00766452"/>
    <w:rsid w:val="00770B9A"/>
    <w:rsid w:val="00782B7F"/>
    <w:rsid w:val="007853EC"/>
    <w:rsid w:val="00785C01"/>
    <w:rsid w:val="00787F66"/>
    <w:rsid w:val="00791163"/>
    <w:rsid w:val="00791FF3"/>
    <w:rsid w:val="00793B94"/>
    <w:rsid w:val="007943B2"/>
    <w:rsid w:val="007A1B7F"/>
    <w:rsid w:val="007A20B5"/>
    <w:rsid w:val="007A302A"/>
    <w:rsid w:val="007A423A"/>
    <w:rsid w:val="007A7169"/>
    <w:rsid w:val="007A7B9E"/>
    <w:rsid w:val="007B0E1D"/>
    <w:rsid w:val="007B2B62"/>
    <w:rsid w:val="007B7265"/>
    <w:rsid w:val="007B77FC"/>
    <w:rsid w:val="007C2B40"/>
    <w:rsid w:val="007C3A3E"/>
    <w:rsid w:val="007C5EEF"/>
    <w:rsid w:val="007C7331"/>
    <w:rsid w:val="007C7BFB"/>
    <w:rsid w:val="007D1F93"/>
    <w:rsid w:val="007D2AFA"/>
    <w:rsid w:val="007D7C09"/>
    <w:rsid w:val="007E1381"/>
    <w:rsid w:val="007E6FC7"/>
    <w:rsid w:val="007F5799"/>
    <w:rsid w:val="00800CE2"/>
    <w:rsid w:val="00801160"/>
    <w:rsid w:val="00804224"/>
    <w:rsid w:val="008055F6"/>
    <w:rsid w:val="0080729B"/>
    <w:rsid w:val="00807C6D"/>
    <w:rsid w:val="008125F8"/>
    <w:rsid w:val="00814C2B"/>
    <w:rsid w:val="00815865"/>
    <w:rsid w:val="00815FB1"/>
    <w:rsid w:val="00816CFE"/>
    <w:rsid w:val="00820DEA"/>
    <w:rsid w:val="00825434"/>
    <w:rsid w:val="00825A67"/>
    <w:rsid w:val="00826EEF"/>
    <w:rsid w:val="00835B9B"/>
    <w:rsid w:val="008439AD"/>
    <w:rsid w:val="00845EFA"/>
    <w:rsid w:val="00846DD7"/>
    <w:rsid w:val="00852A01"/>
    <w:rsid w:val="00860CBE"/>
    <w:rsid w:val="00861D23"/>
    <w:rsid w:val="0086270F"/>
    <w:rsid w:val="00862DAF"/>
    <w:rsid w:val="008676D8"/>
    <w:rsid w:val="0087084D"/>
    <w:rsid w:val="008720A5"/>
    <w:rsid w:val="00872738"/>
    <w:rsid w:val="008830D1"/>
    <w:rsid w:val="00885289"/>
    <w:rsid w:val="00887D87"/>
    <w:rsid w:val="008917DD"/>
    <w:rsid w:val="008920A7"/>
    <w:rsid w:val="008A74BF"/>
    <w:rsid w:val="008A78A2"/>
    <w:rsid w:val="008B03E2"/>
    <w:rsid w:val="008B0F6B"/>
    <w:rsid w:val="008B1F9F"/>
    <w:rsid w:val="008B3AF1"/>
    <w:rsid w:val="008C019D"/>
    <w:rsid w:val="008C3A6A"/>
    <w:rsid w:val="008C56C2"/>
    <w:rsid w:val="008C7E6B"/>
    <w:rsid w:val="008D5C79"/>
    <w:rsid w:val="008D637E"/>
    <w:rsid w:val="008E1815"/>
    <w:rsid w:val="008E28F2"/>
    <w:rsid w:val="008E2D2D"/>
    <w:rsid w:val="008E33F3"/>
    <w:rsid w:val="008E55E7"/>
    <w:rsid w:val="008E6407"/>
    <w:rsid w:val="008E7129"/>
    <w:rsid w:val="008F3FB9"/>
    <w:rsid w:val="008F42E6"/>
    <w:rsid w:val="008F6BEF"/>
    <w:rsid w:val="0090118A"/>
    <w:rsid w:val="00901A98"/>
    <w:rsid w:val="00903C77"/>
    <w:rsid w:val="0090517C"/>
    <w:rsid w:val="009139AE"/>
    <w:rsid w:val="00914465"/>
    <w:rsid w:val="00914AA9"/>
    <w:rsid w:val="00914CA7"/>
    <w:rsid w:val="0092030F"/>
    <w:rsid w:val="00920A89"/>
    <w:rsid w:val="00921EC7"/>
    <w:rsid w:val="009220DA"/>
    <w:rsid w:val="0092238E"/>
    <w:rsid w:val="00924BA9"/>
    <w:rsid w:val="00925EE8"/>
    <w:rsid w:val="00926EEB"/>
    <w:rsid w:val="00927185"/>
    <w:rsid w:val="00927B80"/>
    <w:rsid w:val="0093228B"/>
    <w:rsid w:val="00933A60"/>
    <w:rsid w:val="00933CD0"/>
    <w:rsid w:val="00934C0C"/>
    <w:rsid w:val="00935E0F"/>
    <w:rsid w:val="00936711"/>
    <w:rsid w:val="00941DE3"/>
    <w:rsid w:val="009457B2"/>
    <w:rsid w:val="0094716A"/>
    <w:rsid w:val="0095514F"/>
    <w:rsid w:val="0096259A"/>
    <w:rsid w:val="0096406A"/>
    <w:rsid w:val="0096413C"/>
    <w:rsid w:val="009660B6"/>
    <w:rsid w:val="00966302"/>
    <w:rsid w:val="00966FA1"/>
    <w:rsid w:val="0097191D"/>
    <w:rsid w:val="0097322F"/>
    <w:rsid w:val="0097787B"/>
    <w:rsid w:val="009876E4"/>
    <w:rsid w:val="009941C2"/>
    <w:rsid w:val="009975BF"/>
    <w:rsid w:val="009A154F"/>
    <w:rsid w:val="009A2D87"/>
    <w:rsid w:val="009A3306"/>
    <w:rsid w:val="009B5768"/>
    <w:rsid w:val="009B5C78"/>
    <w:rsid w:val="009B614F"/>
    <w:rsid w:val="009B7D4E"/>
    <w:rsid w:val="009C0560"/>
    <w:rsid w:val="009C75C1"/>
    <w:rsid w:val="009D3A9E"/>
    <w:rsid w:val="009D4419"/>
    <w:rsid w:val="009D4B83"/>
    <w:rsid w:val="009D4F6E"/>
    <w:rsid w:val="009E374D"/>
    <w:rsid w:val="009E5077"/>
    <w:rsid w:val="009E6636"/>
    <w:rsid w:val="009E72FB"/>
    <w:rsid w:val="009F5DE0"/>
    <w:rsid w:val="009F5FE9"/>
    <w:rsid w:val="009F7345"/>
    <w:rsid w:val="00A00E03"/>
    <w:rsid w:val="00A00F71"/>
    <w:rsid w:val="00A02FCD"/>
    <w:rsid w:val="00A07873"/>
    <w:rsid w:val="00A10127"/>
    <w:rsid w:val="00A12B5F"/>
    <w:rsid w:val="00A14056"/>
    <w:rsid w:val="00A276F5"/>
    <w:rsid w:val="00A32F30"/>
    <w:rsid w:val="00A3658A"/>
    <w:rsid w:val="00A36849"/>
    <w:rsid w:val="00A40388"/>
    <w:rsid w:val="00A432E8"/>
    <w:rsid w:val="00A4391B"/>
    <w:rsid w:val="00A44BFC"/>
    <w:rsid w:val="00A45CAA"/>
    <w:rsid w:val="00A47B6D"/>
    <w:rsid w:val="00A50AF9"/>
    <w:rsid w:val="00A52EF3"/>
    <w:rsid w:val="00A536A4"/>
    <w:rsid w:val="00A54446"/>
    <w:rsid w:val="00A604DE"/>
    <w:rsid w:val="00A60E52"/>
    <w:rsid w:val="00A614AC"/>
    <w:rsid w:val="00A63F86"/>
    <w:rsid w:val="00A645A0"/>
    <w:rsid w:val="00A64A5B"/>
    <w:rsid w:val="00A67259"/>
    <w:rsid w:val="00A6738C"/>
    <w:rsid w:val="00A73118"/>
    <w:rsid w:val="00A754F3"/>
    <w:rsid w:val="00A8208B"/>
    <w:rsid w:val="00A8734C"/>
    <w:rsid w:val="00A93215"/>
    <w:rsid w:val="00A95104"/>
    <w:rsid w:val="00A9516B"/>
    <w:rsid w:val="00A96151"/>
    <w:rsid w:val="00AA4B7F"/>
    <w:rsid w:val="00AA5A72"/>
    <w:rsid w:val="00AA71CC"/>
    <w:rsid w:val="00AB3C07"/>
    <w:rsid w:val="00AB48D8"/>
    <w:rsid w:val="00AC04A6"/>
    <w:rsid w:val="00AC1196"/>
    <w:rsid w:val="00AC1800"/>
    <w:rsid w:val="00AC1AFE"/>
    <w:rsid w:val="00AE259B"/>
    <w:rsid w:val="00AE3110"/>
    <w:rsid w:val="00AE4B38"/>
    <w:rsid w:val="00AE63BB"/>
    <w:rsid w:val="00AF2D92"/>
    <w:rsid w:val="00AF3357"/>
    <w:rsid w:val="00AF6101"/>
    <w:rsid w:val="00AF6DBF"/>
    <w:rsid w:val="00B00B50"/>
    <w:rsid w:val="00B01CA1"/>
    <w:rsid w:val="00B02320"/>
    <w:rsid w:val="00B06CE2"/>
    <w:rsid w:val="00B0753E"/>
    <w:rsid w:val="00B12A65"/>
    <w:rsid w:val="00B13053"/>
    <w:rsid w:val="00B16508"/>
    <w:rsid w:val="00B17DC2"/>
    <w:rsid w:val="00B2277E"/>
    <w:rsid w:val="00B248B4"/>
    <w:rsid w:val="00B24B59"/>
    <w:rsid w:val="00B25119"/>
    <w:rsid w:val="00B2656B"/>
    <w:rsid w:val="00B3356B"/>
    <w:rsid w:val="00B34D28"/>
    <w:rsid w:val="00B4190C"/>
    <w:rsid w:val="00B46B39"/>
    <w:rsid w:val="00B474D4"/>
    <w:rsid w:val="00B51AFA"/>
    <w:rsid w:val="00B5337F"/>
    <w:rsid w:val="00B543C0"/>
    <w:rsid w:val="00B54AD2"/>
    <w:rsid w:val="00B6127D"/>
    <w:rsid w:val="00B70542"/>
    <w:rsid w:val="00B7103A"/>
    <w:rsid w:val="00B72049"/>
    <w:rsid w:val="00B80158"/>
    <w:rsid w:val="00B8089D"/>
    <w:rsid w:val="00B80BE9"/>
    <w:rsid w:val="00B82695"/>
    <w:rsid w:val="00B92703"/>
    <w:rsid w:val="00B9792F"/>
    <w:rsid w:val="00BA21CF"/>
    <w:rsid w:val="00BA4D59"/>
    <w:rsid w:val="00BA70AE"/>
    <w:rsid w:val="00BA7608"/>
    <w:rsid w:val="00BA7E27"/>
    <w:rsid w:val="00BB0639"/>
    <w:rsid w:val="00BB1666"/>
    <w:rsid w:val="00BB536F"/>
    <w:rsid w:val="00BB5571"/>
    <w:rsid w:val="00BC7CF9"/>
    <w:rsid w:val="00BD0481"/>
    <w:rsid w:val="00BD2B9C"/>
    <w:rsid w:val="00BD3EB9"/>
    <w:rsid w:val="00BE2B48"/>
    <w:rsid w:val="00BE4E1C"/>
    <w:rsid w:val="00BE5F10"/>
    <w:rsid w:val="00BE68AA"/>
    <w:rsid w:val="00BF2E10"/>
    <w:rsid w:val="00BF6EC3"/>
    <w:rsid w:val="00C00BC6"/>
    <w:rsid w:val="00C02376"/>
    <w:rsid w:val="00C03018"/>
    <w:rsid w:val="00C04271"/>
    <w:rsid w:val="00C06FD6"/>
    <w:rsid w:val="00C10BE0"/>
    <w:rsid w:val="00C10E85"/>
    <w:rsid w:val="00C21369"/>
    <w:rsid w:val="00C2280D"/>
    <w:rsid w:val="00C27EE3"/>
    <w:rsid w:val="00C312BD"/>
    <w:rsid w:val="00C341C3"/>
    <w:rsid w:val="00C4076D"/>
    <w:rsid w:val="00C5374A"/>
    <w:rsid w:val="00C6011E"/>
    <w:rsid w:val="00C83091"/>
    <w:rsid w:val="00C869CE"/>
    <w:rsid w:val="00C8778D"/>
    <w:rsid w:val="00C960D4"/>
    <w:rsid w:val="00C965D3"/>
    <w:rsid w:val="00C9722C"/>
    <w:rsid w:val="00CA0D1E"/>
    <w:rsid w:val="00CA3E00"/>
    <w:rsid w:val="00CA5FEA"/>
    <w:rsid w:val="00CB12B9"/>
    <w:rsid w:val="00CB459F"/>
    <w:rsid w:val="00CB60AB"/>
    <w:rsid w:val="00CB6ABF"/>
    <w:rsid w:val="00CC09FD"/>
    <w:rsid w:val="00CC0B8D"/>
    <w:rsid w:val="00CC202C"/>
    <w:rsid w:val="00CC30D5"/>
    <w:rsid w:val="00CC79C5"/>
    <w:rsid w:val="00CC7BEB"/>
    <w:rsid w:val="00CD75D7"/>
    <w:rsid w:val="00CE4530"/>
    <w:rsid w:val="00CE5979"/>
    <w:rsid w:val="00CE72C5"/>
    <w:rsid w:val="00CF15C9"/>
    <w:rsid w:val="00CF37C9"/>
    <w:rsid w:val="00D04B80"/>
    <w:rsid w:val="00D05ED4"/>
    <w:rsid w:val="00D06DF7"/>
    <w:rsid w:val="00D1641D"/>
    <w:rsid w:val="00D23A71"/>
    <w:rsid w:val="00D243B1"/>
    <w:rsid w:val="00D33684"/>
    <w:rsid w:val="00D36B8F"/>
    <w:rsid w:val="00D37E66"/>
    <w:rsid w:val="00D404E9"/>
    <w:rsid w:val="00D40D77"/>
    <w:rsid w:val="00D41318"/>
    <w:rsid w:val="00D427E4"/>
    <w:rsid w:val="00D439C3"/>
    <w:rsid w:val="00D4490B"/>
    <w:rsid w:val="00D44AC6"/>
    <w:rsid w:val="00D44D27"/>
    <w:rsid w:val="00D5275C"/>
    <w:rsid w:val="00D54EBE"/>
    <w:rsid w:val="00D55C04"/>
    <w:rsid w:val="00D619A8"/>
    <w:rsid w:val="00D647CB"/>
    <w:rsid w:val="00D65296"/>
    <w:rsid w:val="00D673A3"/>
    <w:rsid w:val="00D673F1"/>
    <w:rsid w:val="00D756A0"/>
    <w:rsid w:val="00D77183"/>
    <w:rsid w:val="00D80504"/>
    <w:rsid w:val="00D812F6"/>
    <w:rsid w:val="00D82A0A"/>
    <w:rsid w:val="00D851CD"/>
    <w:rsid w:val="00D86050"/>
    <w:rsid w:val="00D90786"/>
    <w:rsid w:val="00D95360"/>
    <w:rsid w:val="00D956B7"/>
    <w:rsid w:val="00D968C9"/>
    <w:rsid w:val="00DA0E6F"/>
    <w:rsid w:val="00DA46B6"/>
    <w:rsid w:val="00DA7B43"/>
    <w:rsid w:val="00DB0212"/>
    <w:rsid w:val="00DB2E89"/>
    <w:rsid w:val="00DC4899"/>
    <w:rsid w:val="00DC49E0"/>
    <w:rsid w:val="00DC6143"/>
    <w:rsid w:val="00DD3383"/>
    <w:rsid w:val="00DD6759"/>
    <w:rsid w:val="00DD7562"/>
    <w:rsid w:val="00DE4B46"/>
    <w:rsid w:val="00DE6FB1"/>
    <w:rsid w:val="00DE7D7F"/>
    <w:rsid w:val="00DF1026"/>
    <w:rsid w:val="00DF5F28"/>
    <w:rsid w:val="00DF72BD"/>
    <w:rsid w:val="00E02A81"/>
    <w:rsid w:val="00E04D25"/>
    <w:rsid w:val="00E15422"/>
    <w:rsid w:val="00E20DA3"/>
    <w:rsid w:val="00E215B3"/>
    <w:rsid w:val="00E2501A"/>
    <w:rsid w:val="00E2705B"/>
    <w:rsid w:val="00E30C2B"/>
    <w:rsid w:val="00E31A13"/>
    <w:rsid w:val="00E325E1"/>
    <w:rsid w:val="00E43350"/>
    <w:rsid w:val="00E45309"/>
    <w:rsid w:val="00E53A08"/>
    <w:rsid w:val="00E76493"/>
    <w:rsid w:val="00E82925"/>
    <w:rsid w:val="00E915F1"/>
    <w:rsid w:val="00EA137F"/>
    <w:rsid w:val="00EA13F5"/>
    <w:rsid w:val="00EA23D4"/>
    <w:rsid w:val="00EA6B29"/>
    <w:rsid w:val="00EB28F5"/>
    <w:rsid w:val="00EB587B"/>
    <w:rsid w:val="00ED0276"/>
    <w:rsid w:val="00ED0CD0"/>
    <w:rsid w:val="00ED4646"/>
    <w:rsid w:val="00ED6326"/>
    <w:rsid w:val="00ED7C61"/>
    <w:rsid w:val="00EE68ED"/>
    <w:rsid w:val="00EF4D40"/>
    <w:rsid w:val="00F00611"/>
    <w:rsid w:val="00F12290"/>
    <w:rsid w:val="00F277E4"/>
    <w:rsid w:val="00F2780B"/>
    <w:rsid w:val="00F32E4B"/>
    <w:rsid w:val="00F45106"/>
    <w:rsid w:val="00F45409"/>
    <w:rsid w:val="00F47F76"/>
    <w:rsid w:val="00F50A7E"/>
    <w:rsid w:val="00F52263"/>
    <w:rsid w:val="00F55D00"/>
    <w:rsid w:val="00F578B1"/>
    <w:rsid w:val="00F61A26"/>
    <w:rsid w:val="00F70EBF"/>
    <w:rsid w:val="00F74B9D"/>
    <w:rsid w:val="00F75E39"/>
    <w:rsid w:val="00F83954"/>
    <w:rsid w:val="00F86F0C"/>
    <w:rsid w:val="00F9261B"/>
    <w:rsid w:val="00F929E1"/>
    <w:rsid w:val="00F9324A"/>
    <w:rsid w:val="00F93E2F"/>
    <w:rsid w:val="00F94A01"/>
    <w:rsid w:val="00F962E0"/>
    <w:rsid w:val="00F96AA6"/>
    <w:rsid w:val="00FA2FEB"/>
    <w:rsid w:val="00FB05BA"/>
    <w:rsid w:val="00FB3FDD"/>
    <w:rsid w:val="00FB55C7"/>
    <w:rsid w:val="00FB69EB"/>
    <w:rsid w:val="00FC1606"/>
    <w:rsid w:val="00FC471E"/>
    <w:rsid w:val="00FC6588"/>
    <w:rsid w:val="00FC71A8"/>
    <w:rsid w:val="00FC7524"/>
    <w:rsid w:val="00FD1DD9"/>
    <w:rsid w:val="00FD2169"/>
    <w:rsid w:val="00FD644F"/>
    <w:rsid w:val="00FE1397"/>
    <w:rsid w:val="00FE244C"/>
    <w:rsid w:val="00FE2E7F"/>
    <w:rsid w:val="00FE45ED"/>
    <w:rsid w:val="00FE4880"/>
    <w:rsid w:val="00FE5149"/>
    <w:rsid w:val="00FE6D51"/>
    <w:rsid w:val="00FF2A34"/>
    <w:rsid w:val="00FF2F1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B70A0"/>
  <w15:docId w15:val="{F84867A2-1262-407E-BD05-F6B2FF7EC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2"/>
    <w:qFormat/>
    <w:rsid w:val="00BE2B48"/>
    <w:pPr>
      <w:numPr>
        <w:numId w:val="7"/>
      </w:numPr>
      <w:spacing w:before="240" w:after="240" w:line="240" w:lineRule="auto"/>
      <w:contextualSpacing w:val="0"/>
      <w:outlineLvl w:val="0"/>
    </w:pPr>
    <w:rPr>
      <w:rFonts w:ascii="Times New Roman" w:eastAsia="Cambria" w:hAnsi="Times New Roman" w:cs="Times New Roman"/>
      <w:b/>
      <w:sz w:val="24"/>
      <w:szCs w:val="24"/>
      <w:lang w:val="en-US"/>
    </w:rPr>
  </w:style>
  <w:style w:type="paragraph" w:styleId="Heading2">
    <w:name w:val="heading 2"/>
    <w:basedOn w:val="Heading1"/>
    <w:next w:val="Normal"/>
    <w:link w:val="Heading2Char"/>
    <w:uiPriority w:val="2"/>
    <w:qFormat/>
    <w:rsid w:val="00BE2B48"/>
    <w:pPr>
      <w:numPr>
        <w:ilvl w:val="1"/>
      </w:numPr>
      <w:spacing w:after="200"/>
      <w:outlineLvl w:val="1"/>
    </w:pPr>
  </w:style>
  <w:style w:type="paragraph" w:styleId="Heading3">
    <w:name w:val="heading 3"/>
    <w:basedOn w:val="Normal"/>
    <w:next w:val="Normal"/>
    <w:link w:val="Heading3Char"/>
    <w:uiPriority w:val="2"/>
    <w:qFormat/>
    <w:rsid w:val="00BE2B48"/>
    <w:pPr>
      <w:keepNext/>
      <w:keepLines/>
      <w:numPr>
        <w:ilvl w:val="2"/>
        <w:numId w:val="7"/>
      </w:numPr>
      <w:spacing w:before="40" w:after="120" w:line="240" w:lineRule="auto"/>
      <w:outlineLvl w:val="2"/>
    </w:pPr>
    <w:rPr>
      <w:rFonts w:ascii="Times New Roman" w:eastAsiaTheme="majorEastAsia" w:hAnsi="Times New Roman" w:cstheme="majorBidi"/>
      <w:b/>
      <w:sz w:val="24"/>
      <w:szCs w:val="24"/>
      <w:lang w:val="en-US"/>
    </w:rPr>
  </w:style>
  <w:style w:type="paragraph" w:styleId="Heading4">
    <w:name w:val="heading 4"/>
    <w:basedOn w:val="Heading3"/>
    <w:next w:val="Normal"/>
    <w:link w:val="Heading4Char"/>
    <w:uiPriority w:val="2"/>
    <w:qFormat/>
    <w:rsid w:val="00BE2B48"/>
    <w:pPr>
      <w:numPr>
        <w:ilvl w:val="3"/>
      </w:numPr>
      <w:outlineLvl w:val="3"/>
    </w:pPr>
    <w:rPr>
      <w:iCs/>
    </w:rPr>
  </w:style>
  <w:style w:type="paragraph" w:styleId="Heading5">
    <w:name w:val="heading 5"/>
    <w:basedOn w:val="Heading4"/>
    <w:next w:val="Normal"/>
    <w:link w:val="Heading5Char"/>
    <w:uiPriority w:val="2"/>
    <w:qFormat/>
    <w:rsid w:val="00BE2B48"/>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39C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Emphasis">
    <w:name w:val="Emphasis"/>
    <w:basedOn w:val="DefaultParagraphFont"/>
    <w:uiPriority w:val="20"/>
    <w:qFormat/>
    <w:rsid w:val="00A12B5F"/>
    <w:rPr>
      <w:i/>
      <w:iCs/>
    </w:rPr>
  </w:style>
  <w:style w:type="character" w:customStyle="1" w:styleId="id-label">
    <w:name w:val="id-label"/>
    <w:basedOn w:val="DefaultParagraphFont"/>
    <w:rsid w:val="006E4412"/>
  </w:style>
  <w:style w:type="paragraph" w:styleId="BalloonText">
    <w:name w:val="Balloon Text"/>
    <w:basedOn w:val="Normal"/>
    <w:link w:val="BalloonTextChar"/>
    <w:uiPriority w:val="99"/>
    <w:semiHidden/>
    <w:unhideWhenUsed/>
    <w:rsid w:val="00B22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77E"/>
    <w:rPr>
      <w:rFonts w:ascii="Segoe UI" w:hAnsi="Segoe UI" w:cs="Segoe UI"/>
      <w:sz w:val="18"/>
      <w:szCs w:val="18"/>
    </w:rPr>
  </w:style>
  <w:style w:type="character" w:styleId="CommentReference">
    <w:name w:val="annotation reference"/>
    <w:basedOn w:val="DefaultParagraphFont"/>
    <w:uiPriority w:val="99"/>
    <w:semiHidden/>
    <w:unhideWhenUsed/>
    <w:rsid w:val="00A40388"/>
    <w:rPr>
      <w:sz w:val="16"/>
      <w:szCs w:val="16"/>
    </w:rPr>
  </w:style>
  <w:style w:type="paragraph" w:styleId="CommentText">
    <w:name w:val="annotation text"/>
    <w:basedOn w:val="Normal"/>
    <w:link w:val="CommentTextChar"/>
    <w:uiPriority w:val="99"/>
    <w:unhideWhenUsed/>
    <w:rsid w:val="00A40388"/>
    <w:pPr>
      <w:spacing w:before="120" w:after="24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rsid w:val="00A40388"/>
    <w:rPr>
      <w:rFonts w:ascii="Times New Roman" w:hAnsi="Times New Roman"/>
      <w:sz w:val="20"/>
      <w:szCs w:val="20"/>
      <w:lang w:val="en-US"/>
    </w:rPr>
  </w:style>
  <w:style w:type="character" w:styleId="LineNumber">
    <w:name w:val="line number"/>
    <w:basedOn w:val="DefaultParagraphFont"/>
    <w:uiPriority w:val="99"/>
    <w:semiHidden/>
    <w:unhideWhenUsed/>
    <w:rsid w:val="00AB3C07"/>
  </w:style>
  <w:style w:type="paragraph" w:styleId="CommentSubject">
    <w:name w:val="annotation subject"/>
    <w:basedOn w:val="CommentText"/>
    <w:next w:val="CommentText"/>
    <w:link w:val="CommentSubjectChar"/>
    <w:uiPriority w:val="99"/>
    <w:semiHidden/>
    <w:unhideWhenUsed/>
    <w:rsid w:val="00D404E9"/>
    <w:pPr>
      <w:spacing w:before="0" w:after="160"/>
    </w:pPr>
    <w:rPr>
      <w:rFonts w:asciiTheme="minorHAnsi" w:hAnsiTheme="minorHAnsi"/>
      <w:b/>
      <w:bCs/>
      <w:lang w:val="de-DE"/>
    </w:rPr>
  </w:style>
  <w:style w:type="character" w:customStyle="1" w:styleId="CommentSubjectChar">
    <w:name w:val="Comment Subject Char"/>
    <w:basedOn w:val="CommentTextChar"/>
    <w:link w:val="CommentSubject"/>
    <w:uiPriority w:val="99"/>
    <w:semiHidden/>
    <w:rsid w:val="00D404E9"/>
    <w:rPr>
      <w:rFonts w:ascii="Times New Roman" w:hAnsi="Times New Roman"/>
      <w:b/>
      <w:bCs/>
      <w:sz w:val="20"/>
      <w:szCs w:val="20"/>
      <w:lang w:val="en-US"/>
    </w:rPr>
  </w:style>
  <w:style w:type="paragraph" w:styleId="ListParagraph">
    <w:name w:val="List Paragraph"/>
    <w:basedOn w:val="Normal"/>
    <w:uiPriority w:val="34"/>
    <w:qFormat/>
    <w:rsid w:val="00E215B3"/>
    <w:pPr>
      <w:ind w:left="720"/>
      <w:contextualSpacing/>
    </w:pPr>
    <w:rPr>
      <w:lang w:val="en-GB"/>
    </w:rPr>
  </w:style>
  <w:style w:type="character" w:styleId="Hyperlink">
    <w:name w:val="Hyperlink"/>
    <w:basedOn w:val="DefaultParagraphFont"/>
    <w:uiPriority w:val="99"/>
    <w:semiHidden/>
    <w:unhideWhenUsed/>
    <w:rsid w:val="00195AF1"/>
    <w:rPr>
      <w:color w:val="0000FF"/>
      <w:u w:val="single"/>
    </w:rPr>
  </w:style>
  <w:style w:type="character" w:customStyle="1" w:styleId="a">
    <w:name w:val="_"/>
    <w:basedOn w:val="DefaultParagraphFont"/>
    <w:rsid w:val="00C83091"/>
  </w:style>
  <w:style w:type="character" w:customStyle="1" w:styleId="ff8">
    <w:name w:val="ff8"/>
    <w:basedOn w:val="DefaultParagraphFont"/>
    <w:rsid w:val="00B7103A"/>
  </w:style>
  <w:style w:type="character" w:customStyle="1" w:styleId="ffa">
    <w:name w:val="ffa"/>
    <w:basedOn w:val="DefaultParagraphFont"/>
    <w:rsid w:val="00B7103A"/>
  </w:style>
  <w:style w:type="character" w:customStyle="1" w:styleId="ws24b">
    <w:name w:val="ws24b"/>
    <w:basedOn w:val="DefaultParagraphFont"/>
    <w:rsid w:val="00B7103A"/>
  </w:style>
  <w:style w:type="paragraph" w:styleId="BodyText">
    <w:name w:val="Body Text"/>
    <w:basedOn w:val="Normal"/>
    <w:link w:val="BodyTextChar"/>
    <w:uiPriority w:val="1"/>
    <w:qFormat/>
    <w:rsid w:val="00B02320"/>
    <w:pPr>
      <w:widowControl w:val="0"/>
      <w:autoSpaceDE w:val="0"/>
      <w:autoSpaceDN w:val="0"/>
      <w:spacing w:after="0" w:line="240" w:lineRule="auto"/>
    </w:pPr>
    <w:rPr>
      <w:rFonts w:ascii="Arial" w:eastAsia="Arial" w:hAnsi="Arial" w:cs="Arial"/>
      <w:lang w:val="en-IE"/>
    </w:rPr>
  </w:style>
  <w:style w:type="character" w:customStyle="1" w:styleId="BodyTextChar">
    <w:name w:val="Body Text Char"/>
    <w:basedOn w:val="DefaultParagraphFont"/>
    <w:link w:val="BodyText"/>
    <w:uiPriority w:val="1"/>
    <w:rsid w:val="00B02320"/>
    <w:rPr>
      <w:rFonts w:ascii="Arial" w:eastAsia="Arial" w:hAnsi="Arial" w:cs="Arial"/>
      <w:lang w:val="en-IE"/>
    </w:rPr>
  </w:style>
  <w:style w:type="paragraph" w:styleId="Revision">
    <w:name w:val="Revision"/>
    <w:hidden/>
    <w:uiPriority w:val="99"/>
    <w:semiHidden/>
    <w:rsid w:val="001F77FB"/>
    <w:pPr>
      <w:spacing w:after="0" w:line="240" w:lineRule="auto"/>
    </w:pPr>
  </w:style>
  <w:style w:type="character" w:styleId="Strong">
    <w:name w:val="Strong"/>
    <w:basedOn w:val="DefaultParagraphFont"/>
    <w:uiPriority w:val="22"/>
    <w:qFormat/>
    <w:rsid w:val="00D55C04"/>
    <w:rPr>
      <w:b/>
      <w:bCs/>
    </w:rPr>
  </w:style>
  <w:style w:type="paragraph" w:customStyle="1" w:styleId="Default">
    <w:name w:val="Default"/>
    <w:rsid w:val="00CA0D1E"/>
    <w:pPr>
      <w:autoSpaceDE w:val="0"/>
      <w:autoSpaceDN w:val="0"/>
      <w:adjustRightInd w:val="0"/>
      <w:spacing w:after="0" w:line="240" w:lineRule="auto"/>
    </w:pPr>
    <w:rPr>
      <w:rFonts w:ascii="Calibri" w:hAnsi="Calibri" w:cs="Calibri"/>
      <w:color w:val="000000"/>
      <w:sz w:val="24"/>
      <w:szCs w:val="24"/>
      <w:lang w:val="es-ES"/>
    </w:rPr>
  </w:style>
  <w:style w:type="character" w:customStyle="1" w:styleId="Heading1Char">
    <w:name w:val="Heading 1 Char"/>
    <w:basedOn w:val="DefaultParagraphFont"/>
    <w:link w:val="Heading1"/>
    <w:uiPriority w:val="2"/>
    <w:rsid w:val="00BE2B48"/>
    <w:rPr>
      <w:rFonts w:ascii="Times New Roman" w:eastAsia="Cambria" w:hAnsi="Times New Roman" w:cs="Times New Roman"/>
      <w:b/>
      <w:sz w:val="24"/>
      <w:szCs w:val="24"/>
      <w:lang w:val="en-US"/>
    </w:rPr>
  </w:style>
  <w:style w:type="character" w:customStyle="1" w:styleId="Heading2Char">
    <w:name w:val="Heading 2 Char"/>
    <w:basedOn w:val="DefaultParagraphFont"/>
    <w:link w:val="Heading2"/>
    <w:uiPriority w:val="2"/>
    <w:rsid w:val="00BE2B48"/>
    <w:rPr>
      <w:rFonts w:ascii="Times New Roman" w:eastAsia="Cambria" w:hAnsi="Times New Roman" w:cs="Times New Roman"/>
      <w:b/>
      <w:sz w:val="24"/>
      <w:szCs w:val="24"/>
      <w:lang w:val="en-US"/>
    </w:rPr>
  </w:style>
  <w:style w:type="character" w:customStyle="1" w:styleId="Heading3Char">
    <w:name w:val="Heading 3 Char"/>
    <w:basedOn w:val="DefaultParagraphFont"/>
    <w:link w:val="Heading3"/>
    <w:uiPriority w:val="2"/>
    <w:rsid w:val="00BE2B48"/>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2"/>
    <w:rsid w:val="00BE2B48"/>
    <w:rPr>
      <w:rFonts w:ascii="Times New Roman" w:eastAsiaTheme="majorEastAsia" w:hAnsi="Times New Roman" w:cstheme="majorBidi"/>
      <w:b/>
      <w:iCs/>
      <w:sz w:val="24"/>
      <w:szCs w:val="24"/>
      <w:lang w:val="en-US"/>
    </w:rPr>
  </w:style>
  <w:style w:type="character" w:customStyle="1" w:styleId="Heading5Char">
    <w:name w:val="Heading 5 Char"/>
    <w:basedOn w:val="DefaultParagraphFont"/>
    <w:link w:val="Heading5"/>
    <w:uiPriority w:val="2"/>
    <w:rsid w:val="00BE2B48"/>
    <w:rPr>
      <w:rFonts w:ascii="Times New Roman" w:eastAsiaTheme="majorEastAsia" w:hAnsi="Times New Roman" w:cstheme="majorBidi"/>
      <w:b/>
      <w:iCs/>
      <w:sz w:val="24"/>
      <w:szCs w:val="24"/>
      <w:lang w:val="en-US"/>
    </w:rPr>
  </w:style>
  <w:style w:type="numbering" w:customStyle="1" w:styleId="Headings">
    <w:name w:val="Headings"/>
    <w:uiPriority w:val="99"/>
    <w:rsid w:val="00BE2B48"/>
    <w:pPr>
      <w:numPr>
        <w:numId w:val="7"/>
      </w:numPr>
    </w:pPr>
  </w:style>
  <w:style w:type="character" w:customStyle="1" w:styleId="normaltextrun">
    <w:name w:val="normaltextrun"/>
    <w:basedOn w:val="DefaultParagraphFont"/>
    <w:rsid w:val="00947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4314">
      <w:bodyDiv w:val="1"/>
      <w:marLeft w:val="0"/>
      <w:marRight w:val="0"/>
      <w:marTop w:val="0"/>
      <w:marBottom w:val="0"/>
      <w:divBdr>
        <w:top w:val="none" w:sz="0" w:space="0" w:color="auto"/>
        <w:left w:val="none" w:sz="0" w:space="0" w:color="auto"/>
        <w:bottom w:val="none" w:sz="0" w:space="0" w:color="auto"/>
        <w:right w:val="none" w:sz="0" w:space="0" w:color="auto"/>
      </w:divBdr>
    </w:div>
    <w:div w:id="74475252">
      <w:bodyDiv w:val="1"/>
      <w:marLeft w:val="0"/>
      <w:marRight w:val="0"/>
      <w:marTop w:val="0"/>
      <w:marBottom w:val="0"/>
      <w:divBdr>
        <w:top w:val="none" w:sz="0" w:space="0" w:color="auto"/>
        <w:left w:val="none" w:sz="0" w:space="0" w:color="auto"/>
        <w:bottom w:val="none" w:sz="0" w:space="0" w:color="auto"/>
        <w:right w:val="none" w:sz="0" w:space="0" w:color="auto"/>
      </w:divBdr>
    </w:div>
    <w:div w:id="189219993">
      <w:bodyDiv w:val="1"/>
      <w:marLeft w:val="0"/>
      <w:marRight w:val="0"/>
      <w:marTop w:val="0"/>
      <w:marBottom w:val="0"/>
      <w:divBdr>
        <w:top w:val="none" w:sz="0" w:space="0" w:color="auto"/>
        <w:left w:val="none" w:sz="0" w:space="0" w:color="auto"/>
        <w:bottom w:val="none" w:sz="0" w:space="0" w:color="auto"/>
        <w:right w:val="none" w:sz="0" w:space="0" w:color="auto"/>
      </w:divBdr>
    </w:div>
    <w:div w:id="251400094">
      <w:bodyDiv w:val="1"/>
      <w:marLeft w:val="0"/>
      <w:marRight w:val="0"/>
      <w:marTop w:val="0"/>
      <w:marBottom w:val="0"/>
      <w:divBdr>
        <w:top w:val="none" w:sz="0" w:space="0" w:color="auto"/>
        <w:left w:val="none" w:sz="0" w:space="0" w:color="auto"/>
        <w:bottom w:val="none" w:sz="0" w:space="0" w:color="auto"/>
        <w:right w:val="none" w:sz="0" w:space="0" w:color="auto"/>
      </w:divBdr>
    </w:div>
    <w:div w:id="279729078">
      <w:bodyDiv w:val="1"/>
      <w:marLeft w:val="0"/>
      <w:marRight w:val="0"/>
      <w:marTop w:val="0"/>
      <w:marBottom w:val="0"/>
      <w:divBdr>
        <w:top w:val="none" w:sz="0" w:space="0" w:color="auto"/>
        <w:left w:val="none" w:sz="0" w:space="0" w:color="auto"/>
        <w:bottom w:val="none" w:sz="0" w:space="0" w:color="auto"/>
        <w:right w:val="none" w:sz="0" w:space="0" w:color="auto"/>
      </w:divBdr>
    </w:div>
    <w:div w:id="336886623">
      <w:bodyDiv w:val="1"/>
      <w:marLeft w:val="0"/>
      <w:marRight w:val="0"/>
      <w:marTop w:val="0"/>
      <w:marBottom w:val="0"/>
      <w:divBdr>
        <w:top w:val="none" w:sz="0" w:space="0" w:color="auto"/>
        <w:left w:val="none" w:sz="0" w:space="0" w:color="auto"/>
        <w:bottom w:val="none" w:sz="0" w:space="0" w:color="auto"/>
        <w:right w:val="none" w:sz="0" w:space="0" w:color="auto"/>
      </w:divBdr>
    </w:div>
    <w:div w:id="365909870">
      <w:bodyDiv w:val="1"/>
      <w:marLeft w:val="0"/>
      <w:marRight w:val="0"/>
      <w:marTop w:val="0"/>
      <w:marBottom w:val="0"/>
      <w:divBdr>
        <w:top w:val="none" w:sz="0" w:space="0" w:color="auto"/>
        <w:left w:val="none" w:sz="0" w:space="0" w:color="auto"/>
        <w:bottom w:val="none" w:sz="0" w:space="0" w:color="auto"/>
        <w:right w:val="none" w:sz="0" w:space="0" w:color="auto"/>
      </w:divBdr>
    </w:div>
    <w:div w:id="369185425">
      <w:bodyDiv w:val="1"/>
      <w:marLeft w:val="0"/>
      <w:marRight w:val="0"/>
      <w:marTop w:val="0"/>
      <w:marBottom w:val="0"/>
      <w:divBdr>
        <w:top w:val="none" w:sz="0" w:space="0" w:color="auto"/>
        <w:left w:val="none" w:sz="0" w:space="0" w:color="auto"/>
        <w:bottom w:val="none" w:sz="0" w:space="0" w:color="auto"/>
        <w:right w:val="none" w:sz="0" w:space="0" w:color="auto"/>
      </w:divBdr>
    </w:div>
    <w:div w:id="454639461">
      <w:bodyDiv w:val="1"/>
      <w:marLeft w:val="0"/>
      <w:marRight w:val="0"/>
      <w:marTop w:val="0"/>
      <w:marBottom w:val="0"/>
      <w:divBdr>
        <w:top w:val="none" w:sz="0" w:space="0" w:color="auto"/>
        <w:left w:val="none" w:sz="0" w:space="0" w:color="auto"/>
        <w:bottom w:val="none" w:sz="0" w:space="0" w:color="auto"/>
        <w:right w:val="none" w:sz="0" w:space="0" w:color="auto"/>
      </w:divBdr>
    </w:div>
    <w:div w:id="514423921">
      <w:bodyDiv w:val="1"/>
      <w:marLeft w:val="0"/>
      <w:marRight w:val="0"/>
      <w:marTop w:val="0"/>
      <w:marBottom w:val="0"/>
      <w:divBdr>
        <w:top w:val="none" w:sz="0" w:space="0" w:color="auto"/>
        <w:left w:val="none" w:sz="0" w:space="0" w:color="auto"/>
        <w:bottom w:val="none" w:sz="0" w:space="0" w:color="auto"/>
        <w:right w:val="none" w:sz="0" w:space="0" w:color="auto"/>
      </w:divBdr>
    </w:div>
    <w:div w:id="617957981">
      <w:bodyDiv w:val="1"/>
      <w:marLeft w:val="0"/>
      <w:marRight w:val="0"/>
      <w:marTop w:val="0"/>
      <w:marBottom w:val="0"/>
      <w:divBdr>
        <w:top w:val="none" w:sz="0" w:space="0" w:color="auto"/>
        <w:left w:val="none" w:sz="0" w:space="0" w:color="auto"/>
        <w:bottom w:val="none" w:sz="0" w:space="0" w:color="auto"/>
        <w:right w:val="none" w:sz="0" w:space="0" w:color="auto"/>
      </w:divBdr>
    </w:div>
    <w:div w:id="655962378">
      <w:bodyDiv w:val="1"/>
      <w:marLeft w:val="0"/>
      <w:marRight w:val="0"/>
      <w:marTop w:val="0"/>
      <w:marBottom w:val="0"/>
      <w:divBdr>
        <w:top w:val="none" w:sz="0" w:space="0" w:color="auto"/>
        <w:left w:val="none" w:sz="0" w:space="0" w:color="auto"/>
        <w:bottom w:val="none" w:sz="0" w:space="0" w:color="auto"/>
        <w:right w:val="none" w:sz="0" w:space="0" w:color="auto"/>
      </w:divBdr>
    </w:div>
    <w:div w:id="766267668">
      <w:bodyDiv w:val="1"/>
      <w:marLeft w:val="0"/>
      <w:marRight w:val="0"/>
      <w:marTop w:val="0"/>
      <w:marBottom w:val="0"/>
      <w:divBdr>
        <w:top w:val="none" w:sz="0" w:space="0" w:color="auto"/>
        <w:left w:val="none" w:sz="0" w:space="0" w:color="auto"/>
        <w:bottom w:val="none" w:sz="0" w:space="0" w:color="auto"/>
        <w:right w:val="none" w:sz="0" w:space="0" w:color="auto"/>
      </w:divBdr>
    </w:div>
    <w:div w:id="768159923">
      <w:bodyDiv w:val="1"/>
      <w:marLeft w:val="0"/>
      <w:marRight w:val="0"/>
      <w:marTop w:val="0"/>
      <w:marBottom w:val="0"/>
      <w:divBdr>
        <w:top w:val="none" w:sz="0" w:space="0" w:color="auto"/>
        <w:left w:val="none" w:sz="0" w:space="0" w:color="auto"/>
        <w:bottom w:val="none" w:sz="0" w:space="0" w:color="auto"/>
        <w:right w:val="none" w:sz="0" w:space="0" w:color="auto"/>
      </w:divBdr>
    </w:div>
    <w:div w:id="784158104">
      <w:bodyDiv w:val="1"/>
      <w:marLeft w:val="0"/>
      <w:marRight w:val="0"/>
      <w:marTop w:val="0"/>
      <w:marBottom w:val="0"/>
      <w:divBdr>
        <w:top w:val="none" w:sz="0" w:space="0" w:color="auto"/>
        <w:left w:val="none" w:sz="0" w:space="0" w:color="auto"/>
        <w:bottom w:val="none" w:sz="0" w:space="0" w:color="auto"/>
        <w:right w:val="none" w:sz="0" w:space="0" w:color="auto"/>
      </w:divBdr>
    </w:div>
    <w:div w:id="806777827">
      <w:bodyDiv w:val="1"/>
      <w:marLeft w:val="0"/>
      <w:marRight w:val="0"/>
      <w:marTop w:val="0"/>
      <w:marBottom w:val="0"/>
      <w:divBdr>
        <w:top w:val="none" w:sz="0" w:space="0" w:color="auto"/>
        <w:left w:val="none" w:sz="0" w:space="0" w:color="auto"/>
        <w:bottom w:val="none" w:sz="0" w:space="0" w:color="auto"/>
        <w:right w:val="none" w:sz="0" w:space="0" w:color="auto"/>
      </w:divBdr>
    </w:div>
    <w:div w:id="866331634">
      <w:bodyDiv w:val="1"/>
      <w:marLeft w:val="0"/>
      <w:marRight w:val="0"/>
      <w:marTop w:val="0"/>
      <w:marBottom w:val="0"/>
      <w:divBdr>
        <w:top w:val="none" w:sz="0" w:space="0" w:color="auto"/>
        <w:left w:val="none" w:sz="0" w:space="0" w:color="auto"/>
        <w:bottom w:val="none" w:sz="0" w:space="0" w:color="auto"/>
        <w:right w:val="none" w:sz="0" w:space="0" w:color="auto"/>
      </w:divBdr>
    </w:div>
    <w:div w:id="888567785">
      <w:bodyDiv w:val="1"/>
      <w:marLeft w:val="0"/>
      <w:marRight w:val="0"/>
      <w:marTop w:val="0"/>
      <w:marBottom w:val="0"/>
      <w:divBdr>
        <w:top w:val="none" w:sz="0" w:space="0" w:color="auto"/>
        <w:left w:val="none" w:sz="0" w:space="0" w:color="auto"/>
        <w:bottom w:val="none" w:sz="0" w:space="0" w:color="auto"/>
        <w:right w:val="none" w:sz="0" w:space="0" w:color="auto"/>
      </w:divBdr>
    </w:div>
    <w:div w:id="1012924441">
      <w:bodyDiv w:val="1"/>
      <w:marLeft w:val="0"/>
      <w:marRight w:val="0"/>
      <w:marTop w:val="0"/>
      <w:marBottom w:val="0"/>
      <w:divBdr>
        <w:top w:val="none" w:sz="0" w:space="0" w:color="auto"/>
        <w:left w:val="none" w:sz="0" w:space="0" w:color="auto"/>
        <w:bottom w:val="none" w:sz="0" w:space="0" w:color="auto"/>
        <w:right w:val="none" w:sz="0" w:space="0" w:color="auto"/>
      </w:divBdr>
    </w:div>
    <w:div w:id="1040084183">
      <w:bodyDiv w:val="1"/>
      <w:marLeft w:val="0"/>
      <w:marRight w:val="0"/>
      <w:marTop w:val="0"/>
      <w:marBottom w:val="0"/>
      <w:divBdr>
        <w:top w:val="none" w:sz="0" w:space="0" w:color="auto"/>
        <w:left w:val="none" w:sz="0" w:space="0" w:color="auto"/>
        <w:bottom w:val="none" w:sz="0" w:space="0" w:color="auto"/>
        <w:right w:val="none" w:sz="0" w:space="0" w:color="auto"/>
      </w:divBdr>
    </w:div>
    <w:div w:id="1072431542">
      <w:bodyDiv w:val="1"/>
      <w:marLeft w:val="0"/>
      <w:marRight w:val="0"/>
      <w:marTop w:val="0"/>
      <w:marBottom w:val="0"/>
      <w:divBdr>
        <w:top w:val="none" w:sz="0" w:space="0" w:color="auto"/>
        <w:left w:val="none" w:sz="0" w:space="0" w:color="auto"/>
        <w:bottom w:val="none" w:sz="0" w:space="0" w:color="auto"/>
        <w:right w:val="none" w:sz="0" w:space="0" w:color="auto"/>
      </w:divBdr>
    </w:div>
    <w:div w:id="1091006914">
      <w:bodyDiv w:val="1"/>
      <w:marLeft w:val="0"/>
      <w:marRight w:val="0"/>
      <w:marTop w:val="0"/>
      <w:marBottom w:val="0"/>
      <w:divBdr>
        <w:top w:val="none" w:sz="0" w:space="0" w:color="auto"/>
        <w:left w:val="none" w:sz="0" w:space="0" w:color="auto"/>
        <w:bottom w:val="none" w:sz="0" w:space="0" w:color="auto"/>
        <w:right w:val="none" w:sz="0" w:space="0" w:color="auto"/>
      </w:divBdr>
    </w:div>
    <w:div w:id="1135951389">
      <w:bodyDiv w:val="1"/>
      <w:marLeft w:val="0"/>
      <w:marRight w:val="0"/>
      <w:marTop w:val="0"/>
      <w:marBottom w:val="0"/>
      <w:divBdr>
        <w:top w:val="none" w:sz="0" w:space="0" w:color="auto"/>
        <w:left w:val="none" w:sz="0" w:space="0" w:color="auto"/>
        <w:bottom w:val="none" w:sz="0" w:space="0" w:color="auto"/>
        <w:right w:val="none" w:sz="0" w:space="0" w:color="auto"/>
      </w:divBdr>
      <w:divsChild>
        <w:div w:id="1046099653">
          <w:marLeft w:val="0"/>
          <w:marRight w:val="0"/>
          <w:marTop w:val="0"/>
          <w:marBottom w:val="0"/>
          <w:divBdr>
            <w:top w:val="single" w:sz="2" w:space="0" w:color="auto"/>
            <w:left w:val="single" w:sz="2" w:space="0" w:color="auto"/>
            <w:bottom w:val="single" w:sz="6" w:space="0" w:color="auto"/>
            <w:right w:val="single" w:sz="2" w:space="0" w:color="auto"/>
          </w:divBdr>
          <w:divsChild>
            <w:div w:id="1841042515">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5439">
                  <w:marLeft w:val="0"/>
                  <w:marRight w:val="0"/>
                  <w:marTop w:val="0"/>
                  <w:marBottom w:val="0"/>
                  <w:divBdr>
                    <w:top w:val="single" w:sz="2" w:space="0" w:color="D9D9E3"/>
                    <w:left w:val="single" w:sz="2" w:space="0" w:color="D9D9E3"/>
                    <w:bottom w:val="single" w:sz="2" w:space="0" w:color="D9D9E3"/>
                    <w:right w:val="single" w:sz="2" w:space="0" w:color="D9D9E3"/>
                  </w:divBdr>
                  <w:divsChild>
                    <w:div w:id="2086220413">
                      <w:marLeft w:val="0"/>
                      <w:marRight w:val="0"/>
                      <w:marTop w:val="0"/>
                      <w:marBottom w:val="0"/>
                      <w:divBdr>
                        <w:top w:val="single" w:sz="2" w:space="0" w:color="D9D9E3"/>
                        <w:left w:val="single" w:sz="2" w:space="0" w:color="D9D9E3"/>
                        <w:bottom w:val="single" w:sz="2" w:space="0" w:color="D9D9E3"/>
                        <w:right w:val="single" w:sz="2" w:space="0" w:color="D9D9E3"/>
                      </w:divBdr>
                      <w:divsChild>
                        <w:div w:id="1594895153">
                          <w:marLeft w:val="0"/>
                          <w:marRight w:val="0"/>
                          <w:marTop w:val="0"/>
                          <w:marBottom w:val="0"/>
                          <w:divBdr>
                            <w:top w:val="single" w:sz="2" w:space="0" w:color="D9D9E3"/>
                            <w:left w:val="single" w:sz="2" w:space="0" w:color="D9D9E3"/>
                            <w:bottom w:val="single" w:sz="2" w:space="0" w:color="D9D9E3"/>
                            <w:right w:val="single" w:sz="2" w:space="0" w:color="D9D9E3"/>
                          </w:divBdr>
                          <w:divsChild>
                            <w:div w:id="5434910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1260957">
      <w:bodyDiv w:val="1"/>
      <w:marLeft w:val="0"/>
      <w:marRight w:val="0"/>
      <w:marTop w:val="0"/>
      <w:marBottom w:val="0"/>
      <w:divBdr>
        <w:top w:val="none" w:sz="0" w:space="0" w:color="auto"/>
        <w:left w:val="none" w:sz="0" w:space="0" w:color="auto"/>
        <w:bottom w:val="none" w:sz="0" w:space="0" w:color="auto"/>
        <w:right w:val="none" w:sz="0" w:space="0" w:color="auto"/>
      </w:divBdr>
    </w:div>
    <w:div w:id="1291591198">
      <w:bodyDiv w:val="1"/>
      <w:marLeft w:val="0"/>
      <w:marRight w:val="0"/>
      <w:marTop w:val="0"/>
      <w:marBottom w:val="0"/>
      <w:divBdr>
        <w:top w:val="none" w:sz="0" w:space="0" w:color="auto"/>
        <w:left w:val="none" w:sz="0" w:space="0" w:color="auto"/>
        <w:bottom w:val="none" w:sz="0" w:space="0" w:color="auto"/>
        <w:right w:val="none" w:sz="0" w:space="0" w:color="auto"/>
      </w:divBdr>
    </w:div>
    <w:div w:id="1292663191">
      <w:bodyDiv w:val="1"/>
      <w:marLeft w:val="0"/>
      <w:marRight w:val="0"/>
      <w:marTop w:val="0"/>
      <w:marBottom w:val="0"/>
      <w:divBdr>
        <w:top w:val="none" w:sz="0" w:space="0" w:color="auto"/>
        <w:left w:val="none" w:sz="0" w:space="0" w:color="auto"/>
        <w:bottom w:val="none" w:sz="0" w:space="0" w:color="auto"/>
        <w:right w:val="none" w:sz="0" w:space="0" w:color="auto"/>
      </w:divBdr>
    </w:div>
    <w:div w:id="1338725133">
      <w:bodyDiv w:val="1"/>
      <w:marLeft w:val="0"/>
      <w:marRight w:val="0"/>
      <w:marTop w:val="0"/>
      <w:marBottom w:val="0"/>
      <w:divBdr>
        <w:top w:val="none" w:sz="0" w:space="0" w:color="auto"/>
        <w:left w:val="none" w:sz="0" w:space="0" w:color="auto"/>
        <w:bottom w:val="none" w:sz="0" w:space="0" w:color="auto"/>
        <w:right w:val="none" w:sz="0" w:space="0" w:color="auto"/>
      </w:divBdr>
    </w:div>
    <w:div w:id="1380940270">
      <w:bodyDiv w:val="1"/>
      <w:marLeft w:val="0"/>
      <w:marRight w:val="0"/>
      <w:marTop w:val="0"/>
      <w:marBottom w:val="0"/>
      <w:divBdr>
        <w:top w:val="none" w:sz="0" w:space="0" w:color="auto"/>
        <w:left w:val="none" w:sz="0" w:space="0" w:color="auto"/>
        <w:bottom w:val="none" w:sz="0" w:space="0" w:color="auto"/>
        <w:right w:val="none" w:sz="0" w:space="0" w:color="auto"/>
      </w:divBdr>
    </w:div>
    <w:div w:id="1443301553">
      <w:bodyDiv w:val="1"/>
      <w:marLeft w:val="0"/>
      <w:marRight w:val="0"/>
      <w:marTop w:val="0"/>
      <w:marBottom w:val="0"/>
      <w:divBdr>
        <w:top w:val="none" w:sz="0" w:space="0" w:color="auto"/>
        <w:left w:val="none" w:sz="0" w:space="0" w:color="auto"/>
        <w:bottom w:val="none" w:sz="0" w:space="0" w:color="auto"/>
        <w:right w:val="none" w:sz="0" w:space="0" w:color="auto"/>
      </w:divBdr>
    </w:div>
    <w:div w:id="1483082256">
      <w:bodyDiv w:val="1"/>
      <w:marLeft w:val="0"/>
      <w:marRight w:val="0"/>
      <w:marTop w:val="0"/>
      <w:marBottom w:val="0"/>
      <w:divBdr>
        <w:top w:val="none" w:sz="0" w:space="0" w:color="auto"/>
        <w:left w:val="none" w:sz="0" w:space="0" w:color="auto"/>
        <w:bottom w:val="none" w:sz="0" w:space="0" w:color="auto"/>
        <w:right w:val="none" w:sz="0" w:space="0" w:color="auto"/>
      </w:divBdr>
    </w:div>
    <w:div w:id="1637251961">
      <w:bodyDiv w:val="1"/>
      <w:marLeft w:val="0"/>
      <w:marRight w:val="0"/>
      <w:marTop w:val="0"/>
      <w:marBottom w:val="0"/>
      <w:divBdr>
        <w:top w:val="none" w:sz="0" w:space="0" w:color="auto"/>
        <w:left w:val="none" w:sz="0" w:space="0" w:color="auto"/>
        <w:bottom w:val="none" w:sz="0" w:space="0" w:color="auto"/>
        <w:right w:val="none" w:sz="0" w:space="0" w:color="auto"/>
      </w:divBdr>
    </w:div>
    <w:div w:id="1644383281">
      <w:bodyDiv w:val="1"/>
      <w:marLeft w:val="0"/>
      <w:marRight w:val="0"/>
      <w:marTop w:val="0"/>
      <w:marBottom w:val="0"/>
      <w:divBdr>
        <w:top w:val="none" w:sz="0" w:space="0" w:color="auto"/>
        <w:left w:val="none" w:sz="0" w:space="0" w:color="auto"/>
        <w:bottom w:val="none" w:sz="0" w:space="0" w:color="auto"/>
        <w:right w:val="none" w:sz="0" w:space="0" w:color="auto"/>
      </w:divBdr>
    </w:div>
    <w:div w:id="1701391358">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764765508">
      <w:bodyDiv w:val="1"/>
      <w:marLeft w:val="0"/>
      <w:marRight w:val="0"/>
      <w:marTop w:val="0"/>
      <w:marBottom w:val="0"/>
      <w:divBdr>
        <w:top w:val="none" w:sz="0" w:space="0" w:color="auto"/>
        <w:left w:val="none" w:sz="0" w:space="0" w:color="auto"/>
        <w:bottom w:val="none" w:sz="0" w:space="0" w:color="auto"/>
        <w:right w:val="none" w:sz="0" w:space="0" w:color="auto"/>
      </w:divBdr>
    </w:div>
    <w:div w:id="1826899203">
      <w:bodyDiv w:val="1"/>
      <w:marLeft w:val="0"/>
      <w:marRight w:val="0"/>
      <w:marTop w:val="0"/>
      <w:marBottom w:val="0"/>
      <w:divBdr>
        <w:top w:val="none" w:sz="0" w:space="0" w:color="auto"/>
        <w:left w:val="none" w:sz="0" w:space="0" w:color="auto"/>
        <w:bottom w:val="none" w:sz="0" w:space="0" w:color="auto"/>
        <w:right w:val="none" w:sz="0" w:space="0" w:color="auto"/>
      </w:divBdr>
    </w:div>
    <w:div w:id="1846361106">
      <w:bodyDiv w:val="1"/>
      <w:marLeft w:val="0"/>
      <w:marRight w:val="0"/>
      <w:marTop w:val="0"/>
      <w:marBottom w:val="0"/>
      <w:divBdr>
        <w:top w:val="none" w:sz="0" w:space="0" w:color="auto"/>
        <w:left w:val="none" w:sz="0" w:space="0" w:color="auto"/>
        <w:bottom w:val="none" w:sz="0" w:space="0" w:color="auto"/>
        <w:right w:val="none" w:sz="0" w:space="0" w:color="auto"/>
      </w:divBdr>
    </w:div>
    <w:div w:id="2034726515">
      <w:bodyDiv w:val="1"/>
      <w:marLeft w:val="0"/>
      <w:marRight w:val="0"/>
      <w:marTop w:val="0"/>
      <w:marBottom w:val="0"/>
      <w:divBdr>
        <w:top w:val="none" w:sz="0" w:space="0" w:color="auto"/>
        <w:left w:val="none" w:sz="0" w:space="0" w:color="auto"/>
        <w:bottom w:val="none" w:sz="0" w:space="0" w:color="auto"/>
        <w:right w:val="none" w:sz="0" w:space="0" w:color="auto"/>
      </w:divBdr>
      <w:divsChild>
        <w:div w:id="781612448">
          <w:marLeft w:val="1166"/>
          <w:marRight w:val="0"/>
          <w:marTop w:val="0"/>
          <w:marBottom w:val="0"/>
          <w:divBdr>
            <w:top w:val="none" w:sz="0" w:space="0" w:color="auto"/>
            <w:left w:val="none" w:sz="0" w:space="0" w:color="auto"/>
            <w:bottom w:val="none" w:sz="0" w:space="0" w:color="auto"/>
            <w:right w:val="none" w:sz="0" w:space="0" w:color="auto"/>
          </w:divBdr>
        </w:div>
        <w:div w:id="690880631">
          <w:marLeft w:val="1166"/>
          <w:marRight w:val="0"/>
          <w:marTop w:val="0"/>
          <w:marBottom w:val="0"/>
          <w:divBdr>
            <w:top w:val="none" w:sz="0" w:space="0" w:color="auto"/>
            <w:left w:val="none" w:sz="0" w:space="0" w:color="auto"/>
            <w:bottom w:val="none" w:sz="0" w:space="0" w:color="auto"/>
            <w:right w:val="none" w:sz="0" w:space="0" w:color="auto"/>
          </w:divBdr>
        </w:div>
        <w:div w:id="143936848">
          <w:marLeft w:val="1166"/>
          <w:marRight w:val="0"/>
          <w:marTop w:val="0"/>
          <w:marBottom w:val="0"/>
          <w:divBdr>
            <w:top w:val="none" w:sz="0" w:space="0" w:color="auto"/>
            <w:left w:val="none" w:sz="0" w:space="0" w:color="auto"/>
            <w:bottom w:val="none" w:sz="0" w:space="0" w:color="auto"/>
            <w:right w:val="none" w:sz="0" w:space="0" w:color="auto"/>
          </w:divBdr>
        </w:div>
        <w:div w:id="430275880">
          <w:marLeft w:val="1166"/>
          <w:marRight w:val="0"/>
          <w:marTop w:val="0"/>
          <w:marBottom w:val="0"/>
          <w:divBdr>
            <w:top w:val="none" w:sz="0" w:space="0" w:color="auto"/>
            <w:left w:val="none" w:sz="0" w:space="0" w:color="auto"/>
            <w:bottom w:val="none" w:sz="0" w:space="0" w:color="auto"/>
            <w:right w:val="none" w:sz="0" w:space="0" w:color="auto"/>
          </w:divBdr>
        </w:div>
        <w:div w:id="275718867">
          <w:marLeft w:val="1166"/>
          <w:marRight w:val="0"/>
          <w:marTop w:val="0"/>
          <w:marBottom w:val="0"/>
          <w:divBdr>
            <w:top w:val="none" w:sz="0" w:space="0" w:color="auto"/>
            <w:left w:val="none" w:sz="0" w:space="0" w:color="auto"/>
            <w:bottom w:val="none" w:sz="0" w:space="0" w:color="auto"/>
            <w:right w:val="none" w:sz="0" w:space="0" w:color="auto"/>
          </w:divBdr>
        </w:div>
      </w:divsChild>
    </w:div>
    <w:div w:id="206355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AA3A8-2512-4B74-B715-FDF3DC76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Pages>
  <Words>1405</Words>
  <Characters>8010</Characters>
  <Application>Microsoft Office Word</Application>
  <DocSecurity>0</DocSecurity>
  <Lines>66</Lines>
  <Paragraphs>18</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Bengoa, Maria</dc:creator>
  <cp:lastModifiedBy>Naimeng Liu</cp:lastModifiedBy>
  <cp:revision>92</cp:revision>
  <dcterms:created xsi:type="dcterms:W3CDTF">2023-06-16T11:24:00Z</dcterms:created>
  <dcterms:modified xsi:type="dcterms:W3CDTF">2023-11-21T09:36:00Z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http://www.zotero.org/styles/cell</vt:lpwstr>
  </property>
  <property fmtid="{D5CDD505-2E9C-101B-9397-08002B2CF9AE}" pid="9" name="Mendeley Recent Style Name 3_1">
    <vt:lpwstr>Cell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http://www.zotero.org/styles/frontiers-in-microbiology</vt:lpwstr>
  </property>
  <property fmtid="{D5CDD505-2E9C-101B-9397-08002B2CF9AE}" pid="15" name="Mendeley Recent Style Name 6_1">
    <vt:lpwstr>Frontiers in Microbiology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327576b8-eaa4-3f07-b318-38c8397df6bc</vt:lpwstr>
  </property>
  <property fmtid="{D5CDD505-2E9C-101B-9397-08002B2CF9AE}" pid="24" name="Mendeley Citation Style_1">
    <vt:lpwstr>http://www.zotero.org/styles/chicago-author-date</vt:lpwstr>
  </property>
</Properties>
</file>