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7286" w14:textId="7E3E0210" w:rsidR="00C9113F" w:rsidRPr="00C9113F" w:rsidRDefault="00C9113F" w:rsidP="008A48A8">
      <w:pPr>
        <w:pStyle w:val="Ttulo1"/>
        <w:spacing w:before="0"/>
        <w:rPr>
          <w:i/>
          <w:iCs/>
          <w:sz w:val="22"/>
          <w:szCs w:val="22"/>
        </w:rPr>
      </w:pPr>
      <w:r w:rsidRPr="00C9113F">
        <w:rPr>
          <w:i/>
          <w:iCs/>
          <w:sz w:val="22"/>
          <w:szCs w:val="22"/>
        </w:rPr>
        <w:t xml:space="preserve">Editor´s note: </w:t>
      </w:r>
      <w:r w:rsidRPr="00C9113F">
        <w:rPr>
          <w:i/>
          <w:iCs/>
          <w:sz w:val="22"/>
          <w:szCs w:val="22"/>
        </w:rPr>
        <w:t xml:space="preserve">This translation in </w:t>
      </w:r>
      <w:r w:rsidRPr="00C9113F">
        <w:rPr>
          <w:i/>
          <w:iCs/>
          <w:sz w:val="22"/>
          <w:szCs w:val="22"/>
        </w:rPr>
        <w:t>Spanish</w:t>
      </w:r>
      <w:r w:rsidRPr="00C9113F">
        <w:rPr>
          <w:i/>
          <w:iCs/>
          <w:sz w:val="22"/>
          <w:szCs w:val="22"/>
        </w:rPr>
        <w:t xml:space="preserve"> was submitted by the authors and we reproduce it as supplied. It has not been peer reviewed. Our editorial processes have only been applied to the original abstract in English, which should serve as reference for this manuscript.</w:t>
      </w:r>
    </w:p>
    <w:p w14:paraId="1E999844" w14:textId="77777777" w:rsidR="00C9113F" w:rsidRPr="00C9113F" w:rsidRDefault="00C9113F" w:rsidP="00C9113F">
      <w:pPr>
        <w:rPr>
          <w:lang w:val="en-US"/>
        </w:rPr>
      </w:pPr>
    </w:p>
    <w:p w14:paraId="63693650" w14:textId="1030C7FA" w:rsidR="008A48A8" w:rsidRPr="007F22B9" w:rsidRDefault="008A48A8" w:rsidP="008A48A8">
      <w:pPr>
        <w:pStyle w:val="Ttulo1"/>
        <w:spacing w:before="0"/>
        <w:rPr>
          <w:lang w:val="es-MX"/>
        </w:rPr>
      </w:pPr>
      <w:r w:rsidRPr="007F22B9">
        <w:rPr>
          <w:rFonts w:ascii="Calibri Light" w:eastAsia="Calibri Light" w:hAnsi="Calibri Light" w:cs="Calibri Light"/>
          <w:color w:val="2E74B5" w:themeColor="accent5" w:themeShade="BF"/>
          <w:lang w:val="es-MX"/>
        </w:rPr>
        <w:t>Resumen</w:t>
      </w:r>
    </w:p>
    <w:p w14:paraId="565574C0" w14:textId="77777777" w:rsidR="008A48A8" w:rsidRPr="007F22B9" w:rsidRDefault="00E45752" w:rsidP="008A48A8">
      <w:pPr>
        <w:pStyle w:val="Ttulo2"/>
        <w:rPr>
          <w:rStyle w:val="Ttulo2Char"/>
          <w:b/>
          <w:lang w:val="es-MX"/>
        </w:rPr>
      </w:pPr>
      <w:r w:rsidRPr="007F22B9">
        <w:rPr>
          <w:rStyle w:val="Ttulo2Char"/>
          <w:lang w:val="es-MX"/>
        </w:rPr>
        <w:t>Pre</w:t>
      </w:r>
      <w:r>
        <w:rPr>
          <w:rStyle w:val="Ttulo2Char"/>
          <w:lang w:val="es-MX"/>
        </w:rPr>
        <w:t>ámbulo</w:t>
      </w:r>
      <w:r w:rsidR="008A48A8" w:rsidRPr="007F22B9">
        <w:rPr>
          <w:rStyle w:val="Ttulo2Char"/>
          <w:lang w:val="es-MX"/>
        </w:rPr>
        <w:t xml:space="preserve"> </w:t>
      </w:r>
    </w:p>
    <w:p w14:paraId="276CD3DA" w14:textId="77777777" w:rsidR="003E2D90" w:rsidRPr="007F22B9" w:rsidRDefault="008A48A8" w:rsidP="008A48A8">
      <w:pPr>
        <w:rPr>
          <w:lang w:val="es-MX"/>
        </w:rPr>
      </w:pPr>
      <w:r w:rsidRPr="007F22B9">
        <w:rPr>
          <w:lang w:val="es-MX"/>
        </w:rPr>
        <w:t xml:space="preserve">La Resistencia a los Antimicrobianos (RAM) es un reto urgente en la salud </w:t>
      </w:r>
      <w:r w:rsidR="00E45752" w:rsidRPr="007F22B9">
        <w:rPr>
          <w:lang w:val="es-MX"/>
        </w:rPr>
        <w:t>pública</w:t>
      </w:r>
      <w:r w:rsidRPr="007F22B9">
        <w:rPr>
          <w:lang w:val="es-MX"/>
        </w:rPr>
        <w:t xml:space="preserve"> mundial y</w:t>
      </w:r>
      <w:r w:rsidR="00E45752">
        <w:rPr>
          <w:lang w:val="es-MX"/>
        </w:rPr>
        <w:t xml:space="preserve">a que representa </w:t>
      </w:r>
      <w:r w:rsidRPr="007F22B9">
        <w:rPr>
          <w:lang w:val="es-MX"/>
        </w:rPr>
        <w:t xml:space="preserve">una amenaza </w:t>
      </w:r>
      <w:r w:rsidR="00E45752" w:rsidRPr="007F22B9">
        <w:rPr>
          <w:lang w:val="es-MX"/>
        </w:rPr>
        <w:t>crítica</w:t>
      </w:r>
      <w:r w:rsidRPr="007F22B9">
        <w:rPr>
          <w:lang w:val="es-MX"/>
        </w:rPr>
        <w:t xml:space="preserve"> a</w:t>
      </w:r>
      <w:r w:rsidR="00892E5A" w:rsidRPr="007F22B9">
        <w:rPr>
          <w:lang w:val="es-MX"/>
        </w:rPr>
        <w:t xml:space="preserve"> la </w:t>
      </w:r>
      <w:r w:rsidR="00AB03D1" w:rsidRPr="007F22B9">
        <w:rPr>
          <w:lang w:val="es-MX"/>
        </w:rPr>
        <w:t>provisión</w:t>
      </w:r>
      <w:r w:rsidR="00892E5A" w:rsidRPr="007F22B9">
        <w:rPr>
          <w:lang w:val="es-MX"/>
        </w:rPr>
        <w:t xml:space="preserve"> moderna de </w:t>
      </w:r>
      <w:r w:rsidR="00AB03D1" w:rsidRPr="007F22B9">
        <w:rPr>
          <w:lang w:val="es-MX"/>
        </w:rPr>
        <w:t xml:space="preserve">la </w:t>
      </w:r>
      <w:r w:rsidR="00892E5A" w:rsidRPr="007F22B9">
        <w:rPr>
          <w:lang w:val="es-MX"/>
        </w:rPr>
        <w:t>salud</w:t>
      </w:r>
      <w:r w:rsidRPr="007F22B9">
        <w:rPr>
          <w:lang w:val="es-MX"/>
        </w:rPr>
        <w:t xml:space="preserve">. </w:t>
      </w:r>
      <w:r w:rsidR="00E45752">
        <w:rPr>
          <w:lang w:val="es-MX"/>
        </w:rPr>
        <w:t xml:space="preserve">La cuantificación de </w:t>
      </w:r>
      <w:r w:rsidRPr="007F22B9">
        <w:rPr>
          <w:lang w:val="es-MX"/>
        </w:rPr>
        <w:t xml:space="preserve">la carga de </w:t>
      </w:r>
      <w:r w:rsidR="00E45752">
        <w:rPr>
          <w:lang w:val="es-MX"/>
        </w:rPr>
        <w:t xml:space="preserve">enfermedad originada por de </w:t>
      </w:r>
      <w:r w:rsidRPr="007F22B9">
        <w:rPr>
          <w:lang w:val="es-MX"/>
        </w:rPr>
        <w:t xml:space="preserve">la RAM en la </w:t>
      </w:r>
      <w:r w:rsidR="00AB03D1" w:rsidRPr="007F22B9">
        <w:rPr>
          <w:lang w:val="es-MX"/>
        </w:rPr>
        <w:t>Región</w:t>
      </w:r>
      <w:r w:rsidRPr="007F22B9">
        <w:rPr>
          <w:lang w:val="es-MX"/>
        </w:rPr>
        <w:t xml:space="preserve"> de las </w:t>
      </w:r>
      <w:r w:rsidR="00AB03D1" w:rsidRPr="007F22B9">
        <w:rPr>
          <w:lang w:val="es-MX"/>
        </w:rPr>
        <w:t>Américas</w:t>
      </w:r>
      <w:r w:rsidRPr="007F22B9">
        <w:rPr>
          <w:lang w:val="es-MX"/>
        </w:rPr>
        <w:t xml:space="preserve">, </w:t>
      </w:r>
      <w:r w:rsidR="00AB03D1" w:rsidRPr="007F22B9">
        <w:rPr>
          <w:lang w:val="es-MX"/>
        </w:rPr>
        <w:t>según</w:t>
      </w:r>
      <w:r w:rsidRPr="007F22B9">
        <w:rPr>
          <w:lang w:val="es-MX"/>
        </w:rPr>
        <w:t xml:space="preserve"> es definida por la </w:t>
      </w:r>
      <w:r w:rsidR="00AB03D1" w:rsidRPr="007F22B9">
        <w:rPr>
          <w:lang w:val="es-MX"/>
        </w:rPr>
        <w:t>Organización</w:t>
      </w:r>
      <w:r w:rsidRPr="007F22B9">
        <w:rPr>
          <w:lang w:val="es-MX"/>
        </w:rPr>
        <w:t xml:space="preserve"> Mundial de la Salud</w:t>
      </w:r>
      <w:r w:rsidR="00892E5A" w:rsidRPr="007F22B9">
        <w:rPr>
          <w:lang w:val="es-MX"/>
        </w:rPr>
        <w:t xml:space="preserve"> (OMS)</w:t>
      </w:r>
      <w:r w:rsidRPr="007F22B9">
        <w:rPr>
          <w:lang w:val="es-MX"/>
        </w:rPr>
        <w:t xml:space="preserve">, ha sido elusiva, a pesar de la larga historia de vigilancia de la RAM en la </w:t>
      </w:r>
      <w:r w:rsidR="00AB03D1" w:rsidRPr="007F22B9">
        <w:rPr>
          <w:lang w:val="es-MX"/>
        </w:rPr>
        <w:t>región</w:t>
      </w:r>
      <w:r w:rsidRPr="007F22B9">
        <w:rPr>
          <w:lang w:val="es-MX"/>
        </w:rPr>
        <w:t xml:space="preserve">. Este </w:t>
      </w:r>
      <w:r w:rsidR="00AB03D1" w:rsidRPr="007F22B9">
        <w:rPr>
          <w:lang w:val="es-MX"/>
        </w:rPr>
        <w:t>e</w:t>
      </w:r>
      <w:r w:rsidRPr="007F22B9">
        <w:rPr>
          <w:lang w:val="es-MX"/>
        </w:rPr>
        <w:t xml:space="preserve">studio proporciona estimaciones </w:t>
      </w:r>
      <w:r w:rsidR="006B70D7" w:rsidRPr="007F22B9">
        <w:rPr>
          <w:lang w:val="es-MX"/>
        </w:rPr>
        <w:t>compre</w:t>
      </w:r>
      <w:r w:rsidR="00AB03D1" w:rsidRPr="007F22B9">
        <w:rPr>
          <w:lang w:val="es-MX"/>
        </w:rPr>
        <w:t>he</w:t>
      </w:r>
      <w:r w:rsidR="006B70D7" w:rsidRPr="007F22B9">
        <w:rPr>
          <w:lang w:val="es-MX"/>
        </w:rPr>
        <w:t xml:space="preserve">nsivas de la </w:t>
      </w:r>
      <w:r w:rsidR="00892E5A" w:rsidRPr="007F22B9">
        <w:rPr>
          <w:lang w:val="es-MX"/>
        </w:rPr>
        <w:t xml:space="preserve">carga de </w:t>
      </w:r>
      <w:r w:rsidR="006B70D7" w:rsidRPr="007F22B9">
        <w:rPr>
          <w:lang w:val="es-MX"/>
        </w:rPr>
        <w:t xml:space="preserve">la RAM en las </w:t>
      </w:r>
      <w:r w:rsidR="00AB03D1" w:rsidRPr="007F22B9">
        <w:rPr>
          <w:lang w:val="es-MX"/>
        </w:rPr>
        <w:t>Américas</w:t>
      </w:r>
      <w:r w:rsidR="006B70D7" w:rsidRPr="007F22B9">
        <w:rPr>
          <w:lang w:val="es-MX"/>
        </w:rPr>
        <w:t xml:space="preserve"> con el fin de evaluar </w:t>
      </w:r>
      <w:r w:rsidR="00892E5A" w:rsidRPr="007F22B9">
        <w:rPr>
          <w:lang w:val="es-MX"/>
        </w:rPr>
        <w:t xml:space="preserve">la amenaza </w:t>
      </w:r>
      <w:r w:rsidR="006B70D7" w:rsidRPr="007F22B9">
        <w:rPr>
          <w:lang w:val="es-MX"/>
        </w:rPr>
        <w:t>creciente</w:t>
      </w:r>
      <w:r w:rsidR="00892E5A" w:rsidRPr="007F22B9">
        <w:rPr>
          <w:lang w:val="es-MX"/>
        </w:rPr>
        <w:t xml:space="preserve"> que la RAM representa</w:t>
      </w:r>
      <w:r w:rsidR="006B70D7" w:rsidRPr="007F22B9">
        <w:rPr>
          <w:lang w:val="es-MX"/>
        </w:rPr>
        <w:t>.</w:t>
      </w:r>
    </w:p>
    <w:p w14:paraId="15080D77" w14:textId="77777777" w:rsidR="006B70D7" w:rsidRPr="007F22B9" w:rsidRDefault="00AB03D1" w:rsidP="00E45752">
      <w:pPr>
        <w:pStyle w:val="Ttulo2"/>
        <w:rPr>
          <w:lang w:val="es-MX"/>
        </w:rPr>
      </w:pPr>
      <w:r w:rsidRPr="007F22B9">
        <w:rPr>
          <w:rStyle w:val="Ttulo2Char"/>
          <w:lang w:val="es-MX"/>
        </w:rPr>
        <w:t>Métodos</w:t>
      </w:r>
    </w:p>
    <w:p w14:paraId="70F95BB4" w14:textId="77777777" w:rsidR="006B70D7" w:rsidRPr="007F22B9" w:rsidRDefault="006B70D7" w:rsidP="000B371D">
      <w:pPr>
        <w:rPr>
          <w:lang w:val="es-MX"/>
        </w:rPr>
      </w:pPr>
      <w:r w:rsidRPr="007F22B9">
        <w:rPr>
          <w:lang w:val="es-MX"/>
        </w:rPr>
        <w:t xml:space="preserve">Estimamos el </w:t>
      </w:r>
      <w:r w:rsidR="00E45752" w:rsidRPr="007F22B9">
        <w:rPr>
          <w:lang w:val="es-MX"/>
        </w:rPr>
        <w:t>número</w:t>
      </w:r>
      <w:r w:rsidRPr="007F22B9">
        <w:rPr>
          <w:lang w:val="es-MX"/>
        </w:rPr>
        <w:t xml:space="preserve"> de muertes y </w:t>
      </w:r>
      <w:r w:rsidR="00B045E0" w:rsidRPr="007F22B9">
        <w:rPr>
          <w:lang w:val="es-MX"/>
        </w:rPr>
        <w:t>años</w:t>
      </w:r>
      <w:r w:rsidRPr="007F22B9">
        <w:rPr>
          <w:lang w:val="es-MX"/>
        </w:rPr>
        <w:t xml:space="preserve"> de vida ajustados por discapacidad </w:t>
      </w:r>
      <w:r w:rsidR="00892E5A" w:rsidRPr="007F22B9">
        <w:rPr>
          <w:lang w:val="es-MX"/>
        </w:rPr>
        <w:t xml:space="preserve">(AVAD) </w:t>
      </w:r>
      <w:r w:rsidRPr="007F22B9">
        <w:rPr>
          <w:lang w:val="es-MX"/>
        </w:rPr>
        <w:t>atribuible</w:t>
      </w:r>
      <w:r w:rsidR="00892E5A" w:rsidRPr="007F22B9">
        <w:rPr>
          <w:lang w:val="es-MX"/>
        </w:rPr>
        <w:t>s</w:t>
      </w:r>
      <w:r w:rsidRPr="007F22B9">
        <w:rPr>
          <w:lang w:val="es-MX"/>
        </w:rPr>
        <w:t xml:space="preserve"> y asociad</w:t>
      </w:r>
      <w:r w:rsidR="00E45752">
        <w:rPr>
          <w:lang w:val="es-MX"/>
        </w:rPr>
        <w:t>o</w:t>
      </w:r>
      <w:r w:rsidR="00892E5A" w:rsidRPr="007F22B9">
        <w:rPr>
          <w:lang w:val="es-MX"/>
        </w:rPr>
        <w:t>s</w:t>
      </w:r>
      <w:r w:rsidRPr="007F22B9">
        <w:rPr>
          <w:lang w:val="es-MX"/>
        </w:rPr>
        <w:t xml:space="preserve"> con la RAM de 23 </w:t>
      </w:r>
      <w:r w:rsidR="0059766E" w:rsidRPr="007F22B9">
        <w:rPr>
          <w:lang w:val="es-MX"/>
        </w:rPr>
        <w:t>patógenos</w:t>
      </w:r>
      <w:r w:rsidR="00892E5A" w:rsidRPr="007F22B9">
        <w:rPr>
          <w:lang w:val="es-MX"/>
        </w:rPr>
        <w:t xml:space="preserve"> bacteria</w:t>
      </w:r>
      <w:r w:rsidR="00E45752">
        <w:rPr>
          <w:lang w:val="es-MX"/>
        </w:rPr>
        <w:t>nos</w:t>
      </w:r>
      <w:r w:rsidR="00892E5A" w:rsidRPr="007F22B9">
        <w:rPr>
          <w:lang w:val="es-MX"/>
        </w:rPr>
        <w:t xml:space="preserve"> y 88 pares de </w:t>
      </w:r>
      <w:r w:rsidR="00AB03D1" w:rsidRPr="007F22B9">
        <w:rPr>
          <w:lang w:val="es-MX"/>
        </w:rPr>
        <w:t>patógeno</w:t>
      </w:r>
      <w:r w:rsidR="00892E5A" w:rsidRPr="007F22B9">
        <w:rPr>
          <w:lang w:val="es-MX"/>
        </w:rPr>
        <w:t>-</w:t>
      </w:r>
      <w:r w:rsidR="00AB03D1" w:rsidRPr="007F22B9">
        <w:rPr>
          <w:lang w:val="es-MX"/>
        </w:rPr>
        <w:t>antibiótico</w:t>
      </w:r>
      <w:r w:rsidR="00892E5A" w:rsidRPr="007F22B9">
        <w:rPr>
          <w:lang w:val="es-MX"/>
        </w:rPr>
        <w:t xml:space="preserve"> para los </w:t>
      </w:r>
      <w:r w:rsidR="00AB03D1" w:rsidRPr="007F22B9">
        <w:rPr>
          <w:lang w:val="es-MX"/>
        </w:rPr>
        <w:t>países</w:t>
      </w:r>
      <w:r w:rsidR="00892E5A" w:rsidRPr="007F22B9">
        <w:rPr>
          <w:lang w:val="es-MX"/>
        </w:rPr>
        <w:t xml:space="preserve"> de la </w:t>
      </w:r>
      <w:r w:rsidR="00AB03D1" w:rsidRPr="007F22B9">
        <w:rPr>
          <w:lang w:val="es-MX"/>
        </w:rPr>
        <w:t>Región</w:t>
      </w:r>
      <w:r w:rsidR="00892E5A" w:rsidRPr="007F22B9">
        <w:rPr>
          <w:lang w:val="es-MX"/>
        </w:rPr>
        <w:t xml:space="preserve"> de las </w:t>
      </w:r>
      <w:r w:rsidR="00AB03D1" w:rsidRPr="007F22B9">
        <w:rPr>
          <w:lang w:val="es-MX"/>
        </w:rPr>
        <w:t>Américas</w:t>
      </w:r>
      <w:r w:rsidR="00892E5A" w:rsidRPr="007F22B9">
        <w:rPr>
          <w:lang w:val="es-MX"/>
        </w:rPr>
        <w:t>. Obtuvimos datos de registros de mortalidad, sistemas de vigilancia, sistemas hospitalarios, revision</w:t>
      </w:r>
      <w:r w:rsidR="00AB03D1" w:rsidRPr="007F22B9">
        <w:rPr>
          <w:lang w:val="es-MX"/>
        </w:rPr>
        <w:t>e</w:t>
      </w:r>
      <w:r w:rsidR="00892E5A" w:rsidRPr="007F22B9">
        <w:rPr>
          <w:lang w:val="es-MX"/>
        </w:rPr>
        <w:t xml:space="preserve">s </w:t>
      </w:r>
      <w:r w:rsidR="00AB03D1" w:rsidRPr="007F22B9">
        <w:rPr>
          <w:lang w:val="es-MX"/>
        </w:rPr>
        <w:t>sistemáticas</w:t>
      </w:r>
      <w:r w:rsidR="00892E5A" w:rsidRPr="007F22B9">
        <w:rPr>
          <w:lang w:val="es-MX"/>
        </w:rPr>
        <w:t xml:space="preserve"> de literatur</w:t>
      </w:r>
      <w:r w:rsidR="00AB03D1" w:rsidRPr="007F22B9">
        <w:rPr>
          <w:lang w:val="es-MX"/>
        </w:rPr>
        <w:t>a</w:t>
      </w:r>
      <w:r w:rsidR="00892E5A" w:rsidRPr="007F22B9">
        <w:rPr>
          <w:lang w:val="es-MX"/>
        </w:rPr>
        <w:t xml:space="preserve"> y otras fuentes de </w:t>
      </w:r>
      <w:r w:rsidR="00AB03D1" w:rsidRPr="007F22B9">
        <w:rPr>
          <w:lang w:val="es-MX"/>
        </w:rPr>
        <w:t>información</w:t>
      </w:r>
      <w:r w:rsidR="00892E5A" w:rsidRPr="007F22B9">
        <w:rPr>
          <w:lang w:val="es-MX"/>
        </w:rPr>
        <w:t xml:space="preserve">, y usamos modelos de </w:t>
      </w:r>
      <w:r w:rsidR="00AB03D1" w:rsidRPr="007F22B9">
        <w:rPr>
          <w:lang w:val="es-MX"/>
        </w:rPr>
        <w:t>predicción</w:t>
      </w:r>
      <w:r w:rsidR="00892E5A" w:rsidRPr="007F22B9">
        <w:rPr>
          <w:lang w:val="es-MX"/>
        </w:rPr>
        <w:t xml:space="preserve"> </w:t>
      </w:r>
      <w:r w:rsidR="00AB03D1" w:rsidRPr="007F22B9">
        <w:rPr>
          <w:lang w:val="es-MX"/>
        </w:rPr>
        <w:t>estadística</w:t>
      </w:r>
      <w:r w:rsidR="00892E5A" w:rsidRPr="007F22B9">
        <w:rPr>
          <w:lang w:val="es-MX"/>
        </w:rPr>
        <w:t xml:space="preserve"> para </w:t>
      </w:r>
      <w:r w:rsidR="00AB03D1" w:rsidRPr="007F22B9">
        <w:rPr>
          <w:lang w:val="es-MX"/>
        </w:rPr>
        <w:t>producir</w:t>
      </w:r>
      <w:r w:rsidR="00892E5A" w:rsidRPr="007F22B9">
        <w:rPr>
          <w:lang w:val="es-MX"/>
        </w:rPr>
        <w:t xml:space="preserve"> estimaciones de la carga de </w:t>
      </w:r>
      <w:r w:rsidR="00E45752">
        <w:rPr>
          <w:lang w:val="es-MX"/>
        </w:rPr>
        <w:t xml:space="preserve">enfermedad originada por </w:t>
      </w:r>
      <w:r w:rsidR="00892E5A" w:rsidRPr="007F22B9">
        <w:rPr>
          <w:lang w:val="es-MX"/>
        </w:rPr>
        <w:t xml:space="preserve">la RAM </w:t>
      </w:r>
      <w:r w:rsidR="00E45752">
        <w:rPr>
          <w:lang w:val="es-MX"/>
        </w:rPr>
        <w:t xml:space="preserve">en </w:t>
      </w:r>
      <w:r w:rsidR="00AB03D1" w:rsidRPr="007F22B9">
        <w:rPr>
          <w:lang w:val="es-MX"/>
        </w:rPr>
        <w:t xml:space="preserve">los países de las Américas. Cinco componentes fueron la espina dorsal de nuestras estimaciones:  el </w:t>
      </w:r>
      <w:r w:rsidR="00E45752" w:rsidRPr="007F22B9">
        <w:rPr>
          <w:lang w:val="es-MX"/>
        </w:rPr>
        <w:t>número</w:t>
      </w:r>
      <w:r w:rsidR="00AB03D1" w:rsidRPr="007F22B9">
        <w:rPr>
          <w:lang w:val="es-MX"/>
        </w:rPr>
        <w:t xml:space="preserve"> de muertes en las que una infección estuvo presente, la proporción de </w:t>
      </w:r>
      <w:r w:rsidR="00855B79" w:rsidRPr="007F22B9">
        <w:rPr>
          <w:lang w:val="es-MX"/>
        </w:rPr>
        <w:t>es</w:t>
      </w:r>
      <w:r w:rsidR="00AB03D1" w:rsidRPr="007F22B9">
        <w:rPr>
          <w:lang w:val="es-MX"/>
        </w:rPr>
        <w:t>as muertes</w:t>
      </w:r>
      <w:r w:rsidR="00855B79" w:rsidRPr="007F22B9">
        <w:rPr>
          <w:lang w:val="es-MX"/>
        </w:rPr>
        <w:t xml:space="preserve"> que </w:t>
      </w:r>
      <w:r w:rsidR="00E45752">
        <w:rPr>
          <w:lang w:val="es-MX"/>
        </w:rPr>
        <w:t xml:space="preserve">se originaron por </w:t>
      </w:r>
      <w:r w:rsidR="00855B79" w:rsidRPr="007F22B9">
        <w:rPr>
          <w:lang w:val="es-MX"/>
        </w:rPr>
        <w:t xml:space="preserve">cada síndrome infeccioso, la </w:t>
      </w:r>
      <w:r w:rsidR="000B371D" w:rsidRPr="007F22B9">
        <w:rPr>
          <w:lang w:val="es-MX"/>
        </w:rPr>
        <w:t>proporción</w:t>
      </w:r>
      <w:r w:rsidR="00855B79" w:rsidRPr="007F22B9">
        <w:rPr>
          <w:lang w:val="es-MX"/>
        </w:rPr>
        <w:t xml:space="preserve"> de las muertes en cada síndrome infeccioso que son atribuibles a cada </w:t>
      </w:r>
      <w:r w:rsidR="000B371D" w:rsidRPr="007F22B9">
        <w:rPr>
          <w:lang w:val="es-MX"/>
        </w:rPr>
        <w:t>patógeno</w:t>
      </w:r>
      <w:r w:rsidR="00855B79" w:rsidRPr="007F22B9">
        <w:rPr>
          <w:lang w:val="es-MX"/>
        </w:rPr>
        <w:t xml:space="preserve">, la proporción de los </w:t>
      </w:r>
      <w:r w:rsidR="000B371D" w:rsidRPr="007F22B9">
        <w:rPr>
          <w:lang w:val="es-MX"/>
        </w:rPr>
        <w:t>patógenos</w:t>
      </w:r>
      <w:r w:rsidR="00855B79" w:rsidRPr="007F22B9">
        <w:rPr>
          <w:lang w:val="es-MX"/>
        </w:rPr>
        <w:t xml:space="preserve"> resistentes a cada clase de </w:t>
      </w:r>
      <w:r w:rsidR="000B371D" w:rsidRPr="007F22B9">
        <w:rPr>
          <w:lang w:val="es-MX"/>
        </w:rPr>
        <w:t>antibiótico</w:t>
      </w:r>
      <w:r w:rsidR="00855B79" w:rsidRPr="007F22B9">
        <w:rPr>
          <w:lang w:val="es-MX"/>
        </w:rPr>
        <w:t xml:space="preserve">, y la mortalidad en exceso (o la duración en exceso de la infección) </w:t>
      </w:r>
      <w:r w:rsidR="000B371D" w:rsidRPr="007F22B9">
        <w:rPr>
          <w:lang w:val="es-MX"/>
        </w:rPr>
        <w:t>asociada</w:t>
      </w:r>
      <w:r w:rsidR="00855B79" w:rsidRPr="007F22B9">
        <w:rPr>
          <w:lang w:val="es-MX"/>
        </w:rPr>
        <w:t xml:space="preserve"> con esta resistencia. </w:t>
      </w:r>
      <w:r w:rsidR="00B045E0" w:rsidRPr="007F22B9">
        <w:rPr>
          <w:lang w:val="es-MX"/>
        </w:rPr>
        <w:t>Después</w:t>
      </w:r>
      <w:r w:rsidR="00855B79" w:rsidRPr="007F22B9">
        <w:rPr>
          <w:lang w:val="es-MX"/>
        </w:rPr>
        <w:t xml:space="preserve"> usamos estos componentes para estimar la carga de enfermedad </w:t>
      </w:r>
      <w:r w:rsidR="00B045E0" w:rsidRPr="007F22B9">
        <w:rPr>
          <w:lang w:val="es-MX"/>
        </w:rPr>
        <w:t>definiendo</w:t>
      </w:r>
      <w:r w:rsidR="00855B79" w:rsidRPr="007F22B9">
        <w:rPr>
          <w:lang w:val="es-MX"/>
        </w:rPr>
        <w:t xml:space="preserve"> dos escenarios: las muertes atribuibles a la RAM (comparadas con un escenario alternativo en el que todas las </w:t>
      </w:r>
      <w:r w:rsidR="00435CF0" w:rsidRPr="007F22B9">
        <w:rPr>
          <w:lang w:val="es-MX"/>
        </w:rPr>
        <w:t xml:space="preserve">infecciones resistentes son reemplazadas por infecciones susceptibles), y las muertes </w:t>
      </w:r>
      <w:r w:rsidR="00B045E0" w:rsidRPr="007F22B9">
        <w:rPr>
          <w:lang w:val="es-MX"/>
        </w:rPr>
        <w:t>asociadas</w:t>
      </w:r>
      <w:r w:rsidR="00435CF0" w:rsidRPr="007F22B9">
        <w:rPr>
          <w:lang w:val="es-MX"/>
        </w:rPr>
        <w:t xml:space="preserve"> a la RAM (comparadas con un escenario alternativo en el que las infecciones resistentes no ocurren). Generamos intervalos de </w:t>
      </w:r>
      <w:r w:rsidR="000B371D" w:rsidRPr="007F22B9">
        <w:rPr>
          <w:lang w:val="es-MX"/>
        </w:rPr>
        <w:t xml:space="preserve">incertidumbre </w:t>
      </w:r>
      <w:r w:rsidR="00435CF0" w:rsidRPr="007F22B9">
        <w:rPr>
          <w:lang w:val="es-MX"/>
        </w:rPr>
        <w:t>(I</w:t>
      </w:r>
      <w:r w:rsidR="000B371D" w:rsidRPr="007F22B9">
        <w:rPr>
          <w:lang w:val="es-MX"/>
        </w:rPr>
        <w:t>I</w:t>
      </w:r>
      <w:r w:rsidR="00435CF0" w:rsidRPr="007F22B9">
        <w:rPr>
          <w:lang w:val="es-MX"/>
        </w:rPr>
        <w:t xml:space="preserve">) </w:t>
      </w:r>
      <w:r w:rsidR="00E45752">
        <w:rPr>
          <w:lang w:val="es-MX"/>
        </w:rPr>
        <w:t xml:space="preserve">con el </w:t>
      </w:r>
      <w:r w:rsidR="00435CF0" w:rsidRPr="007F22B9">
        <w:rPr>
          <w:lang w:val="es-MX"/>
        </w:rPr>
        <w:t xml:space="preserve">25th y 975th de los valores ordenados a lo largo de 1000 </w:t>
      </w:r>
      <w:r w:rsidR="000B371D" w:rsidRPr="00E45752">
        <w:rPr>
          <w:lang w:val="es-MX"/>
        </w:rPr>
        <w:t>distribuciones</w:t>
      </w:r>
      <w:r w:rsidR="000B371D" w:rsidRPr="007F22B9">
        <w:rPr>
          <w:lang w:val="es-MX"/>
        </w:rPr>
        <w:t xml:space="preserve"> posteriores, y los modelos fueron validados de acuerdo con su </w:t>
      </w:r>
      <w:r w:rsidR="00B045E0" w:rsidRPr="007F22B9">
        <w:rPr>
          <w:lang w:val="es-MX"/>
        </w:rPr>
        <w:t>desempeño</w:t>
      </w:r>
      <w:r w:rsidR="000B371D" w:rsidRPr="007F22B9">
        <w:rPr>
          <w:lang w:val="es-MX"/>
        </w:rPr>
        <w:t xml:space="preserve"> en predecir estimaciones fuera de muestra. </w:t>
      </w:r>
    </w:p>
    <w:p w14:paraId="2940018D" w14:textId="77777777" w:rsidR="000B371D" w:rsidRPr="007F22B9" w:rsidRDefault="000B371D" w:rsidP="007B7BC4">
      <w:pPr>
        <w:pStyle w:val="Ttulo2"/>
        <w:rPr>
          <w:lang w:val="es-MX"/>
        </w:rPr>
      </w:pPr>
      <w:r w:rsidRPr="007F22B9">
        <w:rPr>
          <w:rStyle w:val="Ttulo2Char"/>
          <w:lang w:val="es-MX"/>
        </w:rPr>
        <w:t>Resultados</w:t>
      </w:r>
    </w:p>
    <w:p w14:paraId="17884D20" w14:textId="033FF76F" w:rsidR="000B371D" w:rsidRPr="007F22B9" w:rsidRDefault="000B371D" w:rsidP="000B371D">
      <w:pPr>
        <w:rPr>
          <w:lang w:val="es-MX"/>
        </w:rPr>
      </w:pPr>
      <w:r w:rsidRPr="007F22B9">
        <w:rPr>
          <w:lang w:val="es-MX"/>
        </w:rPr>
        <w:t>Estimamos 569 000 muertes (95% II 406 000–771 000) asociadas</w:t>
      </w:r>
      <w:r w:rsidR="00B045E0" w:rsidRPr="007F22B9">
        <w:rPr>
          <w:lang w:val="es-MX"/>
        </w:rPr>
        <w:t xml:space="preserve"> y 141 000 muertes</w:t>
      </w:r>
      <w:r w:rsidRPr="007F22B9">
        <w:rPr>
          <w:lang w:val="es-MX"/>
        </w:rPr>
        <w:t xml:space="preserve"> (</w:t>
      </w:r>
      <w:r w:rsidR="00D152DF">
        <w:rPr>
          <w:lang w:val="es-MX"/>
        </w:rPr>
        <w:t>99</w:t>
      </w:r>
      <w:r w:rsidRPr="007F22B9">
        <w:rPr>
          <w:lang w:val="es-MX"/>
        </w:rPr>
        <w:t xml:space="preserve"> </w:t>
      </w:r>
      <w:r w:rsidR="00D152DF">
        <w:rPr>
          <w:lang w:val="es-MX"/>
        </w:rPr>
        <w:t>9</w:t>
      </w:r>
      <w:r w:rsidRPr="007F22B9">
        <w:rPr>
          <w:lang w:val="es-MX"/>
        </w:rPr>
        <w:t xml:space="preserve">00–196 000) </w:t>
      </w:r>
      <w:r w:rsidR="00B045E0" w:rsidRPr="007F22B9">
        <w:rPr>
          <w:lang w:val="es-MX"/>
        </w:rPr>
        <w:t xml:space="preserve">atribuibles a la RAM bacteriana en los 35 </w:t>
      </w:r>
      <w:r w:rsidR="007B7BC4" w:rsidRPr="007F22B9">
        <w:rPr>
          <w:lang w:val="es-MX"/>
        </w:rPr>
        <w:t>países</w:t>
      </w:r>
      <w:r w:rsidR="00B045E0" w:rsidRPr="007F22B9">
        <w:rPr>
          <w:lang w:val="es-MX"/>
        </w:rPr>
        <w:t xml:space="preserve"> en la </w:t>
      </w:r>
      <w:r w:rsidR="007B7BC4" w:rsidRPr="007F22B9">
        <w:rPr>
          <w:lang w:val="es-MX"/>
        </w:rPr>
        <w:t>Región</w:t>
      </w:r>
      <w:r w:rsidRPr="007F22B9">
        <w:rPr>
          <w:lang w:val="es-MX"/>
        </w:rPr>
        <w:t xml:space="preserve"> </w:t>
      </w:r>
      <w:r w:rsidR="00B045E0" w:rsidRPr="007F22B9">
        <w:rPr>
          <w:lang w:val="es-MX"/>
        </w:rPr>
        <w:t xml:space="preserve">de las </w:t>
      </w:r>
      <w:r w:rsidR="007B7BC4" w:rsidRPr="007F22B9">
        <w:rPr>
          <w:lang w:val="es-MX"/>
        </w:rPr>
        <w:t>Américas</w:t>
      </w:r>
      <w:r w:rsidRPr="007F22B9">
        <w:rPr>
          <w:lang w:val="es-MX"/>
        </w:rPr>
        <w:t xml:space="preserve"> </w:t>
      </w:r>
      <w:r w:rsidR="00B045E0" w:rsidRPr="007F22B9">
        <w:rPr>
          <w:lang w:val="es-MX"/>
        </w:rPr>
        <w:t xml:space="preserve">en </w:t>
      </w:r>
      <w:r w:rsidRPr="007F22B9">
        <w:rPr>
          <w:lang w:val="es-MX"/>
        </w:rPr>
        <w:t xml:space="preserve">2019. </w:t>
      </w:r>
      <w:r w:rsidR="00B045E0" w:rsidRPr="007F22B9">
        <w:rPr>
          <w:lang w:val="es-MX"/>
        </w:rPr>
        <w:t>Las infecciones respiratorias fuer</w:t>
      </w:r>
      <w:r w:rsidR="007B7BC4">
        <w:rPr>
          <w:lang w:val="es-MX"/>
        </w:rPr>
        <w:t>o</w:t>
      </w:r>
      <w:r w:rsidR="00B045E0" w:rsidRPr="007F22B9">
        <w:rPr>
          <w:lang w:val="es-MX"/>
        </w:rPr>
        <w:t xml:space="preserve">n el </w:t>
      </w:r>
      <w:r w:rsidR="007B7BC4" w:rsidRPr="007F22B9">
        <w:rPr>
          <w:lang w:val="es-MX"/>
        </w:rPr>
        <w:t>síndrome</w:t>
      </w:r>
      <w:r w:rsidR="00B045E0" w:rsidRPr="007F22B9">
        <w:rPr>
          <w:lang w:val="es-MX"/>
        </w:rPr>
        <w:t xml:space="preserve"> infeccioso </w:t>
      </w:r>
      <w:r w:rsidR="007B7BC4" w:rsidRPr="007F22B9">
        <w:rPr>
          <w:lang w:val="es-MX"/>
        </w:rPr>
        <w:t>responsable</w:t>
      </w:r>
      <w:r w:rsidR="00B045E0" w:rsidRPr="007F22B9">
        <w:rPr>
          <w:lang w:val="es-MX"/>
        </w:rPr>
        <w:t xml:space="preserve"> por la carga de mortalidad de la RAM </w:t>
      </w:r>
      <w:r w:rsidR="007B7BC4" w:rsidRPr="007F22B9">
        <w:rPr>
          <w:lang w:val="es-MX"/>
        </w:rPr>
        <w:t>más</w:t>
      </w:r>
      <w:r w:rsidR="00B045E0" w:rsidRPr="007F22B9">
        <w:rPr>
          <w:lang w:val="es-MX"/>
        </w:rPr>
        <w:t xml:space="preserve"> grande en la </w:t>
      </w:r>
      <w:r w:rsidR="007B7BC4" w:rsidRPr="007F22B9">
        <w:rPr>
          <w:lang w:val="es-MX"/>
        </w:rPr>
        <w:t>región</w:t>
      </w:r>
      <w:r w:rsidR="00B045E0" w:rsidRPr="007F22B9">
        <w:rPr>
          <w:lang w:val="es-MX"/>
        </w:rPr>
        <w:t xml:space="preserve">, con </w:t>
      </w:r>
      <w:r w:rsidRPr="007F22B9">
        <w:rPr>
          <w:lang w:val="es-MX"/>
        </w:rPr>
        <w:t xml:space="preserve">189 000 </w:t>
      </w:r>
      <w:r w:rsidR="00B045E0" w:rsidRPr="007F22B9">
        <w:rPr>
          <w:lang w:val="es-MX"/>
        </w:rPr>
        <w:t xml:space="preserve">muertes </w:t>
      </w:r>
      <w:r w:rsidRPr="007F22B9">
        <w:rPr>
          <w:lang w:val="es-MX"/>
        </w:rPr>
        <w:t>(149 000–241 000) asociad</w:t>
      </w:r>
      <w:r w:rsidR="00B045E0" w:rsidRPr="007F22B9">
        <w:rPr>
          <w:lang w:val="es-MX"/>
        </w:rPr>
        <w:t xml:space="preserve">as con la Resistencia, seguidas por las infecciones del torrente </w:t>
      </w:r>
      <w:r w:rsidR="007B7BC4" w:rsidRPr="007F22B9">
        <w:rPr>
          <w:lang w:val="es-MX"/>
        </w:rPr>
        <w:t>sanguíneo</w:t>
      </w:r>
      <w:r w:rsidR="00B045E0" w:rsidRPr="007F22B9">
        <w:rPr>
          <w:lang w:val="es-MX"/>
        </w:rPr>
        <w:t xml:space="preserve"> </w:t>
      </w:r>
      <w:r w:rsidRPr="007F22B9">
        <w:rPr>
          <w:lang w:val="es-MX"/>
        </w:rPr>
        <w:t xml:space="preserve">(169 000 </w:t>
      </w:r>
      <w:r w:rsidR="00B045E0" w:rsidRPr="007F22B9">
        <w:rPr>
          <w:lang w:val="es-MX"/>
        </w:rPr>
        <w:t xml:space="preserve">muertes </w:t>
      </w:r>
      <w:r w:rsidRPr="007F22B9">
        <w:rPr>
          <w:lang w:val="es-MX"/>
        </w:rPr>
        <w:t xml:space="preserve">[94 </w:t>
      </w:r>
      <w:r w:rsidR="00D152DF">
        <w:rPr>
          <w:lang w:val="es-MX"/>
        </w:rPr>
        <w:t>2</w:t>
      </w:r>
      <w:r w:rsidRPr="007F22B9">
        <w:rPr>
          <w:lang w:val="es-MX"/>
        </w:rPr>
        <w:t xml:space="preserve">00–278 000]) </w:t>
      </w:r>
      <w:r w:rsidR="00B045E0" w:rsidRPr="007F22B9">
        <w:rPr>
          <w:lang w:val="es-MX"/>
        </w:rPr>
        <w:t xml:space="preserve">y las infecciones del peritoneo e </w:t>
      </w:r>
      <w:r w:rsidR="007B7BC4" w:rsidRPr="007F22B9">
        <w:rPr>
          <w:lang w:val="es-MX"/>
        </w:rPr>
        <w:t>intraabdominales</w:t>
      </w:r>
      <w:r w:rsidR="00B045E0" w:rsidRPr="007F22B9">
        <w:rPr>
          <w:lang w:val="es-MX"/>
        </w:rPr>
        <w:t xml:space="preserve"> </w:t>
      </w:r>
      <w:r w:rsidRPr="007F22B9">
        <w:rPr>
          <w:lang w:val="es-MX"/>
        </w:rPr>
        <w:t xml:space="preserve">(118 000 </w:t>
      </w:r>
      <w:r w:rsidR="007B7BC4">
        <w:rPr>
          <w:lang w:val="es-MX"/>
        </w:rPr>
        <w:t>muertes</w:t>
      </w:r>
      <w:r w:rsidRPr="007F22B9">
        <w:rPr>
          <w:lang w:val="es-MX"/>
        </w:rPr>
        <w:t xml:space="preserve"> [7</w:t>
      </w:r>
      <w:r w:rsidR="00D152DF">
        <w:rPr>
          <w:lang w:val="es-MX"/>
        </w:rPr>
        <w:t>8</w:t>
      </w:r>
      <w:r w:rsidRPr="007F22B9">
        <w:rPr>
          <w:lang w:val="es-MX"/>
        </w:rPr>
        <w:t xml:space="preserve"> </w:t>
      </w:r>
      <w:r w:rsidR="00D152DF">
        <w:rPr>
          <w:lang w:val="es-MX"/>
        </w:rPr>
        <w:t>6</w:t>
      </w:r>
      <w:r w:rsidRPr="007F22B9">
        <w:rPr>
          <w:lang w:val="es-MX"/>
        </w:rPr>
        <w:t xml:space="preserve">00–168 000]). </w:t>
      </w:r>
      <w:r w:rsidR="00B045E0" w:rsidRPr="007F22B9">
        <w:rPr>
          <w:lang w:val="es-MX"/>
        </w:rPr>
        <w:t xml:space="preserve">Los seis </w:t>
      </w:r>
      <w:r w:rsidR="007B7BC4" w:rsidRPr="007F22B9">
        <w:rPr>
          <w:lang w:val="es-MX"/>
        </w:rPr>
        <w:t>patógenos</w:t>
      </w:r>
      <w:r w:rsidR="00B045E0" w:rsidRPr="007F22B9">
        <w:rPr>
          <w:lang w:val="es-MX"/>
        </w:rPr>
        <w:t xml:space="preserve"> principales (ordenados por el </w:t>
      </w:r>
      <w:r w:rsidR="007B7BC4" w:rsidRPr="007F22B9">
        <w:rPr>
          <w:lang w:val="es-MX"/>
        </w:rPr>
        <w:t>número</w:t>
      </w:r>
      <w:r w:rsidR="00B045E0" w:rsidRPr="007F22B9">
        <w:rPr>
          <w:lang w:val="es-MX"/>
        </w:rPr>
        <w:t xml:space="preserve"> de muertes asociadas con la resistencia) fueron </w:t>
      </w:r>
      <w:proofErr w:type="spellStart"/>
      <w:r w:rsidRPr="007F22B9">
        <w:rPr>
          <w:i/>
          <w:iCs/>
          <w:lang w:val="es-MX"/>
        </w:rPr>
        <w:t>Staphylococcus</w:t>
      </w:r>
      <w:proofErr w:type="spellEnd"/>
      <w:r w:rsidRPr="007F22B9">
        <w:rPr>
          <w:i/>
          <w:iCs/>
          <w:lang w:val="es-MX"/>
        </w:rPr>
        <w:t xml:space="preserve"> </w:t>
      </w:r>
      <w:proofErr w:type="spellStart"/>
      <w:r w:rsidRPr="007F22B9">
        <w:rPr>
          <w:i/>
          <w:iCs/>
          <w:lang w:val="es-MX"/>
        </w:rPr>
        <w:t>aureus</w:t>
      </w:r>
      <w:proofErr w:type="spellEnd"/>
      <w:r w:rsidRPr="007F22B9">
        <w:rPr>
          <w:lang w:val="es-MX"/>
        </w:rPr>
        <w:t xml:space="preserve">, </w:t>
      </w:r>
      <w:proofErr w:type="spellStart"/>
      <w:r w:rsidRPr="007F22B9">
        <w:rPr>
          <w:i/>
          <w:iCs/>
          <w:lang w:val="es-MX"/>
        </w:rPr>
        <w:t>Escherichia</w:t>
      </w:r>
      <w:proofErr w:type="spellEnd"/>
      <w:r w:rsidRPr="007F22B9">
        <w:rPr>
          <w:i/>
          <w:iCs/>
          <w:lang w:val="es-MX"/>
        </w:rPr>
        <w:t xml:space="preserve"> </w:t>
      </w:r>
      <w:proofErr w:type="spellStart"/>
      <w:r w:rsidRPr="007F22B9">
        <w:rPr>
          <w:i/>
          <w:iCs/>
          <w:lang w:val="es-MX"/>
        </w:rPr>
        <w:t>coli</w:t>
      </w:r>
      <w:proofErr w:type="spellEnd"/>
      <w:r w:rsidRPr="007F22B9">
        <w:rPr>
          <w:lang w:val="es-MX"/>
        </w:rPr>
        <w:t xml:space="preserve">, </w:t>
      </w:r>
      <w:proofErr w:type="spellStart"/>
      <w:r w:rsidRPr="007F22B9">
        <w:rPr>
          <w:i/>
          <w:iCs/>
          <w:lang w:val="es-MX"/>
        </w:rPr>
        <w:t>Klebsiella</w:t>
      </w:r>
      <w:proofErr w:type="spellEnd"/>
      <w:r w:rsidRPr="007F22B9">
        <w:rPr>
          <w:i/>
          <w:iCs/>
          <w:lang w:val="es-MX"/>
        </w:rPr>
        <w:t xml:space="preserve"> </w:t>
      </w:r>
      <w:proofErr w:type="spellStart"/>
      <w:r w:rsidRPr="007F22B9">
        <w:rPr>
          <w:i/>
          <w:iCs/>
          <w:lang w:val="es-MX"/>
        </w:rPr>
        <w:t>pneumoniae</w:t>
      </w:r>
      <w:proofErr w:type="spellEnd"/>
      <w:r w:rsidRPr="007F22B9">
        <w:rPr>
          <w:lang w:val="es-MX"/>
        </w:rPr>
        <w:t xml:space="preserve">, </w:t>
      </w:r>
      <w:proofErr w:type="spellStart"/>
      <w:r w:rsidRPr="007F22B9">
        <w:rPr>
          <w:i/>
          <w:iCs/>
          <w:lang w:val="es-MX"/>
        </w:rPr>
        <w:t>Streptococcus</w:t>
      </w:r>
      <w:proofErr w:type="spellEnd"/>
      <w:r w:rsidRPr="007F22B9">
        <w:rPr>
          <w:i/>
          <w:iCs/>
          <w:lang w:val="es-MX"/>
        </w:rPr>
        <w:t xml:space="preserve"> </w:t>
      </w:r>
      <w:proofErr w:type="spellStart"/>
      <w:r w:rsidRPr="007F22B9">
        <w:rPr>
          <w:i/>
          <w:iCs/>
          <w:lang w:val="es-MX"/>
        </w:rPr>
        <w:t>pneumoniae</w:t>
      </w:r>
      <w:proofErr w:type="spellEnd"/>
      <w:r w:rsidRPr="007F22B9">
        <w:rPr>
          <w:i/>
          <w:iCs/>
          <w:lang w:val="es-MX"/>
        </w:rPr>
        <w:t xml:space="preserve">, Pseudomonas </w:t>
      </w:r>
      <w:proofErr w:type="spellStart"/>
      <w:r w:rsidRPr="007F22B9">
        <w:rPr>
          <w:i/>
          <w:iCs/>
          <w:lang w:val="es-MX"/>
        </w:rPr>
        <w:t>aeruginosa</w:t>
      </w:r>
      <w:proofErr w:type="spellEnd"/>
      <w:r w:rsidRPr="007F22B9">
        <w:rPr>
          <w:i/>
          <w:iCs/>
          <w:lang w:val="es-MX"/>
        </w:rPr>
        <w:t>,</w:t>
      </w:r>
      <w:r w:rsidRPr="007F22B9">
        <w:rPr>
          <w:lang w:val="es-MX"/>
        </w:rPr>
        <w:t xml:space="preserve"> </w:t>
      </w:r>
      <w:r w:rsidR="00B045E0" w:rsidRPr="007F22B9">
        <w:rPr>
          <w:lang w:val="es-MX"/>
        </w:rPr>
        <w:t xml:space="preserve">y </w:t>
      </w:r>
      <w:proofErr w:type="spellStart"/>
      <w:r w:rsidRPr="007F22B9">
        <w:rPr>
          <w:i/>
          <w:iCs/>
          <w:lang w:val="es-MX"/>
        </w:rPr>
        <w:t>Acinetobacter</w:t>
      </w:r>
      <w:proofErr w:type="spellEnd"/>
      <w:r w:rsidRPr="007F22B9">
        <w:rPr>
          <w:i/>
          <w:iCs/>
          <w:lang w:val="es-MX"/>
        </w:rPr>
        <w:t xml:space="preserve"> </w:t>
      </w:r>
      <w:proofErr w:type="spellStart"/>
      <w:r w:rsidRPr="007F22B9">
        <w:rPr>
          <w:i/>
          <w:iCs/>
          <w:lang w:val="es-MX"/>
        </w:rPr>
        <w:t>baumannii</w:t>
      </w:r>
      <w:proofErr w:type="spellEnd"/>
      <w:r w:rsidRPr="007F22B9">
        <w:rPr>
          <w:lang w:val="es-MX"/>
        </w:rPr>
        <w:t xml:space="preserve">. </w:t>
      </w:r>
      <w:r w:rsidR="00B045E0" w:rsidRPr="007F22B9">
        <w:rPr>
          <w:lang w:val="es-MX"/>
        </w:rPr>
        <w:t xml:space="preserve">Juntos, estos </w:t>
      </w:r>
      <w:r w:rsidR="007B7BC4" w:rsidRPr="007F22B9">
        <w:rPr>
          <w:lang w:val="es-MX"/>
        </w:rPr>
        <w:t>patógenos</w:t>
      </w:r>
      <w:r w:rsidR="00B045E0" w:rsidRPr="007F22B9">
        <w:rPr>
          <w:lang w:val="es-MX"/>
        </w:rPr>
        <w:t xml:space="preserve"> fueron responsables por </w:t>
      </w:r>
      <w:r w:rsidRPr="007F22B9">
        <w:rPr>
          <w:rFonts w:ascii="Calibri" w:eastAsia="Calibri" w:hAnsi="Calibri" w:cs="Calibri"/>
          <w:lang w:val="es-MX"/>
        </w:rPr>
        <w:t xml:space="preserve">452 000 </w:t>
      </w:r>
      <w:r w:rsidR="00B045E0" w:rsidRPr="007F22B9">
        <w:rPr>
          <w:rFonts w:ascii="Calibri" w:eastAsia="Calibri" w:hAnsi="Calibri" w:cs="Calibri"/>
          <w:lang w:val="es-MX"/>
        </w:rPr>
        <w:t xml:space="preserve">muertes </w:t>
      </w:r>
      <w:r w:rsidRPr="007F22B9">
        <w:rPr>
          <w:rFonts w:ascii="Calibri" w:eastAsia="Calibri" w:hAnsi="Calibri" w:cs="Calibri"/>
          <w:lang w:val="es-MX"/>
        </w:rPr>
        <w:t xml:space="preserve">(326 000–608 000) </w:t>
      </w:r>
      <w:r w:rsidRPr="007F22B9">
        <w:rPr>
          <w:lang w:val="es-MX"/>
        </w:rPr>
        <w:t>a</w:t>
      </w:r>
      <w:r w:rsidR="00B045E0" w:rsidRPr="007F22B9">
        <w:rPr>
          <w:lang w:val="es-MX"/>
        </w:rPr>
        <w:t xml:space="preserve">sociadas con la RAM. </w:t>
      </w:r>
      <w:r w:rsidRPr="007F22B9">
        <w:rPr>
          <w:i/>
          <w:iCs/>
          <w:lang w:val="es-MX"/>
        </w:rPr>
        <w:t xml:space="preserve">S. </w:t>
      </w:r>
      <w:proofErr w:type="spellStart"/>
      <w:r w:rsidRPr="007F22B9">
        <w:rPr>
          <w:i/>
          <w:iCs/>
          <w:lang w:val="es-MX"/>
        </w:rPr>
        <w:t>aureus</w:t>
      </w:r>
      <w:proofErr w:type="spellEnd"/>
      <w:r w:rsidRPr="007F22B9">
        <w:rPr>
          <w:lang w:val="es-MX"/>
        </w:rPr>
        <w:t xml:space="preserve"> </w:t>
      </w:r>
      <w:r w:rsidR="00B045E0" w:rsidRPr="007F22B9">
        <w:rPr>
          <w:lang w:val="es-MX"/>
        </w:rPr>
        <w:t xml:space="preserve">resistente a la </w:t>
      </w:r>
      <w:proofErr w:type="spellStart"/>
      <w:r w:rsidR="00B045E0" w:rsidRPr="007F22B9">
        <w:rPr>
          <w:lang w:val="es-MX"/>
        </w:rPr>
        <w:t>meticilina</w:t>
      </w:r>
      <w:proofErr w:type="spellEnd"/>
      <w:r w:rsidR="00B045E0" w:rsidRPr="007F22B9">
        <w:rPr>
          <w:lang w:val="es-MX"/>
        </w:rPr>
        <w:t xml:space="preserve"> fue la </w:t>
      </w:r>
      <w:r w:rsidR="007B7BC4" w:rsidRPr="007F22B9">
        <w:rPr>
          <w:lang w:val="es-MX"/>
        </w:rPr>
        <w:t>combinación</w:t>
      </w:r>
      <w:r w:rsidR="00B045E0" w:rsidRPr="007F22B9">
        <w:rPr>
          <w:lang w:val="es-MX"/>
        </w:rPr>
        <w:t xml:space="preserve"> de </w:t>
      </w:r>
      <w:r w:rsidR="007B7BC4" w:rsidRPr="007F22B9">
        <w:rPr>
          <w:lang w:val="es-MX"/>
        </w:rPr>
        <w:t>patógeno</w:t>
      </w:r>
      <w:r w:rsidR="00B045E0" w:rsidRPr="007F22B9">
        <w:rPr>
          <w:lang w:val="es-MX"/>
        </w:rPr>
        <w:t>-</w:t>
      </w:r>
      <w:r w:rsidR="007B7BC4" w:rsidRPr="007F22B9">
        <w:rPr>
          <w:lang w:val="es-MX"/>
        </w:rPr>
        <w:t>antibiótico</w:t>
      </w:r>
      <w:r w:rsidR="00B045E0" w:rsidRPr="007F22B9">
        <w:rPr>
          <w:lang w:val="es-MX"/>
        </w:rPr>
        <w:t xml:space="preserve"> predominante en </w:t>
      </w:r>
      <w:r w:rsidRPr="007F22B9">
        <w:rPr>
          <w:lang w:val="es-MX"/>
        </w:rPr>
        <w:t xml:space="preserve">34 </w:t>
      </w:r>
      <w:r w:rsidR="007B7BC4" w:rsidRPr="007F22B9">
        <w:rPr>
          <w:lang w:val="es-MX"/>
        </w:rPr>
        <w:t>países</w:t>
      </w:r>
      <w:r w:rsidR="00B045E0" w:rsidRPr="007F22B9">
        <w:rPr>
          <w:lang w:val="es-MX"/>
        </w:rPr>
        <w:t xml:space="preserve"> </w:t>
      </w:r>
      <w:r w:rsidR="007B7BC4">
        <w:rPr>
          <w:lang w:val="es-MX"/>
        </w:rPr>
        <w:t xml:space="preserve">si </w:t>
      </w:r>
      <w:r w:rsidR="00B045E0" w:rsidRPr="007F22B9">
        <w:rPr>
          <w:lang w:val="es-MX"/>
        </w:rPr>
        <w:t xml:space="preserve">consideramos el </w:t>
      </w:r>
      <w:r w:rsidR="007B7BC4" w:rsidRPr="007F22B9">
        <w:rPr>
          <w:lang w:val="es-MX"/>
        </w:rPr>
        <w:t>número</w:t>
      </w:r>
      <w:r w:rsidR="00B045E0" w:rsidRPr="007F22B9">
        <w:rPr>
          <w:lang w:val="es-MX"/>
        </w:rPr>
        <w:t xml:space="preserve"> de muertes atribuibles a la RAM, mientras que </w:t>
      </w:r>
      <w:r w:rsidRPr="007F22B9">
        <w:rPr>
          <w:i/>
          <w:iCs/>
          <w:lang w:val="es-MX"/>
        </w:rPr>
        <w:t xml:space="preserve">E. </w:t>
      </w:r>
      <w:proofErr w:type="spellStart"/>
      <w:r w:rsidRPr="007F22B9">
        <w:rPr>
          <w:i/>
          <w:iCs/>
          <w:lang w:val="es-MX"/>
        </w:rPr>
        <w:t>coli</w:t>
      </w:r>
      <w:proofErr w:type="spellEnd"/>
      <w:r w:rsidRPr="007F22B9">
        <w:rPr>
          <w:i/>
          <w:iCs/>
          <w:lang w:val="es-MX"/>
        </w:rPr>
        <w:t xml:space="preserve"> </w:t>
      </w:r>
      <w:r w:rsidR="00B045E0" w:rsidRPr="007F22B9">
        <w:rPr>
          <w:iCs/>
          <w:lang w:val="es-MX"/>
        </w:rPr>
        <w:t xml:space="preserve">resistente a la </w:t>
      </w:r>
      <w:proofErr w:type="spellStart"/>
      <w:r w:rsidR="00B045E0" w:rsidRPr="007F22B9">
        <w:rPr>
          <w:iCs/>
          <w:lang w:val="es-MX"/>
        </w:rPr>
        <w:t>aminopenici</w:t>
      </w:r>
      <w:r w:rsidR="007B7BC4">
        <w:rPr>
          <w:iCs/>
          <w:lang w:val="es-MX"/>
        </w:rPr>
        <w:t>l</w:t>
      </w:r>
      <w:r w:rsidR="00B045E0" w:rsidRPr="007F22B9">
        <w:rPr>
          <w:iCs/>
          <w:lang w:val="es-MX"/>
        </w:rPr>
        <w:t>ina</w:t>
      </w:r>
      <w:proofErr w:type="spellEnd"/>
      <w:r w:rsidR="00B045E0" w:rsidRPr="007F22B9">
        <w:rPr>
          <w:iCs/>
          <w:lang w:val="es-MX"/>
        </w:rPr>
        <w:t xml:space="preserve"> fue </w:t>
      </w:r>
      <w:r w:rsidR="00B045E0" w:rsidRPr="007F22B9">
        <w:rPr>
          <w:lang w:val="es-MX"/>
        </w:rPr>
        <w:t xml:space="preserve">la </w:t>
      </w:r>
      <w:r w:rsidR="007B7BC4" w:rsidRPr="007F22B9">
        <w:rPr>
          <w:lang w:val="es-MX"/>
        </w:rPr>
        <w:t>combinación</w:t>
      </w:r>
      <w:r w:rsidR="00B045E0" w:rsidRPr="007F22B9">
        <w:rPr>
          <w:lang w:val="es-MX"/>
        </w:rPr>
        <w:t xml:space="preserve"> </w:t>
      </w:r>
      <w:r w:rsidR="007B7BC4" w:rsidRPr="007F22B9">
        <w:rPr>
          <w:lang w:val="es-MX"/>
        </w:rPr>
        <w:t xml:space="preserve">patógeno-antibiótico </w:t>
      </w:r>
      <w:r w:rsidR="00B045E0" w:rsidRPr="007F22B9">
        <w:rPr>
          <w:lang w:val="es-MX"/>
        </w:rPr>
        <w:t>predominant</w:t>
      </w:r>
      <w:r w:rsidR="007B7BC4">
        <w:rPr>
          <w:lang w:val="es-MX"/>
        </w:rPr>
        <w:t>e</w:t>
      </w:r>
      <w:r w:rsidR="00B045E0" w:rsidRPr="007F22B9">
        <w:rPr>
          <w:lang w:val="es-MX"/>
        </w:rPr>
        <w:t xml:space="preserve"> en 15 </w:t>
      </w:r>
      <w:r w:rsidR="007B7BC4" w:rsidRPr="007F22B9">
        <w:rPr>
          <w:lang w:val="es-MX"/>
        </w:rPr>
        <w:t>países</w:t>
      </w:r>
      <w:r w:rsidR="00B045E0" w:rsidRPr="007F22B9">
        <w:rPr>
          <w:lang w:val="es-MX"/>
        </w:rPr>
        <w:t xml:space="preserve"> </w:t>
      </w:r>
      <w:r w:rsidR="007B7BC4" w:rsidRPr="007F22B9">
        <w:rPr>
          <w:lang w:val="es-MX"/>
        </w:rPr>
        <w:t>según</w:t>
      </w:r>
      <w:r w:rsidR="00B045E0" w:rsidRPr="007F22B9">
        <w:rPr>
          <w:lang w:val="es-MX"/>
        </w:rPr>
        <w:t xml:space="preserve"> el </w:t>
      </w:r>
      <w:r w:rsidR="007B7BC4" w:rsidRPr="007F22B9">
        <w:rPr>
          <w:lang w:val="es-MX"/>
        </w:rPr>
        <w:t>número</w:t>
      </w:r>
      <w:r w:rsidR="00B045E0" w:rsidRPr="007F22B9">
        <w:rPr>
          <w:lang w:val="es-MX"/>
        </w:rPr>
        <w:t xml:space="preserve"> de muertes asociadas con la RAM. </w:t>
      </w:r>
    </w:p>
    <w:p w14:paraId="6303825D" w14:textId="77777777" w:rsidR="00B045E0" w:rsidRPr="007F22B9" w:rsidRDefault="00B045E0" w:rsidP="000B371D">
      <w:pPr>
        <w:rPr>
          <w:lang w:val="es-MX"/>
        </w:rPr>
      </w:pPr>
    </w:p>
    <w:p w14:paraId="18AD1D67" w14:textId="77777777" w:rsidR="0021390F" w:rsidRPr="007F22B9" w:rsidRDefault="007B7BC4" w:rsidP="007B7BC4">
      <w:pPr>
        <w:pStyle w:val="Ttulo2"/>
        <w:rPr>
          <w:rStyle w:val="Ttulo2Char"/>
          <w:b/>
          <w:lang w:val="es-MX"/>
        </w:rPr>
      </w:pPr>
      <w:r w:rsidRPr="007F22B9">
        <w:rPr>
          <w:lang w:val="es-MX"/>
        </w:rPr>
        <w:t>Interpretac</w:t>
      </w:r>
      <w:r w:rsidRPr="004673E7">
        <w:rPr>
          <w:rStyle w:val="Ttulo2Char"/>
          <w:b/>
          <w:bCs/>
          <w:lang w:val="es-MX"/>
        </w:rPr>
        <w:t>ión</w:t>
      </w:r>
      <w:r w:rsidR="0021390F" w:rsidRPr="004673E7">
        <w:rPr>
          <w:rStyle w:val="Ttulo2Char"/>
          <w:b/>
          <w:bCs/>
          <w:lang w:val="es-MX"/>
        </w:rPr>
        <w:t xml:space="preserve"> </w:t>
      </w:r>
    </w:p>
    <w:p w14:paraId="444DB64F" w14:textId="77777777" w:rsidR="0021390F" w:rsidRPr="007F22B9" w:rsidRDefault="0021390F" w:rsidP="0021390F">
      <w:pPr>
        <w:spacing w:after="0"/>
        <w:rPr>
          <w:lang w:val="es-MX"/>
        </w:rPr>
      </w:pPr>
      <w:r w:rsidRPr="007F22B9">
        <w:rPr>
          <w:lang w:val="es-MX"/>
        </w:rPr>
        <w:t>Al consider</w:t>
      </w:r>
      <w:r w:rsidR="007B7BC4">
        <w:rPr>
          <w:lang w:val="es-MX"/>
        </w:rPr>
        <w:t>a</w:t>
      </w:r>
      <w:r w:rsidRPr="007F22B9">
        <w:rPr>
          <w:lang w:val="es-MX"/>
        </w:rPr>
        <w:t xml:space="preserve">r estas las estimaciones de carga para los diferentes </w:t>
      </w:r>
      <w:r w:rsidR="007B7BC4" w:rsidRPr="007F22B9">
        <w:rPr>
          <w:lang w:val="es-MX"/>
        </w:rPr>
        <w:t>países</w:t>
      </w:r>
      <w:r w:rsidRPr="007F22B9">
        <w:rPr>
          <w:lang w:val="es-MX"/>
        </w:rPr>
        <w:t xml:space="preserve">, </w:t>
      </w:r>
      <w:r w:rsidR="007B7BC4" w:rsidRPr="007F22B9">
        <w:rPr>
          <w:lang w:val="es-MX"/>
        </w:rPr>
        <w:t>síndromes</w:t>
      </w:r>
      <w:r w:rsidRPr="007F22B9">
        <w:rPr>
          <w:lang w:val="es-MX"/>
        </w:rPr>
        <w:t xml:space="preserve"> infecciosos y combinaciones de</w:t>
      </w:r>
      <w:r w:rsidR="007B7BC4" w:rsidRPr="007B7BC4">
        <w:rPr>
          <w:lang w:val="es-MX"/>
        </w:rPr>
        <w:t xml:space="preserve"> </w:t>
      </w:r>
      <w:r w:rsidR="007B7BC4" w:rsidRPr="007F22B9">
        <w:rPr>
          <w:lang w:val="es-MX"/>
        </w:rPr>
        <w:t>patógeno-antibiótico</w:t>
      </w:r>
      <w:r w:rsidRPr="007F22B9">
        <w:rPr>
          <w:lang w:val="es-MX"/>
        </w:rPr>
        <w:t xml:space="preserve">, concluimos que la RAM </w:t>
      </w:r>
      <w:r w:rsidR="007B7BC4" w:rsidRPr="007F22B9">
        <w:rPr>
          <w:lang w:val="es-MX"/>
        </w:rPr>
        <w:t>representa</w:t>
      </w:r>
      <w:r w:rsidRPr="007F22B9">
        <w:rPr>
          <w:lang w:val="es-MX"/>
        </w:rPr>
        <w:t xml:space="preserve"> una amenaza substancial en las </w:t>
      </w:r>
      <w:r w:rsidR="007B7BC4" w:rsidRPr="007F22B9">
        <w:rPr>
          <w:lang w:val="es-MX"/>
        </w:rPr>
        <w:t>Américas</w:t>
      </w:r>
      <w:r w:rsidRPr="007F22B9">
        <w:rPr>
          <w:lang w:val="es-MX"/>
        </w:rPr>
        <w:t xml:space="preserve">. </w:t>
      </w:r>
      <w:r w:rsidR="007B7BC4">
        <w:rPr>
          <w:lang w:val="es-MX"/>
        </w:rPr>
        <w:t>Los p</w:t>
      </w:r>
      <w:r w:rsidR="007B7BC4" w:rsidRPr="007F22B9">
        <w:rPr>
          <w:lang w:val="es-MX"/>
        </w:rPr>
        <w:t>aíses</w:t>
      </w:r>
      <w:r w:rsidRPr="007F22B9">
        <w:rPr>
          <w:lang w:val="es-MX"/>
        </w:rPr>
        <w:t xml:space="preserve"> con acceso limitado a </w:t>
      </w:r>
      <w:r w:rsidR="007B7BC4" w:rsidRPr="007F22B9">
        <w:rPr>
          <w:lang w:val="es-MX"/>
        </w:rPr>
        <w:t>antibióticos</w:t>
      </w:r>
      <w:r w:rsidRPr="007F22B9">
        <w:rPr>
          <w:lang w:val="es-MX"/>
        </w:rPr>
        <w:t xml:space="preserve"> y servicios de salud </w:t>
      </w:r>
      <w:r w:rsidR="007B7BC4" w:rsidRPr="007F22B9">
        <w:rPr>
          <w:lang w:val="es-MX"/>
        </w:rPr>
        <w:t>básicos</w:t>
      </w:r>
      <w:r w:rsidRPr="007F22B9">
        <w:rPr>
          <w:lang w:val="es-MX"/>
        </w:rPr>
        <w:t xml:space="preserve"> enfrentan </w:t>
      </w:r>
      <w:r w:rsidR="007B7BC4" w:rsidRPr="007F22B9">
        <w:rPr>
          <w:lang w:val="es-MX"/>
        </w:rPr>
        <w:t xml:space="preserve">frecuentemente </w:t>
      </w:r>
      <w:r w:rsidRPr="007F22B9">
        <w:rPr>
          <w:lang w:val="es-MX"/>
        </w:rPr>
        <w:t xml:space="preserve">las tasas de mortalidad estandarizada por edad </w:t>
      </w:r>
      <w:r w:rsidR="007B7BC4" w:rsidRPr="007F22B9">
        <w:rPr>
          <w:lang w:val="es-MX"/>
        </w:rPr>
        <w:t>más</w:t>
      </w:r>
      <w:r w:rsidRPr="007F22B9">
        <w:rPr>
          <w:lang w:val="es-MX"/>
        </w:rPr>
        <w:t xml:space="preserve"> altas asociadas y atribuibles a la RAM en la </w:t>
      </w:r>
      <w:r w:rsidR="007B7BC4" w:rsidRPr="007F22B9">
        <w:rPr>
          <w:lang w:val="es-MX"/>
        </w:rPr>
        <w:t>región</w:t>
      </w:r>
      <w:r w:rsidRPr="007F22B9">
        <w:rPr>
          <w:lang w:val="es-MX"/>
        </w:rPr>
        <w:t xml:space="preserve">, lo cual implica intervenciones de </w:t>
      </w:r>
      <w:r w:rsidR="007B7BC4" w:rsidRPr="007F22B9">
        <w:rPr>
          <w:lang w:val="es-MX"/>
        </w:rPr>
        <w:t>política</w:t>
      </w:r>
      <w:r w:rsidRPr="007F22B9">
        <w:rPr>
          <w:lang w:val="es-MX"/>
        </w:rPr>
        <w:t xml:space="preserve"> </w:t>
      </w:r>
      <w:r w:rsidR="007B7BC4" w:rsidRPr="007F22B9">
        <w:rPr>
          <w:lang w:val="es-MX"/>
        </w:rPr>
        <w:t>pública</w:t>
      </w:r>
      <w:r w:rsidRPr="007F22B9">
        <w:rPr>
          <w:lang w:val="es-MX"/>
        </w:rPr>
        <w:t xml:space="preserve"> </w:t>
      </w:r>
      <w:r w:rsidR="007B7BC4" w:rsidRPr="007F22B9">
        <w:rPr>
          <w:lang w:val="es-MX"/>
        </w:rPr>
        <w:t>específicas</w:t>
      </w:r>
      <w:r w:rsidRPr="007F22B9">
        <w:rPr>
          <w:lang w:val="es-MX"/>
        </w:rPr>
        <w:t xml:space="preserve">. La evidencia </w:t>
      </w:r>
      <w:r w:rsidR="007B7BC4">
        <w:rPr>
          <w:lang w:val="es-MX"/>
        </w:rPr>
        <w:t xml:space="preserve">proporcionada en </w:t>
      </w:r>
      <w:r w:rsidRPr="007F22B9">
        <w:rPr>
          <w:lang w:val="es-MX"/>
        </w:rPr>
        <w:t xml:space="preserve">este </w:t>
      </w:r>
      <w:r w:rsidR="007B7BC4">
        <w:rPr>
          <w:lang w:val="es-MX"/>
        </w:rPr>
        <w:t>e</w:t>
      </w:r>
      <w:r w:rsidRPr="007F22B9">
        <w:rPr>
          <w:lang w:val="es-MX"/>
        </w:rPr>
        <w:t xml:space="preserve">studio puede </w:t>
      </w:r>
      <w:r w:rsidR="007B7BC4" w:rsidRPr="007F22B9">
        <w:rPr>
          <w:lang w:val="es-MX"/>
        </w:rPr>
        <w:t>servir</w:t>
      </w:r>
      <w:r w:rsidRPr="007F22B9">
        <w:rPr>
          <w:lang w:val="es-MX"/>
        </w:rPr>
        <w:t xml:space="preserve"> como </w:t>
      </w:r>
      <w:r w:rsidR="007B7BC4" w:rsidRPr="007F22B9">
        <w:rPr>
          <w:lang w:val="es-MX"/>
        </w:rPr>
        <w:t>guía</w:t>
      </w:r>
      <w:r w:rsidRPr="007F22B9">
        <w:rPr>
          <w:lang w:val="es-MX"/>
        </w:rPr>
        <w:t xml:space="preserve"> para </w:t>
      </w:r>
      <w:r w:rsidR="007B7BC4">
        <w:rPr>
          <w:lang w:val="es-MX"/>
        </w:rPr>
        <w:t xml:space="preserve">que </w:t>
      </w:r>
      <w:r w:rsidRPr="007F22B9">
        <w:rPr>
          <w:lang w:val="es-MX"/>
        </w:rPr>
        <w:t xml:space="preserve">los esfuerzos de </w:t>
      </w:r>
      <w:r w:rsidR="007B7BC4" w:rsidRPr="007F22B9">
        <w:rPr>
          <w:lang w:val="es-MX"/>
        </w:rPr>
        <w:t>mitigación</w:t>
      </w:r>
      <w:r w:rsidRPr="007F22B9">
        <w:rPr>
          <w:lang w:val="es-MX"/>
        </w:rPr>
        <w:t xml:space="preserve"> que sean adaptados a las necesidades de cada </w:t>
      </w:r>
      <w:r w:rsidR="007B7BC4" w:rsidRPr="007F22B9">
        <w:rPr>
          <w:lang w:val="es-MX"/>
        </w:rPr>
        <w:t>país</w:t>
      </w:r>
      <w:r w:rsidRPr="007F22B9">
        <w:rPr>
          <w:lang w:val="es-MX"/>
        </w:rPr>
        <w:t xml:space="preserve"> en la </w:t>
      </w:r>
      <w:r w:rsidR="007B7BC4" w:rsidRPr="007F22B9">
        <w:rPr>
          <w:lang w:val="es-MX"/>
        </w:rPr>
        <w:t>región</w:t>
      </w:r>
      <w:r w:rsidRPr="007F22B9">
        <w:rPr>
          <w:lang w:val="es-MX"/>
        </w:rPr>
        <w:t xml:space="preserve">, </w:t>
      </w:r>
      <w:r w:rsidR="007B7BC4" w:rsidRPr="007F22B9">
        <w:rPr>
          <w:lang w:val="es-MX"/>
        </w:rPr>
        <w:t>así</w:t>
      </w:r>
      <w:r w:rsidRPr="007F22B9">
        <w:rPr>
          <w:lang w:val="es-MX"/>
        </w:rPr>
        <w:t xml:space="preserve"> como </w:t>
      </w:r>
      <w:r w:rsidR="007B7BC4">
        <w:rPr>
          <w:lang w:val="es-MX"/>
        </w:rPr>
        <w:t xml:space="preserve">para informar </w:t>
      </w:r>
      <w:r w:rsidRPr="007F22B9">
        <w:rPr>
          <w:lang w:val="es-MX"/>
        </w:rPr>
        <w:t xml:space="preserve">decisiones de financiamiento y </w:t>
      </w:r>
      <w:r w:rsidR="007B7BC4" w:rsidRPr="007F22B9">
        <w:rPr>
          <w:lang w:val="es-MX"/>
        </w:rPr>
        <w:t>asignación</w:t>
      </w:r>
      <w:r w:rsidRPr="007F22B9">
        <w:rPr>
          <w:lang w:val="es-MX"/>
        </w:rPr>
        <w:t xml:space="preserve"> de recursos. Las </w:t>
      </w:r>
      <w:r w:rsidR="007B7BC4" w:rsidRPr="007F22B9">
        <w:rPr>
          <w:lang w:val="es-MX"/>
        </w:rPr>
        <w:t>políticas</w:t>
      </w:r>
      <w:r w:rsidRPr="007F22B9">
        <w:rPr>
          <w:lang w:val="es-MX"/>
        </w:rPr>
        <w:t xml:space="preserve"> </w:t>
      </w:r>
      <w:r w:rsidR="007B7BC4" w:rsidRPr="007F22B9">
        <w:rPr>
          <w:lang w:val="es-MX"/>
        </w:rPr>
        <w:t>multisectoriales</w:t>
      </w:r>
      <w:r w:rsidRPr="007F22B9">
        <w:rPr>
          <w:lang w:val="es-MX"/>
        </w:rPr>
        <w:t xml:space="preserve"> y esfuerzos cooperativos conjuntos entre los </w:t>
      </w:r>
      <w:r w:rsidR="007B7BC4" w:rsidRPr="007F22B9">
        <w:rPr>
          <w:lang w:val="es-MX"/>
        </w:rPr>
        <w:t>países</w:t>
      </w:r>
      <w:r w:rsidRPr="007F22B9">
        <w:rPr>
          <w:lang w:val="es-MX"/>
        </w:rPr>
        <w:t xml:space="preserve"> </w:t>
      </w:r>
      <w:r w:rsidR="007B7BC4" w:rsidRPr="007F22B9">
        <w:rPr>
          <w:lang w:val="es-MX"/>
        </w:rPr>
        <w:t>serán</w:t>
      </w:r>
      <w:r w:rsidRPr="007F22B9">
        <w:rPr>
          <w:lang w:val="es-MX"/>
        </w:rPr>
        <w:t xml:space="preserve"> clave para enfrentar </w:t>
      </w:r>
      <w:r w:rsidR="007B7BC4">
        <w:rPr>
          <w:lang w:val="es-MX"/>
        </w:rPr>
        <w:t xml:space="preserve">exitosamente el reto que </w:t>
      </w:r>
      <w:r w:rsidRPr="007F22B9">
        <w:rPr>
          <w:lang w:val="es-MX"/>
        </w:rPr>
        <w:t xml:space="preserve">la RAM </w:t>
      </w:r>
      <w:r w:rsidR="007B7BC4">
        <w:rPr>
          <w:lang w:val="es-MX"/>
        </w:rPr>
        <w:t xml:space="preserve">representa </w:t>
      </w:r>
      <w:r w:rsidRPr="007F22B9">
        <w:rPr>
          <w:lang w:val="es-MX"/>
        </w:rPr>
        <w:t xml:space="preserve">en las </w:t>
      </w:r>
      <w:r w:rsidR="007B7BC4" w:rsidRPr="007F22B9">
        <w:rPr>
          <w:lang w:val="es-MX"/>
        </w:rPr>
        <w:t>Américas</w:t>
      </w:r>
      <w:r w:rsidRPr="007F22B9">
        <w:rPr>
          <w:lang w:val="es-MX"/>
        </w:rPr>
        <w:t xml:space="preserve">. </w:t>
      </w:r>
    </w:p>
    <w:p w14:paraId="7457CFE2" w14:textId="77777777" w:rsidR="0021390F" w:rsidRPr="007F22B9" w:rsidRDefault="0021390F" w:rsidP="0021390F">
      <w:pPr>
        <w:spacing w:after="0"/>
        <w:rPr>
          <w:rStyle w:val="Ttulo2Char"/>
          <w:lang w:val="es-MX"/>
        </w:rPr>
      </w:pPr>
    </w:p>
    <w:p w14:paraId="67CF137A" w14:textId="77777777" w:rsidR="0021390F" w:rsidRPr="007F22B9" w:rsidRDefault="0021390F" w:rsidP="007B7BC4">
      <w:pPr>
        <w:pStyle w:val="Ttulo2"/>
        <w:rPr>
          <w:rStyle w:val="Ttulo2Char"/>
          <w:lang w:val="es-MX"/>
        </w:rPr>
      </w:pPr>
      <w:r w:rsidRPr="007F22B9">
        <w:rPr>
          <w:rStyle w:val="Ttulo2Char"/>
          <w:lang w:val="es-MX"/>
        </w:rPr>
        <w:t xml:space="preserve">Fuentes de financiamiento </w:t>
      </w:r>
    </w:p>
    <w:p w14:paraId="0E2B0B43" w14:textId="77777777" w:rsidR="0021390F" w:rsidRPr="007F22B9" w:rsidRDefault="007B7BC4" w:rsidP="0021390F">
      <w:pPr>
        <w:spacing w:after="0"/>
        <w:rPr>
          <w:lang w:val="es-MX"/>
        </w:rPr>
      </w:pPr>
      <w:r>
        <w:rPr>
          <w:lang w:val="es-MX"/>
        </w:rPr>
        <w:t xml:space="preserve">Fundación </w:t>
      </w:r>
      <w:r w:rsidR="0021390F" w:rsidRPr="007F22B9">
        <w:rPr>
          <w:lang w:val="es-MX"/>
        </w:rPr>
        <w:t xml:space="preserve">Bill &amp; Melinda Gates, </w:t>
      </w:r>
      <w:proofErr w:type="spellStart"/>
      <w:r w:rsidR="0021390F" w:rsidRPr="007F22B9">
        <w:rPr>
          <w:lang w:val="es-MX"/>
        </w:rPr>
        <w:t>Wellcome</w:t>
      </w:r>
      <w:proofErr w:type="spellEnd"/>
      <w:r w:rsidR="0021390F" w:rsidRPr="007F22B9">
        <w:rPr>
          <w:lang w:val="es-MX"/>
        </w:rPr>
        <w:t xml:space="preserve"> Trust, y </w:t>
      </w:r>
      <w:proofErr w:type="spellStart"/>
      <w:r w:rsidR="0021390F" w:rsidRPr="007F22B9">
        <w:rPr>
          <w:lang w:val="es-MX"/>
        </w:rPr>
        <w:t>Department</w:t>
      </w:r>
      <w:proofErr w:type="spellEnd"/>
      <w:r w:rsidR="0021390F" w:rsidRPr="007F22B9">
        <w:rPr>
          <w:lang w:val="es-MX"/>
        </w:rPr>
        <w:t xml:space="preserve"> </w:t>
      </w:r>
      <w:proofErr w:type="spellStart"/>
      <w:r w:rsidR="0021390F" w:rsidRPr="007F22B9">
        <w:rPr>
          <w:lang w:val="es-MX"/>
        </w:rPr>
        <w:t>of</w:t>
      </w:r>
      <w:proofErr w:type="spellEnd"/>
      <w:r w:rsidR="0021390F" w:rsidRPr="007F22B9">
        <w:rPr>
          <w:lang w:val="es-MX"/>
        </w:rPr>
        <w:t xml:space="preserve"> Health and Social Care usando financiamiento de UK </w:t>
      </w:r>
      <w:proofErr w:type="spellStart"/>
      <w:r w:rsidR="0021390F" w:rsidRPr="007F22B9">
        <w:rPr>
          <w:lang w:val="es-MX"/>
        </w:rPr>
        <w:t>aid</w:t>
      </w:r>
      <w:proofErr w:type="spellEnd"/>
      <w:r w:rsidR="0021390F" w:rsidRPr="007F22B9">
        <w:rPr>
          <w:lang w:val="es-MX"/>
        </w:rPr>
        <w:t xml:space="preserve"> administrado por el Fleming </w:t>
      </w:r>
      <w:proofErr w:type="spellStart"/>
      <w:r w:rsidR="0021390F" w:rsidRPr="007F22B9">
        <w:rPr>
          <w:lang w:val="es-MX"/>
        </w:rPr>
        <w:t>Fund</w:t>
      </w:r>
      <w:proofErr w:type="spellEnd"/>
      <w:r w:rsidR="0021390F" w:rsidRPr="007F22B9">
        <w:rPr>
          <w:lang w:val="es-MX"/>
        </w:rPr>
        <w:t>.</w:t>
      </w:r>
    </w:p>
    <w:p w14:paraId="245BB7F2" w14:textId="77777777" w:rsidR="0021390F" w:rsidRPr="007F22B9" w:rsidRDefault="0021390F" w:rsidP="0021390F">
      <w:pPr>
        <w:spacing w:after="0" w:line="240" w:lineRule="exact"/>
        <w:rPr>
          <w:lang w:val="es-MX"/>
        </w:rPr>
      </w:pPr>
    </w:p>
    <w:p w14:paraId="6DAC9800" w14:textId="77777777" w:rsidR="0021390F" w:rsidRPr="007F22B9" w:rsidRDefault="0021390F" w:rsidP="0021390F">
      <w:pPr>
        <w:spacing w:after="0"/>
        <w:rPr>
          <w:rFonts w:ascii="Calibri" w:eastAsia="Calibri" w:hAnsi="Calibri" w:cs="Calibri"/>
          <w:lang w:val="es-MX"/>
        </w:rPr>
      </w:pPr>
      <w:r w:rsidRPr="007F22B9">
        <w:rPr>
          <w:rFonts w:ascii="Calibri" w:eastAsia="Calibri" w:hAnsi="Calibri" w:cs="Calibri"/>
          <w:b/>
          <w:bCs/>
          <w:lang w:val="es-MX"/>
        </w:rPr>
        <w:t>Palabras clave:</w:t>
      </w:r>
      <w:r w:rsidRPr="007F22B9">
        <w:rPr>
          <w:rFonts w:ascii="Calibri" w:eastAsia="Calibri" w:hAnsi="Calibri" w:cs="Calibri"/>
          <w:lang w:val="es-MX"/>
        </w:rPr>
        <w:t xml:space="preserve"> Resistencia antimicrobiana; RAM; bacteria; carga de enfermedad; mortalidad; </w:t>
      </w:r>
      <w:r w:rsidR="007B7BC4" w:rsidRPr="007F22B9">
        <w:rPr>
          <w:rFonts w:ascii="Calibri" w:eastAsia="Calibri" w:hAnsi="Calibri" w:cs="Calibri"/>
          <w:lang w:val="es-MX"/>
        </w:rPr>
        <w:t>América</w:t>
      </w:r>
    </w:p>
    <w:p w14:paraId="11503715" w14:textId="77777777" w:rsidR="00B045E0" w:rsidRPr="007F22B9" w:rsidRDefault="00B045E0" w:rsidP="000B371D">
      <w:pPr>
        <w:rPr>
          <w:lang w:val="es-MX"/>
        </w:rPr>
      </w:pPr>
    </w:p>
    <w:sectPr w:rsidR="00B045E0" w:rsidRPr="007F2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A8"/>
    <w:rsid w:val="000B371D"/>
    <w:rsid w:val="0021390F"/>
    <w:rsid w:val="003E2D90"/>
    <w:rsid w:val="00435CF0"/>
    <w:rsid w:val="004673E7"/>
    <w:rsid w:val="0059766E"/>
    <w:rsid w:val="006B70D7"/>
    <w:rsid w:val="007B7BC4"/>
    <w:rsid w:val="007F22B9"/>
    <w:rsid w:val="00855B79"/>
    <w:rsid w:val="00892E5A"/>
    <w:rsid w:val="008A48A8"/>
    <w:rsid w:val="0098710A"/>
    <w:rsid w:val="00AB03D1"/>
    <w:rsid w:val="00B045E0"/>
    <w:rsid w:val="00C9113F"/>
    <w:rsid w:val="00D152DF"/>
    <w:rsid w:val="00E45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DD58"/>
  <w15:chartTrackingRefBased/>
  <w15:docId w15:val="{093EBEF2-F6D2-4C51-BD6A-61712970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A8"/>
    <w:pPr>
      <w:spacing w:line="256" w:lineRule="auto"/>
    </w:pPr>
  </w:style>
  <w:style w:type="paragraph" w:styleId="Ttulo1">
    <w:name w:val="heading 1"/>
    <w:basedOn w:val="Normal"/>
    <w:next w:val="Normal"/>
    <w:link w:val="Ttulo1Char"/>
    <w:uiPriority w:val="9"/>
    <w:qFormat/>
    <w:rsid w:val="008A4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A48A8"/>
    <w:pPr>
      <w:keepNext/>
      <w:keepLines/>
      <w:spacing w:before="40" w:after="0"/>
      <w:outlineLvl w:val="1"/>
    </w:pPr>
    <w:rPr>
      <w:rFonts w:asciiTheme="majorHAnsi" w:eastAsiaTheme="majorEastAsia" w:hAnsiTheme="majorHAnsi" w:cstheme="majorBidi"/>
      <w:b/>
      <w:color w:val="1F3864" w:themeColor="accent1" w:themeShade="80"/>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48A8"/>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8A48A8"/>
    <w:rPr>
      <w:rFonts w:asciiTheme="majorHAnsi" w:eastAsiaTheme="majorEastAsia" w:hAnsiTheme="majorHAnsi" w:cstheme="majorBidi"/>
      <w:b/>
      <w:color w:val="1F3864" w:themeColor="accent1" w:themeShade="8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7669">
      <w:bodyDiv w:val="1"/>
      <w:marLeft w:val="0"/>
      <w:marRight w:val="0"/>
      <w:marTop w:val="0"/>
      <w:marBottom w:val="0"/>
      <w:divBdr>
        <w:top w:val="none" w:sz="0" w:space="0" w:color="auto"/>
        <w:left w:val="none" w:sz="0" w:space="0" w:color="auto"/>
        <w:bottom w:val="none" w:sz="0" w:space="0" w:color="auto"/>
        <w:right w:val="none" w:sz="0" w:space="0" w:color="auto"/>
      </w:divBdr>
    </w:div>
    <w:div w:id="815145902">
      <w:bodyDiv w:val="1"/>
      <w:marLeft w:val="0"/>
      <w:marRight w:val="0"/>
      <w:marTop w:val="0"/>
      <w:marBottom w:val="0"/>
      <w:divBdr>
        <w:top w:val="none" w:sz="0" w:space="0" w:color="auto"/>
        <w:left w:val="none" w:sz="0" w:space="0" w:color="auto"/>
        <w:bottom w:val="none" w:sz="0" w:space="0" w:color="auto"/>
        <w:right w:val="none" w:sz="0" w:space="0" w:color="auto"/>
      </w:divBdr>
    </w:div>
    <w:div w:id="19955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1ADD-ACEA-455D-94B7-C35E8F23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773</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Robles Aguilar</dc:creator>
  <cp:keywords/>
  <dc:description/>
  <cp:lastModifiedBy>de Araujo, Elisa (ELS-RIO)</cp:lastModifiedBy>
  <cp:revision>5</cp:revision>
  <dcterms:created xsi:type="dcterms:W3CDTF">2023-07-06T01:54:00Z</dcterms:created>
  <dcterms:modified xsi:type="dcterms:W3CDTF">2023-07-07T20:19:00Z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2023-07-07T20:18:43Z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db936ae0-feea-43ce-b9cd-7c88755aa7b3</vt:lpwstr>
  </property>
  <property fmtid="{D5CDD505-2E9C-101B-9397-08002B2CF9AE}" pid="8" name="MSIP_Label_549ac42a-3eb4-4074-b885-aea26bd6241e_ContentBits">
    <vt:lpwstr>0</vt:lpwstr>
  </property>
</Properties>
</file>