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54697" w14:textId="70B1D02D" w:rsidR="0065534D" w:rsidRPr="0075311D" w:rsidRDefault="0065534D" w:rsidP="008A26A2">
      <w:pPr>
        <w:rPr>
          <w:rStyle w:val="normaltextrun"/>
          <w:rFonts w:cs="Times New Roman"/>
          <w:color w:val="2F5496"/>
          <w:sz w:val="32"/>
          <w:szCs w:val="32"/>
          <w:shd w:val="clear" w:color="auto" w:fill="FFFFFF"/>
        </w:rPr>
      </w:pPr>
      <w:bookmarkStart w:id="0" w:name="_Hlk127880494"/>
      <w:bookmarkEnd w:id="0"/>
      <w:r w:rsidRPr="0075311D">
        <w:rPr>
          <w:rStyle w:val="normaltextrun"/>
          <w:rFonts w:cs="Times New Roman"/>
          <w:color w:val="2F5496"/>
          <w:sz w:val="32"/>
          <w:szCs w:val="32"/>
          <w:shd w:val="clear" w:color="auto" w:fill="FFFFFF"/>
        </w:rPr>
        <w:t>Appendix: supplementary methods and results to “The burden of antimicrobial resistance in the Americas</w:t>
      </w:r>
      <w:r w:rsidR="00B6403B" w:rsidRPr="0075311D">
        <w:rPr>
          <w:rStyle w:val="normaltextrun"/>
          <w:rFonts w:cs="Times New Roman"/>
          <w:color w:val="2F5496"/>
          <w:sz w:val="32"/>
          <w:szCs w:val="32"/>
          <w:shd w:val="clear" w:color="auto" w:fill="FFFFFF"/>
        </w:rPr>
        <w:t xml:space="preserve"> </w:t>
      </w:r>
      <w:r w:rsidRPr="0075311D">
        <w:rPr>
          <w:rStyle w:val="normaltextrun"/>
          <w:rFonts w:cs="Times New Roman"/>
          <w:color w:val="2F5496"/>
          <w:sz w:val="32"/>
          <w:szCs w:val="32"/>
          <w:shd w:val="clear" w:color="auto" w:fill="FFFFFF"/>
        </w:rPr>
        <w:t xml:space="preserve">in 2019: a </w:t>
      </w:r>
      <w:r w:rsidR="00B6403B" w:rsidRPr="0075311D">
        <w:rPr>
          <w:rStyle w:val="normaltextrun"/>
          <w:rFonts w:cs="Times New Roman"/>
          <w:color w:val="2F5496"/>
          <w:sz w:val="32"/>
          <w:szCs w:val="32"/>
          <w:shd w:val="clear" w:color="auto" w:fill="FFFFFF"/>
        </w:rPr>
        <w:t xml:space="preserve">cross-country </w:t>
      </w:r>
      <w:r w:rsidRPr="0075311D">
        <w:rPr>
          <w:rStyle w:val="normaltextrun"/>
          <w:rFonts w:cs="Times New Roman"/>
          <w:color w:val="2F5496"/>
          <w:sz w:val="32"/>
          <w:szCs w:val="32"/>
          <w:shd w:val="clear" w:color="auto" w:fill="FFFFFF"/>
        </w:rPr>
        <w:t>systematic analysis”</w:t>
      </w:r>
    </w:p>
    <w:p w14:paraId="1F78A755" w14:textId="1D5A3431" w:rsidR="00901368" w:rsidRPr="00D26B36" w:rsidRDefault="00F65EF7" w:rsidP="00D26B36">
      <w:pPr>
        <w:suppressLineNumbers/>
      </w:pPr>
      <w:r>
        <w:t xml:space="preserve">This appendix provides further methodological details and supplementary </w:t>
      </w:r>
      <w:r w:rsidR="00A77DA1">
        <w:t>results</w:t>
      </w:r>
      <w:r>
        <w:t xml:space="preserve"> for “</w:t>
      </w:r>
      <w:r w:rsidRPr="00F65EF7">
        <w:rPr>
          <w:i/>
          <w:iCs/>
        </w:rPr>
        <w:t xml:space="preserve">The burden of antimicrobial resistance in the Americas in 2019: a </w:t>
      </w:r>
      <w:r w:rsidR="007F5F09">
        <w:rPr>
          <w:i/>
          <w:iCs/>
        </w:rPr>
        <w:t xml:space="preserve">cross-country </w:t>
      </w:r>
      <w:r w:rsidRPr="00F65EF7">
        <w:rPr>
          <w:i/>
          <w:iCs/>
        </w:rPr>
        <w:t>systematic analysis</w:t>
      </w:r>
      <w:r>
        <w:t>”. Parts of the appendix are taken directly from the appendix of the paper</w:t>
      </w:r>
      <w:r w:rsidR="00122729">
        <w:t>s</w:t>
      </w:r>
      <w:r>
        <w:t xml:space="preserve"> “</w:t>
      </w:r>
      <w:r w:rsidRPr="0E2C46D9">
        <w:rPr>
          <w:i/>
          <w:iCs/>
        </w:rPr>
        <w:t>Global burden of bacterial antimicrobial resistance in 2019: a systematic analysis</w:t>
      </w:r>
      <w:r>
        <w:t>“</w:t>
      </w:r>
      <w:r>
        <w:rPr>
          <w:color w:val="2B579A"/>
          <w:shd w:val="clear" w:color="auto" w:fill="E6E6E6"/>
        </w:rPr>
        <w:fldChar w:fldCharType="begin"/>
      </w:r>
      <w:r>
        <w:instrText xml:space="preserve"> ADDIN ZOTERO_ITEM CSL_CITATION {"citationID":"2zfIjlpR","properties":{"formattedCitation":"\\super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Pr>
          <w:color w:val="2B579A"/>
          <w:shd w:val="clear" w:color="auto" w:fill="E6E6E6"/>
        </w:rPr>
        <w:fldChar w:fldCharType="separate"/>
      </w:r>
      <w:r w:rsidR="003711BD" w:rsidRPr="003711BD">
        <w:rPr>
          <w:rFonts w:cs="Times New Roman"/>
          <w:szCs w:val="24"/>
          <w:vertAlign w:val="superscript"/>
        </w:rPr>
        <w:t>1</w:t>
      </w:r>
      <w:r>
        <w:rPr>
          <w:color w:val="2B579A"/>
          <w:shd w:val="clear" w:color="auto" w:fill="E6E6E6"/>
        </w:rPr>
        <w:fldChar w:fldCharType="end"/>
      </w:r>
      <w:r>
        <w:t xml:space="preserve"> </w:t>
      </w:r>
      <w:r w:rsidR="6AECD222">
        <w:t>and “</w:t>
      </w:r>
      <w:r w:rsidR="6AECD222" w:rsidRPr="27F0769E">
        <w:rPr>
          <w:i/>
          <w:iCs/>
        </w:rPr>
        <w:t>The burden of bacterial antimicrobial resistance in</w:t>
      </w:r>
      <w:r w:rsidRPr="27F0769E">
        <w:rPr>
          <w:i/>
        </w:rPr>
        <w:t xml:space="preserve"> the </w:t>
      </w:r>
      <w:r w:rsidR="6AECD222" w:rsidRPr="27F0769E">
        <w:rPr>
          <w:i/>
          <w:iCs/>
        </w:rPr>
        <w:t xml:space="preserve">WHO European Region in 2019: </w:t>
      </w:r>
      <w:r w:rsidR="6AECD222" w:rsidRPr="003711BD">
        <w:rPr>
          <w:i/>
          <w:iCs/>
        </w:rPr>
        <w:t xml:space="preserve">a </w:t>
      </w:r>
      <w:r w:rsidR="3917E3B4" w:rsidRPr="003711BD">
        <w:rPr>
          <w:i/>
          <w:iCs/>
        </w:rPr>
        <w:t xml:space="preserve">cross-country </w:t>
      </w:r>
      <w:r w:rsidR="6AECD222" w:rsidRPr="003711BD">
        <w:rPr>
          <w:i/>
          <w:iCs/>
        </w:rPr>
        <w:t xml:space="preserve">systematic </w:t>
      </w:r>
      <w:r w:rsidR="5F871DA9" w:rsidRPr="003711BD">
        <w:rPr>
          <w:i/>
          <w:iCs/>
        </w:rPr>
        <w:t>analysis</w:t>
      </w:r>
      <w:r w:rsidR="5F871DA9" w:rsidRPr="003711BD">
        <w:t>”</w:t>
      </w:r>
      <w:r w:rsidR="003711BD" w:rsidRPr="003711BD">
        <w:rPr>
          <w:color w:val="2B579A"/>
          <w:shd w:val="clear" w:color="auto" w:fill="E6E6E6"/>
        </w:rPr>
        <w:fldChar w:fldCharType="begin"/>
      </w:r>
      <w:r w:rsidR="003711BD" w:rsidRPr="003711BD">
        <w:instrText xml:space="preserve"> ADDIN ZOTERO_ITEM CSL_CITATION {"citationID":"29CJlgSf","properties":{"formattedCitation":"\\super 2\\nosupersub{}","plainCitation":"2","noteIndex":0},"citationItems":[{"id":122466,"uris":["http://zotero.org/groups/2154524/items/LJ6HQ43A"],"itemData":{"id":122466,"type":"article-journal","container-title":"The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Collaborators"}],"issued":{"date-parts":[["2022",11]]}}}],"schema":"https://github.com/citation-style-language/schema/raw/master/csl-citation.json"} </w:instrText>
      </w:r>
      <w:r w:rsidR="003711BD" w:rsidRPr="003711BD">
        <w:rPr>
          <w:color w:val="2B579A"/>
          <w:shd w:val="clear" w:color="auto" w:fill="E6E6E6"/>
        </w:rPr>
        <w:fldChar w:fldCharType="separate"/>
      </w:r>
      <w:r w:rsidR="003711BD" w:rsidRPr="003711BD">
        <w:rPr>
          <w:rFonts w:cs="Times New Roman"/>
          <w:szCs w:val="24"/>
          <w:vertAlign w:val="superscript"/>
        </w:rPr>
        <w:t>2</w:t>
      </w:r>
      <w:r w:rsidR="003711BD" w:rsidRPr="003711BD">
        <w:rPr>
          <w:color w:val="2B579A"/>
          <w:shd w:val="clear" w:color="auto" w:fill="E6E6E6"/>
        </w:rPr>
        <w:fldChar w:fldCharType="end"/>
      </w:r>
      <w:r w:rsidR="5F871DA9" w:rsidRPr="003711BD">
        <w:t xml:space="preserve"> </w:t>
      </w:r>
      <w:r w:rsidRPr="003711BD">
        <w:t xml:space="preserve">which </w:t>
      </w:r>
      <w:r w:rsidR="00122729" w:rsidRPr="003711BD">
        <w:t>are</w:t>
      </w:r>
      <w:r w:rsidRPr="003711BD">
        <w:t xml:space="preserve"> referenced throughout the text.</w:t>
      </w:r>
      <w:r w:rsidR="0065534D">
        <w:rPr>
          <w:rStyle w:val="eop"/>
          <w:rFonts w:asciiTheme="majorHAnsi" w:hAnsiTheme="majorHAnsi" w:cstheme="majorHAnsi"/>
          <w:color w:val="2F5496"/>
          <w:sz w:val="32"/>
          <w:szCs w:val="32"/>
          <w:shd w:val="clear" w:color="auto" w:fill="FFFFFF"/>
        </w:rPr>
        <w:br w:type="page"/>
      </w:r>
    </w:p>
    <w:sdt>
      <w:sdtPr>
        <w:rPr>
          <w:rFonts w:eastAsiaTheme="minorHAnsi" w:cstheme="minorBidi"/>
          <w:b w:val="0"/>
          <w:color w:val="auto"/>
          <w:sz w:val="20"/>
          <w:szCs w:val="22"/>
          <w:shd w:val="clear" w:color="auto" w:fill="E6E6E6"/>
        </w:rPr>
        <w:id w:val="335583884"/>
        <w:docPartObj>
          <w:docPartGallery w:val="Table of Contents"/>
          <w:docPartUnique/>
        </w:docPartObj>
      </w:sdtPr>
      <w:sdtContent>
        <w:p w14:paraId="6884FF11" w14:textId="615EB987" w:rsidR="00620C59" w:rsidRDefault="00620C59">
          <w:pPr>
            <w:pStyle w:val="TOCHeading"/>
          </w:pPr>
          <w:r>
            <w:t>Table of Contents</w:t>
          </w:r>
        </w:p>
        <w:p w14:paraId="797F9B01" w14:textId="66848F92" w:rsidR="00DC7C52" w:rsidRDefault="00620C59">
          <w:pPr>
            <w:pStyle w:val="TOC1"/>
            <w:tabs>
              <w:tab w:val="right" w:leader="dot" w:pos="9350"/>
            </w:tabs>
            <w:rPr>
              <w:rFonts w:asciiTheme="minorHAnsi" w:eastAsiaTheme="minorEastAsia" w:hAnsiTheme="minorHAnsi"/>
              <w:noProof/>
              <w:sz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35992033" w:history="1">
            <w:r w:rsidR="00DC7C52" w:rsidRPr="00AB0701">
              <w:rPr>
                <w:rStyle w:val="Hyperlink"/>
                <w:noProof/>
                <w:lang w:val="en-GB" w:eastAsia="en-GB"/>
              </w:rPr>
              <w:t>Section 1: List of Abbreviations</w:t>
            </w:r>
            <w:r w:rsidR="00DC7C52">
              <w:rPr>
                <w:noProof/>
                <w:webHidden/>
              </w:rPr>
              <w:tab/>
            </w:r>
            <w:r w:rsidR="00DC7C52">
              <w:rPr>
                <w:noProof/>
                <w:webHidden/>
              </w:rPr>
              <w:fldChar w:fldCharType="begin"/>
            </w:r>
            <w:r w:rsidR="00DC7C52">
              <w:rPr>
                <w:noProof/>
                <w:webHidden/>
              </w:rPr>
              <w:instrText xml:space="preserve"> PAGEREF _Toc135992033 \h </w:instrText>
            </w:r>
            <w:r w:rsidR="00DC7C52">
              <w:rPr>
                <w:noProof/>
                <w:webHidden/>
              </w:rPr>
            </w:r>
            <w:r w:rsidR="00DC7C52">
              <w:rPr>
                <w:noProof/>
                <w:webHidden/>
              </w:rPr>
              <w:fldChar w:fldCharType="separate"/>
            </w:r>
            <w:r w:rsidR="00DC7C52">
              <w:rPr>
                <w:noProof/>
                <w:webHidden/>
              </w:rPr>
              <w:t>3</w:t>
            </w:r>
            <w:r w:rsidR="00DC7C52">
              <w:rPr>
                <w:noProof/>
                <w:webHidden/>
              </w:rPr>
              <w:fldChar w:fldCharType="end"/>
            </w:r>
          </w:hyperlink>
        </w:p>
        <w:p w14:paraId="2F6A63F5" w14:textId="705478CE" w:rsidR="00DC7C52" w:rsidRDefault="00000000">
          <w:pPr>
            <w:pStyle w:val="TOC1"/>
            <w:tabs>
              <w:tab w:val="right" w:leader="dot" w:pos="9350"/>
            </w:tabs>
            <w:rPr>
              <w:rFonts w:asciiTheme="minorHAnsi" w:eastAsiaTheme="minorEastAsia" w:hAnsiTheme="minorHAnsi"/>
              <w:noProof/>
              <w:sz w:val="22"/>
            </w:rPr>
          </w:pPr>
          <w:hyperlink w:anchor="_Toc135992034" w:history="1">
            <w:r w:rsidR="00DC7C52" w:rsidRPr="00AB0701">
              <w:rPr>
                <w:rStyle w:val="Hyperlink"/>
                <w:noProof/>
              </w:rPr>
              <w:t>Section 2: Data sources</w:t>
            </w:r>
            <w:r w:rsidR="00DC7C52">
              <w:rPr>
                <w:noProof/>
                <w:webHidden/>
              </w:rPr>
              <w:tab/>
            </w:r>
            <w:r w:rsidR="00DC7C52">
              <w:rPr>
                <w:noProof/>
                <w:webHidden/>
              </w:rPr>
              <w:fldChar w:fldCharType="begin"/>
            </w:r>
            <w:r w:rsidR="00DC7C52">
              <w:rPr>
                <w:noProof/>
                <w:webHidden/>
              </w:rPr>
              <w:instrText xml:space="preserve"> PAGEREF _Toc135992034 \h </w:instrText>
            </w:r>
            <w:r w:rsidR="00DC7C52">
              <w:rPr>
                <w:noProof/>
                <w:webHidden/>
              </w:rPr>
            </w:r>
            <w:r w:rsidR="00DC7C52">
              <w:rPr>
                <w:noProof/>
                <w:webHidden/>
              </w:rPr>
              <w:fldChar w:fldCharType="separate"/>
            </w:r>
            <w:r w:rsidR="00DC7C52">
              <w:rPr>
                <w:noProof/>
                <w:webHidden/>
              </w:rPr>
              <w:t>4</w:t>
            </w:r>
            <w:r w:rsidR="00DC7C52">
              <w:rPr>
                <w:noProof/>
                <w:webHidden/>
              </w:rPr>
              <w:fldChar w:fldCharType="end"/>
            </w:r>
          </w:hyperlink>
        </w:p>
        <w:p w14:paraId="1F898BBE" w14:textId="6AF106EF" w:rsidR="00DC7C52" w:rsidRDefault="00000000">
          <w:pPr>
            <w:pStyle w:val="TOC2"/>
            <w:tabs>
              <w:tab w:val="right" w:leader="dot" w:pos="9350"/>
            </w:tabs>
            <w:rPr>
              <w:rFonts w:asciiTheme="minorHAnsi" w:eastAsiaTheme="minorEastAsia" w:hAnsiTheme="minorHAnsi"/>
              <w:noProof/>
              <w:sz w:val="22"/>
            </w:rPr>
          </w:pPr>
          <w:hyperlink w:anchor="_Toc135992035" w:history="1">
            <w:r w:rsidR="00DC7C52" w:rsidRPr="00AB0701">
              <w:rPr>
                <w:rStyle w:val="Hyperlink"/>
                <w:noProof/>
              </w:rPr>
              <w:t>Section 2.1: Multiple causes of death and vital registration (MCoD-VR) data.</w:t>
            </w:r>
            <w:r w:rsidR="00DC7C52">
              <w:rPr>
                <w:noProof/>
                <w:webHidden/>
              </w:rPr>
              <w:tab/>
            </w:r>
            <w:r w:rsidR="00DC7C52">
              <w:rPr>
                <w:noProof/>
                <w:webHidden/>
              </w:rPr>
              <w:fldChar w:fldCharType="begin"/>
            </w:r>
            <w:r w:rsidR="00DC7C52">
              <w:rPr>
                <w:noProof/>
                <w:webHidden/>
              </w:rPr>
              <w:instrText xml:space="preserve"> PAGEREF _Toc135992035 \h </w:instrText>
            </w:r>
            <w:r w:rsidR="00DC7C52">
              <w:rPr>
                <w:noProof/>
                <w:webHidden/>
              </w:rPr>
            </w:r>
            <w:r w:rsidR="00DC7C52">
              <w:rPr>
                <w:noProof/>
                <w:webHidden/>
              </w:rPr>
              <w:fldChar w:fldCharType="separate"/>
            </w:r>
            <w:r w:rsidR="00DC7C52">
              <w:rPr>
                <w:noProof/>
                <w:webHidden/>
              </w:rPr>
              <w:t>4</w:t>
            </w:r>
            <w:r w:rsidR="00DC7C52">
              <w:rPr>
                <w:noProof/>
                <w:webHidden/>
              </w:rPr>
              <w:fldChar w:fldCharType="end"/>
            </w:r>
          </w:hyperlink>
        </w:p>
        <w:p w14:paraId="7AC2B46A" w14:textId="45DD7591" w:rsidR="00DC7C52" w:rsidRDefault="00000000">
          <w:pPr>
            <w:pStyle w:val="TOC2"/>
            <w:tabs>
              <w:tab w:val="right" w:leader="dot" w:pos="9350"/>
            </w:tabs>
            <w:rPr>
              <w:rFonts w:asciiTheme="minorHAnsi" w:eastAsiaTheme="minorEastAsia" w:hAnsiTheme="minorHAnsi"/>
              <w:noProof/>
              <w:sz w:val="22"/>
            </w:rPr>
          </w:pPr>
          <w:hyperlink w:anchor="_Toc135992036" w:history="1">
            <w:r w:rsidR="00DC7C52" w:rsidRPr="00AB0701">
              <w:rPr>
                <w:rStyle w:val="Hyperlink"/>
                <w:noProof/>
              </w:rPr>
              <w:t>Section 2.2: Hospital discharge data.</w:t>
            </w:r>
            <w:r w:rsidR="00DC7C52">
              <w:rPr>
                <w:noProof/>
                <w:webHidden/>
              </w:rPr>
              <w:tab/>
            </w:r>
            <w:r w:rsidR="00DC7C52">
              <w:rPr>
                <w:noProof/>
                <w:webHidden/>
              </w:rPr>
              <w:fldChar w:fldCharType="begin"/>
            </w:r>
            <w:r w:rsidR="00DC7C52">
              <w:rPr>
                <w:noProof/>
                <w:webHidden/>
              </w:rPr>
              <w:instrText xml:space="preserve"> PAGEREF _Toc135992036 \h </w:instrText>
            </w:r>
            <w:r w:rsidR="00DC7C52">
              <w:rPr>
                <w:noProof/>
                <w:webHidden/>
              </w:rPr>
            </w:r>
            <w:r w:rsidR="00DC7C52">
              <w:rPr>
                <w:noProof/>
                <w:webHidden/>
              </w:rPr>
              <w:fldChar w:fldCharType="separate"/>
            </w:r>
            <w:r w:rsidR="00DC7C52">
              <w:rPr>
                <w:noProof/>
                <w:webHidden/>
              </w:rPr>
              <w:t>4</w:t>
            </w:r>
            <w:r w:rsidR="00DC7C52">
              <w:rPr>
                <w:noProof/>
                <w:webHidden/>
              </w:rPr>
              <w:fldChar w:fldCharType="end"/>
            </w:r>
          </w:hyperlink>
        </w:p>
        <w:p w14:paraId="1A902FC9" w14:textId="51B3DE7D" w:rsidR="00DC7C52" w:rsidRDefault="00000000">
          <w:pPr>
            <w:pStyle w:val="TOC2"/>
            <w:tabs>
              <w:tab w:val="right" w:leader="dot" w:pos="9350"/>
            </w:tabs>
            <w:rPr>
              <w:rFonts w:asciiTheme="minorHAnsi" w:eastAsiaTheme="minorEastAsia" w:hAnsiTheme="minorHAnsi"/>
              <w:noProof/>
              <w:sz w:val="22"/>
            </w:rPr>
          </w:pPr>
          <w:hyperlink w:anchor="_Toc135992037" w:history="1">
            <w:r w:rsidR="00DC7C52" w:rsidRPr="00AB0701">
              <w:rPr>
                <w:rStyle w:val="Hyperlink"/>
                <w:noProof/>
              </w:rPr>
              <w:t>Section 2.3: Linkage data sources.</w:t>
            </w:r>
            <w:r w:rsidR="00DC7C52">
              <w:rPr>
                <w:noProof/>
                <w:webHidden/>
              </w:rPr>
              <w:tab/>
            </w:r>
            <w:r w:rsidR="00DC7C52">
              <w:rPr>
                <w:noProof/>
                <w:webHidden/>
              </w:rPr>
              <w:fldChar w:fldCharType="begin"/>
            </w:r>
            <w:r w:rsidR="00DC7C52">
              <w:rPr>
                <w:noProof/>
                <w:webHidden/>
              </w:rPr>
              <w:instrText xml:space="preserve"> PAGEREF _Toc135992037 \h </w:instrText>
            </w:r>
            <w:r w:rsidR="00DC7C52">
              <w:rPr>
                <w:noProof/>
                <w:webHidden/>
              </w:rPr>
            </w:r>
            <w:r w:rsidR="00DC7C52">
              <w:rPr>
                <w:noProof/>
                <w:webHidden/>
              </w:rPr>
              <w:fldChar w:fldCharType="separate"/>
            </w:r>
            <w:r w:rsidR="00DC7C52">
              <w:rPr>
                <w:noProof/>
                <w:webHidden/>
              </w:rPr>
              <w:t>4</w:t>
            </w:r>
            <w:r w:rsidR="00DC7C52">
              <w:rPr>
                <w:noProof/>
                <w:webHidden/>
              </w:rPr>
              <w:fldChar w:fldCharType="end"/>
            </w:r>
          </w:hyperlink>
        </w:p>
        <w:p w14:paraId="2885ED70" w14:textId="175A4A02" w:rsidR="00DC7C52" w:rsidRDefault="00000000">
          <w:pPr>
            <w:pStyle w:val="TOC2"/>
            <w:tabs>
              <w:tab w:val="right" w:leader="dot" w:pos="9350"/>
            </w:tabs>
            <w:rPr>
              <w:rFonts w:asciiTheme="minorHAnsi" w:eastAsiaTheme="minorEastAsia" w:hAnsiTheme="minorHAnsi"/>
              <w:noProof/>
              <w:sz w:val="22"/>
            </w:rPr>
          </w:pPr>
          <w:hyperlink w:anchor="_Toc135992038" w:history="1">
            <w:r w:rsidR="00DC7C52" w:rsidRPr="00AB0701">
              <w:rPr>
                <w:rStyle w:val="Hyperlink"/>
                <w:noProof/>
              </w:rPr>
              <w:t>Section 2.4: Mortality surveillance in the Child Health and Mortality Prevention Surveillance (CHAMPS) study.</w:t>
            </w:r>
            <w:r w:rsidR="00DC7C52">
              <w:rPr>
                <w:noProof/>
                <w:webHidden/>
              </w:rPr>
              <w:tab/>
            </w:r>
            <w:r w:rsidR="00DC7C52">
              <w:rPr>
                <w:noProof/>
                <w:webHidden/>
              </w:rPr>
              <w:fldChar w:fldCharType="begin"/>
            </w:r>
            <w:r w:rsidR="00DC7C52">
              <w:rPr>
                <w:noProof/>
                <w:webHidden/>
              </w:rPr>
              <w:instrText xml:space="preserve"> PAGEREF _Toc135992038 \h </w:instrText>
            </w:r>
            <w:r w:rsidR="00DC7C52">
              <w:rPr>
                <w:noProof/>
                <w:webHidden/>
              </w:rPr>
            </w:r>
            <w:r w:rsidR="00DC7C52">
              <w:rPr>
                <w:noProof/>
                <w:webHidden/>
              </w:rPr>
              <w:fldChar w:fldCharType="separate"/>
            </w:r>
            <w:r w:rsidR="00DC7C52">
              <w:rPr>
                <w:noProof/>
                <w:webHidden/>
              </w:rPr>
              <w:t>5</w:t>
            </w:r>
            <w:r w:rsidR="00DC7C52">
              <w:rPr>
                <w:noProof/>
                <w:webHidden/>
              </w:rPr>
              <w:fldChar w:fldCharType="end"/>
            </w:r>
          </w:hyperlink>
        </w:p>
        <w:p w14:paraId="34F2BD1A" w14:textId="3E082D8A" w:rsidR="00DC7C52" w:rsidRDefault="00000000">
          <w:pPr>
            <w:pStyle w:val="TOC2"/>
            <w:tabs>
              <w:tab w:val="right" w:leader="dot" w:pos="9350"/>
            </w:tabs>
            <w:rPr>
              <w:rFonts w:asciiTheme="minorHAnsi" w:eastAsiaTheme="minorEastAsia" w:hAnsiTheme="minorHAnsi"/>
              <w:noProof/>
              <w:sz w:val="22"/>
            </w:rPr>
          </w:pPr>
          <w:hyperlink w:anchor="_Toc135992039" w:history="1">
            <w:r w:rsidR="00DC7C52" w:rsidRPr="00AB0701">
              <w:rPr>
                <w:rStyle w:val="Hyperlink"/>
                <w:noProof/>
              </w:rPr>
              <w:t>Section 2.5: Literature review of the microbial aetiology of meningitis, maternal and neonatal sepsis, lower respiratory infections, urinary tract infections, skin infections, peritonitis, and bone and joint infections</w:t>
            </w:r>
            <w:r w:rsidR="00DC7C52" w:rsidRPr="00AB0701">
              <w:rPr>
                <w:rStyle w:val="Hyperlink"/>
                <w:rFonts w:cs="Times New Roman"/>
                <w:noProof/>
                <w:vertAlign w:val="superscript"/>
              </w:rPr>
              <w:t>2</w:t>
            </w:r>
            <w:r w:rsidR="00DC7C52">
              <w:rPr>
                <w:noProof/>
                <w:webHidden/>
              </w:rPr>
              <w:tab/>
            </w:r>
            <w:r w:rsidR="00DC7C52">
              <w:rPr>
                <w:noProof/>
                <w:webHidden/>
              </w:rPr>
              <w:fldChar w:fldCharType="begin"/>
            </w:r>
            <w:r w:rsidR="00DC7C52">
              <w:rPr>
                <w:noProof/>
                <w:webHidden/>
              </w:rPr>
              <w:instrText xml:space="preserve"> PAGEREF _Toc135992039 \h </w:instrText>
            </w:r>
            <w:r w:rsidR="00DC7C52">
              <w:rPr>
                <w:noProof/>
                <w:webHidden/>
              </w:rPr>
            </w:r>
            <w:r w:rsidR="00DC7C52">
              <w:rPr>
                <w:noProof/>
                <w:webHidden/>
              </w:rPr>
              <w:fldChar w:fldCharType="separate"/>
            </w:r>
            <w:r w:rsidR="00DC7C52">
              <w:rPr>
                <w:noProof/>
                <w:webHidden/>
              </w:rPr>
              <w:t>5</w:t>
            </w:r>
            <w:r w:rsidR="00DC7C52">
              <w:rPr>
                <w:noProof/>
                <w:webHidden/>
              </w:rPr>
              <w:fldChar w:fldCharType="end"/>
            </w:r>
          </w:hyperlink>
        </w:p>
        <w:p w14:paraId="5F4D58FF" w14:textId="50C450FD" w:rsidR="00DC7C52" w:rsidRDefault="00000000">
          <w:pPr>
            <w:pStyle w:val="TOC2"/>
            <w:tabs>
              <w:tab w:val="right" w:leader="dot" w:pos="9350"/>
            </w:tabs>
            <w:rPr>
              <w:rFonts w:asciiTheme="minorHAnsi" w:eastAsiaTheme="minorEastAsia" w:hAnsiTheme="minorHAnsi"/>
              <w:noProof/>
              <w:sz w:val="22"/>
            </w:rPr>
          </w:pPr>
          <w:hyperlink w:anchor="_Toc135992040" w:history="1">
            <w:r w:rsidR="00DC7C52" w:rsidRPr="00AB0701">
              <w:rPr>
                <w:rStyle w:val="Hyperlink"/>
                <w:rFonts w:eastAsia="Times New Roman" w:cs="Times New Roman"/>
                <w:noProof/>
              </w:rPr>
              <w:t>Section 2.6: Exclusion criteria for literature reviews</w:t>
            </w:r>
            <w:r w:rsidR="00DC7C52" w:rsidRPr="00AB0701">
              <w:rPr>
                <w:rStyle w:val="Hyperlink"/>
                <w:rFonts w:cs="Times New Roman"/>
                <w:noProof/>
                <w:vertAlign w:val="superscript"/>
              </w:rPr>
              <w:t>2</w:t>
            </w:r>
            <w:r w:rsidR="00DC7C52">
              <w:rPr>
                <w:noProof/>
                <w:webHidden/>
              </w:rPr>
              <w:tab/>
            </w:r>
            <w:r w:rsidR="00DC7C52">
              <w:rPr>
                <w:noProof/>
                <w:webHidden/>
              </w:rPr>
              <w:fldChar w:fldCharType="begin"/>
            </w:r>
            <w:r w:rsidR="00DC7C52">
              <w:rPr>
                <w:noProof/>
                <w:webHidden/>
              </w:rPr>
              <w:instrText xml:space="preserve"> PAGEREF _Toc135992040 \h </w:instrText>
            </w:r>
            <w:r w:rsidR="00DC7C52">
              <w:rPr>
                <w:noProof/>
                <w:webHidden/>
              </w:rPr>
            </w:r>
            <w:r w:rsidR="00DC7C52">
              <w:rPr>
                <w:noProof/>
                <w:webHidden/>
              </w:rPr>
              <w:fldChar w:fldCharType="separate"/>
            </w:r>
            <w:r w:rsidR="00DC7C52">
              <w:rPr>
                <w:noProof/>
                <w:webHidden/>
              </w:rPr>
              <w:t>7</w:t>
            </w:r>
            <w:r w:rsidR="00DC7C52">
              <w:rPr>
                <w:noProof/>
                <w:webHidden/>
              </w:rPr>
              <w:fldChar w:fldCharType="end"/>
            </w:r>
          </w:hyperlink>
        </w:p>
        <w:p w14:paraId="355C2493" w14:textId="31CEEBA3" w:rsidR="00DC7C52" w:rsidRDefault="00000000">
          <w:pPr>
            <w:pStyle w:val="TOC2"/>
            <w:tabs>
              <w:tab w:val="right" w:leader="dot" w:pos="9350"/>
            </w:tabs>
            <w:rPr>
              <w:rFonts w:asciiTheme="minorHAnsi" w:eastAsiaTheme="minorEastAsia" w:hAnsiTheme="minorHAnsi"/>
              <w:noProof/>
              <w:sz w:val="22"/>
            </w:rPr>
          </w:pPr>
          <w:hyperlink w:anchor="_Toc135992041" w:history="1">
            <w:r w:rsidR="00DC7C52" w:rsidRPr="00AB0701">
              <w:rPr>
                <w:rStyle w:val="Hyperlink"/>
                <w:noProof/>
              </w:rPr>
              <w:t>Section 2.7: Laboratory-based passive surveillance data.</w:t>
            </w:r>
            <w:r w:rsidR="00DC7C52">
              <w:rPr>
                <w:noProof/>
                <w:webHidden/>
              </w:rPr>
              <w:tab/>
            </w:r>
            <w:r w:rsidR="00DC7C52">
              <w:rPr>
                <w:noProof/>
                <w:webHidden/>
              </w:rPr>
              <w:fldChar w:fldCharType="begin"/>
            </w:r>
            <w:r w:rsidR="00DC7C52">
              <w:rPr>
                <w:noProof/>
                <w:webHidden/>
              </w:rPr>
              <w:instrText xml:space="preserve"> PAGEREF _Toc135992041 \h </w:instrText>
            </w:r>
            <w:r w:rsidR="00DC7C52">
              <w:rPr>
                <w:noProof/>
                <w:webHidden/>
              </w:rPr>
            </w:r>
            <w:r w:rsidR="00DC7C52">
              <w:rPr>
                <w:noProof/>
                <w:webHidden/>
              </w:rPr>
              <w:fldChar w:fldCharType="separate"/>
            </w:r>
            <w:r w:rsidR="00DC7C52">
              <w:rPr>
                <w:noProof/>
                <w:webHidden/>
              </w:rPr>
              <w:t>8</w:t>
            </w:r>
            <w:r w:rsidR="00DC7C52">
              <w:rPr>
                <w:noProof/>
                <w:webHidden/>
              </w:rPr>
              <w:fldChar w:fldCharType="end"/>
            </w:r>
          </w:hyperlink>
        </w:p>
        <w:p w14:paraId="2AF3F17F" w14:textId="139B9FD2" w:rsidR="00DC7C52" w:rsidRDefault="00000000">
          <w:pPr>
            <w:pStyle w:val="TOC1"/>
            <w:tabs>
              <w:tab w:val="right" w:leader="dot" w:pos="9350"/>
            </w:tabs>
            <w:rPr>
              <w:rFonts w:asciiTheme="minorHAnsi" w:eastAsiaTheme="minorEastAsia" w:hAnsiTheme="minorHAnsi"/>
              <w:noProof/>
              <w:sz w:val="22"/>
            </w:rPr>
          </w:pPr>
          <w:hyperlink w:anchor="_Toc135992042" w:history="1">
            <w:r w:rsidR="00DC7C52" w:rsidRPr="00AB0701">
              <w:rPr>
                <w:rStyle w:val="Hyperlink"/>
                <w:noProof/>
              </w:rPr>
              <w:t xml:space="preserve">Section 3: </w:t>
            </w:r>
            <w:r w:rsidR="00DC7C52" w:rsidRPr="00AB0701">
              <w:rPr>
                <w:rStyle w:val="Hyperlink"/>
                <w:rFonts w:eastAsia="Times New Roman" w:cs="Times New Roman"/>
                <w:noProof/>
              </w:rPr>
              <w:t>Supplementary methods: a summary of the estimation process</w:t>
            </w:r>
            <w:r w:rsidR="00DC7C52" w:rsidRPr="00AB0701">
              <w:rPr>
                <w:rStyle w:val="Hyperlink"/>
                <w:rFonts w:cs="Times New Roman"/>
                <w:noProof/>
                <w:vertAlign w:val="superscript"/>
              </w:rPr>
              <w:t>1,2</w:t>
            </w:r>
            <w:r w:rsidR="00DC7C52">
              <w:rPr>
                <w:noProof/>
                <w:webHidden/>
              </w:rPr>
              <w:tab/>
            </w:r>
            <w:r w:rsidR="00DC7C52">
              <w:rPr>
                <w:noProof/>
                <w:webHidden/>
              </w:rPr>
              <w:fldChar w:fldCharType="begin"/>
            </w:r>
            <w:r w:rsidR="00DC7C52">
              <w:rPr>
                <w:noProof/>
                <w:webHidden/>
              </w:rPr>
              <w:instrText xml:space="preserve"> PAGEREF _Toc135992042 \h </w:instrText>
            </w:r>
            <w:r w:rsidR="00DC7C52">
              <w:rPr>
                <w:noProof/>
                <w:webHidden/>
              </w:rPr>
            </w:r>
            <w:r w:rsidR="00DC7C52">
              <w:rPr>
                <w:noProof/>
                <w:webHidden/>
              </w:rPr>
              <w:fldChar w:fldCharType="separate"/>
            </w:r>
            <w:r w:rsidR="00DC7C52">
              <w:rPr>
                <w:noProof/>
                <w:webHidden/>
              </w:rPr>
              <w:t>9</w:t>
            </w:r>
            <w:r w:rsidR="00DC7C52">
              <w:rPr>
                <w:noProof/>
                <w:webHidden/>
              </w:rPr>
              <w:fldChar w:fldCharType="end"/>
            </w:r>
          </w:hyperlink>
        </w:p>
        <w:p w14:paraId="6B8463A9" w14:textId="0F5C2F7C" w:rsidR="00DC7C52" w:rsidRDefault="00000000">
          <w:pPr>
            <w:pStyle w:val="TOC2"/>
            <w:tabs>
              <w:tab w:val="right" w:leader="dot" w:pos="9350"/>
            </w:tabs>
            <w:rPr>
              <w:rFonts w:asciiTheme="minorHAnsi" w:eastAsiaTheme="minorEastAsia" w:hAnsiTheme="minorHAnsi"/>
              <w:noProof/>
              <w:sz w:val="22"/>
            </w:rPr>
          </w:pPr>
          <w:hyperlink w:anchor="_Toc135992043" w:history="1">
            <w:r w:rsidR="00DC7C52" w:rsidRPr="00AB0701">
              <w:rPr>
                <w:rStyle w:val="Hyperlink"/>
                <w:rFonts w:eastAsia="Times New Roman" w:cs="Times New Roman"/>
                <w:bCs/>
                <w:noProof/>
              </w:rPr>
              <w:t>Section 3.1: GBD 2019 framework</w:t>
            </w:r>
            <w:r w:rsidR="00DC7C52">
              <w:rPr>
                <w:noProof/>
                <w:webHidden/>
              </w:rPr>
              <w:tab/>
            </w:r>
            <w:r w:rsidR="00DC7C52">
              <w:rPr>
                <w:noProof/>
                <w:webHidden/>
              </w:rPr>
              <w:fldChar w:fldCharType="begin"/>
            </w:r>
            <w:r w:rsidR="00DC7C52">
              <w:rPr>
                <w:noProof/>
                <w:webHidden/>
              </w:rPr>
              <w:instrText xml:space="preserve"> PAGEREF _Toc135992043 \h </w:instrText>
            </w:r>
            <w:r w:rsidR="00DC7C52">
              <w:rPr>
                <w:noProof/>
                <w:webHidden/>
              </w:rPr>
            </w:r>
            <w:r w:rsidR="00DC7C52">
              <w:rPr>
                <w:noProof/>
                <w:webHidden/>
              </w:rPr>
              <w:fldChar w:fldCharType="separate"/>
            </w:r>
            <w:r w:rsidR="00DC7C52">
              <w:rPr>
                <w:noProof/>
                <w:webHidden/>
              </w:rPr>
              <w:t>9</w:t>
            </w:r>
            <w:r w:rsidR="00DC7C52">
              <w:rPr>
                <w:noProof/>
                <w:webHidden/>
              </w:rPr>
              <w:fldChar w:fldCharType="end"/>
            </w:r>
          </w:hyperlink>
        </w:p>
        <w:p w14:paraId="50F03205" w14:textId="261FBD85" w:rsidR="00DC7C52" w:rsidRDefault="00000000">
          <w:pPr>
            <w:pStyle w:val="TOC2"/>
            <w:tabs>
              <w:tab w:val="right" w:leader="dot" w:pos="9350"/>
            </w:tabs>
            <w:rPr>
              <w:rFonts w:asciiTheme="minorHAnsi" w:eastAsiaTheme="minorEastAsia" w:hAnsiTheme="minorHAnsi"/>
              <w:noProof/>
              <w:sz w:val="22"/>
            </w:rPr>
          </w:pPr>
          <w:hyperlink w:anchor="_Toc135992044" w:history="1">
            <w:r w:rsidR="00DC7C52" w:rsidRPr="00AB0701">
              <w:rPr>
                <w:rStyle w:val="Hyperlink"/>
                <w:rFonts w:eastAsia="Times New Roman" w:cs="Times New Roman"/>
                <w:bCs/>
                <w:noProof/>
              </w:rPr>
              <w:t>Section 3.2: Deaths where infection plays a role and infectious syndrome estimation</w:t>
            </w:r>
            <w:r w:rsidR="00DC7C52">
              <w:rPr>
                <w:noProof/>
                <w:webHidden/>
              </w:rPr>
              <w:tab/>
            </w:r>
            <w:r w:rsidR="00DC7C52">
              <w:rPr>
                <w:noProof/>
                <w:webHidden/>
              </w:rPr>
              <w:fldChar w:fldCharType="begin"/>
            </w:r>
            <w:r w:rsidR="00DC7C52">
              <w:rPr>
                <w:noProof/>
                <w:webHidden/>
              </w:rPr>
              <w:instrText xml:space="preserve"> PAGEREF _Toc135992044 \h </w:instrText>
            </w:r>
            <w:r w:rsidR="00DC7C52">
              <w:rPr>
                <w:noProof/>
                <w:webHidden/>
              </w:rPr>
            </w:r>
            <w:r w:rsidR="00DC7C52">
              <w:rPr>
                <w:noProof/>
                <w:webHidden/>
              </w:rPr>
              <w:fldChar w:fldCharType="separate"/>
            </w:r>
            <w:r w:rsidR="00DC7C52">
              <w:rPr>
                <w:noProof/>
                <w:webHidden/>
              </w:rPr>
              <w:t>9</w:t>
            </w:r>
            <w:r w:rsidR="00DC7C52">
              <w:rPr>
                <w:noProof/>
                <w:webHidden/>
              </w:rPr>
              <w:fldChar w:fldCharType="end"/>
            </w:r>
          </w:hyperlink>
        </w:p>
        <w:p w14:paraId="29BBCBC0" w14:textId="401E9869" w:rsidR="00DC7C52" w:rsidRDefault="00000000">
          <w:pPr>
            <w:pStyle w:val="TOC2"/>
            <w:tabs>
              <w:tab w:val="right" w:leader="dot" w:pos="9350"/>
            </w:tabs>
            <w:rPr>
              <w:rFonts w:asciiTheme="minorHAnsi" w:eastAsiaTheme="minorEastAsia" w:hAnsiTheme="minorHAnsi"/>
              <w:noProof/>
              <w:sz w:val="22"/>
            </w:rPr>
          </w:pPr>
          <w:hyperlink w:anchor="_Toc135992045" w:history="1">
            <w:r w:rsidR="00DC7C52" w:rsidRPr="00AB0701">
              <w:rPr>
                <w:rStyle w:val="Hyperlink"/>
                <w:rFonts w:eastAsia="Times New Roman" w:cs="Times New Roman"/>
                <w:bCs/>
                <w:noProof/>
              </w:rPr>
              <w:t>Section 3.3: Case fatality ratios</w:t>
            </w:r>
            <w:r w:rsidR="00DC7C52">
              <w:rPr>
                <w:noProof/>
                <w:webHidden/>
              </w:rPr>
              <w:tab/>
            </w:r>
            <w:r w:rsidR="00DC7C52">
              <w:rPr>
                <w:noProof/>
                <w:webHidden/>
              </w:rPr>
              <w:fldChar w:fldCharType="begin"/>
            </w:r>
            <w:r w:rsidR="00DC7C52">
              <w:rPr>
                <w:noProof/>
                <w:webHidden/>
              </w:rPr>
              <w:instrText xml:space="preserve"> PAGEREF _Toc135992045 \h </w:instrText>
            </w:r>
            <w:r w:rsidR="00DC7C52">
              <w:rPr>
                <w:noProof/>
                <w:webHidden/>
              </w:rPr>
            </w:r>
            <w:r w:rsidR="00DC7C52">
              <w:rPr>
                <w:noProof/>
                <w:webHidden/>
              </w:rPr>
              <w:fldChar w:fldCharType="separate"/>
            </w:r>
            <w:r w:rsidR="00DC7C52">
              <w:rPr>
                <w:noProof/>
                <w:webHidden/>
              </w:rPr>
              <w:t>17</w:t>
            </w:r>
            <w:r w:rsidR="00DC7C52">
              <w:rPr>
                <w:noProof/>
                <w:webHidden/>
              </w:rPr>
              <w:fldChar w:fldCharType="end"/>
            </w:r>
          </w:hyperlink>
        </w:p>
        <w:p w14:paraId="248447BD" w14:textId="4382E662" w:rsidR="00DC7C52" w:rsidRDefault="00000000">
          <w:pPr>
            <w:pStyle w:val="TOC2"/>
            <w:tabs>
              <w:tab w:val="right" w:leader="dot" w:pos="9350"/>
            </w:tabs>
            <w:rPr>
              <w:rFonts w:asciiTheme="minorHAnsi" w:eastAsiaTheme="minorEastAsia" w:hAnsiTheme="minorHAnsi"/>
              <w:noProof/>
              <w:sz w:val="22"/>
            </w:rPr>
          </w:pPr>
          <w:hyperlink w:anchor="_Toc135992046" w:history="1">
            <w:r w:rsidR="00DC7C52" w:rsidRPr="00AB0701">
              <w:rPr>
                <w:rStyle w:val="Hyperlink"/>
                <w:rFonts w:eastAsia="Times New Roman" w:cs="Times New Roman"/>
                <w:bCs/>
                <w:noProof/>
              </w:rPr>
              <w:t>Section 3.4: Pathogen distribution</w:t>
            </w:r>
            <w:r w:rsidR="00DC7C52">
              <w:rPr>
                <w:noProof/>
                <w:webHidden/>
              </w:rPr>
              <w:tab/>
            </w:r>
            <w:r w:rsidR="00DC7C52">
              <w:rPr>
                <w:noProof/>
                <w:webHidden/>
              </w:rPr>
              <w:fldChar w:fldCharType="begin"/>
            </w:r>
            <w:r w:rsidR="00DC7C52">
              <w:rPr>
                <w:noProof/>
                <w:webHidden/>
              </w:rPr>
              <w:instrText xml:space="preserve"> PAGEREF _Toc135992046 \h </w:instrText>
            </w:r>
            <w:r w:rsidR="00DC7C52">
              <w:rPr>
                <w:noProof/>
                <w:webHidden/>
              </w:rPr>
            </w:r>
            <w:r w:rsidR="00DC7C52">
              <w:rPr>
                <w:noProof/>
                <w:webHidden/>
              </w:rPr>
              <w:fldChar w:fldCharType="separate"/>
            </w:r>
            <w:r w:rsidR="00DC7C52">
              <w:rPr>
                <w:noProof/>
                <w:webHidden/>
              </w:rPr>
              <w:t>19</w:t>
            </w:r>
            <w:r w:rsidR="00DC7C52">
              <w:rPr>
                <w:noProof/>
                <w:webHidden/>
              </w:rPr>
              <w:fldChar w:fldCharType="end"/>
            </w:r>
          </w:hyperlink>
        </w:p>
        <w:p w14:paraId="01C0DFFA" w14:textId="1335B1D7" w:rsidR="00DC7C52" w:rsidRDefault="00000000">
          <w:pPr>
            <w:pStyle w:val="TOC2"/>
            <w:tabs>
              <w:tab w:val="right" w:leader="dot" w:pos="9350"/>
            </w:tabs>
            <w:rPr>
              <w:rFonts w:asciiTheme="minorHAnsi" w:eastAsiaTheme="minorEastAsia" w:hAnsiTheme="minorHAnsi"/>
              <w:noProof/>
              <w:sz w:val="22"/>
            </w:rPr>
          </w:pPr>
          <w:hyperlink w:anchor="_Toc135992047" w:history="1">
            <w:r w:rsidR="00DC7C52" w:rsidRPr="00AB0701">
              <w:rPr>
                <w:rStyle w:val="Hyperlink"/>
                <w:rFonts w:eastAsia="Times New Roman" w:cs="Times New Roman"/>
                <w:bCs/>
                <w:noProof/>
              </w:rPr>
              <w:t>Section 3.5: Prevalence of resistance</w:t>
            </w:r>
            <w:r w:rsidR="00DC7C52">
              <w:rPr>
                <w:noProof/>
                <w:webHidden/>
              </w:rPr>
              <w:tab/>
            </w:r>
            <w:r w:rsidR="00DC7C52">
              <w:rPr>
                <w:noProof/>
                <w:webHidden/>
              </w:rPr>
              <w:fldChar w:fldCharType="begin"/>
            </w:r>
            <w:r w:rsidR="00DC7C52">
              <w:rPr>
                <w:noProof/>
                <w:webHidden/>
              </w:rPr>
              <w:instrText xml:space="preserve"> PAGEREF _Toc135992047 \h </w:instrText>
            </w:r>
            <w:r w:rsidR="00DC7C52">
              <w:rPr>
                <w:noProof/>
                <w:webHidden/>
              </w:rPr>
            </w:r>
            <w:r w:rsidR="00DC7C52">
              <w:rPr>
                <w:noProof/>
                <w:webHidden/>
              </w:rPr>
              <w:fldChar w:fldCharType="separate"/>
            </w:r>
            <w:r w:rsidR="00DC7C52">
              <w:rPr>
                <w:noProof/>
                <w:webHidden/>
              </w:rPr>
              <w:t>26</w:t>
            </w:r>
            <w:r w:rsidR="00DC7C52">
              <w:rPr>
                <w:noProof/>
                <w:webHidden/>
              </w:rPr>
              <w:fldChar w:fldCharType="end"/>
            </w:r>
          </w:hyperlink>
        </w:p>
        <w:p w14:paraId="5F5D23C7" w14:textId="02BDA701" w:rsidR="00DC7C52" w:rsidRDefault="00000000">
          <w:pPr>
            <w:pStyle w:val="TOC2"/>
            <w:tabs>
              <w:tab w:val="right" w:leader="dot" w:pos="9350"/>
            </w:tabs>
            <w:rPr>
              <w:rFonts w:asciiTheme="minorHAnsi" w:eastAsiaTheme="minorEastAsia" w:hAnsiTheme="minorHAnsi"/>
              <w:noProof/>
              <w:sz w:val="22"/>
            </w:rPr>
          </w:pPr>
          <w:hyperlink w:anchor="_Toc135992048" w:history="1">
            <w:r w:rsidR="00DC7C52" w:rsidRPr="00AB0701">
              <w:rPr>
                <w:rStyle w:val="Hyperlink"/>
                <w:rFonts w:eastAsia="Times New Roman" w:cs="Times New Roman"/>
                <w:bCs/>
                <w:noProof/>
              </w:rPr>
              <w:t>Section 3.6: Relative risk</w:t>
            </w:r>
            <w:r w:rsidR="00DC7C52">
              <w:rPr>
                <w:noProof/>
                <w:webHidden/>
              </w:rPr>
              <w:tab/>
            </w:r>
            <w:r w:rsidR="00DC7C52">
              <w:rPr>
                <w:noProof/>
                <w:webHidden/>
              </w:rPr>
              <w:fldChar w:fldCharType="begin"/>
            </w:r>
            <w:r w:rsidR="00DC7C52">
              <w:rPr>
                <w:noProof/>
                <w:webHidden/>
              </w:rPr>
              <w:instrText xml:space="preserve"> PAGEREF _Toc135992048 \h </w:instrText>
            </w:r>
            <w:r w:rsidR="00DC7C52">
              <w:rPr>
                <w:noProof/>
                <w:webHidden/>
              </w:rPr>
            </w:r>
            <w:r w:rsidR="00DC7C52">
              <w:rPr>
                <w:noProof/>
                <w:webHidden/>
              </w:rPr>
              <w:fldChar w:fldCharType="separate"/>
            </w:r>
            <w:r w:rsidR="00DC7C52">
              <w:rPr>
                <w:noProof/>
                <w:webHidden/>
              </w:rPr>
              <w:t>33</w:t>
            </w:r>
            <w:r w:rsidR="00DC7C52">
              <w:rPr>
                <w:noProof/>
                <w:webHidden/>
              </w:rPr>
              <w:fldChar w:fldCharType="end"/>
            </w:r>
          </w:hyperlink>
        </w:p>
        <w:p w14:paraId="13327EB6" w14:textId="1D93FD28" w:rsidR="00DC7C52" w:rsidRDefault="00000000">
          <w:pPr>
            <w:pStyle w:val="TOC2"/>
            <w:tabs>
              <w:tab w:val="right" w:leader="dot" w:pos="9350"/>
            </w:tabs>
            <w:rPr>
              <w:rFonts w:asciiTheme="minorHAnsi" w:eastAsiaTheme="minorEastAsia" w:hAnsiTheme="minorHAnsi"/>
              <w:noProof/>
              <w:sz w:val="22"/>
            </w:rPr>
          </w:pPr>
          <w:hyperlink w:anchor="_Toc135992049" w:history="1">
            <w:r w:rsidR="00DC7C52" w:rsidRPr="00AB0701">
              <w:rPr>
                <w:rStyle w:val="Hyperlink"/>
                <w:rFonts w:eastAsia="Times New Roman" w:cs="Times New Roman"/>
                <w:bCs/>
                <w:noProof/>
              </w:rPr>
              <w:t>Section 3.7: Counterfactuals and AMR estimation</w:t>
            </w:r>
            <w:r w:rsidR="00DC7C52">
              <w:rPr>
                <w:noProof/>
                <w:webHidden/>
              </w:rPr>
              <w:tab/>
            </w:r>
            <w:r w:rsidR="00DC7C52">
              <w:rPr>
                <w:noProof/>
                <w:webHidden/>
              </w:rPr>
              <w:fldChar w:fldCharType="begin"/>
            </w:r>
            <w:r w:rsidR="00DC7C52">
              <w:rPr>
                <w:noProof/>
                <w:webHidden/>
              </w:rPr>
              <w:instrText xml:space="preserve"> PAGEREF _Toc135992049 \h </w:instrText>
            </w:r>
            <w:r w:rsidR="00DC7C52">
              <w:rPr>
                <w:noProof/>
                <w:webHidden/>
              </w:rPr>
            </w:r>
            <w:r w:rsidR="00DC7C52">
              <w:rPr>
                <w:noProof/>
                <w:webHidden/>
              </w:rPr>
              <w:fldChar w:fldCharType="separate"/>
            </w:r>
            <w:r w:rsidR="00DC7C52">
              <w:rPr>
                <w:noProof/>
                <w:webHidden/>
              </w:rPr>
              <w:t>35</w:t>
            </w:r>
            <w:r w:rsidR="00DC7C52">
              <w:rPr>
                <w:noProof/>
                <w:webHidden/>
              </w:rPr>
              <w:fldChar w:fldCharType="end"/>
            </w:r>
          </w:hyperlink>
        </w:p>
        <w:p w14:paraId="1333C870" w14:textId="6F1DF0F9" w:rsidR="00DC7C52" w:rsidRDefault="00000000">
          <w:pPr>
            <w:pStyle w:val="TOC2"/>
            <w:tabs>
              <w:tab w:val="right" w:leader="dot" w:pos="9350"/>
            </w:tabs>
            <w:rPr>
              <w:rFonts w:asciiTheme="minorHAnsi" w:eastAsiaTheme="minorEastAsia" w:hAnsiTheme="minorHAnsi"/>
              <w:noProof/>
              <w:sz w:val="22"/>
            </w:rPr>
          </w:pPr>
          <w:hyperlink w:anchor="_Toc135992050" w:history="1">
            <w:r w:rsidR="00DC7C52" w:rsidRPr="00AB0701">
              <w:rPr>
                <w:rStyle w:val="Hyperlink"/>
                <w:rFonts w:eastAsia="Times New Roman" w:cs="Times New Roman"/>
                <w:bCs/>
                <w:noProof/>
              </w:rPr>
              <w:t>Section 3.8: Special considerations</w:t>
            </w:r>
            <w:r w:rsidR="00DC7C52">
              <w:rPr>
                <w:noProof/>
                <w:webHidden/>
              </w:rPr>
              <w:tab/>
            </w:r>
            <w:r w:rsidR="00DC7C52">
              <w:rPr>
                <w:noProof/>
                <w:webHidden/>
              </w:rPr>
              <w:fldChar w:fldCharType="begin"/>
            </w:r>
            <w:r w:rsidR="00DC7C52">
              <w:rPr>
                <w:noProof/>
                <w:webHidden/>
              </w:rPr>
              <w:instrText xml:space="preserve"> PAGEREF _Toc135992050 \h </w:instrText>
            </w:r>
            <w:r w:rsidR="00DC7C52">
              <w:rPr>
                <w:noProof/>
                <w:webHidden/>
              </w:rPr>
            </w:r>
            <w:r w:rsidR="00DC7C52">
              <w:rPr>
                <w:noProof/>
                <w:webHidden/>
              </w:rPr>
              <w:fldChar w:fldCharType="separate"/>
            </w:r>
            <w:r w:rsidR="00DC7C52">
              <w:rPr>
                <w:noProof/>
                <w:webHidden/>
              </w:rPr>
              <w:t>38</w:t>
            </w:r>
            <w:r w:rsidR="00DC7C52">
              <w:rPr>
                <w:noProof/>
                <w:webHidden/>
              </w:rPr>
              <w:fldChar w:fldCharType="end"/>
            </w:r>
          </w:hyperlink>
        </w:p>
        <w:p w14:paraId="449D2CA1" w14:textId="32758EEE" w:rsidR="00DC7C52" w:rsidRDefault="00000000">
          <w:pPr>
            <w:pStyle w:val="TOC1"/>
            <w:tabs>
              <w:tab w:val="right" w:leader="dot" w:pos="9350"/>
            </w:tabs>
            <w:rPr>
              <w:rFonts w:asciiTheme="minorHAnsi" w:eastAsiaTheme="minorEastAsia" w:hAnsiTheme="minorHAnsi"/>
              <w:noProof/>
              <w:sz w:val="22"/>
            </w:rPr>
          </w:pPr>
          <w:hyperlink w:anchor="_Toc135992051" w:history="1">
            <w:r w:rsidR="00DC7C52" w:rsidRPr="00AB0701">
              <w:rPr>
                <w:rStyle w:val="Hyperlink"/>
                <w:noProof/>
              </w:rPr>
              <w:t>Section 4: Supplementary Tables and Figures</w:t>
            </w:r>
            <w:r w:rsidR="00DC7C52">
              <w:rPr>
                <w:noProof/>
                <w:webHidden/>
              </w:rPr>
              <w:tab/>
            </w:r>
            <w:r w:rsidR="00DC7C52">
              <w:rPr>
                <w:noProof/>
                <w:webHidden/>
              </w:rPr>
              <w:fldChar w:fldCharType="begin"/>
            </w:r>
            <w:r w:rsidR="00DC7C52">
              <w:rPr>
                <w:noProof/>
                <w:webHidden/>
              </w:rPr>
              <w:instrText xml:space="preserve"> PAGEREF _Toc135992051 \h </w:instrText>
            </w:r>
            <w:r w:rsidR="00DC7C52">
              <w:rPr>
                <w:noProof/>
                <w:webHidden/>
              </w:rPr>
            </w:r>
            <w:r w:rsidR="00DC7C52">
              <w:rPr>
                <w:noProof/>
                <w:webHidden/>
              </w:rPr>
              <w:fldChar w:fldCharType="separate"/>
            </w:r>
            <w:r w:rsidR="00DC7C52">
              <w:rPr>
                <w:noProof/>
                <w:webHidden/>
              </w:rPr>
              <w:t>39</w:t>
            </w:r>
            <w:r w:rsidR="00DC7C52">
              <w:rPr>
                <w:noProof/>
                <w:webHidden/>
              </w:rPr>
              <w:fldChar w:fldCharType="end"/>
            </w:r>
          </w:hyperlink>
        </w:p>
        <w:p w14:paraId="5CC60250" w14:textId="441D79CA" w:rsidR="00DC7C52" w:rsidRDefault="00000000">
          <w:pPr>
            <w:pStyle w:val="TOC1"/>
            <w:tabs>
              <w:tab w:val="right" w:leader="dot" w:pos="9350"/>
            </w:tabs>
            <w:rPr>
              <w:rFonts w:asciiTheme="minorHAnsi" w:eastAsiaTheme="minorEastAsia" w:hAnsiTheme="minorHAnsi"/>
              <w:noProof/>
              <w:sz w:val="22"/>
            </w:rPr>
          </w:pPr>
          <w:hyperlink w:anchor="_Toc135992052" w:history="1">
            <w:r w:rsidR="00DC7C52" w:rsidRPr="00AB0701">
              <w:rPr>
                <w:rStyle w:val="Hyperlink"/>
                <w:noProof/>
              </w:rPr>
              <w:t>Section 5. GATHER Compliance: Guidelines for Accurate and Transparent Health Estimates Reporting</w:t>
            </w:r>
            <w:r w:rsidR="00DC7C52">
              <w:rPr>
                <w:noProof/>
                <w:webHidden/>
              </w:rPr>
              <w:tab/>
            </w:r>
            <w:r w:rsidR="00DC7C52">
              <w:rPr>
                <w:noProof/>
                <w:webHidden/>
              </w:rPr>
              <w:fldChar w:fldCharType="begin"/>
            </w:r>
            <w:r w:rsidR="00DC7C52">
              <w:rPr>
                <w:noProof/>
                <w:webHidden/>
              </w:rPr>
              <w:instrText xml:space="preserve"> PAGEREF _Toc135992052 \h </w:instrText>
            </w:r>
            <w:r w:rsidR="00DC7C52">
              <w:rPr>
                <w:noProof/>
                <w:webHidden/>
              </w:rPr>
            </w:r>
            <w:r w:rsidR="00DC7C52">
              <w:rPr>
                <w:noProof/>
                <w:webHidden/>
              </w:rPr>
              <w:fldChar w:fldCharType="separate"/>
            </w:r>
            <w:r w:rsidR="00DC7C52">
              <w:rPr>
                <w:noProof/>
                <w:webHidden/>
              </w:rPr>
              <w:t>67</w:t>
            </w:r>
            <w:r w:rsidR="00DC7C52">
              <w:rPr>
                <w:noProof/>
                <w:webHidden/>
              </w:rPr>
              <w:fldChar w:fldCharType="end"/>
            </w:r>
          </w:hyperlink>
        </w:p>
        <w:p w14:paraId="3353B17F" w14:textId="5063E0EB" w:rsidR="00DC7C52" w:rsidRDefault="00000000">
          <w:pPr>
            <w:pStyle w:val="TOC1"/>
            <w:tabs>
              <w:tab w:val="right" w:leader="dot" w:pos="9350"/>
            </w:tabs>
            <w:rPr>
              <w:rFonts w:asciiTheme="minorHAnsi" w:eastAsiaTheme="minorEastAsia" w:hAnsiTheme="minorHAnsi"/>
              <w:noProof/>
              <w:sz w:val="22"/>
            </w:rPr>
          </w:pPr>
          <w:hyperlink w:anchor="_Toc135992053" w:history="1">
            <w:r w:rsidR="00DC7C52" w:rsidRPr="00AB0701">
              <w:rPr>
                <w:rStyle w:val="Hyperlink"/>
                <w:noProof/>
              </w:rPr>
              <w:t>References</w:t>
            </w:r>
            <w:r w:rsidR="00DC7C52">
              <w:rPr>
                <w:noProof/>
                <w:webHidden/>
              </w:rPr>
              <w:tab/>
            </w:r>
            <w:r w:rsidR="00DC7C52">
              <w:rPr>
                <w:noProof/>
                <w:webHidden/>
              </w:rPr>
              <w:fldChar w:fldCharType="begin"/>
            </w:r>
            <w:r w:rsidR="00DC7C52">
              <w:rPr>
                <w:noProof/>
                <w:webHidden/>
              </w:rPr>
              <w:instrText xml:space="preserve"> PAGEREF _Toc135992053 \h </w:instrText>
            </w:r>
            <w:r w:rsidR="00DC7C52">
              <w:rPr>
                <w:noProof/>
                <w:webHidden/>
              </w:rPr>
            </w:r>
            <w:r w:rsidR="00DC7C52">
              <w:rPr>
                <w:noProof/>
                <w:webHidden/>
              </w:rPr>
              <w:fldChar w:fldCharType="separate"/>
            </w:r>
            <w:r w:rsidR="00DC7C52">
              <w:rPr>
                <w:noProof/>
                <w:webHidden/>
              </w:rPr>
              <w:t>70</w:t>
            </w:r>
            <w:r w:rsidR="00DC7C52">
              <w:rPr>
                <w:noProof/>
                <w:webHidden/>
              </w:rPr>
              <w:fldChar w:fldCharType="end"/>
            </w:r>
          </w:hyperlink>
        </w:p>
        <w:p w14:paraId="2CCD2756" w14:textId="339F98B7" w:rsidR="00DC7C52" w:rsidRDefault="00000000">
          <w:pPr>
            <w:pStyle w:val="TOC1"/>
            <w:tabs>
              <w:tab w:val="right" w:leader="dot" w:pos="9350"/>
            </w:tabs>
            <w:rPr>
              <w:rFonts w:asciiTheme="minorHAnsi" w:eastAsiaTheme="minorEastAsia" w:hAnsiTheme="minorHAnsi"/>
              <w:noProof/>
              <w:sz w:val="22"/>
            </w:rPr>
          </w:pPr>
          <w:hyperlink w:anchor="_Toc135992054" w:history="1">
            <w:r w:rsidR="00DC7C52" w:rsidRPr="00AB0701">
              <w:rPr>
                <w:rStyle w:val="Hyperlink"/>
                <w:noProof/>
              </w:rPr>
              <w:t>Authors’ Contributions</w:t>
            </w:r>
            <w:r w:rsidR="00DC7C52">
              <w:rPr>
                <w:noProof/>
                <w:webHidden/>
              </w:rPr>
              <w:tab/>
            </w:r>
            <w:r w:rsidR="00DC7C52">
              <w:rPr>
                <w:noProof/>
                <w:webHidden/>
              </w:rPr>
              <w:fldChar w:fldCharType="begin"/>
            </w:r>
            <w:r w:rsidR="00DC7C52">
              <w:rPr>
                <w:noProof/>
                <w:webHidden/>
              </w:rPr>
              <w:instrText xml:space="preserve"> PAGEREF _Toc135992054 \h </w:instrText>
            </w:r>
            <w:r w:rsidR="00DC7C52">
              <w:rPr>
                <w:noProof/>
                <w:webHidden/>
              </w:rPr>
            </w:r>
            <w:r w:rsidR="00DC7C52">
              <w:rPr>
                <w:noProof/>
                <w:webHidden/>
              </w:rPr>
              <w:fldChar w:fldCharType="separate"/>
            </w:r>
            <w:r w:rsidR="00DC7C52">
              <w:rPr>
                <w:noProof/>
                <w:webHidden/>
              </w:rPr>
              <w:t>72</w:t>
            </w:r>
            <w:r w:rsidR="00DC7C52">
              <w:rPr>
                <w:noProof/>
                <w:webHidden/>
              </w:rPr>
              <w:fldChar w:fldCharType="end"/>
            </w:r>
          </w:hyperlink>
        </w:p>
        <w:p w14:paraId="513A2676" w14:textId="556ACBAF" w:rsidR="00620C59" w:rsidRDefault="00620C59">
          <w:r>
            <w:rPr>
              <w:b/>
              <w:color w:val="2B579A"/>
              <w:shd w:val="clear" w:color="auto" w:fill="E6E6E6"/>
            </w:rPr>
            <w:fldChar w:fldCharType="end"/>
          </w:r>
        </w:p>
      </w:sdtContent>
    </w:sdt>
    <w:p w14:paraId="599E7C1A" w14:textId="0D6CBC18" w:rsidR="00901368" w:rsidRDefault="00901368">
      <w:r>
        <w:br w:type="page"/>
      </w:r>
    </w:p>
    <w:p w14:paraId="2F96971C" w14:textId="717C241D" w:rsidR="003B2FB7" w:rsidRDefault="00F65EF7" w:rsidP="008A26A2">
      <w:pPr>
        <w:pStyle w:val="Heading1"/>
        <w:spacing w:before="0"/>
        <w:rPr>
          <w:noProof/>
          <w:lang w:val="en-GB" w:eastAsia="en-GB"/>
        </w:rPr>
      </w:pPr>
      <w:bookmarkStart w:id="1" w:name="_Toc135992033"/>
      <w:r>
        <w:rPr>
          <w:noProof/>
          <w:lang w:val="en-GB" w:eastAsia="en-GB"/>
        </w:rPr>
        <w:lastRenderedPageBreak/>
        <w:t xml:space="preserve">Section 1: List of </w:t>
      </w:r>
      <w:r w:rsidR="003B2FB7">
        <w:rPr>
          <w:noProof/>
          <w:lang w:val="en-GB" w:eastAsia="en-GB"/>
        </w:rPr>
        <w:t>Abbreviations</w:t>
      </w:r>
      <w:bookmarkEnd w:id="1"/>
    </w:p>
    <w:p w14:paraId="42827295" w14:textId="77777777" w:rsidR="008A26A2" w:rsidRPr="008A26A2" w:rsidRDefault="008A26A2" w:rsidP="008A26A2">
      <w:pPr>
        <w:spacing w:after="0"/>
        <w:rPr>
          <w:lang w:val="en-GB" w:eastAsia="en-GB"/>
        </w:rPr>
      </w:pPr>
    </w:p>
    <w:tbl>
      <w:tblPr>
        <w:tblW w:w="0" w:type="auto"/>
        <w:tblLook w:val="04A0" w:firstRow="1" w:lastRow="0" w:firstColumn="1" w:lastColumn="0" w:noHBand="0" w:noVBand="1"/>
      </w:tblPr>
      <w:tblGrid>
        <w:gridCol w:w="1620"/>
        <w:gridCol w:w="6840"/>
      </w:tblGrid>
      <w:tr w:rsidR="003B2FB7" w:rsidRPr="009A78F3" w14:paraId="0C42B0A7" w14:textId="77777777" w:rsidTr="003B2FB7">
        <w:tc>
          <w:tcPr>
            <w:tcW w:w="1620" w:type="dxa"/>
          </w:tcPr>
          <w:p w14:paraId="39962902" w14:textId="77777777" w:rsidR="003B2FB7" w:rsidRPr="009A78F3" w:rsidRDefault="003B2FB7" w:rsidP="008A26A2">
            <w:pPr>
              <w:spacing w:before="120" w:after="120"/>
              <w:rPr>
                <w:b/>
                <w:szCs w:val="20"/>
              </w:rPr>
            </w:pPr>
            <w:r w:rsidRPr="009A78F3">
              <w:rPr>
                <w:b/>
                <w:szCs w:val="20"/>
              </w:rPr>
              <w:t>Abbreviation</w:t>
            </w:r>
          </w:p>
        </w:tc>
        <w:tc>
          <w:tcPr>
            <w:tcW w:w="6840" w:type="dxa"/>
          </w:tcPr>
          <w:p w14:paraId="50B0087E" w14:textId="77777777" w:rsidR="003B2FB7" w:rsidRPr="009A78F3" w:rsidRDefault="003B2FB7" w:rsidP="008A26A2">
            <w:pPr>
              <w:spacing w:before="120" w:after="120"/>
              <w:rPr>
                <w:b/>
                <w:szCs w:val="20"/>
              </w:rPr>
            </w:pPr>
            <w:r w:rsidRPr="009A78F3">
              <w:rPr>
                <w:b/>
                <w:szCs w:val="20"/>
              </w:rPr>
              <w:t>Full phrase</w:t>
            </w:r>
          </w:p>
        </w:tc>
      </w:tr>
      <w:tr w:rsidR="003B2FB7" w:rsidRPr="00A2653B" w14:paraId="4B3C7DBB" w14:textId="77777777" w:rsidTr="003B2FB7">
        <w:tc>
          <w:tcPr>
            <w:tcW w:w="1620" w:type="dxa"/>
          </w:tcPr>
          <w:p w14:paraId="5439D795" w14:textId="2D945F00" w:rsidR="003B2FB7" w:rsidRPr="00336D92" w:rsidRDefault="003B2FB7" w:rsidP="00EC351D">
            <w:r>
              <w:t>AMR</w:t>
            </w:r>
          </w:p>
        </w:tc>
        <w:tc>
          <w:tcPr>
            <w:tcW w:w="6840" w:type="dxa"/>
          </w:tcPr>
          <w:p w14:paraId="5CB29CF6" w14:textId="138EF056" w:rsidR="00336D92" w:rsidRPr="00A2653B" w:rsidRDefault="003B2FB7" w:rsidP="00EC351D">
            <w:r>
              <w:t>antimicrobial resistance</w:t>
            </w:r>
          </w:p>
        </w:tc>
      </w:tr>
      <w:tr w:rsidR="003B2FB7" w:rsidRPr="00C10757" w14:paraId="4C6E353F" w14:textId="77777777" w:rsidTr="003B2FB7">
        <w:tc>
          <w:tcPr>
            <w:tcW w:w="1620" w:type="dxa"/>
          </w:tcPr>
          <w:p w14:paraId="0A0C5EC1" w14:textId="77777777" w:rsidR="003B2FB7" w:rsidRPr="00605ED3" w:rsidRDefault="003B2FB7" w:rsidP="003B2FB7">
            <w:r>
              <w:t>BSI</w:t>
            </w:r>
          </w:p>
        </w:tc>
        <w:tc>
          <w:tcPr>
            <w:tcW w:w="6840" w:type="dxa"/>
          </w:tcPr>
          <w:p w14:paraId="179BBB54" w14:textId="77777777" w:rsidR="003B2FB7" w:rsidRPr="00EC351D" w:rsidRDefault="003B2FB7" w:rsidP="003B2FB7">
            <w:r w:rsidRPr="00EC351D">
              <w:t>bloodstream infections</w:t>
            </w:r>
          </w:p>
        </w:tc>
      </w:tr>
      <w:tr w:rsidR="003B2FB7" w:rsidRPr="002D027B" w14:paraId="6EB4055C" w14:textId="77777777" w:rsidTr="003B2FB7">
        <w:tc>
          <w:tcPr>
            <w:tcW w:w="1620" w:type="dxa"/>
          </w:tcPr>
          <w:p w14:paraId="26818D17" w14:textId="77777777" w:rsidR="003B2FB7" w:rsidRPr="00605ED3" w:rsidRDefault="003B2FB7" w:rsidP="003B2FB7">
            <w:r>
              <w:t>CDC</w:t>
            </w:r>
          </w:p>
        </w:tc>
        <w:tc>
          <w:tcPr>
            <w:tcW w:w="6840" w:type="dxa"/>
          </w:tcPr>
          <w:p w14:paraId="530E8292" w14:textId="77777777" w:rsidR="003B2FB7" w:rsidRPr="002D027B" w:rsidRDefault="003B2FB7" w:rsidP="003B2FB7">
            <w:pPr>
              <w:rPr>
                <w:rFonts w:cs="Times New Roman"/>
                <w:bCs/>
              </w:rPr>
            </w:pPr>
            <w:r w:rsidRPr="002D027B">
              <w:rPr>
                <w:rFonts w:cs="Times New Roman"/>
                <w:bCs/>
              </w:rPr>
              <w:t>Centers for Disease Control and Prevention</w:t>
            </w:r>
          </w:p>
        </w:tc>
      </w:tr>
      <w:tr w:rsidR="003B2FB7" w14:paraId="4E0E7858" w14:textId="77777777" w:rsidTr="003B2FB7">
        <w:tc>
          <w:tcPr>
            <w:tcW w:w="1620" w:type="dxa"/>
          </w:tcPr>
          <w:p w14:paraId="0B3E90F6" w14:textId="494D1CF5" w:rsidR="003178E4" w:rsidRDefault="003B2FB7" w:rsidP="003B2FB7">
            <w:pPr>
              <w:rPr>
                <w:rFonts w:eastAsia="Calibri" w:cs="Arial"/>
                <w:szCs w:val="20"/>
              </w:rPr>
            </w:pPr>
            <w:r w:rsidRPr="5058C5D1">
              <w:rPr>
                <w:rFonts w:eastAsia="Calibri" w:cs="Arial"/>
                <w:szCs w:val="20"/>
              </w:rPr>
              <w:t>CFR</w:t>
            </w:r>
          </w:p>
        </w:tc>
        <w:tc>
          <w:tcPr>
            <w:tcW w:w="6840" w:type="dxa"/>
          </w:tcPr>
          <w:p w14:paraId="7A4BEEA0" w14:textId="1D5D98F0" w:rsidR="003178E4" w:rsidRDefault="003B2FB7" w:rsidP="003B2FB7">
            <w:pPr>
              <w:rPr>
                <w:rFonts w:eastAsia="Calibri" w:cs="Arial"/>
                <w:szCs w:val="20"/>
              </w:rPr>
            </w:pPr>
            <w:r w:rsidRPr="5058C5D1">
              <w:rPr>
                <w:rFonts w:eastAsia="Calibri" w:cs="Arial"/>
                <w:szCs w:val="20"/>
              </w:rPr>
              <w:t>case fatality ratio</w:t>
            </w:r>
          </w:p>
        </w:tc>
      </w:tr>
      <w:tr w:rsidR="003B2FB7" w:rsidRPr="00594FF9" w14:paraId="244C7A74" w14:textId="77777777" w:rsidTr="003B2FB7">
        <w:tc>
          <w:tcPr>
            <w:tcW w:w="1620" w:type="dxa"/>
          </w:tcPr>
          <w:p w14:paraId="5BE940A1" w14:textId="53718E21" w:rsidR="00224425" w:rsidRDefault="00224425" w:rsidP="003B2FB7">
            <w:pPr>
              <w:rPr>
                <w:rFonts w:cs="Times New Roman"/>
              </w:rPr>
            </w:pPr>
            <w:r>
              <w:rPr>
                <w:rFonts w:cs="Times New Roman"/>
              </w:rPr>
              <w:t>CI</w:t>
            </w:r>
          </w:p>
          <w:p w14:paraId="5D4D561B" w14:textId="2518EFF0" w:rsidR="00377216" w:rsidRDefault="003934C9" w:rsidP="003B2FB7">
            <w:pPr>
              <w:rPr>
                <w:rFonts w:cs="Times New Roman"/>
              </w:rPr>
            </w:pPr>
            <w:r>
              <w:rPr>
                <w:rFonts w:cs="Times New Roman"/>
              </w:rPr>
              <w:t>CLSI</w:t>
            </w:r>
          </w:p>
          <w:p w14:paraId="29801761" w14:textId="7861DC4C" w:rsidR="003B2FB7" w:rsidRPr="6B9B8D0E" w:rsidRDefault="003B2FB7" w:rsidP="003B2FB7">
            <w:pPr>
              <w:rPr>
                <w:rFonts w:cs="Times New Roman"/>
              </w:rPr>
            </w:pPr>
            <w:r w:rsidRPr="260D5EF2">
              <w:rPr>
                <w:rFonts w:cs="Times New Roman"/>
              </w:rPr>
              <w:t>DALYs</w:t>
            </w:r>
          </w:p>
          <w:p w14:paraId="320DAF78" w14:textId="77777777" w:rsidR="003B2FB7" w:rsidRPr="6B9B8D0E" w:rsidRDefault="003B2FB7" w:rsidP="003B2FB7">
            <w:pPr>
              <w:rPr>
                <w:rFonts w:cs="Times New Roman"/>
              </w:rPr>
            </w:pPr>
            <w:r w:rsidRPr="260D5EF2">
              <w:rPr>
                <w:rFonts w:cs="Times New Roman"/>
              </w:rPr>
              <w:t>DDD</w:t>
            </w:r>
          </w:p>
        </w:tc>
        <w:tc>
          <w:tcPr>
            <w:tcW w:w="6840" w:type="dxa"/>
          </w:tcPr>
          <w:p w14:paraId="6E500ADA" w14:textId="0C9DFB0F" w:rsidR="00224425" w:rsidRDefault="00224425" w:rsidP="003B2FB7">
            <w:r>
              <w:t>confidence interval</w:t>
            </w:r>
          </w:p>
          <w:p w14:paraId="71E2D5F1" w14:textId="500ECD87" w:rsidR="00377216" w:rsidRDefault="00F401E6" w:rsidP="003B2FB7">
            <w:r w:rsidRPr="5CD88753">
              <w:rPr>
                <w:rStyle w:val="normaltextrun"/>
                <w:rFonts w:ascii="Calibri" w:hAnsi="Calibri" w:cs="Calibri"/>
                <w:sz w:val="22"/>
              </w:rPr>
              <w:t>Clinical and Laboratory Standards Institute</w:t>
            </w:r>
          </w:p>
          <w:p w14:paraId="52115028" w14:textId="696F6782" w:rsidR="003B2FB7" w:rsidRPr="00594FF9" w:rsidRDefault="00224425" w:rsidP="003B2FB7">
            <w:r>
              <w:t>d</w:t>
            </w:r>
            <w:r w:rsidR="003B2FB7">
              <w:t>isability-adjusted life-years</w:t>
            </w:r>
          </w:p>
          <w:p w14:paraId="7D3CE5E5" w14:textId="55E1D6A6" w:rsidR="003B2FB7" w:rsidRPr="00594FF9" w:rsidRDefault="00224425" w:rsidP="003B2FB7">
            <w:r>
              <w:t>d</w:t>
            </w:r>
            <w:r w:rsidR="003B2FB7">
              <w:t xml:space="preserve">efined </w:t>
            </w:r>
            <w:r>
              <w:t>d</w:t>
            </w:r>
            <w:r w:rsidR="003B2FB7">
              <w:t xml:space="preserve">aily </w:t>
            </w:r>
            <w:r>
              <w:t>d</w:t>
            </w:r>
            <w:r w:rsidR="003B2FB7">
              <w:t>ose</w:t>
            </w:r>
          </w:p>
        </w:tc>
      </w:tr>
      <w:tr w:rsidR="003B2FB7" w:rsidRPr="00605ED3" w14:paraId="0722FA32" w14:textId="77777777" w:rsidTr="003B2FB7">
        <w:tc>
          <w:tcPr>
            <w:tcW w:w="1620" w:type="dxa"/>
          </w:tcPr>
          <w:p w14:paraId="4D3174F3" w14:textId="5EAC4F94" w:rsidR="003178E4" w:rsidRDefault="003178E4" w:rsidP="003B2FB7">
            <w:r>
              <w:t>FDA</w:t>
            </w:r>
          </w:p>
          <w:p w14:paraId="4C2E2C6D" w14:textId="51588D4C" w:rsidR="003B2FB7" w:rsidRPr="00605ED3" w:rsidRDefault="003B2FB7" w:rsidP="003B2FB7">
            <w:r>
              <w:t>GBD</w:t>
            </w:r>
          </w:p>
        </w:tc>
        <w:tc>
          <w:tcPr>
            <w:tcW w:w="6840" w:type="dxa"/>
          </w:tcPr>
          <w:p w14:paraId="4D6CAF84" w14:textId="2806DB84" w:rsidR="003178E4" w:rsidRDefault="003178E4" w:rsidP="003B2FB7">
            <w:r>
              <w:t>the Food and Drug Administration</w:t>
            </w:r>
          </w:p>
          <w:p w14:paraId="226B3D7F" w14:textId="5D743045" w:rsidR="003B2FB7" w:rsidRPr="00605ED3" w:rsidRDefault="003B2FB7" w:rsidP="003B2FB7">
            <w:r>
              <w:t>Global Burden of Diseases, Injuries, and Risk Factors Study</w:t>
            </w:r>
          </w:p>
        </w:tc>
      </w:tr>
      <w:tr w:rsidR="003B2FB7" w:rsidRPr="002D027B" w14:paraId="10E41810" w14:textId="77777777" w:rsidTr="003B2FB7">
        <w:tc>
          <w:tcPr>
            <w:tcW w:w="1620" w:type="dxa"/>
          </w:tcPr>
          <w:p w14:paraId="51EC7552" w14:textId="77777777" w:rsidR="003B2FB7" w:rsidRDefault="003B2FB7" w:rsidP="003B2FB7">
            <w:r>
              <w:t>GLASS</w:t>
            </w:r>
          </w:p>
          <w:p w14:paraId="0CDE6826" w14:textId="7C885986" w:rsidR="003C202D" w:rsidRPr="00605ED3" w:rsidRDefault="003C202D" w:rsidP="003B2FB7">
            <w:r>
              <w:t>HAQ</w:t>
            </w:r>
          </w:p>
        </w:tc>
        <w:tc>
          <w:tcPr>
            <w:tcW w:w="6840" w:type="dxa"/>
          </w:tcPr>
          <w:p w14:paraId="777CA298" w14:textId="77777777" w:rsidR="003B2FB7" w:rsidRDefault="003B2FB7" w:rsidP="003B2FB7">
            <w:r w:rsidRPr="60E3C2D2">
              <w:t>Global Antimicrobial Resistance Surveillance System</w:t>
            </w:r>
          </w:p>
          <w:p w14:paraId="4B4E2B68" w14:textId="1D1B4BB4" w:rsidR="003C202D" w:rsidRPr="002D027B" w:rsidRDefault="003C202D" w:rsidP="003B2FB7">
            <w:r>
              <w:rPr>
                <w:rStyle w:val="normaltextrun"/>
                <w:rFonts w:ascii="Calibri" w:hAnsi="Calibri" w:cs="Calibri"/>
                <w:sz w:val="22"/>
              </w:rPr>
              <w:t>Healthcare Access and Quality Index</w:t>
            </w:r>
          </w:p>
        </w:tc>
      </w:tr>
      <w:tr w:rsidR="003B2FB7" w:rsidRPr="00A2653B" w14:paraId="0D318001" w14:textId="77777777" w:rsidTr="003B2FB7">
        <w:tc>
          <w:tcPr>
            <w:tcW w:w="1620" w:type="dxa"/>
          </w:tcPr>
          <w:p w14:paraId="2933FE6E" w14:textId="77777777" w:rsidR="003B2FB7" w:rsidRPr="00605ED3" w:rsidRDefault="003B2FB7" w:rsidP="003B2FB7">
            <w:proofErr w:type="spellStart"/>
            <w:r>
              <w:t>iNTS</w:t>
            </w:r>
            <w:proofErr w:type="spellEnd"/>
          </w:p>
        </w:tc>
        <w:tc>
          <w:tcPr>
            <w:tcW w:w="6840" w:type="dxa"/>
          </w:tcPr>
          <w:p w14:paraId="4AB497D4" w14:textId="77777777" w:rsidR="003B2FB7" w:rsidRPr="00A2653B" w:rsidRDefault="003B2FB7" w:rsidP="003B2FB7">
            <w:pPr>
              <w:rPr>
                <w:rFonts w:cs="Times New Roman"/>
              </w:rPr>
            </w:pPr>
            <w:r>
              <w:t xml:space="preserve">invasive non-typhoidal </w:t>
            </w:r>
            <w:r w:rsidRPr="00183C6A">
              <w:t>Salmonella</w:t>
            </w:r>
          </w:p>
        </w:tc>
      </w:tr>
      <w:tr w:rsidR="003B2FB7" w:rsidRPr="00C10757" w14:paraId="19F202C9" w14:textId="77777777" w:rsidTr="003B2FB7">
        <w:tc>
          <w:tcPr>
            <w:tcW w:w="1620" w:type="dxa"/>
          </w:tcPr>
          <w:p w14:paraId="40D86137" w14:textId="77777777" w:rsidR="003B2FB7" w:rsidRPr="00605ED3" w:rsidRDefault="003B2FB7" w:rsidP="003B2FB7">
            <w:r>
              <w:t>LRI</w:t>
            </w:r>
          </w:p>
        </w:tc>
        <w:tc>
          <w:tcPr>
            <w:tcW w:w="6840" w:type="dxa"/>
          </w:tcPr>
          <w:p w14:paraId="481648C2" w14:textId="77777777" w:rsidR="003B2FB7" w:rsidRPr="00C10757" w:rsidRDefault="003B2FB7" w:rsidP="003B2FB7">
            <w:pPr>
              <w:rPr>
                <w:rFonts w:cs="Times New Roman"/>
              </w:rPr>
            </w:pPr>
            <w:r w:rsidRPr="6B9B8D0E">
              <w:rPr>
                <w:rFonts w:cs="Times New Roman"/>
              </w:rPr>
              <w:t>lower respiratory infection</w:t>
            </w:r>
          </w:p>
        </w:tc>
      </w:tr>
      <w:tr w:rsidR="003B2FB7" w:rsidRPr="00A2653B" w14:paraId="7EC899CE" w14:textId="77777777" w:rsidTr="003B2FB7">
        <w:tc>
          <w:tcPr>
            <w:tcW w:w="1620" w:type="dxa"/>
          </w:tcPr>
          <w:p w14:paraId="26517502" w14:textId="0F028F12" w:rsidR="003B2FB7" w:rsidRDefault="003B2FB7" w:rsidP="003B2FB7">
            <w:proofErr w:type="spellStart"/>
            <w:r>
              <w:t>MCoD</w:t>
            </w:r>
            <w:proofErr w:type="spellEnd"/>
          </w:p>
          <w:p w14:paraId="70376AFF" w14:textId="74EA1E85" w:rsidR="003178E4" w:rsidRDefault="003178E4" w:rsidP="003B2FB7">
            <w:r>
              <w:t>MRSA</w:t>
            </w:r>
          </w:p>
          <w:p w14:paraId="5F130041" w14:textId="6B88C080" w:rsidR="00AC287F" w:rsidRDefault="00AC287F" w:rsidP="003B2FB7">
            <w:r>
              <w:t>NAP</w:t>
            </w:r>
          </w:p>
          <w:p w14:paraId="71D2913D" w14:textId="4AD817B9" w:rsidR="003178E4" w:rsidRDefault="003178E4" w:rsidP="003B2FB7">
            <w:r>
              <w:t>NARMS</w:t>
            </w:r>
          </w:p>
          <w:p w14:paraId="0346D3D1" w14:textId="3DE35ECC" w:rsidR="00115311" w:rsidRDefault="00115311" w:rsidP="003B2FB7">
            <w:r>
              <w:t>OECD</w:t>
            </w:r>
          </w:p>
          <w:p w14:paraId="1D8F6CDF" w14:textId="08536B44" w:rsidR="003178E4" w:rsidRDefault="003178E4" w:rsidP="003B2FB7">
            <w:r>
              <w:t>PACCARB</w:t>
            </w:r>
          </w:p>
          <w:p w14:paraId="37E5666E" w14:textId="275394AF" w:rsidR="003178E4" w:rsidRDefault="003178E4" w:rsidP="003B2FB7">
            <w:r>
              <w:t>PAF</w:t>
            </w:r>
          </w:p>
          <w:p w14:paraId="7461975B" w14:textId="4C0CAE81" w:rsidR="003178E4" w:rsidRPr="00605ED3" w:rsidRDefault="003178E4" w:rsidP="003B2FB7">
            <w:r>
              <w:t>PAHO</w:t>
            </w:r>
          </w:p>
        </w:tc>
        <w:tc>
          <w:tcPr>
            <w:tcW w:w="6840" w:type="dxa"/>
          </w:tcPr>
          <w:p w14:paraId="64B828D0" w14:textId="77777777" w:rsidR="003B2FB7" w:rsidRDefault="003B2FB7" w:rsidP="003B2FB7">
            <w:r>
              <w:t>multiple causes of death data</w:t>
            </w:r>
          </w:p>
          <w:p w14:paraId="57213E55" w14:textId="047CDFF9" w:rsidR="0045648C" w:rsidRDefault="003178E4" w:rsidP="003B2FB7">
            <w:r>
              <w:t xml:space="preserve">Methicillin-resistant </w:t>
            </w:r>
            <w:r w:rsidRPr="2295FF63">
              <w:rPr>
                <w:i/>
                <w:iCs/>
              </w:rPr>
              <w:t>S. aureus</w:t>
            </w:r>
          </w:p>
          <w:p w14:paraId="60D9631B" w14:textId="331F698E" w:rsidR="00AC287F" w:rsidRDefault="00AC287F" w:rsidP="003B2FB7">
            <w:r>
              <w:t>National Action Plan</w:t>
            </w:r>
          </w:p>
          <w:p w14:paraId="27D8BE44" w14:textId="793AD3B9" w:rsidR="003178E4" w:rsidRDefault="003178E4" w:rsidP="003B2FB7">
            <w:r>
              <w:t>the National Antimicrobial Resistance Monitoring System</w:t>
            </w:r>
          </w:p>
          <w:p w14:paraId="1FF9A600" w14:textId="24510514" w:rsidR="00115311" w:rsidRDefault="00115311" w:rsidP="003B2FB7">
            <w:proofErr w:type="spellStart"/>
            <w:r>
              <w:t>Organisation</w:t>
            </w:r>
            <w:proofErr w:type="spellEnd"/>
            <w:r>
              <w:t xml:space="preserve"> for Economic Co-operation and Development</w:t>
            </w:r>
          </w:p>
          <w:p w14:paraId="0673872E" w14:textId="52C9BA37" w:rsidR="003178E4" w:rsidRDefault="003178E4" w:rsidP="003B2FB7">
            <w:r>
              <w:t>Presidential Advisory Council on Combating Antibiotic-Resistant Bacteria</w:t>
            </w:r>
          </w:p>
          <w:p w14:paraId="14479152" w14:textId="08146118" w:rsidR="003178E4" w:rsidRDefault="003178E4" w:rsidP="003B2FB7">
            <w:r>
              <w:t>population attributable fraction</w:t>
            </w:r>
          </w:p>
          <w:p w14:paraId="5EF8830E" w14:textId="7910CAF8" w:rsidR="003178E4" w:rsidRPr="00A2653B" w:rsidRDefault="003178E4" w:rsidP="003B2FB7">
            <w:r>
              <w:t>Pan-American Health Organization</w:t>
            </w:r>
          </w:p>
        </w:tc>
      </w:tr>
      <w:tr w:rsidR="002D428F" w:rsidRPr="00605ED3" w14:paraId="5FA47192" w14:textId="77777777" w:rsidTr="003B2FB7">
        <w:tc>
          <w:tcPr>
            <w:tcW w:w="1620" w:type="dxa"/>
          </w:tcPr>
          <w:p w14:paraId="160ADDD0" w14:textId="77777777" w:rsidR="002D428F" w:rsidRDefault="002D428F" w:rsidP="003B2FB7">
            <w:proofErr w:type="spellStart"/>
            <w:r>
              <w:t>ReLAVRA</w:t>
            </w:r>
            <w:proofErr w:type="spellEnd"/>
          </w:p>
          <w:p w14:paraId="5FC63ED2" w14:textId="39EC4064" w:rsidR="002D428F" w:rsidRPr="00605ED3" w:rsidRDefault="002D428F" w:rsidP="003B2FB7">
            <w:r>
              <w:t>SDI</w:t>
            </w:r>
          </w:p>
        </w:tc>
        <w:tc>
          <w:tcPr>
            <w:tcW w:w="6840" w:type="dxa"/>
          </w:tcPr>
          <w:p w14:paraId="3C630961" w14:textId="77777777" w:rsidR="002D428F" w:rsidRDefault="002D428F" w:rsidP="003B2FB7">
            <w:pPr>
              <w:rPr>
                <w:lang w:val="en-GB"/>
              </w:rPr>
            </w:pPr>
            <w:r>
              <w:t>The Latin American Antimicrobial Resistance Surveillance Network</w:t>
            </w:r>
          </w:p>
          <w:p w14:paraId="5364DDF9" w14:textId="3E6B93D9" w:rsidR="002D428F" w:rsidRPr="00605ED3" w:rsidRDefault="002D428F" w:rsidP="003B2FB7">
            <w:r w:rsidRPr="6B9B8D0E">
              <w:rPr>
                <w:lang w:val="en-GB"/>
              </w:rPr>
              <w:t>Socio-demographic Index</w:t>
            </w:r>
          </w:p>
        </w:tc>
      </w:tr>
      <w:tr w:rsidR="002D428F" w:rsidRPr="00C10757" w14:paraId="7A3FA76B" w14:textId="77777777" w:rsidTr="003B2FB7">
        <w:tc>
          <w:tcPr>
            <w:tcW w:w="1620" w:type="dxa"/>
          </w:tcPr>
          <w:p w14:paraId="501A9A19" w14:textId="77777777" w:rsidR="002D428F" w:rsidRDefault="002D428F" w:rsidP="003B2FB7">
            <w:r>
              <w:t>SEV</w:t>
            </w:r>
          </w:p>
          <w:p w14:paraId="42A5DF42" w14:textId="27968D3F" w:rsidR="002D428F" w:rsidRPr="00605ED3" w:rsidRDefault="002D428F" w:rsidP="003B2FB7">
            <w:r>
              <w:t>SIREVA</w:t>
            </w:r>
          </w:p>
        </w:tc>
        <w:tc>
          <w:tcPr>
            <w:tcW w:w="6840" w:type="dxa"/>
          </w:tcPr>
          <w:p w14:paraId="2C32AEC8" w14:textId="77777777" w:rsidR="002D428F" w:rsidRDefault="002D428F" w:rsidP="003B2FB7">
            <w:pPr>
              <w:rPr>
                <w:lang w:val="en-GB"/>
              </w:rPr>
            </w:pPr>
            <w:r w:rsidRPr="6B9B8D0E">
              <w:rPr>
                <w:lang w:val="en-GB"/>
              </w:rPr>
              <w:t>summary exposure value</w:t>
            </w:r>
          </w:p>
          <w:p w14:paraId="7072AC0F" w14:textId="2F68087F" w:rsidR="002D428F" w:rsidRPr="00C10757" w:rsidRDefault="002D428F" w:rsidP="003B2FB7">
            <w:pPr>
              <w:rPr>
                <w:lang w:val="en-GB"/>
              </w:rPr>
            </w:pPr>
            <w:r>
              <w:rPr>
                <w:lang w:val="en-GB"/>
              </w:rPr>
              <w:t>the regional system for vaccines</w:t>
            </w:r>
          </w:p>
        </w:tc>
      </w:tr>
      <w:tr w:rsidR="002D428F" w:rsidRPr="00C10757" w14:paraId="767810F3" w14:textId="77777777" w:rsidTr="003B2FB7">
        <w:tc>
          <w:tcPr>
            <w:tcW w:w="1620" w:type="dxa"/>
          </w:tcPr>
          <w:p w14:paraId="7706AA54" w14:textId="2E89FB97" w:rsidR="002D428F" w:rsidRPr="00605ED3" w:rsidRDefault="002D428F" w:rsidP="003B2FB7">
            <w:r w:rsidRPr="00605ED3">
              <w:rPr>
                <w:rFonts w:cs="Times New Roman"/>
                <w:bCs/>
              </w:rPr>
              <w:t>ST-GPR</w:t>
            </w:r>
          </w:p>
        </w:tc>
        <w:tc>
          <w:tcPr>
            <w:tcW w:w="6840" w:type="dxa"/>
          </w:tcPr>
          <w:p w14:paraId="55C15F76" w14:textId="670E5761" w:rsidR="002D428F" w:rsidRPr="00C10757" w:rsidRDefault="002D428F" w:rsidP="003B2FB7">
            <w:pPr>
              <w:rPr>
                <w:lang w:val="en-GB"/>
              </w:rPr>
            </w:pPr>
            <w:r w:rsidRPr="6B9B8D0E">
              <w:rPr>
                <w:lang w:val="en-GB"/>
              </w:rPr>
              <w:t>spatiotemporal Gaussian process regression</w:t>
            </w:r>
          </w:p>
        </w:tc>
      </w:tr>
      <w:tr w:rsidR="002D428F" w:rsidRPr="00C10757" w14:paraId="39A6DC3A" w14:textId="77777777" w:rsidTr="003B2FB7">
        <w:tc>
          <w:tcPr>
            <w:tcW w:w="1620" w:type="dxa"/>
          </w:tcPr>
          <w:p w14:paraId="5E5CF205" w14:textId="71E0EC84" w:rsidR="002D428F" w:rsidRPr="00605ED3" w:rsidRDefault="002D428F" w:rsidP="003B2FB7">
            <w:pPr>
              <w:rPr>
                <w:rFonts w:cs="Times New Roman"/>
                <w:bCs/>
              </w:rPr>
            </w:pPr>
            <w:r w:rsidRPr="00605ED3">
              <w:rPr>
                <w:rFonts w:cs="Times New Roman"/>
                <w:bCs/>
              </w:rPr>
              <w:t>TB</w:t>
            </w:r>
          </w:p>
        </w:tc>
        <w:tc>
          <w:tcPr>
            <w:tcW w:w="6840" w:type="dxa"/>
          </w:tcPr>
          <w:p w14:paraId="2EBD926B" w14:textId="5E169492" w:rsidR="002D428F" w:rsidRPr="00C10757" w:rsidRDefault="002D428F" w:rsidP="003B2FB7">
            <w:r>
              <w:t>tuberculosis</w:t>
            </w:r>
          </w:p>
        </w:tc>
      </w:tr>
      <w:tr w:rsidR="002D428F" w:rsidRPr="00594FF9" w14:paraId="2BCB1E8C" w14:textId="77777777" w:rsidTr="003B2FB7">
        <w:tc>
          <w:tcPr>
            <w:tcW w:w="1620" w:type="dxa"/>
          </w:tcPr>
          <w:p w14:paraId="197400BA" w14:textId="77777777" w:rsidR="002D428F" w:rsidRDefault="002D428F" w:rsidP="003B2FB7">
            <w:pPr>
              <w:rPr>
                <w:rFonts w:cs="Times New Roman"/>
                <w:bCs/>
              </w:rPr>
            </w:pPr>
            <w:r w:rsidRPr="00605ED3">
              <w:rPr>
                <w:rFonts w:cs="Times New Roman"/>
                <w:bCs/>
              </w:rPr>
              <w:t>UI</w:t>
            </w:r>
          </w:p>
          <w:p w14:paraId="515B703D" w14:textId="124C9B11" w:rsidR="002D428F" w:rsidRPr="00605ED3" w:rsidRDefault="002D428F" w:rsidP="003B2FB7">
            <w:pPr>
              <w:rPr>
                <w:rFonts w:cs="Times New Roman"/>
                <w:bCs/>
              </w:rPr>
            </w:pPr>
            <w:r>
              <w:rPr>
                <w:rFonts w:cs="Times New Roman"/>
                <w:bCs/>
              </w:rPr>
              <w:lastRenderedPageBreak/>
              <w:t>USDA</w:t>
            </w:r>
          </w:p>
        </w:tc>
        <w:tc>
          <w:tcPr>
            <w:tcW w:w="6840" w:type="dxa"/>
          </w:tcPr>
          <w:p w14:paraId="45E61F99" w14:textId="77777777" w:rsidR="002D428F" w:rsidRDefault="002D428F" w:rsidP="003B2FB7">
            <w:r>
              <w:lastRenderedPageBreak/>
              <w:t>uncertainty interval</w:t>
            </w:r>
          </w:p>
          <w:p w14:paraId="3BEDC5D4" w14:textId="28570088" w:rsidR="002D428F" w:rsidRPr="00594FF9" w:rsidRDefault="002D428F" w:rsidP="003B2FB7">
            <w:r>
              <w:lastRenderedPageBreak/>
              <w:t>the US Department of Agriculture</w:t>
            </w:r>
          </w:p>
        </w:tc>
      </w:tr>
      <w:tr w:rsidR="002D428F" w:rsidRPr="00C10757" w14:paraId="05997A1E" w14:textId="77777777" w:rsidTr="003B2FB7">
        <w:tc>
          <w:tcPr>
            <w:tcW w:w="1620" w:type="dxa"/>
          </w:tcPr>
          <w:p w14:paraId="4FB21CA6" w14:textId="4B22DE1A" w:rsidR="002D428F" w:rsidRPr="00605ED3" w:rsidRDefault="002D428F" w:rsidP="003B2FB7">
            <w:pPr>
              <w:rPr>
                <w:rFonts w:cs="Times New Roman"/>
                <w:bCs/>
              </w:rPr>
            </w:pPr>
            <w:r>
              <w:t>WHO</w:t>
            </w:r>
          </w:p>
        </w:tc>
        <w:tc>
          <w:tcPr>
            <w:tcW w:w="6840" w:type="dxa"/>
          </w:tcPr>
          <w:p w14:paraId="7F01DD73" w14:textId="4D263829" w:rsidR="002D428F" w:rsidRPr="00C10757" w:rsidRDefault="002D428F" w:rsidP="003B2FB7">
            <w:r>
              <w:t>World Health Organization</w:t>
            </w:r>
          </w:p>
        </w:tc>
      </w:tr>
      <w:tr w:rsidR="002D428F" w14:paraId="3E79A613" w14:textId="77777777" w:rsidTr="003B2FB7">
        <w:tc>
          <w:tcPr>
            <w:tcW w:w="1620" w:type="dxa"/>
          </w:tcPr>
          <w:p w14:paraId="5F9BC831" w14:textId="2AE776B3" w:rsidR="002D428F" w:rsidRPr="00605ED3" w:rsidRDefault="002D428F" w:rsidP="003B2FB7"/>
        </w:tc>
        <w:tc>
          <w:tcPr>
            <w:tcW w:w="6840" w:type="dxa"/>
          </w:tcPr>
          <w:p w14:paraId="765BE553" w14:textId="4574BF9B" w:rsidR="002D428F" w:rsidRDefault="002D428F" w:rsidP="003B2FB7"/>
        </w:tc>
      </w:tr>
    </w:tbl>
    <w:p w14:paraId="445AB236" w14:textId="01E47F0A" w:rsidR="003B2FB7" w:rsidRPr="008A26A2" w:rsidRDefault="26903F49" w:rsidP="008A26A2">
      <w:pPr>
        <w:pStyle w:val="Heading1"/>
      </w:pPr>
      <w:bookmarkStart w:id="2" w:name="_Toc135992034"/>
      <w:r w:rsidRPr="008A26A2">
        <w:t>Section 2: Data sources</w:t>
      </w:r>
      <w:bookmarkEnd w:id="2"/>
    </w:p>
    <w:p w14:paraId="094BA090" w14:textId="19AD9DAB" w:rsidR="003B2FB7" w:rsidRPr="0075311D" w:rsidRDefault="26903F49" w:rsidP="00832CEC">
      <w:pPr>
        <w:spacing w:line="240" w:lineRule="auto"/>
        <w:rPr>
          <w:rFonts w:cs="Times New Roman"/>
          <w:szCs w:val="20"/>
        </w:rPr>
      </w:pPr>
      <w:r w:rsidRPr="0075311D">
        <w:rPr>
          <w:rFonts w:eastAsia="Calibri" w:cs="Times New Roman"/>
          <w:noProof/>
          <w:szCs w:val="20"/>
          <w:lang w:val="en-GB"/>
        </w:rPr>
        <w:t>We use a subset of the input data described in the GB-AMR capstone paper.</w:t>
      </w:r>
      <w:r w:rsidR="000A69E2" w:rsidRPr="0075311D">
        <w:rPr>
          <w:rFonts w:eastAsia="Calibri" w:cs="Times New Roman"/>
          <w:color w:val="2B579A"/>
          <w:szCs w:val="20"/>
          <w:shd w:val="clear" w:color="auto" w:fill="E6E6E6"/>
          <w:lang w:val="en-GB"/>
        </w:rPr>
        <w:fldChar w:fldCharType="begin"/>
      </w:r>
      <w:r w:rsidR="000A69E2" w:rsidRPr="0075311D">
        <w:rPr>
          <w:rFonts w:eastAsia="Calibri" w:cs="Times New Roman"/>
          <w:noProof/>
          <w:szCs w:val="20"/>
          <w:lang w:val="en-GB"/>
        </w:rPr>
        <w:instrText xml:space="preserve"> ADDIN ZOTERO_ITEM CSL_CITATION {"citationID":"fVwqEcJJ","properties":{"formattedCitation":"\\super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0A69E2" w:rsidRPr="0075311D">
        <w:rPr>
          <w:rFonts w:eastAsia="Calibri" w:cs="Times New Roman"/>
          <w:color w:val="2B579A"/>
          <w:szCs w:val="20"/>
          <w:shd w:val="clear" w:color="auto" w:fill="E6E6E6"/>
          <w:lang w:val="en-GB"/>
        </w:rPr>
        <w:fldChar w:fldCharType="separate"/>
      </w:r>
      <w:r w:rsidR="003711BD" w:rsidRPr="003711BD">
        <w:rPr>
          <w:rFonts w:cs="Times New Roman"/>
          <w:szCs w:val="24"/>
          <w:vertAlign w:val="superscript"/>
        </w:rPr>
        <w:t>1</w:t>
      </w:r>
      <w:r w:rsidR="000A69E2" w:rsidRPr="0075311D">
        <w:rPr>
          <w:rFonts w:eastAsia="Calibri" w:cs="Times New Roman"/>
          <w:color w:val="2B579A"/>
          <w:szCs w:val="20"/>
          <w:shd w:val="clear" w:color="auto" w:fill="E6E6E6"/>
          <w:lang w:val="en-GB"/>
        </w:rPr>
        <w:fldChar w:fldCharType="end"/>
      </w:r>
      <w:r w:rsidRPr="0075311D">
        <w:rPr>
          <w:rFonts w:eastAsia="Calibri" w:cs="Times New Roman"/>
          <w:noProof/>
          <w:szCs w:val="20"/>
          <w:lang w:val="en-GB"/>
        </w:rPr>
        <w:t xml:space="preserve"> This subset has information on underlying cause or primary diagnosis at admission or sample specimen type to determine the infectious syndrome which have a positive culture of pathogen and did not have a sampling framework that would bias the aetiology estimation towards a specific pathogen</w:t>
      </w:r>
      <w:r w:rsidR="00832CEC" w:rsidRPr="0075311D">
        <w:rPr>
          <w:rFonts w:eastAsia="Calibri" w:cs="Times New Roman"/>
          <w:noProof/>
          <w:szCs w:val="20"/>
          <w:lang w:val="en-GB"/>
        </w:rPr>
        <w:t xml:space="preserve"> (ie,</w:t>
      </w:r>
      <w:r w:rsidRPr="0075311D">
        <w:rPr>
          <w:rFonts w:eastAsia="Calibri" w:cs="Times New Roman"/>
          <w:noProof/>
          <w:szCs w:val="20"/>
          <w:lang w:val="en-GB"/>
        </w:rPr>
        <w:t xml:space="preserve"> did not deliberately sample until 100 cases of every pathogen of interest had been obtained)</w:t>
      </w:r>
      <w:r w:rsidR="00832CEC" w:rsidRPr="0075311D">
        <w:rPr>
          <w:rFonts w:eastAsia="Calibri" w:cs="Times New Roman"/>
          <w:noProof/>
          <w:szCs w:val="20"/>
          <w:lang w:val="en-GB"/>
        </w:rPr>
        <w:t>.</w:t>
      </w:r>
      <w:r w:rsidRPr="0075311D">
        <w:rPr>
          <w:rFonts w:eastAsia="Calibri" w:cs="Times New Roman"/>
          <w:noProof/>
          <w:szCs w:val="20"/>
          <w:lang w:val="en-GB"/>
        </w:rPr>
        <w:t xml:space="preserve"> </w:t>
      </w:r>
    </w:p>
    <w:p w14:paraId="496C459B" w14:textId="14BDB436"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The input data source types that met these criteria were: </w:t>
      </w:r>
    </w:p>
    <w:p w14:paraId="249681FD" w14:textId="5C237376" w:rsidR="003B2FB7" w:rsidRPr="008A26A2" w:rsidRDefault="26903F49" w:rsidP="008A26A2">
      <w:pPr>
        <w:pStyle w:val="Heading2"/>
      </w:pPr>
      <w:bookmarkStart w:id="3" w:name="_Toc135992035"/>
      <w:r w:rsidRPr="008A26A2">
        <w:t>Section 2.1: Multiple causes of death and vital registration (</w:t>
      </w:r>
      <w:proofErr w:type="spellStart"/>
      <w:r w:rsidRPr="008A26A2">
        <w:t>MCoD</w:t>
      </w:r>
      <w:proofErr w:type="spellEnd"/>
      <w:r w:rsidRPr="008A26A2">
        <w:t>-VR) data.</w:t>
      </w:r>
      <w:bookmarkEnd w:id="3"/>
      <w:r w:rsidRPr="008A26A2">
        <w:t xml:space="preserve"> </w:t>
      </w:r>
    </w:p>
    <w:p w14:paraId="27D21F42" w14:textId="4F92D6FA"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These are certificates from vital records provide the underlying, immediate and intermediate causes and conditions contributing to deaths observed in the following national health systems: </w:t>
      </w:r>
    </w:p>
    <w:p w14:paraId="04A710A4" w14:textId="3A052A62"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United States National Vital Statistics System </w:t>
      </w:r>
    </w:p>
    <w:p w14:paraId="49799BCD" w14:textId="3E4665AB"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Brazil Mortality Information System </w:t>
      </w:r>
    </w:p>
    <w:p w14:paraId="1BF2D0D5" w14:textId="5608E168"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National Institute of Statistics (Italy) </w:t>
      </w:r>
    </w:p>
    <w:p w14:paraId="4C4DF19A" w14:textId="30754E55"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Statistics South Africa </w:t>
      </w:r>
    </w:p>
    <w:p w14:paraId="4C5C3EF6" w14:textId="1487C576"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National Institute of Statistics and Geography (Mexico) </w:t>
      </w:r>
    </w:p>
    <w:p w14:paraId="0A6A0AEF" w14:textId="5B24F682"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National Administrative Department of Statistics (Colombia) </w:t>
      </w:r>
    </w:p>
    <w:p w14:paraId="201AA034" w14:textId="658A9999"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Taiwan Ministry of Health and Welfare </w:t>
      </w:r>
    </w:p>
    <w:p w14:paraId="157E2D04" w14:textId="7AFA7CDC" w:rsidR="003B2FB7" w:rsidRPr="008A26A2" w:rsidRDefault="26903F49" w:rsidP="008A26A2">
      <w:pPr>
        <w:pStyle w:val="Heading2"/>
      </w:pPr>
      <w:bookmarkStart w:id="4" w:name="_Toc135992036"/>
      <w:r w:rsidRPr="008A26A2">
        <w:t>Section 2.2: Hospital discharge data.</w:t>
      </w:r>
      <w:bookmarkEnd w:id="4"/>
      <w:r w:rsidRPr="008A26A2">
        <w:t xml:space="preserve"> </w:t>
      </w:r>
    </w:p>
    <w:p w14:paraId="11F69114" w14:textId="5932D60D"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Hospital admissions and discharge data, which include primary and secondary diagnosis for each patient. </w:t>
      </w:r>
    </w:p>
    <w:p w14:paraId="3671AE2B" w14:textId="55976B18"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USA National Hospital Discharge Survey </w:t>
      </w:r>
    </w:p>
    <w:p w14:paraId="1AE9FD2E" w14:textId="36CB8756"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USA State Inpatient Databases </w:t>
      </w:r>
    </w:p>
    <w:p w14:paraId="57129C3A" w14:textId="165FE280"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Brazil Hospital Information System </w:t>
      </w:r>
    </w:p>
    <w:p w14:paraId="5703C4CD" w14:textId="16F996AE"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Italy Hospital Inpatient Discharges </w:t>
      </w:r>
    </w:p>
    <w:p w14:paraId="5F25E343" w14:textId="5B9CE3B3" w:rsidR="003B2FB7" w:rsidRPr="0075311D" w:rsidRDefault="26903F49" w:rsidP="26903F49">
      <w:pPr>
        <w:spacing w:line="257" w:lineRule="auto"/>
        <w:rPr>
          <w:rFonts w:cs="Times New Roman"/>
          <w:szCs w:val="20"/>
        </w:rPr>
      </w:pPr>
      <w:r w:rsidRPr="0075311D">
        <w:rPr>
          <w:rFonts w:eastAsia="Calibri" w:cs="Times New Roman"/>
          <w:noProof/>
          <w:szCs w:val="20"/>
          <w:lang w:val="es-MX"/>
        </w:rPr>
        <w:t xml:space="preserve">• Sistema Automatizado de Egresos Hospitalarios (Mexico) </w:t>
      </w:r>
    </w:p>
    <w:p w14:paraId="544464F0" w14:textId="3B06DCBD"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 Austria Hospital Inpatient Discharges </w:t>
      </w:r>
    </w:p>
    <w:p w14:paraId="0145D7A2" w14:textId="2348BE25" w:rsidR="003B2FB7" w:rsidRPr="0075311D" w:rsidRDefault="26903F49" w:rsidP="26903F49">
      <w:pPr>
        <w:spacing w:line="257" w:lineRule="auto"/>
        <w:rPr>
          <w:rFonts w:cs="Times New Roman"/>
          <w:szCs w:val="20"/>
        </w:rPr>
      </w:pPr>
      <w:r w:rsidRPr="0075311D">
        <w:rPr>
          <w:rFonts w:eastAsia="Calibri" w:cs="Times New Roman"/>
          <w:noProof/>
          <w:szCs w:val="20"/>
          <w:lang w:val="en-GB"/>
        </w:rPr>
        <w:t>• New Zealand National Minimum Dataset</w:t>
      </w:r>
    </w:p>
    <w:p w14:paraId="72098BC4" w14:textId="609BBAE3" w:rsidR="003B2FB7" w:rsidRDefault="26903F49" w:rsidP="26903F49">
      <w:pPr>
        <w:spacing w:line="257" w:lineRule="auto"/>
      </w:pPr>
      <w:r w:rsidRPr="0075311D">
        <w:rPr>
          <w:rFonts w:eastAsia="Calibri" w:cs="Times New Roman"/>
          <w:noProof/>
          <w:szCs w:val="20"/>
          <w:lang w:val="en-GB"/>
        </w:rPr>
        <w:t>• Canada Discharge Abstract Database</w:t>
      </w:r>
      <w:r w:rsidRPr="26903F49">
        <w:rPr>
          <w:rFonts w:ascii="Calibri" w:eastAsia="Calibri" w:hAnsi="Calibri" w:cs="Calibri"/>
          <w:noProof/>
          <w:sz w:val="22"/>
          <w:lang w:val="en-GB"/>
        </w:rPr>
        <w:t xml:space="preserve"> </w:t>
      </w:r>
    </w:p>
    <w:p w14:paraId="0E2BEE52" w14:textId="1EECFB72" w:rsidR="003B2FB7" w:rsidRPr="008A26A2" w:rsidRDefault="26903F49" w:rsidP="008A26A2">
      <w:pPr>
        <w:pStyle w:val="Heading2"/>
      </w:pPr>
      <w:bookmarkStart w:id="5" w:name="_Toc135992037"/>
      <w:r w:rsidRPr="008A26A2">
        <w:t>Section 2.3: Linkage data sources.</w:t>
      </w:r>
      <w:bookmarkEnd w:id="5"/>
      <w:r w:rsidRPr="008A26A2">
        <w:t xml:space="preserve">   </w:t>
      </w:r>
    </w:p>
    <w:p w14:paraId="6FBCFC8D" w14:textId="6F374D5E"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For two of the hospital discharge sources mentioned above, namely Italy Friuli-Venezia Giulia and New Zealand National Minimum dataset, we have linked admission records to microbial positive cultures, which are referred as linkage data throughout the paper. </w:t>
      </w:r>
    </w:p>
    <w:p w14:paraId="07562916" w14:textId="6E511D4E" w:rsidR="003B2FB7" w:rsidRDefault="26903F49" w:rsidP="26903F49">
      <w:pPr>
        <w:spacing w:line="257" w:lineRule="auto"/>
      </w:pPr>
      <w:r w:rsidRPr="26903F49">
        <w:rPr>
          <w:rFonts w:ascii="Calibri" w:eastAsia="Calibri" w:hAnsi="Calibri" w:cs="Calibri"/>
          <w:noProof/>
          <w:sz w:val="22"/>
          <w:lang w:val="en-GB"/>
        </w:rPr>
        <w:t xml:space="preserve"> </w:t>
      </w:r>
    </w:p>
    <w:p w14:paraId="7F503EE5" w14:textId="5ACE0709" w:rsidR="003B2FB7" w:rsidRPr="008A26A2" w:rsidRDefault="26903F49" w:rsidP="008A26A2">
      <w:pPr>
        <w:pStyle w:val="Heading2"/>
      </w:pPr>
      <w:bookmarkStart w:id="6" w:name="_Toc135992038"/>
      <w:r w:rsidRPr="008A26A2">
        <w:lastRenderedPageBreak/>
        <w:t>Section 2.4: Mortality surveillance in the Child Health and Mortality Prevention Surveillance (CHAMPS) study.</w:t>
      </w:r>
      <w:bookmarkEnd w:id="6"/>
    </w:p>
    <w:p w14:paraId="3EC57D78" w14:textId="2EE51FAB" w:rsidR="003B2FB7" w:rsidRPr="0075311D" w:rsidRDefault="26903F49" w:rsidP="26903F49">
      <w:pPr>
        <w:spacing w:line="257" w:lineRule="auto"/>
        <w:rPr>
          <w:rFonts w:cs="Times New Roman"/>
          <w:szCs w:val="20"/>
        </w:rPr>
      </w:pPr>
      <w:r w:rsidRPr="0075311D">
        <w:rPr>
          <w:rFonts w:eastAsia="Calibri" w:cs="Times New Roman"/>
          <w:noProof/>
          <w:szCs w:val="20"/>
          <w:lang w:val="en-GB"/>
        </w:rPr>
        <w:t xml:space="preserve">It comprises under-5 mortality surveillance in South Africa, Mali, Bangladesh, Kenya, Ethiopia, and Mozambique. This study provides information about pathogens contributing to death by collecting a minimally invasive tissue sampling (MITS) in addition to vital records. </w:t>
      </w:r>
    </w:p>
    <w:p w14:paraId="6DFCCA18" w14:textId="3F343E2D" w:rsidR="003B2FB7" w:rsidRPr="008A26A2" w:rsidRDefault="26903F49" w:rsidP="008A26A2">
      <w:pPr>
        <w:pStyle w:val="Heading2"/>
      </w:pPr>
      <w:bookmarkStart w:id="7" w:name="_Toc135992039"/>
      <w:r w:rsidRPr="008A26A2">
        <w:t xml:space="preserve">Section 2.5: Literature review of the microbial </w:t>
      </w:r>
      <w:proofErr w:type="spellStart"/>
      <w:r w:rsidRPr="008A26A2">
        <w:t>aetiology</w:t>
      </w:r>
      <w:proofErr w:type="spellEnd"/>
      <w:r w:rsidRPr="008A26A2">
        <w:t xml:space="preserve"> of meningitis, maternal and neonatal sepsis, lower </w:t>
      </w:r>
      <w:r w:rsidRPr="003711BD">
        <w:t>respiratory infections, urinary tract infections, skin infections, peritonitis, and bone and joint infections</w:t>
      </w:r>
      <w:r w:rsidR="003711BD" w:rsidRPr="003711BD">
        <w:rPr>
          <w:color w:val="2B579A"/>
          <w:shd w:val="clear" w:color="auto" w:fill="E6E6E6"/>
        </w:rPr>
        <w:fldChar w:fldCharType="begin"/>
      </w:r>
      <w:r w:rsidR="003711BD" w:rsidRPr="003711BD">
        <w:instrText xml:space="preserve"> ADDIN ZOTERO_ITEM CSL_CITATION {"citationID":"DIFIRRNm","properties":{"formattedCitation":"\\super 2\\nosupersub{}","plainCitation":"2","noteIndex":0},"citationItems":[{"id":122466,"uris":["http://zotero.org/groups/2154524/items/LJ6HQ43A"],"itemData":{"id":122466,"type":"article-journal","container-title":"The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Collaborators"}],"issued":{"date-parts":[["2022",11]]}}}],"schema":"https://github.com/citation-style-language/schema/raw/master/csl-citation.json"} </w:instrText>
      </w:r>
      <w:r w:rsidR="003711BD" w:rsidRPr="003711BD">
        <w:rPr>
          <w:color w:val="2B579A"/>
          <w:shd w:val="clear" w:color="auto" w:fill="E6E6E6"/>
        </w:rPr>
        <w:fldChar w:fldCharType="separate"/>
      </w:r>
      <w:r w:rsidR="003711BD" w:rsidRPr="003711BD">
        <w:rPr>
          <w:rFonts w:cs="Times New Roman"/>
          <w:szCs w:val="24"/>
          <w:vertAlign w:val="superscript"/>
        </w:rPr>
        <w:t>2</w:t>
      </w:r>
      <w:bookmarkEnd w:id="7"/>
      <w:r w:rsidR="003711BD" w:rsidRPr="003711BD">
        <w:rPr>
          <w:color w:val="2B579A"/>
          <w:shd w:val="clear" w:color="auto" w:fill="E6E6E6"/>
        </w:rPr>
        <w:fldChar w:fldCharType="end"/>
      </w:r>
    </w:p>
    <w:p w14:paraId="7943E767" w14:textId="06922B4C" w:rsidR="003B2FB7" w:rsidRPr="0075311D" w:rsidRDefault="26903F49" w:rsidP="26903F49">
      <w:pPr>
        <w:spacing w:line="257" w:lineRule="auto"/>
        <w:rPr>
          <w:rFonts w:cs="Times New Roman"/>
          <w:szCs w:val="20"/>
        </w:rPr>
      </w:pPr>
      <w:r w:rsidRPr="0075311D">
        <w:rPr>
          <w:rFonts w:eastAsia="Calibri" w:cs="Times New Roman"/>
          <w:noProof/>
          <w:szCs w:val="20"/>
          <w:lang w:val="en-GB"/>
        </w:rPr>
        <w:t>Search strings were used in PubMed to look systematically for the causative microorganisms of the following infectious syndromes:</w:t>
      </w:r>
    </w:p>
    <w:p w14:paraId="5678210F" w14:textId="16DAD4CF" w:rsidR="003B2FB7" w:rsidRPr="00A16EBE" w:rsidRDefault="26903F49" w:rsidP="00A16EBE">
      <w:pPr>
        <w:spacing w:after="0"/>
        <w:rPr>
          <w:rFonts w:eastAsiaTheme="majorEastAsia" w:cstheme="majorBidi"/>
          <w:i/>
          <w:color w:val="1F4D78" w:themeColor="accent1" w:themeShade="7F"/>
          <w:szCs w:val="24"/>
        </w:rPr>
      </w:pPr>
      <w:r w:rsidRPr="00A16EBE">
        <w:rPr>
          <w:rFonts w:eastAsiaTheme="majorEastAsia" w:cstheme="majorBidi"/>
          <w:i/>
          <w:color w:val="1F4D78" w:themeColor="accent1" w:themeShade="7F"/>
          <w:szCs w:val="24"/>
        </w:rPr>
        <w:t>Section 2.5.1: Meningitis</w:t>
      </w:r>
    </w:p>
    <w:p w14:paraId="494FEFBC" w14:textId="73FCF55F" w:rsidR="003B2FB7" w:rsidRDefault="26903F49" w:rsidP="00A16EBE">
      <w:pPr>
        <w:spacing w:after="0" w:line="257" w:lineRule="auto"/>
        <w:rPr>
          <w:rFonts w:eastAsia="Calibri" w:cs="Times New Roman"/>
          <w:noProof/>
          <w:szCs w:val="20"/>
          <w:lang w:val="en-GB"/>
        </w:rPr>
      </w:pPr>
      <w:r w:rsidRPr="0075311D">
        <w:rPr>
          <w:rFonts w:eastAsia="Calibri" w:cs="Times New Roman"/>
          <w:noProof/>
          <w:szCs w:val="20"/>
          <w:lang w:val="en-GB"/>
        </w:rPr>
        <w:t>((meningitis[title]) AND (1990/05/01[PDat] : 2018/12/31[PDat]) AND ((etiolog*[title/abstract]) AND Humans[MeSH Terms])</w:t>
      </w:r>
    </w:p>
    <w:p w14:paraId="1880C238" w14:textId="77777777" w:rsidR="00A16EBE" w:rsidRPr="0075311D" w:rsidRDefault="00A16EBE" w:rsidP="00A16EBE">
      <w:pPr>
        <w:spacing w:after="0" w:line="257" w:lineRule="auto"/>
        <w:rPr>
          <w:rFonts w:cs="Times New Roman"/>
          <w:szCs w:val="20"/>
        </w:rPr>
      </w:pPr>
    </w:p>
    <w:p w14:paraId="13626AA0" w14:textId="4B2D4548" w:rsidR="003B2FB7" w:rsidRPr="00A16EBE" w:rsidRDefault="26903F49" w:rsidP="00A16EBE">
      <w:pPr>
        <w:spacing w:after="0"/>
        <w:rPr>
          <w:rFonts w:eastAsiaTheme="majorEastAsia" w:cstheme="majorBidi"/>
          <w:i/>
          <w:color w:val="1F4D78" w:themeColor="accent1" w:themeShade="7F"/>
          <w:szCs w:val="24"/>
        </w:rPr>
      </w:pPr>
      <w:r w:rsidRPr="00A16EBE">
        <w:rPr>
          <w:rFonts w:eastAsiaTheme="majorEastAsia" w:cstheme="majorBidi"/>
          <w:i/>
          <w:color w:val="1F4D78" w:themeColor="accent1" w:themeShade="7F"/>
          <w:szCs w:val="24"/>
        </w:rPr>
        <w:t xml:space="preserve">Section 2.5.2: Maternal </w:t>
      </w:r>
      <w:r w:rsidR="3C3727CD" w:rsidRPr="00A16EBE">
        <w:rPr>
          <w:rFonts w:eastAsiaTheme="majorEastAsia" w:cstheme="majorBidi"/>
          <w:i/>
          <w:color w:val="1F4D78" w:themeColor="accent1" w:themeShade="7F"/>
          <w:szCs w:val="24"/>
        </w:rPr>
        <w:t>and neonatal</w:t>
      </w:r>
      <w:r w:rsidRPr="00A16EBE">
        <w:rPr>
          <w:rFonts w:eastAsiaTheme="majorEastAsia" w:cstheme="majorBidi"/>
          <w:i/>
          <w:color w:val="1F4D78" w:themeColor="accent1" w:themeShade="7F"/>
          <w:szCs w:val="24"/>
        </w:rPr>
        <w:t xml:space="preserve"> sepsis</w:t>
      </w:r>
      <w:r w:rsidR="60212C98" w:rsidRPr="00A16EBE">
        <w:rPr>
          <w:rFonts w:eastAsiaTheme="majorEastAsia" w:cstheme="majorBidi"/>
          <w:i/>
          <w:color w:val="1F4D78" w:themeColor="accent1" w:themeShade="7F"/>
          <w:szCs w:val="24"/>
        </w:rPr>
        <w:t xml:space="preserve"> and LRI </w:t>
      </w:r>
      <w:proofErr w:type="spellStart"/>
      <w:r w:rsidR="60212C98" w:rsidRPr="00A16EBE">
        <w:rPr>
          <w:rFonts w:eastAsiaTheme="majorEastAsia" w:cstheme="majorBidi"/>
          <w:i/>
          <w:color w:val="1F4D78" w:themeColor="accent1" w:themeShade="7F"/>
          <w:szCs w:val="24"/>
        </w:rPr>
        <w:t>aetiology</w:t>
      </w:r>
      <w:proofErr w:type="spellEnd"/>
    </w:p>
    <w:p w14:paraId="78D0F71B" w14:textId="17A2ED6F" w:rsidR="60212C98" w:rsidRPr="0075311D" w:rsidRDefault="60212C98">
      <w:pPr>
        <w:rPr>
          <w:rFonts w:cs="Times New Roman"/>
          <w:szCs w:val="20"/>
        </w:rPr>
      </w:pPr>
      <w:r w:rsidRPr="0075311D">
        <w:rPr>
          <w:rFonts w:eastAsia="Times New Roman" w:cs="Times New Roman"/>
          <w:noProof/>
          <w:szCs w:val="20"/>
        </w:rPr>
        <w:t>Aetiology terms, combined with OR:</w:t>
      </w:r>
    </w:p>
    <w:p w14:paraId="19BFDDBC" w14:textId="7995ED56"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Infection (Infect*)</w:t>
      </w:r>
    </w:p>
    <w:p w14:paraId="047AFD83" w14:textId="25BF58AC"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Microbiology (Microbiolog*</w:t>
      </w:r>
    </w:p>
    <w:p w14:paraId="0864CCAB" w14:textId="37E9B181"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Aetiology (Aetiolog*)</w:t>
      </w:r>
    </w:p>
    <w:p w14:paraId="4840FC7E" w14:textId="745C1DA2"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Etiology (Etiolog*)</w:t>
      </w:r>
    </w:p>
    <w:p w14:paraId="056B0ECC" w14:textId="1F087215"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Virology (Virolog*)</w:t>
      </w:r>
    </w:p>
    <w:p w14:paraId="78A9A34A" w14:textId="32D107FB"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Bacteriology (Bacteriolog*)</w:t>
      </w:r>
    </w:p>
    <w:p w14:paraId="6F82EF4D" w14:textId="76938428" w:rsidR="60212C98" w:rsidRPr="0075311D" w:rsidRDefault="60212C98" w:rsidP="082F9667">
      <w:pPr>
        <w:pStyle w:val="ListParagraph"/>
        <w:numPr>
          <w:ilvl w:val="0"/>
          <w:numId w:val="12"/>
        </w:numPr>
        <w:rPr>
          <w:rFonts w:eastAsia="Calibri" w:cs="Times New Roman"/>
          <w:noProof/>
          <w:szCs w:val="20"/>
        </w:rPr>
      </w:pPr>
      <w:r w:rsidRPr="0075311D">
        <w:rPr>
          <w:rFonts w:eastAsia="Calibri" w:cs="Times New Roman"/>
          <w:noProof/>
          <w:szCs w:val="20"/>
        </w:rPr>
        <w:t>Fungus (fung*)</w:t>
      </w:r>
    </w:p>
    <w:p w14:paraId="5F0B8451" w14:textId="6BD920D6" w:rsidR="60212C98" w:rsidRPr="0075311D" w:rsidRDefault="60212C98" w:rsidP="082F9667">
      <w:pPr>
        <w:rPr>
          <w:rFonts w:eastAsia="Times New Roman" w:cs="Times New Roman"/>
          <w:noProof/>
          <w:szCs w:val="20"/>
        </w:rPr>
      </w:pPr>
      <w:r w:rsidRPr="0075311D">
        <w:rPr>
          <w:rFonts w:eastAsia="Times New Roman" w:cs="Times New Roman"/>
          <w:noProof/>
          <w:szCs w:val="20"/>
        </w:rPr>
        <w:t>AND</w:t>
      </w:r>
    </w:p>
    <w:p w14:paraId="44498210" w14:textId="547C82C0" w:rsidR="60212C98" w:rsidRPr="0075311D" w:rsidRDefault="60212C98">
      <w:pPr>
        <w:rPr>
          <w:rFonts w:cs="Times New Roman"/>
          <w:szCs w:val="20"/>
        </w:rPr>
      </w:pPr>
      <w:r w:rsidRPr="0075311D">
        <w:rPr>
          <w:rFonts w:eastAsia="Times New Roman" w:cs="Times New Roman"/>
          <w:noProof/>
          <w:szCs w:val="20"/>
        </w:rPr>
        <w:t>Syndrome terms, combined with OR:</w:t>
      </w:r>
    </w:p>
    <w:p w14:paraId="5B62AE0F" w14:textId="3E9E351F" w:rsidR="60212C98" w:rsidRPr="0075311D" w:rsidRDefault="60212C98">
      <w:pPr>
        <w:rPr>
          <w:rFonts w:cs="Times New Roman"/>
          <w:szCs w:val="20"/>
        </w:rPr>
      </w:pPr>
      <w:r w:rsidRPr="0075311D">
        <w:rPr>
          <w:rFonts w:eastAsia="Times New Roman" w:cs="Times New Roman"/>
          <w:noProof/>
          <w:szCs w:val="20"/>
        </w:rPr>
        <w:t>Maternal Sepsis</w:t>
      </w:r>
    </w:p>
    <w:p w14:paraId="0964BD2E" w14:textId="7B04303B"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puerperal sepsis (puerper* sepsis)</w:t>
      </w:r>
    </w:p>
    <w:p w14:paraId="12CDEFCF" w14:textId="1C894704"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maternal sepsis (matern* sepsis)</w:t>
      </w:r>
    </w:p>
    <w:p w14:paraId="1297E1D8" w14:textId="1774307F" w:rsidR="60212C98" w:rsidRPr="0075311D" w:rsidRDefault="60212C98" w:rsidP="082F9667">
      <w:pPr>
        <w:pStyle w:val="ListParagraph"/>
        <w:numPr>
          <w:ilvl w:val="0"/>
          <w:numId w:val="11"/>
        </w:numPr>
        <w:rPr>
          <w:rFonts w:eastAsia="Calibri" w:cs="Times New Roman"/>
          <w:noProof/>
          <w:szCs w:val="20"/>
          <w:lang w:val="es-MX"/>
        </w:rPr>
      </w:pPr>
      <w:r w:rsidRPr="0075311D">
        <w:rPr>
          <w:rFonts w:eastAsia="Calibri" w:cs="Times New Roman"/>
          <w:noProof/>
          <w:szCs w:val="20"/>
          <w:lang w:val="es-MX"/>
        </w:rPr>
        <w:t>puerperal septicaemia (puerper* septicaemia, American spelling too - septicemia)</w:t>
      </w:r>
    </w:p>
    <w:p w14:paraId="2145AADE" w14:textId="30504A90"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maternal septicaemia (matern* septicaemia, American spelling too - septicemia)</w:t>
      </w:r>
    </w:p>
    <w:p w14:paraId="47DBC2F4" w14:textId="122CB57C"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puerperal infection (puerper* infection)</w:t>
      </w:r>
    </w:p>
    <w:p w14:paraId="0E306B77" w14:textId="373D7B1A"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maternal infection (matern* infection)</w:t>
      </w:r>
    </w:p>
    <w:p w14:paraId="41E7DA3D" w14:textId="5A2C12C7" w:rsidR="60212C98" w:rsidRPr="0075311D" w:rsidRDefault="60212C98" w:rsidP="082F9667">
      <w:pPr>
        <w:pStyle w:val="ListParagraph"/>
        <w:numPr>
          <w:ilvl w:val="0"/>
          <w:numId w:val="11"/>
        </w:numPr>
        <w:rPr>
          <w:rFonts w:eastAsia="Calibri" w:cs="Times New Roman"/>
          <w:noProof/>
          <w:szCs w:val="20"/>
          <w:lang w:val="es-MX"/>
        </w:rPr>
      </w:pPr>
      <w:r w:rsidRPr="0075311D">
        <w:rPr>
          <w:rFonts w:eastAsia="Calibri" w:cs="Times New Roman"/>
          <w:noProof/>
          <w:szCs w:val="20"/>
          <w:lang w:val="es-MX"/>
        </w:rPr>
        <w:t>puerperal bacteraemia (puerper* bacteraemia, American spelling too - bacteremia)</w:t>
      </w:r>
    </w:p>
    <w:p w14:paraId="6F03957F" w14:textId="47B2E01A"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maternal bacteraemia (matern* bacteraemia, American spelling too - bacteremia)</w:t>
      </w:r>
    </w:p>
    <w:p w14:paraId="4E57E000" w14:textId="2C621C9C" w:rsidR="60212C98" w:rsidRPr="0075311D" w:rsidRDefault="60212C98">
      <w:pPr>
        <w:rPr>
          <w:rFonts w:cs="Times New Roman"/>
          <w:szCs w:val="20"/>
        </w:rPr>
      </w:pPr>
      <w:r w:rsidRPr="0075311D">
        <w:rPr>
          <w:rFonts w:eastAsia="Times New Roman" w:cs="Times New Roman"/>
          <w:noProof/>
          <w:szCs w:val="20"/>
        </w:rPr>
        <w:t>Neonatal Sepsis</w:t>
      </w:r>
    </w:p>
    <w:p w14:paraId="6CB580E5" w14:textId="45E36D35"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Neonatal sepsis (Neonat* sepsis within 3 or 5 words of each other)</w:t>
      </w:r>
    </w:p>
    <w:p w14:paraId="09CD1EB5" w14:textId="61BF60B6"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Neonatal septicaemia (Neonat* septicaemia within 3 or 5 words of each other, American spelling too - septicemia)</w:t>
      </w:r>
    </w:p>
    <w:p w14:paraId="76443C71" w14:textId="7E46CAD5"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Infant sepsis (Infant* sepsis)</w:t>
      </w:r>
    </w:p>
    <w:p w14:paraId="465526FD" w14:textId="31A640C4"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Infant septicaemia (Infant* septicaemia, American spelling too - septicemia)</w:t>
      </w:r>
    </w:p>
    <w:p w14:paraId="05A8873B" w14:textId="04C548D3"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Neonatal bacteraemia (Neonat* bacteraemia, American spelling too - bacteremia)</w:t>
      </w:r>
    </w:p>
    <w:p w14:paraId="630AE75D" w14:textId="769EF44C" w:rsidR="60212C98" w:rsidRPr="0075311D" w:rsidRDefault="60212C98" w:rsidP="082F9667">
      <w:pPr>
        <w:pStyle w:val="ListParagraph"/>
        <w:numPr>
          <w:ilvl w:val="0"/>
          <w:numId w:val="11"/>
        </w:numPr>
        <w:rPr>
          <w:rFonts w:eastAsia="Calibri" w:cs="Times New Roman"/>
          <w:noProof/>
          <w:szCs w:val="20"/>
        </w:rPr>
      </w:pPr>
      <w:r w:rsidRPr="0075311D">
        <w:rPr>
          <w:rFonts w:eastAsia="Calibri" w:cs="Times New Roman"/>
          <w:noProof/>
          <w:szCs w:val="20"/>
        </w:rPr>
        <w:t>Infant bacteraemia (Infant* bacteraemia, American spelling too - bacteremia)</w:t>
      </w:r>
    </w:p>
    <w:p w14:paraId="38D3B426" w14:textId="0A5894CF" w:rsidR="60212C98" w:rsidRPr="0075311D" w:rsidRDefault="60212C98">
      <w:pPr>
        <w:rPr>
          <w:rFonts w:cs="Times New Roman"/>
          <w:szCs w:val="20"/>
        </w:rPr>
      </w:pPr>
      <w:r w:rsidRPr="0075311D">
        <w:rPr>
          <w:rFonts w:eastAsia="Times New Roman" w:cs="Times New Roman"/>
          <w:noProof/>
          <w:szCs w:val="20"/>
        </w:rPr>
        <w:t>Lower respiratory infections</w:t>
      </w:r>
    </w:p>
    <w:p w14:paraId="636F64AE" w14:textId="5CA34C03" w:rsidR="60212C98" w:rsidRPr="0075311D" w:rsidRDefault="60212C98" w:rsidP="082F9667">
      <w:pPr>
        <w:pStyle w:val="ListParagraph"/>
        <w:numPr>
          <w:ilvl w:val="0"/>
          <w:numId w:val="10"/>
        </w:numPr>
        <w:rPr>
          <w:rFonts w:eastAsia="Calibri" w:cs="Times New Roman"/>
          <w:noProof/>
          <w:szCs w:val="20"/>
        </w:rPr>
      </w:pPr>
      <w:r w:rsidRPr="0075311D">
        <w:rPr>
          <w:rFonts w:eastAsia="Calibri" w:cs="Times New Roman"/>
          <w:noProof/>
          <w:szCs w:val="20"/>
        </w:rPr>
        <w:t>LRI</w:t>
      </w:r>
    </w:p>
    <w:p w14:paraId="6656309A" w14:textId="49E94711" w:rsidR="60212C98" w:rsidRPr="0075311D" w:rsidRDefault="60212C98" w:rsidP="082F9667">
      <w:pPr>
        <w:pStyle w:val="ListParagraph"/>
        <w:numPr>
          <w:ilvl w:val="0"/>
          <w:numId w:val="10"/>
        </w:numPr>
        <w:rPr>
          <w:rFonts w:eastAsia="Calibri" w:cs="Times New Roman"/>
          <w:noProof/>
          <w:szCs w:val="20"/>
        </w:rPr>
      </w:pPr>
      <w:r w:rsidRPr="0075311D">
        <w:rPr>
          <w:rFonts w:eastAsia="Calibri" w:cs="Times New Roman"/>
          <w:noProof/>
          <w:szCs w:val="20"/>
        </w:rPr>
        <w:lastRenderedPageBreak/>
        <w:t>Lower respiratory infection</w:t>
      </w:r>
    </w:p>
    <w:p w14:paraId="16E9177A" w14:textId="1BA0DCDC" w:rsidR="60212C98" w:rsidRPr="0075311D" w:rsidRDefault="60212C98" w:rsidP="082F9667">
      <w:pPr>
        <w:pStyle w:val="ListParagraph"/>
        <w:numPr>
          <w:ilvl w:val="0"/>
          <w:numId w:val="10"/>
        </w:numPr>
        <w:rPr>
          <w:rFonts w:eastAsia="Calibri" w:cs="Times New Roman"/>
          <w:noProof/>
          <w:szCs w:val="20"/>
        </w:rPr>
      </w:pPr>
      <w:r w:rsidRPr="0075311D">
        <w:rPr>
          <w:rFonts w:eastAsia="Calibri" w:cs="Times New Roman"/>
          <w:noProof/>
          <w:szCs w:val="20"/>
        </w:rPr>
        <w:t>LRTI</w:t>
      </w:r>
    </w:p>
    <w:p w14:paraId="71F6D626" w14:textId="482DAFE2" w:rsidR="60212C98" w:rsidRPr="0075311D" w:rsidRDefault="60212C98" w:rsidP="082F9667">
      <w:pPr>
        <w:pStyle w:val="ListParagraph"/>
        <w:numPr>
          <w:ilvl w:val="0"/>
          <w:numId w:val="10"/>
        </w:numPr>
        <w:rPr>
          <w:rFonts w:eastAsia="Calibri" w:cs="Times New Roman"/>
          <w:noProof/>
          <w:szCs w:val="20"/>
        </w:rPr>
      </w:pPr>
      <w:r w:rsidRPr="0075311D">
        <w:rPr>
          <w:rFonts w:eastAsia="Calibri" w:cs="Times New Roman"/>
          <w:noProof/>
          <w:szCs w:val="20"/>
        </w:rPr>
        <w:t>Lower respiratory tract infection</w:t>
      </w:r>
    </w:p>
    <w:p w14:paraId="3CD6B6F7" w14:textId="2E3C2A42" w:rsidR="60212C98" w:rsidRPr="0075311D" w:rsidRDefault="60212C98" w:rsidP="082F9667">
      <w:pPr>
        <w:pStyle w:val="ListParagraph"/>
        <w:numPr>
          <w:ilvl w:val="0"/>
          <w:numId w:val="10"/>
        </w:numPr>
        <w:rPr>
          <w:rFonts w:eastAsia="Calibri" w:cs="Times New Roman"/>
          <w:noProof/>
          <w:szCs w:val="20"/>
        </w:rPr>
      </w:pPr>
      <w:r w:rsidRPr="0075311D">
        <w:rPr>
          <w:rFonts w:eastAsia="Calibri" w:cs="Times New Roman"/>
          <w:noProof/>
          <w:szCs w:val="20"/>
        </w:rPr>
        <w:t>Pneumonia</w:t>
      </w:r>
    </w:p>
    <w:p w14:paraId="60891DF6" w14:textId="6987D71E" w:rsidR="003B2FB7" w:rsidRPr="008A26A2" w:rsidRDefault="26903F49" w:rsidP="00C715B1">
      <w:pPr>
        <w:spacing w:after="0"/>
      </w:pPr>
      <w:r w:rsidRPr="00C715B1">
        <w:rPr>
          <w:rFonts w:eastAsiaTheme="majorEastAsia" w:cstheme="majorBidi"/>
          <w:i/>
          <w:color w:val="1F4D78" w:themeColor="accent1" w:themeShade="7F"/>
          <w:szCs w:val="24"/>
        </w:rPr>
        <w:t>Section 2.5.</w:t>
      </w:r>
      <w:r w:rsidR="00DE4605" w:rsidRPr="00C715B1">
        <w:rPr>
          <w:rFonts w:eastAsiaTheme="majorEastAsia" w:cstheme="majorBidi"/>
          <w:i/>
          <w:color w:val="1F4D78" w:themeColor="accent1" w:themeShade="7F"/>
          <w:szCs w:val="24"/>
        </w:rPr>
        <w:t>3</w:t>
      </w:r>
      <w:r w:rsidRPr="00C715B1">
        <w:rPr>
          <w:rFonts w:eastAsiaTheme="majorEastAsia" w:cstheme="majorBidi"/>
          <w:i/>
          <w:color w:val="1F4D78" w:themeColor="accent1" w:themeShade="7F"/>
          <w:szCs w:val="24"/>
        </w:rPr>
        <w:t xml:space="preserve">: Urinary tract infections </w:t>
      </w:r>
      <w:proofErr w:type="spellStart"/>
      <w:r w:rsidRPr="00C715B1">
        <w:rPr>
          <w:rFonts w:eastAsiaTheme="majorEastAsia" w:cstheme="majorBidi"/>
          <w:i/>
          <w:color w:val="1F4D78" w:themeColor="accent1" w:themeShade="7F"/>
          <w:szCs w:val="24"/>
        </w:rPr>
        <w:t>aetiology</w:t>
      </w:r>
      <w:proofErr w:type="spellEnd"/>
    </w:p>
    <w:p w14:paraId="12BF1CBB" w14:textId="7DE47F41" w:rsidR="003B2FB7" w:rsidRPr="0075311D" w:rsidRDefault="26903F49" w:rsidP="26903F49">
      <w:pPr>
        <w:spacing w:line="257" w:lineRule="auto"/>
        <w:rPr>
          <w:rFonts w:cs="Times New Roman"/>
          <w:szCs w:val="20"/>
        </w:rPr>
      </w:pPr>
      <w:r w:rsidRPr="0075311D">
        <w:rPr>
          <w:rFonts w:eastAsia="Calibri" w:cs="Times New Roman"/>
          <w:noProof/>
          <w:szCs w:val="20"/>
          <w:lang w:val="en-GB"/>
        </w:rPr>
        <w:t>("complicated"[Title/Abstract] OR "uncomplicated"[Title/Abstract]) AND (("Cystitis/etiology"[majr:noexp] OR "Cystitis/microbiology"[majr:noexp]) OR ("Pyelonephritis/etiology"[marj:noexp] OR "Pyelonephritis/microbiology"[majr:noexp]) OR ( "Urinary Tract Infections/etiology"[majr:noexp] OR "Urinary Tract Infections/microbiology"[majr:noexp])) OR ("Urinary tract infections"[tiab] AND ("etiology"[tiab] OR "microbiology"[tiab]))</w:t>
      </w:r>
    </w:p>
    <w:p w14:paraId="7209F4A2" w14:textId="75A32B20" w:rsidR="003B2FB7" w:rsidRPr="0075311D" w:rsidRDefault="26903F49" w:rsidP="26903F49">
      <w:pPr>
        <w:spacing w:line="257" w:lineRule="auto"/>
        <w:rPr>
          <w:rFonts w:cs="Times New Roman"/>
          <w:szCs w:val="20"/>
        </w:rPr>
      </w:pPr>
      <w:r w:rsidRPr="0075311D">
        <w:rPr>
          <w:rFonts w:eastAsia="Calibri" w:cs="Times New Roman"/>
          <w:noProof/>
          <w:szCs w:val="20"/>
          <w:lang w:val="en-GB"/>
        </w:rPr>
        <w:t>(("urinary tract infection*"[title]) AND (1990/05/01[PDat] : 2018/12/31[PDat]) AND ((etiolog*[title/abstract] OR "Urinary Tract Infections/microbiology"[Mesh]) AND Humans[MeSH Terms]) NOT Review[ptyp]</w:t>
      </w:r>
    </w:p>
    <w:p w14:paraId="2FF8F081" w14:textId="0FC1CD7D" w:rsidR="003B2FB7" w:rsidRPr="00C715B1" w:rsidRDefault="26903F49" w:rsidP="00C715B1">
      <w:pPr>
        <w:spacing w:after="0"/>
        <w:rPr>
          <w:rFonts w:eastAsiaTheme="majorEastAsia" w:cstheme="majorBidi"/>
          <w:i/>
          <w:color w:val="1F4D78" w:themeColor="accent1" w:themeShade="7F"/>
          <w:szCs w:val="24"/>
        </w:rPr>
      </w:pPr>
      <w:r w:rsidRPr="00C715B1">
        <w:rPr>
          <w:rFonts w:eastAsiaTheme="majorEastAsia" w:cstheme="majorBidi"/>
          <w:i/>
          <w:color w:val="1F4D78" w:themeColor="accent1" w:themeShade="7F"/>
          <w:szCs w:val="24"/>
        </w:rPr>
        <w:t>Section 2.5.</w:t>
      </w:r>
      <w:r w:rsidR="00DE4605" w:rsidRPr="00C715B1">
        <w:rPr>
          <w:rFonts w:eastAsiaTheme="majorEastAsia" w:cstheme="majorBidi"/>
          <w:i/>
          <w:color w:val="1F4D78" w:themeColor="accent1" w:themeShade="7F"/>
          <w:szCs w:val="24"/>
        </w:rPr>
        <w:t>4</w:t>
      </w:r>
      <w:r w:rsidRPr="00C715B1">
        <w:rPr>
          <w:rFonts w:eastAsiaTheme="majorEastAsia" w:cstheme="majorBidi"/>
          <w:i/>
          <w:color w:val="1F4D78" w:themeColor="accent1" w:themeShade="7F"/>
          <w:szCs w:val="24"/>
        </w:rPr>
        <w:t xml:space="preserve">: Skin infections </w:t>
      </w:r>
      <w:proofErr w:type="spellStart"/>
      <w:r w:rsidRPr="00C715B1">
        <w:rPr>
          <w:rFonts w:eastAsiaTheme="majorEastAsia" w:cstheme="majorBidi"/>
          <w:i/>
          <w:color w:val="1F4D78" w:themeColor="accent1" w:themeShade="7F"/>
          <w:szCs w:val="24"/>
        </w:rPr>
        <w:t>aetiology</w:t>
      </w:r>
      <w:proofErr w:type="spellEnd"/>
      <w:r w:rsidRPr="00C715B1">
        <w:rPr>
          <w:rFonts w:eastAsiaTheme="majorEastAsia" w:cstheme="majorBidi"/>
          <w:i/>
          <w:color w:val="1F4D78" w:themeColor="accent1" w:themeShade="7F"/>
          <w:szCs w:val="24"/>
        </w:rPr>
        <w:t xml:space="preserve"> </w:t>
      </w:r>
    </w:p>
    <w:p w14:paraId="6A2093FE" w14:textId="0066D1A0" w:rsidR="003B2FB7" w:rsidRPr="0075311D" w:rsidRDefault="26903F49" w:rsidP="26903F49">
      <w:pPr>
        <w:spacing w:line="257" w:lineRule="auto"/>
        <w:rPr>
          <w:rFonts w:cs="Times New Roman"/>
          <w:szCs w:val="20"/>
        </w:rPr>
      </w:pPr>
      <w:r w:rsidRPr="0075311D">
        <w:rPr>
          <w:rFonts w:eastAsia="Calibri" w:cs="Times New Roman"/>
          <w:noProof/>
          <w:szCs w:val="20"/>
          <w:lang w:val="en-GB"/>
        </w:rPr>
        <w:t>(( "Cellulitis/epidemiology"[majr:noexp] OR "Cellulitis/etiology"[majr:noexp] OR "Cellulitis/microbiology"[majr:noexp]) OR ( "Pyoderma/epidemiology"[majr:noexp] OR "Pyoderma/etiology"[marj:noexp] OR "Pyoderma/microbiology"[majr:noexp]) OR</w:t>
      </w:r>
    </w:p>
    <w:p w14:paraId="59DCD229" w14:textId="209F2F7A" w:rsidR="003B2FB7" w:rsidRPr="0075311D" w:rsidRDefault="26903F49" w:rsidP="26903F49">
      <w:pPr>
        <w:spacing w:line="257" w:lineRule="auto"/>
        <w:rPr>
          <w:rFonts w:cs="Times New Roman"/>
          <w:szCs w:val="20"/>
        </w:rPr>
      </w:pPr>
      <w:r w:rsidRPr="0075311D">
        <w:rPr>
          <w:rFonts w:eastAsia="Calibri" w:cs="Times New Roman"/>
          <w:noProof/>
          <w:szCs w:val="20"/>
          <w:lang w:val="en-GB"/>
        </w:rPr>
        <w:t>"Pressure Ulcer/microbiology"[majr:noexp])</w:t>
      </w:r>
    </w:p>
    <w:p w14:paraId="65930BB4" w14:textId="49ED69E4" w:rsidR="003B2FB7" w:rsidRPr="0075311D" w:rsidRDefault="26903F49" w:rsidP="26903F49">
      <w:pPr>
        <w:spacing w:line="257" w:lineRule="auto"/>
        <w:rPr>
          <w:rFonts w:cs="Times New Roman"/>
          <w:szCs w:val="20"/>
        </w:rPr>
      </w:pPr>
      <w:r w:rsidRPr="0075311D">
        <w:rPr>
          <w:rFonts w:eastAsia="Calibri" w:cs="Times New Roman"/>
          <w:noProof/>
          <w:szCs w:val="20"/>
          <w:lang w:val="en-GB"/>
        </w:rPr>
        <w:t>(“skin and soft tissue infection”[title] OR cellulitis[title] OR erysipelas[title]) AND (1990/05/01[PDat] : 2018/12/31[PDat]) AND (etiolog*[title/abstract] OR "Cellulitis/microbiology"[Mesh]) AND Humans[MeSH Terms] NOT Review[ptyp]</w:t>
      </w:r>
    </w:p>
    <w:p w14:paraId="597C0B12" w14:textId="353EE27B" w:rsidR="003B2FB7" w:rsidRPr="008A26A2" w:rsidRDefault="26903F49" w:rsidP="00C715B1">
      <w:pPr>
        <w:spacing w:after="0"/>
      </w:pPr>
      <w:r w:rsidRPr="00C715B1">
        <w:rPr>
          <w:rFonts w:eastAsiaTheme="majorEastAsia" w:cstheme="majorBidi"/>
          <w:i/>
          <w:color w:val="1F4D78" w:themeColor="accent1" w:themeShade="7F"/>
          <w:szCs w:val="24"/>
        </w:rPr>
        <w:t>Section 2.5.</w:t>
      </w:r>
      <w:r w:rsidR="00DE4605" w:rsidRPr="00C715B1">
        <w:rPr>
          <w:rFonts w:eastAsiaTheme="majorEastAsia" w:cstheme="majorBidi"/>
          <w:i/>
          <w:color w:val="1F4D78" w:themeColor="accent1" w:themeShade="7F"/>
          <w:szCs w:val="24"/>
        </w:rPr>
        <w:t>5</w:t>
      </w:r>
      <w:r w:rsidRPr="00C715B1">
        <w:rPr>
          <w:rFonts w:eastAsiaTheme="majorEastAsia" w:cstheme="majorBidi"/>
          <w:i/>
          <w:color w:val="1F4D78" w:themeColor="accent1" w:themeShade="7F"/>
          <w:szCs w:val="24"/>
        </w:rPr>
        <w:t>: Intra-</w:t>
      </w:r>
      <w:proofErr w:type="spellStart"/>
      <w:r w:rsidRPr="00C715B1">
        <w:rPr>
          <w:rFonts w:eastAsiaTheme="majorEastAsia" w:cstheme="majorBidi"/>
          <w:i/>
          <w:color w:val="1F4D78" w:themeColor="accent1" w:themeShade="7F"/>
          <w:szCs w:val="24"/>
        </w:rPr>
        <w:t>abdmoinal</w:t>
      </w:r>
      <w:proofErr w:type="spellEnd"/>
      <w:r w:rsidRPr="00C715B1">
        <w:rPr>
          <w:rFonts w:eastAsiaTheme="majorEastAsia" w:cstheme="majorBidi"/>
          <w:i/>
          <w:color w:val="1F4D78" w:themeColor="accent1" w:themeShade="7F"/>
          <w:szCs w:val="24"/>
        </w:rPr>
        <w:t xml:space="preserve"> infection </w:t>
      </w:r>
      <w:proofErr w:type="spellStart"/>
      <w:r w:rsidRPr="00C715B1">
        <w:rPr>
          <w:rFonts w:eastAsiaTheme="majorEastAsia" w:cstheme="majorBidi"/>
          <w:i/>
          <w:color w:val="1F4D78" w:themeColor="accent1" w:themeShade="7F"/>
          <w:szCs w:val="24"/>
        </w:rPr>
        <w:t>aetiology</w:t>
      </w:r>
      <w:proofErr w:type="spellEnd"/>
    </w:p>
    <w:p w14:paraId="594EFCD9" w14:textId="59277C04" w:rsidR="003B2FB7" w:rsidRPr="0075311D" w:rsidRDefault="26903F49" w:rsidP="26903F49">
      <w:pPr>
        <w:spacing w:line="257" w:lineRule="auto"/>
        <w:rPr>
          <w:rFonts w:cs="Times New Roman"/>
          <w:szCs w:val="20"/>
        </w:rPr>
      </w:pPr>
      <w:r w:rsidRPr="0075311D">
        <w:rPr>
          <w:rFonts w:eastAsia="Calibri" w:cs="Times New Roman"/>
          <w:noProof/>
          <w:szCs w:val="20"/>
          <w:lang w:val="en-GB"/>
        </w:rPr>
        <w:t>(( "Peritonitis/epidemiology"[majr:noexp] OR "Peritonitis /etiology"[majr:noexp] OR "Peritonitis /microbiology"[majr:noexp] ) OR ( "Intraabdominal infections/epidemiology"[majr:noexp] OR "Intraabdominal infections /etiology"[marj:noexp] OR "Intraabdominal infections /microbiology"[majr:noexp]) OR ( "abdominal abscess/epidemiology"[majr:noexp] OR " abdominal abscess /etiology"[majr:noexp] OR "abdominal abscess/microbiology"[majr:noexp]))</w:t>
      </w:r>
    </w:p>
    <w:p w14:paraId="1743DBD8" w14:textId="751BA787" w:rsidR="003B2FB7" w:rsidRPr="00C715B1" w:rsidRDefault="26903F49" w:rsidP="00C715B1">
      <w:pPr>
        <w:spacing w:after="0"/>
        <w:rPr>
          <w:rFonts w:eastAsiaTheme="majorEastAsia" w:cstheme="majorBidi"/>
          <w:i/>
          <w:color w:val="1F4D78" w:themeColor="accent1" w:themeShade="7F"/>
          <w:szCs w:val="24"/>
        </w:rPr>
      </w:pPr>
      <w:r w:rsidRPr="00C715B1">
        <w:rPr>
          <w:rFonts w:eastAsiaTheme="majorEastAsia" w:cstheme="majorBidi"/>
          <w:i/>
          <w:color w:val="1F4D78" w:themeColor="accent1" w:themeShade="7F"/>
          <w:szCs w:val="24"/>
        </w:rPr>
        <w:t>Section 2.5.</w:t>
      </w:r>
      <w:r w:rsidR="00DE4605" w:rsidRPr="00C715B1">
        <w:rPr>
          <w:rFonts w:eastAsiaTheme="majorEastAsia" w:cstheme="majorBidi"/>
          <w:i/>
          <w:color w:val="1F4D78" w:themeColor="accent1" w:themeShade="7F"/>
          <w:szCs w:val="24"/>
        </w:rPr>
        <w:t>6</w:t>
      </w:r>
      <w:r w:rsidRPr="00C715B1">
        <w:rPr>
          <w:rFonts w:eastAsiaTheme="majorEastAsia" w:cstheme="majorBidi"/>
          <w:i/>
          <w:color w:val="1F4D78" w:themeColor="accent1" w:themeShade="7F"/>
          <w:szCs w:val="24"/>
        </w:rPr>
        <w:t xml:space="preserve">: Bone and joint infections </w:t>
      </w:r>
      <w:proofErr w:type="spellStart"/>
      <w:r w:rsidRPr="00C715B1">
        <w:rPr>
          <w:rFonts w:eastAsiaTheme="majorEastAsia" w:cstheme="majorBidi"/>
          <w:i/>
          <w:color w:val="1F4D78" w:themeColor="accent1" w:themeShade="7F"/>
          <w:szCs w:val="24"/>
        </w:rPr>
        <w:t>aetiology</w:t>
      </w:r>
      <w:proofErr w:type="spellEnd"/>
    </w:p>
    <w:p w14:paraId="53DEBBA6" w14:textId="562F401D" w:rsidR="003B2FB7" w:rsidRPr="0075311D" w:rsidRDefault="26903F49" w:rsidP="26903F49">
      <w:pPr>
        <w:spacing w:line="257" w:lineRule="auto"/>
        <w:rPr>
          <w:rFonts w:cs="Times New Roman"/>
          <w:szCs w:val="20"/>
        </w:rPr>
      </w:pPr>
      <w:r w:rsidRPr="0075311D">
        <w:rPr>
          <w:rFonts w:eastAsia="Calibri" w:cs="Times New Roman"/>
          <w:noProof/>
          <w:szCs w:val="20"/>
          <w:lang w:val="en-GB"/>
        </w:rPr>
        <w:t>("Osteomyelitis/etiology"[majr:noexp] OR "Osteomyelitis/microbiology"[majr:noexp] NOT 'chronic') OR ("Arthritis, infectious/etiology"[marj:noexp] OR "Arthritis, infectious/microbiology"[majr:noexp] NOT ‘lyme’)</w:t>
      </w:r>
    </w:p>
    <w:p w14:paraId="4CA99EE8" w14:textId="0CAD3DD5" w:rsidR="677ABDC8" w:rsidRPr="00C715B1" w:rsidRDefault="677ABDC8" w:rsidP="00C715B1">
      <w:pPr>
        <w:spacing w:after="0"/>
        <w:rPr>
          <w:rFonts w:eastAsiaTheme="majorEastAsia" w:cstheme="majorBidi"/>
          <w:i/>
          <w:color w:val="1F4D78" w:themeColor="accent1" w:themeShade="7F"/>
          <w:szCs w:val="24"/>
        </w:rPr>
      </w:pPr>
      <w:r w:rsidRPr="00C715B1">
        <w:rPr>
          <w:rFonts w:eastAsiaTheme="majorEastAsia" w:cstheme="majorBidi"/>
          <w:i/>
          <w:color w:val="1F4D78" w:themeColor="accent1" w:themeShade="7F"/>
          <w:szCs w:val="24"/>
        </w:rPr>
        <w:t>Section 2.5</w:t>
      </w:r>
      <w:r w:rsidR="3CBD6994" w:rsidRPr="00C715B1">
        <w:rPr>
          <w:rFonts w:eastAsiaTheme="majorEastAsia" w:cstheme="majorBidi"/>
          <w:i/>
          <w:color w:val="1F4D78" w:themeColor="accent1" w:themeShade="7F"/>
          <w:szCs w:val="24"/>
        </w:rPr>
        <w:t>.</w:t>
      </w:r>
      <w:r w:rsidR="00DE4605" w:rsidRPr="00C715B1">
        <w:rPr>
          <w:rFonts w:eastAsiaTheme="majorEastAsia" w:cstheme="majorBidi"/>
          <w:i/>
          <w:color w:val="1F4D78" w:themeColor="accent1" w:themeShade="7F"/>
          <w:szCs w:val="24"/>
        </w:rPr>
        <w:t>7</w:t>
      </w:r>
      <w:r w:rsidRPr="00C715B1">
        <w:rPr>
          <w:rFonts w:eastAsiaTheme="majorEastAsia" w:cstheme="majorBidi"/>
          <w:i/>
          <w:color w:val="1F4D78" w:themeColor="accent1" w:themeShade="7F"/>
          <w:szCs w:val="24"/>
        </w:rPr>
        <w:t>: Relative risk studies for specific drug-bug combinations</w:t>
      </w:r>
    </w:p>
    <w:p w14:paraId="1D9F59E5" w14:textId="11EC8132" w:rsidR="677ABDC8" w:rsidRDefault="677ABDC8" w:rsidP="082F9667">
      <w:pPr>
        <w:spacing w:line="257" w:lineRule="auto"/>
      </w:pPr>
      <w:r w:rsidRPr="082F9667">
        <w:rPr>
          <w:rFonts w:eastAsia="Times New Roman" w:cs="Times New Roman"/>
          <w:noProof/>
          <w:szCs w:val="20"/>
        </w:rPr>
        <w:t>("Acinetobacter baumannii"[MeSH Terms] AND "carbapenem resistance"[All Fields]) OR ("Acinetobacter baumannii"[ MeSH Terms] AND "carbapenem resistant"[All Fields])</w:t>
      </w:r>
    </w:p>
    <w:p w14:paraId="79C4EA3A" w14:textId="522C9196" w:rsidR="677ABDC8" w:rsidRDefault="677ABDC8" w:rsidP="082F9667">
      <w:pPr>
        <w:spacing w:line="257" w:lineRule="auto"/>
      </w:pPr>
      <w:r w:rsidRPr="082F9667">
        <w:rPr>
          <w:rFonts w:eastAsia="Times New Roman" w:cs="Times New Roman"/>
          <w:noProof/>
          <w:szCs w:val="20"/>
        </w:rPr>
        <w:t>('Escherichia coli'[MeSH Terms] AND 'carbapenem resistance'[All Fields]) OR ('Escherichia coli'[MeSH Terms] AND 'carbapenem resistant'[All Fields])</w:t>
      </w:r>
    </w:p>
    <w:p w14:paraId="3262F74C" w14:textId="1C04083C" w:rsidR="677ABDC8" w:rsidRDefault="677ABDC8" w:rsidP="082F9667">
      <w:pPr>
        <w:spacing w:line="257" w:lineRule="auto"/>
      </w:pPr>
      <w:r w:rsidRPr="082F9667">
        <w:rPr>
          <w:rFonts w:eastAsia="Times New Roman" w:cs="Times New Roman"/>
          <w:noProof/>
          <w:szCs w:val="20"/>
        </w:rPr>
        <w:t>('Escherichia coli'[MeSH Terms] AND 'fluoroquinolone resistance'[All Fields]) OR ('Escherichia coli'[MeSH Terms] AND 'fluoroquinolone resistant'[All Fields])</w:t>
      </w:r>
    </w:p>
    <w:p w14:paraId="6BBBB9DA" w14:textId="75573D71" w:rsidR="677ABDC8" w:rsidRDefault="677ABDC8" w:rsidP="082F9667">
      <w:pPr>
        <w:spacing w:line="257" w:lineRule="auto"/>
      </w:pPr>
      <w:r w:rsidRPr="082F9667">
        <w:rPr>
          <w:rFonts w:eastAsia="Times New Roman" w:cs="Times New Roman"/>
          <w:noProof/>
          <w:szCs w:val="20"/>
        </w:rPr>
        <w:t>('Escherichia coli'[MeSH Terms] AND 'third generation cephalosporin'[All Fields]) OR ('Escherichia coli'[MeSH Terms] AND ESBL OR extended-spectrum beta lactamase'[All Fields])</w:t>
      </w:r>
    </w:p>
    <w:p w14:paraId="654B3BF3" w14:textId="08A8BBAC" w:rsidR="677ABDC8" w:rsidRDefault="677ABDC8" w:rsidP="082F9667">
      <w:pPr>
        <w:spacing w:line="257" w:lineRule="auto"/>
      </w:pPr>
      <w:r w:rsidRPr="082F9667">
        <w:rPr>
          <w:rFonts w:eastAsia="Times New Roman" w:cs="Times New Roman"/>
          <w:noProof/>
          <w:szCs w:val="20"/>
        </w:rPr>
        <w:t>('Klebsiella pneumoniae'[MeSH Terms] AND 'third generation cephalosporin'[All Fields]) OR ('Klebsiella pneumoniae'[MeSH Terms] AND 'ESBL OR extended-spectrum beta lactamase'[All Fields])</w:t>
      </w:r>
    </w:p>
    <w:p w14:paraId="68AE0D39" w14:textId="17035900" w:rsidR="677ABDC8" w:rsidRDefault="677ABDC8" w:rsidP="082F9667">
      <w:pPr>
        <w:spacing w:line="257" w:lineRule="auto"/>
      </w:pPr>
      <w:r w:rsidRPr="082F9667">
        <w:rPr>
          <w:rFonts w:eastAsia="Times New Roman" w:cs="Times New Roman"/>
          <w:noProof/>
          <w:szCs w:val="20"/>
        </w:rPr>
        <w:t>('Klebsiella pneumoniae'[MeSH Terms] AND 'carbapenem resistance'[All Fields]) OR ('Klebsiella pneumoniae'[MeSH Terms] AND 'carbapenem resistant'[All Fields])</w:t>
      </w:r>
    </w:p>
    <w:p w14:paraId="25EF3D46" w14:textId="5BDC123C" w:rsidR="677ABDC8" w:rsidRDefault="677ABDC8" w:rsidP="082F9667">
      <w:pPr>
        <w:spacing w:line="257" w:lineRule="auto"/>
      </w:pPr>
      <w:r w:rsidRPr="082F9667">
        <w:rPr>
          <w:rFonts w:eastAsia="Times New Roman" w:cs="Times New Roman"/>
          <w:noProof/>
          <w:szCs w:val="20"/>
        </w:rPr>
        <w:lastRenderedPageBreak/>
        <w:t>('Streptococcus pneumoniae'[MeSH Terms] AND 'penicillin resistance'[All Fields]) OR ('Streptococcus pneumoniae'[MeSH Terms] AND 'penicillin resistant'[All Fields])</w:t>
      </w:r>
    </w:p>
    <w:p w14:paraId="6E523F39" w14:textId="4EDB262D" w:rsidR="677ABDC8" w:rsidRDefault="677ABDC8" w:rsidP="082F9667">
      <w:pPr>
        <w:spacing w:line="257" w:lineRule="auto"/>
      </w:pPr>
      <w:r w:rsidRPr="082F9667">
        <w:rPr>
          <w:rFonts w:eastAsia="Times New Roman" w:cs="Times New Roman"/>
          <w:noProof/>
          <w:szCs w:val="20"/>
        </w:rPr>
        <w:t>('Pseudomonas aeruginosa'[MeSH Terms] AND 'carbapenem resistant'[All Fields] AND 'mortality' [MeSH Terms]) OR ('Pseudomonas aeruginosa'[MeSH Terms] AND 'carbapenem resistant' AND 'mortality' [All Fields])</w:t>
      </w:r>
    </w:p>
    <w:p w14:paraId="5FC833BA" w14:textId="7D5ED32D" w:rsidR="677ABDC8" w:rsidRDefault="677ABDC8" w:rsidP="082F9667">
      <w:pPr>
        <w:spacing w:line="257" w:lineRule="auto"/>
      </w:pPr>
      <w:r w:rsidRPr="082F9667">
        <w:rPr>
          <w:rFonts w:eastAsia="Times New Roman" w:cs="Times New Roman"/>
          <w:noProof/>
          <w:szCs w:val="20"/>
        </w:rPr>
        <w:t>('Enterococcus faec*'[MeSH Terms] AND 'vancomycin-resistant'[All Fields])</w:t>
      </w:r>
    </w:p>
    <w:p w14:paraId="1BB0A1AA" w14:textId="531FC5A4" w:rsidR="677ABDC8" w:rsidRDefault="677ABDC8" w:rsidP="082F9667">
      <w:pPr>
        <w:spacing w:line="257" w:lineRule="auto"/>
      </w:pPr>
      <w:r w:rsidRPr="082F9667">
        <w:rPr>
          <w:rFonts w:eastAsia="Times New Roman" w:cs="Times New Roman"/>
          <w:noProof/>
          <w:szCs w:val="20"/>
        </w:rPr>
        <w:t>("haemophilus influenzae"[MeSH Terms] AND ("penicillin resistance"[MeSH Terms] OR ("penicillin"[All Fields] AND "resistance"[All Fields]) OR "penicillin resistance"[All Fields])) AND ("mortality"[Subheading] OR "mortality"[All Fields] OR "mortality"[MeSH Terms])</w:t>
      </w:r>
    </w:p>
    <w:p w14:paraId="4FDC051E" w14:textId="215623D3" w:rsidR="677ABDC8" w:rsidRDefault="677ABDC8" w:rsidP="082F9667">
      <w:pPr>
        <w:spacing w:line="257" w:lineRule="auto"/>
      </w:pPr>
      <w:r w:rsidRPr="082F9667">
        <w:rPr>
          <w:rFonts w:eastAsia="Times New Roman" w:cs="Times New Roman"/>
          <w:noProof/>
          <w:szCs w:val="20"/>
        </w:rPr>
        <w:t>("streptococcus agalactiae"[MeSH Terms] AND ("azithromycin resistance"[MeSH Terms] OR ("azithromycin "[All Fields] AND "resistance"[All Fields]) OR " azithromycin resistance"[All Fields] OR "penicillin resistance"[MeSH Terms] OR ("penicillin"[All Fields] AND "resistance"[All Fields]) OR "penicillin resistance"[All Fields] OR "clindamycin resistance"[MeSH Terms] OR ("clindamycin"[All Fields] AND "resistance"[All Fields]) OR "erythromycin resistance"[All Fields] OR "erythromycin resistance"[MeSH Terms] OR ("erythromycin"[All Fields] AND "resistance"[All Fields]) OR "clindamycin resistance"[All Fields]) AND ("mortality"[Subheading] OR "mortality"[All Fields] OR "mortality"[MeSH Terms])</w:t>
      </w:r>
    </w:p>
    <w:p w14:paraId="1F5DDCBE" w14:textId="0CD377A3" w:rsidR="677ABDC8" w:rsidRPr="00C715B1" w:rsidRDefault="677ABDC8" w:rsidP="00C715B1">
      <w:pPr>
        <w:spacing w:after="0"/>
        <w:rPr>
          <w:rFonts w:eastAsiaTheme="majorEastAsia" w:cstheme="majorBidi"/>
          <w:i/>
          <w:color w:val="1F4D78" w:themeColor="accent1" w:themeShade="7F"/>
          <w:szCs w:val="24"/>
        </w:rPr>
      </w:pPr>
      <w:r w:rsidRPr="00C715B1">
        <w:rPr>
          <w:rFonts w:eastAsiaTheme="majorEastAsia" w:cstheme="majorBidi"/>
          <w:i/>
          <w:color w:val="1F4D78" w:themeColor="accent1" w:themeShade="7F"/>
          <w:szCs w:val="24"/>
        </w:rPr>
        <w:t>Section 2.</w:t>
      </w:r>
      <w:r w:rsidR="5725B0C3" w:rsidRPr="00C715B1">
        <w:rPr>
          <w:rFonts w:eastAsiaTheme="majorEastAsia" w:cstheme="majorBidi"/>
          <w:i/>
          <w:color w:val="1F4D78" w:themeColor="accent1" w:themeShade="7F"/>
          <w:szCs w:val="24"/>
        </w:rPr>
        <w:t>5.</w:t>
      </w:r>
      <w:r w:rsidR="00DE4605" w:rsidRPr="00C715B1">
        <w:rPr>
          <w:rFonts w:eastAsiaTheme="majorEastAsia" w:cstheme="majorBidi"/>
          <w:i/>
          <w:color w:val="1F4D78" w:themeColor="accent1" w:themeShade="7F"/>
          <w:szCs w:val="24"/>
        </w:rPr>
        <w:t>8</w:t>
      </w:r>
      <w:r w:rsidRPr="00C715B1">
        <w:rPr>
          <w:rFonts w:eastAsiaTheme="majorEastAsia" w:cstheme="majorBidi"/>
          <w:i/>
          <w:color w:val="1F4D78" w:themeColor="accent1" w:themeShade="7F"/>
          <w:szCs w:val="24"/>
        </w:rPr>
        <w:t>: Prevalence of resistance for specific organisms</w:t>
      </w:r>
    </w:p>
    <w:p w14:paraId="5F795F78" w14:textId="055D6D76" w:rsidR="677ABDC8" w:rsidRDefault="677ABDC8" w:rsidP="082F9667">
      <w:pPr>
        <w:spacing w:line="257" w:lineRule="auto"/>
      </w:pPr>
      <w:r w:rsidRPr="082F9667">
        <w:rPr>
          <w:rFonts w:eastAsia="Times New Roman" w:cs="Times New Roman"/>
          <w:noProof/>
          <w:szCs w:val="20"/>
        </w:rPr>
        <w:t>Medical Subject Heading (MeSH) terms with free text terms in the title and abstract fields for Escherichia coli, Klebsiella pneumoniae, Streptococcus pneumoniae and Staphylococcus aureus with the terms for antimicrobial drug resistance (resistan*, suscept*, surveil*, etc), limited from 1990 up to the search date. The search was undertaken on MEDLINE, Ovid Embase, Global Health, Cochrane Library.</w:t>
      </w:r>
    </w:p>
    <w:p w14:paraId="179AA709" w14:textId="25BB2D5F" w:rsidR="677ABDC8" w:rsidRDefault="677ABDC8" w:rsidP="082F9667">
      <w:pPr>
        <w:spacing w:line="257" w:lineRule="auto"/>
      </w:pPr>
      <w:r w:rsidRPr="082F9667">
        <w:rPr>
          <w:rFonts w:eastAsia="Times New Roman" w:cs="Times New Roman"/>
          <w:noProof/>
          <w:szCs w:val="20"/>
        </w:rPr>
        <w:t>Medical Subject Headings (MeSH) and free text terms for the pathogens of interest (e.g. S. Typhi, S. Paratyphi A, enteric fever) with terms for antimicrobial resistance (e.g. resistan*, suscept*, surveil*). The search was undertaken on MEDLINE, Ovid Embase, Global Health, Cochrane Library, Scopus, Web of Science-Core Collection and LILACS regional WHO database.</w:t>
      </w:r>
    </w:p>
    <w:p w14:paraId="0A8EF998" w14:textId="4D731EAD" w:rsidR="677ABDC8" w:rsidRDefault="677ABDC8" w:rsidP="082F9667">
      <w:pPr>
        <w:spacing w:line="257" w:lineRule="auto"/>
      </w:pPr>
      <w:r w:rsidRPr="082F9667">
        <w:rPr>
          <w:rFonts w:eastAsia="Times New Roman" w:cs="Times New Roman"/>
          <w:noProof/>
          <w:szCs w:val="20"/>
        </w:rPr>
        <w:t>Medical Subject Heading (MeSH) terms with free text terms in the title and abstract fields for non-typhoidal Salmonella or Salmonellosis (non-typhi or nontyph or non-typh Salmonel…) with the terms for antimicrobial drug resistance (resistan*, suscept*, surveil*, etc) and invasive (blood stream infection, septicaemia etc), limited from 1990 up to the search date. The search was undertaken on MEDLINE, Ovid Embase, Global Health, Cochrane Library, Scopus, Web of Science-Core Collection and LILACS regional WHO.</w:t>
      </w:r>
    </w:p>
    <w:p w14:paraId="12D63C41" w14:textId="47A843E5" w:rsidR="677ABDC8" w:rsidRDefault="677ABDC8" w:rsidP="082F9667">
      <w:pPr>
        <w:spacing w:line="257" w:lineRule="auto"/>
      </w:pPr>
      <w:r w:rsidRPr="082F9667">
        <w:rPr>
          <w:rFonts w:eastAsia="Times New Roman" w:cs="Times New Roman"/>
          <w:noProof/>
          <w:szCs w:val="20"/>
        </w:rPr>
        <w:t>Medical Subject Heading (MeSH) terms with free text terms in the title and abstract fields for Shigella or Shigellosis with the terms for antimicrobial drug resistance (resistan*, suscept*, surveil*, etc), limited from 1990 up to the search date. The search was undertaken on MEDLINE, Ovid Embase, Global Health, Cochrane Library, Scopus, Web of Science-Core Collection and LILACS regional WHO database.</w:t>
      </w:r>
    </w:p>
    <w:p w14:paraId="689B54BC" w14:textId="1EDD2B2C" w:rsidR="677ABDC8" w:rsidRDefault="677ABDC8" w:rsidP="082F9667">
      <w:pPr>
        <w:spacing w:line="257" w:lineRule="auto"/>
      </w:pPr>
      <w:r w:rsidRPr="082F9667">
        <w:rPr>
          <w:rFonts w:eastAsia="Times New Roman" w:cs="Times New Roman"/>
          <w:noProof/>
          <w:szCs w:val="20"/>
        </w:rPr>
        <w:t>Medical Subject Heading (MeSH) terms with free text terms in the title and abstract fields for Neisseria gonorrhoeae, with the terms for antimicrobial drug resistance (resistan*, suscept*, surveil*, etc), MDR, XDR, limited from 1990 up to the search date. The search was undertaken on MEDLINE, Ovid Embase, Global Health, Cochrane Library, Scopus, Web of Science-Core Collection and LILACS regional WHO database.</w:t>
      </w:r>
    </w:p>
    <w:p w14:paraId="1E45D7F6" w14:textId="45C9E545" w:rsidR="677ABDC8" w:rsidRDefault="26903F49" w:rsidP="082F9667">
      <w:pPr>
        <w:pStyle w:val="Heading2"/>
      </w:pPr>
      <w:bookmarkStart w:id="8" w:name="_Toc135992040"/>
      <w:r w:rsidRPr="003711BD">
        <w:rPr>
          <w:rFonts w:eastAsia="Times New Roman" w:cs="Times New Roman"/>
          <w:color w:val="2F5496" w:themeColor="accent5" w:themeShade="BF"/>
          <w:szCs w:val="20"/>
        </w:rPr>
        <w:t xml:space="preserve">Section 2.6: </w:t>
      </w:r>
      <w:r w:rsidR="677ABDC8" w:rsidRPr="003711BD">
        <w:rPr>
          <w:rFonts w:eastAsia="Times New Roman" w:cs="Times New Roman"/>
          <w:noProof/>
          <w:color w:val="2F5496" w:themeColor="accent5" w:themeShade="BF"/>
          <w:szCs w:val="20"/>
        </w:rPr>
        <w:t>Exclusion criteria for literature reviews</w:t>
      </w:r>
      <w:r w:rsidR="003711BD" w:rsidRPr="003711BD">
        <w:rPr>
          <w:rFonts w:eastAsia="Times New Roman" w:cs="Times New Roman"/>
          <w:color w:val="2F5496" w:themeColor="accent5" w:themeShade="BF"/>
          <w:szCs w:val="20"/>
          <w:shd w:val="clear" w:color="auto" w:fill="E6E6E6"/>
        </w:rPr>
        <w:fldChar w:fldCharType="begin"/>
      </w:r>
      <w:r w:rsidR="003711BD" w:rsidRPr="003711BD">
        <w:rPr>
          <w:rFonts w:eastAsia="Times New Roman" w:cs="Times New Roman"/>
          <w:noProof/>
          <w:color w:val="2F5496" w:themeColor="accent5" w:themeShade="BF"/>
          <w:szCs w:val="20"/>
        </w:rPr>
        <w:instrText xml:space="preserve"> ADDIN ZOTERO_ITEM CSL_CITATION {"citationID":"1Dv1lXwO","properties":{"formattedCitation":"\\super 2\\nosupersub{}","plainCitation":"2","noteIndex":0},"citationItems":[{"id":122466,"uris":["http://zotero.org/groups/2154524/items/LJ6HQ43A"],"itemData":{"id":122466,"type":"article-journal","container-title":"The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Collaborators"}],"issued":{"date-parts":[["2022",11]]}}}],"schema":"https://github.com/citation-style-language/schema/raw/master/csl-citation.json"} </w:instrText>
      </w:r>
      <w:r w:rsidR="003711BD" w:rsidRPr="003711BD">
        <w:rPr>
          <w:rFonts w:eastAsia="Times New Roman" w:cs="Times New Roman"/>
          <w:color w:val="2F5496" w:themeColor="accent5" w:themeShade="BF"/>
          <w:szCs w:val="20"/>
          <w:shd w:val="clear" w:color="auto" w:fill="E6E6E6"/>
        </w:rPr>
        <w:fldChar w:fldCharType="separate"/>
      </w:r>
      <w:r w:rsidR="003711BD" w:rsidRPr="003711BD">
        <w:rPr>
          <w:rFonts w:cs="Times New Roman"/>
          <w:szCs w:val="24"/>
          <w:vertAlign w:val="superscript"/>
        </w:rPr>
        <w:t>2</w:t>
      </w:r>
      <w:bookmarkEnd w:id="8"/>
      <w:r w:rsidR="003711BD" w:rsidRPr="003711BD">
        <w:rPr>
          <w:rFonts w:eastAsia="Times New Roman" w:cs="Times New Roman"/>
          <w:color w:val="2F5496" w:themeColor="accent5" w:themeShade="BF"/>
          <w:szCs w:val="20"/>
          <w:shd w:val="clear" w:color="auto" w:fill="E6E6E6"/>
        </w:rPr>
        <w:fldChar w:fldCharType="end"/>
      </w:r>
    </w:p>
    <w:p w14:paraId="507B91FD" w14:textId="699B529C" w:rsidR="677ABDC8" w:rsidRDefault="677ABDC8" w:rsidP="082F9667">
      <w:pPr>
        <w:spacing w:line="257" w:lineRule="auto"/>
      </w:pPr>
      <w:r w:rsidRPr="082F9667">
        <w:rPr>
          <w:rFonts w:eastAsia="Times New Roman" w:cs="Times New Roman"/>
          <w:noProof/>
          <w:szCs w:val="20"/>
        </w:rPr>
        <w:t>Studies were excluded from full text review if:</w:t>
      </w:r>
    </w:p>
    <w:p w14:paraId="1101771D" w14:textId="3460C222" w:rsidR="677ABDC8" w:rsidRPr="0075311D" w:rsidRDefault="677ABDC8" w:rsidP="082F9667">
      <w:pPr>
        <w:pStyle w:val="ListParagraph"/>
        <w:numPr>
          <w:ilvl w:val="0"/>
          <w:numId w:val="9"/>
        </w:numPr>
        <w:rPr>
          <w:rFonts w:eastAsia="Calibri" w:cs="Times New Roman"/>
          <w:i/>
          <w:iCs/>
          <w:noProof/>
          <w:szCs w:val="20"/>
          <w:lang w:val="en-GB"/>
        </w:rPr>
      </w:pPr>
      <w:r w:rsidRPr="0075311D">
        <w:rPr>
          <w:rFonts w:eastAsia="Calibri" w:cs="Times New Roman"/>
          <w:noProof/>
          <w:szCs w:val="20"/>
        </w:rPr>
        <w:t xml:space="preserve">The study did not include at least one of the following: </w:t>
      </w:r>
      <w:r w:rsidRPr="0075311D">
        <w:rPr>
          <w:rFonts w:eastAsia="Calibri" w:cs="Times New Roman"/>
          <w:i/>
          <w:iCs/>
          <w:noProof/>
          <w:szCs w:val="20"/>
        </w:rPr>
        <w:t xml:space="preserve">E.coli, K.pneumoniae, S.pneumoniae, S.aureus or </w:t>
      </w:r>
      <w:r w:rsidRPr="0075311D">
        <w:rPr>
          <w:rFonts w:eastAsia="Calibri" w:cs="Times New Roman"/>
          <w:i/>
          <w:iCs/>
          <w:noProof/>
          <w:szCs w:val="20"/>
          <w:lang w:val="en-GB"/>
        </w:rPr>
        <w:t>S.typhi/paratyphi</w:t>
      </w:r>
    </w:p>
    <w:p w14:paraId="114A2D50" w14:textId="11BD47F7" w:rsidR="677ABDC8" w:rsidRPr="0075311D" w:rsidRDefault="677ABDC8" w:rsidP="082F9667">
      <w:pPr>
        <w:pStyle w:val="ListParagraph"/>
        <w:numPr>
          <w:ilvl w:val="0"/>
          <w:numId w:val="9"/>
        </w:numPr>
        <w:rPr>
          <w:rFonts w:eastAsia="Calibri" w:cs="Times New Roman"/>
          <w:noProof/>
          <w:szCs w:val="20"/>
        </w:rPr>
      </w:pPr>
      <w:r w:rsidRPr="0075311D">
        <w:rPr>
          <w:rFonts w:eastAsia="Calibri" w:cs="Times New Roman"/>
          <w:noProof/>
          <w:szCs w:val="20"/>
        </w:rPr>
        <w:t>The entire study was conducted before 1990</w:t>
      </w:r>
    </w:p>
    <w:p w14:paraId="35F71D46" w14:textId="235934A1" w:rsidR="677ABDC8" w:rsidRPr="0075311D" w:rsidRDefault="677ABDC8" w:rsidP="082F9667">
      <w:pPr>
        <w:pStyle w:val="ListParagraph"/>
        <w:numPr>
          <w:ilvl w:val="0"/>
          <w:numId w:val="9"/>
        </w:numPr>
        <w:rPr>
          <w:rFonts w:eastAsia="Calibri" w:cs="Times New Roman"/>
          <w:noProof/>
          <w:szCs w:val="20"/>
        </w:rPr>
      </w:pPr>
      <w:r w:rsidRPr="0075311D">
        <w:rPr>
          <w:rFonts w:eastAsia="Calibri" w:cs="Times New Roman"/>
          <w:noProof/>
          <w:szCs w:val="20"/>
        </w:rPr>
        <w:t>Samples were collected before 1990</w:t>
      </w:r>
    </w:p>
    <w:p w14:paraId="65DD26F2" w14:textId="0B094B2B" w:rsidR="677ABDC8" w:rsidRPr="0075311D" w:rsidRDefault="677ABDC8" w:rsidP="082F9667">
      <w:pPr>
        <w:pStyle w:val="ListParagraph"/>
        <w:numPr>
          <w:ilvl w:val="0"/>
          <w:numId w:val="9"/>
        </w:numPr>
        <w:rPr>
          <w:rFonts w:eastAsia="Calibri" w:cs="Times New Roman"/>
          <w:noProof/>
          <w:szCs w:val="20"/>
        </w:rPr>
      </w:pPr>
      <w:r w:rsidRPr="0075311D">
        <w:rPr>
          <w:rFonts w:eastAsia="Calibri" w:cs="Times New Roman"/>
          <w:noProof/>
          <w:szCs w:val="20"/>
        </w:rPr>
        <w:t>Did not perform resistance testing</w:t>
      </w:r>
    </w:p>
    <w:p w14:paraId="6F274B10" w14:textId="27E13A18" w:rsidR="677ABDC8" w:rsidRPr="0075311D" w:rsidRDefault="677ABDC8" w:rsidP="082F9667">
      <w:pPr>
        <w:pStyle w:val="ListParagraph"/>
        <w:numPr>
          <w:ilvl w:val="0"/>
          <w:numId w:val="9"/>
        </w:numPr>
        <w:rPr>
          <w:rFonts w:eastAsia="Calibri" w:cs="Times New Roman"/>
          <w:noProof/>
          <w:szCs w:val="20"/>
          <w:lang w:val="en-GB"/>
        </w:rPr>
      </w:pPr>
      <w:r w:rsidRPr="0075311D">
        <w:rPr>
          <w:rFonts w:eastAsia="Calibri" w:cs="Times New Roman"/>
          <w:noProof/>
          <w:szCs w:val="20"/>
          <w:lang w:val="en-GB"/>
        </w:rPr>
        <w:t>Sample is non-representative (lab strains, only resistant strains)</w:t>
      </w:r>
    </w:p>
    <w:p w14:paraId="62006B0C" w14:textId="1CD1E063" w:rsidR="677ABDC8" w:rsidRPr="0075311D" w:rsidRDefault="677ABDC8" w:rsidP="082F9667">
      <w:pPr>
        <w:pStyle w:val="ListParagraph"/>
        <w:numPr>
          <w:ilvl w:val="0"/>
          <w:numId w:val="9"/>
        </w:numPr>
        <w:rPr>
          <w:rFonts w:eastAsia="Calibri" w:cs="Times New Roman"/>
          <w:noProof/>
          <w:szCs w:val="20"/>
          <w:lang w:val="en-GB"/>
        </w:rPr>
      </w:pPr>
      <w:r w:rsidRPr="0075311D">
        <w:rPr>
          <w:rFonts w:eastAsia="Calibri" w:cs="Times New Roman"/>
          <w:noProof/>
          <w:szCs w:val="20"/>
          <w:lang w:val="en-GB"/>
        </w:rPr>
        <w:lastRenderedPageBreak/>
        <w:t>Included non-human samples</w:t>
      </w:r>
    </w:p>
    <w:p w14:paraId="2CFDCFDE" w14:textId="5119CC6E" w:rsidR="677ABDC8" w:rsidRPr="0075311D" w:rsidRDefault="677ABDC8" w:rsidP="082F9667">
      <w:pPr>
        <w:pStyle w:val="ListParagraph"/>
        <w:numPr>
          <w:ilvl w:val="0"/>
          <w:numId w:val="9"/>
        </w:numPr>
        <w:rPr>
          <w:rFonts w:eastAsia="Calibri" w:cs="Times New Roman"/>
          <w:noProof/>
          <w:szCs w:val="20"/>
          <w:lang w:val="en-GB"/>
        </w:rPr>
      </w:pPr>
      <w:r w:rsidRPr="0075311D">
        <w:rPr>
          <w:rFonts w:eastAsia="Calibri" w:cs="Times New Roman"/>
          <w:noProof/>
          <w:szCs w:val="20"/>
          <w:lang w:val="en-GB"/>
        </w:rPr>
        <w:t>Article type was a case study</w:t>
      </w:r>
    </w:p>
    <w:p w14:paraId="3ABEDEDE" w14:textId="07CABA62"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Article type was a commentary, editorial or review with no primary data</w:t>
      </w:r>
    </w:p>
    <w:p w14:paraId="52FC6FE0" w14:textId="777C7823"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Isolates were not from blood culture</w:t>
      </w:r>
    </w:p>
    <w:p w14:paraId="5784B8AA" w14:textId="671C9C98"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There were duplicated isolates</w:t>
      </w:r>
    </w:p>
    <w:p w14:paraId="47236799" w14:textId="4B9B571B"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Travellers/non-endemic country/ no location information</w:t>
      </w:r>
    </w:p>
    <w:p w14:paraId="7ED5E09F" w14:textId="1CF94B1B"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Study did not test susceptibility to antimicrobials</w:t>
      </w:r>
    </w:p>
    <w:p w14:paraId="69C928B9" w14:textId="7228262C"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There were fewer than 10 consecutive isolates used for susceptibility testing</w:t>
      </w:r>
    </w:p>
    <w:p w14:paraId="18ECFE68" w14:textId="58966A9C"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Could not locate the full text</w:t>
      </w:r>
    </w:p>
    <w:p w14:paraId="4B2274DE" w14:textId="3589D01E"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The study was uninterpretable due to poor data quality</w:t>
      </w:r>
    </w:p>
    <w:p w14:paraId="4D514060" w14:textId="234FDC84"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Studies where data was aggregated with other pathogens</w:t>
      </w:r>
    </w:p>
    <w:p w14:paraId="312C110E" w14:textId="37F3720D" w:rsidR="677ABDC8" w:rsidRPr="0075311D" w:rsidRDefault="677ABDC8" w:rsidP="082F9667">
      <w:pPr>
        <w:pStyle w:val="ListParagraph"/>
        <w:numPr>
          <w:ilvl w:val="0"/>
          <w:numId w:val="8"/>
        </w:numPr>
        <w:rPr>
          <w:rFonts w:eastAsia="Calibri" w:cs="Times New Roman"/>
          <w:noProof/>
          <w:szCs w:val="20"/>
        </w:rPr>
      </w:pPr>
      <w:r w:rsidRPr="0075311D">
        <w:rPr>
          <w:rFonts w:eastAsia="Calibri" w:cs="Times New Roman"/>
          <w:noProof/>
          <w:szCs w:val="20"/>
        </w:rPr>
        <w:t>Studies using non-sterile site/mixed isolates</w:t>
      </w:r>
    </w:p>
    <w:p w14:paraId="420C9F99" w14:textId="29946BFD" w:rsidR="082F9667" w:rsidRPr="0075311D" w:rsidRDefault="677ABDC8" w:rsidP="0075311D">
      <w:pPr>
        <w:pStyle w:val="ListParagraph"/>
        <w:numPr>
          <w:ilvl w:val="0"/>
          <w:numId w:val="8"/>
        </w:numPr>
        <w:rPr>
          <w:rFonts w:eastAsia="Calibri" w:cs="Times New Roman"/>
          <w:noProof/>
          <w:szCs w:val="20"/>
        </w:rPr>
      </w:pPr>
      <w:r w:rsidRPr="0075311D">
        <w:rPr>
          <w:rFonts w:eastAsia="Calibri" w:cs="Times New Roman"/>
          <w:noProof/>
          <w:szCs w:val="20"/>
        </w:rPr>
        <w:t>Studies with no iNTS AST data</w:t>
      </w:r>
    </w:p>
    <w:p w14:paraId="0555A8BA" w14:textId="163D6B6A" w:rsidR="003B2FB7" w:rsidRPr="008A26A2" w:rsidRDefault="26903F49" w:rsidP="008A26A2">
      <w:pPr>
        <w:pStyle w:val="Heading2"/>
      </w:pPr>
      <w:bookmarkStart w:id="9" w:name="_Toc135992041"/>
      <w:r>
        <w:t>Section 2.</w:t>
      </w:r>
      <w:r w:rsidR="5C5AC51D">
        <w:t>7</w:t>
      </w:r>
      <w:r>
        <w:t xml:space="preserve">: </w:t>
      </w:r>
      <w:r w:rsidRPr="008A26A2">
        <w:t>Laboratory-based passive surveillance data.</w:t>
      </w:r>
      <w:bookmarkEnd w:id="9"/>
    </w:p>
    <w:p w14:paraId="273221C4" w14:textId="2685A2FB" w:rsidR="003B2FB7" w:rsidRPr="0075311D" w:rsidRDefault="26903F49" w:rsidP="26903F49">
      <w:pPr>
        <w:spacing w:line="257" w:lineRule="auto"/>
        <w:rPr>
          <w:rFonts w:cs="Times New Roman"/>
          <w:szCs w:val="20"/>
        </w:rPr>
      </w:pPr>
      <w:r w:rsidRPr="0075311D">
        <w:rPr>
          <w:rFonts w:eastAsia="Calibri" w:cs="Times New Roman"/>
          <w:noProof/>
          <w:szCs w:val="20"/>
          <w:lang w:val="en-GB"/>
        </w:rPr>
        <w:t>Laboratories based in hospitals or part of public and private laboratory networks have provided information on patient's specimens with positive pathogen growth. We infer the infectious syndrome from admission diagnosis if this is present in data.  If the former is not present, we use the type of specimen to infer the infectious syndrome of the patient. Some datasets include discharge disposition of the patient and whether the infection was identified after 48 hrs. from admission, which allow us to classify into community- or hospital-onset infections.</w:t>
      </w:r>
    </w:p>
    <w:p w14:paraId="2BA5713A" w14:textId="4B68C465" w:rsidR="003B2FB7" w:rsidRPr="00210CA8" w:rsidRDefault="26903F49" w:rsidP="00210CA8">
      <w:pPr>
        <w:spacing w:after="0"/>
        <w:rPr>
          <w:rFonts w:eastAsiaTheme="majorEastAsia" w:cstheme="majorBidi"/>
          <w:i/>
          <w:color w:val="1F4D78" w:themeColor="accent1" w:themeShade="7F"/>
          <w:szCs w:val="24"/>
        </w:rPr>
      </w:pPr>
      <w:r w:rsidRPr="00210CA8">
        <w:rPr>
          <w:rFonts w:eastAsiaTheme="majorEastAsia" w:cstheme="majorBidi"/>
          <w:i/>
          <w:color w:val="1F4D78" w:themeColor="accent1" w:themeShade="7F"/>
          <w:szCs w:val="24"/>
        </w:rPr>
        <w:t>Section 2.</w:t>
      </w:r>
      <w:r w:rsidR="5D5839B5" w:rsidRPr="00210CA8">
        <w:rPr>
          <w:rFonts w:eastAsiaTheme="majorEastAsia" w:cstheme="majorBidi"/>
          <w:i/>
          <w:color w:val="1F4D78" w:themeColor="accent1" w:themeShade="7F"/>
          <w:szCs w:val="24"/>
        </w:rPr>
        <w:t>7</w:t>
      </w:r>
      <w:r w:rsidRPr="00210CA8">
        <w:rPr>
          <w:rFonts w:eastAsiaTheme="majorEastAsia" w:cstheme="majorBidi"/>
          <w:i/>
          <w:color w:val="1F4D78" w:themeColor="accent1" w:themeShade="7F"/>
          <w:szCs w:val="24"/>
        </w:rPr>
        <w:t>.1: Laboratory-based data with outcome:</w:t>
      </w:r>
    </w:p>
    <w:p w14:paraId="0A36BA8C" w14:textId="29A6E313"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 xml:space="preserve">USA Becton, Dickinson, and Co. (BD) Insights, Research and Analytics Database microbiology test and in-patient hospital data: </w:t>
      </w:r>
      <w:r w:rsidRPr="0075311D">
        <w:rPr>
          <w:rFonts w:eastAsia="Calibri" w:cs="Times New Roman"/>
          <w:noProof/>
          <w:szCs w:val="20"/>
        </w:rPr>
        <w:t>data procured by BD via MedMined. Covers a range of regions in the United States from 2011 to 2017.</w:t>
      </w:r>
    </w:p>
    <w:p w14:paraId="311D1959" w14:textId="62C23642"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International Nosocomial Infection Control Consortium (INICC) surveillance online system:</w:t>
      </w:r>
      <w:r w:rsidRPr="0075311D">
        <w:rPr>
          <w:rFonts w:eastAsia="Calibri" w:cs="Times New Roman"/>
          <w:noProof/>
          <w:szCs w:val="20"/>
        </w:rPr>
        <w:t xml:space="preserve"> data from the INICC data collection software. ICU patient microbiology and hospital data from 50 countries across Latin America, Asia, the Middle East, eastern Europe, and Africa from 2009 to 2020.</w:t>
      </w:r>
    </w:p>
    <w:p w14:paraId="516B3FF2" w14:textId="4E2EB737"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 xml:space="preserve">St. George's Hospital, University of London - Global Antimicrobial Resistance, Prescribing and Efficacy among Neonates and Children (SGUL-GARPEC) Project bloodstream infection data: </w:t>
      </w:r>
      <w:r w:rsidRPr="0075311D">
        <w:rPr>
          <w:rFonts w:eastAsia="Calibri" w:cs="Times New Roman"/>
          <w:noProof/>
          <w:szCs w:val="20"/>
        </w:rPr>
        <w:t>Penta-sponsored global surveillance network focusing on neonatal and paediatric antimicrobial resistance and the organisms causing blood stream infections.</w:t>
      </w:r>
    </w:p>
    <w:p w14:paraId="37FA1DFD" w14:textId="02DDAE60"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Burden of Antibiotic Resistance in Neonates from Developing Societies (BARNARDS)</w:t>
      </w:r>
      <w:r w:rsidRPr="0075311D">
        <w:rPr>
          <w:rFonts w:eastAsia="Calibri" w:cs="Times New Roman"/>
          <w:noProof/>
          <w:szCs w:val="20"/>
        </w:rPr>
        <w:t>: BARNARDS includes locations in Nigeria, South Africa, Pakistan, Rwanda, Bangladesh, Ethiopia and India from 2015 to 2018.</w:t>
      </w:r>
    </w:p>
    <w:p w14:paraId="027B44A8" w14:textId="13851DAF" w:rsidR="003B2FB7" w:rsidRPr="0075311D" w:rsidRDefault="26903F49" w:rsidP="0075311D">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 xml:space="preserve">Lima, Peru Cayetano Heredia University (UPCH) antimicrobial resistance data: </w:t>
      </w:r>
      <w:r w:rsidRPr="0075311D">
        <w:rPr>
          <w:rFonts w:eastAsia="Calibri" w:cs="Times New Roman"/>
          <w:noProof/>
          <w:szCs w:val="20"/>
        </w:rPr>
        <w:t xml:space="preserve">data from UPCH hospital sites across Lima, Peru with discharge disposition for infectious pulmonary disease </w:t>
      </w:r>
    </w:p>
    <w:p w14:paraId="25E07599" w14:textId="398B5132" w:rsidR="003B2FB7" w:rsidRPr="008A26A2" w:rsidRDefault="26903F49" w:rsidP="00210CA8">
      <w:pPr>
        <w:spacing w:after="0"/>
      </w:pPr>
      <w:r w:rsidRPr="00210CA8">
        <w:rPr>
          <w:rFonts w:eastAsiaTheme="majorEastAsia" w:cstheme="majorBidi"/>
          <w:i/>
          <w:color w:val="1F4D78" w:themeColor="accent1" w:themeShade="7F"/>
          <w:szCs w:val="24"/>
        </w:rPr>
        <w:t>Section 2.</w:t>
      </w:r>
      <w:r w:rsidR="2AEAD0FD" w:rsidRPr="00210CA8">
        <w:rPr>
          <w:rFonts w:eastAsiaTheme="majorEastAsia" w:cstheme="majorBidi"/>
          <w:i/>
          <w:color w:val="1F4D78" w:themeColor="accent1" w:themeShade="7F"/>
          <w:szCs w:val="24"/>
        </w:rPr>
        <w:t>7</w:t>
      </w:r>
      <w:r w:rsidRPr="00210CA8">
        <w:rPr>
          <w:rFonts w:eastAsiaTheme="majorEastAsia" w:cstheme="majorBidi"/>
          <w:i/>
          <w:color w:val="1F4D78" w:themeColor="accent1" w:themeShade="7F"/>
          <w:szCs w:val="24"/>
        </w:rPr>
        <w:t>.</w:t>
      </w:r>
      <w:r w:rsidR="22767291" w:rsidRPr="00210CA8">
        <w:rPr>
          <w:rFonts w:eastAsiaTheme="majorEastAsia" w:cstheme="majorBidi"/>
          <w:i/>
          <w:color w:val="1F4D78" w:themeColor="accent1" w:themeShade="7F"/>
          <w:szCs w:val="24"/>
        </w:rPr>
        <w:t>2</w:t>
      </w:r>
      <w:r w:rsidRPr="00210CA8">
        <w:rPr>
          <w:rFonts w:eastAsiaTheme="majorEastAsia" w:cstheme="majorBidi"/>
          <w:i/>
          <w:color w:val="1F4D78" w:themeColor="accent1" w:themeShade="7F"/>
          <w:szCs w:val="24"/>
        </w:rPr>
        <w:t>: Laboratory-based data without outcome:</w:t>
      </w:r>
    </w:p>
    <w:p w14:paraId="430EC463" w14:textId="6D3B7EFE"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 xml:space="preserve">SENTRY: </w:t>
      </w:r>
      <w:r w:rsidRPr="0075311D">
        <w:rPr>
          <w:rFonts w:eastAsia="Calibri" w:cs="Times New Roman"/>
          <w:noProof/>
          <w:szCs w:val="20"/>
        </w:rPr>
        <w:t>SENTRY Antimicrobial Surveillance Program established by JMI Labs in 1997. Sites are in the USA, Europe, Latin America, parts of Asia, and the Western Pacific</w:t>
      </w:r>
    </w:p>
    <w:p w14:paraId="09A3BEC6" w14:textId="1AB4D3BA" w:rsidR="003B2FB7" w:rsidRPr="0075311D" w:rsidRDefault="26903F49" w:rsidP="26903F49">
      <w:pPr>
        <w:pStyle w:val="ListParagraph"/>
        <w:numPr>
          <w:ilvl w:val="0"/>
          <w:numId w:val="2"/>
        </w:numPr>
        <w:spacing w:line="257" w:lineRule="auto"/>
        <w:rPr>
          <w:rFonts w:eastAsia="Calibri" w:cs="Times New Roman"/>
          <w:noProof/>
          <w:szCs w:val="20"/>
        </w:rPr>
      </w:pPr>
      <w:r w:rsidRPr="0075311D">
        <w:rPr>
          <w:rFonts w:eastAsia="Calibri" w:cs="Times New Roman"/>
          <w:b/>
          <w:bCs/>
          <w:noProof/>
          <w:szCs w:val="20"/>
        </w:rPr>
        <w:t xml:space="preserve">Pfizer ATLAS Programme: </w:t>
      </w:r>
      <w:r w:rsidRPr="0075311D">
        <w:rPr>
          <w:rFonts w:eastAsia="Calibri" w:cs="Times New Roman"/>
          <w:noProof/>
          <w:szCs w:val="20"/>
        </w:rPr>
        <w:t xml:space="preserve">the Antimicrobial Testing Leadership and Surveillance (ATLAS) database includes the Tigecycline Evaluation Surveillance Trial (TEST), the Assessing Worldwide Antimicrobial Resistance Evaluation (AWARE) and the International Network for Optimal Resistance Monitoring (INFORM) programs. The study spans in coverage across more than 70 countries between 2004 and 2017. </w:t>
      </w:r>
    </w:p>
    <w:p w14:paraId="37F93227" w14:textId="5D2DEECA" w:rsidR="003B2FB7" w:rsidRPr="0075311D" w:rsidRDefault="26903F49" w:rsidP="26903F49">
      <w:pPr>
        <w:pStyle w:val="ListParagraph"/>
        <w:numPr>
          <w:ilvl w:val="0"/>
          <w:numId w:val="2"/>
        </w:numPr>
        <w:spacing w:line="257" w:lineRule="auto"/>
        <w:rPr>
          <w:rFonts w:eastAsia="Calibri" w:cs="Times New Roman"/>
          <w:szCs w:val="20"/>
        </w:rPr>
      </w:pPr>
      <w:r w:rsidRPr="0075311D">
        <w:rPr>
          <w:rFonts w:eastAsia="Calibri" w:cs="Times New Roman"/>
          <w:b/>
          <w:bCs/>
          <w:szCs w:val="20"/>
        </w:rPr>
        <w:t>WHO Meningitis surveillance:</w:t>
      </w:r>
      <w:r w:rsidRPr="0075311D">
        <w:rPr>
          <w:rFonts w:eastAsia="Calibri" w:cs="Times New Roman"/>
          <w:szCs w:val="20"/>
        </w:rPr>
        <w:t xml:space="preserve"> sentinel hospital surveillance of suspected meningitis cases among children under 5 years old and positive cultures, provided by the World Health </w:t>
      </w:r>
      <w:proofErr w:type="spellStart"/>
      <w:r w:rsidRPr="0075311D">
        <w:rPr>
          <w:rFonts w:eastAsia="Calibri" w:cs="Times New Roman"/>
          <w:szCs w:val="20"/>
        </w:rPr>
        <w:t>Organisation</w:t>
      </w:r>
      <w:proofErr w:type="spellEnd"/>
      <w:r w:rsidRPr="0075311D">
        <w:rPr>
          <w:rFonts w:eastAsia="Calibri" w:cs="Times New Roman"/>
          <w:szCs w:val="20"/>
        </w:rPr>
        <w:t xml:space="preserve"> (WHO) Global Rotavirus, Invasive Bacterial Vaccine Preventable Diseases Surveillance Network Collaboration from 2008 to 2020. </w:t>
      </w:r>
    </w:p>
    <w:p w14:paraId="43BA7513" w14:textId="4115117B" w:rsidR="003B2FB7" w:rsidRPr="0075311D" w:rsidRDefault="230446BE" w:rsidP="202FC0A3">
      <w:pPr>
        <w:pStyle w:val="ListParagraph"/>
        <w:numPr>
          <w:ilvl w:val="0"/>
          <w:numId w:val="2"/>
        </w:numPr>
        <w:spacing w:line="257" w:lineRule="auto"/>
        <w:rPr>
          <w:rFonts w:eastAsia="Calibri" w:cs="Times New Roman"/>
          <w:szCs w:val="20"/>
        </w:rPr>
      </w:pPr>
      <w:r w:rsidRPr="0075311D">
        <w:rPr>
          <w:rFonts w:eastAsia="Calibri" w:cs="Times New Roman"/>
          <w:b/>
          <w:bCs/>
          <w:szCs w:val="20"/>
        </w:rPr>
        <w:t>NARMS</w:t>
      </w:r>
      <w:r w:rsidRPr="0075311D">
        <w:rPr>
          <w:rFonts w:eastAsia="Calibri" w:cs="Times New Roman"/>
          <w:szCs w:val="20"/>
        </w:rPr>
        <w:t xml:space="preserve">: The National Antimicrobial Resistance Monitoring System for Enteric Bacteria (NARMS) is a collaboration of agencies within The U.S. Department of Health and Human Services (HHS) (FDA and </w:t>
      </w:r>
      <w:r w:rsidRPr="0075311D">
        <w:rPr>
          <w:rFonts w:eastAsia="Calibri" w:cs="Times New Roman"/>
          <w:szCs w:val="20"/>
        </w:rPr>
        <w:lastRenderedPageBreak/>
        <w:t xml:space="preserve">CDC) and the U.S. Department of Agriculture (USDA). It tracks enteric bacteria and selected animal pathogens and their resistance to antimicrobials, and data is available from 1997 onwards. </w:t>
      </w:r>
    </w:p>
    <w:p w14:paraId="42FCC67B" w14:textId="269D6308" w:rsidR="003B2FB7" w:rsidRPr="0075311D" w:rsidRDefault="71DA173C" w:rsidP="202FC0A3">
      <w:pPr>
        <w:pStyle w:val="ListParagraph"/>
        <w:numPr>
          <w:ilvl w:val="0"/>
          <w:numId w:val="2"/>
        </w:numPr>
        <w:spacing w:line="257" w:lineRule="auto"/>
        <w:rPr>
          <w:rFonts w:eastAsia="Calibri" w:cs="Times New Roman"/>
          <w:szCs w:val="20"/>
        </w:rPr>
      </w:pPr>
      <w:r w:rsidRPr="0075311D">
        <w:rPr>
          <w:rFonts w:eastAsia="Calibri" w:cs="Times New Roman"/>
          <w:b/>
          <w:bCs/>
          <w:szCs w:val="20"/>
        </w:rPr>
        <w:t>United States Active Bacterial Core Surveillance (ABCs) Reports:</w:t>
      </w:r>
      <w:r w:rsidRPr="0075311D">
        <w:rPr>
          <w:rFonts w:eastAsia="Calibri" w:cs="Times New Roman"/>
          <w:szCs w:val="20"/>
        </w:rPr>
        <w:t xml:space="preserve"> case reports on healthcare-associated Infections and community interface infections from the Emerging Infections Program (EIP) Network coordinated by the Center for Disease Control and Prevention (CDC).</w:t>
      </w:r>
    </w:p>
    <w:p w14:paraId="01422CD0" w14:textId="189C29EF" w:rsidR="003B2FB7" w:rsidRPr="0075311D" w:rsidRDefault="71DA173C" w:rsidP="202FC0A3">
      <w:pPr>
        <w:pStyle w:val="ListParagraph"/>
        <w:numPr>
          <w:ilvl w:val="0"/>
          <w:numId w:val="2"/>
        </w:numPr>
        <w:rPr>
          <w:rFonts w:eastAsiaTheme="minorEastAsia" w:cs="Times New Roman"/>
          <w:b/>
          <w:bCs/>
          <w:szCs w:val="20"/>
        </w:rPr>
      </w:pPr>
      <w:r w:rsidRPr="0075311D">
        <w:rPr>
          <w:rFonts w:eastAsiaTheme="minorEastAsia" w:cs="Times New Roman"/>
          <w:b/>
          <w:bCs/>
          <w:szCs w:val="20"/>
        </w:rPr>
        <w:t xml:space="preserve">World Health Organization (WHO) Global Tuberculosis </w:t>
      </w:r>
      <w:proofErr w:type="spellStart"/>
      <w:r w:rsidRPr="0075311D">
        <w:rPr>
          <w:rFonts w:eastAsiaTheme="minorEastAsia" w:cs="Times New Roman"/>
          <w:b/>
          <w:bCs/>
          <w:szCs w:val="20"/>
        </w:rPr>
        <w:t>Programme</w:t>
      </w:r>
      <w:proofErr w:type="spellEnd"/>
    </w:p>
    <w:p w14:paraId="12D9A3D1" w14:textId="1D08081B" w:rsidR="6B542578" w:rsidRPr="0075311D" w:rsidRDefault="6B542578" w:rsidP="202FC0A3">
      <w:pPr>
        <w:pStyle w:val="ListParagraph"/>
        <w:numPr>
          <w:ilvl w:val="0"/>
          <w:numId w:val="2"/>
        </w:numPr>
        <w:rPr>
          <w:rFonts w:eastAsiaTheme="minorEastAsia" w:cs="Times New Roman"/>
          <w:szCs w:val="20"/>
        </w:rPr>
      </w:pPr>
      <w:r w:rsidRPr="0075311D">
        <w:rPr>
          <w:rFonts w:eastAsiaTheme="minorEastAsia" w:cs="Times New Roman"/>
          <w:b/>
          <w:bCs/>
          <w:szCs w:val="20"/>
        </w:rPr>
        <w:t>GLASS</w:t>
      </w:r>
      <w:r w:rsidRPr="0075311D">
        <w:rPr>
          <w:rFonts w:eastAsiaTheme="minorEastAsia" w:cs="Times New Roman"/>
          <w:szCs w:val="20"/>
        </w:rPr>
        <w:t>: Global Antimicrobial Resistance Surveillance System by WHO</w:t>
      </w:r>
    </w:p>
    <w:p w14:paraId="01124FD2" w14:textId="507A5A44" w:rsidR="385BD44B" w:rsidRPr="0075311D" w:rsidRDefault="385BD44B" w:rsidP="202FC0A3">
      <w:pPr>
        <w:pStyle w:val="ListParagraph"/>
        <w:numPr>
          <w:ilvl w:val="0"/>
          <w:numId w:val="2"/>
        </w:numPr>
        <w:rPr>
          <w:rFonts w:eastAsiaTheme="minorEastAsia" w:cs="Times New Roman"/>
          <w:b/>
          <w:bCs/>
          <w:szCs w:val="20"/>
        </w:rPr>
      </w:pPr>
      <w:r w:rsidRPr="0075311D">
        <w:rPr>
          <w:rFonts w:eastAsiaTheme="minorEastAsia" w:cs="Times New Roman"/>
          <w:b/>
          <w:bCs/>
          <w:szCs w:val="20"/>
        </w:rPr>
        <w:t>Hospital Civil de Guadalajara Fray Antonio Alcalde, Mexico</w:t>
      </w:r>
    </w:p>
    <w:p w14:paraId="333784B7" w14:textId="55E56FAD" w:rsidR="385BD44B" w:rsidRPr="0075311D" w:rsidRDefault="385BD44B" w:rsidP="202FC0A3">
      <w:pPr>
        <w:pStyle w:val="ListParagraph"/>
        <w:numPr>
          <w:ilvl w:val="0"/>
          <w:numId w:val="2"/>
        </w:numPr>
        <w:rPr>
          <w:rFonts w:eastAsiaTheme="minorEastAsia" w:cs="Times New Roman"/>
          <w:b/>
          <w:bCs/>
          <w:szCs w:val="20"/>
        </w:rPr>
      </w:pPr>
      <w:r w:rsidRPr="0075311D">
        <w:rPr>
          <w:rFonts w:eastAsiaTheme="minorEastAsia" w:cs="Times New Roman"/>
          <w:b/>
          <w:bCs/>
          <w:szCs w:val="20"/>
        </w:rPr>
        <w:t>Canadian Antimicrobial Resistance Surveillance System</w:t>
      </w:r>
    </w:p>
    <w:p w14:paraId="5B3622E2" w14:textId="0A1683CF" w:rsidR="4096D144" w:rsidRPr="0075311D" w:rsidRDefault="4096D144" w:rsidP="202FC0A3">
      <w:pPr>
        <w:pStyle w:val="ListParagraph"/>
        <w:numPr>
          <w:ilvl w:val="0"/>
          <w:numId w:val="2"/>
        </w:numPr>
        <w:rPr>
          <w:rFonts w:eastAsiaTheme="minorEastAsia" w:cs="Times New Roman"/>
          <w:szCs w:val="20"/>
        </w:rPr>
      </w:pPr>
      <w:r w:rsidRPr="0075311D">
        <w:rPr>
          <w:rFonts w:eastAsiaTheme="minorEastAsia" w:cs="Times New Roman"/>
          <w:b/>
          <w:bCs/>
          <w:szCs w:val="20"/>
        </w:rPr>
        <w:t>SOAR</w:t>
      </w:r>
      <w:r w:rsidRPr="0075311D">
        <w:rPr>
          <w:rFonts w:eastAsiaTheme="minorEastAsia" w:cs="Times New Roman"/>
          <w:szCs w:val="20"/>
        </w:rPr>
        <w:t xml:space="preserve">: Survey on Antibiotic Resistance (SOAR) sponsored by GSK. </w:t>
      </w:r>
    </w:p>
    <w:p w14:paraId="4B796548" w14:textId="7BA55396" w:rsidR="23F7418A" w:rsidRPr="0075311D" w:rsidRDefault="23F7418A" w:rsidP="202FC0A3">
      <w:pPr>
        <w:pStyle w:val="ListParagraph"/>
        <w:numPr>
          <w:ilvl w:val="0"/>
          <w:numId w:val="2"/>
        </w:numPr>
        <w:rPr>
          <w:rFonts w:eastAsiaTheme="minorEastAsia" w:cs="Times New Roman"/>
          <w:szCs w:val="20"/>
        </w:rPr>
      </w:pPr>
      <w:proofErr w:type="spellStart"/>
      <w:r w:rsidRPr="0075311D">
        <w:rPr>
          <w:rFonts w:eastAsiaTheme="minorEastAsia" w:cs="Times New Roman"/>
          <w:b/>
          <w:bCs/>
          <w:szCs w:val="20"/>
        </w:rPr>
        <w:t>ReLAVRA</w:t>
      </w:r>
      <w:proofErr w:type="spellEnd"/>
      <w:r w:rsidRPr="0075311D">
        <w:rPr>
          <w:rFonts w:eastAsiaTheme="minorEastAsia" w:cs="Times New Roman"/>
          <w:b/>
          <w:bCs/>
          <w:szCs w:val="20"/>
        </w:rPr>
        <w:t xml:space="preserve"> and SIREVA</w:t>
      </w:r>
      <w:r w:rsidRPr="0075311D">
        <w:rPr>
          <w:rFonts w:eastAsiaTheme="minorEastAsia" w:cs="Times New Roman"/>
          <w:szCs w:val="20"/>
        </w:rPr>
        <w:t>: The Latin American Network for Antimicrobial Resistance Surveillance (</w:t>
      </w:r>
      <w:proofErr w:type="spellStart"/>
      <w:r w:rsidRPr="0075311D">
        <w:rPr>
          <w:rFonts w:eastAsiaTheme="minorEastAsia" w:cs="Times New Roman"/>
          <w:szCs w:val="20"/>
        </w:rPr>
        <w:t>ReLAVRA</w:t>
      </w:r>
      <w:proofErr w:type="spellEnd"/>
      <w:r w:rsidRPr="0075311D">
        <w:rPr>
          <w:rFonts w:eastAsiaTheme="minorEastAsia" w:cs="Times New Roman"/>
          <w:szCs w:val="20"/>
        </w:rPr>
        <w:t xml:space="preserve"> by its Spanish acronym) and the Serotype and Antimicrobial Resistance Surveillance Program (SIREVA by its English acronym) which are coordinated by the Pan-American Health Organization (WHO/PAHO)</w:t>
      </w:r>
    </w:p>
    <w:p w14:paraId="77C8D10D" w14:textId="158CBAD2" w:rsidR="23F7418A" w:rsidRPr="0075311D" w:rsidRDefault="23F7418A" w:rsidP="202FC0A3">
      <w:pPr>
        <w:pStyle w:val="ListParagraph"/>
        <w:numPr>
          <w:ilvl w:val="0"/>
          <w:numId w:val="2"/>
        </w:numPr>
        <w:rPr>
          <w:rFonts w:eastAsiaTheme="minorEastAsia" w:cs="Times New Roman"/>
          <w:szCs w:val="20"/>
        </w:rPr>
      </w:pPr>
      <w:r w:rsidRPr="0075311D">
        <w:rPr>
          <w:rFonts w:eastAsiaTheme="minorEastAsia" w:cs="Times New Roman"/>
          <w:b/>
          <w:bCs/>
          <w:szCs w:val="20"/>
        </w:rPr>
        <w:t>SMART</w:t>
      </w:r>
      <w:r w:rsidRPr="0075311D">
        <w:rPr>
          <w:rFonts w:eastAsiaTheme="minorEastAsia" w:cs="Times New Roman"/>
          <w:szCs w:val="20"/>
        </w:rPr>
        <w:t>: Study for Monitoring Antimicrobial Resistance Trends which monitors complicated intra-abdominal infections (</w:t>
      </w:r>
      <w:proofErr w:type="spellStart"/>
      <w:r w:rsidRPr="0075311D">
        <w:rPr>
          <w:rFonts w:eastAsiaTheme="minorEastAsia" w:cs="Times New Roman"/>
          <w:szCs w:val="20"/>
        </w:rPr>
        <w:t>cIAIs</w:t>
      </w:r>
      <w:proofErr w:type="spellEnd"/>
      <w:r w:rsidRPr="0075311D">
        <w:rPr>
          <w:rFonts w:eastAsiaTheme="minorEastAsia" w:cs="Times New Roman"/>
          <w:szCs w:val="20"/>
        </w:rPr>
        <w:t>), complicated urinary tract infections (</w:t>
      </w:r>
      <w:proofErr w:type="spellStart"/>
      <w:r w:rsidRPr="0075311D">
        <w:rPr>
          <w:rFonts w:eastAsiaTheme="minorEastAsia" w:cs="Times New Roman"/>
          <w:szCs w:val="20"/>
        </w:rPr>
        <w:t>cUTIs</w:t>
      </w:r>
      <w:proofErr w:type="spellEnd"/>
      <w:r w:rsidRPr="0075311D">
        <w:rPr>
          <w:rFonts w:eastAsiaTheme="minorEastAsia" w:cs="Times New Roman"/>
          <w:szCs w:val="20"/>
        </w:rPr>
        <w:t>) and respiratory infections worldwide, funded by Merck &amp; Co.</w:t>
      </w:r>
    </w:p>
    <w:p w14:paraId="3018BE81" w14:textId="4DBFF648" w:rsidR="26903F49" w:rsidRDefault="26903F49" w:rsidP="082F9667">
      <w:pPr>
        <w:pStyle w:val="Heading1"/>
      </w:pPr>
      <w:bookmarkStart w:id="10" w:name="_Toc135992042"/>
      <w:r w:rsidRPr="003711BD">
        <w:t xml:space="preserve">Section 3: </w:t>
      </w:r>
      <w:r w:rsidR="44A46EB1" w:rsidRPr="003711BD">
        <w:rPr>
          <w:rFonts w:eastAsia="Times New Roman" w:cs="Times New Roman"/>
          <w:color w:val="2F5496" w:themeColor="accent5" w:themeShade="BF"/>
          <w:szCs w:val="24"/>
        </w:rPr>
        <w:t>Supplementary methods: a summary of the estimation process</w:t>
      </w:r>
      <w:r w:rsidR="00BC3995" w:rsidRPr="003711BD">
        <w:rPr>
          <w:rFonts w:eastAsia="Times New Roman" w:cs="Times New Roman"/>
          <w:color w:val="2F5496" w:themeColor="accent5" w:themeShade="BF"/>
          <w:szCs w:val="24"/>
          <w:shd w:val="clear" w:color="auto" w:fill="E6E6E6"/>
        </w:rPr>
        <w:fldChar w:fldCharType="begin"/>
      </w:r>
      <w:r w:rsidR="003711BD" w:rsidRPr="003711BD">
        <w:rPr>
          <w:rFonts w:eastAsia="Times New Roman" w:cs="Times New Roman"/>
          <w:color w:val="2F5496" w:themeColor="accent5" w:themeShade="BF"/>
          <w:szCs w:val="24"/>
        </w:rPr>
        <w:instrText xml:space="preserve"> ADDIN ZOTERO_ITEM CSL_CITATION {"citationID":"5ISBPfTn","properties":{"formattedCitation":"\\super 1,2\\nosupersub{}","plainCitation":"1,2","noteIndex":0},"citationItems":[{"id":112701,"uris":["http://zotero.org/groups/2154524/items/9L2ST2J6"],"itemData":{"id":112701,"type":"article-journal","container-title":"The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Collaborators"}],"issued":{"date-parts":[["2022",2,12]]}},"label":"page"},{"id":122466,"uris":["http://zotero.org/groups/2154524/items/LJ6HQ43A"],"itemData":{"id":122466,"type":"article-journal","container-title":"The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Collaborators"}],"issued":{"date-parts":[["2022",11]]}},"label":"page"}],"schema":"https://github.com/citation-style-language/schema/raw/master/csl-citation.json"} </w:instrText>
      </w:r>
      <w:r w:rsidR="00BC3995" w:rsidRPr="003711BD">
        <w:rPr>
          <w:rFonts w:eastAsia="Times New Roman" w:cs="Times New Roman"/>
          <w:color w:val="2F5496" w:themeColor="accent5" w:themeShade="BF"/>
          <w:szCs w:val="24"/>
          <w:shd w:val="clear" w:color="auto" w:fill="E6E6E6"/>
        </w:rPr>
        <w:fldChar w:fldCharType="separate"/>
      </w:r>
      <w:r w:rsidR="003711BD" w:rsidRPr="003711BD">
        <w:rPr>
          <w:rFonts w:cs="Times New Roman"/>
          <w:szCs w:val="24"/>
          <w:vertAlign w:val="superscript"/>
        </w:rPr>
        <w:t>1,2</w:t>
      </w:r>
      <w:bookmarkEnd w:id="10"/>
      <w:r w:rsidR="00BC3995" w:rsidRPr="003711BD">
        <w:rPr>
          <w:rFonts w:eastAsia="Times New Roman" w:cs="Times New Roman"/>
          <w:color w:val="2F5496" w:themeColor="accent5" w:themeShade="BF"/>
          <w:szCs w:val="24"/>
          <w:shd w:val="clear" w:color="auto" w:fill="E6E6E6"/>
        </w:rPr>
        <w:fldChar w:fldCharType="end"/>
      </w:r>
    </w:p>
    <w:p w14:paraId="6A620357" w14:textId="20E0247F" w:rsidR="6B99E739" w:rsidRDefault="6B99E739" w:rsidP="082F9667">
      <w:pPr>
        <w:pStyle w:val="Heading2"/>
      </w:pPr>
      <w:bookmarkStart w:id="11" w:name="_Toc135992043"/>
      <w:r w:rsidRPr="082F9667">
        <w:rPr>
          <w:rFonts w:eastAsia="Times New Roman" w:cs="Times New Roman"/>
          <w:bCs/>
          <w:color w:val="2F5496" w:themeColor="accent5" w:themeShade="BF"/>
          <w:szCs w:val="20"/>
        </w:rPr>
        <w:t>Section 3.1: GBD 2019 framework</w:t>
      </w:r>
      <w:bookmarkEnd w:id="11"/>
    </w:p>
    <w:p w14:paraId="5F43E636" w14:textId="26B53109" w:rsidR="6B99E739" w:rsidRPr="0075311D" w:rsidRDefault="6B99E739" w:rsidP="761BFDBB">
      <w:pPr>
        <w:spacing w:line="257" w:lineRule="auto"/>
        <w:rPr>
          <w:rFonts w:cs="Times New Roman"/>
          <w:szCs w:val="20"/>
        </w:rPr>
      </w:pPr>
      <w:r w:rsidRPr="0075311D">
        <w:rPr>
          <w:rFonts w:eastAsia="Times New Roman" w:cs="Times New Roman"/>
          <w:szCs w:val="20"/>
        </w:rPr>
        <w:t>The study relies on Global Burden of Disease (GBD) 2019 fatal and non-fatal estimates, and a comprehensive description of data sources, data quality, statistical modelling and analyses for GBD 2019 have been reported elsewhere.</w:t>
      </w:r>
      <w:r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{"citationID":"yCM51y2N","properties":{"formattedCitation":"\\super 3\\nosupersub{}","plainCitation":"3","noteIndex":0},"citationItems":[{"id":93768,"uris":["http://zotero.org/groups/2154524/items/6TQ57EY7"],"itemData":{"id":93768,"type":"article-journal","container-title":"The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1990–2019","volume":"396","author":[{"literal":"GBD 2019 Diseases and Injuries Collaborators"}],"issued":{"date-parts":[["2020",10,17]]}}}],"schema":"https://github.com/citation-style-language/schema/raw/master/csl-citation.json"} </w:instrText>
      </w:r>
      <w:r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3</w:t>
      </w:r>
      <w:r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A brief summary of the fatal and non-fatal estimation</w:t>
      </w:r>
      <w:r w:rsidR="5AFA7641" w:rsidRPr="0075311D">
        <w:rPr>
          <w:rFonts w:eastAsia="Times New Roman" w:cs="Times New Roman"/>
          <w:szCs w:val="20"/>
        </w:rPr>
        <w:t xml:space="preserve">, including a flow </w:t>
      </w:r>
      <w:r w:rsidR="45348056" w:rsidRPr="0075311D">
        <w:rPr>
          <w:rFonts w:eastAsia="Times New Roman" w:cs="Times New Roman"/>
          <w:szCs w:val="20"/>
        </w:rPr>
        <w:t xml:space="preserve">chart </w:t>
      </w:r>
      <w:r w:rsidR="5AFA7641" w:rsidRPr="0075311D">
        <w:rPr>
          <w:rFonts w:eastAsia="Times New Roman" w:cs="Times New Roman"/>
          <w:szCs w:val="20"/>
        </w:rPr>
        <w:t>of the</w:t>
      </w:r>
      <w:r w:rsidRPr="0075311D">
        <w:rPr>
          <w:rFonts w:eastAsia="Times New Roman" w:cs="Times New Roman"/>
          <w:szCs w:val="20"/>
        </w:rPr>
        <w:t xml:space="preserve"> processes</w:t>
      </w:r>
      <w:r w:rsidR="2BDD861D" w:rsidRPr="0075311D">
        <w:rPr>
          <w:rFonts w:eastAsia="Times New Roman" w:cs="Times New Roman"/>
          <w:szCs w:val="20"/>
        </w:rPr>
        <w:t>,</w:t>
      </w:r>
      <w:r w:rsidRPr="0075311D">
        <w:rPr>
          <w:rFonts w:eastAsia="Times New Roman" w:cs="Times New Roman"/>
          <w:szCs w:val="20"/>
        </w:rPr>
        <w:t xml:space="preserve"> can be found in the appendix of Murray et al. (2022).</w:t>
      </w:r>
      <w:r w:rsidRPr="0075311D">
        <w:rPr>
          <w:rFonts w:eastAsia="Times New Roman" w:cs="Times New Roman"/>
          <w:color w:val="2B579A"/>
          <w:szCs w:val="20"/>
          <w:shd w:val="clear" w:color="auto" w:fill="E6E6E6"/>
        </w:rPr>
        <w:fldChar w:fldCharType="begin"/>
      </w:r>
      <w:r w:rsidRPr="0075311D">
        <w:rPr>
          <w:rFonts w:eastAsia="Times New Roman" w:cs="Times New Roman"/>
          <w:szCs w:val="20"/>
        </w:rPr>
        <w:instrText xml:space="preserve"> ADDIN ZOTERO_ITEM CSL_CITATION {"citationID":"Mwa3hc2A","properties":{"formattedCitation":"\\super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Pr="0075311D">
        <w:rPr>
          <w:rFonts w:eastAsia="Times New Roman" w:cs="Times New Roman"/>
          <w:color w:val="2B579A"/>
          <w:szCs w:val="20"/>
          <w:shd w:val="clear" w:color="auto" w:fill="E6E6E6"/>
        </w:rPr>
        <w:fldChar w:fldCharType="end"/>
      </w:r>
    </w:p>
    <w:p w14:paraId="61DC8C8A" w14:textId="128D04EB" w:rsidR="6B99E739" w:rsidRDefault="6B99E739" w:rsidP="082F9667">
      <w:pPr>
        <w:pStyle w:val="Heading2"/>
      </w:pPr>
      <w:bookmarkStart w:id="12" w:name="_Toc135992044"/>
      <w:r w:rsidRPr="082F9667">
        <w:rPr>
          <w:rFonts w:eastAsia="Times New Roman" w:cs="Times New Roman"/>
          <w:bCs/>
          <w:color w:val="2F5496" w:themeColor="accent5" w:themeShade="BF"/>
          <w:szCs w:val="20"/>
        </w:rPr>
        <w:t xml:space="preserve">Section 3.2: Deaths where infection plays a role and infectious syndrome </w:t>
      </w:r>
      <w:proofErr w:type="gramStart"/>
      <w:r w:rsidRPr="082F9667">
        <w:rPr>
          <w:rFonts w:eastAsia="Times New Roman" w:cs="Times New Roman"/>
          <w:bCs/>
          <w:color w:val="2F5496" w:themeColor="accent5" w:themeShade="BF"/>
          <w:szCs w:val="20"/>
        </w:rPr>
        <w:t>estimation</w:t>
      </w:r>
      <w:bookmarkEnd w:id="12"/>
      <w:proofErr w:type="gramEnd"/>
    </w:p>
    <w:p w14:paraId="062D0756" w14:textId="4FD3E427" w:rsidR="6B99E739" w:rsidRPr="00210CA8" w:rsidRDefault="6B99E739" w:rsidP="00210CA8">
      <w:pPr>
        <w:spacing w:after="0"/>
        <w:rPr>
          <w:rFonts w:eastAsiaTheme="majorEastAsia" w:cstheme="majorBidi"/>
          <w:i/>
          <w:color w:val="1F4D78" w:themeColor="accent1" w:themeShade="7F"/>
          <w:szCs w:val="24"/>
        </w:rPr>
      </w:pPr>
      <w:r w:rsidRPr="00210CA8">
        <w:rPr>
          <w:rFonts w:eastAsiaTheme="majorEastAsia" w:cstheme="majorBidi"/>
          <w:i/>
          <w:color w:val="1F4D78" w:themeColor="accent1" w:themeShade="7F"/>
          <w:szCs w:val="24"/>
        </w:rPr>
        <w:t xml:space="preserve">Section 3.2.1: Input data </w:t>
      </w:r>
    </w:p>
    <w:p w14:paraId="69FDC07E" w14:textId="7CFD75EC" w:rsidR="6B99E739" w:rsidRPr="0075311D" w:rsidRDefault="6B99E739" w:rsidP="082F9667">
      <w:pPr>
        <w:spacing w:line="257" w:lineRule="auto"/>
        <w:rPr>
          <w:rFonts w:cs="Times New Roman"/>
          <w:szCs w:val="20"/>
        </w:rPr>
      </w:pPr>
      <w:r w:rsidRPr="0075311D">
        <w:rPr>
          <w:rFonts w:eastAsia="Times New Roman" w:cs="Times New Roman"/>
          <w:szCs w:val="20"/>
        </w:rPr>
        <w:t>Multiple causes of death (</w:t>
      </w:r>
      <w:proofErr w:type="spellStart"/>
      <w:r w:rsidRPr="0075311D">
        <w:rPr>
          <w:rFonts w:eastAsia="Times New Roman" w:cs="Times New Roman"/>
          <w:szCs w:val="20"/>
        </w:rPr>
        <w:t>MCoD</w:t>
      </w:r>
      <w:proofErr w:type="spellEnd"/>
      <w:r w:rsidRPr="0075311D">
        <w:rPr>
          <w:rFonts w:eastAsia="Times New Roman" w:cs="Times New Roman"/>
          <w:szCs w:val="20"/>
        </w:rPr>
        <w:t>) data are individual-based records that provide underlying causes of death and two or more intermediate causes in the chain of death. Additionally, each record includes age, sex, residence, and the date of death.</w:t>
      </w:r>
    </w:p>
    <w:p w14:paraId="1F72A19C" w14:textId="5CE773C3" w:rsidR="6B99E739" w:rsidRPr="0075311D" w:rsidRDefault="6B99E739" w:rsidP="082F9667">
      <w:pPr>
        <w:spacing w:line="257" w:lineRule="auto"/>
        <w:rPr>
          <w:rFonts w:cs="Times New Roman"/>
          <w:szCs w:val="20"/>
        </w:rPr>
      </w:pPr>
      <w:r w:rsidRPr="0075311D">
        <w:rPr>
          <w:rFonts w:eastAsia="Times New Roman" w:cs="Times New Roman"/>
          <w:szCs w:val="20"/>
        </w:rPr>
        <w:t>Hospital record with multiple diagnoses and discharge status of death represents an individual-based hospital record of a patient that provides the main diagnosis and two or more additional diagnoses. Additionally, each record includes age, sex, residence, date of admission, date of discharge, and outcome (dead or alive). Only hospital discharges with discharge status of death were used in this component model, since we aimed to estimate the fraction of deaths that involve infection and the infectious syndrome distribution of those deaths.</w:t>
      </w:r>
    </w:p>
    <w:p w14:paraId="248F2F88" w14:textId="4F70C480" w:rsidR="6B99E739" w:rsidRPr="0075311D" w:rsidRDefault="6B99E739" w:rsidP="082F9667">
      <w:pPr>
        <w:spacing w:line="257" w:lineRule="auto"/>
        <w:rPr>
          <w:rFonts w:cs="Times New Roman"/>
          <w:szCs w:val="20"/>
        </w:rPr>
      </w:pPr>
      <w:r w:rsidRPr="0075311D">
        <w:rPr>
          <w:rFonts w:eastAsia="Times New Roman" w:cs="Times New Roman"/>
          <w:szCs w:val="20"/>
        </w:rPr>
        <w:t xml:space="preserve">Linkage data are generated using probabilistic methods in a defined population that link individual-based hospital data to individual-based </w:t>
      </w:r>
      <w:proofErr w:type="spellStart"/>
      <w:r w:rsidRPr="0075311D">
        <w:rPr>
          <w:rFonts w:eastAsia="Times New Roman" w:cs="Times New Roman"/>
          <w:szCs w:val="20"/>
        </w:rPr>
        <w:t>MCoD</w:t>
      </w:r>
      <w:proofErr w:type="spellEnd"/>
      <w:r w:rsidRPr="0075311D">
        <w:rPr>
          <w:rFonts w:eastAsia="Times New Roman" w:cs="Times New Roman"/>
          <w:szCs w:val="20"/>
        </w:rPr>
        <w:t xml:space="preserve"> data. Linkage data offer a wider dataset that includes main diagnosis, other diagnoses, underlying cause of death, and intermediate causes of death in the chain.</w:t>
      </w:r>
      <w:r w:rsidRPr="0075311D">
        <w:rPr>
          <w:rFonts w:eastAsia="Calibri" w:cs="Times New Roman"/>
          <w:szCs w:val="20"/>
        </w:rPr>
        <w:t xml:space="preserve">  </w:t>
      </w:r>
    </w:p>
    <w:p w14:paraId="21420A0C" w14:textId="0CA41032" w:rsidR="6B99E739" w:rsidRPr="00210CA8" w:rsidRDefault="6B99E739" w:rsidP="00210CA8">
      <w:pPr>
        <w:spacing w:after="0"/>
        <w:rPr>
          <w:rFonts w:eastAsiaTheme="majorEastAsia" w:cstheme="majorBidi"/>
          <w:i/>
          <w:color w:val="1F4D78" w:themeColor="accent1" w:themeShade="7F"/>
          <w:szCs w:val="24"/>
        </w:rPr>
      </w:pPr>
      <w:r w:rsidRPr="00210CA8">
        <w:rPr>
          <w:rFonts w:eastAsiaTheme="majorEastAsia" w:cstheme="majorBidi"/>
          <w:i/>
          <w:color w:val="1F4D78" w:themeColor="accent1" w:themeShade="7F"/>
          <w:szCs w:val="24"/>
        </w:rPr>
        <w:t xml:space="preserve">Section 3.2.2: Data processing and mapping </w:t>
      </w:r>
    </w:p>
    <w:p w14:paraId="10B8DF36" w14:textId="583A0E37" w:rsidR="6B99E739" w:rsidRPr="0075311D" w:rsidRDefault="6B99E739" w:rsidP="082F9667">
      <w:pPr>
        <w:spacing w:line="257" w:lineRule="auto"/>
        <w:rPr>
          <w:rFonts w:cs="Times New Roman"/>
          <w:szCs w:val="20"/>
        </w:rPr>
      </w:pPr>
      <w:r w:rsidRPr="0075311D">
        <w:rPr>
          <w:rFonts w:eastAsia="Times New Roman" w:cs="Times New Roman"/>
          <w:szCs w:val="20"/>
        </w:rPr>
        <w:t xml:space="preserve">Within the WHO European region, data for Italy has been extracted at the subnational level by GBD 2019 age groups, sex, year, and causes of death and/or diagnoses, while data for the remaining countries have been </w:t>
      </w:r>
      <w:proofErr w:type="spellStart"/>
      <w:r w:rsidRPr="0075311D">
        <w:rPr>
          <w:rFonts w:eastAsia="Times New Roman" w:cs="Times New Roman"/>
          <w:szCs w:val="20"/>
        </w:rPr>
        <w:t>analysed</w:t>
      </w:r>
      <w:proofErr w:type="spellEnd"/>
      <w:r w:rsidRPr="0075311D">
        <w:rPr>
          <w:rFonts w:eastAsia="Times New Roman" w:cs="Times New Roman"/>
          <w:szCs w:val="20"/>
        </w:rPr>
        <w:t xml:space="preserve"> at the national level. This allowed us to expand the location-years of data that we had for each Socio-demographic Index (SDI)</w:t>
      </w:r>
      <w:r w:rsidR="002306D6"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{"citationID":"y2ov24Nl","properties":{"formattedCitation":"\\super 4\\nosupersub{}","plainCitation":"4","noteIndex":0},"citationItems":[{"id":93869,"uris":["http://zotero.org/groups/2154524/items/VKVU6PWG"],"itemData":{"id":93869,"type":"article-journal","abstract":"&lt;h2&gt;Summary&lt;/h2&gt;&lt;h3&gt;Background&lt;/h3&gt;&lt;p&gt;Accurate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Foundation.&lt;/p&gt;","container-title":"The Lancet","DOI":"10.1016/S0140-6736(20)30977-6","ISSN":"0140-6736, 1474-547X","issue":"10258","journalAbbreviation":"The 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1950–2019","volume":"396","author":[{"literal":"GBD 2019 Demographics Collaborators"}],"issued":{"date-parts":[["2020",10,17]]}}}],"schema":"https://github.com/citation-style-language/schema/raw/master/csl-citation.json"} </w:instrText>
      </w:r>
      <w:r w:rsidR="002306D6"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4</w:t>
      </w:r>
      <w:r w:rsidR="002306D6"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value.</w:t>
      </w:r>
    </w:p>
    <w:p w14:paraId="1FBEC5BB" w14:textId="18D60CCF" w:rsidR="6B99E739" w:rsidRPr="0075311D" w:rsidRDefault="6B99E739" w:rsidP="082F9667">
      <w:pPr>
        <w:spacing w:line="257" w:lineRule="auto"/>
        <w:rPr>
          <w:rFonts w:cs="Times New Roman"/>
          <w:szCs w:val="20"/>
        </w:rPr>
      </w:pPr>
      <w:r w:rsidRPr="0075311D">
        <w:rPr>
          <w:rFonts w:eastAsia="Times New Roman" w:cs="Times New Roman"/>
          <w:szCs w:val="20"/>
        </w:rPr>
        <w:t xml:space="preserve">Prepared data were mapped to GBD causes. The GBD cause list is a mutually exclusive and collectively exhaustive list of diseases and injuries. The GBD cause list is </w:t>
      </w:r>
      <w:proofErr w:type="spellStart"/>
      <w:r w:rsidRPr="0075311D">
        <w:rPr>
          <w:rFonts w:eastAsia="Times New Roman" w:cs="Times New Roman"/>
          <w:szCs w:val="20"/>
        </w:rPr>
        <w:t>organised</w:t>
      </w:r>
      <w:proofErr w:type="spellEnd"/>
      <w:r w:rsidRPr="0075311D">
        <w:rPr>
          <w:rFonts w:eastAsia="Times New Roman" w:cs="Times New Roman"/>
          <w:szCs w:val="20"/>
        </w:rPr>
        <w:t xml:space="preserve"> hierarchically to accommodate different purposes and needs of various users. The first two levels aggregate causes into general groupings. At Level 1, there are three cause groups: communicable, maternal, neonatal, and nutritional diseases (Group 1 diseases); non-communicable diseases (Group 2); and injuries (Group 3). These Level 1 aggregates are subdivided at Level 2 of the hierarchy into 22 cause groupings (</w:t>
      </w:r>
      <w:proofErr w:type="spellStart"/>
      <w:r w:rsidRPr="0075311D">
        <w:rPr>
          <w:rFonts w:eastAsia="Times New Roman" w:cs="Times New Roman"/>
          <w:szCs w:val="20"/>
        </w:rPr>
        <w:t>eg</w:t>
      </w:r>
      <w:proofErr w:type="spellEnd"/>
      <w:r w:rsidRPr="0075311D">
        <w:rPr>
          <w:rFonts w:eastAsia="Times New Roman" w:cs="Times New Roman"/>
          <w:szCs w:val="20"/>
        </w:rPr>
        <w:t xml:space="preserve">, neonatal disorders, neurological disorders, and transport injuries). The disaggregation into </w:t>
      </w:r>
      <w:r w:rsidRPr="0075311D">
        <w:rPr>
          <w:rFonts w:eastAsia="Times New Roman" w:cs="Times New Roman"/>
          <w:szCs w:val="20"/>
        </w:rPr>
        <w:lastRenderedPageBreak/>
        <w:t xml:space="preserve">Levels 3 and 4 contains the finest level of detail for causes captured in GBD 2019. See section 14, table S1 for the full GBD cause hierarchy by level. </w:t>
      </w:r>
    </w:p>
    <w:p w14:paraId="4BD46E1B" w14:textId="38FF0C25" w:rsidR="6B99E739" w:rsidRPr="0075311D" w:rsidRDefault="6B99E739" w:rsidP="082F9667">
      <w:pPr>
        <w:spacing w:line="257" w:lineRule="auto"/>
        <w:rPr>
          <w:rFonts w:cs="Times New Roman"/>
          <w:szCs w:val="20"/>
        </w:rPr>
      </w:pPr>
      <w:r w:rsidRPr="0075311D">
        <w:rPr>
          <w:rFonts w:eastAsia="Times New Roman" w:cs="Times New Roman"/>
          <w:szCs w:val="20"/>
        </w:rPr>
        <w:t>The underlying cause of death or main diagnosis for each record in the data was mapped to a GBD cause. After the mapping of underlying cause, we used the GBD 2019 garbage code redistribution algorithm (see appendix 1, section 2.4 in Vos et al.</w:t>
      </w:r>
      <w:r w:rsidR="000E66E6"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{"citationID":"iVr3ouwE","properties":{"formattedCitation":"\\super 3\\nosupersub{}","plainCitation":"3","noteIndex":0},"citationItems":[{"id":93768,"uris":["http://zotero.org/groups/2154524/items/6TQ57EY7"],"itemData":{"id":93768,"type":"article-journal","container-title":"The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1990–2019","volume":"396","author":[{"literal":"GBD 2019 Diseases and Injuries Collaborators"}],"issued":{"date-parts":[["2020",10,17]]}}}],"schema":"https://github.com/citation-style-language/schema/raw/master/csl-citation.json"} </w:instrText>
      </w:r>
      <w:r w:rsidR="000E66E6"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3</w:t>
      </w:r>
      <w:r w:rsidR="000E66E6" w:rsidRPr="0075311D">
        <w:rPr>
          <w:rFonts w:eastAsia="Times New Roman" w:cs="Times New Roman"/>
          <w:color w:val="2B579A"/>
          <w:szCs w:val="20"/>
          <w:shd w:val="clear" w:color="auto" w:fill="E6E6E6"/>
        </w:rPr>
        <w:fldChar w:fldCharType="end"/>
      </w:r>
      <w:r w:rsidRPr="0075311D">
        <w:rPr>
          <w:rFonts w:eastAsia="Times New Roman" w:cs="Times New Roman"/>
          <w:szCs w:val="20"/>
        </w:rPr>
        <w:t>) to ensure that all deaths had a plausible and specific underlying cause of death. The redistribution of garbage codes for underlying causes of death followed the same age and sex restrictions as GBD 2019. We did not redistribute garbage codes in the chain causes because the concept of a garbage code applies only to plausible underlying cause of death (see Rudd et al.</w:t>
      </w:r>
      <w:r w:rsidR="000E66E6"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{"citationID":"Wladg47Y","properties":{"formattedCitation":"\\super 5\\nosupersub{}","plainCitation":"5","noteIndex":0},"citationItems":[{"id":94388,"uris":["http://zotero.org/groups/2154524/items/WYYGB7MY"],"itemData":{"id":94388,"type":"article-journal","abstract":"&lt;h2&gt;Summary&lt;/h2&gt;&lt;h3&gt;Background&lt;/h3&gt;&lt;p&gt;Sepsis is life-threatening organ dysfunction due to a dysregulated host response to infection. It is considered a major cause of health loss, but data for the global burden of sepsis are limited. As a syndrome caused by underlying infection, sepsis is not part of standard Global Burden of Diseases, Injuries, and Risk Factors Study (GBD) estimates. Accurate estimates are important to inform and monitor health policy interventions, allocation of resources, and clinical treatment initiatives. We estimated the global, regional, and national incidence of sepsis and mortality from this disorder using data from GBD 2017.&lt;/p&gt;&lt;h3&gt;Methods&lt;/h3&gt;&lt;p&gt;We used multiple cause-of-death data from 109 million individual death records to calculate mortality related to sepsis among each of the 282 underlying causes of death in GBD 2017. The percentage of sepsis-related deaths by underlying GBD cause in each location worldwide was modelled using mixed-effects linear regression. Sepsis-related mortality for each age group, sex, location, GBD cause, and year (1990–2017) was estimated by applying modelled cause-specific fractions to GBD 2017 cause-of-death estimates. We used data for 8·7 million individual hospital records to calculate in-hospital sepsis-associated case-fatality, stratified by underlying GBD cause. In-hospital sepsis-associated case-fatality was modelled for each location using linear regression, and sepsis incidence was estimated by applying modelled case-fatality to sepsis-related mortality estimates.&lt;/p&gt;&lt;h3&gt;Findings&lt;/h3&gt;&lt;p&gt;In 2017, an estimated 48·9 million (95% uncertainty interval [UI] 38·9–62·9) incident cases of sepsis were recorded worldwide and 11·0 million (10·1–12·0) sepsis-related deaths were reported, representing 19·7% (18·2–21·4) of all global deaths. Age-standardised sepsis incidence fell by 37·0% (95% UI 11·8–54·5) and mortality decreased by 52·8% (47·7–57·5) from 1990 to 2017. Sepsis incidence and mortality varied substantially across regions, with the highest burden in sub-Saharan Africa, Oceania, south Asia, east Asia, and southeast Asia.&lt;/p&gt;&lt;h3&gt;Interpretation&lt;/h3&gt;&lt;p&gt;Despite declining age-standardised incidence and mortality, sepsis remains a major cause of health loss worldwide and has an especially high health-related burden in sub-Saharan Africa.&lt;/p&gt;&lt;h3&gt;Funding&lt;/h3&gt;&lt;p&gt;The Bill &amp; Melinda Gates Foundation, the National Institutes of Health, the University of Pittsburgh, the British Columbia Children's Hospital Foundation, the Wellcome Trust, and the Fleming Fund.&lt;/p&gt;","container-title":"The Lancet","DOI":"10.1016/S0140-6736(19)32989-7","ISSN":"0140-6736, 1474-547X","issue":"10219","journalAbbreviation":"The Lancet","language":"English","note":"publisher: Elsevier\nPMID: 31954465","page":"200-211","source":"www.thelancet.com","title":"Global, regional, and national sepsis incidence and mortality, 1990–2017: analysis for the Global Burden of Disease Study","title-short":"Global, regional, and national sepsis incidence and mortality, 1990–2017","volume":"395","author":[{"family":"Rudd","given":"Kristina E."},{"family":"Johnson","given":"Sarah Charlotte"},{"family":"Agesa","given":"Kareha M."},{"family":"Shackelford","given":"Katya Anne"},{"family":"Tsoi","given":"Derrick"},{"family":"Kievlan","given":"Daniel Rhodes"},{"family":"Colombara","given":"Danny V."},{"family":"Ikuta","given":"Kevin S."},{"family":"Kissoon","given":"Niranjan"},{"family":"Finfer","given":"Simon"},{"family":"Fleischmann-Struzek","given":"Carolin"},{"family":"Machado","given":"Flavia R."},{"family":"Reinhart","given":"Konrad K."},{"family":"Rowan","given":"Kathryn"},{"family":"Seymour","given":"Christopher W."},{"family":"Watson","given":"R. Scott"},{"family":"West","given":"T. Eoin"},{"family":"Marinho","given":"Fatima"},{"family":"Hay","given":"Simon I."},{"family":"Lozano","given":"Rafael"},{"family":"Lopez","given":"Alan D."},{"family":"Angus","given":"Derek C."},{"family":"Murray","given":"Christopher J. L."},{"family":"Naghavi","given":"Mohsen"}],"issued":{"date-parts":[["2020",1,18]]}}}],"schema":"https://github.com/citation-style-language/schema/raw/master/csl-citation.json"} </w:instrText>
      </w:r>
      <w:r w:rsidR="000E66E6"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5</w:t>
      </w:r>
      <w:r w:rsidR="000E66E6"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and appendix 1, section 2.5 in Vos et al.</w:t>
      </w:r>
      <w:r w:rsidR="000E66E6"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{"citationID":"y347UReT","properties":{"formattedCitation":"\\super 3\\nosupersub{}","plainCitation":"3","noteIndex":0},"citationItems":[{"id":93768,"uris":["http://zotero.org/groups/2154524/items/6TQ57EY7"],"itemData":{"id":93768,"type":"article-journal","container-title":"The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1990–2019","volume":"396","author":[{"literal":"GBD 2019 Diseases and Injuries Collaborators"}],"issued":{"date-parts":[["2020",10,17]]}}}],"schema":"https://github.com/citation-style-language/schema/raw/master/csl-citation.json"} </w:instrText>
      </w:r>
      <w:r w:rsidR="000E66E6"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3</w:t>
      </w:r>
      <w:r w:rsidR="000E66E6" w:rsidRPr="0075311D">
        <w:rPr>
          <w:rFonts w:eastAsia="Times New Roman" w:cs="Times New Roman"/>
          <w:color w:val="2B579A"/>
          <w:szCs w:val="20"/>
          <w:shd w:val="clear" w:color="auto" w:fill="E6E6E6"/>
        </w:rPr>
        <w:fldChar w:fldCharType="end"/>
      </w:r>
      <w:r w:rsidRPr="0075311D">
        <w:rPr>
          <w:rFonts w:eastAsia="Times New Roman" w:cs="Times New Roman"/>
          <w:szCs w:val="20"/>
        </w:rPr>
        <w:t>).</w:t>
      </w:r>
    </w:p>
    <w:p w14:paraId="695C1429" w14:textId="39FFE760" w:rsidR="6B99E739" w:rsidRPr="00210CA8" w:rsidRDefault="6B99E739" w:rsidP="00210CA8">
      <w:pPr>
        <w:spacing w:after="0"/>
        <w:rPr>
          <w:rFonts w:eastAsiaTheme="majorEastAsia" w:cstheme="majorBidi"/>
          <w:i/>
          <w:color w:val="1F4D78" w:themeColor="accent1" w:themeShade="7F"/>
          <w:szCs w:val="24"/>
        </w:rPr>
      </w:pPr>
      <w:r w:rsidRPr="00210CA8">
        <w:rPr>
          <w:rFonts w:eastAsiaTheme="majorEastAsia" w:cstheme="majorBidi"/>
          <w:i/>
          <w:color w:val="1F4D78" w:themeColor="accent1" w:themeShade="7F"/>
          <w:szCs w:val="24"/>
        </w:rPr>
        <w:t>Section 3.2.3: Intermediate cause and infectious syndrome mapping hierarchy with modelling pathways</w:t>
      </w:r>
    </w:p>
    <w:p w14:paraId="1AE657ED" w14:textId="3DDDBCAC" w:rsidR="6B99E739" w:rsidRPr="0075311D" w:rsidRDefault="6B99E739" w:rsidP="082F9667">
      <w:pPr>
        <w:spacing w:line="257" w:lineRule="auto"/>
        <w:rPr>
          <w:rFonts w:cs="Times New Roman"/>
          <w:szCs w:val="20"/>
        </w:rPr>
      </w:pPr>
      <w:r w:rsidRPr="0075311D">
        <w:rPr>
          <w:rFonts w:eastAsia="Times New Roman" w:cs="Times New Roman"/>
          <w:szCs w:val="20"/>
        </w:rPr>
        <w:t>Within our modelling framework, an infectious syndrome is the infection directly responsible for sepsis and serves as the bridge between the underlying cause of death and sepsis. Infectious syndromes can be both underlying causes of death and intermediate causes of death.</w:t>
      </w:r>
    </w:p>
    <w:p w14:paraId="218DFE54" w14:textId="2E17E3FB" w:rsidR="6B99E739" w:rsidRPr="0075311D" w:rsidRDefault="6B99E739" w:rsidP="082F9667">
      <w:pPr>
        <w:spacing w:line="257" w:lineRule="auto"/>
        <w:rPr>
          <w:rFonts w:cs="Times New Roman"/>
          <w:szCs w:val="20"/>
        </w:rPr>
      </w:pPr>
      <w:r w:rsidRPr="0075311D">
        <w:rPr>
          <w:rFonts w:eastAsia="Times New Roman" w:cs="Times New Roman"/>
          <w:szCs w:val="20"/>
        </w:rPr>
        <w:t>For mapping underlying and intermediate causes of death and hospital diagnoses to sepsis and infectious syndromes, we designed a new map, called “</w:t>
      </w:r>
      <w:r w:rsidRPr="0075311D">
        <w:rPr>
          <w:rFonts w:eastAsia="Times New Roman" w:cs="Times New Roman"/>
          <w:i/>
          <w:iCs/>
          <w:szCs w:val="20"/>
        </w:rPr>
        <w:t>AMR, sepsis, and infectious syndrome map</w:t>
      </w:r>
      <w:r w:rsidRPr="0075311D">
        <w:rPr>
          <w:rFonts w:eastAsia="Times New Roman" w:cs="Times New Roman"/>
          <w:szCs w:val="20"/>
        </w:rPr>
        <w:t xml:space="preserve">”. This map is a list of mutually exclusive and collectively exhaustive infectious syndromes that we divided into four levels to form the infectious syndrome hierarchy. </w:t>
      </w:r>
    </w:p>
    <w:p w14:paraId="2C6F0896" w14:textId="1A5A8391" w:rsidR="6B99E739" w:rsidRPr="0075311D" w:rsidRDefault="6B99E739" w:rsidP="082F9667">
      <w:pPr>
        <w:spacing w:line="257" w:lineRule="auto"/>
        <w:rPr>
          <w:rFonts w:cs="Times New Roman"/>
          <w:szCs w:val="20"/>
        </w:rPr>
      </w:pPr>
      <w:r w:rsidRPr="0075311D">
        <w:rPr>
          <w:rFonts w:eastAsia="Times New Roman" w:cs="Times New Roman"/>
          <w:szCs w:val="20"/>
        </w:rPr>
        <w:t>Each level of infectious syndrome is mutually exclusive and collectively exhaustive. Furthermore, the infectious syndrome hierarchy is internally consistent across any metric (</w:t>
      </w:r>
      <w:proofErr w:type="spellStart"/>
      <w:r w:rsidRPr="0075311D">
        <w:rPr>
          <w:rFonts w:eastAsia="Times New Roman" w:cs="Times New Roman"/>
          <w:szCs w:val="20"/>
        </w:rPr>
        <w:t>eg</w:t>
      </w:r>
      <w:proofErr w:type="spellEnd"/>
      <w:r w:rsidRPr="0075311D">
        <w:rPr>
          <w:rFonts w:eastAsia="Times New Roman" w:cs="Times New Roman"/>
          <w:szCs w:val="20"/>
        </w:rPr>
        <w:t>, number, cause fraction)—aggregating across Level 3 syndromes gives us Level 2 syndromes, aggregating the Level 2 syndromes gives us Level 1 syndromes, and the total of Level 1 syndromes is equal to the value of sepsis (figure 4.4.2.1).</w:t>
      </w:r>
    </w:p>
    <w:p w14:paraId="55C7C791" w14:textId="358F9FC7" w:rsidR="6B99E739" w:rsidRPr="0075311D" w:rsidRDefault="6B99E739" w:rsidP="082F9667">
      <w:pPr>
        <w:spacing w:line="257" w:lineRule="auto"/>
        <w:rPr>
          <w:rFonts w:cs="Times New Roman"/>
          <w:szCs w:val="20"/>
        </w:rPr>
      </w:pPr>
      <w:r w:rsidRPr="0075311D">
        <w:rPr>
          <w:rFonts w:eastAsia="Times New Roman" w:cs="Times New Roman"/>
          <w:szCs w:val="20"/>
        </w:rPr>
        <w:t>Level 0: All International Classification of Diseases 9</w:t>
      </w:r>
      <w:r w:rsidRPr="0075311D">
        <w:rPr>
          <w:rFonts w:eastAsia="Times New Roman" w:cs="Times New Roman"/>
          <w:szCs w:val="20"/>
          <w:vertAlign w:val="superscript"/>
        </w:rPr>
        <w:t>th</w:t>
      </w:r>
      <w:r w:rsidRPr="0075311D">
        <w:rPr>
          <w:rFonts w:eastAsia="Times New Roman" w:cs="Times New Roman"/>
          <w:szCs w:val="20"/>
        </w:rPr>
        <w:t xml:space="preserve"> (ICD-9) or 10</w:t>
      </w:r>
      <w:r w:rsidRPr="0075311D">
        <w:rPr>
          <w:rFonts w:eastAsia="Times New Roman" w:cs="Times New Roman"/>
          <w:szCs w:val="20"/>
          <w:vertAlign w:val="superscript"/>
        </w:rPr>
        <w:t>th</w:t>
      </w:r>
      <w:r w:rsidRPr="0075311D">
        <w:rPr>
          <w:rFonts w:eastAsia="Times New Roman" w:cs="Times New Roman"/>
          <w:szCs w:val="20"/>
        </w:rPr>
        <w:t xml:space="preserve"> revision (ICD-10) coded deaths divided into three groups: explicit sepsis (any death with the specific ICD code for sepsis in the </w:t>
      </w:r>
      <w:proofErr w:type="spellStart"/>
      <w:r w:rsidRPr="0075311D">
        <w:rPr>
          <w:rFonts w:eastAsia="Times New Roman" w:cs="Times New Roman"/>
          <w:szCs w:val="20"/>
        </w:rPr>
        <w:t>MCoD</w:t>
      </w:r>
      <w:proofErr w:type="spellEnd"/>
      <w:r w:rsidRPr="0075311D">
        <w:rPr>
          <w:rFonts w:eastAsia="Times New Roman" w:cs="Times New Roman"/>
          <w:szCs w:val="20"/>
        </w:rPr>
        <w:t xml:space="preserve"> chain or hospital diagnoses), implicit sepsis (any death with an infectious disease code in the underlying cause or cause chain, as well as with a specific organ dysfunction) and non-sepsis (any death that does not meet either of the two aforementioned criteria). More information can be found in the appendix of Murray et al. (2022).</w:t>
      </w:r>
      <w:r w:rsidR="0057676D" w:rsidRPr="0075311D">
        <w:rPr>
          <w:rFonts w:eastAsia="Times New Roman" w:cs="Times New Roman"/>
          <w:color w:val="2B579A"/>
          <w:szCs w:val="20"/>
          <w:shd w:val="clear" w:color="auto" w:fill="E6E6E6"/>
        </w:rPr>
        <w:fldChar w:fldCharType="begin"/>
      </w:r>
      <w:r w:rsidR="0057676D" w:rsidRPr="0075311D">
        <w:rPr>
          <w:rFonts w:eastAsia="Times New Roman" w:cs="Times New Roman"/>
          <w:szCs w:val="20"/>
        </w:rPr>
        <w:instrText xml:space="preserve"> ADDIN ZOTERO_ITEM CSL_CITATION {"citationID":"4c2LG0rA","properties":{"formattedCitation":"\\super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57676D"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57676D" w:rsidRPr="0075311D">
        <w:rPr>
          <w:rFonts w:eastAsia="Times New Roman" w:cs="Times New Roman"/>
          <w:color w:val="2B579A"/>
          <w:szCs w:val="20"/>
          <w:shd w:val="clear" w:color="auto" w:fill="E6E6E6"/>
        </w:rPr>
        <w:fldChar w:fldCharType="end"/>
      </w:r>
      <w:r w:rsidRPr="0075311D">
        <w:rPr>
          <w:rFonts w:eastAsia="Times New Roman" w:cs="Times New Roman"/>
          <w:b/>
          <w:bCs/>
          <w:szCs w:val="20"/>
        </w:rPr>
        <w:t xml:space="preserve"> </w:t>
      </w:r>
    </w:p>
    <w:p w14:paraId="3DBBB77B" w14:textId="02F4892F" w:rsidR="6B99E739" w:rsidRPr="0075311D" w:rsidRDefault="6B99E739" w:rsidP="082F9667">
      <w:pPr>
        <w:spacing w:line="257" w:lineRule="auto"/>
        <w:rPr>
          <w:rFonts w:cs="Times New Roman"/>
          <w:szCs w:val="20"/>
        </w:rPr>
      </w:pPr>
      <w:r w:rsidRPr="0075311D">
        <w:rPr>
          <w:rFonts w:eastAsia="Times New Roman" w:cs="Times New Roman"/>
          <w:szCs w:val="20"/>
        </w:rPr>
        <w:t xml:space="preserve">Explicit sepsis (A40, R65.2 in ICD-10 and 039 in ICD-9): Any death has specific ICD code for sepsis in the </w:t>
      </w:r>
      <w:proofErr w:type="spellStart"/>
      <w:r w:rsidRPr="0075311D">
        <w:rPr>
          <w:rFonts w:eastAsia="Times New Roman" w:cs="Times New Roman"/>
          <w:szCs w:val="20"/>
        </w:rPr>
        <w:t>MCoD</w:t>
      </w:r>
      <w:proofErr w:type="spellEnd"/>
      <w:r w:rsidRPr="0075311D">
        <w:rPr>
          <w:rFonts w:eastAsia="Times New Roman" w:cs="Times New Roman"/>
          <w:szCs w:val="20"/>
        </w:rPr>
        <w:t xml:space="preserve"> chain or hospital diagnoses was considered explicit sepsis.</w:t>
      </w:r>
      <w:r w:rsidR="0057676D"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{"citationID":"3M9cJUCf","properties":{"formattedCitation":"\\super 5\\nosupersub{}","plainCitation":"5","noteIndex":0},"citationItems":[{"id":94388,"uris":["http://zotero.org/groups/2154524/items/WYYGB7MY"],"itemData":{"id":94388,"type":"article-journal","abstract":"&lt;h2&gt;Summary&lt;/h2&gt;&lt;h3&gt;Background&lt;/h3&gt;&lt;p&gt;Sepsis is life-threatening organ dysfunction due to a dysregulated host response to infection. It is considered a major cause of health loss, but data for the global burden of sepsis are limited. As a syndrome caused by underlying infection, sepsis is not part of standard Global Burden of Diseases, Injuries, and Risk Factors Study (GBD) estimates. Accurate estimates are important to inform and monitor health policy interventions, allocation of resources, and clinical treatment initiatives. We estimated the global, regional, and national incidence of sepsis and mortality from this disorder using data from GBD 2017.&lt;/p&gt;&lt;h3&gt;Methods&lt;/h3&gt;&lt;p&gt;We used multiple cause-of-death data from 109 million individual death records to calculate mortality related to sepsis among each of the 282 underlying causes of death in GBD 2017. The percentage of sepsis-related deaths by underlying GBD cause in each location worldwide was modelled using mixed-effects linear regression. Sepsis-related mortality for each age group, sex, location, GBD cause, and year (1990–2017) was estimated by applying modelled cause-specific fractions to GBD 2017 cause-of-death estimates. We used data for 8·7 million individual hospital records to calculate in-hospital sepsis-associated case-fatality, stratified by underlying GBD cause. In-hospital sepsis-associated case-fatality was modelled for each location using linear regression, and sepsis incidence was estimated by applying modelled case-fatality to sepsis-related mortality estimates.&lt;/p&gt;&lt;h3&gt;Findings&lt;/h3&gt;&lt;p&gt;In 2017, an estimated 48·9 million (95% uncertainty interval [UI] 38·9–62·9) incident cases of sepsis were recorded worldwide and 11·0 million (10·1–12·0) sepsis-related deaths were reported, representing 19·7% (18·2–21·4) of all global deaths. Age-standardised sepsis incidence fell by 37·0% (95% UI 11·8–54·5) and mortality decreased by 52·8% (47·7–57·5) from 1990 to 2017. Sepsis incidence and mortality varied substantially across regions, with the highest burden in sub-Saharan Africa, Oceania, south Asia, east Asia, and southeast Asia.&lt;/p&gt;&lt;h3&gt;Interpretation&lt;/h3&gt;&lt;p&gt;Despite declining age-standardised incidence and mortality, sepsis remains a major cause of health loss worldwide and has an especially high health-related burden in sub-Saharan Africa.&lt;/p&gt;&lt;h3&gt;Funding&lt;/h3&gt;&lt;p&gt;The Bill &amp; Melinda Gates Foundation, the National Institutes of Health, the University of Pittsburgh, the British Columbia Children's Hospital Foundation, the Wellcome Trust, and the Fleming Fund.&lt;/p&gt;","container-title":"The Lancet","DOI":"10.1016/S0140-6736(19)32989-7","ISSN":"0140-6736, 1474-547X","issue":"10219","journalAbbreviation":"The Lancet","language":"English","note":"publisher: Elsevier\nPMID: 31954465","page":"200-211","source":"www.thelancet.com","title":"Global, regional, and national sepsis incidence and mortality, 1990–2017: analysis for the Global Burden of Disease Study","title-short":"Global, regional, and national sepsis incidence and mortality, 1990–2017","volume":"395","author":[{"family":"Rudd","given":"Kristina E."},{"family":"Johnson","given":"Sarah Charlotte"},{"family":"Agesa","given":"Kareha M."},{"family":"Shackelford","given":"Katya Anne"},{"family":"Tsoi","given":"Derrick"},{"family":"Kievlan","given":"Daniel Rhodes"},{"family":"Colombara","given":"Danny V."},{"family":"Ikuta","given":"Kevin S."},{"family":"Kissoon","given":"Niranjan"},{"family":"Finfer","given":"Simon"},{"family":"Fleischmann-Struzek","given":"Carolin"},{"family":"Machado","given":"Flavia R."},{"family":"Reinhart","given":"Konrad K."},{"family":"Rowan","given":"Kathryn"},{"family":"Seymour","given":"Christopher W."},{"family":"Watson","given":"R. Scott"},{"family":"West","given":"T. Eoin"},{"family":"Marinho","given":"Fatima"},{"family":"Hay","given":"Simon I."},{"family":"Lozano","given":"Rafael"},{"family":"Lopez","given":"Alan D."},{"family":"Angus","given":"Derek C."},{"family":"Murray","given":"Christopher J. L."},{"family":"Naghavi","given":"Mohsen"}],"issued":{"date-parts":[["2020",1,18]]}}}],"schema":"https://github.com/citation-style-language/schema/raw/master/csl-citation.json"} </w:instrText>
      </w:r>
      <w:r w:rsidR="0057676D"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5</w:t>
      </w:r>
      <w:r w:rsidR="0057676D" w:rsidRPr="0075311D">
        <w:rPr>
          <w:rFonts w:eastAsia="Times New Roman" w:cs="Times New Roman"/>
          <w:color w:val="2B579A"/>
          <w:szCs w:val="20"/>
          <w:shd w:val="clear" w:color="auto" w:fill="E6E6E6"/>
        </w:rPr>
        <w:fldChar w:fldCharType="end"/>
      </w:r>
    </w:p>
    <w:p w14:paraId="09BB2ADD" w14:textId="6C59C5B0" w:rsidR="6B99E739" w:rsidRPr="0075311D" w:rsidRDefault="6B99E739" w:rsidP="082F9667">
      <w:pPr>
        <w:pStyle w:val="ListParagraph"/>
        <w:numPr>
          <w:ilvl w:val="0"/>
          <w:numId w:val="7"/>
        </w:numPr>
        <w:rPr>
          <w:rFonts w:eastAsia="Times New Roman" w:cs="Times New Roman"/>
          <w:szCs w:val="20"/>
        </w:rPr>
      </w:pPr>
      <w:r w:rsidRPr="0075311D">
        <w:rPr>
          <w:rFonts w:eastAsia="Times New Roman" w:cs="Times New Roman"/>
          <w:szCs w:val="20"/>
        </w:rPr>
        <w:t xml:space="preserve">Implicit sepsis: Any death that has an infectious disease code in the underlying cause or cause chain and a specific organ dysfunction code was considered implicit </w:t>
      </w:r>
      <w:proofErr w:type="gramStart"/>
      <w:r w:rsidRPr="0075311D">
        <w:rPr>
          <w:rFonts w:eastAsia="Times New Roman" w:cs="Times New Roman"/>
          <w:szCs w:val="20"/>
        </w:rPr>
        <w:t>sepsis</w:t>
      </w:r>
      <w:proofErr w:type="gramEnd"/>
      <w:r w:rsidRPr="0075311D">
        <w:rPr>
          <w:rFonts w:eastAsia="Times New Roman" w:cs="Times New Roman"/>
          <w:szCs w:val="20"/>
        </w:rPr>
        <w:t xml:space="preserve"> </w:t>
      </w:r>
    </w:p>
    <w:p w14:paraId="40B6A579" w14:textId="2C0C87C0" w:rsidR="6B99E739" w:rsidRPr="0075311D" w:rsidRDefault="6B99E739" w:rsidP="082F9667">
      <w:pPr>
        <w:pStyle w:val="ListParagraph"/>
        <w:numPr>
          <w:ilvl w:val="0"/>
          <w:numId w:val="7"/>
        </w:numPr>
        <w:rPr>
          <w:rFonts w:eastAsia="Times New Roman" w:cs="Times New Roman"/>
          <w:szCs w:val="20"/>
        </w:rPr>
      </w:pPr>
      <w:r w:rsidRPr="0075311D">
        <w:rPr>
          <w:rFonts w:eastAsia="Times New Roman" w:cs="Times New Roman"/>
          <w:szCs w:val="20"/>
        </w:rPr>
        <w:t>Non-sepsis: Any death that does not meet either of the two above criteria (section 14, tables S2, S3)</w:t>
      </w:r>
    </w:p>
    <w:p w14:paraId="3100DFAC" w14:textId="6D0C98B3" w:rsidR="6B99E739" w:rsidRPr="0075311D" w:rsidRDefault="6B99E739" w:rsidP="082F9667">
      <w:pPr>
        <w:spacing w:line="257" w:lineRule="auto"/>
        <w:rPr>
          <w:rFonts w:cs="Times New Roman"/>
          <w:szCs w:val="20"/>
        </w:rPr>
      </w:pPr>
      <w:r w:rsidRPr="0075311D">
        <w:rPr>
          <w:rFonts w:eastAsia="Times New Roman" w:cs="Times New Roman"/>
          <w:szCs w:val="20"/>
        </w:rPr>
        <w:t xml:space="preserve">Of the estimated infection-related deaths with explicit sepsis or implicit sepsis and infectious diseases, 59.4% occur with communicable, maternal, neonatal, and nutritional underlying causes of death. 38.9% infection related deaths occur with non-communicable disease as the underlying cause of death, and 1.7% occur with injuries as the underlying cause of death. </w:t>
      </w:r>
    </w:p>
    <w:p w14:paraId="3B88EFF9" w14:textId="0F9AA729" w:rsidR="6B99E739" w:rsidRPr="0075311D" w:rsidRDefault="6B99E739" w:rsidP="082F9667">
      <w:pPr>
        <w:spacing w:line="257" w:lineRule="auto"/>
        <w:rPr>
          <w:rFonts w:cs="Times New Roman"/>
          <w:szCs w:val="20"/>
        </w:rPr>
      </w:pPr>
      <w:r w:rsidRPr="0075311D">
        <w:rPr>
          <w:rFonts w:eastAsia="Times New Roman" w:cs="Times New Roman"/>
          <w:szCs w:val="20"/>
        </w:rPr>
        <w:t xml:space="preserve">Level 1: All implicit and explicit sepsis deaths were divided into 12 Level 1 infectious syndromes and </w:t>
      </w:r>
      <w:proofErr w:type="gramStart"/>
      <w:r w:rsidRPr="0075311D">
        <w:rPr>
          <w:rFonts w:eastAsia="Times New Roman" w:cs="Times New Roman"/>
          <w:szCs w:val="20"/>
        </w:rPr>
        <w:t>an “other”</w:t>
      </w:r>
      <w:proofErr w:type="gramEnd"/>
      <w:r w:rsidRPr="0075311D">
        <w:rPr>
          <w:rFonts w:eastAsia="Times New Roman" w:cs="Times New Roman"/>
          <w:szCs w:val="20"/>
        </w:rPr>
        <w:t xml:space="preserve"> category. These are as follows: 1) Bacterial infections of the skin and subcutaneous systems; 2) Bloodstream infections; 3) </w:t>
      </w:r>
      <w:proofErr w:type="spellStart"/>
      <w:r w:rsidRPr="0075311D">
        <w:rPr>
          <w:rFonts w:eastAsia="Times New Roman" w:cs="Times New Roman"/>
          <w:szCs w:val="20"/>
        </w:rPr>
        <w:t>Gonorrhoea</w:t>
      </w:r>
      <w:proofErr w:type="spellEnd"/>
      <w:r w:rsidRPr="0075311D">
        <w:rPr>
          <w:rFonts w:eastAsia="Times New Roman" w:cs="Times New Roman"/>
          <w:szCs w:val="20"/>
        </w:rPr>
        <w:t xml:space="preserve"> and chlamydia; 4) </w:t>
      </w:r>
      <w:proofErr w:type="spellStart"/>
      <w:r w:rsidRPr="0075311D">
        <w:rPr>
          <w:rFonts w:eastAsia="Times New Roman" w:cs="Times New Roman"/>
          <w:szCs w:val="20"/>
        </w:rPr>
        <w:t>Diarrhoea</w:t>
      </w:r>
      <w:proofErr w:type="spellEnd"/>
      <w:r w:rsidRPr="0075311D">
        <w:rPr>
          <w:rFonts w:eastAsia="Times New Roman" w:cs="Times New Roman"/>
          <w:szCs w:val="20"/>
        </w:rPr>
        <w:t xml:space="preserve">; 5) Endocarditis and other cardiac infections; 6) Infections of bones, joints and related organs; 7) Lower respiratory infections and all related infections in the thorax; 8) Meningitis and other bacterial central nervous system infections; 9) Peritoneal and intra-abdominal infections; 10) Tuberculosis; 11) Typhoid, paratyphoid, and invasive non-typhoidal </w:t>
      </w:r>
      <w:r w:rsidRPr="0075311D">
        <w:rPr>
          <w:rFonts w:eastAsia="Times New Roman" w:cs="Times New Roman"/>
          <w:i/>
          <w:iCs/>
          <w:szCs w:val="20"/>
        </w:rPr>
        <w:t>Salmonella;</w:t>
      </w:r>
      <w:r w:rsidRPr="0075311D">
        <w:rPr>
          <w:rFonts w:eastAsia="Times New Roman" w:cs="Times New Roman"/>
          <w:szCs w:val="20"/>
        </w:rPr>
        <w:t xml:space="preserve"> 12) Urinary tract infection and pyelonephritis; 13) Other infections</w:t>
      </w:r>
    </w:p>
    <w:p w14:paraId="503E709E" w14:textId="3407984D" w:rsidR="6B99E739" w:rsidRPr="0075311D" w:rsidRDefault="6B99E739" w:rsidP="082F9667">
      <w:pPr>
        <w:spacing w:line="257" w:lineRule="auto"/>
        <w:rPr>
          <w:rFonts w:cs="Times New Roman"/>
          <w:szCs w:val="20"/>
        </w:rPr>
      </w:pPr>
      <w:r w:rsidRPr="0075311D">
        <w:rPr>
          <w:rFonts w:eastAsia="Times New Roman" w:cs="Times New Roman"/>
          <w:szCs w:val="20"/>
        </w:rPr>
        <w:t>Level 2: Each Level 1 infectious syndrome was divided into Level 2 infectious syndromes based on the pathogen type (</w:t>
      </w:r>
      <w:proofErr w:type="spellStart"/>
      <w:r w:rsidRPr="0075311D">
        <w:rPr>
          <w:rFonts w:eastAsia="Times New Roman" w:cs="Times New Roman"/>
          <w:szCs w:val="20"/>
        </w:rPr>
        <w:t>eg</w:t>
      </w:r>
      <w:proofErr w:type="spellEnd"/>
      <w:r w:rsidRPr="0075311D">
        <w:rPr>
          <w:rFonts w:eastAsia="Times New Roman" w:cs="Times New Roman"/>
          <w:szCs w:val="20"/>
        </w:rPr>
        <w:t xml:space="preserve">, bacterial, fungal, viral) causing the infection. Examples include specified bacterial, unspecified bacterial, fungal, viral, and unspecified pathogen. </w:t>
      </w:r>
    </w:p>
    <w:p w14:paraId="307DE726" w14:textId="3669342D" w:rsidR="6B99E739" w:rsidRPr="0075311D" w:rsidRDefault="6B99E739" w:rsidP="082F9667">
      <w:pPr>
        <w:spacing w:line="257" w:lineRule="auto"/>
        <w:rPr>
          <w:rFonts w:cs="Times New Roman"/>
          <w:szCs w:val="20"/>
        </w:rPr>
      </w:pPr>
      <w:r w:rsidRPr="0075311D">
        <w:rPr>
          <w:rFonts w:eastAsia="Times New Roman" w:cs="Times New Roman"/>
          <w:szCs w:val="20"/>
        </w:rPr>
        <w:lastRenderedPageBreak/>
        <w:t>Level 3: Each specified bacterial infectious syndrome in Level 2 was divided to Level 3 infectious syndromes by the culprit bacterial pathogen</w:t>
      </w:r>
      <w:r w:rsidRPr="005D2363">
        <w:rPr>
          <w:rFonts w:eastAsia="Times New Roman" w:cs="Times New Roman"/>
          <w:szCs w:val="20"/>
        </w:rPr>
        <w:t>. Table S3 (section 14) shows this list and bacterial hierarchy.</w:t>
      </w:r>
      <w:r w:rsidRPr="0075311D">
        <w:rPr>
          <w:rFonts w:eastAsia="Times New Roman" w:cs="Times New Roman"/>
          <w:szCs w:val="20"/>
        </w:rPr>
        <w:t xml:space="preserve">  </w:t>
      </w:r>
    </w:p>
    <w:p w14:paraId="5EE25889" w14:textId="5151E739" w:rsidR="6B99E739" w:rsidRPr="0075311D" w:rsidRDefault="6B99E739" w:rsidP="082F9667">
      <w:pPr>
        <w:spacing w:line="257" w:lineRule="auto"/>
        <w:rPr>
          <w:rFonts w:cs="Times New Roman"/>
          <w:szCs w:val="20"/>
        </w:rPr>
      </w:pPr>
      <w:r w:rsidRPr="0075311D">
        <w:rPr>
          <w:rFonts w:eastAsia="Times New Roman" w:cs="Times New Roman"/>
          <w:szCs w:val="20"/>
        </w:rPr>
        <w:t xml:space="preserve">Due to our data often having multiple diagnoses associated with each record, a single case of sepsis could potentially map to multiple candidate infectious syndromes. Because multiple infectious syndrome assignments pose a risk of double counting, we employed an informative ranking hierarchy. The informative ranking allowed us to determine the infectious syndrome that provided the most information on the culprit pathogen. The goal of this hierarchy was to produce the most accurate pathogen burden estimate such that when there were multiple infectious syndromes, we </w:t>
      </w:r>
      <w:proofErr w:type="spellStart"/>
      <w:r w:rsidRPr="0075311D">
        <w:rPr>
          <w:rFonts w:eastAsia="Times New Roman" w:cs="Times New Roman"/>
          <w:szCs w:val="20"/>
        </w:rPr>
        <w:t>prioritised</w:t>
      </w:r>
      <w:proofErr w:type="spellEnd"/>
      <w:r w:rsidRPr="0075311D">
        <w:rPr>
          <w:rFonts w:eastAsia="Times New Roman" w:cs="Times New Roman"/>
          <w:szCs w:val="20"/>
        </w:rPr>
        <w:t xml:space="preserve"> the syndrome with the most distinctive distribution. For example, bloodstream infections (BSIs) are common infections in sepsis but there is often an earlier source of the infection such as a UTI, cellulitis, or LRI, and each has a unique pathogen distribution that provides more information than the distribution of BSI. In the event that a patient record reflected both BSI and LRI, we would assign the infectious syndrome based on the pathogen distribution that would be the most proximal aetiologic syndrome, LRI (please refer to the appendix of Murray et al. (2022)</w:t>
      </w:r>
      <w:r w:rsidR="0082213F" w:rsidRPr="0075311D">
        <w:rPr>
          <w:rFonts w:eastAsia="Times New Roman" w:cs="Times New Roman"/>
          <w:color w:val="2B579A"/>
          <w:szCs w:val="20"/>
          <w:shd w:val="clear" w:color="auto" w:fill="E6E6E6"/>
        </w:rPr>
        <w:fldChar w:fldCharType="begin"/>
      </w:r>
      <w:r w:rsidR="0082213F" w:rsidRPr="0075311D">
        <w:rPr>
          <w:rFonts w:eastAsia="Times New Roman" w:cs="Times New Roman"/>
          <w:szCs w:val="20"/>
        </w:rPr>
        <w:instrText xml:space="preserve"> ADDIN ZOTERO_ITEM CSL_CITATION {"citationID":"c8cRcDk2","properties":{"formattedCitation":"\\super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82213F"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82213F" w:rsidRPr="0075311D">
        <w:rPr>
          <w:rFonts w:eastAsia="Times New Roman" w:cs="Times New Roman"/>
          <w:color w:val="2B579A"/>
          <w:szCs w:val="20"/>
          <w:shd w:val="clear" w:color="auto" w:fill="E6E6E6"/>
        </w:rPr>
        <w:fldChar w:fldCharType="end"/>
      </w:r>
      <w:r w:rsidRPr="0075311D">
        <w:rPr>
          <w:rFonts w:eastAsia="Times New Roman" w:cs="Times New Roman"/>
          <w:b/>
          <w:bCs/>
          <w:szCs w:val="20"/>
        </w:rPr>
        <w:t xml:space="preserve"> </w:t>
      </w:r>
      <w:r w:rsidRPr="0075311D">
        <w:rPr>
          <w:rFonts w:eastAsia="Times New Roman" w:cs="Times New Roman"/>
          <w:szCs w:val="20"/>
        </w:rPr>
        <w:t xml:space="preserve">for more information). </w:t>
      </w:r>
    </w:p>
    <w:p w14:paraId="4BBF4B8C" w14:textId="30367C0B" w:rsidR="6B99E739" w:rsidRDefault="6B99E739" w:rsidP="004266DD">
      <w:pPr>
        <w:spacing w:after="0" w:line="257" w:lineRule="auto"/>
      </w:pPr>
      <w:r w:rsidRPr="0075311D">
        <w:rPr>
          <w:rFonts w:eastAsia="Times New Roman" w:cs="Times New Roman"/>
          <w:szCs w:val="20"/>
        </w:rPr>
        <w:t>After mapping the underlying and chain causes of death, our database went through two separate modelling pathways. The first model estimated the fraction of deaths that are sepsis-related in each GBD cause; these sepsis-related deaths for non-infectious GBD causes were combined with GBD deaths for infectious causes to create the total envelope of all deaths where infection plays a role. The second pathway estimated each infectious syndrome as a fraction of sepsis-related mortality in each GBD cause. In the last step of infectious syndrome estimation, the fractions of sepsis by Level 1 infectious syndromes were squeezed to sum to one so as to not exceed the sepsis mortality envelope and multiplied by the sepsis estimate in each GBD cause by country and territory, age, and sex in 2019.</w:t>
      </w:r>
      <w:r w:rsidRPr="0075311D">
        <w:rPr>
          <w:rFonts w:cs="Times New Roman"/>
          <w:szCs w:val="20"/>
        </w:rPr>
        <w:br/>
      </w:r>
      <w:r w:rsidRPr="0075311D">
        <w:rPr>
          <w:rFonts w:eastAsia="Times New Roman" w:cs="Times New Roman"/>
          <w:szCs w:val="20"/>
        </w:rPr>
        <w:t xml:space="preserve"> </w:t>
      </w:r>
      <w:r w:rsidRPr="0075311D">
        <w:rPr>
          <w:rFonts w:cs="Times New Roman"/>
          <w:szCs w:val="20"/>
        </w:rPr>
        <w:br/>
      </w:r>
      <w:r w:rsidRPr="004741C6">
        <w:rPr>
          <w:rFonts w:eastAsiaTheme="majorEastAsia" w:cstheme="majorBidi"/>
          <w:i/>
          <w:color w:val="1F4D78" w:themeColor="accent1" w:themeShade="7F"/>
          <w:szCs w:val="24"/>
        </w:rPr>
        <w:t xml:space="preserve">Section 3.2.4: First pathway – deaths where infection plays a </w:t>
      </w:r>
      <w:proofErr w:type="gramStart"/>
      <w:r w:rsidRPr="004741C6">
        <w:rPr>
          <w:rFonts w:eastAsiaTheme="majorEastAsia" w:cstheme="majorBidi"/>
          <w:i/>
          <w:color w:val="1F4D78" w:themeColor="accent1" w:themeShade="7F"/>
          <w:szCs w:val="24"/>
        </w:rPr>
        <w:t>role</w:t>
      </w:r>
      <w:proofErr w:type="gramEnd"/>
    </w:p>
    <w:p w14:paraId="387B1042" w14:textId="47480D4B" w:rsidR="6B99E739" w:rsidRPr="0075311D" w:rsidRDefault="6B99E739" w:rsidP="004266DD">
      <w:pPr>
        <w:spacing w:after="0" w:line="257" w:lineRule="auto"/>
        <w:rPr>
          <w:rFonts w:cs="Times New Roman"/>
          <w:szCs w:val="20"/>
        </w:rPr>
      </w:pPr>
      <w:r w:rsidRPr="0075311D">
        <w:rPr>
          <w:rFonts w:eastAsia="Times New Roman" w:cs="Times New Roman"/>
          <w:szCs w:val="20"/>
        </w:rPr>
        <w:t>We used a mixed-effects binomial logistic regression to model the logit of the fraction of sepsis-related deaths by GBD cause-age-sex-location, consistent with the modelling approach used by Rudd et al.</w:t>
      </w:r>
      <w:r w:rsidR="00195A37"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{"citationID":"8i7hroXT","properties":{"formattedCitation":"\\super 5\\nosupersub{}","plainCitation":"5","noteIndex":0},"citationItems":[{"id":94388,"uris":["http://zotero.org/groups/2154524/items/WYYGB7MY"],"itemData":{"id":94388,"type":"article-journal","abstract":"&lt;h2&gt;Summary&lt;/h2&gt;&lt;h3&gt;Background&lt;/h3&gt;&lt;p&gt;Sepsis is life-threatening organ dysfunction due to a dysregulated host response to infection. It is considered a major cause of health loss, but data for the global burden of sepsis are limited. As a syndrome caused by underlying infection, sepsis is not part of standard Global Burden of Diseases, Injuries, and Risk Factors Study (GBD) estimates. Accurate estimates are important to inform and monitor health policy interventions, allocation of resources, and clinical treatment initiatives. We estimated the global, regional, and national incidence of sepsis and mortality from this disorder using data from GBD 2017.&lt;/p&gt;&lt;h3&gt;Methods&lt;/h3&gt;&lt;p&gt;We used multiple cause-of-death data from 109 million individual death records to calculate mortality related to sepsis among each of the 282 underlying causes of death in GBD 2017. The percentage of sepsis-related deaths by underlying GBD cause in each location worldwide was modelled using mixed-effects linear regression. Sepsis-related mortality for each age group, sex, location, GBD cause, and year (1990–2017) was estimated by applying modelled cause-specific fractions to GBD 2017 cause-of-death estimates. We used data for 8·7 million individual hospital records to calculate in-hospital sepsis-associated case-fatality, stratified by underlying GBD cause. In-hospital sepsis-associated case-fatality was modelled for each location using linear regression, and sepsis incidence was estimated by applying modelled case-fatality to sepsis-related mortality estimates.&lt;/p&gt;&lt;h3&gt;Findings&lt;/h3&gt;&lt;p&gt;In 2017, an estimated 48·9 million (95% uncertainty interval [UI] 38·9–62·9) incident cases of sepsis were recorded worldwide and 11·0 million (10·1–12·0) sepsis-related deaths were reported, representing 19·7% (18·2–21·4) of all global deaths. Age-standardised sepsis incidence fell by 37·0% (95% UI 11·8–54·5) and mortality decreased by 52·8% (47·7–57·5) from 1990 to 2017. Sepsis incidence and mortality varied substantially across regions, with the highest burden in sub-Saharan Africa, Oceania, south Asia, east Asia, and southeast Asia.&lt;/p&gt;&lt;h3&gt;Interpretation&lt;/h3&gt;&lt;p&gt;Despite declining age-standardised incidence and mortality, sepsis remains a major cause of health loss worldwide and has an especially high health-related burden in sub-Saharan Africa.&lt;/p&gt;&lt;h3&gt;Funding&lt;/h3&gt;&lt;p&gt;The Bill &amp; Melinda Gates Foundation, the National Institutes of Health, the University of Pittsburgh, the British Columbia Children's Hospital Foundation, the Wellcome Trust, and the Fleming Fund.&lt;/p&gt;","container-title":"The Lancet","DOI":"10.1016/S0140-6736(19)32989-7","ISSN":"0140-6736, 1474-547X","issue":"10219","journalAbbreviation":"The Lancet","language":"English","note":"publisher: Elsevier\nPMID: 31954465","page":"200-211","source":"www.thelancet.com","title":"Global, regional, and national sepsis incidence and mortality, 1990–2017: analysis for the Global Burden of Disease Study","title-short":"Global, regional, and national sepsis incidence and mortality, 1990–2017","volume":"395","author":[{"family":"Rudd","given":"Kristina E."},{"family":"Johnson","given":"Sarah Charlotte"},{"family":"Agesa","given":"Kareha M."},{"family":"Shackelford","given":"Katya Anne"},{"family":"Tsoi","given":"Derrick"},{"family":"Kievlan","given":"Daniel Rhodes"},{"family":"Colombara","given":"Danny V."},{"family":"Ikuta","given":"Kevin S."},{"family":"Kissoon","given":"Niranjan"},{"family":"Finfer","given":"Simon"},{"family":"Fleischmann-Struzek","given":"Carolin"},{"family":"Machado","given":"Flavia R."},{"family":"Reinhart","given":"Konrad K."},{"family":"Rowan","given":"Kathryn"},{"family":"Seymour","given":"Christopher W."},{"family":"Watson","given":"R. Scott"},{"family":"West","given":"T. Eoin"},{"family":"Marinho","given":"Fatima"},{"family":"Hay","given":"Simon I."},{"family":"Lozano","given":"Rafael"},{"family":"Lopez","given":"Alan D."},{"family":"Angus","given":"Derek C."},{"family":"Murray","given":"Christopher J. L."},{"family":"Naghavi","given":"Mohsen"}],"issued":{"date-parts":[["2020",1,18]]}}}],"schema":"https://github.com/citation-style-language/schema/raw/master/csl-citation.json"} </w:instrText>
      </w:r>
      <w:r w:rsidR="00195A37"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5</w:t>
      </w:r>
      <w:r w:rsidR="00195A37"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Sex and Healthcare Access and Quality Index (HAQ Index)</w:t>
      </w:r>
      <w:r w:rsidR="00195A37"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{"citationID":"onsXRR3r","properties":{"formattedCitation":"\\super 3\\nosupersub{}","plainCitation":"3","noteIndex":0},"citationItems":[{"id":93768,"uris":["http://zotero.org/groups/2154524/items/6TQ57EY7"],"itemData":{"id":93768,"type":"article-journal","container-title":"The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1990–2019","volume":"396","author":[{"literal":"GBD 2019 Diseases and Injuries Collaborators"}],"issued":{"date-parts":[["2020",10,17]]}}}],"schema":"https://github.com/citation-style-language/schema/raw/master/csl-citation.json"} </w:instrText>
      </w:r>
      <w:r w:rsidR="00195A37"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3</w:t>
      </w:r>
      <w:r w:rsidR="00195A37"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were included as covariates and a nested random effect on underlying cause of death was included. A separate model was run for each GBD 2019 age group (0–6, 7–27, 28-364 [days], 1–4, 5–9, 10–14, 15–19, 20–24, 25–29, 30–34, 35–39, 40–44, 45–49, 50–54, 55–59, 60–64, 65–69, 70–74, 75–79, 80–84, 85–89, 90–94, 95+ [years]):</w:t>
      </w:r>
    </w:p>
    <w:p w14:paraId="498ADDB3" w14:textId="612D5A98" w:rsidR="082F9667" w:rsidRPr="0075311D" w:rsidRDefault="00195A37" w:rsidP="082F9667">
      <w:pPr>
        <w:spacing w:line="257" w:lineRule="auto"/>
        <w:rPr>
          <w:rFonts w:cs="Times New Roman"/>
          <w:szCs w:val="20"/>
        </w:rPr>
      </w:pPr>
      <m:oMathPara>
        <m:oMath>
          <m:r>
            <w:rPr>
              <w:rFonts w:ascii="Cambria Math" w:hAnsi="Cambria Math" w:cs="Times New Roman"/>
              <w:szCs w:val="20"/>
            </w:rPr>
            <m:t>sepsis related deaths ~ B</m:t>
          </m:r>
          <m:d>
            <m:dPr>
              <m:ctrlPr>
                <w:rPr>
                  <w:rFonts w:ascii="Cambria Math" w:hAnsi="Cambria Math" w:cs="Times New Roman"/>
                  <w:i/>
                  <w:szCs w:val="20"/>
                </w:rPr>
              </m:ctrlPr>
            </m:dPr>
            <m:e>
              <m:r>
                <w:rPr>
                  <w:rFonts w:ascii="Cambria Math" w:hAnsi="Cambria Math" w:cs="Times New Roman"/>
                  <w:szCs w:val="20"/>
                </w:rPr>
                <m:t>total deaths, sepsis fraction</m:t>
              </m:r>
            </m:e>
          </m:d>
        </m:oMath>
      </m:oMathPara>
    </w:p>
    <w:p w14:paraId="4F487FC3" w14:textId="19624097" w:rsidR="6B99E739" w:rsidRPr="0075311D" w:rsidRDefault="00195A37" w:rsidP="082F9667">
      <w:pPr>
        <w:spacing w:line="257" w:lineRule="auto"/>
        <w:jc w:val="center"/>
        <w:rPr>
          <w:rFonts w:cs="Times New Roman"/>
          <w:szCs w:val="20"/>
        </w:rPr>
      </w:pPr>
      <m:oMath>
        <m:r>
          <w:rPr>
            <w:rFonts w:ascii="Cambria Math" w:eastAsiaTheme="minorEastAsia" w:hAnsi="Cambria Math" w:cs="Times New Roman"/>
            <w:szCs w:val="20"/>
          </w:rPr>
          <m:t>logit</m:t>
        </m:r>
        <m:d>
          <m:dPr>
            <m:ctrlPr>
              <w:rPr>
                <w:rFonts w:ascii="Cambria Math" w:eastAsiaTheme="minorEastAsia" w:hAnsi="Cambria Math" w:cs="Times New Roman"/>
                <w:i/>
                <w:szCs w:val="20"/>
              </w:rPr>
            </m:ctrlPr>
          </m:dPr>
          <m:e>
            <m:r>
              <w:rPr>
                <w:rFonts w:ascii="Cambria Math" w:eastAsiaTheme="minorEastAsia" w:hAnsi="Cambria Math" w:cs="Times New Roman"/>
                <w:szCs w:val="20"/>
              </w:rPr>
              <m:t>sepsis fraction</m:t>
            </m:r>
          </m:e>
        </m:d>
        <m:r>
          <w:rPr>
            <w:rFonts w:ascii="Cambria Math" w:eastAsiaTheme="minorEastAsia" w:hAnsi="Cambria Math" w:cs="Times New Roman"/>
            <w:szCs w:val="20"/>
          </w:rPr>
          <m:t xml:space="preserve">= </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0</m:t>
            </m:r>
          </m:sub>
        </m:sSub>
        <m:r>
          <w:rPr>
            <w:rFonts w:ascii="Cambria Math" w:eastAsiaTheme="minorEastAsia" w:hAnsi="Cambria Math" w:cs="Times New Roman"/>
            <w:szCs w:val="20"/>
          </w:rPr>
          <m:t>+</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1</m:t>
            </m:r>
          </m:sub>
        </m:sSub>
        <m:r>
          <w:rPr>
            <w:rFonts w:ascii="Cambria Math" w:eastAsiaTheme="minorEastAsia" w:hAnsi="Cambria Math" w:cs="Times New Roman"/>
            <w:szCs w:val="20"/>
          </w:rPr>
          <m:t>*HAQ Index+</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2</m:t>
            </m:r>
          </m:sub>
        </m:sSub>
        <m:r>
          <w:rPr>
            <w:rFonts w:ascii="Cambria Math" w:eastAsiaTheme="minorEastAsia" w:hAnsi="Cambria Math" w:cs="Times New Roman"/>
            <w:szCs w:val="20"/>
          </w:rPr>
          <m:t>*sex+</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π</m:t>
            </m:r>
          </m:e>
          <m:sub>
            <m:r>
              <w:rPr>
                <w:rFonts w:ascii="Cambria Math" w:eastAsiaTheme="minorEastAsia" w:hAnsi="Cambria Math" w:cs="Times New Roman"/>
                <w:szCs w:val="20"/>
              </w:rPr>
              <m:t xml:space="preserve">level 1,level 2 </m:t>
            </m:r>
          </m:sub>
        </m:sSub>
      </m:oMath>
      <w:r w:rsidR="6B99E739" w:rsidRPr="0075311D">
        <w:rPr>
          <w:rFonts w:eastAsia="Calibri" w:cs="Times New Roman"/>
          <w:szCs w:val="20"/>
        </w:rPr>
        <w:t xml:space="preserve"> </w:t>
      </w:r>
    </w:p>
    <w:p w14:paraId="7242CA79" w14:textId="46C9B85D" w:rsidR="6B99E739" w:rsidRPr="0075311D" w:rsidRDefault="6B99E739" w:rsidP="082F9667">
      <w:pPr>
        <w:spacing w:line="257" w:lineRule="auto"/>
        <w:rPr>
          <w:rFonts w:cs="Times New Roman"/>
          <w:szCs w:val="20"/>
        </w:rPr>
      </w:pPr>
      <w:r w:rsidRPr="0075311D">
        <w:rPr>
          <w:rFonts w:eastAsia="Times New Roman" w:cs="Times New Roman"/>
          <w:szCs w:val="20"/>
        </w:rPr>
        <w:t>Where</w:t>
      </w:r>
      <w:r w:rsidR="0002061F" w:rsidRPr="0075311D">
        <w:rPr>
          <w:rFonts w:eastAsia="Times New Roman"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π</m:t>
            </m:r>
          </m:e>
          <m:sub>
            <m:r>
              <w:rPr>
                <w:rFonts w:ascii="Cambria Math" w:hAnsi="Cambria Math" w:cs="Times New Roman"/>
                <w:szCs w:val="20"/>
              </w:rPr>
              <m:t>level 1,level 2</m:t>
            </m:r>
          </m:sub>
        </m:sSub>
      </m:oMath>
      <w:r w:rsidRPr="0075311D">
        <w:rPr>
          <w:rFonts w:eastAsia="Times New Roman" w:cs="Times New Roman"/>
          <w:szCs w:val="20"/>
        </w:rPr>
        <w:t xml:space="preserve">  is a nested random effect on underlying cause of death. The nested random-effect’s structure in the model on underlying cause of death allowed the prediction of sepsis fractions where data were limited by borrowing information from diseases within the same group. There were 22 groups of underlying causes of death, each </w:t>
      </w:r>
      <w:proofErr w:type="spellStart"/>
      <w:r w:rsidRPr="0075311D">
        <w:rPr>
          <w:rFonts w:eastAsia="Times New Roman" w:cs="Times New Roman"/>
          <w:szCs w:val="20"/>
        </w:rPr>
        <w:t>categorised</w:t>
      </w:r>
      <w:proofErr w:type="spellEnd"/>
      <w:r w:rsidRPr="0075311D">
        <w:rPr>
          <w:rFonts w:eastAsia="Times New Roman" w:cs="Times New Roman"/>
          <w:szCs w:val="20"/>
        </w:rPr>
        <w:t xml:space="preserve"> by physiological relatedness. We produced our predictions and uncertainty intervals (UIs) by generating 1000 draws from the normal distribution of the fixed coefficients, separately for each GBD location, age group, sex, and cause in 2019. The means of our results were used for the point estimates and the 95% UIs were delineated using the 2.5</w:t>
      </w:r>
      <w:r w:rsidRPr="0075311D">
        <w:rPr>
          <w:rFonts w:eastAsia="Times New Roman" w:cs="Times New Roman"/>
          <w:szCs w:val="20"/>
          <w:vertAlign w:val="superscript"/>
        </w:rPr>
        <w:t>th</w:t>
      </w:r>
      <w:r w:rsidRPr="0075311D">
        <w:rPr>
          <w:rFonts w:eastAsia="Times New Roman" w:cs="Times New Roman"/>
          <w:szCs w:val="20"/>
        </w:rPr>
        <w:t xml:space="preserve"> and 97.5</w:t>
      </w:r>
      <w:r w:rsidRPr="0075311D">
        <w:rPr>
          <w:rFonts w:eastAsia="Times New Roman" w:cs="Times New Roman"/>
          <w:szCs w:val="20"/>
          <w:vertAlign w:val="superscript"/>
        </w:rPr>
        <w:t>th</w:t>
      </w:r>
      <w:r w:rsidRPr="0075311D">
        <w:rPr>
          <w:rFonts w:eastAsia="Times New Roman" w:cs="Times New Roman"/>
          <w:szCs w:val="20"/>
        </w:rPr>
        <w:t xml:space="preserve"> percentiles of the draws. Uncertainty is attributable to sample size variability between data sources, data availability, and model specifications. </w:t>
      </w:r>
    </w:p>
    <w:p w14:paraId="61E742C4" w14:textId="2F164BF4" w:rsidR="6B99E739" w:rsidRPr="0075311D" w:rsidRDefault="6B99E739" w:rsidP="082F9667">
      <w:pPr>
        <w:spacing w:line="257" w:lineRule="auto"/>
        <w:rPr>
          <w:rFonts w:cs="Times New Roman"/>
          <w:szCs w:val="20"/>
        </w:rPr>
      </w:pPr>
      <w:r w:rsidRPr="0075311D">
        <w:rPr>
          <w:rFonts w:eastAsia="Times New Roman" w:cs="Times New Roman"/>
          <w:szCs w:val="20"/>
        </w:rPr>
        <w:t>All underlying causes of death that are infectious diseases were included in the model; however, for these causes we used the GBD death estimates rather than the modelled sepsis estimate, since infection inherently plays a role in these deaths even if the pathway doesn’t include sepsis. These causes and their associated infectious syndromes are available in the appendix of Murray et al. (2022)</w:t>
      </w:r>
      <w:r w:rsidRPr="0075311D">
        <w:rPr>
          <w:rFonts w:eastAsia="Times New Roman" w:cs="Times New Roman"/>
          <w:b/>
          <w:bCs/>
          <w:szCs w:val="20"/>
        </w:rPr>
        <w:t>.</w:t>
      </w:r>
      <w:r w:rsidR="0002061F" w:rsidRPr="0075311D">
        <w:rPr>
          <w:rFonts w:eastAsia="Times New Roman" w:cs="Times New Roman"/>
          <w:b/>
          <w:color w:val="2B579A"/>
          <w:szCs w:val="20"/>
          <w:shd w:val="clear" w:color="auto" w:fill="E6E6E6"/>
        </w:rPr>
        <w:fldChar w:fldCharType="begin"/>
      </w:r>
      <w:r w:rsidR="0002061F" w:rsidRPr="0075311D">
        <w:rPr>
          <w:rFonts w:eastAsia="Times New Roman" w:cs="Times New Roman"/>
          <w:b/>
          <w:bCs/>
          <w:szCs w:val="20"/>
        </w:rPr>
        <w:instrText xml:space="preserve"> ADDIN ZOTERO_ITEM CSL_CITATION {"citationID":"puy0LW7s","properties":{"formattedCitation":"\\super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02061F" w:rsidRPr="0075311D">
        <w:rPr>
          <w:rFonts w:eastAsia="Times New Roman" w:cs="Times New Roman"/>
          <w:b/>
          <w:color w:val="2B579A"/>
          <w:szCs w:val="20"/>
          <w:shd w:val="clear" w:color="auto" w:fill="E6E6E6"/>
        </w:rPr>
        <w:fldChar w:fldCharType="separate"/>
      </w:r>
      <w:r w:rsidR="003711BD" w:rsidRPr="003711BD">
        <w:rPr>
          <w:rFonts w:cs="Times New Roman"/>
          <w:szCs w:val="24"/>
          <w:vertAlign w:val="superscript"/>
        </w:rPr>
        <w:t>1</w:t>
      </w:r>
      <w:r w:rsidR="0002061F" w:rsidRPr="0075311D">
        <w:rPr>
          <w:rFonts w:eastAsia="Times New Roman" w:cs="Times New Roman"/>
          <w:b/>
          <w:color w:val="2B579A"/>
          <w:szCs w:val="20"/>
          <w:shd w:val="clear" w:color="auto" w:fill="E6E6E6"/>
        </w:rPr>
        <w:fldChar w:fldCharType="end"/>
      </w:r>
      <w:r w:rsidRPr="0075311D">
        <w:rPr>
          <w:rFonts w:eastAsia="Times New Roman" w:cs="Times New Roman"/>
          <w:b/>
          <w:bCs/>
          <w:szCs w:val="20"/>
        </w:rPr>
        <w:t xml:space="preserve"> </w:t>
      </w:r>
      <w:r w:rsidRPr="0075311D">
        <w:rPr>
          <w:rFonts w:eastAsia="Times New Roman" w:cs="Times New Roman"/>
          <w:szCs w:val="20"/>
        </w:rPr>
        <w:t>For all other causes, we calculated the number of sepsis-related deaths in 2019 by multiplying our predictions of cause-, age group-, sex-, year-, and location-specific sepsis fractions by GBD 2019 death estimates. Finally, we aggregated our results to arrive at regional and global sepsis-related mortality in non-infectious underlying causes of death, which we combined with the GBD infectious disease deaths estimates to create the mortality envelope of all deaths related to infection.</w:t>
      </w:r>
    </w:p>
    <w:p w14:paraId="3D32A45B" w14:textId="604F3BFB" w:rsidR="6B99E739" w:rsidRDefault="6B99E739" w:rsidP="082F9667">
      <w:pPr>
        <w:spacing w:line="257" w:lineRule="auto"/>
      </w:pPr>
      <w:r w:rsidRPr="082F9667">
        <w:rPr>
          <w:rFonts w:eastAsia="Times New Roman" w:cs="Times New Roman"/>
          <w:sz w:val="24"/>
          <w:szCs w:val="24"/>
        </w:rPr>
        <w:t xml:space="preserve"> </w:t>
      </w:r>
    </w:p>
    <w:p w14:paraId="1F821E66" w14:textId="7C12BE24" w:rsidR="6B99E739" w:rsidRPr="004741C6" w:rsidRDefault="6B99E739" w:rsidP="004741C6">
      <w:pPr>
        <w:rPr>
          <w:rFonts w:eastAsiaTheme="majorEastAsia" w:cstheme="majorBidi"/>
          <w:i/>
          <w:color w:val="1F4D78" w:themeColor="accent1" w:themeShade="7F"/>
          <w:szCs w:val="24"/>
        </w:rPr>
      </w:pPr>
      <w:r w:rsidRPr="004741C6">
        <w:rPr>
          <w:rFonts w:eastAsiaTheme="majorEastAsia" w:cstheme="majorBidi"/>
          <w:i/>
          <w:color w:val="1F4D78" w:themeColor="accent1" w:themeShade="7F"/>
          <w:szCs w:val="24"/>
        </w:rPr>
        <w:lastRenderedPageBreak/>
        <w:t>Section 3.2.</w:t>
      </w:r>
      <w:r w:rsidR="002239B2" w:rsidRPr="004741C6">
        <w:rPr>
          <w:rFonts w:eastAsiaTheme="majorEastAsia" w:cstheme="majorBidi"/>
          <w:i/>
          <w:color w:val="1F4D78" w:themeColor="accent1" w:themeShade="7F"/>
          <w:szCs w:val="24"/>
        </w:rPr>
        <w:t>5</w:t>
      </w:r>
      <w:r w:rsidRPr="004741C6">
        <w:rPr>
          <w:rFonts w:eastAsiaTheme="majorEastAsia" w:cstheme="majorBidi"/>
          <w:i/>
          <w:color w:val="1F4D78" w:themeColor="accent1" w:themeShade="7F"/>
          <w:szCs w:val="24"/>
        </w:rPr>
        <w:t xml:space="preserve">: Second pathway – fraction of deaths where infection plays a role by infectious syndrome in each GBD </w:t>
      </w:r>
      <w:proofErr w:type="gramStart"/>
      <w:r w:rsidRPr="004741C6">
        <w:rPr>
          <w:rFonts w:eastAsiaTheme="majorEastAsia" w:cstheme="majorBidi"/>
          <w:i/>
          <w:color w:val="1F4D78" w:themeColor="accent1" w:themeShade="7F"/>
          <w:szCs w:val="24"/>
        </w:rPr>
        <w:t>cause</w:t>
      </w:r>
      <w:proofErr w:type="gramEnd"/>
    </w:p>
    <w:p w14:paraId="10405427" w14:textId="6C591C99" w:rsidR="6B99E739" w:rsidRPr="0075311D" w:rsidRDefault="6B99E739" w:rsidP="082F9667">
      <w:pPr>
        <w:spacing w:line="257" w:lineRule="auto"/>
        <w:rPr>
          <w:rFonts w:cs="Times New Roman"/>
          <w:szCs w:val="20"/>
        </w:rPr>
      </w:pPr>
      <w:r w:rsidRPr="0075311D">
        <w:rPr>
          <w:rFonts w:eastAsia="Times New Roman" w:cs="Times New Roman"/>
          <w:szCs w:val="20"/>
        </w:rPr>
        <w:t xml:space="preserve">We used a mixed-effects binomial logistic regression to model the logit of the infectious syndrome fraction of sepsis-related mortality by GBD cause. The model covariates varied by infectious syndrome, and all models included HAQ Index as a covariate and most included a summary exposure value (SEV) scalar calculated for GBD 2019. To </w:t>
      </w:r>
      <w:proofErr w:type="gramStart"/>
      <w:r w:rsidRPr="0075311D">
        <w:rPr>
          <w:rFonts w:eastAsia="Times New Roman" w:cs="Times New Roman"/>
          <w:szCs w:val="20"/>
        </w:rPr>
        <w:t>more accurately estimate the burden of pathogens responsible</w:t>
      </w:r>
      <w:proofErr w:type="gramEnd"/>
      <w:r w:rsidRPr="0075311D">
        <w:rPr>
          <w:rFonts w:eastAsia="Times New Roman" w:cs="Times New Roman"/>
          <w:szCs w:val="20"/>
        </w:rPr>
        <w:t xml:space="preserve"> for infection, we separated infectious syndromes into hospital-acquired and community-acquired for LRI+ and UTI. More details on the infectious syndrome model covariates and age groups are found in the appendix of Murray et al. (2022).</w:t>
      </w:r>
      <w:r w:rsidR="009F37CB" w:rsidRPr="0075311D">
        <w:rPr>
          <w:rFonts w:eastAsia="Times New Roman" w:cs="Times New Roman"/>
          <w:color w:val="2B579A"/>
          <w:szCs w:val="20"/>
          <w:shd w:val="clear" w:color="auto" w:fill="E6E6E6"/>
        </w:rPr>
        <w:fldChar w:fldCharType="begin"/>
      </w:r>
      <w:r w:rsidR="009F37CB" w:rsidRPr="0075311D">
        <w:rPr>
          <w:rFonts w:eastAsia="Times New Roman" w:cs="Times New Roman"/>
          <w:szCs w:val="20"/>
        </w:rPr>
        <w:instrText xml:space="preserve"> ADDIN ZOTERO_ITEM CSL_CITATION {"citationID":"TOQjQ1BH","properties":{"formattedCitation":"\\super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9F37CB"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9F37CB" w:rsidRPr="0075311D">
        <w:rPr>
          <w:rFonts w:eastAsia="Times New Roman" w:cs="Times New Roman"/>
          <w:color w:val="2B579A"/>
          <w:szCs w:val="20"/>
          <w:shd w:val="clear" w:color="auto" w:fill="E6E6E6"/>
        </w:rPr>
        <w:fldChar w:fldCharType="end"/>
      </w:r>
    </w:p>
    <w:p w14:paraId="5869BB6A" w14:textId="5506FC9D" w:rsidR="003B2FB7" w:rsidRPr="0075311D" w:rsidRDefault="26903F49" w:rsidP="26903F49">
      <w:pPr>
        <w:spacing w:line="257" w:lineRule="auto"/>
        <w:rPr>
          <w:rFonts w:eastAsia="Times New Roman" w:cs="Times New Roman"/>
          <w:szCs w:val="20"/>
        </w:rPr>
      </w:pPr>
      <w:r w:rsidRPr="0075311D">
        <w:rPr>
          <w:rFonts w:eastAsia="Times New Roman" w:cs="Times New Roman"/>
          <w:szCs w:val="20"/>
        </w:rPr>
        <w:t>The infectious syndrome models were specified as mixed-effects binomial logistic regressions, one for each infectious syndrome and age group:</w:t>
      </w:r>
    </w:p>
    <w:p w14:paraId="08160335" w14:textId="574EE985" w:rsidR="009F37CB" w:rsidRPr="0075311D" w:rsidRDefault="009F37CB" w:rsidP="26903F49">
      <w:pPr>
        <w:spacing w:line="257" w:lineRule="auto"/>
        <w:rPr>
          <w:rFonts w:eastAsia="Times New Roman" w:cs="Times New Roman"/>
          <w:szCs w:val="20"/>
        </w:rPr>
      </w:pPr>
      <m:oMathPara>
        <m:oMath>
          <m:r>
            <w:rPr>
              <w:rFonts w:ascii="Cambria Math" w:hAnsi="Cambria Math" w:cs="Times New Roman"/>
              <w:szCs w:val="20"/>
            </w:rPr>
            <m:t>syndrome related deaths ~ B</m:t>
          </m:r>
          <m:d>
            <m:dPr>
              <m:ctrlPr>
                <w:rPr>
                  <w:rFonts w:ascii="Cambria Math" w:hAnsi="Cambria Math" w:cs="Times New Roman"/>
                  <w:i/>
                  <w:szCs w:val="20"/>
                </w:rPr>
              </m:ctrlPr>
            </m:dPr>
            <m:e>
              <m:r>
                <w:rPr>
                  <w:rFonts w:ascii="Cambria Math" w:hAnsi="Cambria Math" w:cs="Times New Roman"/>
                  <w:szCs w:val="20"/>
                </w:rPr>
                <m:t>total sepsis deaths, syndrome fraction</m:t>
              </m:r>
            </m:e>
          </m:d>
        </m:oMath>
      </m:oMathPara>
    </w:p>
    <w:p w14:paraId="0961831D" w14:textId="2BF44AC6" w:rsidR="009F37CB" w:rsidRPr="0075311D" w:rsidRDefault="009F37CB" w:rsidP="26903F49">
      <w:pPr>
        <w:spacing w:line="257" w:lineRule="auto"/>
        <w:rPr>
          <w:rFonts w:eastAsia="Times New Roman" w:cs="Times New Roman"/>
          <w:szCs w:val="20"/>
        </w:rPr>
      </w:pPr>
      <m:oMathPara>
        <m:oMath>
          <m:r>
            <w:rPr>
              <w:rFonts w:ascii="Cambria Math" w:hAnsi="Cambria Math" w:cs="Times New Roman"/>
              <w:szCs w:val="20"/>
            </w:rPr>
            <m:t>logit</m:t>
          </m:r>
          <m:d>
            <m:dPr>
              <m:ctrlPr>
                <w:rPr>
                  <w:rFonts w:ascii="Cambria Math" w:hAnsi="Cambria Math" w:cs="Times New Roman"/>
                  <w:i/>
                  <w:szCs w:val="20"/>
                </w:rPr>
              </m:ctrlPr>
            </m:dPr>
            <m:e>
              <m:r>
                <w:rPr>
                  <w:rFonts w:ascii="Cambria Math" w:hAnsi="Cambria Math" w:cs="Times New Roman"/>
                  <w:szCs w:val="20"/>
                </w:rPr>
                <m:t>syndrome fraction</m:t>
              </m:r>
            </m:e>
          </m:d>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β</m:t>
              </m:r>
            </m:e>
            <m:sub>
              <m:r>
                <w:rPr>
                  <w:rFonts w:ascii="Cambria Math" w:hAnsi="Cambria Math" w:cs="Times New Roman"/>
                  <w:szCs w:val="20"/>
                </w:rPr>
                <m:t>0</m:t>
              </m:r>
            </m:sub>
          </m:sSub>
          <m:r>
            <w:rPr>
              <w:rFonts w:ascii="Cambria Math" w:hAnsi="Cambria Math" w:cs="Times New Roman"/>
              <w:szCs w:val="20"/>
            </w:rPr>
            <m:t>+β*X+</m:t>
          </m:r>
          <m:sSub>
            <m:sSubPr>
              <m:ctrlPr>
                <w:rPr>
                  <w:rFonts w:ascii="Cambria Math" w:hAnsi="Cambria Math" w:cs="Times New Roman"/>
                  <w:i/>
                  <w:szCs w:val="20"/>
                </w:rPr>
              </m:ctrlPr>
            </m:sSubPr>
            <m:e>
              <m:r>
                <w:rPr>
                  <w:rFonts w:ascii="Cambria Math" w:hAnsi="Cambria Math" w:cs="Times New Roman"/>
                  <w:szCs w:val="20"/>
                </w:rPr>
                <m:t>π</m:t>
              </m:r>
            </m:e>
            <m:sub>
              <m:r>
                <w:rPr>
                  <w:rFonts w:ascii="Cambria Math" w:hAnsi="Cambria Math" w:cs="Times New Roman"/>
                  <w:szCs w:val="20"/>
                </w:rPr>
                <m:t>level 1,level 2</m:t>
              </m:r>
            </m:sub>
          </m:sSub>
        </m:oMath>
      </m:oMathPara>
    </w:p>
    <w:p w14:paraId="41BF601E" w14:textId="17465A77" w:rsidR="003B2FB7" w:rsidRPr="0075311D" w:rsidRDefault="009F37CB" w:rsidP="0010013C">
      <w:pPr>
        <w:spacing w:line="257" w:lineRule="auto"/>
        <w:rPr>
          <w:rFonts w:cs="Times New Roman"/>
          <w:szCs w:val="20"/>
        </w:rPr>
      </w:pPr>
      <w:r w:rsidRPr="0075311D">
        <w:rPr>
          <w:rFonts w:eastAsia="Times New Roman" w:cs="Times New Roman"/>
          <w:szCs w:val="20"/>
        </w:rPr>
        <w:t>w</w:t>
      </w:r>
      <w:r w:rsidR="6B99E739" w:rsidRPr="0075311D">
        <w:rPr>
          <w:rFonts w:eastAsia="Times New Roman" w:cs="Times New Roman"/>
          <w:szCs w:val="20"/>
        </w:rPr>
        <w:t>here</w:t>
      </w:r>
      <w:r w:rsidRPr="0075311D">
        <w:rPr>
          <w:rFonts w:eastAsia="Times New Roman" w:cs="Times New Roman"/>
          <w:szCs w:val="20"/>
        </w:rPr>
        <w:t xml:space="preserve"> </w:t>
      </w:r>
      <m:oMath>
        <m:r>
          <w:rPr>
            <w:rFonts w:ascii="Cambria Math" w:hAnsi="Cambria Math" w:cs="Times New Roman"/>
            <w:szCs w:val="20"/>
          </w:rPr>
          <m:t>β</m:t>
        </m:r>
      </m:oMath>
      <w:r w:rsidRPr="0075311D">
        <w:rPr>
          <w:rFonts w:cs="Times New Roman"/>
          <w:szCs w:val="20"/>
        </w:rPr>
        <w:t xml:space="preserve"> and </w:t>
      </w:r>
      <m:oMath>
        <m:r>
          <w:rPr>
            <w:rFonts w:ascii="Cambria Math" w:hAnsi="Cambria Math" w:cs="Times New Roman"/>
            <w:szCs w:val="20"/>
          </w:rPr>
          <m:t>X</m:t>
        </m:r>
      </m:oMath>
      <w:r w:rsidR="26903F49" w:rsidRPr="0075311D">
        <w:rPr>
          <w:rFonts w:eastAsia="Times New Roman" w:cs="Times New Roman"/>
          <w:szCs w:val="20"/>
        </w:rPr>
        <w:t xml:space="preserve"> are vectors of </w:t>
      </w:r>
      <w:r w:rsidR="0001595F" w:rsidRPr="0075311D">
        <w:rPr>
          <w:rFonts w:eastAsia="Times New Roman" w:cs="Times New Roman"/>
          <w:szCs w:val="20"/>
        </w:rPr>
        <w:t>length for</w:t>
      </w:r>
      <w:r w:rsidR="26903F49" w:rsidRPr="0075311D">
        <w:rPr>
          <w:rFonts w:eastAsia="Times New Roman" w:cs="Times New Roman"/>
          <w:szCs w:val="20"/>
        </w:rPr>
        <w:t xml:space="preserve"> covariates and is a nested random effect on underlying cause of death. The granularity of the age groups estimated for each infectious syndrome was chosen based on the age pattern of the infectious syndrome and the limitations of data sparsity.</w:t>
      </w:r>
    </w:p>
    <w:p w14:paraId="6778B979" w14:textId="22D4D047" w:rsidR="003B2FB7" w:rsidRPr="0075311D" w:rsidRDefault="26903F49" w:rsidP="26903F49">
      <w:pPr>
        <w:spacing w:line="257" w:lineRule="auto"/>
        <w:rPr>
          <w:rFonts w:cs="Times New Roman"/>
          <w:szCs w:val="20"/>
        </w:rPr>
      </w:pPr>
      <w:r w:rsidRPr="0075311D">
        <w:rPr>
          <w:rFonts w:eastAsia="Times New Roman" w:cs="Times New Roman"/>
          <w:szCs w:val="20"/>
        </w:rPr>
        <w:t>As in the first pathway, we derived our predictions and UIs by generating 1000 draws from the normal distribution of the fixed coefficients separately for each GBD location, age group, sex, and cause in 2019. We used the means of our results for the point estimates and the 95% UIs were delineated using the 2.5</w:t>
      </w:r>
      <w:r w:rsidRPr="0075311D">
        <w:rPr>
          <w:rFonts w:eastAsia="Times New Roman" w:cs="Times New Roman"/>
          <w:szCs w:val="20"/>
          <w:vertAlign w:val="superscript"/>
        </w:rPr>
        <w:t>th</w:t>
      </w:r>
      <w:r w:rsidRPr="0075311D">
        <w:rPr>
          <w:rFonts w:eastAsia="Times New Roman" w:cs="Times New Roman"/>
          <w:szCs w:val="20"/>
        </w:rPr>
        <w:t xml:space="preserve"> and 97.5</w:t>
      </w:r>
      <w:r w:rsidRPr="0075311D">
        <w:rPr>
          <w:rFonts w:eastAsia="Times New Roman" w:cs="Times New Roman"/>
          <w:szCs w:val="20"/>
          <w:vertAlign w:val="superscript"/>
        </w:rPr>
        <w:t>th</w:t>
      </w:r>
      <w:r w:rsidRPr="0075311D">
        <w:rPr>
          <w:rFonts w:eastAsia="Times New Roman" w:cs="Times New Roman"/>
          <w:szCs w:val="20"/>
        </w:rPr>
        <w:t xml:space="preserve"> percentiles of the draws. </w:t>
      </w:r>
    </w:p>
    <w:p w14:paraId="66644CB6" w14:textId="2F3B67AA" w:rsidR="003B2FB7" w:rsidRPr="0075311D" w:rsidRDefault="26903F49" w:rsidP="26903F49">
      <w:pPr>
        <w:spacing w:line="257" w:lineRule="auto"/>
        <w:rPr>
          <w:rFonts w:cs="Times New Roman"/>
          <w:szCs w:val="20"/>
        </w:rPr>
      </w:pPr>
      <w:r w:rsidRPr="0075311D">
        <w:rPr>
          <w:rFonts w:eastAsia="Times New Roman" w:cs="Times New Roman"/>
          <w:szCs w:val="20"/>
        </w:rPr>
        <w:t xml:space="preserve">We calculated the number of deaths attributable to each infectious syndrome in 2019 by multiplying our predictions of cause-, age group-, sex-, year-, and location-specific infectious syndrome fractions by our sepsis-mortality estimates from the first pathway. All infectious syndrome fractions were squeezed to sum to one prior to multiplication </w:t>
      </w:r>
      <w:proofErr w:type="gramStart"/>
      <w:r w:rsidRPr="0075311D">
        <w:rPr>
          <w:rFonts w:eastAsia="Times New Roman" w:cs="Times New Roman"/>
          <w:szCs w:val="20"/>
        </w:rPr>
        <w:t>in order to</w:t>
      </w:r>
      <w:proofErr w:type="gramEnd"/>
      <w:r w:rsidRPr="0075311D">
        <w:rPr>
          <w:rFonts w:eastAsia="Times New Roman" w:cs="Times New Roman"/>
          <w:szCs w:val="20"/>
        </w:rPr>
        <w:t xml:space="preserve"> ensure that we did not exceed the sepsis mortality envelope. </w:t>
      </w:r>
    </w:p>
    <w:p w14:paraId="7F729234" w14:textId="5F5751AB" w:rsidR="6B99E739" w:rsidRPr="0075311D" w:rsidRDefault="6B99E739" w:rsidP="082F9667">
      <w:pPr>
        <w:spacing w:line="257" w:lineRule="auto"/>
        <w:rPr>
          <w:rFonts w:cs="Times New Roman"/>
          <w:szCs w:val="20"/>
        </w:rPr>
      </w:pPr>
      <w:r w:rsidRPr="0075311D">
        <w:rPr>
          <w:rFonts w:eastAsia="Times New Roman" w:cs="Times New Roman"/>
          <w:szCs w:val="20"/>
        </w:rPr>
        <w:t>Out of the 12 explicit Level 1 infectious syndromes included in our hierarchy, we excluded (</w:t>
      </w:r>
      <w:proofErr w:type="spellStart"/>
      <w:r w:rsidRPr="0075311D">
        <w:rPr>
          <w:rFonts w:eastAsia="Times New Roman" w:cs="Times New Roman"/>
          <w:szCs w:val="20"/>
        </w:rPr>
        <w:t>i</w:t>
      </w:r>
      <w:proofErr w:type="spellEnd"/>
      <w:r w:rsidRPr="0075311D">
        <w:rPr>
          <w:rFonts w:eastAsia="Times New Roman" w:cs="Times New Roman"/>
          <w:szCs w:val="20"/>
        </w:rPr>
        <w:t xml:space="preserve">) tuberculosis (TB), (ii) typhoid, paratyphoid, and invasive non-typhoidal </w:t>
      </w:r>
      <w:r w:rsidRPr="0075311D">
        <w:rPr>
          <w:rFonts w:eastAsia="Times New Roman" w:cs="Times New Roman"/>
          <w:i/>
          <w:iCs/>
          <w:szCs w:val="20"/>
        </w:rPr>
        <w:t>Salmonella</w:t>
      </w:r>
      <w:r w:rsidRPr="0075311D">
        <w:rPr>
          <w:rFonts w:eastAsia="Times New Roman" w:cs="Times New Roman"/>
          <w:szCs w:val="20"/>
        </w:rPr>
        <w:t xml:space="preserve">, and (iii) </w:t>
      </w:r>
      <w:proofErr w:type="spellStart"/>
      <w:r w:rsidRPr="0075311D">
        <w:rPr>
          <w:rFonts w:eastAsia="Times New Roman" w:cs="Times New Roman"/>
          <w:szCs w:val="20"/>
        </w:rPr>
        <w:t>gonorrhoea</w:t>
      </w:r>
      <w:proofErr w:type="spellEnd"/>
      <w:r w:rsidRPr="0075311D">
        <w:rPr>
          <w:rFonts w:eastAsia="Times New Roman" w:cs="Times New Roman"/>
          <w:szCs w:val="20"/>
        </w:rPr>
        <w:t xml:space="preserve"> and chlamydia from our binomial mixed-effects linear regression model. Instead, we used the published results from GBD 2019</w:t>
      </w:r>
      <w:r w:rsidR="009F37CB" w:rsidRPr="0075311D">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{"citationID":"gr33iple","properties":{"formattedCitation":"\\super 4\\nosupersub{}","plainCitation":"4","noteIndex":0},"citationItems":[{"id":93869,"uris":["http://zotero.org/groups/2154524/items/VKVU6PWG"],"itemData":{"id":93869,"type":"article-journal","abstract":"&lt;h2&gt;Summary&lt;/h2&gt;&lt;h3&gt;Background&lt;/h3&gt;&lt;p&gt;Accurate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Foundation.&lt;/p&gt;","container-title":"The Lancet","DOI":"10.1016/S0140-6736(20)30977-6","ISSN":"0140-6736, 1474-547X","issue":"10258","journalAbbreviation":"The 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1950–2019","volume":"396","author":[{"literal":"GBD 2019 Demographics Collaborators"}],"issued":{"date-parts":[["2020",10,17]]}}}],"schema":"https://github.com/citation-style-language/schema/raw/master/csl-citation.json"} </w:instrText>
      </w:r>
      <w:r w:rsidR="009F37CB"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4</w:t>
      </w:r>
      <w:r w:rsidR="009F37CB"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for these causes of death, as we believe the GBD 2019 estimates fully represent these infectious syndromes because they are usually not intermediate causes of death.</w:t>
      </w:r>
    </w:p>
    <w:p w14:paraId="0CB00BEB" w14:textId="69278519" w:rsidR="6B99E739" w:rsidRPr="004741C6" w:rsidRDefault="6B99E739" w:rsidP="00283316">
      <w:pPr>
        <w:spacing w:after="0"/>
        <w:rPr>
          <w:rFonts w:eastAsiaTheme="majorEastAsia" w:cstheme="majorBidi"/>
          <w:i/>
          <w:color w:val="1F4D78" w:themeColor="accent1" w:themeShade="7F"/>
          <w:szCs w:val="24"/>
        </w:rPr>
      </w:pPr>
      <w:r w:rsidRPr="004741C6">
        <w:rPr>
          <w:rFonts w:eastAsiaTheme="majorEastAsia" w:cstheme="majorBidi"/>
          <w:i/>
          <w:color w:val="1F4D78" w:themeColor="accent1" w:themeShade="7F"/>
          <w:szCs w:val="24"/>
        </w:rPr>
        <w:t>Section 3.2.</w:t>
      </w:r>
      <w:r w:rsidR="004266DD" w:rsidRPr="004741C6">
        <w:rPr>
          <w:rFonts w:eastAsiaTheme="majorEastAsia" w:cstheme="majorBidi"/>
          <w:i/>
          <w:color w:val="1F4D78" w:themeColor="accent1" w:themeShade="7F"/>
          <w:szCs w:val="24"/>
        </w:rPr>
        <w:t>6</w:t>
      </w:r>
      <w:r w:rsidRPr="004741C6">
        <w:rPr>
          <w:rFonts w:eastAsiaTheme="majorEastAsia" w:cstheme="majorBidi"/>
          <w:i/>
          <w:color w:val="1F4D78" w:themeColor="accent1" w:themeShade="7F"/>
          <w:szCs w:val="24"/>
        </w:rPr>
        <w:t>: Model validation</w:t>
      </w:r>
    </w:p>
    <w:p w14:paraId="0DB2DB4F" w14:textId="4848A51E" w:rsidR="4250E043" w:rsidRDefault="4250E043" w:rsidP="00283316">
      <w:pPr>
        <w:spacing w:after="0" w:line="257" w:lineRule="auto"/>
        <w:rPr>
          <w:rFonts w:cs="Times New Roman"/>
          <w:vertAlign w:val="superscript"/>
        </w:rPr>
      </w:pPr>
      <w:r w:rsidRPr="24AC020F">
        <w:rPr>
          <w:rFonts w:eastAsia="Times New Roman" w:cs="Times New Roman"/>
        </w:rPr>
        <w:t>Infectious syndrome modelling aims to predict which cases of infection belong to a specific infectious syndrome, which is a multi-class classification problem. We therefore use the Area Under the Receiver Operating Characteristics (ROC) Curve (AUC)</w:t>
      </w:r>
      <w:r w:rsidR="605D5D79" w:rsidRPr="24AC020F">
        <w:rPr>
          <w:rFonts w:eastAsia="Times New Roman" w:cs="Times New Roman"/>
        </w:rPr>
        <w:t xml:space="preserve"> and accuracy</w:t>
      </w:r>
      <w:r w:rsidRPr="24AC020F">
        <w:rPr>
          <w:rFonts w:eastAsia="Times New Roman" w:cs="Times New Roman"/>
        </w:rPr>
        <w:t xml:space="preserve"> to evaluate model performance. More information on this can be found in the appendix of Murray et al. (2022).</w:t>
      </w:r>
      <w:r w:rsidRPr="24AC020F">
        <w:rPr>
          <w:rFonts w:eastAsia="Times New Roman" w:cs="Times New Roman"/>
          <w:color w:val="2B579A"/>
        </w:rPr>
        <w:fldChar w:fldCharType="begin"/>
      </w:r>
      <w:r w:rsidRPr="24AC020F">
        <w:rPr>
          <w:rFonts w:eastAsia="Times New Roman" w:cs="Times New Roman"/>
        </w:rPr>
        <w:instrText xml:space="preserve"> ADDIN ZOTERO_ITEM CSL_CITATION {"citationID":"2ARvdPPr","properties":{"formattedCitation":"\\super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24AC020F">
        <w:rPr>
          <w:rFonts w:eastAsia="Times New Roman" w:cs="Times New Roman"/>
          <w:color w:val="2B579A"/>
        </w:rPr>
        <w:fldChar w:fldCharType="separate"/>
      </w:r>
      <w:r w:rsidR="1758D621" w:rsidRPr="24AC020F">
        <w:rPr>
          <w:rFonts w:cs="Times New Roman"/>
          <w:vertAlign w:val="superscript"/>
        </w:rPr>
        <w:t>1</w:t>
      </w:r>
      <w:r w:rsidRPr="24AC020F">
        <w:rPr>
          <w:rFonts w:eastAsia="Times New Roman" w:cs="Times New Roman"/>
          <w:color w:val="2B579A"/>
        </w:rPr>
        <w:fldChar w:fldCharType="end"/>
      </w:r>
      <w:r w:rsidR="28701D63" w:rsidRPr="24AC020F">
        <w:rPr>
          <w:rFonts w:cs="Times New Roman"/>
          <w:vertAlign w:val="superscript"/>
        </w:rPr>
        <w:t xml:space="preserve"> </w:t>
      </w:r>
    </w:p>
    <w:p w14:paraId="208DC36C" w14:textId="77777777" w:rsidR="002317C2" w:rsidRDefault="002317C2" w:rsidP="00283316">
      <w:pPr>
        <w:spacing w:after="0" w:line="257" w:lineRule="auto"/>
        <w:rPr>
          <w:rFonts w:cs="Times New Roman"/>
        </w:rPr>
      </w:pPr>
    </w:p>
    <w:p w14:paraId="4B1F85DA" w14:textId="7169F68F" w:rsidR="3F0EE34B" w:rsidRDefault="3F0EE34B" w:rsidP="24AC020F">
      <w:pPr>
        <w:rPr>
          <w:rFonts w:eastAsia="Times New Roman" w:cs="Times New Roman"/>
          <w:szCs w:val="20"/>
        </w:rPr>
      </w:pPr>
      <w:r w:rsidRPr="24AC020F">
        <w:rPr>
          <w:rFonts w:eastAsia="Times New Roman" w:cs="Times New Roman"/>
          <w:color w:val="000000" w:themeColor="text1"/>
          <w:szCs w:val="20"/>
        </w:rPr>
        <w:t xml:space="preserve">The out-of-sample strategy for this validation excluded 20% of the sample on each iteration. Table </w:t>
      </w:r>
      <w:r w:rsidR="009A3F05">
        <w:rPr>
          <w:rFonts w:eastAsia="Times New Roman" w:cs="Times New Roman"/>
          <w:color w:val="000000" w:themeColor="text1"/>
          <w:szCs w:val="20"/>
        </w:rPr>
        <w:t>3.2.6</w:t>
      </w:r>
      <w:r w:rsidR="00B3393C">
        <w:rPr>
          <w:rFonts w:eastAsia="Times New Roman" w:cs="Times New Roman"/>
          <w:color w:val="000000" w:themeColor="text1"/>
          <w:szCs w:val="20"/>
        </w:rPr>
        <w:t>.1</w:t>
      </w:r>
      <w:r w:rsidRPr="24AC020F">
        <w:rPr>
          <w:rFonts w:eastAsia="Times New Roman" w:cs="Times New Roman"/>
          <w:color w:val="000000" w:themeColor="text1"/>
          <w:szCs w:val="20"/>
        </w:rPr>
        <w:t xml:space="preserve"> reports the Accuracy and AUC score</w:t>
      </w:r>
      <w:r w:rsidR="00BE32E5">
        <w:rPr>
          <w:rFonts w:eastAsia="Times New Roman" w:cs="Times New Roman"/>
          <w:color w:val="000000" w:themeColor="text1"/>
          <w:szCs w:val="20"/>
        </w:rPr>
        <w:fldChar w:fldCharType="begin"/>
      </w:r>
      <w:r w:rsidR="00BE32E5">
        <w:rPr>
          <w:rFonts w:eastAsia="Times New Roman" w:cs="Times New Roman"/>
          <w:color w:val="000000" w:themeColor="text1"/>
          <w:szCs w:val="20"/>
        </w:rPr>
        <w:instrText xml:space="preserve"> ADDIN ZOTERO_ITEM CSL_CITATION {"citationID":"EQgBYH2j","properties":{"formattedCitation":"\\super 6\\nosupersub{}","plainCitation":"6","noteIndex":0},"citationItems":[{"id":124783,"uris":["http://zotero.org/groups/2154524/items/9B6R88PG"],"itemData":{"id":124783,"type":"article-journal","abstract":"The performance of a diagnostic test in the case of a binary predictor can be evaluated using the measures of sensitivity and specificity. However, in many instances, we encounter predictors that are measured on a continuous or ordinal scale. In such cases, it is desirable to assess performance of a diagnostic test over the range of possible cutpoints for the predictor variable. This is achieved by a receiver operating characteristic (ROC) curve that includes all the possible decision thresholds from a diagnostic test result. In this brief report, we discuss the salient features of the ROC curve, as well as discuss and interpret the area under the ROC curve, and its utility in comparing two different tests or predictor variables of interest.","container-title":"Journal of Thoracic Oncology: Official Publication of the International Association for the Study of Lung Cancer","DOI":"10.1097/JTO.0b013e3181ec173d","ISSN":"1556-1380","issue":"9","journalAbbreviation":"J Thorac Oncol","language":"eng","note":"PMID: 20736804","page":"1315-1316","source":"PubMed","title":"Receiver operating characteristic curve in diagnostic test assessment","volume":"5","author":[{"family":"Mandrekar","given":"Jayawant N."}],"issued":{"date-parts":[["2010",9]]}}}],"schema":"https://github.com/citation-style-language/schema/raw/master/csl-citation.json"} </w:instrText>
      </w:r>
      <w:r w:rsidR="00BE32E5">
        <w:rPr>
          <w:rFonts w:eastAsia="Times New Roman" w:cs="Times New Roman"/>
          <w:color w:val="000000" w:themeColor="text1"/>
          <w:szCs w:val="20"/>
        </w:rPr>
        <w:fldChar w:fldCharType="separate"/>
      </w:r>
      <w:r w:rsidR="00BE32E5" w:rsidRPr="00BE32E5">
        <w:rPr>
          <w:rFonts w:cs="Times New Roman"/>
          <w:szCs w:val="24"/>
          <w:vertAlign w:val="superscript"/>
        </w:rPr>
        <w:t>6</w:t>
      </w:r>
      <w:r w:rsidR="00BE32E5">
        <w:rPr>
          <w:rFonts w:eastAsia="Times New Roman" w:cs="Times New Roman"/>
          <w:color w:val="000000" w:themeColor="text1"/>
          <w:szCs w:val="20"/>
        </w:rPr>
        <w:fldChar w:fldCharType="end"/>
      </w:r>
      <w:r w:rsidRPr="24AC020F">
        <w:rPr>
          <w:rFonts w:eastAsia="Times New Roman" w:cs="Times New Roman"/>
          <w:color w:val="000000" w:themeColor="text1"/>
          <w:szCs w:val="20"/>
        </w:rPr>
        <w:t xml:space="preserve"> for each of the age groups within the infectious syndrome models an</w:t>
      </w:r>
      <w:r w:rsidRPr="00A40698">
        <w:rPr>
          <w:rFonts w:eastAsia="Times New Roman" w:cs="Times New Roman"/>
          <w:color w:val="000000" w:themeColor="text1"/>
          <w:szCs w:val="20"/>
        </w:rPr>
        <w:t xml:space="preserve">d table </w:t>
      </w:r>
      <w:r w:rsidR="00A40698" w:rsidRPr="00A40698">
        <w:rPr>
          <w:rFonts w:eastAsia="Times New Roman" w:cs="Times New Roman"/>
          <w:color w:val="000000" w:themeColor="text1"/>
          <w:szCs w:val="20"/>
        </w:rPr>
        <w:t>3</w:t>
      </w:r>
      <w:r w:rsidR="00A40698">
        <w:rPr>
          <w:rFonts w:eastAsia="Times New Roman" w:cs="Times New Roman"/>
          <w:color w:val="000000" w:themeColor="text1"/>
          <w:szCs w:val="20"/>
        </w:rPr>
        <w:t>.2.6.2</w:t>
      </w:r>
      <w:r w:rsidRPr="24AC020F">
        <w:rPr>
          <w:rFonts w:eastAsia="Times New Roman" w:cs="Times New Roman"/>
          <w:color w:val="000000" w:themeColor="text1"/>
          <w:szCs w:val="20"/>
        </w:rPr>
        <w:t xml:space="preserve"> reports the same metrics for the sepsis models. 99% of the models have an AUC score between 0.7 and 1, indicating an overall excellent performance of this modelling framework.</w:t>
      </w:r>
    </w:p>
    <w:p w14:paraId="1A799B0D" w14:textId="3564EB38" w:rsidR="2EE7CF6C" w:rsidRDefault="2EE7CF6C" w:rsidP="00BB63AF">
      <w:pPr>
        <w:rPr>
          <w:rFonts w:eastAsia="Times New Roman" w:cs="Times New Roman"/>
          <w:i/>
          <w:iCs/>
          <w:color w:val="1F3763"/>
          <w:szCs w:val="20"/>
        </w:rPr>
      </w:pPr>
      <w:r w:rsidRPr="00BB63AF">
        <w:rPr>
          <w:rFonts w:eastAsiaTheme="majorEastAsia" w:cstheme="majorBidi"/>
          <w:i/>
          <w:color w:val="1F4D78" w:themeColor="accent1" w:themeShade="7F"/>
          <w:szCs w:val="24"/>
        </w:rPr>
        <w:t xml:space="preserve">Table </w:t>
      </w:r>
      <w:r w:rsidR="00B3393C">
        <w:rPr>
          <w:rFonts w:eastAsiaTheme="majorEastAsia" w:cstheme="majorBidi"/>
          <w:i/>
          <w:color w:val="1F4D78" w:themeColor="accent1" w:themeShade="7F"/>
          <w:szCs w:val="24"/>
        </w:rPr>
        <w:t>3.2.6.1</w:t>
      </w:r>
      <w:r w:rsidRPr="00BB63AF">
        <w:rPr>
          <w:rFonts w:eastAsiaTheme="majorEastAsia" w:cstheme="majorBidi"/>
          <w:i/>
          <w:color w:val="1F4D78" w:themeColor="accent1" w:themeShade="7F"/>
          <w:szCs w:val="24"/>
        </w:rPr>
        <w:t>: Accuracy and AUC score for out-of-sample validation of infectious syndrome models (GLOBAL)</w:t>
      </w:r>
    </w:p>
    <w:tbl>
      <w:tblPr>
        <w:tblStyle w:val="TableGrid"/>
        <w:tblW w:w="0" w:type="auto"/>
        <w:tblLayout w:type="fixed"/>
        <w:tblLook w:val="04A0" w:firstRow="1" w:lastRow="0" w:firstColumn="1" w:lastColumn="0" w:noHBand="0" w:noVBand="1"/>
      </w:tblPr>
      <w:tblGrid>
        <w:gridCol w:w="5789"/>
        <w:gridCol w:w="1616"/>
        <w:gridCol w:w="1058"/>
        <w:gridCol w:w="896"/>
      </w:tblGrid>
      <w:tr w:rsidR="24AC020F" w14:paraId="6FFAEFE8" w14:textId="77777777" w:rsidTr="24AC020F">
        <w:trPr>
          <w:trHeight w:val="300"/>
        </w:trPr>
        <w:tc>
          <w:tcPr>
            <w:tcW w:w="5789" w:type="dxa"/>
            <w:shd w:val="clear" w:color="auto" w:fill="E7E6E6" w:themeFill="background2"/>
            <w:tcMar>
              <w:left w:w="105" w:type="dxa"/>
              <w:right w:w="105" w:type="dxa"/>
            </w:tcMar>
          </w:tcPr>
          <w:p w14:paraId="0BB6CEA1" w14:textId="23F0A536"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Model</w:t>
            </w:r>
          </w:p>
        </w:tc>
        <w:tc>
          <w:tcPr>
            <w:tcW w:w="1616" w:type="dxa"/>
            <w:shd w:val="clear" w:color="auto" w:fill="E7E6E6" w:themeFill="background2"/>
            <w:tcMar>
              <w:left w:w="105" w:type="dxa"/>
              <w:right w:w="105" w:type="dxa"/>
            </w:tcMar>
          </w:tcPr>
          <w:p w14:paraId="2332FE7D" w14:textId="65772DEB"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Age group name</w:t>
            </w:r>
          </w:p>
        </w:tc>
        <w:tc>
          <w:tcPr>
            <w:tcW w:w="1058" w:type="dxa"/>
            <w:shd w:val="clear" w:color="auto" w:fill="E7E6E6" w:themeFill="background2"/>
            <w:tcMar>
              <w:left w:w="105" w:type="dxa"/>
              <w:right w:w="105" w:type="dxa"/>
            </w:tcMar>
          </w:tcPr>
          <w:p w14:paraId="123A4D30" w14:textId="402DB5A2"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Accuracy</w:t>
            </w:r>
          </w:p>
        </w:tc>
        <w:tc>
          <w:tcPr>
            <w:tcW w:w="896" w:type="dxa"/>
            <w:shd w:val="clear" w:color="auto" w:fill="E7E6E6" w:themeFill="background2"/>
            <w:tcMar>
              <w:left w:w="105" w:type="dxa"/>
              <w:right w:w="105" w:type="dxa"/>
            </w:tcMar>
          </w:tcPr>
          <w:p w14:paraId="10D74C68" w14:textId="6E7AD973"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AUC score</w:t>
            </w:r>
          </w:p>
        </w:tc>
      </w:tr>
      <w:tr w:rsidR="24AC020F" w14:paraId="496A031F" w14:textId="77777777" w:rsidTr="24AC020F">
        <w:trPr>
          <w:trHeight w:val="300"/>
        </w:trPr>
        <w:tc>
          <w:tcPr>
            <w:tcW w:w="5789" w:type="dxa"/>
            <w:tcMar>
              <w:left w:w="105" w:type="dxa"/>
              <w:right w:w="105" w:type="dxa"/>
            </w:tcMar>
          </w:tcPr>
          <w:p w14:paraId="70DC4F2B" w14:textId="0FDBF4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CAI lower respiratory infections and all related infections in the thorax</w:t>
            </w:r>
          </w:p>
        </w:tc>
        <w:tc>
          <w:tcPr>
            <w:tcW w:w="1616" w:type="dxa"/>
            <w:tcMar>
              <w:left w:w="105" w:type="dxa"/>
              <w:right w:w="105" w:type="dxa"/>
            </w:tcMar>
          </w:tcPr>
          <w:p w14:paraId="4DA8A6F9" w14:textId="31835FD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 to 5</w:t>
            </w:r>
          </w:p>
        </w:tc>
        <w:tc>
          <w:tcPr>
            <w:tcW w:w="1058" w:type="dxa"/>
            <w:tcMar>
              <w:left w:w="105" w:type="dxa"/>
              <w:right w:w="105" w:type="dxa"/>
            </w:tcMar>
          </w:tcPr>
          <w:p w14:paraId="15830EA5" w14:textId="0BF4337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B4687A9" w14:textId="5F7A7C8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2F31F413" w14:textId="77777777" w:rsidTr="24AC020F">
        <w:trPr>
          <w:trHeight w:val="300"/>
        </w:trPr>
        <w:tc>
          <w:tcPr>
            <w:tcW w:w="5789" w:type="dxa"/>
            <w:tcMar>
              <w:left w:w="105" w:type="dxa"/>
              <w:right w:w="105" w:type="dxa"/>
            </w:tcMar>
          </w:tcPr>
          <w:p w14:paraId="66A0967F" w14:textId="7BA4DDD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CAI lower respiratory infections and all related infections in the thorax</w:t>
            </w:r>
          </w:p>
        </w:tc>
        <w:tc>
          <w:tcPr>
            <w:tcW w:w="1616" w:type="dxa"/>
            <w:tcMar>
              <w:left w:w="105" w:type="dxa"/>
              <w:right w:w="105" w:type="dxa"/>
            </w:tcMar>
          </w:tcPr>
          <w:p w14:paraId="630B1CE9" w14:textId="550C495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years</w:t>
            </w:r>
          </w:p>
        </w:tc>
        <w:tc>
          <w:tcPr>
            <w:tcW w:w="1058" w:type="dxa"/>
            <w:tcMar>
              <w:left w:w="105" w:type="dxa"/>
              <w:right w:w="105" w:type="dxa"/>
            </w:tcMar>
          </w:tcPr>
          <w:p w14:paraId="0BD33355" w14:textId="720F9E3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752F68A" w14:textId="0EE6618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67E7CC03" w14:textId="77777777" w:rsidTr="24AC020F">
        <w:trPr>
          <w:trHeight w:val="300"/>
        </w:trPr>
        <w:tc>
          <w:tcPr>
            <w:tcW w:w="5789" w:type="dxa"/>
            <w:tcMar>
              <w:left w:w="105" w:type="dxa"/>
              <w:right w:w="105" w:type="dxa"/>
            </w:tcMar>
          </w:tcPr>
          <w:p w14:paraId="05F18BAD" w14:textId="54B9046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CAI urinary tract infections and pyelonephritis</w:t>
            </w:r>
          </w:p>
        </w:tc>
        <w:tc>
          <w:tcPr>
            <w:tcW w:w="1616" w:type="dxa"/>
            <w:tcMar>
              <w:left w:w="105" w:type="dxa"/>
              <w:right w:w="105" w:type="dxa"/>
            </w:tcMar>
          </w:tcPr>
          <w:p w14:paraId="219EB87C" w14:textId="607692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 to 39</w:t>
            </w:r>
          </w:p>
        </w:tc>
        <w:tc>
          <w:tcPr>
            <w:tcW w:w="1058" w:type="dxa"/>
            <w:tcMar>
              <w:left w:w="105" w:type="dxa"/>
              <w:right w:w="105" w:type="dxa"/>
            </w:tcMar>
          </w:tcPr>
          <w:p w14:paraId="755904F4" w14:textId="1C1CD44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748ED826" w14:textId="2F1ACFE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2BC1FEC6" w14:textId="77777777" w:rsidTr="24AC020F">
        <w:trPr>
          <w:trHeight w:val="300"/>
        </w:trPr>
        <w:tc>
          <w:tcPr>
            <w:tcW w:w="5789" w:type="dxa"/>
            <w:tcMar>
              <w:left w:w="105" w:type="dxa"/>
              <w:right w:w="105" w:type="dxa"/>
            </w:tcMar>
          </w:tcPr>
          <w:p w14:paraId="68BF8AC7" w14:textId="5DCEDF6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lastRenderedPageBreak/>
              <w:t>CAI urinary tract infections and pyelonephritis</w:t>
            </w:r>
          </w:p>
        </w:tc>
        <w:tc>
          <w:tcPr>
            <w:tcW w:w="1616" w:type="dxa"/>
            <w:tcMar>
              <w:left w:w="105" w:type="dxa"/>
              <w:right w:w="105" w:type="dxa"/>
            </w:tcMar>
          </w:tcPr>
          <w:p w14:paraId="008A5693" w14:textId="55F25E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plus</w:t>
            </w:r>
          </w:p>
        </w:tc>
        <w:tc>
          <w:tcPr>
            <w:tcW w:w="1058" w:type="dxa"/>
            <w:tcMar>
              <w:left w:w="105" w:type="dxa"/>
              <w:right w:w="105" w:type="dxa"/>
            </w:tcMar>
          </w:tcPr>
          <w:p w14:paraId="5D745E88" w14:textId="1DCA95E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30FF6DFD" w14:textId="09B29D3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1DA716A3" w14:textId="77777777" w:rsidTr="24AC020F">
        <w:trPr>
          <w:trHeight w:val="300"/>
        </w:trPr>
        <w:tc>
          <w:tcPr>
            <w:tcW w:w="5789" w:type="dxa"/>
            <w:tcMar>
              <w:left w:w="105" w:type="dxa"/>
              <w:right w:w="105" w:type="dxa"/>
            </w:tcMar>
          </w:tcPr>
          <w:p w14:paraId="139FAF65" w14:textId="4BE0E038"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266E3E9C" w14:textId="2B4A184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4F111A28" w14:textId="74C6C61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319DD379" w14:textId="4AFBDE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3EDB6511" w14:textId="77777777" w:rsidTr="24AC020F">
        <w:trPr>
          <w:trHeight w:val="300"/>
        </w:trPr>
        <w:tc>
          <w:tcPr>
            <w:tcW w:w="5789" w:type="dxa"/>
            <w:tcMar>
              <w:left w:w="105" w:type="dxa"/>
              <w:right w:w="105" w:type="dxa"/>
            </w:tcMar>
          </w:tcPr>
          <w:p w14:paraId="38791E70" w14:textId="6017859B"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0F05A1D0" w14:textId="7999417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06B02850" w14:textId="0FB4726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34FF99B1" w14:textId="77A5C2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36374D8B" w14:textId="77777777" w:rsidTr="24AC020F">
        <w:trPr>
          <w:trHeight w:val="300"/>
        </w:trPr>
        <w:tc>
          <w:tcPr>
            <w:tcW w:w="5789" w:type="dxa"/>
            <w:tcMar>
              <w:left w:w="105" w:type="dxa"/>
              <w:right w:w="105" w:type="dxa"/>
            </w:tcMar>
          </w:tcPr>
          <w:p w14:paraId="33911C2B" w14:textId="66F1539C"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5345EE86" w14:textId="5636465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28078E2E" w14:textId="7A28957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1563B40" w14:textId="1CC9A7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308823D9" w14:textId="77777777" w:rsidTr="24AC020F">
        <w:trPr>
          <w:trHeight w:val="300"/>
        </w:trPr>
        <w:tc>
          <w:tcPr>
            <w:tcW w:w="5789" w:type="dxa"/>
            <w:tcMar>
              <w:left w:w="105" w:type="dxa"/>
              <w:right w:w="105" w:type="dxa"/>
            </w:tcMar>
          </w:tcPr>
          <w:p w14:paraId="56E2F086" w14:textId="69189C0D"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1A9938A2" w14:textId="4ECC15C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2346B10F" w14:textId="334277A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45C07E0" w14:textId="00A83B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26429842" w14:textId="77777777" w:rsidTr="24AC020F">
        <w:trPr>
          <w:trHeight w:val="300"/>
        </w:trPr>
        <w:tc>
          <w:tcPr>
            <w:tcW w:w="5789" w:type="dxa"/>
            <w:tcMar>
              <w:left w:w="105" w:type="dxa"/>
              <w:right w:w="105" w:type="dxa"/>
            </w:tcMar>
          </w:tcPr>
          <w:p w14:paraId="48FB3AE3" w14:textId="01C53589"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0BF17C6A" w14:textId="3AE29F7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31392E99" w14:textId="03046AD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35FABDF" w14:textId="22CBF7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26185C62" w14:textId="77777777" w:rsidTr="24AC020F">
        <w:trPr>
          <w:trHeight w:val="300"/>
        </w:trPr>
        <w:tc>
          <w:tcPr>
            <w:tcW w:w="5789" w:type="dxa"/>
            <w:tcMar>
              <w:left w:w="105" w:type="dxa"/>
              <w:right w:w="105" w:type="dxa"/>
            </w:tcMar>
          </w:tcPr>
          <w:p w14:paraId="533A9D97" w14:textId="4B0B2600"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2BD77D5B" w14:textId="611F980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70E7430F" w14:textId="64DBF0F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CA9AFD0" w14:textId="5E6B02F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3970B772" w14:textId="77777777" w:rsidTr="24AC020F">
        <w:trPr>
          <w:trHeight w:val="300"/>
        </w:trPr>
        <w:tc>
          <w:tcPr>
            <w:tcW w:w="5789" w:type="dxa"/>
            <w:tcMar>
              <w:left w:w="105" w:type="dxa"/>
              <w:right w:w="105" w:type="dxa"/>
            </w:tcMar>
          </w:tcPr>
          <w:p w14:paraId="5B97DCA4" w14:textId="23485F7E"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4E3C8365" w14:textId="56E017D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23D904EE" w14:textId="4A14AB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8C459E5" w14:textId="7B5B927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r>
      <w:tr w:rsidR="24AC020F" w14:paraId="760DC7D2" w14:textId="77777777" w:rsidTr="24AC020F">
        <w:trPr>
          <w:trHeight w:val="300"/>
        </w:trPr>
        <w:tc>
          <w:tcPr>
            <w:tcW w:w="5789" w:type="dxa"/>
            <w:tcMar>
              <w:left w:w="105" w:type="dxa"/>
              <w:right w:w="105" w:type="dxa"/>
            </w:tcMar>
          </w:tcPr>
          <w:p w14:paraId="3E487CC6" w14:textId="748CD5B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CAI lower respiratory infections and all related infections in the thorax</w:t>
            </w:r>
          </w:p>
        </w:tc>
        <w:tc>
          <w:tcPr>
            <w:tcW w:w="1616" w:type="dxa"/>
            <w:tcMar>
              <w:left w:w="105" w:type="dxa"/>
              <w:right w:w="105" w:type="dxa"/>
            </w:tcMar>
          </w:tcPr>
          <w:p w14:paraId="61BAFD93" w14:textId="5EFCD5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69</w:t>
            </w:r>
          </w:p>
        </w:tc>
        <w:tc>
          <w:tcPr>
            <w:tcW w:w="1058" w:type="dxa"/>
            <w:tcMar>
              <w:left w:w="105" w:type="dxa"/>
              <w:right w:w="105" w:type="dxa"/>
            </w:tcMar>
          </w:tcPr>
          <w:p w14:paraId="3955149E" w14:textId="01D67E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19D39FB" w14:textId="55FA1CE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43BD3F19" w14:textId="77777777" w:rsidTr="24AC020F">
        <w:trPr>
          <w:trHeight w:val="300"/>
        </w:trPr>
        <w:tc>
          <w:tcPr>
            <w:tcW w:w="5789" w:type="dxa"/>
            <w:tcMar>
              <w:left w:w="105" w:type="dxa"/>
              <w:right w:w="105" w:type="dxa"/>
            </w:tcMar>
          </w:tcPr>
          <w:p w14:paraId="2C3BD9C2" w14:textId="63BE5278"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2AA818B3" w14:textId="6B7C7D9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58DB4DD2" w14:textId="5AC3892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AF7B3BC" w14:textId="7C1ADB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0FC84E75" w14:textId="77777777" w:rsidTr="24AC020F">
        <w:trPr>
          <w:trHeight w:val="300"/>
        </w:trPr>
        <w:tc>
          <w:tcPr>
            <w:tcW w:w="5789" w:type="dxa"/>
            <w:tcMar>
              <w:left w:w="105" w:type="dxa"/>
              <w:right w:w="105" w:type="dxa"/>
            </w:tcMar>
          </w:tcPr>
          <w:p w14:paraId="162652F2" w14:textId="5316E02F"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3F8103D6" w14:textId="72973D8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6CD1A04D" w14:textId="4D72B34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38B5014" w14:textId="105AFE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32A1EFFE" w14:textId="77777777" w:rsidTr="24AC020F">
        <w:trPr>
          <w:trHeight w:val="300"/>
        </w:trPr>
        <w:tc>
          <w:tcPr>
            <w:tcW w:w="5789" w:type="dxa"/>
            <w:tcMar>
              <w:left w:w="105" w:type="dxa"/>
              <w:right w:w="105" w:type="dxa"/>
            </w:tcMar>
          </w:tcPr>
          <w:p w14:paraId="04585412" w14:textId="27208967"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0987F8BF" w14:textId="35761D2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46E63F39" w14:textId="5A3C113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CD6C17B" w14:textId="03E5D5B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108FFA5C" w14:textId="77777777" w:rsidTr="24AC020F">
        <w:trPr>
          <w:trHeight w:val="300"/>
        </w:trPr>
        <w:tc>
          <w:tcPr>
            <w:tcW w:w="5789" w:type="dxa"/>
            <w:tcMar>
              <w:left w:w="105" w:type="dxa"/>
              <w:right w:w="105" w:type="dxa"/>
            </w:tcMar>
          </w:tcPr>
          <w:p w14:paraId="3A38B692" w14:textId="473F0BE7"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60B1E887" w14:textId="021FEA5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469D3188" w14:textId="1E4CB59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74D2106" w14:textId="4C7E929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140A0B6D" w14:textId="77777777" w:rsidTr="24AC020F">
        <w:trPr>
          <w:trHeight w:val="300"/>
        </w:trPr>
        <w:tc>
          <w:tcPr>
            <w:tcW w:w="5789" w:type="dxa"/>
            <w:tcMar>
              <w:left w:w="105" w:type="dxa"/>
              <w:right w:w="105" w:type="dxa"/>
            </w:tcMar>
          </w:tcPr>
          <w:p w14:paraId="783BD785" w14:textId="1CEE36BE"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242EBE84" w14:textId="1ADE21C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4246794B" w14:textId="674EB70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C4390BA" w14:textId="5FDC259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5C7CC4B2" w14:textId="77777777" w:rsidTr="24AC020F">
        <w:trPr>
          <w:trHeight w:val="300"/>
        </w:trPr>
        <w:tc>
          <w:tcPr>
            <w:tcW w:w="5789" w:type="dxa"/>
            <w:tcMar>
              <w:left w:w="105" w:type="dxa"/>
              <w:right w:w="105" w:type="dxa"/>
            </w:tcMar>
          </w:tcPr>
          <w:p w14:paraId="12BA60D4" w14:textId="48659C4D"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2EE009C7" w14:textId="128D71F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60613FC4" w14:textId="1BDBB23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2281D27" w14:textId="2ABE86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4DD6770B" w14:textId="77777777" w:rsidTr="24AC020F">
        <w:trPr>
          <w:trHeight w:val="300"/>
        </w:trPr>
        <w:tc>
          <w:tcPr>
            <w:tcW w:w="5789" w:type="dxa"/>
            <w:tcMar>
              <w:left w:w="105" w:type="dxa"/>
              <w:right w:w="105" w:type="dxa"/>
            </w:tcMar>
          </w:tcPr>
          <w:p w14:paraId="07885ED6" w14:textId="03936E44"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6F1D2BEA" w14:textId="3B9693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5CBBBB53" w14:textId="329017F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D554415" w14:textId="7BAF5E6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51B38180" w14:textId="77777777" w:rsidTr="24AC020F">
        <w:trPr>
          <w:trHeight w:val="300"/>
        </w:trPr>
        <w:tc>
          <w:tcPr>
            <w:tcW w:w="5789" w:type="dxa"/>
            <w:tcMar>
              <w:left w:w="105" w:type="dxa"/>
              <w:right w:w="105" w:type="dxa"/>
            </w:tcMar>
          </w:tcPr>
          <w:p w14:paraId="147C1173" w14:textId="4CCE4F2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3C675491" w14:textId="30DF52C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71139242" w14:textId="1B2DCE0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B2E0E30" w14:textId="22AA5CB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6DF425E3" w14:textId="77777777" w:rsidTr="24AC020F">
        <w:trPr>
          <w:trHeight w:val="300"/>
        </w:trPr>
        <w:tc>
          <w:tcPr>
            <w:tcW w:w="5789" w:type="dxa"/>
            <w:tcMar>
              <w:left w:w="105" w:type="dxa"/>
              <w:right w:w="105" w:type="dxa"/>
            </w:tcMar>
          </w:tcPr>
          <w:p w14:paraId="478536E1" w14:textId="4872D14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7276BD7A" w14:textId="7541736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7E036FBA" w14:textId="7B48CC5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481D4410" w14:textId="15745B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r>
      <w:tr w:rsidR="24AC020F" w14:paraId="60A4AFBA" w14:textId="77777777" w:rsidTr="24AC020F">
        <w:trPr>
          <w:trHeight w:val="300"/>
        </w:trPr>
        <w:tc>
          <w:tcPr>
            <w:tcW w:w="5789" w:type="dxa"/>
            <w:tcMar>
              <w:left w:w="105" w:type="dxa"/>
              <w:right w:w="105" w:type="dxa"/>
            </w:tcMar>
          </w:tcPr>
          <w:p w14:paraId="68E4072A" w14:textId="5A813B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6BF29E81" w14:textId="4128BD1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77C227FF" w14:textId="7273D96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20F3BD4" w14:textId="43F5B6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048BAB14" w14:textId="77777777" w:rsidTr="24AC020F">
        <w:trPr>
          <w:trHeight w:val="300"/>
        </w:trPr>
        <w:tc>
          <w:tcPr>
            <w:tcW w:w="5789" w:type="dxa"/>
            <w:tcMar>
              <w:left w:w="105" w:type="dxa"/>
              <w:right w:w="105" w:type="dxa"/>
            </w:tcMar>
          </w:tcPr>
          <w:p w14:paraId="4B5FBE51" w14:textId="2D7E17ED"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60A233BD" w14:textId="4916F44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5EFE9D28" w14:textId="2EB41E6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0632662" w14:textId="6E10D50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1FEF1EF8" w14:textId="77777777" w:rsidTr="24AC020F">
        <w:trPr>
          <w:trHeight w:val="300"/>
        </w:trPr>
        <w:tc>
          <w:tcPr>
            <w:tcW w:w="5789" w:type="dxa"/>
            <w:tcMar>
              <w:left w:w="105" w:type="dxa"/>
              <w:right w:w="105" w:type="dxa"/>
            </w:tcMar>
          </w:tcPr>
          <w:p w14:paraId="401DEFDE" w14:textId="5C9C1916"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754E2207" w14:textId="5065C0F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2BFE7AE1" w14:textId="4E61C3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98AD8D6" w14:textId="3AD124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37D0C059" w14:textId="77777777" w:rsidTr="24AC020F">
        <w:trPr>
          <w:trHeight w:val="300"/>
        </w:trPr>
        <w:tc>
          <w:tcPr>
            <w:tcW w:w="5789" w:type="dxa"/>
            <w:tcMar>
              <w:left w:w="105" w:type="dxa"/>
              <w:right w:w="105" w:type="dxa"/>
            </w:tcMar>
          </w:tcPr>
          <w:p w14:paraId="7DCA085F" w14:textId="170055E4"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792A81B8" w14:textId="7328DD8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362DD3AB" w14:textId="48964F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F8CDD8E" w14:textId="02E5D6E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4D342DCA" w14:textId="77777777" w:rsidTr="24AC020F">
        <w:trPr>
          <w:trHeight w:val="300"/>
        </w:trPr>
        <w:tc>
          <w:tcPr>
            <w:tcW w:w="5789" w:type="dxa"/>
            <w:tcMar>
              <w:left w:w="105" w:type="dxa"/>
              <w:right w:w="105" w:type="dxa"/>
            </w:tcMar>
          </w:tcPr>
          <w:p w14:paraId="2CA7927E" w14:textId="5C850D1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0D02007F" w14:textId="00A3572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56EA4E19" w14:textId="229A57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DD70084" w14:textId="1D054EC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B2A96A4" w14:textId="77777777" w:rsidTr="24AC020F">
        <w:trPr>
          <w:trHeight w:val="300"/>
        </w:trPr>
        <w:tc>
          <w:tcPr>
            <w:tcW w:w="5789" w:type="dxa"/>
            <w:tcMar>
              <w:left w:w="105" w:type="dxa"/>
              <w:right w:w="105" w:type="dxa"/>
            </w:tcMar>
          </w:tcPr>
          <w:p w14:paraId="02D59A68" w14:textId="670AADE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2459AC6" w14:textId="56DA98A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2979EE66" w14:textId="3EC1E58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7D1A2A9" w14:textId="475D13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90BE09E" w14:textId="77777777" w:rsidTr="24AC020F">
        <w:trPr>
          <w:trHeight w:val="300"/>
        </w:trPr>
        <w:tc>
          <w:tcPr>
            <w:tcW w:w="5789" w:type="dxa"/>
            <w:tcMar>
              <w:left w:w="105" w:type="dxa"/>
              <w:right w:w="105" w:type="dxa"/>
            </w:tcMar>
          </w:tcPr>
          <w:p w14:paraId="4FDDCA54" w14:textId="0A9A31F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5FADD6A6" w14:textId="72F6BFA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3C8E8441" w14:textId="43B0B5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45485AE" w14:textId="6972577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0766C45" w14:textId="77777777" w:rsidTr="24AC020F">
        <w:trPr>
          <w:trHeight w:val="300"/>
        </w:trPr>
        <w:tc>
          <w:tcPr>
            <w:tcW w:w="5789" w:type="dxa"/>
            <w:tcMar>
              <w:left w:w="105" w:type="dxa"/>
              <w:right w:w="105" w:type="dxa"/>
            </w:tcMar>
          </w:tcPr>
          <w:p w14:paraId="06F01DFE" w14:textId="673AAD4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021A9C5C" w14:textId="46D188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2154A6C5" w14:textId="4F0A22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4017485" w14:textId="502C1FA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38578D62" w14:textId="77777777" w:rsidTr="24AC020F">
        <w:trPr>
          <w:trHeight w:val="300"/>
        </w:trPr>
        <w:tc>
          <w:tcPr>
            <w:tcW w:w="5789" w:type="dxa"/>
            <w:tcMar>
              <w:left w:w="105" w:type="dxa"/>
              <w:right w:w="105" w:type="dxa"/>
            </w:tcMar>
          </w:tcPr>
          <w:p w14:paraId="7C09F2B8" w14:textId="1B114C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34B314C3" w14:textId="14C8B8D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7637CCDC" w14:textId="3EDFB60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026E828" w14:textId="2717C9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67D44D00" w14:textId="77777777" w:rsidTr="24AC020F">
        <w:trPr>
          <w:trHeight w:val="300"/>
        </w:trPr>
        <w:tc>
          <w:tcPr>
            <w:tcW w:w="5789" w:type="dxa"/>
            <w:tcMar>
              <w:left w:w="105" w:type="dxa"/>
              <w:right w:w="105" w:type="dxa"/>
            </w:tcMar>
          </w:tcPr>
          <w:p w14:paraId="7D8E8FC8" w14:textId="0DC0593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30A11A4A" w14:textId="58D6CB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4CF74883" w14:textId="547E75A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AF617B4" w14:textId="4918575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61F1527D" w14:textId="77777777" w:rsidTr="24AC020F">
        <w:trPr>
          <w:trHeight w:val="300"/>
        </w:trPr>
        <w:tc>
          <w:tcPr>
            <w:tcW w:w="5789" w:type="dxa"/>
            <w:tcMar>
              <w:left w:w="105" w:type="dxa"/>
              <w:right w:w="105" w:type="dxa"/>
            </w:tcMar>
          </w:tcPr>
          <w:p w14:paraId="6B64392C" w14:textId="1A4805E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4F44F74C" w14:textId="481769B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7C0474BE" w14:textId="5B8D8EC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A30551C" w14:textId="1B7D1E9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5D56848" w14:textId="77777777" w:rsidTr="24AC020F">
        <w:trPr>
          <w:trHeight w:val="300"/>
        </w:trPr>
        <w:tc>
          <w:tcPr>
            <w:tcW w:w="5789" w:type="dxa"/>
            <w:tcMar>
              <w:left w:w="105" w:type="dxa"/>
              <w:right w:w="105" w:type="dxa"/>
            </w:tcMar>
          </w:tcPr>
          <w:p w14:paraId="67F5FE2D" w14:textId="3B4AA2F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46B9DCDE" w14:textId="62CFE22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773AD868" w14:textId="6A2E96E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7834B89A" w14:textId="46E8847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45D74C1" w14:textId="77777777" w:rsidTr="24AC020F">
        <w:trPr>
          <w:trHeight w:val="300"/>
        </w:trPr>
        <w:tc>
          <w:tcPr>
            <w:tcW w:w="5789" w:type="dxa"/>
            <w:tcMar>
              <w:left w:w="105" w:type="dxa"/>
              <w:right w:w="105" w:type="dxa"/>
            </w:tcMar>
          </w:tcPr>
          <w:p w14:paraId="0331DC6F" w14:textId="2C0A858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6AE37C71" w14:textId="70C965C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7B1E7974" w14:textId="3051624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CCA19AF" w14:textId="39D7B8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3EA2F97E" w14:textId="77777777" w:rsidTr="24AC020F">
        <w:trPr>
          <w:trHeight w:val="300"/>
        </w:trPr>
        <w:tc>
          <w:tcPr>
            <w:tcW w:w="5789" w:type="dxa"/>
            <w:tcMar>
              <w:left w:w="105" w:type="dxa"/>
              <w:right w:w="105" w:type="dxa"/>
            </w:tcMar>
          </w:tcPr>
          <w:p w14:paraId="4BB31B36" w14:textId="2599976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77D2FB5B" w14:textId="256E92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7ED6E459" w14:textId="7AE6D19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0B000E7" w14:textId="6DD57B6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59EC2586" w14:textId="77777777" w:rsidTr="24AC020F">
        <w:trPr>
          <w:trHeight w:val="300"/>
        </w:trPr>
        <w:tc>
          <w:tcPr>
            <w:tcW w:w="5789" w:type="dxa"/>
            <w:tcMar>
              <w:left w:w="105" w:type="dxa"/>
              <w:right w:w="105" w:type="dxa"/>
            </w:tcMar>
          </w:tcPr>
          <w:p w14:paraId="365FE701" w14:textId="705294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176A9D97" w14:textId="6363B9C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7DD35C1F" w14:textId="589F039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772E93AC" w14:textId="54E4237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0A0D39DB" w14:textId="77777777" w:rsidTr="24AC020F">
        <w:trPr>
          <w:trHeight w:val="300"/>
        </w:trPr>
        <w:tc>
          <w:tcPr>
            <w:tcW w:w="5789" w:type="dxa"/>
            <w:tcMar>
              <w:left w:w="105" w:type="dxa"/>
              <w:right w:w="105" w:type="dxa"/>
            </w:tcMar>
          </w:tcPr>
          <w:p w14:paraId="3A4D2991" w14:textId="4CE6227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042E28AE" w14:textId="41C5F4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2680F98D" w14:textId="6232696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5034E10" w14:textId="5984780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23B2AAE1" w14:textId="77777777" w:rsidTr="24AC020F">
        <w:trPr>
          <w:trHeight w:val="300"/>
        </w:trPr>
        <w:tc>
          <w:tcPr>
            <w:tcW w:w="5789" w:type="dxa"/>
            <w:tcMar>
              <w:left w:w="105" w:type="dxa"/>
              <w:right w:w="105" w:type="dxa"/>
            </w:tcMar>
          </w:tcPr>
          <w:p w14:paraId="7A00227A" w14:textId="23325D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039F3DBD" w14:textId="1ACCD26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6C1E11C9" w14:textId="4D9BD7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676026E5" w14:textId="0E4438B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3E38002F" w14:textId="77777777" w:rsidTr="24AC020F">
        <w:trPr>
          <w:trHeight w:val="300"/>
        </w:trPr>
        <w:tc>
          <w:tcPr>
            <w:tcW w:w="5789" w:type="dxa"/>
            <w:tcMar>
              <w:left w:w="105" w:type="dxa"/>
              <w:right w:w="105" w:type="dxa"/>
            </w:tcMar>
          </w:tcPr>
          <w:p w14:paraId="2FA42827" w14:textId="25FD4DD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44F5DA36" w14:textId="2D2A448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2215AA1F" w14:textId="5A8220E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6307B75" w14:textId="1FEFE3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75497DD1" w14:textId="77777777" w:rsidTr="24AC020F">
        <w:trPr>
          <w:trHeight w:val="300"/>
        </w:trPr>
        <w:tc>
          <w:tcPr>
            <w:tcW w:w="5789" w:type="dxa"/>
            <w:tcMar>
              <w:left w:w="105" w:type="dxa"/>
              <w:right w:w="105" w:type="dxa"/>
            </w:tcMar>
          </w:tcPr>
          <w:p w14:paraId="3CDFEB5E" w14:textId="2D1FC9D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C8615D6" w14:textId="498DF7A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13C4D3DB" w14:textId="0BD3DFC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2AC8E4FD" w14:textId="12FAE4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5E723F2A" w14:textId="77777777" w:rsidTr="24AC020F">
        <w:trPr>
          <w:trHeight w:val="300"/>
        </w:trPr>
        <w:tc>
          <w:tcPr>
            <w:tcW w:w="5789" w:type="dxa"/>
            <w:tcMar>
              <w:left w:w="105" w:type="dxa"/>
              <w:right w:w="105" w:type="dxa"/>
            </w:tcMar>
          </w:tcPr>
          <w:p w14:paraId="39FFBFA1" w14:textId="73D5EB1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18D99226" w14:textId="1BBC6FD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036BB2D4" w14:textId="70DC255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5477611" w14:textId="06B599B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0548925D" w14:textId="77777777" w:rsidTr="24AC020F">
        <w:trPr>
          <w:trHeight w:val="300"/>
        </w:trPr>
        <w:tc>
          <w:tcPr>
            <w:tcW w:w="5789" w:type="dxa"/>
            <w:tcMar>
              <w:left w:w="105" w:type="dxa"/>
              <w:right w:w="105" w:type="dxa"/>
            </w:tcMar>
          </w:tcPr>
          <w:p w14:paraId="022D88A4" w14:textId="6F0A4C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6EA263D1" w14:textId="4236A0C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5400C788" w14:textId="6E4B46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40946FD" w14:textId="1D47826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r>
      <w:tr w:rsidR="24AC020F" w14:paraId="7BFF2A41" w14:textId="77777777" w:rsidTr="24AC020F">
        <w:trPr>
          <w:trHeight w:val="300"/>
        </w:trPr>
        <w:tc>
          <w:tcPr>
            <w:tcW w:w="5789" w:type="dxa"/>
            <w:tcMar>
              <w:left w:w="105" w:type="dxa"/>
              <w:right w:w="105" w:type="dxa"/>
            </w:tcMar>
          </w:tcPr>
          <w:p w14:paraId="6AD19CB8" w14:textId="68E76C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29E2600C" w14:textId="2D03AD3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670628E9" w14:textId="70537D8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2BE91644" w14:textId="1B91C17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3F849B82" w14:textId="77777777" w:rsidTr="24AC020F">
        <w:trPr>
          <w:trHeight w:val="300"/>
        </w:trPr>
        <w:tc>
          <w:tcPr>
            <w:tcW w:w="5789" w:type="dxa"/>
            <w:tcMar>
              <w:left w:w="105" w:type="dxa"/>
              <w:right w:w="105" w:type="dxa"/>
            </w:tcMar>
          </w:tcPr>
          <w:p w14:paraId="6F717110" w14:textId="7DA2C6A8"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7EFA97B9" w14:textId="54111C8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1474B020" w14:textId="77CDA57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02D02D5" w14:textId="2185C2F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04AE0A82" w14:textId="77777777" w:rsidTr="24AC020F">
        <w:trPr>
          <w:trHeight w:val="300"/>
        </w:trPr>
        <w:tc>
          <w:tcPr>
            <w:tcW w:w="5789" w:type="dxa"/>
            <w:tcMar>
              <w:left w:w="105" w:type="dxa"/>
              <w:right w:w="105" w:type="dxa"/>
            </w:tcMar>
          </w:tcPr>
          <w:p w14:paraId="0C41ABCA" w14:textId="3B630CFE"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lastRenderedPageBreak/>
              <w:t>Diarrhoea</w:t>
            </w:r>
            <w:proofErr w:type="spellEnd"/>
          </w:p>
        </w:tc>
        <w:tc>
          <w:tcPr>
            <w:tcW w:w="1616" w:type="dxa"/>
            <w:tcMar>
              <w:left w:w="105" w:type="dxa"/>
              <w:right w:w="105" w:type="dxa"/>
            </w:tcMar>
          </w:tcPr>
          <w:p w14:paraId="291D1704" w14:textId="52436A1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1B64D2BF" w14:textId="208E3A7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454D557" w14:textId="7D1D338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79D40D86" w14:textId="77777777" w:rsidTr="24AC020F">
        <w:trPr>
          <w:trHeight w:val="300"/>
        </w:trPr>
        <w:tc>
          <w:tcPr>
            <w:tcW w:w="5789" w:type="dxa"/>
            <w:tcMar>
              <w:left w:w="105" w:type="dxa"/>
              <w:right w:w="105" w:type="dxa"/>
            </w:tcMar>
          </w:tcPr>
          <w:p w14:paraId="28C78087" w14:textId="2DAB6C69"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56D2A23F" w14:textId="691596B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14487C74" w14:textId="79BDE6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3AF5F84" w14:textId="28FAB81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205FA9BB" w14:textId="77777777" w:rsidTr="24AC020F">
        <w:trPr>
          <w:trHeight w:val="300"/>
        </w:trPr>
        <w:tc>
          <w:tcPr>
            <w:tcW w:w="5789" w:type="dxa"/>
            <w:tcMar>
              <w:left w:w="105" w:type="dxa"/>
              <w:right w:w="105" w:type="dxa"/>
            </w:tcMar>
          </w:tcPr>
          <w:p w14:paraId="10F5A470" w14:textId="21B7093B"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125D5C31" w14:textId="4946ACD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70C270E4" w14:textId="0787F17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7073FFD" w14:textId="5AC649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703F5053" w14:textId="77777777" w:rsidTr="24AC020F">
        <w:trPr>
          <w:trHeight w:val="300"/>
        </w:trPr>
        <w:tc>
          <w:tcPr>
            <w:tcW w:w="5789" w:type="dxa"/>
            <w:tcMar>
              <w:left w:w="105" w:type="dxa"/>
              <w:right w:w="105" w:type="dxa"/>
            </w:tcMar>
          </w:tcPr>
          <w:p w14:paraId="3C38C3CE" w14:textId="361EA78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5295150B" w14:textId="7A6EDC9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74FA302D" w14:textId="45CF696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0DF14EE" w14:textId="13CC274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417C0222" w14:textId="77777777" w:rsidTr="24AC020F">
        <w:trPr>
          <w:trHeight w:val="300"/>
        </w:trPr>
        <w:tc>
          <w:tcPr>
            <w:tcW w:w="5789" w:type="dxa"/>
            <w:tcMar>
              <w:left w:w="105" w:type="dxa"/>
              <w:right w:w="105" w:type="dxa"/>
            </w:tcMar>
          </w:tcPr>
          <w:p w14:paraId="1C07253A" w14:textId="1723E6A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7E2E054D" w14:textId="2362FC4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5FC7E7C5" w14:textId="63D79CD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01E105F" w14:textId="4EDE4CA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454331E8" w14:textId="77777777" w:rsidTr="24AC020F">
        <w:trPr>
          <w:trHeight w:val="300"/>
        </w:trPr>
        <w:tc>
          <w:tcPr>
            <w:tcW w:w="5789" w:type="dxa"/>
            <w:tcMar>
              <w:left w:w="105" w:type="dxa"/>
              <w:right w:w="105" w:type="dxa"/>
            </w:tcMar>
          </w:tcPr>
          <w:p w14:paraId="001302A5" w14:textId="3F1052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5E96751" w14:textId="65AC6B8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6BAFC011" w14:textId="2231C78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098221A" w14:textId="59A990A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01032E0B" w14:textId="77777777" w:rsidTr="24AC020F">
        <w:trPr>
          <w:trHeight w:val="300"/>
        </w:trPr>
        <w:tc>
          <w:tcPr>
            <w:tcW w:w="5789" w:type="dxa"/>
            <w:tcMar>
              <w:left w:w="105" w:type="dxa"/>
              <w:right w:w="105" w:type="dxa"/>
            </w:tcMar>
          </w:tcPr>
          <w:p w14:paraId="0D80AC30" w14:textId="4CCC3F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3F2D9FE" w14:textId="66D135E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6B0F2EA1" w14:textId="248714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EDC7A05" w14:textId="1D6E630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72394C6D" w14:textId="77777777" w:rsidTr="24AC020F">
        <w:trPr>
          <w:trHeight w:val="300"/>
        </w:trPr>
        <w:tc>
          <w:tcPr>
            <w:tcW w:w="5789" w:type="dxa"/>
            <w:tcMar>
              <w:left w:w="105" w:type="dxa"/>
              <w:right w:w="105" w:type="dxa"/>
            </w:tcMar>
          </w:tcPr>
          <w:p w14:paraId="69AB96FC" w14:textId="118E933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25E89469" w14:textId="5120413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4617599C" w14:textId="6E51392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324382C" w14:textId="53577C0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1360E5C1" w14:textId="77777777" w:rsidTr="24AC020F">
        <w:trPr>
          <w:trHeight w:val="300"/>
        </w:trPr>
        <w:tc>
          <w:tcPr>
            <w:tcW w:w="5789" w:type="dxa"/>
            <w:tcMar>
              <w:left w:w="105" w:type="dxa"/>
              <w:right w:w="105" w:type="dxa"/>
            </w:tcMar>
          </w:tcPr>
          <w:p w14:paraId="34E96CC1" w14:textId="0C76B47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5552681B" w14:textId="2083C2E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2C4CF34B" w14:textId="27D3645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86A6434" w14:textId="32A8988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71BBCB21" w14:textId="77777777" w:rsidTr="24AC020F">
        <w:trPr>
          <w:trHeight w:val="300"/>
        </w:trPr>
        <w:tc>
          <w:tcPr>
            <w:tcW w:w="5789" w:type="dxa"/>
            <w:tcMar>
              <w:left w:w="105" w:type="dxa"/>
              <w:right w:w="105" w:type="dxa"/>
            </w:tcMar>
          </w:tcPr>
          <w:p w14:paraId="7241F6F5" w14:textId="235518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69F4A086" w14:textId="07A5325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1BEB362A" w14:textId="7F5D8C9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375D9014" w14:textId="1744E9F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0B96AED3" w14:textId="77777777" w:rsidTr="24AC020F">
        <w:trPr>
          <w:trHeight w:val="300"/>
        </w:trPr>
        <w:tc>
          <w:tcPr>
            <w:tcW w:w="5789" w:type="dxa"/>
            <w:tcMar>
              <w:left w:w="105" w:type="dxa"/>
              <w:right w:w="105" w:type="dxa"/>
            </w:tcMar>
          </w:tcPr>
          <w:p w14:paraId="2FB0FB90" w14:textId="4CE4211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3D9C7003" w14:textId="233B4B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7531CA8E" w14:textId="3C39555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59113B58" w14:textId="0417F21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3582379F" w14:textId="77777777" w:rsidTr="24AC020F">
        <w:trPr>
          <w:trHeight w:val="300"/>
        </w:trPr>
        <w:tc>
          <w:tcPr>
            <w:tcW w:w="5789" w:type="dxa"/>
            <w:tcMar>
              <w:left w:w="105" w:type="dxa"/>
              <w:right w:w="105" w:type="dxa"/>
            </w:tcMar>
          </w:tcPr>
          <w:p w14:paraId="0E3C3BE5" w14:textId="77E971C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5BF5343E" w14:textId="6993A2D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4341F7BD" w14:textId="52A9750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4C24174" w14:textId="789970B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23714C3B" w14:textId="77777777" w:rsidTr="24AC020F">
        <w:trPr>
          <w:trHeight w:val="300"/>
        </w:trPr>
        <w:tc>
          <w:tcPr>
            <w:tcW w:w="5789" w:type="dxa"/>
            <w:tcMar>
              <w:left w:w="105" w:type="dxa"/>
              <w:right w:w="105" w:type="dxa"/>
            </w:tcMar>
          </w:tcPr>
          <w:p w14:paraId="1ED27D1E" w14:textId="115369C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1B4975C6" w14:textId="107F69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2C79CFA3" w14:textId="2B97220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C211A38" w14:textId="475F011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253BA968" w14:textId="77777777" w:rsidTr="24AC020F">
        <w:trPr>
          <w:trHeight w:val="300"/>
        </w:trPr>
        <w:tc>
          <w:tcPr>
            <w:tcW w:w="5789" w:type="dxa"/>
            <w:tcMar>
              <w:left w:w="105" w:type="dxa"/>
              <w:right w:w="105" w:type="dxa"/>
            </w:tcMar>
          </w:tcPr>
          <w:p w14:paraId="63020166" w14:textId="34F4C4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83798D6" w14:textId="040AF98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352228D1" w14:textId="3D483E4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66CAD9C" w14:textId="0C0C5F4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65D81CC7" w14:textId="77777777" w:rsidTr="24AC020F">
        <w:trPr>
          <w:trHeight w:val="300"/>
        </w:trPr>
        <w:tc>
          <w:tcPr>
            <w:tcW w:w="5789" w:type="dxa"/>
            <w:tcMar>
              <w:left w:w="105" w:type="dxa"/>
              <w:right w:w="105" w:type="dxa"/>
            </w:tcMar>
          </w:tcPr>
          <w:p w14:paraId="0FDA3B55" w14:textId="68CEC49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6C306F7C" w14:textId="1993D85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07BF1F92" w14:textId="0E2B61C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358EC26" w14:textId="5558AE3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6B104758" w14:textId="77777777" w:rsidTr="24AC020F">
        <w:trPr>
          <w:trHeight w:val="300"/>
        </w:trPr>
        <w:tc>
          <w:tcPr>
            <w:tcW w:w="5789" w:type="dxa"/>
            <w:tcMar>
              <w:left w:w="105" w:type="dxa"/>
              <w:right w:w="105" w:type="dxa"/>
            </w:tcMar>
          </w:tcPr>
          <w:p w14:paraId="1E1A4A5F" w14:textId="318773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7CDA48AD" w14:textId="498D3A4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520C91C9" w14:textId="6158F49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6F3A5D7" w14:textId="0C8844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5D7267A7" w14:textId="77777777" w:rsidTr="24AC020F">
        <w:trPr>
          <w:trHeight w:val="300"/>
        </w:trPr>
        <w:tc>
          <w:tcPr>
            <w:tcW w:w="5789" w:type="dxa"/>
            <w:tcMar>
              <w:left w:w="105" w:type="dxa"/>
              <w:right w:w="105" w:type="dxa"/>
            </w:tcMar>
          </w:tcPr>
          <w:p w14:paraId="090EA761" w14:textId="52006D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0E1415DF" w14:textId="06703B7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749B967B" w14:textId="54D2C2B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3662D4E2" w14:textId="68334F1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1671AB40" w14:textId="77777777" w:rsidTr="24AC020F">
        <w:trPr>
          <w:trHeight w:val="300"/>
        </w:trPr>
        <w:tc>
          <w:tcPr>
            <w:tcW w:w="5789" w:type="dxa"/>
            <w:tcMar>
              <w:left w:w="105" w:type="dxa"/>
              <w:right w:w="105" w:type="dxa"/>
            </w:tcMar>
          </w:tcPr>
          <w:p w14:paraId="1C0B1E5B" w14:textId="6272215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BF99E7C" w14:textId="5CE2991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5E1CD4E1" w14:textId="28FDB79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16DB09B2" w14:textId="5DB0663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46392F1A" w14:textId="77777777" w:rsidTr="24AC020F">
        <w:trPr>
          <w:trHeight w:val="300"/>
        </w:trPr>
        <w:tc>
          <w:tcPr>
            <w:tcW w:w="5789" w:type="dxa"/>
            <w:tcMar>
              <w:left w:w="105" w:type="dxa"/>
              <w:right w:w="105" w:type="dxa"/>
            </w:tcMar>
          </w:tcPr>
          <w:p w14:paraId="1117BFC3" w14:textId="356A21D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38576E5E" w14:textId="2F12845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1377E91A" w14:textId="0063E33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7064927B" w14:textId="26ADF32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10AD6482" w14:textId="77777777" w:rsidTr="24AC020F">
        <w:trPr>
          <w:trHeight w:val="300"/>
        </w:trPr>
        <w:tc>
          <w:tcPr>
            <w:tcW w:w="5789" w:type="dxa"/>
            <w:tcMar>
              <w:left w:w="105" w:type="dxa"/>
              <w:right w:w="105" w:type="dxa"/>
            </w:tcMar>
          </w:tcPr>
          <w:p w14:paraId="5AC06A24" w14:textId="31358B1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59E1473C" w14:textId="0835320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0D1F6222" w14:textId="6815967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3BF2B60F" w14:textId="307C3E7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r>
      <w:tr w:rsidR="24AC020F" w14:paraId="0B7837BC" w14:textId="77777777" w:rsidTr="24AC020F">
        <w:trPr>
          <w:trHeight w:val="300"/>
        </w:trPr>
        <w:tc>
          <w:tcPr>
            <w:tcW w:w="5789" w:type="dxa"/>
            <w:tcMar>
              <w:left w:w="105" w:type="dxa"/>
              <w:right w:w="105" w:type="dxa"/>
            </w:tcMar>
          </w:tcPr>
          <w:p w14:paraId="68814C4C" w14:textId="3181E83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4DE7FEFA" w14:textId="7B94D3A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1D5E6B8E" w14:textId="692DE97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7803A16D" w14:textId="74A2FCE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050CF33E" w14:textId="77777777" w:rsidTr="24AC020F">
        <w:trPr>
          <w:trHeight w:val="300"/>
        </w:trPr>
        <w:tc>
          <w:tcPr>
            <w:tcW w:w="5789" w:type="dxa"/>
            <w:tcMar>
              <w:left w:w="105" w:type="dxa"/>
              <w:right w:w="105" w:type="dxa"/>
            </w:tcMar>
          </w:tcPr>
          <w:p w14:paraId="024744A9" w14:textId="01BB3BC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45B1D1BC" w14:textId="795E82E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75EBDDCB" w14:textId="50FF65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3A35802A" w14:textId="6E04497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0AFFC80A" w14:textId="77777777" w:rsidTr="24AC020F">
        <w:trPr>
          <w:trHeight w:val="300"/>
        </w:trPr>
        <w:tc>
          <w:tcPr>
            <w:tcW w:w="5789" w:type="dxa"/>
            <w:tcMar>
              <w:left w:w="105" w:type="dxa"/>
              <w:right w:w="105" w:type="dxa"/>
            </w:tcMar>
          </w:tcPr>
          <w:p w14:paraId="0B761B53" w14:textId="06A85FA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7F7363B2" w14:textId="0C4351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77552E1A" w14:textId="09004BB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3DC5C1E7" w14:textId="166193A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35FC1074" w14:textId="77777777" w:rsidTr="24AC020F">
        <w:trPr>
          <w:trHeight w:val="300"/>
        </w:trPr>
        <w:tc>
          <w:tcPr>
            <w:tcW w:w="5789" w:type="dxa"/>
            <w:tcMar>
              <w:left w:w="105" w:type="dxa"/>
              <w:right w:w="105" w:type="dxa"/>
            </w:tcMar>
          </w:tcPr>
          <w:p w14:paraId="2A75EAC4" w14:textId="17CBF6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5B20C1F5" w14:textId="4BC9B1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4FBAC930" w14:textId="70584C9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27764666" w14:textId="05349B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5FCFE96" w14:textId="77777777" w:rsidTr="24AC020F">
        <w:trPr>
          <w:trHeight w:val="300"/>
        </w:trPr>
        <w:tc>
          <w:tcPr>
            <w:tcW w:w="5789" w:type="dxa"/>
            <w:tcMar>
              <w:left w:w="105" w:type="dxa"/>
              <w:right w:w="105" w:type="dxa"/>
            </w:tcMar>
          </w:tcPr>
          <w:p w14:paraId="760C10E8" w14:textId="5A92893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CAI lower respiratory infections and all related infections in the thorax</w:t>
            </w:r>
          </w:p>
        </w:tc>
        <w:tc>
          <w:tcPr>
            <w:tcW w:w="1616" w:type="dxa"/>
            <w:tcMar>
              <w:left w:w="105" w:type="dxa"/>
              <w:right w:w="105" w:type="dxa"/>
            </w:tcMar>
          </w:tcPr>
          <w:p w14:paraId="702BCF17" w14:textId="2A3E0A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Neonatal</w:t>
            </w:r>
          </w:p>
        </w:tc>
        <w:tc>
          <w:tcPr>
            <w:tcW w:w="1058" w:type="dxa"/>
            <w:tcMar>
              <w:left w:w="105" w:type="dxa"/>
              <w:right w:w="105" w:type="dxa"/>
            </w:tcMar>
          </w:tcPr>
          <w:p w14:paraId="7EFF6EF6" w14:textId="0E56BD9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5615E236" w14:textId="22422B6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27D67BD0" w14:textId="77777777" w:rsidTr="24AC020F">
        <w:trPr>
          <w:trHeight w:val="300"/>
        </w:trPr>
        <w:tc>
          <w:tcPr>
            <w:tcW w:w="5789" w:type="dxa"/>
            <w:tcMar>
              <w:left w:w="105" w:type="dxa"/>
              <w:right w:w="105" w:type="dxa"/>
            </w:tcMar>
          </w:tcPr>
          <w:p w14:paraId="0985CFDF" w14:textId="575DA156"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3CBBFF18" w14:textId="3FEE5E5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23D9FADE" w14:textId="10ECB75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1DB1C4B" w14:textId="171437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37B01C24" w14:textId="77777777" w:rsidTr="24AC020F">
        <w:trPr>
          <w:trHeight w:val="300"/>
        </w:trPr>
        <w:tc>
          <w:tcPr>
            <w:tcW w:w="5789" w:type="dxa"/>
            <w:tcMar>
              <w:left w:w="105" w:type="dxa"/>
              <w:right w:w="105" w:type="dxa"/>
            </w:tcMar>
          </w:tcPr>
          <w:p w14:paraId="617FE5D6" w14:textId="4FFC4A22" w:rsidR="24AC020F" w:rsidRDefault="24AC020F" w:rsidP="24AC020F">
            <w:pPr>
              <w:spacing w:line="259" w:lineRule="auto"/>
              <w:rPr>
                <w:rFonts w:eastAsia="Times New Roman" w:cs="Times New Roman"/>
                <w:sz w:val="16"/>
                <w:szCs w:val="16"/>
              </w:rPr>
            </w:pPr>
            <w:proofErr w:type="spellStart"/>
            <w:r w:rsidRPr="24AC020F">
              <w:rPr>
                <w:rFonts w:eastAsia="Times New Roman" w:cs="Times New Roman"/>
                <w:sz w:val="16"/>
                <w:szCs w:val="16"/>
              </w:rPr>
              <w:t>Diarrhoea</w:t>
            </w:r>
            <w:proofErr w:type="spellEnd"/>
          </w:p>
        </w:tc>
        <w:tc>
          <w:tcPr>
            <w:tcW w:w="1616" w:type="dxa"/>
            <w:tcMar>
              <w:left w:w="105" w:type="dxa"/>
              <w:right w:w="105" w:type="dxa"/>
            </w:tcMar>
          </w:tcPr>
          <w:p w14:paraId="650EE6AD" w14:textId="13A21D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36242639" w14:textId="4E5E29F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AEC1C38" w14:textId="7EAC89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2397E6C5" w14:textId="77777777" w:rsidTr="24AC020F">
        <w:trPr>
          <w:trHeight w:val="300"/>
        </w:trPr>
        <w:tc>
          <w:tcPr>
            <w:tcW w:w="5789" w:type="dxa"/>
            <w:tcMar>
              <w:left w:w="105" w:type="dxa"/>
              <w:right w:w="105" w:type="dxa"/>
            </w:tcMar>
          </w:tcPr>
          <w:p w14:paraId="5A2D8AE4" w14:textId="7B147C5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C0B5368" w14:textId="2FDC9B9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3E4ED9B1" w14:textId="3AEE8C1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853B3B2" w14:textId="18551AA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E9BEED5" w14:textId="77777777" w:rsidTr="24AC020F">
        <w:trPr>
          <w:trHeight w:val="300"/>
        </w:trPr>
        <w:tc>
          <w:tcPr>
            <w:tcW w:w="5789" w:type="dxa"/>
            <w:tcMar>
              <w:left w:w="105" w:type="dxa"/>
              <w:right w:w="105" w:type="dxa"/>
            </w:tcMar>
          </w:tcPr>
          <w:p w14:paraId="6ED61C74" w14:textId="5E23E6C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657AA6D" w14:textId="53E40E1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4E1754DE" w14:textId="24E9BEF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82C86F5" w14:textId="04A080D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09E0F0AA" w14:textId="77777777" w:rsidTr="24AC020F">
        <w:trPr>
          <w:trHeight w:val="300"/>
        </w:trPr>
        <w:tc>
          <w:tcPr>
            <w:tcW w:w="5789" w:type="dxa"/>
            <w:tcMar>
              <w:left w:w="105" w:type="dxa"/>
              <w:right w:w="105" w:type="dxa"/>
            </w:tcMar>
          </w:tcPr>
          <w:p w14:paraId="479A2475" w14:textId="7ADF236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157D954C" w14:textId="3169D7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0B17FC70" w14:textId="53C33AD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C4927C5" w14:textId="6DFDA1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281230C" w14:textId="77777777" w:rsidTr="24AC020F">
        <w:trPr>
          <w:trHeight w:val="300"/>
        </w:trPr>
        <w:tc>
          <w:tcPr>
            <w:tcW w:w="5789" w:type="dxa"/>
            <w:tcMar>
              <w:left w:w="105" w:type="dxa"/>
              <w:right w:w="105" w:type="dxa"/>
            </w:tcMar>
          </w:tcPr>
          <w:p w14:paraId="334699B2" w14:textId="6EC5818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3294E0CD" w14:textId="18B04E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22CC9BB5" w14:textId="3316B5B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06CA089" w14:textId="14A413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729D918" w14:textId="77777777" w:rsidTr="24AC020F">
        <w:trPr>
          <w:trHeight w:val="300"/>
        </w:trPr>
        <w:tc>
          <w:tcPr>
            <w:tcW w:w="5789" w:type="dxa"/>
            <w:tcMar>
              <w:left w:w="105" w:type="dxa"/>
              <w:right w:w="105" w:type="dxa"/>
            </w:tcMar>
          </w:tcPr>
          <w:p w14:paraId="7AA8A08C" w14:textId="451BE87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67014987" w14:textId="533E068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054B55CD" w14:textId="7DAEE49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36944D5" w14:textId="184B733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4C2D2493" w14:textId="77777777" w:rsidTr="24AC020F">
        <w:trPr>
          <w:trHeight w:val="300"/>
        </w:trPr>
        <w:tc>
          <w:tcPr>
            <w:tcW w:w="5789" w:type="dxa"/>
            <w:tcMar>
              <w:left w:w="105" w:type="dxa"/>
              <w:right w:w="105" w:type="dxa"/>
            </w:tcMar>
          </w:tcPr>
          <w:p w14:paraId="19464112" w14:textId="23E37E4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1F1278E5" w14:textId="73BCB59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5C3427E9" w14:textId="5674BB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B162C02" w14:textId="0959734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0CCFE970" w14:textId="77777777" w:rsidTr="24AC020F">
        <w:trPr>
          <w:trHeight w:val="300"/>
        </w:trPr>
        <w:tc>
          <w:tcPr>
            <w:tcW w:w="5789" w:type="dxa"/>
            <w:tcMar>
              <w:left w:w="105" w:type="dxa"/>
              <w:right w:w="105" w:type="dxa"/>
            </w:tcMar>
          </w:tcPr>
          <w:p w14:paraId="51F80F02" w14:textId="0D9105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1393B25C" w14:textId="04B32AB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743BB56C" w14:textId="46D7D6D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2C08099" w14:textId="4800D4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54328629" w14:textId="77777777" w:rsidTr="24AC020F">
        <w:trPr>
          <w:trHeight w:val="300"/>
        </w:trPr>
        <w:tc>
          <w:tcPr>
            <w:tcW w:w="5789" w:type="dxa"/>
            <w:tcMar>
              <w:left w:w="105" w:type="dxa"/>
              <w:right w:w="105" w:type="dxa"/>
            </w:tcMar>
          </w:tcPr>
          <w:p w14:paraId="3D6D8289" w14:textId="1997022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315ACB11" w14:textId="5D56601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6734E590" w14:textId="34D4D7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DA43FF3" w14:textId="1993622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6D39A5C" w14:textId="77777777" w:rsidTr="24AC020F">
        <w:trPr>
          <w:trHeight w:val="300"/>
        </w:trPr>
        <w:tc>
          <w:tcPr>
            <w:tcW w:w="5789" w:type="dxa"/>
            <w:tcMar>
              <w:left w:w="105" w:type="dxa"/>
              <w:right w:w="105" w:type="dxa"/>
            </w:tcMar>
          </w:tcPr>
          <w:p w14:paraId="357E69BC" w14:textId="4ADC35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BA17DCD" w14:textId="0616AF3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1A666A75" w14:textId="77CEF34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0D379E98" w14:textId="1B83879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9FDAAB6" w14:textId="77777777" w:rsidTr="24AC020F">
        <w:trPr>
          <w:trHeight w:val="300"/>
        </w:trPr>
        <w:tc>
          <w:tcPr>
            <w:tcW w:w="5789" w:type="dxa"/>
            <w:tcMar>
              <w:left w:w="105" w:type="dxa"/>
              <w:right w:w="105" w:type="dxa"/>
            </w:tcMar>
          </w:tcPr>
          <w:p w14:paraId="0EA18039" w14:textId="3D2F03A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6D929639" w14:textId="0F09D9F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1614E6EF" w14:textId="32259E6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4DBFF99E" w14:textId="4E2A6A5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1A51642B" w14:textId="77777777" w:rsidTr="24AC020F">
        <w:trPr>
          <w:trHeight w:val="300"/>
        </w:trPr>
        <w:tc>
          <w:tcPr>
            <w:tcW w:w="5789" w:type="dxa"/>
            <w:tcMar>
              <w:left w:w="105" w:type="dxa"/>
              <w:right w:w="105" w:type="dxa"/>
            </w:tcMar>
          </w:tcPr>
          <w:p w14:paraId="51D42D59" w14:textId="5FF8F26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3ABE394C" w14:textId="1F5FCDC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2931BDEB" w14:textId="7A84690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77BFE6A1" w14:textId="2D3BE36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7113B425" w14:textId="77777777" w:rsidTr="24AC020F">
        <w:trPr>
          <w:trHeight w:val="300"/>
        </w:trPr>
        <w:tc>
          <w:tcPr>
            <w:tcW w:w="5789" w:type="dxa"/>
            <w:tcMar>
              <w:left w:w="105" w:type="dxa"/>
              <w:right w:w="105" w:type="dxa"/>
            </w:tcMar>
          </w:tcPr>
          <w:p w14:paraId="6EE76A5A" w14:textId="43C16DF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C028A07" w14:textId="0266212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0618483D" w14:textId="0F5D701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0A3174C9" w14:textId="1C8446C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r>
      <w:tr w:rsidR="24AC020F" w14:paraId="36D887BB" w14:textId="77777777" w:rsidTr="24AC020F">
        <w:trPr>
          <w:trHeight w:val="300"/>
        </w:trPr>
        <w:tc>
          <w:tcPr>
            <w:tcW w:w="5789" w:type="dxa"/>
            <w:tcMar>
              <w:left w:w="105" w:type="dxa"/>
              <w:right w:w="105" w:type="dxa"/>
            </w:tcMar>
          </w:tcPr>
          <w:p w14:paraId="624CFE93" w14:textId="02FCD02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4946D4E8" w14:textId="0D78363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2EAC6966" w14:textId="75F7C4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C21C36E" w14:textId="3E9195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79A3547C" w14:textId="77777777" w:rsidTr="24AC020F">
        <w:trPr>
          <w:trHeight w:val="300"/>
        </w:trPr>
        <w:tc>
          <w:tcPr>
            <w:tcW w:w="5789" w:type="dxa"/>
            <w:tcMar>
              <w:left w:w="105" w:type="dxa"/>
              <w:right w:w="105" w:type="dxa"/>
            </w:tcMar>
          </w:tcPr>
          <w:p w14:paraId="330E19A4" w14:textId="7A68B3A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77851C62" w14:textId="7613C11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557C336C" w14:textId="36D396B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084F06EC" w14:textId="5CF5D46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35CBC1F5" w14:textId="77777777" w:rsidTr="24AC020F">
        <w:trPr>
          <w:trHeight w:val="300"/>
        </w:trPr>
        <w:tc>
          <w:tcPr>
            <w:tcW w:w="5789" w:type="dxa"/>
            <w:tcMar>
              <w:left w:w="105" w:type="dxa"/>
              <w:right w:w="105" w:type="dxa"/>
            </w:tcMar>
          </w:tcPr>
          <w:p w14:paraId="11D134D3" w14:textId="0A6364F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lastRenderedPageBreak/>
              <w:t>Bloodstream infections</w:t>
            </w:r>
          </w:p>
        </w:tc>
        <w:tc>
          <w:tcPr>
            <w:tcW w:w="1616" w:type="dxa"/>
            <w:tcMar>
              <w:left w:w="105" w:type="dxa"/>
              <w:right w:w="105" w:type="dxa"/>
            </w:tcMar>
          </w:tcPr>
          <w:p w14:paraId="0BF17FB9" w14:textId="0E1F28B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314B40AF" w14:textId="2A0CF1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c>
          <w:tcPr>
            <w:tcW w:w="896" w:type="dxa"/>
            <w:tcMar>
              <w:left w:w="105" w:type="dxa"/>
              <w:right w:w="105" w:type="dxa"/>
            </w:tcMar>
          </w:tcPr>
          <w:p w14:paraId="0B5EF762" w14:textId="58EDBF9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55D33633" w14:textId="77777777" w:rsidTr="24AC020F">
        <w:trPr>
          <w:trHeight w:val="300"/>
        </w:trPr>
        <w:tc>
          <w:tcPr>
            <w:tcW w:w="5789" w:type="dxa"/>
            <w:tcMar>
              <w:left w:w="105" w:type="dxa"/>
              <w:right w:w="105" w:type="dxa"/>
            </w:tcMar>
          </w:tcPr>
          <w:p w14:paraId="1AF7E0B4" w14:textId="55E066B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00D4BE45" w14:textId="3EA8607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1EF7490E" w14:textId="3054443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4BA13EC5" w14:textId="01D5542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05DAC6CC" w14:textId="77777777" w:rsidTr="24AC020F">
        <w:trPr>
          <w:trHeight w:val="300"/>
        </w:trPr>
        <w:tc>
          <w:tcPr>
            <w:tcW w:w="5789" w:type="dxa"/>
            <w:tcMar>
              <w:left w:w="105" w:type="dxa"/>
              <w:right w:w="105" w:type="dxa"/>
            </w:tcMar>
          </w:tcPr>
          <w:p w14:paraId="1809E67E" w14:textId="4AF9975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10793EA8" w14:textId="3B626AD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51BDF0FE" w14:textId="26FAC6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3184D4FC" w14:textId="2110607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2489FBE9" w14:textId="77777777" w:rsidTr="24AC020F">
        <w:trPr>
          <w:trHeight w:val="300"/>
        </w:trPr>
        <w:tc>
          <w:tcPr>
            <w:tcW w:w="5789" w:type="dxa"/>
            <w:tcMar>
              <w:left w:w="105" w:type="dxa"/>
              <w:right w:w="105" w:type="dxa"/>
            </w:tcMar>
          </w:tcPr>
          <w:p w14:paraId="50043699" w14:textId="0A7235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1E621C4D" w14:textId="2BDA90E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44A09E27" w14:textId="0F6EB9B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43CC71D" w14:textId="32DC41A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18B2D074" w14:textId="77777777" w:rsidTr="24AC020F">
        <w:trPr>
          <w:trHeight w:val="300"/>
        </w:trPr>
        <w:tc>
          <w:tcPr>
            <w:tcW w:w="5789" w:type="dxa"/>
            <w:tcMar>
              <w:left w:w="105" w:type="dxa"/>
              <w:right w:w="105" w:type="dxa"/>
            </w:tcMar>
          </w:tcPr>
          <w:p w14:paraId="509DCF70" w14:textId="0C15801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761AB79C" w14:textId="1C23FCA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5E747B4D" w14:textId="0D337E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0839D95" w14:textId="3A89F0B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27C99138" w14:textId="77777777" w:rsidTr="24AC020F">
        <w:trPr>
          <w:trHeight w:val="300"/>
        </w:trPr>
        <w:tc>
          <w:tcPr>
            <w:tcW w:w="5789" w:type="dxa"/>
            <w:tcMar>
              <w:left w:w="105" w:type="dxa"/>
              <w:right w:w="105" w:type="dxa"/>
            </w:tcMar>
          </w:tcPr>
          <w:p w14:paraId="41BA8E99" w14:textId="7958D38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3F470FC9" w14:textId="687280A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5DA20EAD" w14:textId="7B6C96B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3933213" w14:textId="31DA5CE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78FCC98F" w14:textId="77777777" w:rsidTr="24AC020F">
        <w:trPr>
          <w:trHeight w:val="300"/>
        </w:trPr>
        <w:tc>
          <w:tcPr>
            <w:tcW w:w="5789" w:type="dxa"/>
            <w:tcMar>
              <w:left w:w="105" w:type="dxa"/>
              <w:right w:w="105" w:type="dxa"/>
            </w:tcMar>
          </w:tcPr>
          <w:p w14:paraId="05B25D36" w14:textId="411F302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39F5FFAF" w14:textId="29AB7BA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 to 14</w:t>
            </w:r>
          </w:p>
        </w:tc>
        <w:tc>
          <w:tcPr>
            <w:tcW w:w="1058" w:type="dxa"/>
            <w:tcMar>
              <w:left w:w="105" w:type="dxa"/>
              <w:right w:w="105" w:type="dxa"/>
            </w:tcMar>
          </w:tcPr>
          <w:p w14:paraId="4AE1099B" w14:textId="1E8EFE7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054CE868" w14:textId="416F75C5"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0.95</w:t>
            </w:r>
          </w:p>
        </w:tc>
      </w:tr>
      <w:tr w:rsidR="24AC020F" w14:paraId="30D992E0" w14:textId="77777777" w:rsidTr="24AC020F">
        <w:trPr>
          <w:trHeight w:val="300"/>
        </w:trPr>
        <w:tc>
          <w:tcPr>
            <w:tcW w:w="5789" w:type="dxa"/>
            <w:tcMar>
              <w:left w:w="105" w:type="dxa"/>
              <w:right w:w="105" w:type="dxa"/>
            </w:tcMar>
          </w:tcPr>
          <w:p w14:paraId="29923C41" w14:textId="4CC28E92"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071DE7C0" w14:textId="6088970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95 plus</w:t>
            </w:r>
          </w:p>
        </w:tc>
        <w:tc>
          <w:tcPr>
            <w:tcW w:w="1058" w:type="dxa"/>
            <w:tcMar>
              <w:left w:w="105" w:type="dxa"/>
              <w:right w:w="105" w:type="dxa"/>
            </w:tcMar>
          </w:tcPr>
          <w:p w14:paraId="7337F3EB" w14:textId="374FEE7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6C0A4E30" w14:textId="2AB50B1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0.95</w:t>
            </w:r>
          </w:p>
        </w:tc>
      </w:tr>
      <w:tr w:rsidR="24AC020F" w14:paraId="47726C1F" w14:textId="77777777" w:rsidTr="24AC020F">
        <w:trPr>
          <w:trHeight w:val="300"/>
        </w:trPr>
        <w:tc>
          <w:tcPr>
            <w:tcW w:w="5789" w:type="dxa"/>
            <w:tcMar>
              <w:left w:w="105" w:type="dxa"/>
              <w:right w:w="105" w:type="dxa"/>
            </w:tcMar>
          </w:tcPr>
          <w:p w14:paraId="6D414E22" w14:textId="15A7E50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1AB41896" w14:textId="0246831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666CF027" w14:textId="12234B3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1EDF76EB" w14:textId="421B52D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44785F68" w14:textId="77777777" w:rsidTr="24AC020F">
        <w:trPr>
          <w:trHeight w:val="300"/>
        </w:trPr>
        <w:tc>
          <w:tcPr>
            <w:tcW w:w="5789" w:type="dxa"/>
            <w:tcMar>
              <w:left w:w="105" w:type="dxa"/>
              <w:right w:w="105" w:type="dxa"/>
            </w:tcMar>
          </w:tcPr>
          <w:p w14:paraId="09E8AE03" w14:textId="583C0B9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0BE5BDE4" w14:textId="3604449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2BFFA673" w14:textId="12AA9C1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0F142C94" w14:textId="543D9F5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3B36EB71" w14:textId="77777777" w:rsidTr="24AC020F">
        <w:trPr>
          <w:trHeight w:val="300"/>
        </w:trPr>
        <w:tc>
          <w:tcPr>
            <w:tcW w:w="5789" w:type="dxa"/>
            <w:tcMar>
              <w:left w:w="105" w:type="dxa"/>
              <w:right w:w="105" w:type="dxa"/>
            </w:tcMar>
          </w:tcPr>
          <w:p w14:paraId="086F6C9E" w14:textId="55234D6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66EAD05B" w14:textId="721EA1F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6818EA99" w14:textId="2903AB2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0C5B4FF6" w14:textId="1611D72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2272BABB" w14:textId="77777777" w:rsidTr="24AC020F">
        <w:trPr>
          <w:trHeight w:val="300"/>
        </w:trPr>
        <w:tc>
          <w:tcPr>
            <w:tcW w:w="5789" w:type="dxa"/>
            <w:tcMar>
              <w:left w:w="105" w:type="dxa"/>
              <w:right w:w="105" w:type="dxa"/>
            </w:tcMar>
          </w:tcPr>
          <w:p w14:paraId="264DB2AD" w14:textId="23AD109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23784027" w14:textId="472C65A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193BAD9E" w14:textId="17196F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711B7002" w14:textId="5508D59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586F7A82" w14:textId="77777777" w:rsidTr="24AC020F">
        <w:trPr>
          <w:trHeight w:val="300"/>
        </w:trPr>
        <w:tc>
          <w:tcPr>
            <w:tcW w:w="5789" w:type="dxa"/>
            <w:tcMar>
              <w:left w:w="105" w:type="dxa"/>
              <w:right w:w="105" w:type="dxa"/>
            </w:tcMar>
          </w:tcPr>
          <w:p w14:paraId="50332E38" w14:textId="28DB022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1DCA8190" w14:textId="2FC501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65EA797A" w14:textId="46EE77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29BC0B1" w14:textId="1D2036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854CCA5" w14:textId="77777777" w:rsidTr="24AC020F">
        <w:trPr>
          <w:trHeight w:val="300"/>
        </w:trPr>
        <w:tc>
          <w:tcPr>
            <w:tcW w:w="5789" w:type="dxa"/>
            <w:tcMar>
              <w:left w:w="105" w:type="dxa"/>
              <w:right w:w="105" w:type="dxa"/>
            </w:tcMar>
          </w:tcPr>
          <w:p w14:paraId="2703AF69" w14:textId="032874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78EC6312" w14:textId="03640A5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5EDBBA0E" w14:textId="1B1038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294664E" w14:textId="5E9F36F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33670D87" w14:textId="77777777" w:rsidTr="24AC020F">
        <w:trPr>
          <w:trHeight w:val="300"/>
        </w:trPr>
        <w:tc>
          <w:tcPr>
            <w:tcW w:w="5789" w:type="dxa"/>
            <w:tcMar>
              <w:left w:w="105" w:type="dxa"/>
              <w:right w:w="105" w:type="dxa"/>
            </w:tcMar>
          </w:tcPr>
          <w:p w14:paraId="5EED9159" w14:textId="04D6294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10F092A5" w14:textId="4612CB0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457FA4C9" w14:textId="55EC60D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EE6EE85" w14:textId="20A7885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63B6B2F1" w14:textId="77777777" w:rsidTr="24AC020F">
        <w:trPr>
          <w:trHeight w:val="300"/>
        </w:trPr>
        <w:tc>
          <w:tcPr>
            <w:tcW w:w="5789" w:type="dxa"/>
            <w:tcMar>
              <w:left w:w="105" w:type="dxa"/>
              <w:right w:w="105" w:type="dxa"/>
            </w:tcMar>
          </w:tcPr>
          <w:p w14:paraId="32DE1D26" w14:textId="3613FEC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1713AE8F" w14:textId="2CABAE6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2B56F876" w14:textId="5008B69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0F2811D4" w14:textId="7F6FB63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7669DD4D" w14:textId="77777777" w:rsidTr="24AC020F">
        <w:trPr>
          <w:trHeight w:val="300"/>
        </w:trPr>
        <w:tc>
          <w:tcPr>
            <w:tcW w:w="5789" w:type="dxa"/>
            <w:tcMar>
              <w:left w:w="105" w:type="dxa"/>
              <w:right w:w="105" w:type="dxa"/>
            </w:tcMar>
          </w:tcPr>
          <w:p w14:paraId="630FE9F0" w14:textId="69E8E8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5763C6BF" w14:textId="2815CAC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4ED0EFE6" w14:textId="1CA75CF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699667F" w14:textId="7041388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A0B9980" w14:textId="77777777" w:rsidTr="24AC020F">
        <w:trPr>
          <w:trHeight w:val="300"/>
        </w:trPr>
        <w:tc>
          <w:tcPr>
            <w:tcW w:w="5789" w:type="dxa"/>
            <w:tcMar>
              <w:left w:w="105" w:type="dxa"/>
              <w:right w:w="105" w:type="dxa"/>
            </w:tcMar>
          </w:tcPr>
          <w:p w14:paraId="268B4E7C" w14:textId="3F2617B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79395021" w14:textId="50BA740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6B66FE96" w14:textId="3E6CDE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c>
          <w:tcPr>
            <w:tcW w:w="896" w:type="dxa"/>
            <w:tcMar>
              <w:left w:w="105" w:type="dxa"/>
              <w:right w:w="105" w:type="dxa"/>
            </w:tcMar>
          </w:tcPr>
          <w:p w14:paraId="3F1A197E" w14:textId="17E114D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5F716D06" w14:textId="77777777" w:rsidTr="24AC020F">
        <w:trPr>
          <w:trHeight w:val="300"/>
        </w:trPr>
        <w:tc>
          <w:tcPr>
            <w:tcW w:w="5789" w:type="dxa"/>
            <w:tcMar>
              <w:left w:w="105" w:type="dxa"/>
              <w:right w:w="105" w:type="dxa"/>
            </w:tcMar>
          </w:tcPr>
          <w:p w14:paraId="37D59850" w14:textId="046BD1C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053A9531" w14:textId="21FFA4A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48352F78" w14:textId="346A7F2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c>
          <w:tcPr>
            <w:tcW w:w="896" w:type="dxa"/>
            <w:tcMar>
              <w:left w:w="105" w:type="dxa"/>
              <w:right w:w="105" w:type="dxa"/>
            </w:tcMar>
          </w:tcPr>
          <w:p w14:paraId="4D6EBDAA" w14:textId="11044AD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3543AC81" w14:textId="77777777" w:rsidTr="24AC020F">
        <w:trPr>
          <w:trHeight w:val="300"/>
        </w:trPr>
        <w:tc>
          <w:tcPr>
            <w:tcW w:w="5789" w:type="dxa"/>
            <w:tcMar>
              <w:left w:w="105" w:type="dxa"/>
              <w:right w:w="105" w:type="dxa"/>
            </w:tcMar>
          </w:tcPr>
          <w:p w14:paraId="031E6052" w14:textId="513D0A8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3A41ECDC" w14:textId="6A554E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62621506" w14:textId="2D58ADF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c>
          <w:tcPr>
            <w:tcW w:w="896" w:type="dxa"/>
            <w:tcMar>
              <w:left w:w="105" w:type="dxa"/>
              <w:right w:w="105" w:type="dxa"/>
            </w:tcMar>
          </w:tcPr>
          <w:p w14:paraId="0A376C58" w14:textId="7E37003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0AC0A0C2" w14:textId="77777777" w:rsidTr="24AC020F">
        <w:trPr>
          <w:trHeight w:val="300"/>
        </w:trPr>
        <w:tc>
          <w:tcPr>
            <w:tcW w:w="5789" w:type="dxa"/>
            <w:tcMar>
              <w:left w:w="105" w:type="dxa"/>
              <w:right w:w="105" w:type="dxa"/>
            </w:tcMar>
          </w:tcPr>
          <w:p w14:paraId="56CA3828" w14:textId="75A514E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217B1FF8" w14:textId="7C41012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18ECF3C7" w14:textId="6B3BDF4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5938A093" w14:textId="4026979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7545132" w14:textId="77777777" w:rsidTr="24AC020F">
        <w:trPr>
          <w:trHeight w:val="300"/>
        </w:trPr>
        <w:tc>
          <w:tcPr>
            <w:tcW w:w="5789" w:type="dxa"/>
            <w:tcMar>
              <w:left w:w="105" w:type="dxa"/>
              <w:right w:w="105" w:type="dxa"/>
            </w:tcMar>
          </w:tcPr>
          <w:p w14:paraId="0BA7626D" w14:textId="40AE052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294952B9" w14:textId="66DC89C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0EFAEA28" w14:textId="4541833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7CAE5A6" w14:textId="3604D11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AA1B70F" w14:textId="77777777" w:rsidTr="24AC020F">
        <w:trPr>
          <w:trHeight w:val="300"/>
        </w:trPr>
        <w:tc>
          <w:tcPr>
            <w:tcW w:w="5789" w:type="dxa"/>
            <w:tcMar>
              <w:left w:w="105" w:type="dxa"/>
              <w:right w:w="105" w:type="dxa"/>
            </w:tcMar>
          </w:tcPr>
          <w:p w14:paraId="25E8BAAE" w14:textId="037E6E9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HAI lower respiratory infections and all related infections in the thorax</w:t>
            </w:r>
          </w:p>
        </w:tc>
        <w:tc>
          <w:tcPr>
            <w:tcW w:w="1616" w:type="dxa"/>
            <w:tcMar>
              <w:left w:w="105" w:type="dxa"/>
              <w:right w:w="105" w:type="dxa"/>
            </w:tcMar>
          </w:tcPr>
          <w:p w14:paraId="3BB21C69" w14:textId="2AFA4A9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 to 5</w:t>
            </w:r>
          </w:p>
        </w:tc>
        <w:tc>
          <w:tcPr>
            <w:tcW w:w="1058" w:type="dxa"/>
            <w:tcMar>
              <w:left w:w="105" w:type="dxa"/>
              <w:right w:w="105" w:type="dxa"/>
            </w:tcMar>
          </w:tcPr>
          <w:p w14:paraId="7A54D199" w14:textId="6F901C4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5287CD2C" w14:textId="62CD55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E1B3748" w14:textId="77777777" w:rsidTr="24AC020F">
        <w:trPr>
          <w:trHeight w:val="300"/>
        </w:trPr>
        <w:tc>
          <w:tcPr>
            <w:tcW w:w="5789" w:type="dxa"/>
            <w:tcMar>
              <w:left w:w="105" w:type="dxa"/>
              <w:right w:w="105" w:type="dxa"/>
            </w:tcMar>
          </w:tcPr>
          <w:p w14:paraId="01358E55" w14:textId="1D462215"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0A5227D2" w14:textId="4426CFF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 to 9</w:t>
            </w:r>
          </w:p>
        </w:tc>
        <w:tc>
          <w:tcPr>
            <w:tcW w:w="1058" w:type="dxa"/>
            <w:tcMar>
              <w:left w:w="105" w:type="dxa"/>
              <w:right w:w="105" w:type="dxa"/>
            </w:tcMar>
          </w:tcPr>
          <w:p w14:paraId="56808743" w14:textId="4B29530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1A8AC55C" w14:textId="567B9A2A"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0.94</w:t>
            </w:r>
          </w:p>
        </w:tc>
      </w:tr>
      <w:tr w:rsidR="24AC020F" w14:paraId="4B85449E" w14:textId="77777777" w:rsidTr="24AC020F">
        <w:trPr>
          <w:trHeight w:val="300"/>
        </w:trPr>
        <w:tc>
          <w:tcPr>
            <w:tcW w:w="5789" w:type="dxa"/>
            <w:tcMar>
              <w:left w:w="105" w:type="dxa"/>
              <w:right w:w="105" w:type="dxa"/>
            </w:tcMar>
          </w:tcPr>
          <w:p w14:paraId="5B19478C" w14:textId="29754EC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359E268F" w14:textId="58EDE5C2"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85 to 89</w:t>
            </w:r>
          </w:p>
        </w:tc>
        <w:tc>
          <w:tcPr>
            <w:tcW w:w="1058" w:type="dxa"/>
            <w:tcMar>
              <w:left w:w="105" w:type="dxa"/>
              <w:right w:w="105" w:type="dxa"/>
            </w:tcMar>
          </w:tcPr>
          <w:p w14:paraId="6F3D9145" w14:textId="501DBA61"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560175E4" w14:textId="6B0A757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0.94</w:t>
            </w:r>
          </w:p>
        </w:tc>
      </w:tr>
      <w:tr w:rsidR="24AC020F" w14:paraId="26911986" w14:textId="77777777" w:rsidTr="24AC020F">
        <w:trPr>
          <w:trHeight w:val="300"/>
        </w:trPr>
        <w:tc>
          <w:tcPr>
            <w:tcW w:w="5789" w:type="dxa"/>
            <w:tcMar>
              <w:left w:w="105" w:type="dxa"/>
              <w:right w:w="105" w:type="dxa"/>
            </w:tcMar>
          </w:tcPr>
          <w:p w14:paraId="3C38538E" w14:textId="39F335C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6F843488" w14:textId="502AA31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90 to 94</w:t>
            </w:r>
          </w:p>
        </w:tc>
        <w:tc>
          <w:tcPr>
            <w:tcW w:w="1058" w:type="dxa"/>
            <w:tcMar>
              <w:left w:w="105" w:type="dxa"/>
              <w:right w:w="105" w:type="dxa"/>
            </w:tcMar>
          </w:tcPr>
          <w:p w14:paraId="074014DB" w14:textId="4E603CD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4F520D8F" w14:textId="0C1EE56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0.94</w:t>
            </w:r>
          </w:p>
        </w:tc>
      </w:tr>
      <w:tr w:rsidR="24AC020F" w14:paraId="47223054" w14:textId="77777777" w:rsidTr="24AC020F">
        <w:trPr>
          <w:trHeight w:val="300"/>
        </w:trPr>
        <w:tc>
          <w:tcPr>
            <w:tcW w:w="5789" w:type="dxa"/>
            <w:tcMar>
              <w:left w:w="105" w:type="dxa"/>
              <w:right w:w="105" w:type="dxa"/>
            </w:tcMar>
          </w:tcPr>
          <w:p w14:paraId="6B21A94B" w14:textId="49F0980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6D470CDB" w14:textId="140F7AE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7DE37245" w14:textId="68B10F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CF0E647" w14:textId="1CFEDB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09DE9AD1" w14:textId="77777777" w:rsidTr="24AC020F">
        <w:trPr>
          <w:trHeight w:val="300"/>
        </w:trPr>
        <w:tc>
          <w:tcPr>
            <w:tcW w:w="5789" w:type="dxa"/>
            <w:tcMar>
              <w:left w:w="105" w:type="dxa"/>
              <w:right w:w="105" w:type="dxa"/>
            </w:tcMar>
          </w:tcPr>
          <w:p w14:paraId="1B8192A7" w14:textId="66AAAC0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616" w:type="dxa"/>
            <w:tcMar>
              <w:left w:w="105" w:type="dxa"/>
              <w:right w:w="105" w:type="dxa"/>
            </w:tcMar>
          </w:tcPr>
          <w:p w14:paraId="6CFBAFEC" w14:textId="522638E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61AC0E29" w14:textId="6CEEDC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177BA70D" w14:textId="08F5CF0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0DD79887" w14:textId="77777777" w:rsidTr="24AC020F">
        <w:trPr>
          <w:trHeight w:val="300"/>
        </w:trPr>
        <w:tc>
          <w:tcPr>
            <w:tcW w:w="5789" w:type="dxa"/>
            <w:tcMar>
              <w:left w:w="105" w:type="dxa"/>
              <w:right w:w="105" w:type="dxa"/>
            </w:tcMar>
          </w:tcPr>
          <w:p w14:paraId="2E3A0DBF" w14:textId="602B222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51D949CF" w14:textId="69D4B2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3D53DB29" w14:textId="3525DE8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3C0FB3B" w14:textId="6D121E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51D291AC" w14:textId="77777777" w:rsidTr="24AC020F">
        <w:trPr>
          <w:trHeight w:val="300"/>
        </w:trPr>
        <w:tc>
          <w:tcPr>
            <w:tcW w:w="5789" w:type="dxa"/>
            <w:tcMar>
              <w:left w:w="105" w:type="dxa"/>
              <w:right w:w="105" w:type="dxa"/>
            </w:tcMar>
          </w:tcPr>
          <w:p w14:paraId="6D43A4CF" w14:textId="018BDF6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4DB60434" w14:textId="26A774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78951883" w14:textId="7A2D6F9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50A0014F" w14:textId="1C2749D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79F4DF4B" w14:textId="77777777" w:rsidTr="24AC020F">
        <w:trPr>
          <w:trHeight w:val="300"/>
        </w:trPr>
        <w:tc>
          <w:tcPr>
            <w:tcW w:w="5789" w:type="dxa"/>
            <w:tcMar>
              <w:left w:w="105" w:type="dxa"/>
              <w:right w:w="105" w:type="dxa"/>
            </w:tcMar>
          </w:tcPr>
          <w:p w14:paraId="03DCD8C6" w14:textId="46BF5E6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2617E2B0" w14:textId="7DABF27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74F9E7B6" w14:textId="47E858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2D63FD23" w14:textId="4057C49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4F9D73CF" w14:textId="77777777" w:rsidTr="24AC020F">
        <w:trPr>
          <w:trHeight w:val="300"/>
        </w:trPr>
        <w:tc>
          <w:tcPr>
            <w:tcW w:w="5789" w:type="dxa"/>
            <w:tcMar>
              <w:left w:w="105" w:type="dxa"/>
              <w:right w:w="105" w:type="dxa"/>
            </w:tcMar>
          </w:tcPr>
          <w:p w14:paraId="237E6478" w14:textId="186D331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6FAC9A85" w14:textId="0F0584F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632FC00D" w14:textId="33C4734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c>
          <w:tcPr>
            <w:tcW w:w="896" w:type="dxa"/>
            <w:tcMar>
              <w:left w:w="105" w:type="dxa"/>
              <w:right w:w="105" w:type="dxa"/>
            </w:tcMar>
          </w:tcPr>
          <w:p w14:paraId="5E712475" w14:textId="64A6594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07242063" w14:textId="77777777" w:rsidTr="24AC020F">
        <w:trPr>
          <w:trHeight w:val="300"/>
        </w:trPr>
        <w:tc>
          <w:tcPr>
            <w:tcW w:w="5789" w:type="dxa"/>
            <w:tcMar>
              <w:left w:w="105" w:type="dxa"/>
              <w:right w:w="105" w:type="dxa"/>
            </w:tcMar>
          </w:tcPr>
          <w:p w14:paraId="684492B8" w14:textId="0EA5024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2D79B68C" w14:textId="0DFCEF6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415ADC39" w14:textId="3CEBEDF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489EDA36" w14:textId="072A8ED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548ED138" w14:textId="77777777" w:rsidTr="24AC020F">
        <w:trPr>
          <w:trHeight w:val="300"/>
        </w:trPr>
        <w:tc>
          <w:tcPr>
            <w:tcW w:w="5789" w:type="dxa"/>
            <w:tcMar>
              <w:left w:w="105" w:type="dxa"/>
              <w:right w:w="105" w:type="dxa"/>
            </w:tcMar>
          </w:tcPr>
          <w:p w14:paraId="7BD7641E" w14:textId="6080305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521520E6" w14:textId="0BFDB15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80 to 84</w:t>
            </w:r>
          </w:p>
        </w:tc>
        <w:tc>
          <w:tcPr>
            <w:tcW w:w="1058" w:type="dxa"/>
            <w:tcMar>
              <w:left w:w="105" w:type="dxa"/>
              <w:right w:w="105" w:type="dxa"/>
            </w:tcMar>
          </w:tcPr>
          <w:p w14:paraId="3E5E6917" w14:textId="7D9577A9"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02BF7D6E" w14:textId="59FF8B3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0.93</w:t>
            </w:r>
          </w:p>
        </w:tc>
      </w:tr>
      <w:tr w:rsidR="24AC020F" w14:paraId="5EE3F51A" w14:textId="77777777" w:rsidTr="24AC020F">
        <w:trPr>
          <w:trHeight w:val="300"/>
        </w:trPr>
        <w:tc>
          <w:tcPr>
            <w:tcW w:w="5789" w:type="dxa"/>
            <w:tcMar>
              <w:left w:w="105" w:type="dxa"/>
              <w:right w:w="105" w:type="dxa"/>
            </w:tcMar>
          </w:tcPr>
          <w:p w14:paraId="532EB82E" w14:textId="0F3A717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4BB6FC64" w14:textId="66C5C94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6FAF7A17" w14:textId="15C8DBC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C0D110F" w14:textId="7A3FB97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04EF741D" w14:textId="77777777" w:rsidTr="24AC020F">
        <w:trPr>
          <w:trHeight w:val="300"/>
        </w:trPr>
        <w:tc>
          <w:tcPr>
            <w:tcW w:w="5789" w:type="dxa"/>
            <w:tcMar>
              <w:left w:w="105" w:type="dxa"/>
              <w:right w:w="105" w:type="dxa"/>
            </w:tcMar>
          </w:tcPr>
          <w:p w14:paraId="1768EF80" w14:textId="37F5538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7484C59F" w14:textId="025CFCC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302E071E" w14:textId="65A0C17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24E1072" w14:textId="1A48F2B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4BB8FA23" w14:textId="77777777" w:rsidTr="24AC020F">
        <w:trPr>
          <w:trHeight w:val="300"/>
        </w:trPr>
        <w:tc>
          <w:tcPr>
            <w:tcW w:w="5789" w:type="dxa"/>
            <w:tcMar>
              <w:left w:w="105" w:type="dxa"/>
              <w:right w:w="105" w:type="dxa"/>
            </w:tcMar>
          </w:tcPr>
          <w:p w14:paraId="61A00F4C" w14:textId="74F4BD7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3850625E" w14:textId="1C2CAA6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341C5A9B" w14:textId="064EF50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BD16D42" w14:textId="1D9DC86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5AB4142C" w14:textId="77777777" w:rsidTr="24AC020F">
        <w:trPr>
          <w:trHeight w:val="300"/>
        </w:trPr>
        <w:tc>
          <w:tcPr>
            <w:tcW w:w="5789" w:type="dxa"/>
            <w:tcMar>
              <w:left w:w="105" w:type="dxa"/>
              <w:right w:w="105" w:type="dxa"/>
            </w:tcMar>
          </w:tcPr>
          <w:p w14:paraId="685ED3DF" w14:textId="4BE82DA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08BD2145" w14:textId="506AAA2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61537979" w14:textId="17A0D0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2AA2295A" w14:textId="21F5C8E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563A898E" w14:textId="77777777" w:rsidTr="24AC020F">
        <w:trPr>
          <w:trHeight w:val="300"/>
        </w:trPr>
        <w:tc>
          <w:tcPr>
            <w:tcW w:w="5789" w:type="dxa"/>
            <w:tcMar>
              <w:left w:w="105" w:type="dxa"/>
              <w:right w:w="105" w:type="dxa"/>
            </w:tcMar>
          </w:tcPr>
          <w:p w14:paraId="4A0DA3B4" w14:textId="55E52A7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114B3A07" w14:textId="6FB8E66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4EE68C12" w14:textId="32FAC27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5DA7D9F1" w14:textId="05D7B4F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5F85C5A6" w14:textId="77777777" w:rsidTr="24AC020F">
        <w:trPr>
          <w:trHeight w:val="300"/>
        </w:trPr>
        <w:tc>
          <w:tcPr>
            <w:tcW w:w="5789" w:type="dxa"/>
            <w:tcMar>
              <w:left w:w="105" w:type="dxa"/>
              <w:right w:w="105" w:type="dxa"/>
            </w:tcMar>
          </w:tcPr>
          <w:p w14:paraId="034E4CFD" w14:textId="63AABB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03520637" w14:textId="798B01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2550BA9E" w14:textId="1C73F4B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29C7E0A8" w14:textId="1850866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079C791D" w14:textId="77777777" w:rsidTr="24AC020F">
        <w:trPr>
          <w:trHeight w:val="300"/>
        </w:trPr>
        <w:tc>
          <w:tcPr>
            <w:tcW w:w="5789" w:type="dxa"/>
            <w:tcMar>
              <w:left w:w="105" w:type="dxa"/>
              <w:right w:w="105" w:type="dxa"/>
            </w:tcMar>
          </w:tcPr>
          <w:p w14:paraId="2E1ADAB7" w14:textId="61EAAE8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3627C481" w14:textId="18B3336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58B8BEE3" w14:textId="20833B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0.97</w:t>
            </w:r>
          </w:p>
        </w:tc>
        <w:tc>
          <w:tcPr>
            <w:tcW w:w="896" w:type="dxa"/>
            <w:tcMar>
              <w:left w:w="105" w:type="dxa"/>
              <w:right w:w="105" w:type="dxa"/>
            </w:tcMar>
          </w:tcPr>
          <w:p w14:paraId="36B5A003" w14:textId="15F817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2B12DDE6" w14:textId="77777777" w:rsidTr="24AC020F">
        <w:trPr>
          <w:trHeight w:val="300"/>
        </w:trPr>
        <w:tc>
          <w:tcPr>
            <w:tcW w:w="5789" w:type="dxa"/>
            <w:tcMar>
              <w:left w:w="105" w:type="dxa"/>
              <w:right w:w="105" w:type="dxa"/>
            </w:tcMar>
          </w:tcPr>
          <w:p w14:paraId="56FDC967" w14:textId="51EC887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lastRenderedPageBreak/>
              <w:t>Bacterial infections of the skin and subcutaneous systems</w:t>
            </w:r>
          </w:p>
        </w:tc>
        <w:tc>
          <w:tcPr>
            <w:tcW w:w="1616" w:type="dxa"/>
            <w:tcMar>
              <w:left w:w="105" w:type="dxa"/>
              <w:right w:w="105" w:type="dxa"/>
            </w:tcMar>
          </w:tcPr>
          <w:p w14:paraId="30BABCF8" w14:textId="476D03C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7D32122D" w14:textId="0377712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7374B524" w14:textId="3BBBDD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0623F856" w14:textId="77777777" w:rsidTr="24AC020F">
        <w:trPr>
          <w:trHeight w:val="300"/>
        </w:trPr>
        <w:tc>
          <w:tcPr>
            <w:tcW w:w="5789" w:type="dxa"/>
            <w:tcMar>
              <w:left w:w="105" w:type="dxa"/>
              <w:right w:w="105" w:type="dxa"/>
            </w:tcMar>
          </w:tcPr>
          <w:p w14:paraId="64D391B5" w14:textId="3AAEC0A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5381028F" w14:textId="15D4640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27E3537A" w14:textId="4BF3FBA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0.85</w:t>
            </w:r>
          </w:p>
        </w:tc>
        <w:tc>
          <w:tcPr>
            <w:tcW w:w="896" w:type="dxa"/>
            <w:tcMar>
              <w:left w:w="105" w:type="dxa"/>
              <w:right w:w="105" w:type="dxa"/>
            </w:tcMar>
          </w:tcPr>
          <w:p w14:paraId="3BEAE94D" w14:textId="206F70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2F19E104" w14:textId="77777777" w:rsidTr="24AC020F">
        <w:trPr>
          <w:trHeight w:val="300"/>
        </w:trPr>
        <w:tc>
          <w:tcPr>
            <w:tcW w:w="5789" w:type="dxa"/>
            <w:tcMar>
              <w:left w:w="105" w:type="dxa"/>
              <w:right w:w="105" w:type="dxa"/>
            </w:tcMar>
          </w:tcPr>
          <w:p w14:paraId="40B0BC05" w14:textId="566C357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65816863" w14:textId="435750D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79FED9BD" w14:textId="6467689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c>
          <w:tcPr>
            <w:tcW w:w="896" w:type="dxa"/>
            <w:tcMar>
              <w:left w:w="105" w:type="dxa"/>
              <w:right w:w="105" w:type="dxa"/>
            </w:tcMar>
          </w:tcPr>
          <w:p w14:paraId="279ABC63" w14:textId="3FF12E9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45A238D9" w14:textId="77777777" w:rsidTr="24AC020F">
        <w:trPr>
          <w:trHeight w:val="300"/>
        </w:trPr>
        <w:tc>
          <w:tcPr>
            <w:tcW w:w="5789" w:type="dxa"/>
            <w:tcMar>
              <w:left w:w="105" w:type="dxa"/>
              <w:right w:w="105" w:type="dxa"/>
            </w:tcMar>
          </w:tcPr>
          <w:p w14:paraId="66B8D270" w14:textId="5386F95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6C6DA651" w14:textId="7058E16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063AC5E8" w14:textId="5B39802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13C32853" w14:textId="04791A6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084DE8C6" w14:textId="77777777" w:rsidTr="24AC020F">
        <w:trPr>
          <w:trHeight w:val="300"/>
        </w:trPr>
        <w:tc>
          <w:tcPr>
            <w:tcW w:w="5789" w:type="dxa"/>
            <w:tcMar>
              <w:left w:w="105" w:type="dxa"/>
              <w:right w:w="105" w:type="dxa"/>
            </w:tcMar>
          </w:tcPr>
          <w:p w14:paraId="305E08B0" w14:textId="4E0BD2B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77787F52" w14:textId="20BAA79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75 to 79</w:t>
            </w:r>
          </w:p>
        </w:tc>
        <w:tc>
          <w:tcPr>
            <w:tcW w:w="1058" w:type="dxa"/>
            <w:tcMar>
              <w:left w:w="105" w:type="dxa"/>
              <w:right w:w="105" w:type="dxa"/>
            </w:tcMar>
          </w:tcPr>
          <w:p w14:paraId="51D1FF84" w14:textId="345EFC8A"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3401F5B5" w14:textId="21C274A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0.92</w:t>
            </w:r>
          </w:p>
        </w:tc>
      </w:tr>
      <w:tr w:rsidR="24AC020F" w14:paraId="36D2E0F7" w14:textId="77777777" w:rsidTr="24AC020F">
        <w:trPr>
          <w:trHeight w:val="300"/>
        </w:trPr>
        <w:tc>
          <w:tcPr>
            <w:tcW w:w="5789" w:type="dxa"/>
            <w:tcMar>
              <w:left w:w="105" w:type="dxa"/>
              <w:right w:w="105" w:type="dxa"/>
            </w:tcMar>
          </w:tcPr>
          <w:p w14:paraId="38A07BBA" w14:textId="72E300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5B8007EB" w14:textId="3B3429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128FDDA5" w14:textId="5716341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8DB75ED" w14:textId="17B8B81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19A6054F" w14:textId="77777777" w:rsidTr="24AC020F">
        <w:trPr>
          <w:trHeight w:val="300"/>
        </w:trPr>
        <w:tc>
          <w:tcPr>
            <w:tcW w:w="5789" w:type="dxa"/>
            <w:tcMar>
              <w:left w:w="105" w:type="dxa"/>
              <w:right w:w="105" w:type="dxa"/>
            </w:tcMar>
          </w:tcPr>
          <w:p w14:paraId="155D4764" w14:textId="6E2551B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4D172D7B" w14:textId="003CEF4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55EA1CCC" w14:textId="76FD634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1656D58" w14:textId="6DC13E5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6AC4578B" w14:textId="77777777" w:rsidTr="24AC020F">
        <w:trPr>
          <w:trHeight w:val="300"/>
        </w:trPr>
        <w:tc>
          <w:tcPr>
            <w:tcW w:w="5789" w:type="dxa"/>
            <w:tcMar>
              <w:left w:w="105" w:type="dxa"/>
              <w:right w:w="105" w:type="dxa"/>
            </w:tcMar>
          </w:tcPr>
          <w:p w14:paraId="62FA13E3" w14:textId="2E1B3A3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5F6EA9B9" w14:textId="3A25CD4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15EC2FDB" w14:textId="706E430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11AE7889" w14:textId="4D9658E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600F3A23" w14:textId="77777777" w:rsidTr="24AC020F">
        <w:trPr>
          <w:trHeight w:val="300"/>
        </w:trPr>
        <w:tc>
          <w:tcPr>
            <w:tcW w:w="5789" w:type="dxa"/>
            <w:tcMar>
              <w:left w:w="105" w:type="dxa"/>
              <w:right w:w="105" w:type="dxa"/>
            </w:tcMar>
          </w:tcPr>
          <w:p w14:paraId="26A0CB41" w14:textId="21B38E1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1CDD90A9" w14:textId="588F1C9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0B657489" w14:textId="6163F8B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4F28247A" w14:textId="0389D3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1D7032D5" w14:textId="77777777" w:rsidTr="24AC020F">
        <w:trPr>
          <w:trHeight w:val="300"/>
        </w:trPr>
        <w:tc>
          <w:tcPr>
            <w:tcW w:w="5789" w:type="dxa"/>
            <w:tcMar>
              <w:left w:w="105" w:type="dxa"/>
              <w:right w:w="105" w:type="dxa"/>
            </w:tcMar>
          </w:tcPr>
          <w:p w14:paraId="45C6D923" w14:textId="5B6863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2356F583" w14:textId="6194B57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55BBAA5C" w14:textId="06402AA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BD59DF1" w14:textId="7A4445C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52D4B15F" w14:textId="77777777" w:rsidTr="24AC020F">
        <w:trPr>
          <w:trHeight w:val="300"/>
        </w:trPr>
        <w:tc>
          <w:tcPr>
            <w:tcW w:w="5789" w:type="dxa"/>
            <w:tcMar>
              <w:left w:w="105" w:type="dxa"/>
              <w:right w:w="105" w:type="dxa"/>
            </w:tcMar>
          </w:tcPr>
          <w:p w14:paraId="36DC666C" w14:textId="66D7760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2F2F82E3" w14:textId="221690D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5B32533F" w14:textId="146C30C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0.84</w:t>
            </w:r>
          </w:p>
        </w:tc>
        <w:tc>
          <w:tcPr>
            <w:tcW w:w="896" w:type="dxa"/>
            <w:tcMar>
              <w:left w:w="105" w:type="dxa"/>
              <w:right w:w="105" w:type="dxa"/>
            </w:tcMar>
          </w:tcPr>
          <w:p w14:paraId="3C3E354C" w14:textId="05FBF75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r>
      <w:tr w:rsidR="24AC020F" w14:paraId="0708A892" w14:textId="77777777" w:rsidTr="24AC020F">
        <w:trPr>
          <w:trHeight w:val="300"/>
        </w:trPr>
        <w:tc>
          <w:tcPr>
            <w:tcW w:w="5789" w:type="dxa"/>
            <w:tcMar>
              <w:left w:w="105" w:type="dxa"/>
              <w:right w:w="105" w:type="dxa"/>
            </w:tcMar>
          </w:tcPr>
          <w:p w14:paraId="79436328" w14:textId="06D77A6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3981F5B5" w14:textId="26E9E19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3BA4ED3E" w14:textId="7967EC6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c>
          <w:tcPr>
            <w:tcW w:w="896" w:type="dxa"/>
            <w:tcMar>
              <w:left w:w="105" w:type="dxa"/>
              <w:right w:w="105" w:type="dxa"/>
            </w:tcMar>
          </w:tcPr>
          <w:p w14:paraId="4077D8C3" w14:textId="71E01D2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r>
      <w:tr w:rsidR="24AC020F" w14:paraId="1063C58C" w14:textId="77777777" w:rsidTr="24AC020F">
        <w:trPr>
          <w:trHeight w:val="300"/>
        </w:trPr>
        <w:tc>
          <w:tcPr>
            <w:tcW w:w="5789" w:type="dxa"/>
            <w:tcMar>
              <w:left w:w="105" w:type="dxa"/>
              <w:right w:w="105" w:type="dxa"/>
            </w:tcMar>
          </w:tcPr>
          <w:p w14:paraId="7B9EC9D5" w14:textId="703AFF0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69FFDB88" w14:textId="29D06C2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70 to 74</w:t>
            </w:r>
          </w:p>
        </w:tc>
        <w:tc>
          <w:tcPr>
            <w:tcW w:w="1058" w:type="dxa"/>
            <w:tcMar>
              <w:left w:w="105" w:type="dxa"/>
              <w:right w:w="105" w:type="dxa"/>
            </w:tcMar>
          </w:tcPr>
          <w:p w14:paraId="3E2EFA4B" w14:textId="115F5C6C"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50419CF3" w14:textId="0C79DA9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0.91</w:t>
            </w:r>
          </w:p>
        </w:tc>
      </w:tr>
      <w:tr w:rsidR="24AC020F" w14:paraId="50908E90" w14:textId="77777777" w:rsidTr="24AC020F">
        <w:trPr>
          <w:trHeight w:val="300"/>
        </w:trPr>
        <w:tc>
          <w:tcPr>
            <w:tcW w:w="5789" w:type="dxa"/>
            <w:tcMar>
              <w:left w:w="105" w:type="dxa"/>
              <w:right w:w="105" w:type="dxa"/>
            </w:tcMar>
          </w:tcPr>
          <w:p w14:paraId="6890F637" w14:textId="157C04E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616" w:type="dxa"/>
            <w:tcMar>
              <w:left w:w="105" w:type="dxa"/>
              <w:right w:w="105" w:type="dxa"/>
            </w:tcMar>
          </w:tcPr>
          <w:p w14:paraId="52BB9BA3" w14:textId="1799B27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527BD55A" w14:textId="527DF6C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75E3D66" w14:textId="3F04B2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r>
      <w:tr w:rsidR="24AC020F" w14:paraId="78DDFE70" w14:textId="77777777" w:rsidTr="24AC020F">
        <w:trPr>
          <w:trHeight w:val="300"/>
        </w:trPr>
        <w:tc>
          <w:tcPr>
            <w:tcW w:w="5789" w:type="dxa"/>
            <w:tcMar>
              <w:left w:w="105" w:type="dxa"/>
              <w:right w:w="105" w:type="dxa"/>
            </w:tcMar>
          </w:tcPr>
          <w:p w14:paraId="4E69529D" w14:textId="4B29F0D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7D912E51" w14:textId="5CB9FE9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0B98CB52" w14:textId="70C5AF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0.98</w:t>
            </w:r>
          </w:p>
        </w:tc>
        <w:tc>
          <w:tcPr>
            <w:tcW w:w="896" w:type="dxa"/>
            <w:tcMar>
              <w:left w:w="105" w:type="dxa"/>
              <w:right w:w="105" w:type="dxa"/>
            </w:tcMar>
          </w:tcPr>
          <w:p w14:paraId="0A5D05F8" w14:textId="23C66D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r>
      <w:tr w:rsidR="24AC020F" w14:paraId="57BC1800" w14:textId="77777777" w:rsidTr="24AC020F">
        <w:trPr>
          <w:trHeight w:val="300"/>
        </w:trPr>
        <w:tc>
          <w:tcPr>
            <w:tcW w:w="5789" w:type="dxa"/>
            <w:tcMar>
              <w:left w:w="105" w:type="dxa"/>
              <w:right w:w="105" w:type="dxa"/>
            </w:tcMar>
          </w:tcPr>
          <w:p w14:paraId="36DF23CA" w14:textId="660273F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51412732" w14:textId="5E8B193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7600B771" w14:textId="23019EF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c>
          <w:tcPr>
            <w:tcW w:w="896" w:type="dxa"/>
            <w:tcMar>
              <w:left w:w="105" w:type="dxa"/>
              <w:right w:w="105" w:type="dxa"/>
            </w:tcMar>
          </w:tcPr>
          <w:p w14:paraId="1B568092" w14:textId="6DD87D2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r>
      <w:tr w:rsidR="24AC020F" w14:paraId="00F77060" w14:textId="77777777" w:rsidTr="24AC020F">
        <w:trPr>
          <w:trHeight w:val="300"/>
        </w:trPr>
        <w:tc>
          <w:tcPr>
            <w:tcW w:w="5789" w:type="dxa"/>
            <w:tcMar>
              <w:left w:w="105" w:type="dxa"/>
              <w:right w:w="105" w:type="dxa"/>
            </w:tcMar>
          </w:tcPr>
          <w:p w14:paraId="18F8B1E7" w14:textId="51E4368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108102DC" w14:textId="65CF4431"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60 to 64</w:t>
            </w:r>
          </w:p>
        </w:tc>
        <w:tc>
          <w:tcPr>
            <w:tcW w:w="1058" w:type="dxa"/>
            <w:tcMar>
              <w:left w:w="105" w:type="dxa"/>
              <w:right w:w="105" w:type="dxa"/>
            </w:tcMar>
          </w:tcPr>
          <w:p w14:paraId="0825C5F9" w14:textId="7A534D83"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41E66820" w14:textId="363C620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0.90</w:t>
            </w:r>
          </w:p>
        </w:tc>
      </w:tr>
      <w:tr w:rsidR="24AC020F" w14:paraId="5C30FE17" w14:textId="77777777" w:rsidTr="24AC020F">
        <w:trPr>
          <w:trHeight w:val="300"/>
        </w:trPr>
        <w:tc>
          <w:tcPr>
            <w:tcW w:w="5789" w:type="dxa"/>
            <w:tcMar>
              <w:left w:w="105" w:type="dxa"/>
              <w:right w:w="105" w:type="dxa"/>
            </w:tcMar>
          </w:tcPr>
          <w:p w14:paraId="5B36A1F0" w14:textId="38FD4BF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40AC9702" w14:textId="0D94B90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65 to 69</w:t>
            </w:r>
          </w:p>
        </w:tc>
        <w:tc>
          <w:tcPr>
            <w:tcW w:w="1058" w:type="dxa"/>
            <w:tcMar>
              <w:left w:w="105" w:type="dxa"/>
              <w:right w:w="105" w:type="dxa"/>
            </w:tcMar>
          </w:tcPr>
          <w:p w14:paraId="6BE6DBEE" w14:textId="6FF9B799"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173DC25F" w14:textId="2CF81951"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0.90</w:t>
            </w:r>
          </w:p>
        </w:tc>
      </w:tr>
      <w:tr w:rsidR="24AC020F" w14:paraId="30F00CD9" w14:textId="77777777" w:rsidTr="24AC020F">
        <w:trPr>
          <w:trHeight w:val="300"/>
        </w:trPr>
        <w:tc>
          <w:tcPr>
            <w:tcW w:w="5789" w:type="dxa"/>
            <w:tcMar>
              <w:left w:w="105" w:type="dxa"/>
              <w:right w:w="105" w:type="dxa"/>
            </w:tcMar>
          </w:tcPr>
          <w:p w14:paraId="4D60B92E" w14:textId="152798B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408FB6CF" w14:textId="150E952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2932E6DB" w14:textId="3EA793D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738F7C3B" w14:textId="323CB9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538DD37E" w14:textId="77777777" w:rsidTr="24AC020F">
        <w:trPr>
          <w:trHeight w:val="300"/>
        </w:trPr>
        <w:tc>
          <w:tcPr>
            <w:tcW w:w="5789" w:type="dxa"/>
            <w:tcMar>
              <w:left w:w="105" w:type="dxa"/>
              <w:right w:w="105" w:type="dxa"/>
            </w:tcMar>
          </w:tcPr>
          <w:p w14:paraId="62CF0060" w14:textId="18FE9C3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22182185" w14:textId="7373492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2F299D25" w14:textId="7660DB2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c>
          <w:tcPr>
            <w:tcW w:w="896" w:type="dxa"/>
            <w:tcMar>
              <w:left w:w="105" w:type="dxa"/>
              <w:right w:w="105" w:type="dxa"/>
            </w:tcMar>
          </w:tcPr>
          <w:p w14:paraId="679FDE11" w14:textId="60C856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525EEC62" w14:textId="77777777" w:rsidTr="24AC020F">
        <w:trPr>
          <w:trHeight w:val="300"/>
        </w:trPr>
        <w:tc>
          <w:tcPr>
            <w:tcW w:w="5789" w:type="dxa"/>
            <w:tcMar>
              <w:left w:w="105" w:type="dxa"/>
              <w:right w:w="105" w:type="dxa"/>
            </w:tcMar>
          </w:tcPr>
          <w:p w14:paraId="3665C7E1" w14:textId="3DA0EDA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0C6184AD" w14:textId="7737485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0977C224" w14:textId="2F22624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c>
          <w:tcPr>
            <w:tcW w:w="896" w:type="dxa"/>
            <w:tcMar>
              <w:left w:w="105" w:type="dxa"/>
              <w:right w:w="105" w:type="dxa"/>
            </w:tcMar>
          </w:tcPr>
          <w:p w14:paraId="6085B488" w14:textId="720C7E0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54ECCFAA" w14:textId="77777777" w:rsidTr="24AC020F">
        <w:trPr>
          <w:trHeight w:val="300"/>
        </w:trPr>
        <w:tc>
          <w:tcPr>
            <w:tcW w:w="5789" w:type="dxa"/>
            <w:tcMar>
              <w:left w:w="105" w:type="dxa"/>
              <w:right w:w="105" w:type="dxa"/>
            </w:tcMar>
          </w:tcPr>
          <w:p w14:paraId="626CB00B" w14:textId="357F401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Endocarditis and other cardiac infections</w:t>
            </w:r>
          </w:p>
        </w:tc>
        <w:tc>
          <w:tcPr>
            <w:tcW w:w="1616" w:type="dxa"/>
            <w:tcMar>
              <w:left w:w="105" w:type="dxa"/>
              <w:right w:w="105" w:type="dxa"/>
            </w:tcMar>
          </w:tcPr>
          <w:p w14:paraId="3AE04F20" w14:textId="35F1C81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292FEF3E" w14:textId="72614F5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1552F15" w14:textId="6F04BC7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2EC86A51" w14:textId="77777777" w:rsidTr="24AC020F">
        <w:trPr>
          <w:trHeight w:val="300"/>
        </w:trPr>
        <w:tc>
          <w:tcPr>
            <w:tcW w:w="5789" w:type="dxa"/>
            <w:tcMar>
              <w:left w:w="105" w:type="dxa"/>
              <w:right w:w="105" w:type="dxa"/>
            </w:tcMar>
          </w:tcPr>
          <w:p w14:paraId="1212D91A" w14:textId="5C2C373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HAI lower respiratory infections and all related infections in the thorax</w:t>
            </w:r>
          </w:p>
        </w:tc>
        <w:tc>
          <w:tcPr>
            <w:tcW w:w="1616" w:type="dxa"/>
            <w:tcMar>
              <w:left w:w="105" w:type="dxa"/>
              <w:right w:w="105" w:type="dxa"/>
            </w:tcMar>
          </w:tcPr>
          <w:p w14:paraId="27966B23" w14:textId="47C1002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69</w:t>
            </w:r>
          </w:p>
        </w:tc>
        <w:tc>
          <w:tcPr>
            <w:tcW w:w="1058" w:type="dxa"/>
            <w:tcMar>
              <w:left w:w="105" w:type="dxa"/>
              <w:right w:w="105" w:type="dxa"/>
            </w:tcMar>
          </w:tcPr>
          <w:p w14:paraId="77D1D272" w14:textId="3CDBC52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7D24E71B" w14:textId="0BCFBD8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0F9457EC" w14:textId="77777777" w:rsidTr="24AC020F">
        <w:trPr>
          <w:trHeight w:val="300"/>
        </w:trPr>
        <w:tc>
          <w:tcPr>
            <w:tcW w:w="5789" w:type="dxa"/>
            <w:tcMar>
              <w:left w:w="105" w:type="dxa"/>
              <w:right w:w="105" w:type="dxa"/>
            </w:tcMar>
          </w:tcPr>
          <w:p w14:paraId="6BD73F4A" w14:textId="6C9AAA8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HAI lower respiratory infections and all related infections in the thorax</w:t>
            </w:r>
          </w:p>
        </w:tc>
        <w:tc>
          <w:tcPr>
            <w:tcW w:w="1616" w:type="dxa"/>
            <w:tcMar>
              <w:left w:w="105" w:type="dxa"/>
              <w:right w:w="105" w:type="dxa"/>
            </w:tcMar>
          </w:tcPr>
          <w:p w14:paraId="58791AB9" w14:textId="1F4A406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years</w:t>
            </w:r>
          </w:p>
        </w:tc>
        <w:tc>
          <w:tcPr>
            <w:tcW w:w="1058" w:type="dxa"/>
            <w:tcMar>
              <w:left w:w="105" w:type="dxa"/>
              <w:right w:w="105" w:type="dxa"/>
            </w:tcMar>
          </w:tcPr>
          <w:p w14:paraId="66D23106" w14:textId="729FBD7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0D05F328" w14:textId="40DEBB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767287AE" w14:textId="77777777" w:rsidTr="24AC020F">
        <w:trPr>
          <w:trHeight w:val="300"/>
        </w:trPr>
        <w:tc>
          <w:tcPr>
            <w:tcW w:w="5789" w:type="dxa"/>
            <w:tcMar>
              <w:left w:w="105" w:type="dxa"/>
              <w:right w:w="105" w:type="dxa"/>
            </w:tcMar>
          </w:tcPr>
          <w:p w14:paraId="51564786" w14:textId="18985F8D"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44FD5680" w14:textId="78C5216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55 to 59</w:t>
            </w:r>
          </w:p>
        </w:tc>
        <w:tc>
          <w:tcPr>
            <w:tcW w:w="1058" w:type="dxa"/>
            <w:tcMar>
              <w:left w:w="105" w:type="dxa"/>
              <w:right w:w="105" w:type="dxa"/>
            </w:tcMar>
          </w:tcPr>
          <w:p w14:paraId="163AFF21" w14:textId="44BF108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162673D7" w14:textId="0C9DB16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0.89</w:t>
            </w:r>
          </w:p>
        </w:tc>
      </w:tr>
      <w:tr w:rsidR="24AC020F" w14:paraId="7438731B" w14:textId="77777777" w:rsidTr="24AC020F">
        <w:trPr>
          <w:trHeight w:val="300"/>
        </w:trPr>
        <w:tc>
          <w:tcPr>
            <w:tcW w:w="5789" w:type="dxa"/>
            <w:tcMar>
              <w:left w:w="105" w:type="dxa"/>
              <w:right w:w="105" w:type="dxa"/>
            </w:tcMar>
          </w:tcPr>
          <w:p w14:paraId="6C51BEE1" w14:textId="304D469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6EF73590" w14:textId="49A3261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1EAD6B37" w14:textId="3F5411E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c>
          <w:tcPr>
            <w:tcW w:w="896" w:type="dxa"/>
            <w:tcMar>
              <w:left w:w="105" w:type="dxa"/>
              <w:right w:w="105" w:type="dxa"/>
            </w:tcMar>
          </w:tcPr>
          <w:p w14:paraId="52838E37" w14:textId="1C5EBD3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r>
      <w:tr w:rsidR="24AC020F" w14:paraId="43850D84" w14:textId="77777777" w:rsidTr="24AC020F">
        <w:trPr>
          <w:trHeight w:val="300"/>
        </w:trPr>
        <w:tc>
          <w:tcPr>
            <w:tcW w:w="5789" w:type="dxa"/>
            <w:tcMar>
              <w:left w:w="105" w:type="dxa"/>
              <w:right w:w="105" w:type="dxa"/>
            </w:tcMar>
          </w:tcPr>
          <w:p w14:paraId="3D18878B" w14:textId="04D42EA3"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2F821885" w14:textId="6218FBE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15 to 19</w:t>
            </w:r>
          </w:p>
        </w:tc>
        <w:tc>
          <w:tcPr>
            <w:tcW w:w="1058" w:type="dxa"/>
            <w:tcMar>
              <w:left w:w="105" w:type="dxa"/>
              <w:right w:w="105" w:type="dxa"/>
            </w:tcMar>
          </w:tcPr>
          <w:p w14:paraId="285BF2A7" w14:textId="33B9C1AA"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16CA4EB2" w14:textId="7F7CBEE2"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0.88</w:t>
            </w:r>
          </w:p>
        </w:tc>
      </w:tr>
      <w:tr w:rsidR="24AC020F" w14:paraId="55A8D6C4" w14:textId="77777777" w:rsidTr="24AC020F">
        <w:trPr>
          <w:trHeight w:val="300"/>
        </w:trPr>
        <w:tc>
          <w:tcPr>
            <w:tcW w:w="5789" w:type="dxa"/>
            <w:tcMar>
              <w:left w:w="105" w:type="dxa"/>
              <w:right w:w="105" w:type="dxa"/>
            </w:tcMar>
          </w:tcPr>
          <w:p w14:paraId="0F286CD3" w14:textId="54E6CA1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15DB026D" w14:textId="679EC41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50 to 54</w:t>
            </w:r>
          </w:p>
        </w:tc>
        <w:tc>
          <w:tcPr>
            <w:tcW w:w="1058" w:type="dxa"/>
            <w:tcMar>
              <w:left w:w="105" w:type="dxa"/>
              <w:right w:w="105" w:type="dxa"/>
            </w:tcMar>
          </w:tcPr>
          <w:p w14:paraId="169021C5" w14:textId="5426AF8C"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2E6BFA62" w14:textId="7F1E28FC"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0.88</w:t>
            </w:r>
          </w:p>
        </w:tc>
      </w:tr>
      <w:tr w:rsidR="24AC020F" w14:paraId="108CB00E" w14:textId="77777777" w:rsidTr="24AC020F">
        <w:trPr>
          <w:trHeight w:val="300"/>
        </w:trPr>
        <w:tc>
          <w:tcPr>
            <w:tcW w:w="5789" w:type="dxa"/>
            <w:tcMar>
              <w:left w:w="105" w:type="dxa"/>
              <w:right w:w="105" w:type="dxa"/>
            </w:tcMar>
          </w:tcPr>
          <w:p w14:paraId="005BBC97" w14:textId="605EA10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1134E909" w14:textId="0AFF8F9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50913F06" w14:textId="12152C0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1.00</w:t>
            </w:r>
          </w:p>
        </w:tc>
        <w:tc>
          <w:tcPr>
            <w:tcW w:w="896" w:type="dxa"/>
            <w:tcMar>
              <w:left w:w="105" w:type="dxa"/>
              <w:right w:w="105" w:type="dxa"/>
            </w:tcMar>
          </w:tcPr>
          <w:p w14:paraId="2BF28FE2" w14:textId="2548AEC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6AC7B65F" w14:textId="77777777" w:rsidTr="24AC020F">
        <w:trPr>
          <w:trHeight w:val="300"/>
        </w:trPr>
        <w:tc>
          <w:tcPr>
            <w:tcW w:w="5789" w:type="dxa"/>
            <w:tcMar>
              <w:left w:w="105" w:type="dxa"/>
              <w:right w:w="105" w:type="dxa"/>
            </w:tcMar>
          </w:tcPr>
          <w:p w14:paraId="7AD25809" w14:textId="00BB571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6F2865F1" w14:textId="3E21625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382CA580" w14:textId="3C429C6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74863E2F" w14:textId="4BF17A0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38A18486" w14:textId="77777777" w:rsidTr="24AC020F">
        <w:trPr>
          <w:trHeight w:val="300"/>
        </w:trPr>
        <w:tc>
          <w:tcPr>
            <w:tcW w:w="5789" w:type="dxa"/>
            <w:tcMar>
              <w:left w:w="105" w:type="dxa"/>
              <w:right w:w="105" w:type="dxa"/>
            </w:tcMar>
          </w:tcPr>
          <w:p w14:paraId="4C844A24" w14:textId="687F51C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616" w:type="dxa"/>
            <w:tcMar>
              <w:left w:w="105" w:type="dxa"/>
              <w:right w:w="105" w:type="dxa"/>
            </w:tcMar>
          </w:tcPr>
          <w:p w14:paraId="3837C2E7" w14:textId="3D1EE39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35A2FF8B" w14:textId="79401F8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598893DD" w14:textId="52284FB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7B285F52" w14:textId="77777777" w:rsidTr="24AC020F">
        <w:trPr>
          <w:trHeight w:val="300"/>
        </w:trPr>
        <w:tc>
          <w:tcPr>
            <w:tcW w:w="5789" w:type="dxa"/>
            <w:tcMar>
              <w:left w:w="105" w:type="dxa"/>
              <w:right w:w="105" w:type="dxa"/>
            </w:tcMar>
          </w:tcPr>
          <w:p w14:paraId="2A0D8DC7" w14:textId="4F9D2F6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6A4267AD" w14:textId="732E3E3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2BD627B0" w14:textId="6A19F8D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c>
          <w:tcPr>
            <w:tcW w:w="896" w:type="dxa"/>
            <w:tcMar>
              <w:left w:w="105" w:type="dxa"/>
              <w:right w:w="105" w:type="dxa"/>
            </w:tcMar>
          </w:tcPr>
          <w:p w14:paraId="6EEFEF46" w14:textId="5C5197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312869E5" w14:textId="77777777" w:rsidTr="24AC020F">
        <w:trPr>
          <w:trHeight w:val="300"/>
        </w:trPr>
        <w:tc>
          <w:tcPr>
            <w:tcW w:w="5789" w:type="dxa"/>
            <w:tcMar>
              <w:left w:w="105" w:type="dxa"/>
              <w:right w:w="105" w:type="dxa"/>
            </w:tcMar>
          </w:tcPr>
          <w:p w14:paraId="7B3CAD20" w14:textId="48DD235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32BC8DB7" w14:textId="55E8075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0970A41E" w14:textId="25E99CB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c>
          <w:tcPr>
            <w:tcW w:w="896" w:type="dxa"/>
            <w:tcMar>
              <w:left w:w="105" w:type="dxa"/>
              <w:right w:w="105" w:type="dxa"/>
            </w:tcMar>
          </w:tcPr>
          <w:p w14:paraId="6724CFC8" w14:textId="2675D7C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54DC073E" w14:textId="77777777" w:rsidTr="24AC020F">
        <w:trPr>
          <w:trHeight w:val="300"/>
        </w:trPr>
        <w:tc>
          <w:tcPr>
            <w:tcW w:w="5789" w:type="dxa"/>
            <w:tcMar>
              <w:left w:w="105" w:type="dxa"/>
              <w:right w:w="105" w:type="dxa"/>
            </w:tcMar>
          </w:tcPr>
          <w:p w14:paraId="75CB2652" w14:textId="531500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616" w:type="dxa"/>
            <w:tcMar>
              <w:left w:w="105" w:type="dxa"/>
              <w:right w:w="105" w:type="dxa"/>
            </w:tcMar>
          </w:tcPr>
          <w:p w14:paraId="56FFB22E" w14:textId="422F5B7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3B250D02" w14:textId="3457FC0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c>
          <w:tcPr>
            <w:tcW w:w="896" w:type="dxa"/>
            <w:tcMar>
              <w:left w:w="105" w:type="dxa"/>
              <w:right w:w="105" w:type="dxa"/>
            </w:tcMar>
          </w:tcPr>
          <w:p w14:paraId="0B138B30" w14:textId="57011AF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46909647" w14:textId="77777777" w:rsidTr="24AC020F">
        <w:trPr>
          <w:trHeight w:val="300"/>
        </w:trPr>
        <w:tc>
          <w:tcPr>
            <w:tcW w:w="5789" w:type="dxa"/>
            <w:tcMar>
              <w:left w:w="105" w:type="dxa"/>
              <w:right w:w="105" w:type="dxa"/>
            </w:tcMar>
          </w:tcPr>
          <w:p w14:paraId="04FBAADA" w14:textId="1D84B4C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HAI urinary tract infections and pyelonephritis</w:t>
            </w:r>
          </w:p>
        </w:tc>
        <w:tc>
          <w:tcPr>
            <w:tcW w:w="1616" w:type="dxa"/>
            <w:tcMar>
              <w:left w:w="105" w:type="dxa"/>
              <w:right w:w="105" w:type="dxa"/>
            </w:tcMar>
          </w:tcPr>
          <w:p w14:paraId="7C590DC6" w14:textId="4E9331A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plus</w:t>
            </w:r>
          </w:p>
        </w:tc>
        <w:tc>
          <w:tcPr>
            <w:tcW w:w="1058" w:type="dxa"/>
            <w:tcMar>
              <w:left w:w="105" w:type="dxa"/>
              <w:right w:w="105" w:type="dxa"/>
            </w:tcMar>
          </w:tcPr>
          <w:p w14:paraId="16C623C3" w14:textId="465D8D1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628FDF56" w14:textId="37782A9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0.86</w:t>
            </w:r>
          </w:p>
        </w:tc>
      </w:tr>
      <w:tr w:rsidR="24AC020F" w14:paraId="38DCE755" w14:textId="77777777" w:rsidTr="24AC020F">
        <w:trPr>
          <w:trHeight w:val="300"/>
        </w:trPr>
        <w:tc>
          <w:tcPr>
            <w:tcW w:w="5789" w:type="dxa"/>
            <w:tcMar>
              <w:left w:w="105" w:type="dxa"/>
              <w:right w:w="105" w:type="dxa"/>
            </w:tcMar>
          </w:tcPr>
          <w:p w14:paraId="574C3334" w14:textId="1AAAAF8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395FA451" w14:textId="6812E79A"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25 to 29</w:t>
            </w:r>
          </w:p>
        </w:tc>
        <w:tc>
          <w:tcPr>
            <w:tcW w:w="1058" w:type="dxa"/>
            <w:tcMar>
              <w:left w:w="105" w:type="dxa"/>
              <w:right w:w="105" w:type="dxa"/>
            </w:tcMar>
          </w:tcPr>
          <w:p w14:paraId="64D6EFE6" w14:textId="401AA148"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331E7B90" w14:textId="0BCA6406"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0.85</w:t>
            </w:r>
          </w:p>
        </w:tc>
      </w:tr>
      <w:tr w:rsidR="24AC020F" w14:paraId="5D824947" w14:textId="77777777" w:rsidTr="24AC020F">
        <w:trPr>
          <w:trHeight w:val="300"/>
        </w:trPr>
        <w:tc>
          <w:tcPr>
            <w:tcW w:w="5789" w:type="dxa"/>
            <w:tcMar>
              <w:left w:w="105" w:type="dxa"/>
              <w:right w:w="105" w:type="dxa"/>
            </w:tcMar>
          </w:tcPr>
          <w:p w14:paraId="598B3572" w14:textId="2397200F"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02465444" w14:textId="689EE95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35 to 39</w:t>
            </w:r>
          </w:p>
        </w:tc>
        <w:tc>
          <w:tcPr>
            <w:tcW w:w="1058" w:type="dxa"/>
            <w:tcMar>
              <w:left w:w="105" w:type="dxa"/>
              <w:right w:w="105" w:type="dxa"/>
            </w:tcMar>
          </w:tcPr>
          <w:p w14:paraId="711AEB18" w14:textId="2BD1A7F1"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2E05F85E" w14:textId="38047D6A"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0.85</w:t>
            </w:r>
          </w:p>
        </w:tc>
      </w:tr>
      <w:tr w:rsidR="24AC020F" w14:paraId="44C6A743" w14:textId="77777777" w:rsidTr="24AC020F">
        <w:trPr>
          <w:trHeight w:val="300"/>
        </w:trPr>
        <w:tc>
          <w:tcPr>
            <w:tcW w:w="5789" w:type="dxa"/>
            <w:tcMar>
              <w:left w:w="105" w:type="dxa"/>
              <w:right w:w="105" w:type="dxa"/>
            </w:tcMar>
          </w:tcPr>
          <w:p w14:paraId="12B89ED5" w14:textId="73F28A2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39F3D374" w14:textId="5754DDF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40 to 44</w:t>
            </w:r>
          </w:p>
        </w:tc>
        <w:tc>
          <w:tcPr>
            <w:tcW w:w="1058" w:type="dxa"/>
            <w:tcMar>
              <w:left w:w="105" w:type="dxa"/>
              <w:right w:w="105" w:type="dxa"/>
            </w:tcMar>
          </w:tcPr>
          <w:p w14:paraId="6DE39FEE" w14:textId="3FE66C1E"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61C4F655" w14:textId="7EDF626D"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0.84</w:t>
            </w:r>
          </w:p>
        </w:tc>
      </w:tr>
      <w:tr w:rsidR="24AC020F" w14:paraId="01F34732" w14:textId="77777777" w:rsidTr="24AC020F">
        <w:trPr>
          <w:trHeight w:val="300"/>
        </w:trPr>
        <w:tc>
          <w:tcPr>
            <w:tcW w:w="5789" w:type="dxa"/>
            <w:tcMar>
              <w:left w:w="105" w:type="dxa"/>
              <w:right w:w="105" w:type="dxa"/>
            </w:tcMar>
          </w:tcPr>
          <w:p w14:paraId="7F16AF71" w14:textId="7CD58EB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36ED5D37" w14:textId="21B1C6A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45 to 49</w:t>
            </w:r>
          </w:p>
        </w:tc>
        <w:tc>
          <w:tcPr>
            <w:tcW w:w="1058" w:type="dxa"/>
            <w:tcMar>
              <w:left w:w="105" w:type="dxa"/>
              <w:right w:w="105" w:type="dxa"/>
            </w:tcMar>
          </w:tcPr>
          <w:p w14:paraId="417825E0" w14:textId="0063D705"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7CE68237" w14:textId="3F9C5FF3"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0.84</w:t>
            </w:r>
          </w:p>
        </w:tc>
      </w:tr>
      <w:tr w:rsidR="24AC020F" w14:paraId="6D818E51" w14:textId="77777777" w:rsidTr="24AC020F">
        <w:trPr>
          <w:trHeight w:val="300"/>
        </w:trPr>
        <w:tc>
          <w:tcPr>
            <w:tcW w:w="5789" w:type="dxa"/>
            <w:tcMar>
              <w:left w:w="105" w:type="dxa"/>
              <w:right w:w="105" w:type="dxa"/>
            </w:tcMar>
          </w:tcPr>
          <w:p w14:paraId="354EA952" w14:textId="0751942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0AD390BA" w14:textId="7C285967"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30 to 34</w:t>
            </w:r>
          </w:p>
        </w:tc>
        <w:tc>
          <w:tcPr>
            <w:tcW w:w="1058" w:type="dxa"/>
            <w:tcMar>
              <w:left w:w="105" w:type="dxa"/>
              <w:right w:w="105" w:type="dxa"/>
            </w:tcMar>
          </w:tcPr>
          <w:p w14:paraId="36A0F8CA" w14:textId="32E28664"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5A63104F" w14:textId="2341767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0.83</w:t>
            </w:r>
          </w:p>
        </w:tc>
      </w:tr>
      <w:tr w:rsidR="24AC020F" w14:paraId="74FE9731" w14:textId="77777777" w:rsidTr="24AC020F">
        <w:trPr>
          <w:trHeight w:val="300"/>
        </w:trPr>
        <w:tc>
          <w:tcPr>
            <w:tcW w:w="5789" w:type="dxa"/>
            <w:tcMar>
              <w:left w:w="105" w:type="dxa"/>
              <w:right w:w="105" w:type="dxa"/>
            </w:tcMar>
          </w:tcPr>
          <w:p w14:paraId="1C301318" w14:textId="7947817B"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Infections of bone, joints, and related organs</w:t>
            </w:r>
          </w:p>
        </w:tc>
        <w:tc>
          <w:tcPr>
            <w:tcW w:w="1616" w:type="dxa"/>
            <w:tcMar>
              <w:left w:w="105" w:type="dxa"/>
              <w:right w:w="105" w:type="dxa"/>
            </w:tcMar>
          </w:tcPr>
          <w:p w14:paraId="64D6BD95" w14:textId="64FA71F2"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20 to 24</w:t>
            </w:r>
          </w:p>
        </w:tc>
        <w:tc>
          <w:tcPr>
            <w:tcW w:w="1058" w:type="dxa"/>
            <w:tcMar>
              <w:left w:w="105" w:type="dxa"/>
              <w:right w:w="105" w:type="dxa"/>
            </w:tcMar>
          </w:tcPr>
          <w:p w14:paraId="1115B820" w14:textId="0E544B80"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0.99</w:t>
            </w:r>
          </w:p>
        </w:tc>
        <w:tc>
          <w:tcPr>
            <w:tcW w:w="896" w:type="dxa"/>
            <w:tcMar>
              <w:left w:w="105" w:type="dxa"/>
              <w:right w:w="105" w:type="dxa"/>
            </w:tcMar>
          </w:tcPr>
          <w:p w14:paraId="301DC96F" w14:textId="0CE72752" w:rsidR="24AC020F" w:rsidRDefault="24AC020F" w:rsidP="24AC020F">
            <w:pPr>
              <w:spacing w:line="259"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0.82</w:t>
            </w:r>
          </w:p>
        </w:tc>
      </w:tr>
      <w:tr w:rsidR="24AC020F" w14:paraId="36F8D35F" w14:textId="77777777" w:rsidTr="24AC020F">
        <w:trPr>
          <w:trHeight w:val="300"/>
        </w:trPr>
        <w:tc>
          <w:tcPr>
            <w:tcW w:w="5789" w:type="dxa"/>
            <w:tcMar>
              <w:left w:w="105" w:type="dxa"/>
              <w:right w:w="105" w:type="dxa"/>
            </w:tcMar>
          </w:tcPr>
          <w:p w14:paraId="2732F018" w14:textId="1C1F373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lastRenderedPageBreak/>
              <w:t>HAI urinary tract infections and pyelonephritis</w:t>
            </w:r>
          </w:p>
        </w:tc>
        <w:tc>
          <w:tcPr>
            <w:tcW w:w="1616" w:type="dxa"/>
            <w:tcMar>
              <w:left w:w="105" w:type="dxa"/>
              <w:right w:w="105" w:type="dxa"/>
            </w:tcMar>
          </w:tcPr>
          <w:p w14:paraId="3E6B80F3" w14:textId="2EE93EC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 to 39</w:t>
            </w:r>
          </w:p>
        </w:tc>
        <w:tc>
          <w:tcPr>
            <w:tcW w:w="1058" w:type="dxa"/>
            <w:tcMar>
              <w:left w:w="105" w:type="dxa"/>
              <w:right w:w="105" w:type="dxa"/>
            </w:tcMar>
          </w:tcPr>
          <w:p w14:paraId="05B92E99" w14:textId="1B12392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2ACAEDEA" w14:textId="4BABE0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0.77</w:t>
            </w:r>
          </w:p>
        </w:tc>
      </w:tr>
      <w:tr w:rsidR="24AC020F" w14:paraId="23A569C3" w14:textId="77777777" w:rsidTr="24AC020F">
        <w:trPr>
          <w:trHeight w:val="300"/>
        </w:trPr>
        <w:tc>
          <w:tcPr>
            <w:tcW w:w="5789" w:type="dxa"/>
            <w:tcMar>
              <w:left w:w="105" w:type="dxa"/>
              <w:right w:w="105" w:type="dxa"/>
            </w:tcMar>
          </w:tcPr>
          <w:p w14:paraId="3933AEA5" w14:textId="44A6590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HAI lower respiratory infections and all related infections in the thorax</w:t>
            </w:r>
          </w:p>
        </w:tc>
        <w:tc>
          <w:tcPr>
            <w:tcW w:w="1616" w:type="dxa"/>
            <w:tcMar>
              <w:left w:w="105" w:type="dxa"/>
              <w:right w:w="105" w:type="dxa"/>
            </w:tcMar>
          </w:tcPr>
          <w:p w14:paraId="61DFF185" w14:textId="1A4628B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Neonatal</w:t>
            </w:r>
          </w:p>
        </w:tc>
        <w:tc>
          <w:tcPr>
            <w:tcW w:w="1058" w:type="dxa"/>
            <w:tcMar>
              <w:left w:w="105" w:type="dxa"/>
              <w:right w:w="105" w:type="dxa"/>
            </w:tcMar>
          </w:tcPr>
          <w:p w14:paraId="63C0953D" w14:textId="745720C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0.99</w:t>
            </w:r>
          </w:p>
        </w:tc>
        <w:tc>
          <w:tcPr>
            <w:tcW w:w="896" w:type="dxa"/>
            <w:tcMar>
              <w:left w:w="105" w:type="dxa"/>
              <w:right w:w="105" w:type="dxa"/>
            </w:tcMar>
          </w:tcPr>
          <w:p w14:paraId="0FCDDA04" w14:textId="194AB80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0.50</w:t>
            </w:r>
          </w:p>
        </w:tc>
      </w:tr>
    </w:tbl>
    <w:p w14:paraId="4CE86E18" w14:textId="77FB5C52" w:rsidR="24AC020F" w:rsidRDefault="24AC020F" w:rsidP="24AC020F">
      <w:pPr>
        <w:keepNext/>
        <w:keepLines/>
        <w:spacing w:before="40" w:after="0"/>
        <w:rPr>
          <w:rFonts w:eastAsia="Times New Roman" w:cs="Times New Roman"/>
          <w:i/>
          <w:iCs/>
          <w:color w:val="1F3763"/>
          <w:szCs w:val="20"/>
        </w:rPr>
      </w:pPr>
    </w:p>
    <w:p w14:paraId="5EF5B4F7" w14:textId="3D3F0B47" w:rsidR="2EE7CF6C" w:rsidRPr="00BB63AF" w:rsidRDefault="2EE7CF6C" w:rsidP="00BB63AF">
      <w:pPr>
        <w:rPr>
          <w:rFonts w:eastAsiaTheme="majorEastAsia" w:cstheme="majorBidi"/>
          <w:i/>
          <w:color w:val="1F4D78" w:themeColor="accent1" w:themeShade="7F"/>
          <w:szCs w:val="24"/>
        </w:rPr>
      </w:pPr>
      <w:r w:rsidRPr="00BB63AF">
        <w:rPr>
          <w:rFonts w:eastAsiaTheme="majorEastAsia" w:cstheme="majorBidi"/>
          <w:i/>
          <w:color w:val="1F4D78" w:themeColor="accent1" w:themeShade="7F"/>
          <w:szCs w:val="24"/>
        </w:rPr>
        <w:t xml:space="preserve">Table </w:t>
      </w:r>
      <w:r w:rsidR="00A40698">
        <w:rPr>
          <w:rFonts w:eastAsiaTheme="majorEastAsia" w:cstheme="majorBidi"/>
          <w:i/>
          <w:color w:val="1F4D78" w:themeColor="accent1" w:themeShade="7F"/>
          <w:szCs w:val="24"/>
        </w:rPr>
        <w:t>3.2.6.2</w:t>
      </w:r>
      <w:r w:rsidRPr="00BB63AF">
        <w:rPr>
          <w:rFonts w:eastAsiaTheme="majorEastAsia" w:cstheme="majorBidi"/>
          <w:i/>
          <w:color w:val="1F4D78" w:themeColor="accent1" w:themeShade="7F"/>
          <w:szCs w:val="24"/>
        </w:rPr>
        <w:t>: Accuracy and AUC score for out-of-sample validation of sepsis models (GLOBAL)</w:t>
      </w:r>
    </w:p>
    <w:tbl>
      <w:tblPr>
        <w:tblStyle w:val="TableGrid"/>
        <w:tblW w:w="0" w:type="auto"/>
        <w:tblLayout w:type="fixed"/>
        <w:tblLook w:val="04A0" w:firstRow="1" w:lastRow="0" w:firstColumn="1" w:lastColumn="0" w:noHBand="0" w:noVBand="1"/>
      </w:tblPr>
      <w:tblGrid>
        <w:gridCol w:w="5789"/>
        <w:gridCol w:w="1616"/>
        <w:gridCol w:w="1058"/>
        <w:gridCol w:w="896"/>
      </w:tblGrid>
      <w:tr w:rsidR="24AC020F" w14:paraId="7A7C7C78" w14:textId="77777777" w:rsidTr="24AC020F">
        <w:trPr>
          <w:trHeight w:val="300"/>
        </w:trPr>
        <w:tc>
          <w:tcPr>
            <w:tcW w:w="5789" w:type="dxa"/>
            <w:shd w:val="clear" w:color="auto" w:fill="E7E6E6" w:themeFill="background2"/>
            <w:tcMar>
              <w:left w:w="105" w:type="dxa"/>
              <w:right w:w="105" w:type="dxa"/>
            </w:tcMar>
          </w:tcPr>
          <w:p w14:paraId="579E6720" w14:textId="5F3D7D3E"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Model</w:t>
            </w:r>
          </w:p>
        </w:tc>
        <w:tc>
          <w:tcPr>
            <w:tcW w:w="1616" w:type="dxa"/>
            <w:shd w:val="clear" w:color="auto" w:fill="E7E6E6" w:themeFill="background2"/>
            <w:tcMar>
              <w:left w:w="105" w:type="dxa"/>
              <w:right w:w="105" w:type="dxa"/>
            </w:tcMar>
          </w:tcPr>
          <w:p w14:paraId="40158147" w14:textId="5DEF92D1"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Age group name</w:t>
            </w:r>
          </w:p>
        </w:tc>
        <w:tc>
          <w:tcPr>
            <w:tcW w:w="1058" w:type="dxa"/>
            <w:shd w:val="clear" w:color="auto" w:fill="E7E6E6" w:themeFill="background2"/>
            <w:tcMar>
              <w:left w:w="105" w:type="dxa"/>
              <w:right w:w="105" w:type="dxa"/>
            </w:tcMar>
          </w:tcPr>
          <w:p w14:paraId="6C880F12" w14:textId="31A16407"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Accuracy</w:t>
            </w:r>
          </w:p>
        </w:tc>
        <w:tc>
          <w:tcPr>
            <w:tcW w:w="896" w:type="dxa"/>
            <w:shd w:val="clear" w:color="auto" w:fill="E7E6E6" w:themeFill="background2"/>
            <w:tcMar>
              <w:left w:w="105" w:type="dxa"/>
              <w:right w:w="105" w:type="dxa"/>
            </w:tcMar>
          </w:tcPr>
          <w:p w14:paraId="7A6E5542" w14:textId="1779515B"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AUC score</w:t>
            </w:r>
          </w:p>
        </w:tc>
      </w:tr>
      <w:tr w:rsidR="24AC020F" w14:paraId="098F564E" w14:textId="77777777" w:rsidTr="24AC020F">
        <w:trPr>
          <w:trHeight w:val="300"/>
        </w:trPr>
        <w:tc>
          <w:tcPr>
            <w:tcW w:w="5789" w:type="dxa"/>
            <w:tcMar>
              <w:left w:w="105" w:type="dxa"/>
              <w:right w:w="105" w:type="dxa"/>
            </w:tcMar>
          </w:tcPr>
          <w:p w14:paraId="5004F1E4" w14:textId="18E72A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61787845" w14:textId="5003376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25 to 29</w:t>
            </w:r>
          </w:p>
        </w:tc>
        <w:tc>
          <w:tcPr>
            <w:tcW w:w="1058" w:type="dxa"/>
            <w:tcMar>
              <w:left w:w="105" w:type="dxa"/>
              <w:right w:w="105" w:type="dxa"/>
            </w:tcMar>
          </w:tcPr>
          <w:p w14:paraId="60700C58" w14:textId="78B11BC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79B1E7F9" w14:textId="2AFA64E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r>
      <w:tr w:rsidR="24AC020F" w14:paraId="300DF888" w14:textId="77777777" w:rsidTr="24AC020F">
        <w:trPr>
          <w:trHeight w:val="300"/>
        </w:trPr>
        <w:tc>
          <w:tcPr>
            <w:tcW w:w="5789" w:type="dxa"/>
            <w:tcMar>
              <w:left w:w="105" w:type="dxa"/>
              <w:right w:w="105" w:type="dxa"/>
            </w:tcMar>
          </w:tcPr>
          <w:p w14:paraId="418DEE78" w14:textId="6A4EB81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6D980507" w14:textId="0863446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15 to 19</w:t>
            </w:r>
          </w:p>
        </w:tc>
        <w:tc>
          <w:tcPr>
            <w:tcW w:w="1058" w:type="dxa"/>
            <w:tcMar>
              <w:left w:w="105" w:type="dxa"/>
              <w:right w:w="105" w:type="dxa"/>
            </w:tcMar>
          </w:tcPr>
          <w:p w14:paraId="49973CD5" w14:textId="6DED26B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4FE1DFEE" w14:textId="02200C8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610875B1" w14:textId="77777777" w:rsidTr="24AC020F">
        <w:trPr>
          <w:trHeight w:val="300"/>
        </w:trPr>
        <w:tc>
          <w:tcPr>
            <w:tcW w:w="5789" w:type="dxa"/>
            <w:tcMar>
              <w:left w:w="105" w:type="dxa"/>
              <w:right w:w="105" w:type="dxa"/>
            </w:tcMar>
          </w:tcPr>
          <w:p w14:paraId="2AA453CE" w14:textId="43F209C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425B493D" w14:textId="66F0D13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20 to 24</w:t>
            </w:r>
          </w:p>
        </w:tc>
        <w:tc>
          <w:tcPr>
            <w:tcW w:w="1058" w:type="dxa"/>
            <w:tcMar>
              <w:left w:w="105" w:type="dxa"/>
              <w:right w:w="105" w:type="dxa"/>
            </w:tcMar>
          </w:tcPr>
          <w:p w14:paraId="526F2E34" w14:textId="4D58EB4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2C6DB432" w14:textId="3ED8C07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2CB7ECFC" w14:textId="77777777" w:rsidTr="24AC020F">
        <w:trPr>
          <w:trHeight w:val="300"/>
        </w:trPr>
        <w:tc>
          <w:tcPr>
            <w:tcW w:w="5789" w:type="dxa"/>
            <w:tcMar>
              <w:left w:w="105" w:type="dxa"/>
              <w:right w:w="105" w:type="dxa"/>
            </w:tcMar>
          </w:tcPr>
          <w:p w14:paraId="62A06BFB" w14:textId="51DE702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54E176CB" w14:textId="1C21BC2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30 to 34</w:t>
            </w:r>
          </w:p>
        </w:tc>
        <w:tc>
          <w:tcPr>
            <w:tcW w:w="1058" w:type="dxa"/>
            <w:tcMar>
              <w:left w:w="105" w:type="dxa"/>
              <w:right w:w="105" w:type="dxa"/>
            </w:tcMar>
          </w:tcPr>
          <w:p w14:paraId="1FEA5128" w14:textId="761BAB0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20144D94" w14:textId="7F5BE84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r>
      <w:tr w:rsidR="24AC020F" w14:paraId="6DDC0B40" w14:textId="77777777" w:rsidTr="24AC020F">
        <w:trPr>
          <w:trHeight w:val="300"/>
        </w:trPr>
        <w:tc>
          <w:tcPr>
            <w:tcW w:w="5789" w:type="dxa"/>
            <w:tcMar>
              <w:left w:w="105" w:type="dxa"/>
              <w:right w:w="105" w:type="dxa"/>
            </w:tcMar>
          </w:tcPr>
          <w:p w14:paraId="3C66F46A" w14:textId="6CFFA4E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D5731AE" w14:textId="025D87C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 to 4</w:t>
            </w:r>
          </w:p>
        </w:tc>
        <w:tc>
          <w:tcPr>
            <w:tcW w:w="1058" w:type="dxa"/>
            <w:tcMar>
              <w:left w:w="105" w:type="dxa"/>
              <w:right w:w="105" w:type="dxa"/>
            </w:tcMar>
          </w:tcPr>
          <w:p w14:paraId="1DC831A5" w14:textId="1D68E5F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c>
          <w:tcPr>
            <w:tcW w:w="896" w:type="dxa"/>
            <w:tcMar>
              <w:left w:w="105" w:type="dxa"/>
              <w:right w:w="105" w:type="dxa"/>
            </w:tcMar>
          </w:tcPr>
          <w:p w14:paraId="2DE29CBC" w14:textId="75BB965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1DBE5EBA" w14:textId="77777777" w:rsidTr="24AC020F">
        <w:trPr>
          <w:trHeight w:val="300"/>
        </w:trPr>
        <w:tc>
          <w:tcPr>
            <w:tcW w:w="5789" w:type="dxa"/>
            <w:tcMar>
              <w:left w:w="105" w:type="dxa"/>
              <w:right w:w="105" w:type="dxa"/>
            </w:tcMar>
          </w:tcPr>
          <w:p w14:paraId="5B9CE057" w14:textId="234FA24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6F84E6A4" w14:textId="69A11AD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35 to 39</w:t>
            </w:r>
          </w:p>
        </w:tc>
        <w:tc>
          <w:tcPr>
            <w:tcW w:w="1058" w:type="dxa"/>
            <w:tcMar>
              <w:left w:w="105" w:type="dxa"/>
              <w:right w:w="105" w:type="dxa"/>
            </w:tcMar>
          </w:tcPr>
          <w:p w14:paraId="3ABBC4A3" w14:textId="5E5B7CC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588548D5" w14:textId="1E4900F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r>
      <w:tr w:rsidR="24AC020F" w14:paraId="23AB18A8" w14:textId="77777777" w:rsidTr="24AC020F">
        <w:trPr>
          <w:trHeight w:val="300"/>
        </w:trPr>
        <w:tc>
          <w:tcPr>
            <w:tcW w:w="5789" w:type="dxa"/>
            <w:tcMar>
              <w:left w:w="105" w:type="dxa"/>
              <w:right w:w="105" w:type="dxa"/>
            </w:tcMar>
          </w:tcPr>
          <w:p w14:paraId="646010AF" w14:textId="3E547D0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F2AC6DF" w14:textId="5BD84FF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 to 9</w:t>
            </w:r>
          </w:p>
        </w:tc>
        <w:tc>
          <w:tcPr>
            <w:tcW w:w="1058" w:type="dxa"/>
            <w:tcMar>
              <w:left w:w="105" w:type="dxa"/>
              <w:right w:w="105" w:type="dxa"/>
            </w:tcMar>
          </w:tcPr>
          <w:p w14:paraId="264E057C" w14:textId="25A2F21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c>
          <w:tcPr>
            <w:tcW w:w="896" w:type="dxa"/>
            <w:tcMar>
              <w:left w:w="105" w:type="dxa"/>
              <w:right w:w="105" w:type="dxa"/>
            </w:tcMar>
          </w:tcPr>
          <w:p w14:paraId="058CCB42" w14:textId="7C864A5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57BC51D3" w14:textId="77777777" w:rsidTr="24AC020F">
        <w:trPr>
          <w:trHeight w:val="300"/>
        </w:trPr>
        <w:tc>
          <w:tcPr>
            <w:tcW w:w="5789" w:type="dxa"/>
            <w:tcMar>
              <w:left w:w="105" w:type="dxa"/>
              <w:right w:w="105" w:type="dxa"/>
            </w:tcMar>
          </w:tcPr>
          <w:p w14:paraId="3A05F9F8" w14:textId="44DFD22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27C1B2B1" w14:textId="210B9CF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10 to 14</w:t>
            </w:r>
          </w:p>
        </w:tc>
        <w:tc>
          <w:tcPr>
            <w:tcW w:w="1058" w:type="dxa"/>
            <w:tcMar>
              <w:left w:w="105" w:type="dxa"/>
              <w:right w:w="105" w:type="dxa"/>
            </w:tcMar>
          </w:tcPr>
          <w:p w14:paraId="113D2BB6" w14:textId="0955667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c>
          <w:tcPr>
            <w:tcW w:w="896" w:type="dxa"/>
            <w:tcMar>
              <w:left w:w="105" w:type="dxa"/>
              <w:right w:w="105" w:type="dxa"/>
            </w:tcMar>
          </w:tcPr>
          <w:p w14:paraId="7F0549EC" w14:textId="2B331D9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5D671E53" w14:textId="77777777" w:rsidTr="24AC020F">
        <w:trPr>
          <w:trHeight w:val="300"/>
        </w:trPr>
        <w:tc>
          <w:tcPr>
            <w:tcW w:w="5789" w:type="dxa"/>
            <w:tcMar>
              <w:left w:w="105" w:type="dxa"/>
              <w:right w:w="105" w:type="dxa"/>
            </w:tcMar>
          </w:tcPr>
          <w:p w14:paraId="62A28C5C" w14:textId="2C20836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4D6E1E52" w14:textId="6739705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95 plus</w:t>
            </w:r>
          </w:p>
        </w:tc>
        <w:tc>
          <w:tcPr>
            <w:tcW w:w="1058" w:type="dxa"/>
            <w:tcMar>
              <w:left w:w="105" w:type="dxa"/>
              <w:right w:w="105" w:type="dxa"/>
            </w:tcMar>
          </w:tcPr>
          <w:p w14:paraId="4CF83A5B" w14:textId="5E29217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09817ECD" w14:textId="084764C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0.92</w:t>
            </w:r>
          </w:p>
        </w:tc>
      </w:tr>
      <w:tr w:rsidR="24AC020F" w14:paraId="0031D216" w14:textId="77777777" w:rsidTr="24AC020F">
        <w:trPr>
          <w:trHeight w:val="300"/>
        </w:trPr>
        <w:tc>
          <w:tcPr>
            <w:tcW w:w="5789" w:type="dxa"/>
            <w:tcMar>
              <w:left w:w="105" w:type="dxa"/>
              <w:right w:w="105" w:type="dxa"/>
            </w:tcMar>
          </w:tcPr>
          <w:p w14:paraId="02C840B2" w14:textId="66BB2EE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6F561A9" w14:textId="387026A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40 to 44</w:t>
            </w:r>
          </w:p>
        </w:tc>
        <w:tc>
          <w:tcPr>
            <w:tcW w:w="1058" w:type="dxa"/>
            <w:tcMar>
              <w:left w:w="105" w:type="dxa"/>
              <w:right w:w="105" w:type="dxa"/>
            </w:tcMar>
          </w:tcPr>
          <w:p w14:paraId="0354CCAD" w14:textId="736BE8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189CE0E3" w14:textId="153BB24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r>
      <w:tr w:rsidR="24AC020F" w14:paraId="6844166A" w14:textId="77777777" w:rsidTr="24AC020F">
        <w:trPr>
          <w:trHeight w:val="300"/>
        </w:trPr>
        <w:tc>
          <w:tcPr>
            <w:tcW w:w="5789" w:type="dxa"/>
            <w:tcMar>
              <w:left w:w="105" w:type="dxa"/>
              <w:right w:w="105" w:type="dxa"/>
            </w:tcMar>
          </w:tcPr>
          <w:p w14:paraId="69E259B2" w14:textId="71640E3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4BCA23CE" w14:textId="71E5EF2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90 to 94</w:t>
            </w:r>
          </w:p>
        </w:tc>
        <w:tc>
          <w:tcPr>
            <w:tcW w:w="1058" w:type="dxa"/>
            <w:tcMar>
              <w:left w:w="105" w:type="dxa"/>
              <w:right w:w="105" w:type="dxa"/>
            </w:tcMar>
          </w:tcPr>
          <w:p w14:paraId="1A97B620" w14:textId="2854DF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288F7F27" w14:textId="031CC82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0.90</w:t>
            </w:r>
          </w:p>
        </w:tc>
      </w:tr>
      <w:tr w:rsidR="24AC020F" w14:paraId="761E293C" w14:textId="77777777" w:rsidTr="24AC020F">
        <w:trPr>
          <w:trHeight w:val="300"/>
        </w:trPr>
        <w:tc>
          <w:tcPr>
            <w:tcW w:w="5789" w:type="dxa"/>
            <w:tcMar>
              <w:left w:w="105" w:type="dxa"/>
              <w:right w:w="105" w:type="dxa"/>
            </w:tcMar>
          </w:tcPr>
          <w:p w14:paraId="51DCF159" w14:textId="753503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0D8B614" w14:textId="2668939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Post Neonatal</w:t>
            </w:r>
          </w:p>
        </w:tc>
        <w:tc>
          <w:tcPr>
            <w:tcW w:w="1058" w:type="dxa"/>
            <w:tcMar>
              <w:left w:w="105" w:type="dxa"/>
              <w:right w:w="105" w:type="dxa"/>
            </w:tcMar>
          </w:tcPr>
          <w:p w14:paraId="6B5CD1D1" w14:textId="055D680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c>
          <w:tcPr>
            <w:tcW w:w="896" w:type="dxa"/>
            <w:tcMar>
              <w:left w:w="105" w:type="dxa"/>
              <w:right w:w="105" w:type="dxa"/>
            </w:tcMar>
          </w:tcPr>
          <w:p w14:paraId="015D6735" w14:textId="05E47C3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0.89</w:t>
            </w:r>
          </w:p>
        </w:tc>
      </w:tr>
      <w:tr w:rsidR="24AC020F" w14:paraId="01CC4140" w14:textId="77777777" w:rsidTr="24AC020F">
        <w:trPr>
          <w:trHeight w:val="300"/>
        </w:trPr>
        <w:tc>
          <w:tcPr>
            <w:tcW w:w="5789" w:type="dxa"/>
            <w:tcMar>
              <w:left w:w="105" w:type="dxa"/>
              <w:right w:w="105" w:type="dxa"/>
            </w:tcMar>
          </w:tcPr>
          <w:p w14:paraId="42D48A15" w14:textId="308CBB9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44394813" w14:textId="2B36E81C"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Late Neonatal</w:t>
            </w:r>
          </w:p>
        </w:tc>
        <w:tc>
          <w:tcPr>
            <w:tcW w:w="1058" w:type="dxa"/>
            <w:tcMar>
              <w:left w:w="105" w:type="dxa"/>
              <w:right w:w="105" w:type="dxa"/>
            </w:tcMar>
          </w:tcPr>
          <w:p w14:paraId="7FA933E8" w14:textId="6541A6F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c>
          <w:tcPr>
            <w:tcW w:w="896" w:type="dxa"/>
            <w:tcMar>
              <w:left w:w="105" w:type="dxa"/>
              <w:right w:w="105" w:type="dxa"/>
            </w:tcMar>
          </w:tcPr>
          <w:p w14:paraId="66F2A001" w14:textId="6FED279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r>
      <w:tr w:rsidR="24AC020F" w14:paraId="487C1FC7" w14:textId="77777777" w:rsidTr="24AC020F">
        <w:trPr>
          <w:trHeight w:val="300"/>
        </w:trPr>
        <w:tc>
          <w:tcPr>
            <w:tcW w:w="5789" w:type="dxa"/>
            <w:tcMar>
              <w:left w:w="105" w:type="dxa"/>
              <w:right w:w="105" w:type="dxa"/>
            </w:tcMar>
          </w:tcPr>
          <w:p w14:paraId="3FEC0D4B" w14:textId="4C7C1D1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19C982F1" w14:textId="72A95F8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45 to 49</w:t>
            </w:r>
          </w:p>
        </w:tc>
        <w:tc>
          <w:tcPr>
            <w:tcW w:w="1058" w:type="dxa"/>
            <w:tcMar>
              <w:left w:w="105" w:type="dxa"/>
              <w:right w:w="105" w:type="dxa"/>
            </w:tcMar>
          </w:tcPr>
          <w:p w14:paraId="5A85991A" w14:textId="6F187F0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011BB9E9" w14:textId="0B8F676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r>
      <w:tr w:rsidR="24AC020F" w14:paraId="58F65F5E" w14:textId="77777777" w:rsidTr="24AC020F">
        <w:trPr>
          <w:trHeight w:val="300"/>
        </w:trPr>
        <w:tc>
          <w:tcPr>
            <w:tcW w:w="5789" w:type="dxa"/>
            <w:tcMar>
              <w:left w:w="105" w:type="dxa"/>
              <w:right w:w="105" w:type="dxa"/>
            </w:tcMar>
          </w:tcPr>
          <w:p w14:paraId="5B88321C" w14:textId="7846756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CEFD8E4" w14:textId="6350570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85 to 89</w:t>
            </w:r>
          </w:p>
        </w:tc>
        <w:tc>
          <w:tcPr>
            <w:tcW w:w="1058" w:type="dxa"/>
            <w:tcMar>
              <w:left w:w="105" w:type="dxa"/>
              <w:right w:w="105" w:type="dxa"/>
            </w:tcMar>
          </w:tcPr>
          <w:p w14:paraId="1EB53BDA" w14:textId="0B9FCB8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40BAF9C9" w14:textId="4FC9B0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0.88</w:t>
            </w:r>
          </w:p>
        </w:tc>
      </w:tr>
      <w:tr w:rsidR="24AC020F" w14:paraId="19F66913" w14:textId="77777777" w:rsidTr="24AC020F">
        <w:trPr>
          <w:trHeight w:val="300"/>
        </w:trPr>
        <w:tc>
          <w:tcPr>
            <w:tcW w:w="5789" w:type="dxa"/>
            <w:tcMar>
              <w:left w:w="105" w:type="dxa"/>
              <w:right w:w="105" w:type="dxa"/>
            </w:tcMar>
          </w:tcPr>
          <w:p w14:paraId="0DB5B47B" w14:textId="1A868A6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27C8DDDC" w14:textId="34CAEBA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Early Neonatal</w:t>
            </w:r>
          </w:p>
        </w:tc>
        <w:tc>
          <w:tcPr>
            <w:tcW w:w="1058" w:type="dxa"/>
            <w:tcMar>
              <w:left w:w="105" w:type="dxa"/>
              <w:right w:w="105" w:type="dxa"/>
            </w:tcMar>
          </w:tcPr>
          <w:p w14:paraId="7E3DCF82" w14:textId="4641D65A"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0.91</w:t>
            </w:r>
          </w:p>
        </w:tc>
        <w:tc>
          <w:tcPr>
            <w:tcW w:w="896" w:type="dxa"/>
            <w:tcMar>
              <w:left w:w="105" w:type="dxa"/>
              <w:right w:w="105" w:type="dxa"/>
            </w:tcMar>
          </w:tcPr>
          <w:p w14:paraId="493A87D8" w14:textId="1118295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59670A31" w14:textId="77777777" w:rsidTr="24AC020F">
        <w:trPr>
          <w:trHeight w:val="300"/>
        </w:trPr>
        <w:tc>
          <w:tcPr>
            <w:tcW w:w="5789" w:type="dxa"/>
            <w:tcMar>
              <w:left w:w="105" w:type="dxa"/>
              <w:right w:w="105" w:type="dxa"/>
            </w:tcMar>
          </w:tcPr>
          <w:p w14:paraId="11BCAFBB" w14:textId="5F063AB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43836E43" w14:textId="393C2AC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80 to 84</w:t>
            </w:r>
          </w:p>
        </w:tc>
        <w:tc>
          <w:tcPr>
            <w:tcW w:w="1058" w:type="dxa"/>
            <w:tcMar>
              <w:left w:w="105" w:type="dxa"/>
              <w:right w:w="105" w:type="dxa"/>
            </w:tcMar>
          </w:tcPr>
          <w:p w14:paraId="5A83FC26" w14:textId="579AE3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0.96</w:t>
            </w:r>
          </w:p>
        </w:tc>
        <w:tc>
          <w:tcPr>
            <w:tcW w:w="896" w:type="dxa"/>
            <w:tcMar>
              <w:left w:w="105" w:type="dxa"/>
              <w:right w:w="105" w:type="dxa"/>
            </w:tcMar>
          </w:tcPr>
          <w:p w14:paraId="4B64957D" w14:textId="5595501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0.87</w:t>
            </w:r>
          </w:p>
        </w:tc>
      </w:tr>
      <w:tr w:rsidR="24AC020F" w14:paraId="558BE02A" w14:textId="77777777" w:rsidTr="24AC020F">
        <w:trPr>
          <w:trHeight w:val="300"/>
        </w:trPr>
        <w:tc>
          <w:tcPr>
            <w:tcW w:w="5789" w:type="dxa"/>
            <w:tcMar>
              <w:left w:w="105" w:type="dxa"/>
              <w:right w:w="105" w:type="dxa"/>
            </w:tcMar>
          </w:tcPr>
          <w:p w14:paraId="38BD6778" w14:textId="29D48034"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071B065F" w14:textId="6C093D3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50 to 54</w:t>
            </w:r>
          </w:p>
        </w:tc>
        <w:tc>
          <w:tcPr>
            <w:tcW w:w="1058" w:type="dxa"/>
            <w:tcMar>
              <w:left w:w="105" w:type="dxa"/>
              <w:right w:w="105" w:type="dxa"/>
            </w:tcMar>
          </w:tcPr>
          <w:p w14:paraId="7FA6B161" w14:textId="68E186F0"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0.93</w:t>
            </w:r>
          </w:p>
        </w:tc>
        <w:tc>
          <w:tcPr>
            <w:tcW w:w="896" w:type="dxa"/>
            <w:tcMar>
              <w:left w:w="105" w:type="dxa"/>
              <w:right w:w="105" w:type="dxa"/>
            </w:tcMar>
          </w:tcPr>
          <w:p w14:paraId="05543E3D" w14:textId="09F579F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0.86</w:t>
            </w:r>
          </w:p>
        </w:tc>
      </w:tr>
      <w:tr w:rsidR="24AC020F" w14:paraId="58F431A8" w14:textId="77777777" w:rsidTr="24AC020F">
        <w:trPr>
          <w:trHeight w:val="300"/>
        </w:trPr>
        <w:tc>
          <w:tcPr>
            <w:tcW w:w="5789" w:type="dxa"/>
            <w:tcMar>
              <w:left w:w="105" w:type="dxa"/>
              <w:right w:w="105" w:type="dxa"/>
            </w:tcMar>
          </w:tcPr>
          <w:p w14:paraId="7CABD97D" w14:textId="5AF911A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1F6F48D8" w14:textId="37B2C0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75 to 79</w:t>
            </w:r>
          </w:p>
        </w:tc>
        <w:tc>
          <w:tcPr>
            <w:tcW w:w="1058" w:type="dxa"/>
            <w:tcMar>
              <w:left w:w="105" w:type="dxa"/>
              <w:right w:w="105" w:type="dxa"/>
            </w:tcMar>
          </w:tcPr>
          <w:p w14:paraId="644BD0D8" w14:textId="192FD0D6"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68DBA921" w14:textId="2D02D2F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0.85</w:t>
            </w:r>
          </w:p>
        </w:tc>
      </w:tr>
      <w:tr w:rsidR="24AC020F" w14:paraId="3BCBC56D" w14:textId="77777777" w:rsidTr="24AC020F">
        <w:trPr>
          <w:trHeight w:val="300"/>
        </w:trPr>
        <w:tc>
          <w:tcPr>
            <w:tcW w:w="5789" w:type="dxa"/>
            <w:tcMar>
              <w:left w:w="105" w:type="dxa"/>
              <w:right w:w="105" w:type="dxa"/>
            </w:tcMar>
          </w:tcPr>
          <w:p w14:paraId="1CF474BF" w14:textId="471000C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5F7CEE2B" w14:textId="427643C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55 to 59</w:t>
            </w:r>
          </w:p>
        </w:tc>
        <w:tc>
          <w:tcPr>
            <w:tcW w:w="1058" w:type="dxa"/>
            <w:tcMar>
              <w:left w:w="105" w:type="dxa"/>
              <w:right w:w="105" w:type="dxa"/>
            </w:tcMar>
          </w:tcPr>
          <w:p w14:paraId="4D00289D" w14:textId="2EB9E08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71563384" w14:textId="31DF89A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0.84</w:t>
            </w:r>
          </w:p>
        </w:tc>
      </w:tr>
      <w:tr w:rsidR="24AC020F" w14:paraId="5D47077D" w14:textId="77777777" w:rsidTr="24AC020F">
        <w:trPr>
          <w:trHeight w:val="300"/>
        </w:trPr>
        <w:tc>
          <w:tcPr>
            <w:tcW w:w="5789" w:type="dxa"/>
            <w:tcMar>
              <w:left w:w="105" w:type="dxa"/>
              <w:right w:w="105" w:type="dxa"/>
            </w:tcMar>
          </w:tcPr>
          <w:p w14:paraId="3A2199FD" w14:textId="7C52D7A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6A60798F" w14:textId="38ECF8B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70 to 74</w:t>
            </w:r>
          </w:p>
        </w:tc>
        <w:tc>
          <w:tcPr>
            <w:tcW w:w="1058" w:type="dxa"/>
            <w:tcMar>
              <w:left w:w="105" w:type="dxa"/>
              <w:right w:w="105" w:type="dxa"/>
            </w:tcMar>
          </w:tcPr>
          <w:p w14:paraId="4707C55A" w14:textId="72825D2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0.95</w:t>
            </w:r>
          </w:p>
        </w:tc>
        <w:tc>
          <w:tcPr>
            <w:tcW w:w="896" w:type="dxa"/>
            <w:tcMar>
              <w:left w:w="105" w:type="dxa"/>
              <w:right w:w="105" w:type="dxa"/>
            </w:tcMar>
          </w:tcPr>
          <w:p w14:paraId="6D932D42" w14:textId="6066F53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0.84</w:t>
            </w:r>
          </w:p>
        </w:tc>
      </w:tr>
      <w:tr w:rsidR="24AC020F" w14:paraId="1002B1ED" w14:textId="77777777" w:rsidTr="24AC020F">
        <w:trPr>
          <w:trHeight w:val="300"/>
        </w:trPr>
        <w:tc>
          <w:tcPr>
            <w:tcW w:w="5789" w:type="dxa"/>
            <w:tcMar>
              <w:left w:w="105" w:type="dxa"/>
              <w:right w:w="105" w:type="dxa"/>
            </w:tcMar>
          </w:tcPr>
          <w:p w14:paraId="377A5C4A" w14:textId="7DA9E0E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27B9B337" w14:textId="7674595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60 to 64</w:t>
            </w:r>
          </w:p>
        </w:tc>
        <w:tc>
          <w:tcPr>
            <w:tcW w:w="1058" w:type="dxa"/>
            <w:tcMar>
              <w:left w:w="105" w:type="dxa"/>
              <w:right w:w="105" w:type="dxa"/>
            </w:tcMar>
          </w:tcPr>
          <w:p w14:paraId="7DA9969C" w14:textId="66D48CA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55637431" w14:textId="1C44A63F"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0.83</w:t>
            </w:r>
          </w:p>
        </w:tc>
      </w:tr>
      <w:tr w:rsidR="24AC020F" w14:paraId="6E3AC947" w14:textId="77777777" w:rsidTr="24AC020F">
        <w:trPr>
          <w:trHeight w:val="300"/>
        </w:trPr>
        <w:tc>
          <w:tcPr>
            <w:tcW w:w="5789" w:type="dxa"/>
            <w:tcMar>
              <w:left w:w="105" w:type="dxa"/>
              <w:right w:w="105" w:type="dxa"/>
            </w:tcMar>
          </w:tcPr>
          <w:p w14:paraId="30B3C373" w14:textId="5A2096F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Sepsis</w:t>
            </w:r>
          </w:p>
        </w:tc>
        <w:tc>
          <w:tcPr>
            <w:tcW w:w="1616" w:type="dxa"/>
            <w:tcMar>
              <w:left w:w="105" w:type="dxa"/>
              <w:right w:w="105" w:type="dxa"/>
            </w:tcMar>
          </w:tcPr>
          <w:p w14:paraId="646539FB" w14:textId="22E41DA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65 to 69</w:t>
            </w:r>
          </w:p>
        </w:tc>
        <w:tc>
          <w:tcPr>
            <w:tcW w:w="1058" w:type="dxa"/>
            <w:tcMar>
              <w:left w:w="105" w:type="dxa"/>
              <w:right w:w="105" w:type="dxa"/>
            </w:tcMar>
          </w:tcPr>
          <w:p w14:paraId="58B15B25" w14:textId="4FCB6A7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0.94</w:t>
            </w:r>
          </w:p>
        </w:tc>
        <w:tc>
          <w:tcPr>
            <w:tcW w:w="896" w:type="dxa"/>
            <w:tcMar>
              <w:left w:w="105" w:type="dxa"/>
              <w:right w:w="105" w:type="dxa"/>
            </w:tcMar>
          </w:tcPr>
          <w:p w14:paraId="0038B9B5" w14:textId="06186A8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0.83</w:t>
            </w:r>
          </w:p>
        </w:tc>
      </w:tr>
    </w:tbl>
    <w:p w14:paraId="1E883FE0" w14:textId="37174F19" w:rsidR="28701D63" w:rsidRDefault="28701D63" w:rsidP="24AC020F">
      <w:pPr>
        <w:spacing w:line="257" w:lineRule="auto"/>
        <w:rPr>
          <w:rFonts w:cs="Times New Roman"/>
        </w:rPr>
      </w:pPr>
      <w:r w:rsidRPr="24AC020F">
        <w:rPr>
          <w:rFonts w:cs="Times New Roman"/>
        </w:rPr>
        <w:t xml:space="preserve"> </w:t>
      </w:r>
    </w:p>
    <w:p w14:paraId="7004A1A1" w14:textId="4C779BDA" w:rsidR="6B99E739" w:rsidRDefault="6B99E739" w:rsidP="082F9667">
      <w:pPr>
        <w:pStyle w:val="Heading2"/>
      </w:pPr>
      <w:bookmarkStart w:id="13" w:name="_Toc135992045"/>
      <w:r w:rsidRPr="082F9667">
        <w:rPr>
          <w:rFonts w:eastAsia="Times New Roman" w:cs="Times New Roman"/>
          <w:bCs/>
          <w:color w:val="2F5496" w:themeColor="accent5" w:themeShade="BF"/>
          <w:szCs w:val="20"/>
        </w:rPr>
        <w:t>Section 3.3: Case fatality ratios</w:t>
      </w:r>
      <w:bookmarkEnd w:id="13"/>
    </w:p>
    <w:p w14:paraId="27070C82" w14:textId="6D35287B" w:rsidR="6B99E739" w:rsidRPr="004741C6" w:rsidRDefault="6B99E739" w:rsidP="00283316">
      <w:pPr>
        <w:spacing w:after="0"/>
        <w:rPr>
          <w:rFonts w:eastAsiaTheme="majorEastAsia" w:cstheme="majorBidi"/>
          <w:i/>
          <w:color w:val="1F4D78" w:themeColor="accent1" w:themeShade="7F"/>
          <w:szCs w:val="24"/>
        </w:rPr>
      </w:pPr>
      <w:r w:rsidRPr="004741C6">
        <w:rPr>
          <w:rFonts w:eastAsiaTheme="majorEastAsia" w:cstheme="majorBidi"/>
          <w:i/>
          <w:color w:val="1F4D78" w:themeColor="accent1" w:themeShade="7F"/>
          <w:szCs w:val="24"/>
        </w:rPr>
        <w:t xml:space="preserve">Section 3.3.1: Input data </w:t>
      </w:r>
    </w:p>
    <w:p w14:paraId="5FC27EF3" w14:textId="59526FF1" w:rsidR="6B99E739" w:rsidRDefault="6B99E739" w:rsidP="00283316">
      <w:pPr>
        <w:spacing w:after="0" w:line="257" w:lineRule="auto"/>
        <w:rPr>
          <w:rFonts w:eastAsia="Times New Roman" w:cs="Times New Roman"/>
          <w:szCs w:val="20"/>
        </w:rPr>
      </w:pPr>
      <w:r w:rsidRPr="0075311D">
        <w:rPr>
          <w:rFonts w:eastAsia="Times New Roman" w:cs="Times New Roman"/>
          <w:szCs w:val="20"/>
        </w:rPr>
        <w:t>Case fatality ratios (CFRs) were modelled for the pathogens and infectious syndromes of interest using all available data detailing the organism responsible for infection, the infectious syndrome, and patient outcome, which included hospital and microbial data. Input data for the CFR models were aggregated based on data source, year, GBD location, and age group (as well as hospital/community acquired status, in the case of the lower respiratory and urogenital infectious models). For lower respiratory and blood stream infections, for which CFRs could be vastly different in neonates, we modelled the following age groups: neonatal, post-neonatal–5 years, 5–50 years, 50–70 years, and 70 years and older. For all other infectious syndromes, we modelled the following age groups: neonatal–5 years, 5–50 years, 50–70 years, and 70 years and older. We excluded from the analysis any source-location-year-age with fewer than five cases and zero deaths.</w:t>
      </w:r>
    </w:p>
    <w:p w14:paraId="51F2FCC2" w14:textId="77777777" w:rsidR="00283316" w:rsidRPr="0075311D" w:rsidRDefault="00283316" w:rsidP="00283316">
      <w:pPr>
        <w:spacing w:after="0" w:line="257" w:lineRule="auto"/>
        <w:rPr>
          <w:rFonts w:cs="Times New Roman"/>
          <w:szCs w:val="20"/>
        </w:rPr>
      </w:pPr>
    </w:p>
    <w:p w14:paraId="30892077" w14:textId="49F2C3C9" w:rsidR="6B99E739" w:rsidRPr="0075311D" w:rsidRDefault="6B99E739" w:rsidP="00BB63AF">
      <w:pPr>
        <w:rPr>
          <w:rFonts w:cs="Times New Roman"/>
          <w:szCs w:val="20"/>
        </w:rPr>
      </w:pPr>
      <w:r w:rsidRPr="0075311D">
        <w:rPr>
          <w:rFonts w:eastAsia="Times New Roman" w:cs="Times New Roman"/>
          <w:szCs w:val="20"/>
        </w:rPr>
        <w:t xml:space="preserve">To allow us to implement linear models, CFRs were logit-transformed. We used the delta method to compute the standard error of CFRs in logit space. To incorporate data with zero deaths, or with an equal number of deaths and </w:t>
      </w:r>
      <w:r w:rsidRPr="0075311D">
        <w:rPr>
          <w:rFonts w:eastAsia="Times New Roman" w:cs="Times New Roman"/>
          <w:szCs w:val="20"/>
        </w:rPr>
        <w:lastRenderedPageBreak/>
        <w:t>cases, we applied a 1% offset, such that the CFRs for data with zero deaths was represented as 1% and the CFR for data with an equal number of deaths and cases was represented as 99%.</w:t>
      </w:r>
    </w:p>
    <w:p w14:paraId="47097381" w14:textId="70B7504A" w:rsidR="6B99E739" w:rsidRPr="0075311D" w:rsidRDefault="6B99E739" w:rsidP="082F9667">
      <w:pPr>
        <w:spacing w:line="257" w:lineRule="auto"/>
        <w:rPr>
          <w:rFonts w:cs="Times New Roman"/>
          <w:szCs w:val="20"/>
        </w:rPr>
      </w:pPr>
      <w:r w:rsidRPr="0075311D">
        <w:rPr>
          <w:rFonts w:eastAsia="Times New Roman" w:cs="Times New Roman"/>
          <w:szCs w:val="20"/>
        </w:rPr>
        <w:t>Pathogen-specific CFRs were modelled separately by infectious syndrome and were calculated as a function of HAQ Index and age. To account for heterogeneity across the sources of input data, we implemented a mixed-effects meta-regression framework, modelling data source as a random effect. We further incorporated a binary fixed-effect denoting whether the data source only included intensive care unit (ICU) patients, for which CFRs were expected to be higher. The pathogens of interest for each infectious syndrome were determined by prevalence in the data and expert opinion, with the goal of modelling approximately 90% of specified-pathogens associated with each infectious syndrome.</w:t>
      </w:r>
    </w:p>
    <w:p w14:paraId="6EABB330" w14:textId="7E3D160B" w:rsidR="6B99E739" w:rsidRDefault="6B99E739" w:rsidP="004741C6">
      <w:pPr>
        <w:spacing w:after="0"/>
      </w:pPr>
      <w:r w:rsidRPr="004741C6">
        <w:rPr>
          <w:rFonts w:eastAsiaTheme="majorEastAsia" w:cstheme="majorBidi"/>
          <w:i/>
          <w:color w:val="1F4D78" w:themeColor="accent1" w:themeShade="7F"/>
          <w:szCs w:val="24"/>
        </w:rPr>
        <w:t xml:space="preserve">Section 3.3.2: Models ran for each infectious </w:t>
      </w:r>
      <w:proofErr w:type="gramStart"/>
      <w:r w:rsidRPr="004741C6">
        <w:rPr>
          <w:rFonts w:eastAsiaTheme="majorEastAsia" w:cstheme="majorBidi"/>
          <w:i/>
          <w:color w:val="1F4D78" w:themeColor="accent1" w:themeShade="7F"/>
          <w:szCs w:val="24"/>
        </w:rPr>
        <w:t>syndrome</w:t>
      </w:r>
      <w:proofErr w:type="gramEnd"/>
      <w:r w:rsidRPr="082F9667">
        <w:rPr>
          <w:rFonts w:eastAsia="Times New Roman" w:cs="Times New Roman"/>
          <w:iCs/>
          <w:color w:val="1F3763"/>
          <w:szCs w:val="20"/>
        </w:rPr>
        <w:t xml:space="preserve"> </w:t>
      </w:r>
    </w:p>
    <w:p w14:paraId="50E2E4B6" w14:textId="05461548" w:rsidR="6B99E739" w:rsidRPr="0075311D" w:rsidRDefault="6B99E739" w:rsidP="004741C6">
      <w:pPr>
        <w:spacing w:after="0" w:line="257" w:lineRule="auto"/>
        <w:rPr>
          <w:rFonts w:cs="Times New Roman"/>
          <w:szCs w:val="20"/>
        </w:rPr>
      </w:pPr>
      <w:r w:rsidRPr="0075311D">
        <w:rPr>
          <w:rFonts w:eastAsia="Times New Roman" w:cs="Times New Roman"/>
          <w:szCs w:val="20"/>
        </w:rPr>
        <w:t>The interaction of the HAQ Index fixed-effect with the pathogen-specific fixed-effect allowed the relative deadliness of pathogens to vary depending on a location’s HAQ Index – this is termed an ‘interaction model’. For those pathogens with fewer than ten high quality data points below 0.7 HAQ Index, or those whose results in the interaction models indicated an unrealistically large influence of HAQ Index (</w:t>
      </w:r>
      <w:proofErr w:type="spellStart"/>
      <w:r w:rsidRPr="0075311D">
        <w:rPr>
          <w:rFonts w:eastAsia="Times New Roman" w:cs="Times New Roman"/>
          <w:szCs w:val="20"/>
        </w:rPr>
        <w:t>eg</w:t>
      </w:r>
      <w:proofErr w:type="spellEnd"/>
      <w:r w:rsidRPr="0075311D">
        <w:rPr>
          <w:rFonts w:eastAsia="Times New Roman" w:cs="Times New Roman"/>
          <w:szCs w:val="20"/>
        </w:rPr>
        <w:t xml:space="preserve">, 70% CFR in low HAQ Index countries, 1% CFR in high HAQ Index countries), we modelled a pathogen-specific intercept with an HAQ Index fixed-effect shared across the pathogens. </w:t>
      </w:r>
      <w:proofErr w:type="gramStart"/>
      <w:r w:rsidRPr="0075311D">
        <w:rPr>
          <w:rFonts w:eastAsia="Times New Roman" w:cs="Times New Roman"/>
          <w:szCs w:val="20"/>
        </w:rPr>
        <w:t>As a consequence of</w:t>
      </w:r>
      <w:proofErr w:type="gramEnd"/>
      <w:r w:rsidRPr="0075311D">
        <w:rPr>
          <w:rFonts w:eastAsia="Times New Roman" w:cs="Times New Roman"/>
          <w:szCs w:val="20"/>
        </w:rPr>
        <w:t xml:space="preserve"> the single fixed-effect on HAQ Index, a pathogen that was predicted to be the deadliest in low HAQ Index countries would also be predicted to be the deadliest in high HAQ Index countries in these ‘intercept models.’ To estimate the CFRs for other known bacteria, which either were not selected as a pathogen of interest or lacked sufficient data for inclusion in the intercept models, we pooled all bacterial data together and estimated a single CFR curve from age, HAQ Index, and the data source heterogeneity covariates. Thus, up to three models were run for each infectious syndrome: </w:t>
      </w:r>
    </w:p>
    <w:p w14:paraId="3C3B7702" w14:textId="582C5A8D" w:rsidR="6B99E739" w:rsidRDefault="6B99E739" w:rsidP="082F9667">
      <w:pPr>
        <w:pStyle w:val="ListParagraph"/>
        <w:numPr>
          <w:ilvl w:val="0"/>
          <w:numId w:val="6"/>
        </w:numPr>
        <w:rPr>
          <w:rFonts w:eastAsia="Times New Roman" w:cs="Times New Roman"/>
          <w:szCs w:val="20"/>
        </w:rPr>
      </w:pPr>
      <w:r w:rsidRPr="082F9667">
        <w:rPr>
          <w:rFonts w:eastAsia="Times New Roman" w:cs="Times New Roman"/>
          <w:szCs w:val="20"/>
        </w:rPr>
        <w:t xml:space="preserve">an interaction model including data for all data rich pathogens and ‘other specified bacteria’ (which was included to inform the overall influence of HAQ Index on CFR, predictions were only generated for the data rich pathogens), </w:t>
      </w:r>
    </w:p>
    <w:p w14:paraId="220902E2" w14:textId="6600E2DE" w:rsidR="6B99E739" w:rsidRDefault="6B99E739" w:rsidP="082F9667">
      <w:pPr>
        <w:pStyle w:val="ListParagraph"/>
        <w:numPr>
          <w:ilvl w:val="0"/>
          <w:numId w:val="6"/>
        </w:numPr>
        <w:rPr>
          <w:rFonts w:eastAsia="Times New Roman" w:cs="Times New Roman"/>
          <w:szCs w:val="20"/>
        </w:rPr>
      </w:pPr>
      <w:r w:rsidRPr="082F9667">
        <w:rPr>
          <w:rFonts w:eastAsia="Times New Roman" w:cs="Times New Roman"/>
          <w:szCs w:val="20"/>
        </w:rPr>
        <w:t xml:space="preserve">an intercept model including data for data rich and data sparse pathogens, as well as ‘other specified bacteria’ (predictions were only generated for the data sparse pathogens), and </w:t>
      </w:r>
    </w:p>
    <w:p w14:paraId="783D5411" w14:textId="2DE09588" w:rsidR="6B99E739" w:rsidRDefault="6B99E739" w:rsidP="082F9667">
      <w:pPr>
        <w:pStyle w:val="ListParagraph"/>
        <w:numPr>
          <w:ilvl w:val="0"/>
          <w:numId w:val="6"/>
        </w:numPr>
        <w:rPr>
          <w:rFonts w:eastAsia="Times New Roman" w:cs="Times New Roman"/>
          <w:szCs w:val="20"/>
        </w:rPr>
      </w:pPr>
      <w:r w:rsidRPr="082F9667">
        <w:rPr>
          <w:rFonts w:eastAsia="Times New Roman" w:cs="Times New Roman"/>
          <w:szCs w:val="20"/>
        </w:rPr>
        <w:t xml:space="preserve">an ‘other bacteria’ model that included data for all bacterial pathogens (predictions were generated by HAQ Index and age, without any pathogen specific term). </w:t>
      </w:r>
    </w:p>
    <w:p w14:paraId="1D58735D" w14:textId="089A967E" w:rsidR="6B99E739" w:rsidRPr="0075311D" w:rsidRDefault="6B99E739" w:rsidP="082F9667">
      <w:pPr>
        <w:spacing w:line="257" w:lineRule="auto"/>
        <w:rPr>
          <w:rFonts w:cs="Times New Roman"/>
          <w:szCs w:val="20"/>
        </w:rPr>
      </w:pPr>
      <w:r w:rsidRPr="0075311D">
        <w:rPr>
          <w:rFonts w:eastAsia="Times New Roman" w:cs="Times New Roman"/>
          <w:szCs w:val="20"/>
        </w:rPr>
        <w:t xml:space="preserve">For some infectious syndromes, the relative deadliness of a pathogen may be strongly determined by either the age of the patient or whether the infection was community- or hospital-acquired. For bloodstream infections, we ran two distinct sets of CFR models, one for neonates (0–27 days) and another for post neonates, to capture the differing dynamics of pathogen deadliness in these two populations. As is done for our other modelling processes, we also separate community-acquired and hospital-acquired cases in our CFR models for lower respiratory and urogenital infections. Because some data sources did not provide enough information to infer whether an infection was community- or hospital-acquired, but still included important information on the relative pathogenesis and the difference in CFRs across varying HAQ indices, infections of unknown origin were included in both the community-acquired and hospital-acquired models for these two syndromes. Any bias in these ‘unknown origin’ infections was adjusted for using a binary fixed-effect representing an ‘unknown origin’ infection, and predictions were generated for the community- and hospital-acquired infections only. </w:t>
      </w:r>
    </w:p>
    <w:p w14:paraId="0E986999" w14:textId="71621976" w:rsidR="6B99E739" w:rsidRDefault="6B99E739" w:rsidP="004741C6">
      <w:pPr>
        <w:spacing w:after="0"/>
      </w:pPr>
      <w:r w:rsidRPr="004741C6">
        <w:rPr>
          <w:rFonts w:eastAsiaTheme="majorEastAsia" w:cstheme="majorBidi"/>
          <w:i/>
          <w:color w:val="1F4D78" w:themeColor="accent1" w:themeShade="7F"/>
          <w:szCs w:val="24"/>
        </w:rPr>
        <w:t xml:space="preserve">Section 3.3.3: Modelling framework </w:t>
      </w:r>
    </w:p>
    <w:p w14:paraId="3AFB3F54" w14:textId="6F0FA114" w:rsidR="6B99E739" w:rsidRPr="0075311D" w:rsidRDefault="6B99E739" w:rsidP="082F9667">
      <w:pPr>
        <w:spacing w:line="257" w:lineRule="auto"/>
        <w:rPr>
          <w:szCs w:val="20"/>
        </w:rPr>
      </w:pPr>
      <w:r w:rsidRPr="0075311D">
        <w:rPr>
          <w:rFonts w:eastAsia="Times New Roman" w:cs="Times New Roman"/>
          <w:szCs w:val="20"/>
        </w:rPr>
        <w:t xml:space="preserve">The data were </w:t>
      </w:r>
      <w:proofErr w:type="spellStart"/>
      <w:r w:rsidRPr="0075311D">
        <w:rPr>
          <w:rFonts w:eastAsia="Times New Roman" w:cs="Times New Roman"/>
          <w:szCs w:val="20"/>
        </w:rPr>
        <w:t>analysed</w:t>
      </w:r>
      <w:proofErr w:type="spellEnd"/>
      <w:r w:rsidRPr="0075311D">
        <w:rPr>
          <w:rFonts w:eastAsia="Times New Roman" w:cs="Times New Roman"/>
          <w:szCs w:val="20"/>
        </w:rPr>
        <w:t xml:space="preserve"> using a meta-analytic mixed effects structure. The main model can be specified as follows:</w:t>
      </w:r>
    </w:p>
    <w:p w14:paraId="3C0215D2" w14:textId="75A4F809" w:rsidR="082F9667" w:rsidRDefault="00793F5F" w:rsidP="082F9667">
      <w:pPr>
        <w:spacing w:line="257" w:lineRule="auto"/>
      </w:pPr>
      <m:oMathPara>
        <m:oMath>
          <m:r>
            <w:rPr>
              <w:rFonts w:ascii="Cambria Math" w:hAnsi="Cambria Math"/>
            </w:rPr>
            <m:t>l</m:t>
          </m:r>
          <m:r>
            <w:rPr>
              <w:rFonts w:ascii="Cambria Math" w:hAnsi="Cambria Math" w:cs="Times New Roman"/>
            </w:rPr>
            <m:t>ogit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m:t>
              </m:r>
            </m:sub>
          </m:sSub>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
                <m:sSubPr>
                  <m:ctrlPr>
                    <w:rPr>
                      <w:rFonts w:ascii="Cambria Math" w:hAnsi="Cambria Math" w:cs="Times New Roman"/>
                      <w:i/>
                    </w:rPr>
                  </m:ctrlPr>
                </m:sSubPr>
                <m:e>
                  <m:r>
                    <m:rPr>
                      <m:sty m:val="p"/>
                    </m:rPr>
                    <w:rPr>
                      <w:rFonts w:ascii="Cambria Math" w:hAnsi="Cambria Math" w:cs="Arial"/>
                      <w:color w:val="202124"/>
                      <w:shd w:val="clear" w:color="auto" w:fill="FFFFFF"/>
                    </w:rPr>
                    <m:t>Σ</m:t>
                  </m:r>
                </m:e>
                <m:sub>
                  <m:r>
                    <w:rPr>
                      <w:rFonts w:ascii="Cambria Math" w:hAnsi="Cambria Math" w:cs="Times New Roman"/>
                    </w:rPr>
                    <m:t>i</m:t>
                  </m:r>
                </m:sub>
              </m:sSub>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~N</m:t>
          </m:r>
          <m:d>
            <m:dPr>
              <m:ctrlPr>
                <w:rPr>
                  <w:rFonts w:ascii="Cambria Math" w:hAnsi="Cambria Math" w:cs="Times New Roman"/>
                  <w:i/>
                </w:rPr>
              </m:ctrlPr>
            </m:dPr>
            <m:e>
              <m:r>
                <w:rPr>
                  <w:rFonts w:ascii="Cambria Math" w:hAnsi="Cambria Math" w:cs="Times New Roman"/>
                </w:rPr>
                <m:t>0,γ</m:t>
              </m:r>
            </m:e>
          </m:d>
          <m:r>
            <w:rPr>
              <w:rFonts w:ascii="Cambria Math" w:hAnsi="Cambria Math"/>
            </w:rPr>
            <m:t xml:space="preserve">      </m:t>
          </m:r>
        </m:oMath>
      </m:oMathPara>
    </w:p>
    <w:p w14:paraId="6A10ECE7" w14:textId="66AFEDE9" w:rsidR="6B99E739" w:rsidRPr="0075311D" w:rsidRDefault="6B99E739" w:rsidP="082F9667">
      <w:pPr>
        <w:spacing w:line="257" w:lineRule="auto"/>
        <w:rPr>
          <w:rFonts w:cs="Times New Roman"/>
          <w:szCs w:val="20"/>
        </w:rPr>
      </w:pPr>
      <w:proofErr w:type="gramStart"/>
      <w:r w:rsidRPr="0075311D">
        <w:rPr>
          <w:rFonts w:eastAsia="Times New Roman" w:cs="Times New Roman"/>
          <w:szCs w:val="20"/>
        </w:rPr>
        <w:t>where</w:t>
      </w:r>
      <w:proofErr w:type="gramEnd"/>
    </w:p>
    <w:p w14:paraId="3466990A" w14:textId="77777777" w:rsidR="00995973" w:rsidRPr="001B6925" w:rsidRDefault="00000000" w:rsidP="00995973">
      <w:pPr>
        <w:pStyle w:val="ListParagraph"/>
        <w:numPr>
          <w:ilvl w:val="0"/>
          <w:numId w:val="5"/>
        </w:num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00995973" w:rsidRPr="43584C77">
        <w:rPr>
          <w:rFonts w:eastAsiaTheme="minorEastAsia"/>
        </w:rPr>
        <w:t xml:space="preserve"> contains CFRs for data source </w:t>
      </w:r>
      <m:oMath>
        <m:r>
          <w:rPr>
            <w:rFonts w:ascii="Cambria Math" w:hAnsi="Cambria Math" w:cs="Times New Roman"/>
          </w:rPr>
          <m:t>i</m:t>
        </m:r>
      </m:oMath>
    </w:p>
    <w:p w14:paraId="4E3DC865" w14:textId="7D201840" w:rsidR="6B99E739" w:rsidRDefault="6B99E739" w:rsidP="082F9667">
      <w:pPr>
        <w:pStyle w:val="ListParagraph"/>
        <w:numPr>
          <w:ilvl w:val="0"/>
          <w:numId w:val="5"/>
        </w:numPr>
        <w:rPr>
          <w:rFonts w:eastAsia="Times New Roman" w:cs="Times New Roman"/>
          <w:szCs w:val="20"/>
        </w:rPr>
      </w:pPr>
      <w:r w:rsidRPr="082F9667">
        <w:rPr>
          <w:rFonts w:eastAsia="Times New Roman" w:cs="Times New Roman"/>
          <w:szCs w:val="20"/>
        </w:rPr>
        <w:t xml:space="preserve">Design </w:t>
      </w:r>
      <w:proofErr w:type="gramStart"/>
      <w:r w:rsidRPr="082F9667">
        <w:rPr>
          <w:rFonts w:eastAsia="Times New Roman" w:cs="Times New Roman"/>
          <w:szCs w:val="20"/>
        </w:rPr>
        <w:t>matrix  contains</w:t>
      </w:r>
      <w:proofErr w:type="gramEnd"/>
      <w:r w:rsidRPr="082F9667">
        <w:rPr>
          <w:rFonts w:eastAsia="Times New Roman" w:cs="Times New Roman"/>
          <w:szCs w:val="20"/>
        </w:rPr>
        <w:t xml:space="preserve"> as columns the following covariates</w:t>
      </w:r>
    </w:p>
    <w:p w14:paraId="7D7061DF" w14:textId="42F76454" w:rsidR="6B99E739" w:rsidRDefault="6B99E739" w:rsidP="082F9667">
      <w:pPr>
        <w:pStyle w:val="ListParagraph"/>
        <w:numPr>
          <w:ilvl w:val="1"/>
          <w:numId w:val="5"/>
        </w:numPr>
        <w:rPr>
          <w:rFonts w:eastAsia="Times New Roman" w:cs="Times New Roman"/>
          <w:szCs w:val="20"/>
        </w:rPr>
      </w:pPr>
      <w:r w:rsidRPr="082F9667">
        <w:rPr>
          <w:rFonts w:eastAsia="Times New Roman" w:cs="Times New Roman"/>
          <w:szCs w:val="20"/>
        </w:rPr>
        <w:t>in all models:</w:t>
      </w:r>
    </w:p>
    <w:p w14:paraId="7F439533" w14:textId="637D885D"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t>HAQ Index</w:t>
      </w:r>
    </w:p>
    <w:p w14:paraId="50CAEC82" w14:textId="0907719E"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lastRenderedPageBreak/>
        <w:t>dummy-coded indicator for age group</w:t>
      </w:r>
    </w:p>
    <w:p w14:paraId="014F60C4" w14:textId="097586F3"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t>dummy-coded ICU indicator for data source (1 if data source only compiles information on ICU patients, 0 if a mix between ICU/non-ICU patients)</w:t>
      </w:r>
    </w:p>
    <w:p w14:paraId="743569BA" w14:textId="0AC75444" w:rsidR="6B99E739" w:rsidRDefault="6B99E739" w:rsidP="082F9667">
      <w:pPr>
        <w:pStyle w:val="ListParagraph"/>
        <w:numPr>
          <w:ilvl w:val="1"/>
          <w:numId w:val="5"/>
        </w:numPr>
        <w:rPr>
          <w:rFonts w:eastAsia="Times New Roman" w:cs="Times New Roman"/>
          <w:szCs w:val="20"/>
        </w:rPr>
      </w:pPr>
      <w:r w:rsidRPr="082F9667">
        <w:rPr>
          <w:rFonts w:eastAsia="Times New Roman" w:cs="Times New Roman"/>
          <w:szCs w:val="20"/>
        </w:rPr>
        <w:t>in ‘interaction’ and ‘intercept’ models:</w:t>
      </w:r>
    </w:p>
    <w:p w14:paraId="58338B33" w14:textId="60CA5ED0"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t>dummy-coded indicator for pathogen</w:t>
      </w:r>
    </w:p>
    <w:p w14:paraId="5F2471D1" w14:textId="56545165" w:rsidR="6B99E739" w:rsidRDefault="6B99E739" w:rsidP="082F9667">
      <w:pPr>
        <w:pStyle w:val="ListParagraph"/>
        <w:numPr>
          <w:ilvl w:val="1"/>
          <w:numId w:val="5"/>
        </w:numPr>
        <w:rPr>
          <w:rFonts w:eastAsia="Times New Roman" w:cs="Times New Roman"/>
          <w:szCs w:val="20"/>
        </w:rPr>
      </w:pPr>
      <w:r w:rsidRPr="082F9667">
        <w:rPr>
          <w:rFonts w:eastAsia="Times New Roman" w:cs="Times New Roman"/>
          <w:szCs w:val="20"/>
        </w:rPr>
        <w:t>in ‘interaction’ models only:</w:t>
      </w:r>
    </w:p>
    <w:p w14:paraId="30684BA4" w14:textId="011E2A74"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t>interaction between pathogen and HAQ Index (product of dummy-coded pathogen columns and HAQ Index)</w:t>
      </w:r>
    </w:p>
    <w:p w14:paraId="2D8259FE" w14:textId="68AFBE0E" w:rsidR="6B99E739" w:rsidRDefault="6B99E739" w:rsidP="082F9667">
      <w:pPr>
        <w:pStyle w:val="ListParagraph"/>
        <w:numPr>
          <w:ilvl w:val="1"/>
          <w:numId w:val="5"/>
        </w:numPr>
        <w:rPr>
          <w:rFonts w:eastAsia="Times New Roman" w:cs="Times New Roman"/>
          <w:szCs w:val="20"/>
        </w:rPr>
      </w:pPr>
      <w:r w:rsidRPr="082F9667">
        <w:rPr>
          <w:rFonts w:eastAsia="Times New Roman" w:cs="Times New Roman"/>
          <w:szCs w:val="20"/>
        </w:rPr>
        <w:t>in models evaluating community/hospital acquired infection (LRI+, UTI):</w:t>
      </w:r>
    </w:p>
    <w:p w14:paraId="388F290D" w14:textId="0EC66050" w:rsidR="6B99E739" w:rsidRDefault="6B99E739" w:rsidP="082F9667">
      <w:pPr>
        <w:pStyle w:val="ListParagraph"/>
        <w:numPr>
          <w:ilvl w:val="2"/>
          <w:numId w:val="5"/>
        </w:numPr>
        <w:rPr>
          <w:rFonts w:eastAsia="Times New Roman" w:cs="Times New Roman"/>
          <w:szCs w:val="20"/>
        </w:rPr>
      </w:pPr>
      <w:r w:rsidRPr="082F9667">
        <w:rPr>
          <w:rFonts w:eastAsia="Times New Roman" w:cs="Times New Roman"/>
          <w:szCs w:val="20"/>
        </w:rPr>
        <w:t>dummy-coded variable indicating source of infection (1 if unknown source, 0 if community OR hospital acquired, depending on whether the model is evaluating community or hospital infections)</w:t>
      </w:r>
    </w:p>
    <w:p w14:paraId="20480F84" w14:textId="77777777" w:rsidR="00995973" w:rsidRPr="001B6925" w:rsidRDefault="00995973" w:rsidP="00995973">
      <w:pPr>
        <w:pStyle w:val="ListParagraph"/>
        <w:numPr>
          <w:ilvl w:val="0"/>
          <w:numId w:val="5"/>
        </w:numPr>
      </w:pPr>
      <m:oMath>
        <m:r>
          <w:rPr>
            <w:rFonts w:ascii="Cambria Math" w:hAnsi="Cambria Math" w:cs="Times New Roman"/>
          </w:rPr>
          <m:t>β</m:t>
        </m:r>
      </m:oMath>
      <w:r w:rsidRPr="43584C77">
        <w:rPr>
          <w:rFonts w:eastAsiaTheme="minorEastAsia"/>
        </w:rPr>
        <w:t xml:space="preserve"> are fixed effect </w:t>
      </w:r>
      <w:proofErr w:type="gramStart"/>
      <w:r w:rsidRPr="43584C77">
        <w:rPr>
          <w:rFonts w:eastAsiaTheme="minorEastAsia"/>
        </w:rPr>
        <w:t>multipliers</w:t>
      </w:r>
      <w:proofErr w:type="gramEnd"/>
    </w:p>
    <w:p w14:paraId="0787F553" w14:textId="77777777" w:rsidR="00995973" w:rsidRPr="001B6925" w:rsidRDefault="00000000" w:rsidP="00995973">
      <w:pPr>
        <w:pStyle w:val="ListParagraph"/>
        <w:numPr>
          <w:ilvl w:val="0"/>
          <w:numId w:val="5"/>
        </w:numPr>
        <w:rPr>
          <w:rFonts w:eastAsiaTheme="minorEastAsia"/>
        </w:rPr>
      </w:pPr>
      <m:oMath>
        <m:sSub>
          <m:sSubPr>
            <m:ctrlPr>
              <w:rPr>
                <w:rFonts w:ascii="Cambria Math" w:hAnsi="Cambria Math" w:cs="Times New Roman"/>
                <w:i/>
              </w:rPr>
            </m:ctrlPr>
          </m:sSubPr>
          <m:e>
            <m:r>
              <w:rPr>
                <w:rFonts w:ascii="Cambria Math" w:hAnsi="Cambria Math" w:cs="Times New Roman"/>
              </w:rPr>
              <m:t>ϵ</m:t>
            </m:r>
          </m:e>
          <m:sub>
            <m:r>
              <w:rPr>
                <w:rFonts w:ascii="Cambria Math" w:hAnsi="Cambria Math" w:cs="Times New Roman"/>
              </w:rPr>
              <m:t>i</m:t>
            </m:r>
          </m:sub>
        </m:sSub>
      </m:oMath>
      <w:r w:rsidR="00995973" w:rsidRPr="7793459A">
        <w:rPr>
          <w:rFonts w:eastAsiaTheme="minorEastAsia"/>
        </w:rPr>
        <w:t xml:space="preserve"> are observation error terms with known </w:t>
      </w:r>
      <w:proofErr w:type="gramStart"/>
      <w:r w:rsidR="00995973" w:rsidRPr="7793459A">
        <w:rPr>
          <w:rFonts w:eastAsiaTheme="minorEastAsia"/>
        </w:rPr>
        <w:t>variances</w:t>
      </w:r>
      <w:proofErr w:type="gramEnd"/>
    </w:p>
    <w:p w14:paraId="05DB37BD" w14:textId="77777777" w:rsidR="00995973" w:rsidRPr="001B6925" w:rsidRDefault="00000000" w:rsidP="00995973">
      <w:pPr>
        <w:pStyle w:val="ListParagraph"/>
        <w:numPr>
          <w:ilvl w:val="0"/>
          <w:numId w:val="5"/>
        </w:num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oMath>
      <w:r w:rsidR="00995973" w:rsidRPr="43584C77">
        <w:rPr>
          <w:rFonts w:eastAsiaTheme="minorEastAsia"/>
        </w:rPr>
        <w:t xml:space="preserve"> are data source-specific random intercepts with unknown covariance </w:t>
      </w:r>
      <m:oMath>
        <m:r>
          <w:rPr>
            <w:rFonts w:ascii="Cambria Math" w:hAnsi="Cambria Math" w:cs="Times New Roman"/>
          </w:rPr>
          <m:t>γ</m:t>
        </m:r>
      </m:oMath>
    </w:p>
    <w:p w14:paraId="40EF1EEB" w14:textId="6F776286" w:rsidR="6B99E739" w:rsidRPr="0075311D" w:rsidRDefault="0A012850" w:rsidP="0075311D">
      <w:pPr>
        <w:rPr>
          <w:rFonts w:eastAsiaTheme="minorEastAsia" w:cs="Times New Roman"/>
          <w:szCs w:val="20"/>
        </w:rPr>
      </w:pPr>
      <w:r w:rsidRPr="0075311D">
        <w:rPr>
          <w:rFonts w:eastAsia="Times New Roman" w:cs="Times New Roman"/>
          <w:szCs w:val="20"/>
        </w:rPr>
        <w:t>The underlying program used to fit the model (meta-regression, Bayesian, regularized, trimmed [MR-BRT]) is described elsewhere.</w:t>
      </w:r>
      <w:r w:rsidR="00A602F2"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{"citationID":"MX3Z14lS","properties":{"formattedCitation":"\\super 7\\nosupersub{}","plainCitation":"7","noteIndex":0},"citationItems":[{"id":116219,"uris":["http://zotero.org/groups/2154524/items/GQ6G8KC4"],"itemData":{"id":116219,"type":"article-journal","container-title":"Journal of Computational and Graphical Statistics","DOI":"10.1080/10618600.2020.1868303","ISSN":"1061-8600","issue":"3","journalAbbreviation":"null","note":"publisher: Taylor &amp; Francis","page":"544-556","title":"Trimmed constrained mixed effects models: formulations and algorithms","volume":"30","author":[{"family":"Zheng","given":"Peng"},{"family":"Barber","given":"Ryan"},{"family":"Sorensen","given":"Reed J. D."},{"family":"Murray","given":"Christopher J. L."},{"family":"Aravkin","given":"Aleksandr Y."}],"issued":{"date-parts":[["2021",7,3]]}}}],"schema":"https://github.com/citation-style-language/schema/raw/master/csl-citation.json"} </w:instrText>
      </w:r>
      <w:r w:rsidR="00A602F2"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7</w:t>
      </w:r>
      <w:r w:rsidR="00A602F2"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The program allows specification of priors on</w:t>
      </w:r>
      <w:r w:rsidR="44FFA0CB" w:rsidRPr="0075311D">
        <w:rPr>
          <w:rFonts w:cs="Times New Roman"/>
          <w:szCs w:val="20"/>
        </w:rPr>
        <w:t xml:space="preserve"> </w:t>
      </w:r>
      <m:oMath>
        <m:r>
          <w:rPr>
            <w:rFonts w:ascii="Cambria Math" w:hAnsi="Cambria Math" w:cs="Times New Roman"/>
            <w:szCs w:val="20"/>
          </w:rPr>
          <m:t>γ</m:t>
        </m:r>
      </m:oMath>
      <w:r w:rsidR="44FFA0CB" w:rsidRPr="0075311D">
        <w:rPr>
          <w:rFonts w:cs="Times New Roman"/>
          <w:szCs w:val="20"/>
        </w:rPr>
        <w:t xml:space="preserve"> </w:t>
      </w:r>
      <w:r w:rsidR="44FFA0CB" w:rsidRPr="0075311D">
        <w:rPr>
          <w:rFonts w:eastAsiaTheme="minorEastAsia" w:cs="Times New Roman"/>
          <w:szCs w:val="20"/>
        </w:rPr>
        <w:t xml:space="preserve">and </w:t>
      </w:r>
      <m:oMath>
        <m:r>
          <w:rPr>
            <w:rFonts w:ascii="Cambria Math" w:hAnsi="Cambria Math" w:cs="Times New Roman"/>
            <w:szCs w:val="20"/>
          </w:rPr>
          <m:t>β</m:t>
        </m:r>
      </m:oMath>
      <w:r w:rsidR="55BDE2A8" w:rsidRPr="0075311D">
        <w:rPr>
          <w:rFonts w:eastAsiaTheme="minorEastAsia" w:cs="Times New Roman"/>
          <w:szCs w:val="20"/>
        </w:rPr>
        <w:t xml:space="preserve">, which were particularly useful </w:t>
      </w:r>
      <w:r w:rsidR="536F4557" w:rsidRPr="0075311D">
        <w:rPr>
          <w:rFonts w:eastAsiaTheme="minorEastAsia" w:cs="Times New Roman"/>
          <w:szCs w:val="20"/>
        </w:rPr>
        <w:t xml:space="preserve">when </w:t>
      </w:r>
      <w:r w:rsidR="55BDE2A8" w:rsidRPr="0075311D">
        <w:rPr>
          <w:rFonts w:eastAsiaTheme="minorEastAsia" w:cs="Times New Roman"/>
          <w:szCs w:val="20"/>
        </w:rPr>
        <w:t xml:space="preserve">data </w:t>
      </w:r>
      <w:r w:rsidR="7B9FA121" w:rsidRPr="0075311D">
        <w:rPr>
          <w:rFonts w:eastAsiaTheme="minorEastAsia" w:cs="Times New Roman"/>
          <w:szCs w:val="20"/>
        </w:rPr>
        <w:t>for specific locations was very limited</w:t>
      </w:r>
      <w:r w:rsidR="69B29D52" w:rsidRPr="0075311D">
        <w:rPr>
          <w:rFonts w:eastAsiaTheme="minorEastAsia" w:cs="Times New Roman"/>
          <w:szCs w:val="20"/>
        </w:rPr>
        <w:t>.</w:t>
      </w:r>
    </w:p>
    <w:p w14:paraId="6620E323" w14:textId="5A727C7D" w:rsidR="6B99E739" w:rsidRPr="004741C6" w:rsidRDefault="6B99E739" w:rsidP="004741C6">
      <w:pPr>
        <w:spacing w:after="0"/>
        <w:rPr>
          <w:rFonts w:eastAsiaTheme="majorEastAsia" w:cstheme="majorBidi"/>
          <w:i/>
          <w:color w:val="1F4D78" w:themeColor="accent1" w:themeShade="7F"/>
          <w:szCs w:val="24"/>
        </w:rPr>
      </w:pPr>
      <w:r w:rsidRPr="004741C6">
        <w:rPr>
          <w:rFonts w:eastAsiaTheme="majorEastAsia" w:cstheme="majorBidi"/>
          <w:i/>
          <w:color w:val="1F4D78" w:themeColor="accent1" w:themeShade="7F"/>
          <w:szCs w:val="24"/>
        </w:rPr>
        <w:t xml:space="preserve">Section 3.3.4: Predictions and uncertainty </w:t>
      </w:r>
    </w:p>
    <w:p w14:paraId="06C68465" w14:textId="529401AC" w:rsidR="6B99E739" w:rsidRPr="0075311D" w:rsidRDefault="6B99E739" w:rsidP="082F9667">
      <w:pPr>
        <w:spacing w:line="257" w:lineRule="auto"/>
        <w:rPr>
          <w:rFonts w:cs="Times New Roman"/>
          <w:szCs w:val="20"/>
        </w:rPr>
      </w:pPr>
      <w:r w:rsidRPr="0075311D">
        <w:rPr>
          <w:rFonts w:eastAsia="Times New Roman" w:cs="Times New Roman"/>
          <w:szCs w:val="20"/>
        </w:rPr>
        <w:t xml:space="preserve">Predictions for 2019 CFRs were generated for each country, age group, and pathogen as a function of each country’s HAQ Index, assuming mixed ICU/non-ICU patients and, in the case of models for UTI and LRI+, that the infection was community- or hospital-acquired (in contrast to infections of unknown origin). For pathogens with insufficient data to estimate a syndrome-specific CFR, we predicted out using the ‘other bacteria’ CFR associated with the infectious syndrome. Importantly, </w:t>
      </w:r>
      <w:proofErr w:type="gramStart"/>
      <w:r w:rsidRPr="0075311D">
        <w:rPr>
          <w:rFonts w:eastAsia="Times New Roman" w:cs="Times New Roman"/>
          <w:szCs w:val="20"/>
        </w:rPr>
        <w:t>all of</w:t>
      </w:r>
      <w:proofErr w:type="gramEnd"/>
      <w:r w:rsidRPr="0075311D">
        <w:rPr>
          <w:rFonts w:eastAsia="Times New Roman" w:cs="Times New Roman"/>
          <w:szCs w:val="20"/>
        </w:rPr>
        <w:t xml:space="preserve"> the CFRs we calculate by infectious syndrome are independent of that syndrome’s underlying cause.</w:t>
      </w:r>
    </w:p>
    <w:p w14:paraId="16FE11E7" w14:textId="5B9D9179" w:rsidR="6B99E739" w:rsidRPr="0075311D" w:rsidRDefault="6B99E739" w:rsidP="082F9667">
      <w:pPr>
        <w:spacing w:line="257" w:lineRule="auto"/>
        <w:rPr>
          <w:rFonts w:cs="Times New Roman"/>
          <w:szCs w:val="20"/>
        </w:rPr>
      </w:pPr>
      <w:r w:rsidRPr="0075311D">
        <w:rPr>
          <w:rFonts w:eastAsia="Times New Roman" w:cs="Times New Roman"/>
          <w:szCs w:val="20"/>
        </w:rPr>
        <w:t>Uncertainty estimates were generated using asymptotic uncertainty intervals. Specifically, for the model, the posterior uncertainty for the coefficients</w:t>
      </w:r>
      <w:r w:rsidR="007E6906" w:rsidRPr="0075311D">
        <w:rPr>
          <w:rFonts w:eastAsia="Times New Roman" w:cs="Times New Roman"/>
          <w:szCs w:val="20"/>
        </w:rPr>
        <w:t xml:space="preserve"> </w:t>
      </w:r>
      <m:oMath>
        <m:r>
          <w:rPr>
            <w:rFonts w:ascii="Cambria Math" w:hAnsi="Cambria Math" w:cs="Times New Roman"/>
            <w:szCs w:val="20"/>
          </w:rPr>
          <m:t>β</m:t>
        </m:r>
      </m:oMath>
      <w:r w:rsidRPr="0075311D">
        <w:rPr>
          <w:rFonts w:eastAsia="Times New Roman" w:cs="Times New Roman"/>
          <w:szCs w:val="20"/>
        </w:rPr>
        <w:t xml:space="preserve"> is Gaussian, with mean and variance given below:</w:t>
      </w:r>
    </w:p>
    <w:p w14:paraId="468617DF" w14:textId="6BA3F9C9" w:rsidR="6B99E739" w:rsidRDefault="007E6906" w:rsidP="007E6906">
      <w:pPr>
        <w:spacing w:line="257" w:lineRule="auto"/>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Pr>
          <w:rFonts w:eastAsia="Times New Roman" w:cs="Times New Roman"/>
          <w:sz w:val="24"/>
          <w:szCs w:val="24"/>
        </w:rPr>
        <w:tab/>
      </w:r>
      <m:oMath>
        <m:acc>
          <m:accPr>
            <m:ctrlPr>
              <w:rPr>
                <w:rFonts w:ascii="Cambria Math" w:hAnsi="Cambria Math"/>
                <w:i/>
              </w:rPr>
            </m:ctrlPr>
          </m:accPr>
          <m:e>
            <m:r>
              <w:rPr>
                <w:rFonts w:ascii="Cambria Math" w:hAnsi="Cambria Math"/>
              </w:rPr>
              <m:t>β</m:t>
            </m:r>
          </m:e>
        </m:acc>
        <m:r>
          <w:rPr>
            <w:rFonts w:ascii="Cambria Math" w:hAnsi="Cambria Math"/>
          </w:rPr>
          <m:t>=</m:t>
        </m:r>
        <m:sSup>
          <m:sSupPr>
            <m:ctrlPr>
              <w:rPr>
                <w:rFonts w:ascii="Cambria Math" w:hAnsi="Cambria Math"/>
                <w:i/>
              </w:rPr>
            </m:ctrlPr>
          </m:sSup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e>
          <m:sup>
            <m:r>
              <w:rPr>
                <w:rFonts w:ascii="Cambria Math" w:hAnsi="Cambria Math"/>
              </w:rPr>
              <m:t>-1</m:t>
            </m:r>
          </m:sup>
        </m:sSup>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e>
        </m:nary>
      </m:oMath>
      <w:r w:rsidR="6B99E739" w:rsidRPr="082F9667">
        <w:rPr>
          <w:rFonts w:eastAsia="Times New Roman" w:cs="Times New Roman"/>
          <w:sz w:val="24"/>
          <w:szCs w:val="24"/>
        </w:rPr>
        <w:t xml:space="preserve"> </w:t>
      </w:r>
    </w:p>
    <w:p w14:paraId="191E7DDE" w14:textId="3DFF7677" w:rsidR="082F9667" w:rsidRDefault="007E6906" w:rsidP="082F9667">
      <w:pPr>
        <w:spacing w:line="257" w:lineRule="auto"/>
        <w:jc w:val="center"/>
      </w:pPr>
      <m:oMathPara>
        <m:oMath>
          <m:r>
            <w:rPr>
              <w:rFonts w:ascii="Cambria Math" w:hAnsi="Cambria Math"/>
            </w:rPr>
            <m:t>Var</m:t>
          </m:r>
          <m:d>
            <m:dPr>
              <m:ctrlPr>
                <w:rPr>
                  <w:rFonts w:ascii="Cambria Math" w:hAnsi="Cambria Math"/>
                  <w:i/>
                </w:rPr>
              </m:ctrlPr>
            </m:dPr>
            <m:e>
              <m:acc>
                <m:accPr>
                  <m:ctrlPr>
                    <w:rPr>
                      <w:rFonts w:ascii="Cambria Math" w:hAnsi="Cambria Math"/>
                      <w:i/>
                    </w:rPr>
                  </m:ctrlPr>
                </m:accPr>
                <m:e>
                  <m:r>
                    <w:rPr>
                      <w:rFonts w:ascii="Cambria Math" w:hAnsi="Cambria Math"/>
                    </w:rPr>
                    <m:t>β</m:t>
                  </m:r>
                </m:e>
              </m:acc>
            </m:e>
          </m:d>
          <m:r>
            <w:rPr>
              <w:rFonts w:ascii="Cambria Math" w:hAnsi="Cambria Math"/>
            </w:rPr>
            <m:t>=</m:t>
          </m:r>
          <m:sSup>
            <m:sSupPr>
              <m:ctrlPr>
                <w:rPr>
                  <w:rFonts w:ascii="Cambria Math" w:hAnsi="Cambria Math"/>
                  <w:i/>
                </w:rPr>
              </m:ctrlPr>
            </m:sSup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T</m:t>
                      </m:r>
                    </m:sup>
                  </m:sSubSup>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-1</m:t>
                      </m:r>
                    </m:sup>
                  </m:sSub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e>
              </m:nary>
            </m:e>
            <m:sup>
              <m:r>
                <w:rPr>
                  <w:rFonts w:ascii="Cambria Math" w:hAnsi="Cambria Math"/>
                </w:rPr>
                <m:t>-1</m:t>
              </m:r>
            </m:sup>
          </m:sSup>
        </m:oMath>
      </m:oMathPara>
    </w:p>
    <w:p w14:paraId="02115AE5" w14:textId="349028A2" w:rsidR="6B99E739" w:rsidRPr="0075311D" w:rsidRDefault="007E6906" w:rsidP="082F9667">
      <w:pPr>
        <w:spacing w:line="257" w:lineRule="auto"/>
        <w:rPr>
          <w:rFonts w:eastAsia="Times New Roman" w:cs="Times New Roman"/>
          <w:szCs w:val="20"/>
        </w:rPr>
      </w:pPr>
      <w:proofErr w:type="gramStart"/>
      <w:r w:rsidRPr="0075311D">
        <w:rPr>
          <w:rFonts w:eastAsia="Times New Roman" w:cs="Times New Roman"/>
          <w:szCs w:val="20"/>
        </w:rPr>
        <w:t>w</w:t>
      </w:r>
      <w:r w:rsidR="6B99E739" w:rsidRPr="0075311D">
        <w:rPr>
          <w:rFonts w:eastAsia="Times New Roman" w:cs="Times New Roman"/>
          <w:szCs w:val="20"/>
        </w:rPr>
        <w:t>here</w:t>
      </w:r>
      <w:proofErr w:type="gramEnd"/>
    </w:p>
    <w:p w14:paraId="4965AAF1" w14:textId="634B6292" w:rsidR="007E6906" w:rsidRDefault="00000000" w:rsidP="082F9667">
      <w:pPr>
        <w:spacing w:line="257" w:lineRule="auto"/>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11</m:t>
              </m:r>
            </m:e>
            <m:sup>
              <m:r>
                <w:rPr>
                  <w:rFonts w:ascii="Cambria Math" w:hAnsi="Cambria Math"/>
                </w:rPr>
                <m:t>T</m:t>
              </m:r>
            </m:sup>
          </m:sSup>
          <m:r>
            <w:rPr>
              <w:rFonts w:ascii="Cambria Math" w:hAnsi="Cambria Math"/>
            </w:rPr>
            <m:t>+</m:t>
          </m:r>
          <m:acc>
            <m:accPr>
              <m:ctrlPr>
                <w:rPr>
                  <w:rFonts w:ascii="Cambria Math" w:hAnsi="Cambria Math"/>
                  <w:i/>
                </w:rPr>
              </m:ctrlPr>
            </m:accPr>
            <m:e>
              <m:r>
                <w:rPr>
                  <w:rFonts w:ascii="Cambria Math" w:hAnsi="Cambria Math" w:cs="Times New Roman"/>
                </w:rPr>
                <m:t>γ</m:t>
              </m:r>
            </m:e>
          </m:acc>
          <m:r>
            <w:rPr>
              <w:rFonts w:ascii="Cambria Math" w:hAnsi="Cambria Math"/>
            </w:rPr>
            <m:t xml:space="preserve">I      </m:t>
          </m:r>
        </m:oMath>
      </m:oMathPara>
    </w:p>
    <w:p w14:paraId="4332E6EB" w14:textId="2900E7FA" w:rsidR="6B99E739" w:rsidRDefault="6B99E739" w:rsidP="0075311D">
      <w:pPr>
        <w:spacing w:line="257" w:lineRule="auto"/>
      </w:pPr>
      <w:r w:rsidRPr="082F9667">
        <w:rPr>
          <w:rFonts w:eastAsia="Times New Roman" w:cs="Times New Roman"/>
          <w:sz w:val="24"/>
          <w:szCs w:val="24"/>
        </w:rPr>
        <w:t xml:space="preserve"> </w:t>
      </w:r>
    </w:p>
    <w:p w14:paraId="128B5350" w14:textId="710E6BF3" w:rsidR="6B99E739" w:rsidRPr="0075311D" w:rsidRDefault="6B99E739" w:rsidP="082F9667">
      <w:pPr>
        <w:spacing w:line="257" w:lineRule="auto"/>
        <w:rPr>
          <w:rFonts w:cs="Times New Roman"/>
          <w:szCs w:val="20"/>
        </w:rPr>
      </w:pPr>
      <w:r w:rsidRPr="0075311D">
        <w:rPr>
          <w:rFonts w:eastAsia="Times New Roman" w:cs="Times New Roman"/>
          <w:szCs w:val="20"/>
        </w:rPr>
        <w:t xml:space="preserve">The variance-covariance matrix was used to obtain 1000 draws for the coefficients, which are then used to get intervals for the predictions. </w:t>
      </w:r>
    </w:p>
    <w:p w14:paraId="733480A6" w14:textId="509B1508" w:rsidR="6B99E739" w:rsidRDefault="6B99E739" w:rsidP="082F9667">
      <w:pPr>
        <w:spacing w:line="257" w:lineRule="auto"/>
      </w:pPr>
      <w:r w:rsidRPr="082F9667">
        <w:rPr>
          <w:rFonts w:eastAsia="Times New Roman" w:cs="Times New Roman"/>
          <w:sz w:val="24"/>
          <w:szCs w:val="24"/>
        </w:rPr>
        <w:t xml:space="preserve"> </w:t>
      </w:r>
    </w:p>
    <w:p w14:paraId="0814B546" w14:textId="00EBAC77" w:rsidR="6B99E739" w:rsidRDefault="6B99E739" w:rsidP="082F9667">
      <w:pPr>
        <w:pStyle w:val="Heading2"/>
      </w:pPr>
      <w:bookmarkStart w:id="14" w:name="_Toc135992046"/>
      <w:r w:rsidRPr="082F9667">
        <w:rPr>
          <w:rFonts w:eastAsia="Times New Roman" w:cs="Times New Roman"/>
          <w:bCs/>
          <w:color w:val="2F5496" w:themeColor="accent5" w:themeShade="BF"/>
          <w:szCs w:val="20"/>
        </w:rPr>
        <w:t>Section 3.4: Pathogen distribution</w:t>
      </w:r>
      <w:bookmarkEnd w:id="14"/>
    </w:p>
    <w:p w14:paraId="136D6546" w14:textId="6D17D63C"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 xml:space="preserve">Section 3.4.1: Input data </w:t>
      </w:r>
      <w:r w:rsidR="2EE29D91" w:rsidRPr="00D7626E">
        <w:rPr>
          <w:rFonts w:eastAsiaTheme="majorEastAsia" w:cstheme="majorBidi"/>
          <w:i/>
          <w:color w:val="1F4D78" w:themeColor="accent1" w:themeShade="7F"/>
          <w:szCs w:val="24"/>
        </w:rPr>
        <w:t xml:space="preserve">and pathogens selected for </w:t>
      </w:r>
      <w:proofErr w:type="gramStart"/>
      <w:r w:rsidR="2EE29D91" w:rsidRPr="00D7626E">
        <w:rPr>
          <w:rFonts w:eastAsiaTheme="majorEastAsia" w:cstheme="majorBidi"/>
          <w:i/>
          <w:color w:val="1F4D78" w:themeColor="accent1" w:themeShade="7F"/>
          <w:szCs w:val="24"/>
        </w:rPr>
        <w:t>estimation</w:t>
      </w:r>
      <w:proofErr w:type="gramEnd"/>
    </w:p>
    <w:p w14:paraId="14BCEB56" w14:textId="7D4D60E3" w:rsidR="6B99E739" w:rsidRPr="0075311D" w:rsidRDefault="6B99E739" w:rsidP="082F9667">
      <w:pPr>
        <w:spacing w:line="257" w:lineRule="auto"/>
        <w:rPr>
          <w:rFonts w:cs="Times New Roman"/>
          <w:szCs w:val="20"/>
        </w:rPr>
      </w:pPr>
      <w:r w:rsidRPr="0075311D">
        <w:rPr>
          <w:rFonts w:eastAsia="Times New Roman" w:cs="Times New Roman"/>
          <w:szCs w:val="20"/>
        </w:rPr>
        <w:t>With this model, we aimed to estimate the distribution of pathogens causing each infectious syndrome. To get input data for this model, we gathered all available data sources described in section 2 that meet the following criteria:</w:t>
      </w:r>
    </w:p>
    <w:p w14:paraId="67B91896" w14:textId="6739AE94"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 xml:space="preserve">Sufficient diagnosis (for patient- or admission-level datasets) or sample specimen type (for isolate- or culture-level datasets) information for us to determine the infectious </w:t>
      </w:r>
      <w:proofErr w:type="gramStart"/>
      <w:r w:rsidRPr="082F9667">
        <w:rPr>
          <w:rFonts w:eastAsia="Times New Roman" w:cs="Times New Roman"/>
          <w:szCs w:val="20"/>
        </w:rPr>
        <w:t>syndrome</w:t>
      </w:r>
      <w:proofErr w:type="gramEnd"/>
    </w:p>
    <w:p w14:paraId="03C7A508" w14:textId="27500284"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 xml:space="preserve">Information on which pathogen(s) caused the infection or which pathogen(s) were detected in an infectious sample, as determined through culture or genomic-based </w:t>
      </w:r>
      <w:proofErr w:type="gramStart"/>
      <w:r w:rsidRPr="082F9667">
        <w:rPr>
          <w:rFonts w:eastAsia="Times New Roman" w:cs="Times New Roman"/>
          <w:szCs w:val="20"/>
        </w:rPr>
        <w:t>methods</w:t>
      </w:r>
      <w:proofErr w:type="gramEnd"/>
    </w:p>
    <w:p w14:paraId="25100C4A" w14:textId="4ED4F83B"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lastRenderedPageBreak/>
        <w:t>Did not have a strongly biased sampling framework across pathogens (for example, did not deliberately sample until 100 cases of every pathogen of interest had been obtained)</w:t>
      </w:r>
    </w:p>
    <w:p w14:paraId="71CEBEC7" w14:textId="0F429E58" w:rsidR="6B99E739" w:rsidRPr="003711BD" w:rsidRDefault="6B99E739" w:rsidP="082F9667">
      <w:pPr>
        <w:spacing w:line="257" w:lineRule="auto"/>
        <w:rPr>
          <w:rFonts w:eastAsia="Times New Roman" w:cs="Times New Roman"/>
          <w:szCs w:val="20"/>
        </w:rPr>
      </w:pPr>
      <w:r w:rsidRPr="003711BD">
        <w:rPr>
          <w:rFonts w:eastAsia="Times New Roman" w:cs="Times New Roman"/>
          <w:szCs w:val="20"/>
        </w:rPr>
        <w:t>The input data source types that met these criteria in this study were:</w:t>
      </w:r>
    </w:p>
    <w:p w14:paraId="5A27EC2A" w14:textId="463F39C8"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Multiple causes of death data</w:t>
      </w:r>
    </w:p>
    <w:p w14:paraId="28022255" w14:textId="435A48D9"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Hospital discharge</w:t>
      </w:r>
    </w:p>
    <w:p w14:paraId="73DD6D2A" w14:textId="7C3E5C6B"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Linkage data</w:t>
      </w:r>
    </w:p>
    <w:p w14:paraId="577DBCCC" w14:textId="423EF73F" w:rsidR="6B99E739" w:rsidRDefault="6B99E739" w:rsidP="082F9667">
      <w:pPr>
        <w:pStyle w:val="ListParagraph"/>
        <w:numPr>
          <w:ilvl w:val="0"/>
          <w:numId w:val="4"/>
        </w:numPr>
        <w:rPr>
          <w:rFonts w:eastAsia="Times New Roman" w:cs="Times New Roman"/>
          <w:szCs w:val="20"/>
        </w:rPr>
      </w:pPr>
      <w:r w:rsidRPr="082F9667">
        <w:rPr>
          <w:rFonts w:eastAsia="Times New Roman" w:cs="Times New Roman"/>
          <w:szCs w:val="20"/>
        </w:rPr>
        <w:t>Microbial data with and without outcome information</w:t>
      </w:r>
    </w:p>
    <w:p w14:paraId="2E3978BA" w14:textId="03F65CC8" w:rsidR="6B99E739" w:rsidRDefault="6B99E739" w:rsidP="082F9667">
      <w:pPr>
        <w:pStyle w:val="ListParagraph"/>
        <w:numPr>
          <w:ilvl w:val="0"/>
          <w:numId w:val="4"/>
        </w:numPr>
        <w:rPr>
          <w:rFonts w:eastAsia="Times New Roman" w:cs="Times New Roman"/>
        </w:rPr>
      </w:pPr>
      <w:r w:rsidRPr="6469A535">
        <w:rPr>
          <w:rFonts w:eastAsia="Times New Roman" w:cs="Times New Roman"/>
        </w:rPr>
        <w:t xml:space="preserve">Literature studies from the </w:t>
      </w:r>
      <w:proofErr w:type="spellStart"/>
      <w:r w:rsidRPr="6469A535">
        <w:rPr>
          <w:rFonts w:eastAsia="Times New Roman" w:cs="Times New Roman"/>
        </w:rPr>
        <w:t>aetiology</w:t>
      </w:r>
      <w:proofErr w:type="spellEnd"/>
      <w:r w:rsidRPr="6469A535">
        <w:rPr>
          <w:rFonts w:eastAsia="Times New Roman" w:cs="Times New Roman"/>
        </w:rPr>
        <w:t xml:space="preserve"> literature </w:t>
      </w:r>
      <w:proofErr w:type="gramStart"/>
      <w:r w:rsidRPr="6469A535">
        <w:rPr>
          <w:rFonts w:eastAsia="Times New Roman" w:cs="Times New Roman"/>
        </w:rPr>
        <w:t>reviews</w:t>
      </w:r>
      <w:proofErr w:type="gramEnd"/>
    </w:p>
    <w:p w14:paraId="41BCAC20" w14:textId="3788D287" w:rsidR="213EC635" w:rsidRDefault="213EC635" w:rsidP="6469A535">
      <w:pPr>
        <w:rPr>
          <w:rFonts w:eastAsia="Times New Roman" w:cs="Times New Roman"/>
          <w:color w:val="000000" w:themeColor="text1"/>
          <w:szCs w:val="20"/>
        </w:rPr>
      </w:pPr>
      <w:r w:rsidRPr="6469A535">
        <w:rPr>
          <w:rFonts w:eastAsia="Times New Roman" w:cs="Times New Roman"/>
          <w:color w:val="000000" w:themeColor="text1"/>
          <w:szCs w:val="20"/>
        </w:rPr>
        <w:t>For each infectious syndrome, we selected roughly 10–20 pathogens to estimate explicitly in the pathogen distribution based on the following criteria:</w:t>
      </w:r>
    </w:p>
    <w:p w14:paraId="1C7857B7" w14:textId="350A4D8F" w:rsidR="213EC635" w:rsidRDefault="213EC635" w:rsidP="00043609">
      <w:pPr>
        <w:pStyle w:val="ListParagraph"/>
        <w:numPr>
          <w:ilvl w:val="0"/>
          <w:numId w:val="20"/>
        </w:numPr>
        <w:rPr>
          <w:rFonts w:eastAsia="Times New Roman" w:cs="Times New Roman"/>
          <w:color w:val="000000" w:themeColor="text1"/>
          <w:szCs w:val="20"/>
        </w:rPr>
      </w:pPr>
      <w:r w:rsidRPr="6469A535">
        <w:rPr>
          <w:rFonts w:eastAsia="Times New Roman" w:cs="Times New Roman"/>
          <w:color w:val="000000" w:themeColor="text1"/>
          <w:szCs w:val="20"/>
        </w:rPr>
        <w:t>The prevalence of each pathogen in the raw data</w:t>
      </w:r>
    </w:p>
    <w:p w14:paraId="208A70FC" w14:textId="03AD1963" w:rsidR="213EC635" w:rsidRDefault="213EC635" w:rsidP="00043609">
      <w:pPr>
        <w:pStyle w:val="ListParagraph"/>
        <w:numPr>
          <w:ilvl w:val="0"/>
          <w:numId w:val="20"/>
        </w:numPr>
        <w:rPr>
          <w:rFonts w:eastAsia="Times New Roman" w:cs="Times New Roman"/>
          <w:color w:val="000000" w:themeColor="text1"/>
          <w:szCs w:val="20"/>
        </w:rPr>
      </w:pPr>
      <w:r w:rsidRPr="6469A535">
        <w:rPr>
          <w:rFonts w:eastAsia="Times New Roman" w:cs="Times New Roman"/>
          <w:color w:val="000000" w:themeColor="text1"/>
          <w:szCs w:val="20"/>
        </w:rPr>
        <w:t xml:space="preserve">Clinical knowledge about the primary </w:t>
      </w:r>
      <w:proofErr w:type="spellStart"/>
      <w:r w:rsidR="35AD4FF5" w:rsidRPr="6469A535">
        <w:rPr>
          <w:rFonts w:eastAsia="Times New Roman" w:cs="Times New Roman"/>
          <w:color w:val="000000" w:themeColor="text1"/>
          <w:szCs w:val="20"/>
        </w:rPr>
        <w:t>a</w:t>
      </w:r>
      <w:r w:rsidRPr="6469A535">
        <w:rPr>
          <w:rFonts w:eastAsia="Times New Roman" w:cs="Times New Roman"/>
          <w:color w:val="000000" w:themeColor="text1"/>
          <w:szCs w:val="20"/>
        </w:rPr>
        <w:t>etiologies</w:t>
      </w:r>
      <w:proofErr w:type="spellEnd"/>
      <w:r w:rsidRPr="6469A535">
        <w:rPr>
          <w:rFonts w:eastAsia="Times New Roman" w:cs="Times New Roman"/>
          <w:color w:val="000000" w:themeColor="text1"/>
          <w:szCs w:val="20"/>
        </w:rPr>
        <w:t xml:space="preserve"> of each infectious syndrome</w:t>
      </w:r>
    </w:p>
    <w:p w14:paraId="0C97812C" w14:textId="585140AA" w:rsidR="213EC635" w:rsidRDefault="213EC635" w:rsidP="00043609">
      <w:pPr>
        <w:pStyle w:val="ListParagraph"/>
        <w:numPr>
          <w:ilvl w:val="0"/>
          <w:numId w:val="20"/>
        </w:numPr>
        <w:rPr>
          <w:rFonts w:eastAsia="Times New Roman" w:cs="Times New Roman"/>
          <w:color w:val="000000" w:themeColor="text1"/>
          <w:szCs w:val="20"/>
        </w:rPr>
      </w:pPr>
      <w:r w:rsidRPr="6469A535">
        <w:rPr>
          <w:rFonts w:eastAsia="Times New Roman" w:cs="Times New Roman"/>
          <w:color w:val="000000" w:themeColor="text1"/>
          <w:szCs w:val="20"/>
        </w:rPr>
        <w:t xml:space="preserve">The amount of available data, which limits the number of pathogens that can be estimated </w:t>
      </w:r>
      <w:proofErr w:type="gramStart"/>
      <w:r w:rsidRPr="6469A535">
        <w:rPr>
          <w:rFonts w:eastAsia="Times New Roman" w:cs="Times New Roman"/>
          <w:color w:val="000000" w:themeColor="text1"/>
          <w:szCs w:val="20"/>
        </w:rPr>
        <w:t>successfully</w:t>
      </w:r>
      <w:proofErr w:type="gramEnd"/>
    </w:p>
    <w:p w14:paraId="50458641" w14:textId="40D07504" w:rsidR="213EC635" w:rsidRDefault="213EC635" w:rsidP="6469A535">
      <w:pPr>
        <w:rPr>
          <w:rFonts w:eastAsia="Calibri"/>
          <w:color w:val="000000" w:themeColor="text1"/>
          <w:szCs w:val="20"/>
        </w:rPr>
      </w:pPr>
      <w:r w:rsidRPr="6469A535">
        <w:rPr>
          <w:rFonts w:eastAsia="Times New Roman" w:cs="Times New Roman"/>
          <w:color w:val="000000" w:themeColor="text1"/>
          <w:szCs w:val="20"/>
        </w:rPr>
        <w:t xml:space="preserve">In addition to the </w:t>
      </w:r>
      <w:r w:rsidRPr="6469A535">
        <w:rPr>
          <w:rFonts w:ascii="MathJax_Math-italic" w:eastAsia="MathJax_Math-italic" w:hAnsi="MathJax_Math-italic" w:cs="MathJax_Math-italic"/>
          <w:color w:val="000000" w:themeColor="text1"/>
          <w:sz w:val="22"/>
        </w:rPr>
        <w:t xml:space="preserve">n </w:t>
      </w:r>
      <w:r w:rsidRPr="6469A535">
        <w:rPr>
          <w:rFonts w:eastAsia="Times New Roman" w:cs="Times New Roman"/>
          <w:color w:val="000000" w:themeColor="text1"/>
          <w:szCs w:val="20"/>
        </w:rPr>
        <w:t xml:space="preserve">pathogens for a given syndrome that we estimate explicitly, we also included an “other specified pathogens” category for every infectious syndrome, to which we mapped all other </w:t>
      </w:r>
      <w:proofErr w:type="spellStart"/>
      <w:r w:rsidRPr="6469A535">
        <w:rPr>
          <w:rFonts w:eastAsia="Times New Roman" w:cs="Times New Roman"/>
          <w:color w:val="000000" w:themeColor="text1"/>
          <w:szCs w:val="20"/>
        </w:rPr>
        <w:t>aetiologies</w:t>
      </w:r>
      <w:proofErr w:type="spellEnd"/>
      <w:r w:rsidRPr="6469A535">
        <w:rPr>
          <w:rFonts w:eastAsia="Times New Roman" w:cs="Times New Roman"/>
          <w:color w:val="000000" w:themeColor="text1"/>
          <w:szCs w:val="20"/>
        </w:rPr>
        <w:t xml:space="preserve"> identified in the data. Thus, the set of estimated pathogens for each infectious syndrome is mutually exclusive and collectively exhaustive of all possible </w:t>
      </w:r>
      <w:proofErr w:type="spellStart"/>
      <w:r w:rsidRPr="6469A535">
        <w:rPr>
          <w:rFonts w:eastAsia="Times New Roman" w:cs="Times New Roman"/>
          <w:color w:val="000000" w:themeColor="text1"/>
          <w:szCs w:val="20"/>
        </w:rPr>
        <w:t>aetiologies</w:t>
      </w:r>
      <w:proofErr w:type="spellEnd"/>
      <w:r w:rsidRPr="6469A535">
        <w:rPr>
          <w:rFonts w:eastAsia="Times New Roman" w:cs="Times New Roman"/>
          <w:color w:val="000000" w:themeColor="text1"/>
          <w:szCs w:val="20"/>
        </w:rPr>
        <w:t>. Polymicrobial infections were either estimated explicitly or included in the “other” category, making all explicitly estimated individual pathogens mono-pathogenic. In addition to these criteria, we also considered the following factors:</w:t>
      </w:r>
    </w:p>
    <w:p w14:paraId="1D0CA007" w14:textId="3FFAF906" w:rsidR="213EC635" w:rsidRDefault="213EC635" w:rsidP="00043609">
      <w:pPr>
        <w:pStyle w:val="ListParagraph"/>
        <w:numPr>
          <w:ilvl w:val="0"/>
          <w:numId w:val="17"/>
        </w:numPr>
        <w:rPr>
          <w:rFonts w:eastAsia="Times New Roman" w:cs="Times New Roman"/>
          <w:color w:val="000000" w:themeColor="text1"/>
          <w:szCs w:val="20"/>
        </w:rPr>
      </w:pPr>
      <w:r w:rsidRPr="6469A535">
        <w:rPr>
          <w:rFonts w:eastAsia="Times New Roman" w:cs="Times New Roman"/>
          <w:color w:val="000000" w:themeColor="text1"/>
          <w:szCs w:val="20"/>
        </w:rPr>
        <w:t xml:space="preserve">Since we were ultimately interested in estimating the burden of AMR in bacteria, we erred on the side of estimating bacteria with strong evidence of AMR, rather than bacteria with low evidence of AMR or non-bacterial </w:t>
      </w:r>
      <w:proofErr w:type="spellStart"/>
      <w:r w:rsidRPr="6469A535">
        <w:rPr>
          <w:rFonts w:eastAsia="Times New Roman" w:cs="Times New Roman"/>
          <w:color w:val="000000" w:themeColor="text1"/>
          <w:szCs w:val="20"/>
        </w:rPr>
        <w:t>aetiologies</w:t>
      </w:r>
      <w:proofErr w:type="spellEnd"/>
      <w:r w:rsidRPr="6469A535">
        <w:rPr>
          <w:rFonts w:eastAsia="Times New Roman" w:cs="Times New Roman"/>
          <w:color w:val="000000" w:themeColor="text1"/>
          <w:szCs w:val="20"/>
        </w:rPr>
        <w:t>.</w:t>
      </w:r>
    </w:p>
    <w:p w14:paraId="11BB68D5" w14:textId="79DE6BC1" w:rsidR="213EC635" w:rsidRDefault="213EC635" w:rsidP="00043609">
      <w:pPr>
        <w:pStyle w:val="ListParagraph"/>
        <w:numPr>
          <w:ilvl w:val="0"/>
          <w:numId w:val="17"/>
        </w:numPr>
        <w:rPr>
          <w:rFonts w:eastAsia="Times New Roman" w:cs="Times New Roman"/>
          <w:color w:val="000000" w:themeColor="text1"/>
          <w:szCs w:val="20"/>
        </w:rPr>
      </w:pPr>
      <w:r w:rsidRPr="6469A535">
        <w:rPr>
          <w:rFonts w:eastAsia="Times New Roman" w:cs="Times New Roman"/>
          <w:color w:val="000000" w:themeColor="text1"/>
          <w:szCs w:val="20"/>
        </w:rPr>
        <w:t xml:space="preserve">Clinically relevant </w:t>
      </w:r>
      <w:proofErr w:type="spellStart"/>
      <w:r w:rsidRPr="6469A535">
        <w:rPr>
          <w:rFonts w:eastAsia="Times New Roman" w:cs="Times New Roman"/>
          <w:color w:val="000000" w:themeColor="text1"/>
          <w:szCs w:val="20"/>
        </w:rPr>
        <w:t>aetiologies</w:t>
      </w:r>
      <w:proofErr w:type="spellEnd"/>
      <w:r w:rsidRPr="6469A535">
        <w:rPr>
          <w:rFonts w:eastAsia="Times New Roman" w:cs="Times New Roman"/>
          <w:color w:val="000000" w:themeColor="text1"/>
          <w:szCs w:val="20"/>
        </w:rPr>
        <w:t xml:space="preserve"> differ from syndrome to syndrome, and we were unable to estimate all pathogens explicitly in every syndrome due to a lack of data. Therefore, the “other” pathogen category is composed of slightly different pathogens for every infectious </w:t>
      </w:r>
      <w:proofErr w:type="gramStart"/>
      <w:r w:rsidRPr="6469A535">
        <w:rPr>
          <w:rFonts w:eastAsia="Times New Roman" w:cs="Times New Roman"/>
          <w:color w:val="000000" w:themeColor="text1"/>
          <w:szCs w:val="20"/>
        </w:rPr>
        <w:t>syndrome, and</w:t>
      </w:r>
      <w:proofErr w:type="gramEnd"/>
      <w:r w:rsidRPr="6469A535">
        <w:rPr>
          <w:rFonts w:eastAsia="Times New Roman" w:cs="Times New Roman"/>
          <w:color w:val="000000" w:themeColor="text1"/>
          <w:szCs w:val="20"/>
        </w:rPr>
        <w:t xml:space="preserve"> can occasionally contain pathogens that are explicitly estimated for another infectious syndrome. We attempted to mitigate this by including bacteria with strong evidence of AMR in the estimation of all infectious syndromes whenever possible.</w:t>
      </w:r>
    </w:p>
    <w:p w14:paraId="7CE17B50" w14:textId="18CE7F9D" w:rsidR="213EC635" w:rsidRDefault="213EC635" w:rsidP="00043609">
      <w:pPr>
        <w:pStyle w:val="ListParagraph"/>
        <w:numPr>
          <w:ilvl w:val="0"/>
          <w:numId w:val="17"/>
        </w:numPr>
        <w:rPr>
          <w:rFonts w:eastAsia="Times New Roman" w:cs="Times New Roman"/>
          <w:color w:val="000000" w:themeColor="text1"/>
          <w:szCs w:val="20"/>
        </w:rPr>
      </w:pPr>
      <w:r w:rsidRPr="6469A535">
        <w:rPr>
          <w:rFonts w:eastAsia="Times New Roman" w:cs="Times New Roman"/>
          <w:color w:val="000000" w:themeColor="text1"/>
          <w:szCs w:val="20"/>
        </w:rPr>
        <w:t>We included enough explicitly estimated pathogens to ensure that the “other” category remained below 10% for all infectious syndromes.</w:t>
      </w:r>
    </w:p>
    <w:p w14:paraId="2DC5442A" w14:textId="6BF9E152" w:rsidR="6469A535" w:rsidRDefault="213EC635" w:rsidP="24C597FE">
      <w:pPr>
        <w:rPr>
          <w:rFonts w:eastAsia="Calibri"/>
        </w:rPr>
      </w:pPr>
      <w:r w:rsidRPr="24C597FE">
        <w:rPr>
          <w:rFonts w:eastAsia="Times New Roman" w:cs="Times New Roman"/>
          <w:color w:val="000000" w:themeColor="text1"/>
        </w:rPr>
        <w:t xml:space="preserve">For a list of pathogens covered in each infectious syndrome model, please refer to table </w:t>
      </w:r>
      <w:r w:rsidR="00CD0676" w:rsidRPr="24C597FE">
        <w:rPr>
          <w:rFonts w:eastAsia="Times New Roman" w:cs="Times New Roman"/>
          <w:color w:val="000000" w:themeColor="text1"/>
        </w:rPr>
        <w:t>3.4.</w:t>
      </w:r>
      <w:r w:rsidR="7021AC6B" w:rsidRPr="24C597FE">
        <w:rPr>
          <w:rFonts w:eastAsia="Times New Roman" w:cs="Times New Roman"/>
          <w:color w:val="000000" w:themeColor="text1"/>
        </w:rPr>
        <w:t>6</w:t>
      </w:r>
      <w:r w:rsidR="00CD0676" w:rsidRPr="24C597FE">
        <w:rPr>
          <w:rFonts w:eastAsia="Times New Roman" w:cs="Times New Roman"/>
          <w:color w:val="000000" w:themeColor="text1"/>
        </w:rPr>
        <w:t xml:space="preserve"> (pp 20-21).</w:t>
      </w:r>
    </w:p>
    <w:p w14:paraId="07B5C381" w14:textId="6363AA59" w:rsidR="6B99E739" w:rsidRDefault="6B99E739" w:rsidP="00D7626E">
      <w:pPr>
        <w:spacing w:after="0"/>
      </w:pPr>
      <w:r w:rsidRPr="00D7626E">
        <w:rPr>
          <w:rFonts w:eastAsiaTheme="majorEastAsia" w:cstheme="majorBidi"/>
          <w:i/>
          <w:color w:val="1F4D78" w:themeColor="accent1" w:themeShade="7F"/>
          <w:szCs w:val="24"/>
        </w:rPr>
        <w:t>Section 3.4.2: Data processing and analysis</w:t>
      </w:r>
    </w:p>
    <w:p w14:paraId="62D2BEB3" w14:textId="39996ECA" w:rsidR="6B99E739" w:rsidRPr="0075311D" w:rsidRDefault="6B99E739" w:rsidP="082F9667">
      <w:pPr>
        <w:spacing w:line="257" w:lineRule="auto"/>
        <w:rPr>
          <w:rFonts w:cs="Times New Roman"/>
          <w:szCs w:val="20"/>
        </w:rPr>
      </w:pPr>
      <w:r w:rsidRPr="0075311D">
        <w:rPr>
          <w:rFonts w:eastAsia="Times New Roman" w:cs="Times New Roman"/>
          <w:szCs w:val="20"/>
        </w:rPr>
        <w:t xml:space="preserve">We extracted and </w:t>
      </w:r>
      <w:proofErr w:type="spellStart"/>
      <w:r w:rsidRPr="0075311D">
        <w:rPr>
          <w:rFonts w:eastAsia="Times New Roman" w:cs="Times New Roman"/>
          <w:szCs w:val="20"/>
        </w:rPr>
        <w:t>standardised</w:t>
      </w:r>
      <w:proofErr w:type="spellEnd"/>
      <w:r w:rsidRPr="0075311D">
        <w:rPr>
          <w:rFonts w:eastAsia="Times New Roman" w:cs="Times New Roman"/>
          <w:szCs w:val="20"/>
        </w:rPr>
        <w:t xml:space="preserve"> the location, year, age, sex, diagnoses, specimen type, pathogens, and hospital- and community-acquired (HAI and CAI) status of each record in every dataset. These datasets report a variety of metrics, including deaths, admissions, cases, cultures, and isolates. While these metrics are not completely comparable (for example, a single patient may often have multiple cultures taken during a single hospital admission), we chose to </w:t>
      </w:r>
      <w:proofErr w:type="spellStart"/>
      <w:r w:rsidRPr="0075311D">
        <w:rPr>
          <w:rFonts w:eastAsia="Times New Roman" w:cs="Times New Roman"/>
          <w:szCs w:val="20"/>
        </w:rPr>
        <w:t>standardise</w:t>
      </w:r>
      <w:proofErr w:type="spellEnd"/>
      <w:r w:rsidRPr="0075311D">
        <w:rPr>
          <w:rFonts w:eastAsia="Times New Roman" w:cs="Times New Roman"/>
          <w:szCs w:val="20"/>
        </w:rPr>
        <w:t xml:space="preserve"> them into two categories: “deaths,” for any unit associated with an outcome of death, and “cases,” for any unit regardless of outcome. After </w:t>
      </w:r>
      <w:proofErr w:type="spellStart"/>
      <w:r w:rsidRPr="0075311D">
        <w:rPr>
          <w:rFonts w:eastAsia="Times New Roman" w:cs="Times New Roman"/>
          <w:szCs w:val="20"/>
        </w:rPr>
        <w:t>standardising</w:t>
      </w:r>
      <w:proofErr w:type="spellEnd"/>
      <w:r w:rsidRPr="0075311D">
        <w:rPr>
          <w:rFonts w:eastAsia="Times New Roman" w:cs="Times New Roman"/>
          <w:szCs w:val="20"/>
        </w:rPr>
        <w:t xml:space="preserve"> the data, we mapped every sample ID or tabulated figure in the data to infectious syndrome based on its diagnoses and specimen type. More details on this process can be found the appendix of Murray et al. (2022).</w:t>
      </w:r>
      <w:r w:rsidR="0053681E" w:rsidRPr="0075311D">
        <w:rPr>
          <w:rFonts w:eastAsia="Times New Roman" w:cs="Times New Roman"/>
          <w:color w:val="2B579A"/>
          <w:szCs w:val="20"/>
          <w:shd w:val="clear" w:color="auto" w:fill="E6E6E6"/>
        </w:rPr>
        <w:fldChar w:fldCharType="begin"/>
      </w:r>
      <w:r w:rsidR="0053681E" w:rsidRPr="0075311D">
        <w:rPr>
          <w:rFonts w:eastAsia="Times New Roman" w:cs="Times New Roman"/>
          <w:szCs w:val="20"/>
        </w:rPr>
        <w:instrText xml:space="preserve"> ADDIN ZOTERO_ITEM CSL_CITATION {"citationID":"Y5oMPUkf","properties":{"formattedCitation":"\\super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53681E"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53681E" w:rsidRPr="0075311D">
        <w:rPr>
          <w:rFonts w:eastAsia="Times New Roman" w:cs="Times New Roman"/>
          <w:color w:val="2B579A"/>
          <w:szCs w:val="20"/>
          <w:shd w:val="clear" w:color="auto" w:fill="E6E6E6"/>
        </w:rPr>
        <w:fldChar w:fldCharType="end"/>
      </w:r>
      <w:r w:rsidRPr="0075311D">
        <w:rPr>
          <w:rFonts w:eastAsia="Times New Roman" w:cs="Times New Roman"/>
          <w:b/>
          <w:bCs/>
          <w:szCs w:val="20"/>
        </w:rPr>
        <w:t xml:space="preserve"> </w:t>
      </w:r>
    </w:p>
    <w:p w14:paraId="1D970739" w14:textId="7FF6EBE2" w:rsidR="6B99E739" w:rsidRPr="0075311D" w:rsidRDefault="6B99E739" w:rsidP="082F9667">
      <w:pPr>
        <w:spacing w:line="257" w:lineRule="auto"/>
        <w:rPr>
          <w:rFonts w:cs="Times New Roman"/>
          <w:szCs w:val="20"/>
        </w:rPr>
      </w:pPr>
      <w:r w:rsidRPr="0075311D">
        <w:rPr>
          <w:rFonts w:eastAsia="Times New Roman" w:cs="Times New Roman"/>
          <w:szCs w:val="20"/>
        </w:rPr>
        <w:t xml:space="preserve">Some pathogens cause disease so rarely or are so commonly contaminants that we considered them to be contaminants, unlikely to be the true cause of disease. Examples include many </w:t>
      </w:r>
      <w:r w:rsidRPr="0075311D">
        <w:rPr>
          <w:rFonts w:eastAsia="Times New Roman" w:cs="Times New Roman"/>
          <w:i/>
          <w:iCs/>
          <w:szCs w:val="20"/>
        </w:rPr>
        <w:t xml:space="preserve">Corynebacterium </w:t>
      </w:r>
      <w:r w:rsidRPr="0075311D">
        <w:rPr>
          <w:rFonts w:eastAsia="Times New Roman" w:cs="Times New Roman"/>
          <w:szCs w:val="20"/>
        </w:rPr>
        <w:t xml:space="preserve">species and </w:t>
      </w:r>
      <w:r w:rsidRPr="0075311D">
        <w:rPr>
          <w:rFonts w:eastAsia="Times New Roman" w:cs="Times New Roman"/>
          <w:i/>
          <w:iCs/>
          <w:szCs w:val="20"/>
        </w:rPr>
        <w:t>Staphylococcus epidermidis</w:t>
      </w:r>
      <w:r w:rsidRPr="0075311D">
        <w:rPr>
          <w:rFonts w:eastAsia="Times New Roman" w:cs="Times New Roman"/>
          <w:szCs w:val="20"/>
        </w:rPr>
        <w:t xml:space="preserve">. We dropped all such contaminants from the analysis, as well as any record listed by treating clinicians in the data as a contaminant. We also dropped from the analysis all records where no pathogen was detected, or the patient diagnosis indicated an unspecified bacterium. This assumes that the distribution of </w:t>
      </w:r>
      <w:r w:rsidRPr="0075311D">
        <w:rPr>
          <w:rFonts w:eastAsia="Times New Roman" w:cs="Times New Roman"/>
          <w:szCs w:val="20"/>
        </w:rPr>
        <w:lastRenderedPageBreak/>
        <w:t xml:space="preserve">pathogens among cases with known </w:t>
      </w:r>
      <w:proofErr w:type="spellStart"/>
      <w:r w:rsidRPr="0075311D">
        <w:rPr>
          <w:rFonts w:eastAsia="Times New Roman" w:cs="Times New Roman"/>
          <w:szCs w:val="20"/>
        </w:rPr>
        <w:t>aetiology</w:t>
      </w:r>
      <w:proofErr w:type="spellEnd"/>
      <w:r w:rsidRPr="0075311D">
        <w:rPr>
          <w:rFonts w:eastAsia="Times New Roman" w:cs="Times New Roman"/>
          <w:szCs w:val="20"/>
        </w:rPr>
        <w:t xml:space="preserve"> are the same as those with unknown </w:t>
      </w:r>
      <w:proofErr w:type="spellStart"/>
      <w:r w:rsidRPr="0075311D">
        <w:rPr>
          <w:rFonts w:eastAsia="Times New Roman" w:cs="Times New Roman"/>
          <w:szCs w:val="20"/>
        </w:rPr>
        <w:t>aetiology</w:t>
      </w:r>
      <w:proofErr w:type="spellEnd"/>
      <w:r w:rsidRPr="0075311D">
        <w:rPr>
          <w:rFonts w:eastAsia="Times New Roman" w:cs="Times New Roman"/>
          <w:szCs w:val="20"/>
        </w:rPr>
        <w:t xml:space="preserve">; in other words that the probability of detection is the same for every pathogen. This assumption may break down if certain pathogens are more difficult to detect than others, or in cases where a pathogen is irregularly tested for within a laboratory. </w:t>
      </w:r>
    </w:p>
    <w:p w14:paraId="2254C9F0" w14:textId="28F3A8AA" w:rsidR="6B99E739" w:rsidRPr="0075311D" w:rsidRDefault="6B99E739" w:rsidP="082F9667">
      <w:pPr>
        <w:spacing w:line="257" w:lineRule="auto"/>
        <w:rPr>
          <w:rFonts w:cs="Times New Roman"/>
          <w:szCs w:val="20"/>
        </w:rPr>
      </w:pPr>
      <w:r w:rsidRPr="0075311D">
        <w:rPr>
          <w:rFonts w:eastAsia="Times New Roman" w:cs="Times New Roman"/>
          <w:szCs w:val="20"/>
        </w:rPr>
        <w:t xml:space="preserve">For data sources where multiple pathogens were listed per sample ID, we classified these cases according to the following criteria. First, if a case contained more than one of “unspecified bacteria,” “virus,” “fungus,” and another pathogen(s), we chose to drop all these pathogens except the one(s) most likely to be responsible for disease, with the following ranking from most to least likely: 1. Another pathogen(s); 2. Unspecified bacteria; 3. Virus; 4. Fungus. This was to drop co-occurrence profiles that we consider to be uninformative, like a viral infection co-occurring with a fungal infection. After applying this drop, we considered any sample ID that contained more than one pathogen to be polymicrobial. Polymicrobial was treated as a distinct pathogen category in all further analysis, and we were unable to include any AMR burden from polymicrobial infections in our </w:t>
      </w:r>
      <w:proofErr w:type="gramStart"/>
      <w:r w:rsidRPr="0075311D">
        <w:rPr>
          <w:rFonts w:eastAsia="Times New Roman" w:cs="Times New Roman"/>
          <w:szCs w:val="20"/>
        </w:rPr>
        <w:t>final results</w:t>
      </w:r>
      <w:proofErr w:type="gramEnd"/>
      <w:r w:rsidRPr="0075311D">
        <w:rPr>
          <w:rFonts w:eastAsia="Times New Roman" w:cs="Times New Roman"/>
          <w:szCs w:val="20"/>
        </w:rPr>
        <w:t>, which possibly underestimates the burden of AMR by hiding infections caused by resistant pathogens of interest in the polymicrobial category.</w:t>
      </w:r>
    </w:p>
    <w:p w14:paraId="452F9074" w14:textId="4AF03E88" w:rsidR="6B99E739" w:rsidRPr="0075311D" w:rsidRDefault="6B99E739" w:rsidP="082F9667">
      <w:pPr>
        <w:spacing w:line="257" w:lineRule="auto"/>
        <w:rPr>
          <w:rFonts w:cs="Times New Roman"/>
          <w:szCs w:val="20"/>
        </w:rPr>
      </w:pPr>
      <w:r w:rsidRPr="0075311D">
        <w:rPr>
          <w:rFonts w:eastAsia="Times New Roman" w:cs="Times New Roman"/>
          <w:szCs w:val="20"/>
        </w:rPr>
        <w:t xml:space="preserve">Furthermore, in our approach we chose to assume that the relative </w:t>
      </w:r>
      <w:proofErr w:type="spellStart"/>
      <w:r w:rsidRPr="0075311D">
        <w:rPr>
          <w:rFonts w:eastAsia="Times New Roman" w:cs="Times New Roman"/>
          <w:szCs w:val="20"/>
        </w:rPr>
        <w:t>prevalences</w:t>
      </w:r>
      <w:proofErr w:type="spellEnd"/>
      <w:r w:rsidRPr="0075311D">
        <w:rPr>
          <w:rFonts w:eastAsia="Times New Roman" w:cs="Times New Roman"/>
          <w:szCs w:val="20"/>
        </w:rPr>
        <w:t xml:space="preserve"> of pathogens in datasets that do not report co-occurrence would be comparable to their mono-pathogenic counterparts in datasets that do report co-occurrence. This assumes that the co-occurrence of pathogens is random and is not correlated for certain pathogens. We did not have sufficient data to fully test the validity of this assumption, given that few datasets report the full universe of pathogens which may co-occur. When selecting pathogens for estimation, we </w:t>
      </w:r>
      <w:proofErr w:type="gramStart"/>
      <w:r w:rsidRPr="0075311D">
        <w:rPr>
          <w:rFonts w:eastAsia="Times New Roman" w:cs="Times New Roman"/>
          <w:szCs w:val="20"/>
        </w:rPr>
        <w:t>took into account</w:t>
      </w:r>
      <w:proofErr w:type="gramEnd"/>
      <w:r w:rsidRPr="0075311D">
        <w:rPr>
          <w:rFonts w:eastAsia="Times New Roman" w:cs="Times New Roman"/>
          <w:szCs w:val="20"/>
        </w:rPr>
        <w:t xml:space="preserve"> that the set of estimated pathogens for each infectious syndrome is mutually exclusive and collectively exhaustive of all possible </w:t>
      </w:r>
      <w:proofErr w:type="spellStart"/>
      <w:r w:rsidRPr="0075311D">
        <w:rPr>
          <w:rFonts w:eastAsia="Times New Roman" w:cs="Times New Roman"/>
          <w:szCs w:val="20"/>
        </w:rPr>
        <w:t>aetiologies</w:t>
      </w:r>
      <w:proofErr w:type="spellEnd"/>
      <w:r w:rsidRPr="0075311D">
        <w:rPr>
          <w:rFonts w:eastAsia="Times New Roman" w:cs="Times New Roman"/>
          <w:szCs w:val="20"/>
        </w:rPr>
        <w:t>. Polymicrobial infections were either estimated explicitly or included in the “other” category, making all explicitly estimated individual pathogens mono-pathogenic. Additional factors that were considered can be found in the appendix of Murray et al. (2022).</w:t>
      </w:r>
      <w:r w:rsidR="001768C6" w:rsidRPr="0075311D">
        <w:rPr>
          <w:rFonts w:eastAsia="Times New Roman" w:cs="Times New Roman"/>
          <w:color w:val="2B579A"/>
          <w:szCs w:val="20"/>
          <w:shd w:val="clear" w:color="auto" w:fill="E6E6E6"/>
        </w:rPr>
        <w:fldChar w:fldCharType="begin"/>
      </w:r>
      <w:r w:rsidR="001768C6" w:rsidRPr="0075311D">
        <w:rPr>
          <w:rFonts w:eastAsia="Times New Roman" w:cs="Times New Roman"/>
          <w:szCs w:val="20"/>
        </w:rPr>
        <w:instrText xml:space="preserve"> ADDIN ZOTERO_ITEM CSL_CITATION {"citationID":"bPfNpeME","properties":{"formattedCitation":"\\super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1768C6"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1768C6" w:rsidRPr="0075311D">
        <w:rPr>
          <w:rFonts w:eastAsia="Times New Roman" w:cs="Times New Roman"/>
          <w:color w:val="2B579A"/>
          <w:szCs w:val="20"/>
          <w:shd w:val="clear" w:color="auto" w:fill="E6E6E6"/>
        </w:rPr>
        <w:fldChar w:fldCharType="end"/>
      </w:r>
    </w:p>
    <w:p w14:paraId="234F681B" w14:textId="02B7134F" w:rsidR="6B99E739" w:rsidRDefault="6B99E739" w:rsidP="00D7626E">
      <w:pPr>
        <w:spacing w:after="0"/>
      </w:pPr>
      <w:r w:rsidRPr="00D7626E">
        <w:rPr>
          <w:rFonts w:eastAsiaTheme="majorEastAsia" w:cstheme="majorBidi"/>
          <w:i/>
          <w:color w:val="1F4D78" w:themeColor="accent1" w:themeShade="7F"/>
          <w:szCs w:val="24"/>
        </w:rPr>
        <w:t xml:space="preserve">Section 3.4.3: Dealing with challenges in pathogen distribution </w:t>
      </w:r>
      <w:proofErr w:type="gramStart"/>
      <w:r w:rsidRPr="00D7626E">
        <w:rPr>
          <w:rFonts w:eastAsiaTheme="majorEastAsia" w:cstheme="majorBidi"/>
          <w:i/>
          <w:color w:val="1F4D78" w:themeColor="accent1" w:themeShade="7F"/>
          <w:szCs w:val="24"/>
        </w:rPr>
        <w:t>appraisal</w:t>
      </w:r>
      <w:proofErr w:type="gramEnd"/>
    </w:p>
    <w:p w14:paraId="62AA5B98" w14:textId="56364425" w:rsidR="6B99E739" w:rsidRPr="0075311D" w:rsidRDefault="6B99E739" w:rsidP="082F9667">
      <w:pPr>
        <w:spacing w:line="257" w:lineRule="auto"/>
        <w:rPr>
          <w:rFonts w:cs="Times New Roman"/>
          <w:szCs w:val="20"/>
        </w:rPr>
      </w:pPr>
      <w:r w:rsidRPr="0075311D">
        <w:rPr>
          <w:rFonts w:eastAsia="Times New Roman" w:cs="Times New Roman"/>
          <w:szCs w:val="20"/>
        </w:rPr>
        <w:t xml:space="preserve">One of the central challenges of estimating pathogen distributions was that not every data source tested for or reported every possible </w:t>
      </w:r>
      <w:proofErr w:type="spellStart"/>
      <w:r w:rsidRPr="0075311D">
        <w:rPr>
          <w:rFonts w:eastAsia="Times New Roman" w:cs="Times New Roman"/>
          <w:szCs w:val="20"/>
        </w:rPr>
        <w:t>aetiology</w:t>
      </w:r>
      <w:proofErr w:type="spellEnd"/>
      <w:r w:rsidRPr="0075311D">
        <w:rPr>
          <w:rFonts w:eastAsia="Times New Roman" w:cs="Times New Roman"/>
          <w:szCs w:val="20"/>
        </w:rPr>
        <w:t xml:space="preserve"> of a given infectious syndrome. For example, many literature studies on the </w:t>
      </w:r>
      <w:proofErr w:type="spellStart"/>
      <w:r w:rsidRPr="0075311D">
        <w:rPr>
          <w:rFonts w:eastAsia="Times New Roman" w:cs="Times New Roman"/>
          <w:szCs w:val="20"/>
        </w:rPr>
        <w:t>aetiologies</w:t>
      </w:r>
      <w:proofErr w:type="spellEnd"/>
      <w:r w:rsidRPr="0075311D">
        <w:rPr>
          <w:rFonts w:eastAsia="Times New Roman" w:cs="Times New Roman"/>
          <w:szCs w:val="20"/>
        </w:rPr>
        <w:t xml:space="preserve"> of meningitis only report on bacterial </w:t>
      </w:r>
      <w:proofErr w:type="spellStart"/>
      <w:r w:rsidRPr="0075311D">
        <w:rPr>
          <w:rFonts w:eastAsia="Times New Roman" w:cs="Times New Roman"/>
          <w:szCs w:val="20"/>
        </w:rPr>
        <w:t>aetiologies</w:t>
      </w:r>
      <w:proofErr w:type="spellEnd"/>
      <w:r w:rsidRPr="0075311D">
        <w:rPr>
          <w:rFonts w:eastAsia="Times New Roman" w:cs="Times New Roman"/>
          <w:szCs w:val="20"/>
        </w:rPr>
        <w:t xml:space="preserve">, and some surveillance systems only collect data on certain pathogens of interest. Only certain pathogens are referenced explicitly in the International Classification of Diseases (ICD), limiting which pathogens can be identified from ICD-based data types like </w:t>
      </w:r>
      <w:proofErr w:type="spellStart"/>
      <w:r w:rsidRPr="0075311D">
        <w:rPr>
          <w:rFonts w:eastAsia="Times New Roman" w:cs="Times New Roman"/>
          <w:szCs w:val="20"/>
        </w:rPr>
        <w:t>MCoD</w:t>
      </w:r>
      <w:proofErr w:type="spellEnd"/>
      <w:r w:rsidRPr="0075311D">
        <w:rPr>
          <w:rFonts w:eastAsia="Times New Roman" w:cs="Times New Roman"/>
          <w:szCs w:val="20"/>
        </w:rPr>
        <w:t xml:space="preserve"> and hospital discharge. Finally, some datasets reported only a subset of the pathogens that we are interested in for a given infectious syndrome, reporting the remaining </w:t>
      </w:r>
      <w:proofErr w:type="spellStart"/>
      <w:r w:rsidRPr="0075311D">
        <w:rPr>
          <w:rFonts w:eastAsia="Times New Roman" w:cs="Times New Roman"/>
          <w:szCs w:val="20"/>
        </w:rPr>
        <w:t>aetiologies</w:t>
      </w:r>
      <w:proofErr w:type="spellEnd"/>
      <w:r w:rsidRPr="0075311D">
        <w:rPr>
          <w:rFonts w:eastAsia="Times New Roman" w:cs="Times New Roman"/>
          <w:szCs w:val="20"/>
        </w:rPr>
        <w:t xml:space="preserve"> in an aggregate “other” category. These practices have led to inconsistencies in the “other” and “polymicrobial” categories across data sources. Datasets can either over or under-report “other,” and datasets that report fewer specific pathogens will automatically report fewer polymicrobial infections.</w:t>
      </w:r>
    </w:p>
    <w:p w14:paraId="34DF5C06" w14:textId="3C69D228" w:rsidR="6B99E739" w:rsidRPr="0075311D" w:rsidRDefault="6B99E739" w:rsidP="082F9667">
      <w:pPr>
        <w:spacing w:line="257" w:lineRule="auto"/>
        <w:rPr>
          <w:rFonts w:cs="Times New Roman"/>
          <w:szCs w:val="20"/>
        </w:rPr>
      </w:pPr>
      <w:r w:rsidRPr="0075311D">
        <w:rPr>
          <w:rFonts w:eastAsia="Times New Roman" w:cs="Times New Roman"/>
          <w:szCs w:val="20"/>
        </w:rPr>
        <w:t>To address this problem, we maintained a list of data sources that we believe have sufficient testing and reporting to give unbiased estimates of other and polymicrobial for all syndromes, dropping any data on polymicrobial or other that did not come from these data sources. These data sources all had a complete sampling framework (</w:t>
      </w:r>
      <w:proofErr w:type="spellStart"/>
      <w:r w:rsidRPr="0075311D">
        <w:rPr>
          <w:rFonts w:eastAsia="Times New Roman" w:cs="Times New Roman"/>
          <w:szCs w:val="20"/>
        </w:rPr>
        <w:t>eg</w:t>
      </w:r>
      <w:proofErr w:type="spellEnd"/>
      <w:r w:rsidRPr="0075311D">
        <w:rPr>
          <w:rFonts w:eastAsia="Times New Roman" w:cs="Times New Roman"/>
          <w:szCs w:val="20"/>
        </w:rPr>
        <w:t xml:space="preserve">, they do not limit the scope of </w:t>
      </w:r>
      <w:proofErr w:type="spellStart"/>
      <w:r w:rsidRPr="0075311D">
        <w:rPr>
          <w:rFonts w:eastAsia="Times New Roman" w:cs="Times New Roman"/>
          <w:szCs w:val="20"/>
        </w:rPr>
        <w:t>aetologies</w:t>
      </w:r>
      <w:proofErr w:type="spellEnd"/>
      <w:r w:rsidRPr="0075311D">
        <w:rPr>
          <w:rFonts w:eastAsia="Times New Roman" w:cs="Times New Roman"/>
          <w:szCs w:val="20"/>
        </w:rPr>
        <w:t xml:space="preserve"> that they test for) and reported their results without any deliberate aggregation. While we believe this list provided an accurate starting place for the estimation of other and polymicrobial, future work to improve this method would involve a more detailed analysis of sampling framework and reporting categories in each dataset, specific to each infectious syndrome.</w:t>
      </w:r>
    </w:p>
    <w:p w14:paraId="002009A7" w14:textId="39E345C4" w:rsidR="6B99E739" w:rsidRPr="0075311D" w:rsidRDefault="6B99E739" w:rsidP="082F9667">
      <w:pPr>
        <w:spacing w:line="257" w:lineRule="auto"/>
        <w:rPr>
          <w:rFonts w:cs="Times New Roman"/>
          <w:szCs w:val="20"/>
        </w:rPr>
      </w:pPr>
      <w:r w:rsidRPr="0075311D">
        <w:rPr>
          <w:rFonts w:eastAsia="Times New Roman" w:cs="Times New Roman"/>
          <w:szCs w:val="20"/>
        </w:rPr>
        <w:t xml:space="preserve">There were two major exceptions to this method for handling “other specified pathogens.” First, determining the pathogenic </w:t>
      </w:r>
      <w:proofErr w:type="spellStart"/>
      <w:r w:rsidRPr="0075311D">
        <w:rPr>
          <w:rFonts w:eastAsia="Times New Roman" w:cs="Times New Roman"/>
          <w:szCs w:val="20"/>
        </w:rPr>
        <w:t>aetiology</w:t>
      </w:r>
      <w:proofErr w:type="spellEnd"/>
      <w:r w:rsidRPr="0075311D">
        <w:rPr>
          <w:rFonts w:eastAsia="Times New Roman" w:cs="Times New Roman"/>
          <w:szCs w:val="20"/>
        </w:rPr>
        <w:t xml:space="preserve"> of LRI with microbiology represents challenges that have been well described previously.</w:t>
      </w:r>
      <w:r w:rsidR="009F3EA3"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{"citationID":"yOOCKI6f","properties":{"formattedCitation":"\\super 8,9\\nosupersub{}","plainCitation":"8,9","noteIndex":0},"citationItems":[{"id":116667,"uris":["http://zotero.org/groups/2154524/items/HPRFN5WX"],"itemData":{"id":116667,"type":"article-journal","abstract":"STUDY OBJECTIVES: We evaluated the role of sputum examination in the management of patients with community-acquired pneumonia (CAP) in a primary-care hospital without microbiologic laboratory facilities.\nDESIGN AND INTERVENTIONS: A diagnostic strategy using regular collection of sputum samples, Gram staining in a local laboratory, and mailing of samples to a commercial laboratory for culture analysis.\nSETTING: A 200-bed primary-care hospital without subspeciality physicians.\nPATIENTS: One hundred sixteen consecutive patients with a diagnosis of CAP were prospectively evaluated during a 12-month period.\nRESULTS: Of 116 patients, 42 patients (36%) were capable of producing a sputum sample. Age &gt; or = 75 years (odds ratio [OR], 0.4; 95% confidence interval [CI], 0.18 to 0.93) and prior ambulatory antimicrobial treatment (OR, 3.2; 95% CI, 1.2 to 8.4) were independent predictors of sputum production. A delay in collection and processing of sputum samples of &gt; 24 h was present in 31% and 39%, respectively. A delay in collection yielded an increased number of Gram-negative enteric bacilli and nonfermenters (44% vs. 7%, p = 0.056). A delay in processing was associated with an increased number of Candida spp isolates (33% vs. 9%, p = 0.16). The overall diagnostic yield was low (10 of 116 patients, 9%) due to a limited number of valid samples (n = 23 of 42 patients, 55%) and a limited number of definitely or probably positive samples on Gram's stain and culture (n = 10 of 42 patients, 24%). Prior ambulatory antimicrobial treatment was associated with a reduction in diagnostic yield (14% vs. 56%, p = 0.09). The impact of diagnostic results on antimicrobial treatment decisions was minimal, with antimicrobial treatment directed to diagnostic results in only one patient.\nCONCLUSIONS: We conclude that in this setting representative of primary-care hospitals in Germany, sputum had a low diagnostic yield and did not contribute significantly to patient management.","container-title":"Chest","DOI":"10.1378/chest.121.5.1486","ISSN":"0012-3692","issue":"5","journalAbbreviation":"Chest","language":"eng","note":"PMID: 12006433","page":"1486-1492","source":"PubMed","title":"Applying sputum as a diagnostic tool in pneumonia: limited yield, minimal impact on treatment decisions","title-short":"Applying sputum as a diagnostic tool in pneumonia","volume":"121","author":[{"family":"Ewig","given":"Santiago"},{"family":"Schlochtermeier","given":"Matthias"},{"family":"Göke","given":"Norbert"},{"family":"Niederman","given":"Michael S."}],"issued":{"date-parts":[["2002",5]]}},"label":"page"},{"id":116669,"uris":["http://zotero.org/groups/2154524/items/5FVKQIEK"],"itemData":{"id":116669,"type":"article-journal","abstract":"BACKGROUND: The clinical role of sputum Gram stain (SGS) in community-acquired pneumonia (CAP) diagnosis remains controversial. A 1996 meta-analysis of the diagnostic accuracy of SGS reported heterogeneous results. To update the available evidence, we performed a systematic review and a Bayesian standard and latent-class model meta-analysis.\nMETHODS: We searched Medline, Embase, and Cochrane Central by 23 August 2018 to identify studies reporting on the diagnostic accuracy, yield (percentage of patients with any pathogen[s] correctly identified by SGS), and clinical outcomes of SGS in adult patients with CAP. Two reviewers extracted the data. We quantitatively synthesized the diagnostic accuracy and yield, and descriptively analyzed other outcomes.\nRESULTS: Twenty-four studies with 4533 patients were included. The methodological and reporting quality of the included studies was limited. When good-quality sputum specimens were selected, SGS had a summary sensitivity of 0.69 (95% credible interval [CrI], .56-.80) and specificity of 0.91 (CrI, .83-.96) for detecting Streptococcus pneumoniae, and a sensitivity of 0.76 (CrI, .60-.87) and specificity of 0.97 (CrI, .91-.99) for Haemophilus influenzae. Adjusted analyses accounting for imperfect reference standards provided higher-specificity estimates than the unadjusted analyses. Bacterial pathogens were identified in 73% (CrI, 26%-96%) of good-quality specimens, and 36% (CrI, 22%-53%) of all specimens regardless of quality. Evidence on other bacteria was sparse.\nCONCLUSIONS: SGS was highly specific to diagnose S. pneumoniae and H. influenzae infections in patients with CAP. With good-quality specimens, SGS can provide clinically actionable information for pathogen-directed antibiotic therapies.","container-title":"Clinical Infectious Diseases: An Official Publication of the Infectious Diseases Society of America","DOI":"10.1093/cid/ciz876","ISSN":"1537-6591","issue":"3","journalAbbreviation":"Clin Infect Dis","language":"eng","note":"PMID: 31504334\nPMCID: PMC7384319","page":"499-513","source":"PubMed","title":"Sputum gram stain for bacterial pathogen diagnosis in community-acquired pneumonia: a systematic review and bayesian meta-analysis of diagnostic accuracy and yield","title-short":"Sputum Gram Stain for Bacterial Pathogen Diagnosis in Community-acquired Pneumonia","volume":"71","author":[{"family":"Ogawa","given":"Hiroaki"},{"family":"Kitsios","given":"Georgios D."},{"family":"Iwata","given":"Mitsunaga"},{"family":"Terasawa","given":"Teruhiko"}],"issued":{"date-parts":[["2020",7,27]]}},"label":"page"}],"schema":"https://github.com/citation-style-language/schema/raw/master/csl-citation.json"} </w:instrText>
      </w:r>
      <w:r w:rsidR="009F3EA3"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8,9</w:t>
      </w:r>
      <w:r w:rsidR="009F3EA3"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In order to account for this limitation, we </w:t>
      </w:r>
      <w:proofErr w:type="spellStart"/>
      <w:r w:rsidRPr="0075311D">
        <w:rPr>
          <w:rFonts w:eastAsia="Times New Roman" w:cs="Times New Roman"/>
          <w:szCs w:val="20"/>
        </w:rPr>
        <w:t>utilised</w:t>
      </w:r>
      <w:proofErr w:type="spellEnd"/>
      <w:r w:rsidRPr="0075311D">
        <w:rPr>
          <w:rFonts w:eastAsia="Times New Roman" w:cs="Times New Roman"/>
          <w:szCs w:val="20"/>
        </w:rPr>
        <w:t xml:space="preserve"> a vaccine probe design to inform the </w:t>
      </w:r>
      <w:r w:rsidRPr="0075311D">
        <w:rPr>
          <w:rFonts w:eastAsia="Times New Roman" w:cs="Times New Roman"/>
          <w:i/>
          <w:iCs/>
          <w:szCs w:val="20"/>
        </w:rPr>
        <w:t xml:space="preserve">Streptococcus pneumoniae </w:t>
      </w:r>
      <w:r w:rsidRPr="0075311D">
        <w:rPr>
          <w:rFonts w:eastAsia="Times New Roman" w:cs="Times New Roman"/>
          <w:szCs w:val="20"/>
        </w:rPr>
        <w:t xml:space="preserve">cause fraction of LRI, consistent with the approach used in the GBD </w:t>
      </w:r>
      <w:proofErr w:type="spellStart"/>
      <w:r w:rsidRPr="0075311D">
        <w:rPr>
          <w:rFonts w:eastAsia="Times New Roman" w:cs="Times New Roman"/>
          <w:szCs w:val="20"/>
        </w:rPr>
        <w:t>aetiology</w:t>
      </w:r>
      <w:proofErr w:type="spellEnd"/>
      <w:r w:rsidRPr="0075311D">
        <w:rPr>
          <w:rFonts w:eastAsia="Times New Roman" w:cs="Times New Roman"/>
          <w:szCs w:val="20"/>
        </w:rPr>
        <w:t xml:space="preserve"> estimation process.</w:t>
      </w:r>
      <w:r w:rsidR="009F3EA3"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{"citationID":"07t5VVd3","properties":{"formattedCitation":"\\super 10,11\\nosupersub{}","plainCitation":"10,11","noteIndex":0},"citationItems":[{"id":116672,"uris":["http://zotero.org/groups/2154524/items/9Q3NW5T7"],"itemData":{"id":116672,"type":"article-journal","abstract":"Vaccine probe studies have emerged in the past 15 years as a useful way to characterise disease. By contrast, traditional studies of vaccines focus on defining the vaccine effectiveness or efficacy. The underlying basis for the vaccine probe approach is that the difference in disease burden between vaccinated and unvaccinated individuals can be ascribed to the vaccine-specific pathogen. Vaccine probe studies can increase understanding of a vaccine’s public health value. For instance, even when a vaccine has a seemingly low efficacy, a high baseline disease incidence can lead to a large vaccine-preventable disease burden and thus that population-based vaccine introduction would be justified. So far, vaccines have been used as probes to characterise disease syndromes caused by Haemophilus influenzae type b, pneumococcus, rotavirus, and early infant influenza. However, vaccine probe studies have enormous potential and could be used more widely in epidemiology, for example, to define the vaccine-preventable burden of malaria, typhoid, paediatric influenza, and dengue, and to identify causal interactions between different pathogens.","container-title":"Lancet (London, England)","DOI":"10.1016/S0140-6736(13)61682-7","ISSN":"0140-6736","issue":"9930","journalAbbreviation":"Lancet","note":"PMID: 24553294\nPMCID: PMC4682543","page":"1762-1770","source":"PubMed Central","title":"Use of vaccines as probes to define disease burden","volume":"383","author":[{"family":"Feikin","given":"Daniel R"},{"family":"Scott","given":"J Anthony G"},{"family":"Gessner","given":"Bradford D"}],"issued":{"date-parts":[["2014",5,17]]}},"label":"page"},{"id":116675,"uris":["http://zotero.org/groups/2154524/items/6ASRCRKG"],"itemData":{"id":116675,"type":"article-journal","abstract":"BACKGROUND: Lower respiratory infections are a leading cause of morbidity and mortality around the world. The Global Burden of Diseases, Injuries, and Risk Factors (GBD) Study 2016, provides an up-to-date analysis of the burden of lower respiratory infections in 195 countries. This study assesses cases, deaths, and aetiologies spanning the past 26 years and shows how the burden of lower respiratory infection has changed in people of all ages.\nMETHODS: We used three separate modelling strategies for lower respiratory infections in GBD 2016: a Bayesian hierarchical ensemble modelling platform (Cause of Death Ensemble model), which uses vital registration, verbal autopsy data, and surveillance system data to predict mortality due to lower respiratory infections; a compartmental meta-regression tool (DisMod-MR), which uses scientific literature, population representative surveys, and health-care data to predict incidence, prevalence, and mortality; and modelling of counterfactual estimates of the population attributable fraction of lower respiratory infection episodes due to Streptococcus pneumoniae, Haemophilus influenzae type b, influenza, and respiratory syncytial virus. We calculated each modelled estimate for each age, sex, year, and location. We modelled the exposure level in a population for a given risk factor using DisMod-MR and a spatio-temporal Gaussian process regression, and assessed the effectiveness of targeted interventions for each risk factor in children younger than 5 years. We also did a decomposition analysis of the change in LRI deaths from 2000-16 using the risk factors associated with LRI in GBD 2016.\nFINDINGS: In 2016, lower respiratory infections caused 652 572 deaths (95% uncertainty interval [UI] 586 475-720 612) in children younger than 5 years (under-5s), 1 080 958 deaths (943 749-1 170 638) in adults older than 70 years, and 2 377 697 deaths (2 145 584-2 512 809) in people of all ages, worldwide. Streptococcus pneumoniae was the leading cause of lower respiratory infection morbidity and mortality globally, contributing to more deaths than all other aetiologies combined in 2016 (1 189 937 deaths, 95% UI 690 445-1 770 660). Childhood wasting remains the leading risk factor for lower respiratory infection mortality among children younger than 5 years, responsible for 61·4% of lower respiratory infection deaths in 2016 (95% UI 45·7-69·6). Interventions to improve wasting, household air pollution, ambient particulate matter pollution, and expanded antibiotic use could avert one under-5 death due to lower respiratory infection for every 4000 children treated in the countries with the highest lower respiratory infection burden.\nINTERPRETATION: Our findings show substantial progress in the reduction of lower respiratory infection burden, but this progress has not been equal across locations, has been driven by decreases in several primary risk factors, and might require more effort among elderly adults. By highlighting regions and populations with the highest burden, and the risk factors that could have the greatest effect, funders, policy makers, and programme implementers can more effectively reduce lower respiratory infections among the world's most susceptible populations.\nFUNDING: Bill &amp; Melinda Gates Foundation.","container-title":"The Lancet. Infectious Diseases","DOI":"10.1016/S1473-3099(18)30310-4","ISSN":"1474-4457","issue":"11","journalAbbreviation":"Lancet Infect Dis","language":"eng","note":"PMID: 30243584\nPMCID: PMC6202443","page":"1191-1210","source":"PubMed","title":"Estimates of the global, regional, and national morbidity, mortality, and aetiologies of lower respiratory infections in 195 countries, 1990-2016: a systematic analysis for the Global Burden of Disease Study 2016","title-short":"Estimates of the global, regional, and national morbidity, mortality, and aetiologies of lower respiratory infections in 195 countries, 1990-2016","volume":"18","author":[{"literal":"GBD 2016 Lower Respiratory Infections Collaborators"}],"issued":{"date-parts":[["2018",11]]}},"label":"page"}],"schema":"https://github.com/citation-style-language/schema/raw/master/csl-citation.json"} </w:instrText>
      </w:r>
      <w:r w:rsidR="009F3EA3"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10,11</w:t>
      </w:r>
      <w:r w:rsidR="009F3EA3"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In brief, we extracted the vaccine efficacy of the pneumococcal vaccine against all pneumonia from 18 vaccine probe studies with </w:t>
      </w:r>
      <w:proofErr w:type="spellStart"/>
      <w:r w:rsidRPr="0075311D">
        <w:rPr>
          <w:rFonts w:eastAsia="Times New Roman" w:cs="Times New Roman"/>
          <w:szCs w:val="20"/>
        </w:rPr>
        <w:t>randomised</w:t>
      </w:r>
      <w:proofErr w:type="spellEnd"/>
      <w:r w:rsidRPr="0075311D">
        <w:rPr>
          <w:rFonts w:eastAsia="Times New Roman" w:cs="Times New Roman"/>
          <w:szCs w:val="20"/>
        </w:rPr>
        <w:t xml:space="preserve">-control trial, before-after, and cohort designs among children and adults. We then calculated the PAF of pneumonia due to </w:t>
      </w:r>
      <w:r w:rsidRPr="0075311D">
        <w:rPr>
          <w:rFonts w:eastAsia="Times New Roman" w:cs="Times New Roman"/>
          <w:i/>
          <w:iCs/>
          <w:szCs w:val="20"/>
        </w:rPr>
        <w:t xml:space="preserve">S. pneumoniae </w:t>
      </w:r>
      <w:r w:rsidRPr="0075311D">
        <w:rPr>
          <w:rFonts w:eastAsia="Times New Roman" w:cs="Times New Roman"/>
          <w:szCs w:val="20"/>
        </w:rPr>
        <w:t>in each study (</w:t>
      </w:r>
      <m:oMath>
        <m:r>
          <w:rPr>
            <w:rFonts w:ascii="Cambria Math" w:hAnsi="Cambria Math" w:cs="Times New Roman"/>
            <w:szCs w:val="20"/>
          </w:rPr>
          <m:t>Strep Base PAF</m:t>
        </m:r>
      </m:oMath>
      <w:r w:rsidRPr="0075311D">
        <w:rPr>
          <w:rFonts w:eastAsia="Times New Roman" w:cs="Times New Roman"/>
          <w:szCs w:val="20"/>
        </w:rPr>
        <w:t>) based on these vaccine efficacies (</w:t>
      </w:r>
      <m:oMath>
        <m:r>
          <w:rPr>
            <w:rFonts w:ascii="Cambria Math" w:hAnsi="Cambria Math" w:cs="Times New Roman"/>
            <w:szCs w:val="20"/>
          </w:rPr>
          <m:t>V</m:t>
        </m:r>
        <m:sSub>
          <m:sSubPr>
            <m:ctrlPr>
              <w:rPr>
                <w:rFonts w:ascii="Cambria Math" w:hAnsi="Cambria Math" w:cs="Times New Roman"/>
                <w:i/>
                <w:szCs w:val="20"/>
              </w:rPr>
            </m:ctrlPr>
          </m:sSubPr>
          <m:e>
            <m:r>
              <w:rPr>
                <w:rFonts w:ascii="Cambria Math" w:hAnsi="Cambria Math" w:cs="Times New Roman"/>
                <w:szCs w:val="20"/>
              </w:rPr>
              <m:t>E</m:t>
            </m:r>
          </m:e>
          <m:sub>
            <m:r>
              <w:rPr>
                <w:rFonts w:ascii="Cambria Math" w:hAnsi="Cambria Math" w:cs="Times New Roman"/>
                <w:szCs w:val="20"/>
              </w:rPr>
              <m:t>all pnuemonia</m:t>
            </m:r>
          </m:sub>
        </m:sSub>
      </m:oMath>
      <w:r w:rsidRPr="0075311D">
        <w:rPr>
          <w:rFonts w:eastAsia="Times New Roman" w:cs="Times New Roman"/>
          <w:szCs w:val="20"/>
        </w:rPr>
        <w:t>), the vaccine efficacy of pneumococcal vaccine against vaccine-type pneumococcal pneumonia as pooled from three studies (two in children and one in adults) (</w:t>
      </w:r>
      <m:oMath>
        <m:r>
          <w:rPr>
            <w:rFonts w:ascii="Cambria Math" w:hAnsi="Cambria Math" w:cs="Times New Roman"/>
            <w:szCs w:val="20"/>
          </w:rPr>
          <m:t>V</m:t>
        </m:r>
        <m:sSub>
          <m:sSubPr>
            <m:ctrlPr>
              <w:rPr>
                <w:rFonts w:ascii="Cambria Math" w:hAnsi="Cambria Math" w:cs="Times New Roman"/>
                <w:i/>
                <w:szCs w:val="20"/>
              </w:rPr>
            </m:ctrlPr>
          </m:sSubPr>
          <m:e>
            <m:r>
              <w:rPr>
                <w:rFonts w:ascii="Cambria Math" w:hAnsi="Cambria Math" w:cs="Times New Roman"/>
                <w:szCs w:val="20"/>
              </w:rPr>
              <m:t>E</m:t>
            </m:r>
          </m:e>
          <m:sub>
            <m:r>
              <w:rPr>
                <w:rFonts w:ascii="Cambria Math" w:hAnsi="Cambria Math" w:cs="Times New Roman"/>
                <w:szCs w:val="20"/>
              </w:rPr>
              <m:t>vtpp</m:t>
            </m:r>
          </m:sub>
        </m:sSub>
      </m:oMath>
      <w:r w:rsidRPr="0075311D">
        <w:rPr>
          <w:rFonts w:eastAsia="Times New Roman" w:cs="Times New Roman"/>
          <w:szCs w:val="20"/>
        </w:rPr>
        <w:t xml:space="preserve">), the percentage of the population covered by </w:t>
      </w:r>
      <w:r w:rsidRPr="0075311D">
        <w:rPr>
          <w:rFonts w:eastAsia="Times New Roman" w:cs="Times New Roman"/>
          <w:szCs w:val="20"/>
        </w:rPr>
        <w:lastRenderedPageBreak/>
        <w:t>the pneumococcal vaccine as modelled in GBD (100% for RCTs) (</w:t>
      </w:r>
      <m:oMath>
        <m:r>
          <w:rPr>
            <w:rFonts w:ascii="Cambria Math" w:hAnsi="Cambria Math" w:cs="Times New Roman"/>
            <w:szCs w:val="20"/>
          </w:rPr>
          <m:t>Co</m:t>
        </m:r>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PCV3</m:t>
            </m:r>
          </m:sub>
        </m:sSub>
      </m:oMath>
      <w:r w:rsidRPr="0075311D">
        <w:rPr>
          <w:rFonts w:eastAsia="Times New Roman" w:cs="Times New Roman"/>
          <w:szCs w:val="20"/>
        </w:rPr>
        <w:t>),</w:t>
      </w:r>
      <w:r w:rsidR="006A2C32"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{"citationID":"w1XAsi9p","properties":{"formattedCitation":"\\super 11\\nosupersub{}","plainCitation":"11","noteIndex":0},"citationItems":[{"id":116675,"uris":["http://zotero.org/groups/2154524/items/6ASRCRKG"],"itemData":{"id":116675,"type":"article-journal","abstract":"BACKGROUND: Lower respiratory infections are a leading cause of morbidity and mortality around the world. The Global Burden of Diseases, Injuries, and Risk Factors (GBD) Study 2016, provides an up-to-date analysis of the burden of lower respiratory infections in 195 countries. This study assesses cases, deaths, and aetiologies spanning the past 26 years and shows how the burden of lower respiratory infection has changed in people of all ages.\nMETHODS: We used three separate modelling strategies for lower respiratory infections in GBD 2016: a Bayesian hierarchical ensemble modelling platform (Cause of Death Ensemble model), which uses vital registration, verbal autopsy data, and surveillance system data to predict mortality due to lower respiratory infections; a compartmental meta-regression tool (DisMod-MR), which uses scientific literature, population representative surveys, and health-care data to predict incidence, prevalence, and mortality; and modelling of counterfactual estimates of the population attributable fraction of lower respiratory infection episodes due to Streptococcus pneumoniae, Haemophilus influenzae type b, influenza, and respiratory syncytial virus. We calculated each modelled estimate for each age, sex, year, and location. We modelled the exposure level in a population for a given risk factor using DisMod-MR and a spatio-temporal Gaussian process regression, and assessed the effectiveness of targeted interventions for each risk factor in children younger than 5 years. We also did a decomposition analysis of the change in LRI deaths from 2000-16 using the risk factors associated with LRI in GBD 2016.\nFINDINGS: In 2016, lower respiratory infections caused 652 572 deaths (95% uncertainty interval [UI] 586 475-720 612) in children younger than 5 years (under-5s), 1 080 958 deaths (943 749-1 170 638) in adults older than 70 years, and 2 377 697 deaths (2 145 584-2 512 809) in people of all ages, worldwide. Streptococcus pneumoniae was the leading cause of lower respiratory infection morbidity and mortality globally, contributing to more deaths than all other aetiologies combined in 2016 (1 189 937 deaths, 95% UI 690 445-1 770 660). Childhood wasting remains the leading risk factor for lower respiratory infection mortality among children younger than 5 years, responsible for 61·4% of lower respiratory infection deaths in 2016 (95% UI 45·7-69·6). Interventions to improve wasting, household air pollution, ambient particulate matter pollution, and expanded antibiotic use could avert one under-5 death due to lower respiratory infection for every 4000 children treated in the countries with the highest lower respiratory infection burden.\nINTERPRETATION: Our findings show substantial progress in the reduction of lower respiratory infection burden, but this progress has not been equal across locations, has been driven by decreases in several primary risk factors, and might require more effort among elderly adults. By highlighting regions and populations with the highest burden, and the risk factors that could have the greatest effect, funders, policy makers, and programme implementers can more effectively reduce lower respiratory infections among the world's most susceptible populations.\nFUNDING: Bill &amp; Melinda Gates Foundation.","container-title":"The Lancet. Infectious Diseases","DOI":"10.1016/S1473-3099(18)30310-4","ISSN":"1474-4457","issue":"11","journalAbbreviation":"Lancet Infect Dis","language":"eng","note":"PMID: 30243584\nPMCID: PMC6202443","page":"1191-1210","source":"PubMed","title":"Estimates of the global, regional, and national morbidity, mortality, and aetiologies of lower respiratory infections in 195 countries, 1990-2016: a systematic analysis for the Global Burden of Disease Study 2016","title-short":"Estimates of the global, regional, and national morbidity, mortality, and aetiologies of lower respiratory infections in 195 countries, 1990-2016","volume":"18","author":[{"literal":"GBD 2016 Lower Respiratory Infections Collaborators"}],"issued":{"date-parts":[["2018",11]]}}}],"schema":"https://github.com/citation-style-language/schema/raw/master/csl-citation.json"} </w:instrText>
      </w:r>
      <w:r w:rsidR="006A2C32"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11</w:t>
      </w:r>
      <w:r w:rsidR="006A2C32" w:rsidRPr="0075311D">
        <w:rPr>
          <w:rFonts w:eastAsia="Times New Roman" w:cs="Times New Roman"/>
          <w:color w:val="2B579A"/>
          <w:szCs w:val="20"/>
          <w:shd w:val="clear" w:color="auto" w:fill="E6E6E6"/>
        </w:rPr>
        <w:fldChar w:fldCharType="end"/>
      </w:r>
      <w:r w:rsidRPr="0075311D">
        <w:rPr>
          <w:rFonts w:eastAsia="Times New Roman" w:cs="Times New Roman"/>
          <w:szCs w:val="20"/>
        </w:rPr>
        <w:t xml:space="preserve"> and the percent of serotypes covered by the vaccine</w:t>
      </w:r>
      <w:r w:rsidR="006A2C32"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{"citationID":"8bSqBsIY","properties":{"formattedCitation":"\\super 12\\nosupersub{}","plainCitation":"12","noteIndex":0},"citationItems":[{"id":116678,"uris":["http://zotero.org/groups/2154524/items/TLE5ZUXS"],"itemData":{"id":116678,"type":"article-journal","abstract":"Hope Johnson and colleagues calculate the global and regional burden of serotype-specific pneumococcal disease in children under the age of five.","container-title":"PLOS Medicine","DOI":"10.1371/journal.pmed.1000348","ISSN":"1549-1676","issue":"10","journalAbbreviation":"PLOS Medicine","language":"en","note":"publisher: Public Library of Science","page":"e1000348","source":"PLoS Journals","title":"Systematic evaluation of serotypes causing invasive pneumococcal disease among children under five: The Pneumococcal Global Serotype Project","title-short":"Systematic Evaluation of Serotypes Causing Invasive Pneumococcal Disease among Children Under Five","volume":"7","author":[{"family":"Johnson","given":"Hope L."},{"family":"Deloria-Knoll","given":"Maria"},{"family":"Levine","given":"Orin S."},{"family":"Stoszek","given":"Sonia K."},{"family":"Hance","given":"Laura Freimanis"},{"family":"Reithinger","given":"Richard"},{"family":"Muenz","given":"Larry R."},{"family":"O'Brien","given":"Katherine L."}],"issued":{"date-parts":[["2010",10,5]]}}}],"schema":"https://github.com/citation-style-language/schema/raw/master/csl-citation.json"} </w:instrText>
      </w:r>
      <w:r w:rsidR="006A2C32"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12</w:t>
      </w:r>
      <w:r w:rsidR="006A2C32" w:rsidRPr="0075311D">
        <w:rPr>
          <w:rFonts w:eastAsia="Times New Roman" w:cs="Times New Roman"/>
          <w:color w:val="2B579A"/>
          <w:szCs w:val="20"/>
          <w:shd w:val="clear" w:color="auto" w:fill="E6E6E6"/>
        </w:rPr>
        <w:fldChar w:fldCharType="end"/>
      </w:r>
      <w:r w:rsidR="00EB06FF" w:rsidRPr="0075311D">
        <w:rPr>
          <w:rFonts w:eastAsia="Times New Roman" w:cs="Times New Roman"/>
          <w:szCs w:val="20"/>
        </w:rPr>
        <w:t xml:space="preserve"> </w:t>
      </w:r>
      <m:oMath>
        <m:r>
          <w:rPr>
            <w:rFonts w:ascii="Cambria Math" w:hAnsi="Cambria Math" w:cs="Times New Roman"/>
            <w:szCs w:val="20"/>
          </w:rPr>
          <m:t>Co</m:t>
        </m:r>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serotype</m:t>
            </m:r>
          </m:sub>
        </m:sSub>
      </m:oMath>
      <w:r w:rsidRPr="0075311D">
        <w:rPr>
          <w:rFonts w:eastAsia="Times New Roman" w:cs="Times New Roman"/>
          <w:szCs w:val="20"/>
        </w:rPr>
        <w:t xml:space="preserve">  (equation 6.2.6.1). We modelled a global age-specific PAF for </w:t>
      </w:r>
      <w:r w:rsidRPr="0075311D">
        <w:rPr>
          <w:rFonts w:eastAsia="Times New Roman" w:cs="Times New Roman"/>
          <w:i/>
          <w:iCs/>
          <w:szCs w:val="20"/>
        </w:rPr>
        <w:t xml:space="preserve">S. pneumoniae </w:t>
      </w:r>
      <w:r w:rsidRPr="0075311D">
        <w:rPr>
          <w:rFonts w:eastAsia="Times New Roman" w:cs="Times New Roman"/>
          <w:szCs w:val="20"/>
        </w:rPr>
        <w:t>based on these data in the MR-BRT environment and finally adjusted this PAF based on the vaccine coverage in children in every GBD location in 2019 and optimal vaccine efficacy in children (</w:t>
      </w:r>
      <m:oMath>
        <m:r>
          <w:rPr>
            <w:rFonts w:ascii="Cambria Math" w:hAnsi="Cambria Math" w:cs="Times New Roman"/>
            <w:szCs w:val="20"/>
          </w:rPr>
          <m:t>Strep Final PAF</m:t>
        </m:r>
      </m:oMath>
      <w:r w:rsidRPr="0075311D">
        <w:rPr>
          <w:rFonts w:eastAsia="Times New Roman" w:cs="Times New Roman"/>
          <w:szCs w:val="20"/>
        </w:rPr>
        <w:t>) (equation 3.4.3.2). In adults (age 5+), we assumed the effects of vaccination on adults would be primarily indirect from vaccination in children, and included an adjustment fa</w:t>
      </w:r>
      <w:proofErr w:type="spellStart"/>
      <w:r w:rsidRPr="0075311D">
        <w:rPr>
          <w:rFonts w:eastAsia="Times New Roman" w:cs="Times New Roman"/>
          <w:szCs w:val="20"/>
        </w:rPr>
        <w:t>ctor</w:t>
      </w:r>
      <w:proofErr w:type="spellEnd"/>
      <w:r w:rsidRPr="0075311D">
        <w:rPr>
          <w:rFonts w:eastAsia="Times New Roman" w:cs="Times New Roman"/>
          <w:szCs w:val="20"/>
        </w:rPr>
        <w:t xml:space="preserve"> on the vaccine efficacy to account for this, derived from Grijalva et al.</w:t>
      </w:r>
      <w:r w:rsidR="006A2C32" w:rsidRPr="0075311D">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{"citationID":"9C88fzCn","properties":{"formattedCitation":"\\super 13\\nosupersub{}","plainCitation":"13","noteIndex":0},"citationItems":[{"id":116681,"uris":["http://zotero.org/groups/2154524/items/N9Z6LWD4"],"itemData":{"id":116681,"type":"article-journal","abstract":"BACKGROUND: Routine infant immunisation with seven-valent pneumococcal conjugate vaccine (PCV7) began in the USA in 2000. Although invasive pneumococcal disease has declined substantially, the programme's effect on hospital admissions for pneumonia is unknown. We therefore assessed the effect of the programme on rates of all-cause and pneumococcal pneumonia admissions.\nMETHODS: Data from the Nationwide Inpatient Sample, the largest inpatient database available in the USA, were analysed with an interrupted time-series analysis that used pneumonia (all-cause and pneumococcal) admission rates as the main outcomes. Monthly admission rates estimated for years after the introduction of PCV7 vaccination (2001-2004) were compared with expected rates calculated from pre-PCV7 years (1997-1999). The year of vaccine introduction (2000) was excluded, and rates of admission for dehydration were assessed for comparison.\nFINDINGS: At the end of 2004, all-cause pneumonia admission rates had declined by 39% (95% CI 22-52) for children younger than 2 years, who were the target population of the vaccination programme. This annual decline in all-cause pneumonia admissions of 506 (291-675) per 100,000 children younger than 2 years represented about 41,000 pneumonia admissions prevented in 2004. During the 8 study years, 10,659 (2%) children younger than 2 years admitted with pneumonia were coded as having pneumococcal disease; these rates declined by 65% (47-77). This decline represented about 17 fewer admissions per 100,000 children in 2004. Admission rates for dehydration for children younger than 2 years remained stable over the study period.\nINTERPRETATION: The reduction in all-cause pneumonia admissions in children younger than 2 years provides an estimate of the proportion of childhood pneumonias attributable to Streptococcus pneumoniae in the USA that are vaccine preventable. Our results contribute to the growing body of evidence supporting the beneficial effects of the pneumococcal conjugate vaccines in children.","container-title":"Lancet (London, England)","DOI":"10.1016/S0140-6736(07)60564-9","ISSN":"1474-547X","issue":"9568","journalAbbreviation":"Lancet","language":"eng","note":"PMID: 17416262","page":"1179-1186","source":"PubMed","title":"Decline in pneumonia admissions after routine childhood immunisation with pneumococcal conjugate vaccine in the USA: a time-series analysis","title-short":"Decline in pneumonia admissions after routine childhood immunisation with pneumococcal conjugate vaccine in the USA","volume":"369","author":[{"family":"Grijalva","given":"Carlos G."},{"family":"Nuorti","given":"J. Pekka"},{"family":"Arbogast","given":"Patrick G."},{"family":"Martin","given":"Stacey W."},{"family":"Edwards","given":"Kathryn M."},{"family":"Griffin","given":"Marie R."}],"issued":{"date-parts":[["2007",4,7]]}}}],"schema":"https://github.com/citation-style-language/schema/raw/master/csl-citation.json"} </w:instrText>
      </w:r>
      <w:r w:rsidR="006A2C32" w:rsidRPr="0075311D">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13</w:t>
      </w:r>
      <w:r w:rsidR="006A2C32" w:rsidRPr="0075311D">
        <w:rPr>
          <w:rFonts w:eastAsia="Times New Roman" w:cs="Times New Roman"/>
          <w:color w:val="2B579A"/>
          <w:szCs w:val="20"/>
          <w:shd w:val="clear" w:color="auto" w:fill="E6E6E6"/>
        </w:rPr>
        <w:fldChar w:fldCharType="end"/>
      </w:r>
    </w:p>
    <w:p w14:paraId="3F605C57" w14:textId="77777777" w:rsidR="00EB06FF" w:rsidRPr="006108FD" w:rsidRDefault="00000000" w:rsidP="00EB06FF">
      <w:pPr>
        <w:jc w:val="center"/>
        <w:rPr>
          <w:rFonts w:eastAsiaTheme="minorEastAsia"/>
        </w:rPr>
      </w:pPr>
      <m:oMathPara>
        <m:oMath>
          <m:eqArr>
            <m:eqArrPr>
              <m:maxDist m:val="1"/>
              <m:ctrlPr>
                <w:rPr>
                  <w:rFonts w:ascii="Cambria Math" w:hAnsi="Cambria Math"/>
                  <w:i/>
                </w:rPr>
              </m:ctrlPr>
            </m:eqArrPr>
            <m:e>
              <m:r>
                <w:rPr>
                  <w:rFonts w:ascii="Cambria Math" w:hAnsi="Cambria Math"/>
                </w:rPr>
                <m:t>Strep Base PAF=</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E</m:t>
                      </m:r>
                    </m:e>
                    <m:sub>
                      <m:r>
                        <w:rPr>
                          <w:rFonts w:ascii="Cambria Math" w:hAnsi="Cambria Math"/>
                        </w:rPr>
                        <m:t>all pneumonia</m:t>
                      </m:r>
                    </m:sub>
                  </m:sSub>
                </m:num>
                <m:den>
                  <m:r>
                    <w:rPr>
                      <w:rFonts w:ascii="Cambria Math" w:hAnsi="Cambria Math"/>
                    </w:rPr>
                    <m:t>V</m:t>
                  </m:r>
                  <m:sSub>
                    <m:sSubPr>
                      <m:ctrlPr>
                        <w:rPr>
                          <w:rFonts w:ascii="Cambria Math" w:hAnsi="Cambria Math"/>
                          <w:i/>
                        </w:rPr>
                      </m:ctrlPr>
                    </m:sSubPr>
                    <m:e>
                      <m:r>
                        <w:rPr>
                          <w:rFonts w:ascii="Cambria Math" w:hAnsi="Cambria Math"/>
                        </w:rPr>
                        <m:t>E</m:t>
                      </m:r>
                    </m:e>
                    <m:sub>
                      <m:r>
                        <w:rPr>
                          <w:rFonts w:ascii="Cambria Math" w:hAnsi="Cambria Math"/>
                        </w:rPr>
                        <m:t>vtpp</m:t>
                      </m:r>
                    </m:sub>
                  </m:sSub>
                  <m:r>
                    <w:rPr>
                      <w:rFonts w:ascii="Cambria Math" w:hAnsi="Cambria Math"/>
                    </w:rPr>
                    <m:t>Co</m:t>
                  </m:r>
                  <m:sSub>
                    <m:sSubPr>
                      <m:ctrlPr>
                        <w:rPr>
                          <w:rFonts w:ascii="Cambria Math" w:hAnsi="Cambria Math"/>
                          <w:i/>
                        </w:rPr>
                      </m:ctrlPr>
                    </m:sSubPr>
                    <m:e>
                      <m:r>
                        <w:rPr>
                          <w:rFonts w:ascii="Cambria Math" w:hAnsi="Cambria Math"/>
                        </w:rPr>
                        <m:t>v</m:t>
                      </m:r>
                    </m:e>
                    <m:sub>
                      <m:r>
                        <w:rPr>
                          <w:rFonts w:ascii="Cambria Math" w:hAnsi="Cambria Math"/>
                        </w:rPr>
                        <m:t>PCV3</m:t>
                      </m:r>
                    </m:sub>
                  </m:sSub>
                  <m:r>
                    <w:rPr>
                      <w:rFonts w:ascii="Cambria Math" w:hAnsi="Cambria Math"/>
                    </w:rPr>
                    <m:t>Co</m:t>
                  </m:r>
                  <m:sSub>
                    <m:sSubPr>
                      <m:ctrlPr>
                        <w:rPr>
                          <w:rFonts w:ascii="Cambria Math" w:hAnsi="Cambria Math"/>
                          <w:i/>
                        </w:rPr>
                      </m:ctrlPr>
                    </m:sSubPr>
                    <m:e>
                      <m:r>
                        <w:rPr>
                          <w:rFonts w:ascii="Cambria Math" w:hAnsi="Cambria Math"/>
                        </w:rPr>
                        <m:t>v</m:t>
                      </m:r>
                    </m:e>
                    <m:sub>
                      <m:r>
                        <w:rPr>
                          <w:rFonts w:ascii="Cambria Math" w:hAnsi="Cambria Math"/>
                        </w:rPr>
                        <m:t>serotype</m:t>
                      </m:r>
                    </m:sub>
                  </m:sSub>
                </m:den>
              </m:f>
              <m:r>
                <w:rPr>
                  <w:rFonts w:ascii="Cambria Math" w:hAnsi="Cambria Math"/>
                </w:rPr>
                <m:t>#(3.4.3.1)</m:t>
              </m:r>
            </m:e>
          </m:eqArr>
        </m:oMath>
      </m:oMathPara>
    </w:p>
    <w:p w14:paraId="6EC34687" w14:textId="77777777" w:rsidR="00EB06FF" w:rsidRPr="003A2513" w:rsidRDefault="00000000" w:rsidP="00EB06FF">
      <w:pPr>
        <w:jc w:val="cente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Strep Final PAF=</m:t>
              </m:r>
              <m:f>
                <m:fPr>
                  <m:ctrlPr>
                    <w:rPr>
                      <w:rFonts w:ascii="Cambria Math" w:eastAsiaTheme="minorEastAsia" w:hAnsi="Cambria Math"/>
                      <w:i/>
                    </w:rPr>
                  </m:ctrlPr>
                </m:fPr>
                <m:num>
                  <m:r>
                    <w:rPr>
                      <w:rFonts w:ascii="Cambria Math" w:eastAsiaTheme="minorEastAsia" w:hAnsi="Cambria Math"/>
                    </w:rPr>
                    <m:t>Strep Base PAF</m:t>
                  </m:r>
                  <m:d>
                    <m:dPr>
                      <m:ctrlPr>
                        <w:rPr>
                          <w:rFonts w:ascii="Cambria Math" w:eastAsiaTheme="minorEastAsia" w:hAnsi="Cambria Math"/>
                          <w:i/>
                        </w:rPr>
                      </m:ctrlPr>
                    </m:dPr>
                    <m:e>
                      <m:r>
                        <w:rPr>
                          <w:rFonts w:ascii="Cambria Math" w:eastAsiaTheme="minorEastAsia" w:hAnsi="Cambria Math"/>
                        </w:rPr>
                        <m:t>1-Co</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PCV3</m:t>
                          </m:r>
                        </m:sub>
                      </m:sSub>
                      <m:r>
                        <w:rPr>
                          <w:rFonts w:ascii="Cambria Math" w:eastAsiaTheme="minorEastAsia" w:hAnsi="Cambria Math"/>
                        </w:rPr>
                        <m:t>Co</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serotype</m:t>
                          </m:r>
                        </m:sub>
                      </m:sSub>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PCV3 Optimal</m:t>
                          </m:r>
                        </m:sub>
                      </m:sSub>
                    </m:e>
                  </m:d>
                </m:num>
                <m:den>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Strep Base PAF</m:t>
                      </m:r>
                    </m:e>
                  </m:d>
                  <m:r>
                    <w:rPr>
                      <w:rFonts w:ascii="Cambria Math" w:eastAsiaTheme="minorEastAsia" w:hAnsi="Cambria Math"/>
                    </w:rPr>
                    <m:t>Co</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PCV3</m:t>
                      </m:r>
                    </m:sub>
                  </m:sSub>
                  <m:r>
                    <w:rPr>
                      <w:rFonts w:ascii="Cambria Math" w:eastAsiaTheme="minorEastAsia" w:hAnsi="Cambria Math"/>
                    </w:rPr>
                    <m:t>Co</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serotype</m:t>
                      </m:r>
                    </m:sub>
                  </m:sSub>
                  <m:r>
                    <w:rPr>
                      <w:rFonts w:ascii="Cambria Math" w:eastAsiaTheme="minorEastAsia" w:hAnsi="Cambria Math"/>
                    </w:rPr>
                    <m:t>V</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PCV3 Optimal</m:t>
                      </m:r>
                    </m:sub>
                  </m:sSub>
                </m:den>
              </m:f>
              <m:r>
                <w:rPr>
                  <w:rFonts w:ascii="Cambria Math" w:eastAsiaTheme="minorEastAsia" w:hAnsi="Cambria Math"/>
                </w:rPr>
                <m:t>#(3.4.3.2)</m:t>
              </m:r>
            </m:e>
          </m:eqArr>
        </m:oMath>
      </m:oMathPara>
    </w:p>
    <w:p w14:paraId="1ACE6EDA" w14:textId="52FAD32D" w:rsidR="6B99E739" w:rsidRDefault="6B99E739" w:rsidP="082F9667">
      <w:pPr>
        <w:spacing w:line="257" w:lineRule="auto"/>
      </w:pPr>
    </w:p>
    <w:p w14:paraId="2A95784E" w14:textId="3CBBA499" w:rsidR="6B99E739" w:rsidRPr="0075311D" w:rsidRDefault="6B99E739" w:rsidP="082F9667">
      <w:pPr>
        <w:spacing w:line="257" w:lineRule="auto"/>
        <w:rPr>
          <w:rFonts w:cs="Times New Roman"/>
          <w:szCs w:val="20"/>
        </w:rPr>
      </w:pPr>
      <w:r w:rsidRPr="0075311D">
        <w:rPr>
          <w:rFonts w:eastAsia="Times New Roman" w:cs="Times New Roman"/>
          <w:szCs w:val="20"/>
        </w:rPr>
        <w:t>In this vaccine probe analysis, (</w:t>
      </w:r>
      <m:oMath>
        <m:r>
          <w:rPr>
            <w:rFonts w:ascii="Cambria Math" w:hAnsi="Cambria Math" w:cs="Times New Roman"/>
            <w:szCs w:val="20"/>
          </w:rPr>
          <m:t>1-Strep Final PAF</m:t>
        </m:r>
      </m:oMath>
      <w:r w:rsidRPr="0075311D">
        <w:rPr>
          <w:rFonts w:eastAsia="Times New Roman" w:cs="Times New Roman"/>
          <w:szCs w:val="20"/>
        </w:rPr>
        <w:t xml:space="preserve">) is not consistent with the “other” category in our </w:t>
      </w:r>
      <w:proofErr w:type="gramStart"/>
      <w:r w:rsidRPr="0075311D">
        <w:rPr>
          <w:rFonts w:eastAsia="Times New Roman" w:cs="Times New Roman"/>
          <w:szCs w:val="20"/>
        </w:rPr>
        <w:t>model, since</w:t>
      </w:r>
      <w:proofErr w:type="gramEnd"/>
      <w:r w:rsidRPr="0075311D">
        <w:rPr>
          <w:rFonts w:eastAsia="Times New Roman" w:cs="Times New Roman"/>
          <w:szCs w:val="20"/>
        </w:rPr>
        <w:t xml:space="preserve"> it i</w:t>
      </w:r>
      <w:proofErr w:type="spellStart"/>
      <w:r w:rsidRPr="0075311D">
        <w:rPr>
          <w:rFonts w:eastAsia="Times New Roman" w:cs="Times New Roman"/>
          <w:szCs w:val="20"/>
        </w:rPr>
        <w:t>ncludes</w:t>
      </w:r>
      <w:proofErr w:type="spellEnd"/>
      <w:r w:rsidRPr="0075311D">
        <w:rPr>
          <w:rFonts w:eastAsia="Times New Roman" w:cs="Times New Roman"/>
          <w:szCs w:val="20"/>
        </w:rPr>
        <w:t xml:space="preserve"> all non-­</w:t>
      </w:r>
      <w:r w:rsidRPr="0075311D">
        <w:rPr>
          <w:rFonts w:eastAsia="Times New Roman" w:cs="Times New Roman"/>
          <w:i/>
          <w:iCs/>
          <w:szCs w:val="20"/>
        </w:rPr>
        <w:t xml:space="preserve">S. pneumoniae </w:t>
      </w:r>
      <w:proofErr w:type="spellStart"/>
      <w:r w:rsidRPr="0075311D">
        <w:rPr>
          <w:rFonts w:eastAsia="Times New Roman" w:cs="Times New Roman"/>
          <w:szCs w:val="20"/>
        </w:rPr>
        <w:t>aetiologies</w:t>
      </w:r>
      <w:proofErr w:type="spellEnd"/>
      <w:r w:rsidRPr="0075311D">
        <w:rPr>
          <w:rFonts w:eastAsia="Times New Roman" w:cs="Times New Roman"/>
          <w:szCs w:val="20"/>
        </w:rPr>
        <w:t xml:space="preserve">. We retained </w:t>
      </w:r>
      <w:proofErr w:type="gramStart"/>
      <w:r w:rsidRPr="0075311D">
        <w:rPr>
          <w:rFonts w:eastAsia="Times New Roman" w:cs="Times New Roman"/>
          <w:szCs w:val="20"/>
        </w:rPr>
        <w:t>all of</w:t>
      </w:r>
      <w:proofErr w:type="gramEnd"/>
      <w:r w:rsidRPr="0075311D">
        <w:rPr>
          <w:rFonts w:eastAsia="Times New Roman" w:cs="Times New Roman"/>
          <w:szCs w:val="20"/>
        </w:rPr>
        <w:t xml:space="preserve"> the data from the vaccine probe analysis as two categories, </w:t>
      </w:r>
      <w:r w:rsidRPr="0075311D">
        <w:rPr>
          <w:rFonts w:eastAsia="Times New Roman" w:cs="Times New Roman"/>
          <w:i/>
          <w:iCs/>
          <w:szCs w:val="20"/>
        </w:rPr>
        <w:t xml:space="preserve">S. pneumoniae </w:t>
      </w:r>
      <w:r w:rsidRPr="0075311D">
        <w:rPr>
          <w:rFonts w:eastAsia="Times New Roman" w:cs="Times New Roman"/>
          <w:szCs w:val="20"/>
        </w:rPr>
        <w:t xml:space="preserve">and “not </w:t>
      </w:r>
      <w:r w:rsidRPr="0075311D">
        <w:rPr>
          <w:rFonts w:eastAsia="Times New Roman" w:cs="Times New Roman"/>
          <w:i/>
          <w:iCs/>
          <w:szCs w:val="20"/>
        </w:rPr>
        <w:t>S. pneumoniae</w:t>
      </w:r>
      <w:r w:rsidRPr="0075311D">
        <w:rPr>
          <w:rFonts w:eastAsia="Times New Roman" w:cs="Times New Roman"/>
          <w:szCs w:val="20"/>
        </w:rPr>
        <w:t>” and addressed the inconsistencies between them and our other data using our modelling framework.</w:t>
      </w:r>
    </w:p>
    <w:p w14:paraId="65D3E358" w14:textId="357E82E4" w:rsidR="6B99E739" w:rsidRPr="0075311D" w:rsidRDefault="6B99E739" w:rsidP="082F9667">
      <w:pPr>
        <w:spacing w:line="257" w:lineRule="auto"/>
        <w:rPr>
          <w:rFonts w:cs="Times New Roman"/>
          <w:szCs w:val="20"/>
        </w:rPr>
      </w:pPr>
      <w:r w:rsidRPr="0075311D">
        <w:rPr>
          <w:rFonts w:eastAsia="Times New Roman" w:cs="Times New Roman"/>
          <w:szCs w:val="20"/>
        </w:rPr>
        <w:t xml:space="preserve">The second major exception involves several literature studies on the proportion of neonatal bacterial meningitis caused by </w:t>
      </w:r>
      <w:r w:rsidRPr="0075311D">
        <w:rPr>
          <w:rFonts w:eastAsia="Times New Roman" w:cs="Times New Roman"/>
          <w:i/>
          <w:iCs/>
          <w:szCs w:val="20"/>
        </w:rPr>
        <w:t>Streptococcus agalactiae</w:t>
      </w:r>
      <w:r w:rsidRPr="0075311D">
        <w:rPr>
          <w:rFonts w:eastAsia="Times New Roman" w:cs="Times New Roman"/>
          <w:szCs w:val="20"/>
        </w:rPr>
        <w:t xml:space="preserve"> (Group B </w:t>
      </w:r>
      <w:r w:rsidRPr="0075311D">
        <w:rPr>
          <w:rFonts w:eastAsia="Times New Roman" w:cs="Times New Roman"/>
          <w:i/>
          <w:iCs/>
          <w:szCs w:val="20"/>
        </w:rPr>
        <w:t xml:space="preserve">Streptococcus; </w:t>
      </w:r>
      <w:r w:rsidRPr="0075311D">
        <w:rPr>
          <w:rFonts w:eastAsia="Times New Roman" w:cs="Times New Roman"/>
          <w:szCs w:val="20"/>
        </w:rPr>
        <w:t>GBS). We found that these literature studies were important to our estimation of the pathogen distribution of neonatal meningitis, which is distinct from other age groups because of its high proportion of GBS. However, these studies either only reported or were only extracted with two categories, GBS and “other bacterial, not GBS.” We retained both these categories and addressed the inconsistencies between them and our other data using our modelling framework.</w:t>
      </w:r>
    </w:p>
    <w:p w14:paraId="6C9A0E8C" w14:textId="6563C294" w:rsidR="6B99E739" w:rsidRDefault="6B99E739" w:rsidP="00D7626E">
      <w:pPr>
        <w:spacing w:after="0"/>
      </w:pPr>
      <w:r w:rsidRPr="00D7626E">
        <w:rPr>
          <w:rFonts w:eastAsiaTheme="majorEastAsia" w:cstheme="majorBidi"/>
          <w:i/>
          <w:color w:val="1F4D78" w:themeColor="accent1" w:themeShade="7F"/>
          <w:szCs w:val="24"/>
        </w:rPr>
        <w:t>Section 3.4.4: Age-sex splitting and standardizing measures</w:t>
      </w:r>
    </w:p>
    <w:p w14:paraId="5FD4ECD8" w14:textId="7A1747A0" w:rsidR="6B99E739" w:rsidRPr="0075311D" w:rsidRDefault="6B99E739" w:rsidP="082F9667">
      <w:pPr>
        <w:spacing w:line="257" w:lineRule="auto"/>
        <w:rPr>
          <w:rFonts w:cs="Times New Roman"/>
          <w:szCs w:val="20"/>
        </w:rPr>
      </w:pPr>
      <w:r w:rsidRPr="0075311D">
        <w:rPr>
          <w:rFonts w:eastAsia="Times New Roman" w:cs="Times New Roman"/>
          <w:szCs w:val="20"/>
        </w:rPr>
        <w:t xml:space="preserve">We </w:t>
      </w:r>
      <w:proofErr w:type="spellStart"/>
      <w:r w:rsidRPr="0075311D">
        <w:rPr>
          <w:rFonts w:eastAsia="Times New Roman" w:cs="Times New Roman"/>
          <w:szCs w:val="20"/>
        </w:rPr>
        <w:t>standardised</w:t>
      </w:r>
      <w:proofErr w:type="spellEnd"/>
      <w:r w:rsidRPr="0075311D">
        <w:rPr>
          <w:rFonts w:eastAsia="Times New Roman" w:cs="Times New Roman"/>
          <w:szCs w:val="20"/>
        </w:rPr>
        <w:t xml:space="preserve"> age and sex across all datasets to the following most-detailed groups using the GBD causes of </w:t>
      </w:r>
      <w:r w:rsidRPr="003711BD">
        <w:rPr>
          <w:rFonts w:eastAsia="Times New Roman" w:cs="Times New Roman"/>
          <w:szCs w:val="20"/>
        </w:rPr>
        <w:t>death age-sex splitting algorithm for age:</w:t>
      </w:r>
      <w:r w:rsidR="003711BD" w:rsidRPr="003711BD">
        <w:rPr>
          <w:rFonts w:eastAsia="Times New Roman" w:cs="Times New Roman"/>
          <w:color w:val="2B579A"/>
          <w:szCs w:val="20"/>
          <w:shd w:val="clear" w:color="auto" w:fill="E6E6E6"/>
        </w:rPr>
        <w:fldChar w:fldCharType="begin"/>
      </w:r>
      <w:r w:rsidR="003711BD" w:rsidRPr="003711BD">
        <w:rPr>
          <w:rFonts w:eastAsia="Times New Roman" w:cs="Times New Roman"/>
          <w:szCs w:val="20"/>
        </w:rPr>
        <w:instrText xml:space="preserve"> ADDIN ZOTERO_ITEM CSL_CITATION {"citationID":"vbK2Mzjf","properties":{"formattedCitation":"\\super 2\\nosupersub{}","plainCitation":"2","noteIndex":0},"citationItems":[{"id":122466,"uris":["http://zotero.org/groups/2154524/items/LJ6HQ43A"],"itemData":{"id":122466,"type":"article-journal","container-title":"The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Collaborators"}],"issued":{"date-parts":[["2022",11]]}}}],"schema":"https://github.com/citation-style-language/schema/raw/master/csl-citation.json"} </w:instrText>
      </w:r>
      <w:r w:rsidR="003711BD" w:rsidRPr="003711B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2</w:t>
      </w:r>
      <w:r w:rsidR="003711BD" w:rsidRPr="003711BD">
        <w:rPr>
          <w:rFonts w:eastAsia="Times New Roman" w:cs="Times New Roman"/>
          <w:color w:val="2B579A"/>
          <w:szCs w:val="20"/>
          <w:shd w:val="clear" w:color="auto" w:fill="E6E6E6"/>
        </w:rPr>
        <w:fldChar w:fldCharType="end"/>
      </w:r>
      <w:r w:rsidRPr="003711BD">
        <w:rPr>
          <w:rFonts w:eastAsia="Times New Roman" w:cs="Times New Roman"/>
          <w:szCs w:val="20"/>
        </w:rPr>
        <w:t xml:space="preserve"> 0–6, 7–27, and 28–364 days, and 1–4, 5–9, 10–14, 15–19, 20–24, 25–29,</w:t>
      </w:r>
      <w:r w:rsidRPr="0075311D">
        <w:rPr>
          <w:rFonts w:eastAsia="Times New Roman" w:cs="Times New Roman"/>
          <w:szCs w:val="20"/>
        </w:rPr>
        <w:t xml:space="preserve"> 30–34, 35–39, 40–44, 45–49, 50–54, 55–59, 60–64, 65–69, 70–74, 75–79, 80–84, 85–89, 90–94, 95+ years; and sex: male and female. This algorithm assumes that age-sex pattern of the death or case rate for a given infectious syndrome or pathogen is inherent to the pathology of the disease and is therefore constant across location and year. Details on how the algorithm was applied can be found in the appendix of Murray et al. (2022).</w:t>
      </w:r>
      <w:r w:rsidR="00D27F05" w:rsidRPr="0075311D">
        <w:rPr>
          <w:rFonts w:eastAsia="Times New Roman" w:cs="Times New Roman"/>
          <w:color w:val="2B579A"/>
          <w:szCs w:val="20"/>
          <w:shd w:val="clear" w:color="auto" w:fill="E6E6E6"/>
        </w:rPr>
        <w:fldChar w:fldCharType="begin"/>
      </w:r>
      <w:r w:rsidR="00D27F05" w:rsidRPr="0075311D">
        <w:rPr>
          <w:rFonts w:eastAsia="Times New Roman" w:cs="Times New Roman"/>
          <w:szCs w:val="20"/>
        </w:rPr>
        <w:instrText xml:space="preserve"> ADDIN ZOTERO_ITEM CSL_CITATION {"citationID":"3yUHgTzO","properties":{"formattedCitation":"\\super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D27F05" w:rsidRPr="0075311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w:t>
      </w:r>
      <w:r w:rsidR="00D27F05" w:rsidRPr="0075311D">
        <w:rPr>
          <w:rFonts w:eastAsia="Times New Roman" w:cs="Times New Roman"/>
          <w:color w:val="2B579A"/>
          <w:szCs w:val="20"/>
          <w:shd w:val="clear" w:color="auto" w:fill="E6E6E6"/>
        </w:rPr>
        <w:fldChar w:fldCharType="end"/>
      </w:r>
    </w:p>
    <w:p w14:paraId="25A00FE8" w14:textId="62E8EBDA" w:rsidR="6B99E739" w:rsidRPr="0075311D" w:rsidRDefault="6B99E739" w:rsidP="082F9667">
      <w:pPr>
        <w:spacing w:line="257" w:lineRule="auto"/>
        <w:rPr>
          <w:rFonts w:cs="Times New Roman"/>
          <w:szCs w:val="20"/>
        </w:rPr>
      </w:pPr>
      <w:r w:rsidRPr="0075311D">
        <w:rPr>
          <w:rFonts w:eastAsia="Times New Roman" w:cs="Times New Roman"/>
          <w:szCs w:val="20"/>
        </w:rPr>
        <w:t xml:space="preserve">The input data sources reported a variety of combinations of measures, including some that reported deaths only, some that reported cases only, and some that reported both cases and deaths. </w:t>
      </w:r>
      <w:proofErr w:type="gramStart"/>
      <w:r w:rsidRPr="0075311D">
        <w:rPr>
          <w:rFonts w:eastAsia="Times New Roman" w:cs="Times New Roman"/>
          <w:szCs w:val="20"/>
        </w:rPr>
        <w:t>In order to</w:t>
      </w:r>
      <w:proofErr w:type="gramEnd"/>
      <w:r w:rsidRPr="0075311D">
        <w:rPr>
          <w:rFonts w:eastAsia="Times New Roman" w:cs="Times New Roman"/>
          <w:szCs w:val="20"/>
        </w:rPr>
        <w:t xml:space="preserve"> </w:t>
      </w:r>
      <w:proofErr w:type="spellStart"/>
      <w:r w:rsidRPr="0075311D">
        <w:rPr>
          <w:rFonts w:eastAsia="Times New Roman" w:cs="Times New Roman"/>
          <w:szCs w:val="20"/>
        </w:rPr>
        <w:t>standardise</w:t>
      </w:r>
      <w:proofErr w:type="spellEnd"/>
      <w:r w:rsidRPr="0075311D">
        <w:rPr>
          <w:rFonts w:eastAsia="Times New Roman" w:cs="Times New Roman"/>
          <w:szCs w:val="20"/>
        </w:rPr>
        <w:t xml:space="preserve"> these measures </w:t>
      </w:r>
      <w:r w:rsidRPr="006E2D6B">
        <w:rPr>
          <w:rFonts w:eastAsia="Times New Roman" w:cs="Times New Roman"/>
          <w:szCs w:val="20"/>
        </w:rPr>
        <w:t>to cases, we estimated infectious syndrome- and pathogen-specific CFRs and used these CFRs to co</w:t>
      </w:r>
      <w:r w:rsidRPr="0075311D">
        <w:rPr>
          <w:rFonts w:eastAsia="Times New Roman" w:cs="Times New Roman"/>
          <w:szCs w:val="20"/>
        </w:rPr>
        <w:t>nvert all deaths-only datasets to cases. For any infectious syndrome or pathogen combination for which we did not have enough data to estimate plausible CFRs, we used a set of all-bacteria CFRs for that infectious syndrome instead. All modelling was done in case space.</w:t>
      </w:r>
    </w:p>
    <w:p w14:paraId="68A88197" w14:textId="3E5A89B6" w:rsidR="6B99E739" w:rsidRPr="0075311D" w:rsidRDefault="6B99E739" w:rsidP="082F9667">
      <w:pPr>
        <w:spacing w:line="257" w:lineRule="auto"/>
        <w:rPr>
          <w:rFonts w:cs="Times New Roman"/>
          <w:szCs w:val="20"/>
        </w:rPr>
      </w:pPr>
      <w:r w:rsidRPr="0075311D">
        <w:rPr>
          <w:rFonts w:eastAsia="Times New Roman" w:cs="Times New Roman"/>
          <w:szCs w:val="20"/>
        </w:rPr>
        <w:t xml:space="preserve">Several of our microbial databases came exclusively from ICUs and were therefore heavily biased towards severe illness. </w:t>
      </w:r>
      <w:proofErr w:type="gramStart"/>
      <w:r w:rsidRPr="0075311D">
        <w:rPr>
          <w:rFonts w:eastAsia="Times New Roman" w:cs="Times New Roman"/>
          <w:szCs w:val="20"/>
        </w:rPr>
        <w:t>In order to</w:t>
      </w:r>
      <w:proofErr w:type="gramEnd"/>
      <w:r w:rsidRPr="0075311D">
        <w:rPr>
          <w:rFonts w:eastAsia="Times New Roman" w:cs="Times New Roman"/>
          <w:szCs w:val="20"/>
        </w:rPr>
        <w:t xml:space="preserve"> mitigate this bias, we dropped all information on cases in ICU-only datasets and recalculated implied cases based on reported deaths and our CFRs. No similar adjustment was made to attempt to account for biases between </w:t>
      </w:r>
      <w:proofErr w:type="spellStart"/>
      <w:r w:rsidRPr="0075311D">
        <w:rPr>
          <w:rFonts w:eastAsia="Times New Roman" w:cs="Times New Roman"/>
          <w:szCs w:val="20"/>
        </w:rPr>
        <w:t>hospitalised</w:t>
      </w:r>
      <w:proofErr w:type="spellEnd"/>
      <w:r w:rsidRPr="0075311D">
        <w:rPr>
          <w:rFonts w:eastAsia="Times New Roman" w:cs="Times New Roman"/>
          <w:szCs w:val="20"/>
        </w:rPr>
        <w:t xml:space="preserve"> and un-</w:t>
      </w:r>
      <w:proofErr w:type="spellStart"/>
      <w:r w:rsidRPr="0075311D">
        <w:rPr>
          <w:rFonts w:eastAsia="Times New Roman" w:cs="Times New Roman"/>
          <w:szCs w:val="20"/>
        </w:rPr>
        <w:t>hospitalised</w:t>
      </w:r>
      <w:proofErr w:type="spellEnd"/>
      <w:r w:rsidRPr="0075311D">
        <w:rPr>
          <w:rFonts w:eastAsia="Times New Roman" w:cs="Times New Roman"/>
          <w:szCs w:val="20"/>
        </w:rPr>
        <w:t xml:space="preserve"> populations, although we did account for HAI versus CAI for two infectious syndromes – LRI and thorax infections and UTI – within our modelling framework. The use of hospital-based data to calculate both pathogen-specific case fatality ratios and pathogen distributions biases our estimate of the distribution of pathogens in incident cases towards more severe disease, particularly for less-severe infectious syndromes like lower respiratory infections; adjusting for this bias would improve the accuracy of our non-fatal estimates</w:t>
      </w:r>
      <w:r w:rsidR="005D2363">
        <w:rPr>
          <w:rFonts w:eastAsia="Times New Roman" w:cs="Times New Roman"/>
          <w:szCs w:val="20"/>
        </w:rPr>
        <w:t>.</w:t>
      </w:r>
    </w:p>
    <w:p w14:paraId="266D724C" w14:textId="266E6D64" w:rsidR="6B99E739" w:rsidRDefault="6B99E739" w:rsidP="00D7626E">
      <w:pPr>
        <w:spacing w:after="0"/>
      </w:pPr>
      <w:r w:rsidRPr="00D7626E">
        <w:rPr>
          <w:rFonts w:eastAsiaTheme="majorEastAsia" w:cstheme="majorBidi"/>
          <w:i/>
          <w:color w:val="1F4D78" w:themeColor="accent1" w:themeShade="7F"/>
          <w:szCs w:val="24"/>
        </w:rPr>
        <w:t>Section 3.4.5: Modelling framework</w:t>
      </w:r>
    </w:p>
    <w:p w14:paraId="577BC174" w14:textId="796D1158" w:rsidR="6B99E739" w:rsidRPr="005D2363" w:rsidRDefault="6B99E739" w:rsidP="082F9667">
      <w:pPr>
        <w:spacing w:line="257" w:lineRule="auto"/>
        <w:rPr>
          <w:rFonts w:cs="Times New Roman"/>
          <w:szCs w:val="20"/>
        </w:rPr>
      </w:pPr>
      <w:r w:rsidRPr="005D2363">
        <w:rPr>
          <w:rFonts w:eastAsia="Times New Roman" w:cs="Times New Roman"/>
          <w:szCs w:val="20"/>
        </w:rPr>
        <w:t xml:space="preserve">To model the distribution of pathogens for each infectious syndrome, we developed a method for the multinomial estimation of partial and compositional observations (MEPCO). We assumed that the </w:t>
      </w:r>
      <w:proofErr w:type="spellStart"/>
      <w:r w:rsidRPr="005D2363">
        <w:rPr>
          <w:rFonts w:eastAsia="Times New Roman" w:cs="Times New Roman"/>
          <w:szCs w:val="20"/>
        </w:rPr>
        <w:t>aetiologies</w:t>
      </w:r>
      <w:proofErr w:type="spellEnd"/>
      <w:r w:rsidRPr="005D2363">
        <w:rPr>
          <w:rFonts w:eastAsia="Times New Roman" w:cs="Times New Roman"/>
          <w:szCs w:val="20"/>
        </w:rPr>
        <w:t xml:space="preserve"> of a given </w:t>
      </w:r>
      <w:r w:rsidRPr="005D2363">
        <w:rPr>
          <w:rFonts w:eastAsia="Times New Roman" w:cs="Times New Roman"/>
          <w:szCs w:val="20"/>
        </w:rPr>
        <w:lastRenderedPageBreak/>
        <w:t xml:space="preserve">infectious syndrome followed a multinomial distribution. Due to inconsistencies in which pathogens are tested for and reported by different data sources, each data source contained partial observations of the possible outcomes of the underlying multinomial distribution. Certain data sources like the vaccine probe estimates and the GBS neonatal meningitis studies represent compositional observations, where pathogens like “not </w:t>
      </w:r>
      <w:r w:rsidRPr="005D2363">
        <w:rPr>
          <w:rFonts w:eastAsia="Times New Roman" w:cs="Times New Roman"/>
          <w:i/>
          <w:iCs/>
          <w:szCs w:val="20"/>
        </w:rPr>
        <w:t xml:space="preserve">S. pneumoniae” </w:t>
      </w:r>
      <w:r w:rsidRPr="005D2363">
        <w:rPr>
          <w:rFonts w:eastAsia="Times New Roman" w:cs="Times New Roman"/>
          <w:szCs w:val="20"/>
        </w:rPr>
        <w:t xml:space="preserve">and “other bacterial, not GBS” represent aggregates of more detailed pathogens. </w:t>
      </w:r>
    </w:p>
    <w:p w14:paraId="4C20371E" w14:textId="79466D95" w:rsidR="00D27F05" w:rsidRPr="005D2363" w:rsidRDefault="6B99E739" w:rsidP="00D27F05">
      <w:pPr>
        <w:rPr>
          <w:rFonts w:eastAsiaTheme="minorEastAsia" w:cs="Times New Roman"/>
          <w:szCs w:val="20"/>
        </w:rPr>
      </w:pPr>
      <w:proofErr w:type="gramStart"/>
      <w:r w:rsidRPr="005D2363">
        <w:rPr>
          <w:rFonts w:eastAsia="Times New Roman" w:cs="Times New Roman"/>
          <w:szCs w:val="20"/>
        </w:rPr>
        <w:t>In order to</w:t>
      </w:r>
      <w:proofErr w:type="gramEnd"/>
      <w:r w:rsidRPr="005D2363">
        <w:rPr>
          <w:rFonts w:eastAsia="Times New Roman" w:cs="Times New Roman"/>
          <w:szCs w:val="20"/>
        </w:rPr>
        <w:t xml:space="preserve"> use both partial and compositional data, we constructed a network model with the dependent variable as the log ratio of cases between different pathogens and estimated over a flexible </w:t>
      </w:r>
      <w:proofErr w:type="spellStart"/>
      <w:r w:rsidRPr="005D2363">
        <w:rPr>
          <w:rFonts w:eastAsia="Times New Roman" w:cs="Times New Roman"/>
          <w:szCs w:val="20"/>
        </w:rPr>
        <w:t>parameterisation</w:t>
      </w:r>
      <w:proofErr w:type="spellEnd"/>
      <w:r w:rsidRPr="005D2363">
        <w:rPr>
          <w:rFonts w:eastAsia="Times New Roman" w:cs="Times New Roman"/>
          <w:szCs w:val="20"/>
        </w:rPr>
        <w:t xml:space="preserve"> of multinomial parameters using a maximum likelihood approach. Consider a given infectious syndrome with a multinomial distribution of </w:t>
      </w:r>
      <m:oMath>
        <m:r>
          <w:rPr>
            <w:rFonts w:ascii="Cambria Math" w:hAnsi="Cambria Math" w:cs="Times New Roman"/>
            <w:szCs w:val="20"/>
          </w:rPr>
          <m:t>n</m:t>
        </m:r>
      </m:oMath>
      <w:r w:rsidRPr="005D2363">
        <w:rPr>
          <w:rFonts w:eastAsia="Times New Roman" w:cs="Times New Roman"/>
          <w:szCs w:val="20"/>
        </w:rPr>
        <w:t xml:space="preserve"> mutually exclusive, collectively exhaustive aetiologies with probabilities</w:t>
      </w:r>
      <m:oMath>
        <m:r>
          <w:rPr>
            <w:rFonts w:ascii="Cambria Math" w:hAnsi="Cambria Math" w:cs="Times New Roman"/>
            <w:szCs w:val="20"/>
          </w:rPr>
          <m:t xml:space="preserve"> p=(</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1</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n</m:t>
            </m:r>
          </m:sub>
        </m:sSub>
        <m:r>
          <w:rPr>
            <w:rFonts w:ascii="Cambria Math" w:hAnsi="Cambria Math" w:cs="Times New Roman"/>
            <w:szCs w:val="20"/>
          </w:rPr>
          <m:t>)</m:t>
        </m:r>
      </m:oMath>
      <w:r w:rsidR="00D27F05" w:rsidRPr="005D2363">
        <w:rPr>
          <w:rFonts w:eastAsiaTheme="minorEastAsia" w:cs="Times New Roman"/>
          <w:szCs w:val="20"/>
        </w:rPr>
        <w:t xml:space="preserve">, so that each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p</m:t>
            </m:r>
          </m:e>
          <m:sub>
            <m:r>
              <w:rPr>
                <w:rFonts w:ascii="Cambria Math" w:eastAsiaTheme="minorEastAsia" w:hAnsi="Cambria Math" w:cs="Times New Roman"/>
                <w:szCs w:val="20"/>
              </w:rPr>
              <m:t>j</m:t>
            </m:r>
          </m:sub>
        </m:sSub>
        <m:r>
          <w:rPr>
            <w:rFonts w:ascii="Cambria Math" w:eastAsiaTheme="minorEastAsia" w:hAnsi="Cambria Math" w:cs="Times New Roman"/>
            <w:szCs w:val="20"/>
          </w:rPr>
          <m:t>∈(0,1)</m:t>
        </m:r>
      </m:oMath>
      <w:r w:rsidR="00D27F05" w:rsidRPr="005D2363">
        <w:rPr>
          <w:rFonts w:eastAsiaTheme="minorEastAsia" w:cs="Times New Roman"/>
          <w:szCs w:val="20"/>
        </w:rPr>
        <w:t xml:space="preserve"> and </w:t>
      </w:r>
      <m:oMath>
        <m:nary>
          <m:naryPr>
            <m:chr m:val="∑"/>
            <m:supHide m:val="1"/>
            <m:ctrlPr>
              <w:rPr>
                <w:rFonts w:ascii="Cambria Math" w:eastAsiaTheme="minorEastAsia" w:hAnsi="Cambria Math" w:cs="Times New Roman"/>
                <w:i/>
                <w:szCs w:val="20"/>
              </w:rPr>
            </m:ctrlPr>
          </m:naryPr>
          <m:sub>
            <m:r>
              <w:rPr>
                <w:rFonts w:ascii="Cambria Math" w:eastAsiaTheme="minorEastAsia" w:hAnsi="Cambria Math" w:cs="Times New Roman"/>
                <w:szCs w:val="20"/>
              </w:rPr>
              <m:t>j</m:t>
            </m:r>
          </m:sub>
          <m:sup/>
          <m:e>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p</m:t>
                </m:r>
              </m:e>
              <m:sub>
                <m:r>
                  <w:rPr>
                    <w:rFonts w:ascii="Cambria Math" w:eastAsiaTheme="minorEastAsia" w:hAnsi="Cambria Math" w:cs="Times New Roman"/>
                    <w:szCs w:val="20"/>
                  </w:rPr>
                  <m:t>j</m:t>
                </m:r>
              </m:sub>
            </m:sSub>
          </m:e>
        </m:nary>
        <m:r>
          <w:rPr>
            <w:rFonts w:ascii="Cambria Math" w:eastAsiaTheme="minorEastAsia" w:hAnsi="Cambria Math" w:cs="Times New Roman"/>
            <w:szCs w:val="20"/>
          </w:rPr>
          <m:t>=1</m:t>
        </m:r>
      </m:oMath>
      <w:r w:rsidR="00D27F05" w:rsidRPr="005D2363">
        <w:rPr>
          <w:rFonts w:eastAsiaTheme="minorEastAsia" w:cs="Times New Roman"/>
          <w:szCs w:val="20"/>
        </w:rPr>
        <w:t xml:space="preserve">. The likelihood of an observation of </w:t>
      </w:r>
      <m:oMath>
        <m:r>
          <w:rPr>
            <w:rFonts w:ascii="Cambria Math" w:eastAsiaTheme="minorEastAsia" w:hAnsi="Cambria Math" w:cs="Times New Roman"/>
            <w:szCs w:val="20"/>
          </w:rPr>
          <m:t>c=(</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c</m:t>
            </m:r>
          </m:e>
          <m:sub>
            <m:r>
              <w:rPr>
                <w:rFonts w:ascii="Cambria Math" w:eastAsiaTheme="minorEastAsia" w:hAnsi="Cambria Math" w:cs="Times New Roman"/>
                <w:szCs w:val="20"/>
              </w:rPr>
              <m:t>1</m:t>
            </m:r>
          </m:sub>
        </m:sSub>
        <m:r>
          <w:rPr>
            <w:rFonts w:ascii="Cambria Math" w:eastAsiaTheme="minorEastAsia" w:hAnsi="Cambria Math" w:cs="Times New Roman"/>
            <w:szCs w:val="20"/>
          </w:rPr>
          <m:t>,…,</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c</m:t>
            </m:r>
          </m:e>
          <m:sub>
            <m:r>
              <w:rPr>
                <w:rFonts w:ascii="Cambria Math" w:eastAsiaTheme="minorEastAsia" w:hAnsi="Cambria Math" w:cs="Times New Roman"/>
                <w:szCs w:val="20"/>
              </w:rPr>
              <m:t>n</m:t>
            </m:r>
          </m:sub>
        </m:sSub>
        <m:r>
          <w:rPr>
            <w:rFonts w:ascii="Cambria Math" w:eastAsiaTheme="minorEastAsia" w:hAnsi="Cambria Math" w:cs="Times New Roman"/>
            <w:szCs w:val="20"/>
          </w:rPr>
          <m:t>)</m:t>
        </m:r>
      </m:oMath>
      <w:r w:rsidR="00D27F05" w:rsidRPr="005D2363">
        <w:rPr>
          <w:rFonts w:eastAsiaTheme="minorEastAsia" w:cs="Times New Roman"/>
          <w:szCs w:val="20"/>
        </w:rPr>
        <w:t xml:space="preserve">, where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c</m:t>
            </m:r>
          </m:e>
          <m:sub>
            <m:r>
              <w:rPr>
                <w:rFonts w:ascii="Cambria Math" w:eastAsiaTheme="minorEastAsia" w:hAnsi="Cambria Math" w:cs="Times New Roman"/>
                <w:szCs w:val="20"/>
              </w:rPr>
              <m:t>j</m:t>
            </m:r>
          </m:sub>
        </m:sSub>
      </m:oMath>
      <w:r w:rsidR="00D27F05" w:rsidRPr="005D2363">
        <w:rPr>
          <w:rFonts w:eastAsiaTheme="minorEastAsia" w:cs="Times New Roman"/>
          <w:szCs w:val="20"/>
        </w:rPr>
        <w:t xml:space="preserve"> = number of cases of pathogen </w:t>
      </w:r>
      <m:oMath>
        <m:r>
          <w:rPr>
            <w:rFonts w:ascii="Cambria Math" w:eastAsiaTheme="minorEastAsia" w:hAnsi="Cambria Math" w:cs="Times New Roman"/>
            <w:szCs w:val="20"/>
          </w:rPr>
          <m:t>j</m:t>
        </m:r>
      </m:oMath>
      <w:r w:rsidR="00D27F05" w:rsidRPr="005D2363">
        <w:rPr>
          <w:rFonts w:eastAsiaTheme="minorEastAsia" w:cs="Times New Roman"/>
          <w:szCs w:val="20"/>
        </w:rPr>
        <w:t xml:space="preserve"> in a total sample of </w:t>
      </w:r>
      <m:oMath>
        <m:r>
          <w:rPr>
            <w:rFonts w:ascii="Cambria Math" w:eastAsiaTheme="minorEastAsia" w:hAnsi="Cambria Math" w:cs="Times New Roman"/>
            <w:szCs w:val="20"/>
          </w:rPr>
          <m:t>N</m:t>
        </m:r>
      </m:oMath>
      <w:r w:rsidR="00D27F05" w:rsidRPr="005D2363">
        <w:rPr>
          <w:rFonts w:eastAsiaTheme="minorEastAsia" w:cs="Times New Roman"/>
          <w:szCs w:val="20"/>
        </w:rPr>
        <w:t xml:space="preserve"> infections (</w:t>
      </w:r>
      <m:oMath>
        <m:nary>
          <m:naryPr>
            <m:chr m:val="∑"/>
            <m:supHide m:val="1"/>
            <m:ctrlPr>
              <w:rPr>
                <w:rFonts w:ascii="Cambria Math" w:eastAsiaTheme="minorEastAsia" w:hAnsi="Cambria Math" w:cs="Times New Roman"/>
                <w:i/>
                <w:szCs w:val="20"/>
              </w:rPr>
            </m:ctrlPr>
          </m:naryPr>
          <m:sub>
            <m:r>
              <w:rPr>
                <w:rFonts w:ascii="Cambria Math" w:eastAsiaTheme="minorEastAsia" w:hAnsi="Cambria Math" w:cs="Times New Roman"/>
                <w:szCs w:val="20"/>
              </w:rPr>
              <m:t>j</m:t>
            </m:r>
          </m:sub>
          <m:sup/>
          <m:e>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c</m:t>
                </m:r>
              </m:e>
              <m:sub>
                <m:r>
                  <w:rPr>
                    <w:rFonts w:ascii="Cambria Math" w:eastAsiaTheme="minorEastAsia" w:hAnsi="Cambria Math" w:cs="Times New Roman"/>
                    <w:szCs w:val="20"/>
                  </w:rPr>
                  <m:t>j</m:t>
                </m:r>
              </m:sub>
            </m:sSub>
          </m:e>
        </m:nary>
        <m:r>
          <w:rPr>
            <w:rFonts w:ascii="Cambria Math" w:eastAsiaTheme="minorEastAsia" w:hAnsi="Cambria Math" w:cs="Times New Roman"/>
            <w:szCs w:val="20"/>
          </w:rPr>
          <m:t>=N</m:t>
        </m:r>
      </m:oMath>
      <w:r w:rsidR="00D27F05" w:rsidRPr="005D2363">
        <w:rPr>
          <w:rFonts w:eastAsiaTheme="minorEastAsia" w:cs="Times New Roman"/>
          <w:szCs w:val="20"/>
        </w:rPr>
        <w:t>), is:</w:t>
      </w:r>
    </w:p>
    <w:p w14:paraId="39CD85F7" w14:textId="3FAECBF9" w:rsidR="082F9667" w:rsidRDefault="00222564" w:rsidP="00D27F05">
      <w:pPr>
        <w:spacing w:line="257" w:lineRule="auto"/>
      </w:pPr>
      <m:oMathPara>
        <m:oMath>
          <m:r>
            <w:rPr>
              <w:rFonts w:ascii="Cambria Math" w:hAnsi="Cambria Math"/>
            </w:rPr>
            <m:t>P</m:t>
          </m:r>
          <m:d>
            <m:dPr>
              <m:ctrlPr>
                <w:rPr>
                  <w:rFonts w:ascii="Cambria Math" w:eastAsiaTheme="minorEastAsia" w:hAnsi="Cambria Math"/>
                  <w:i/>
                </w:rPr>
              </m:ctrlPr>
            </m:dPr>
            <m:e>
              <m:r>
                <w:rPr>
                  <w:rFonts w:ascii="Cambria Math" w:eastAsiaTheme="minorEastAsia" w:hAnsi="Cambria Math"/>
                </w:rPr>
                <m:t>c</m:t>
              </m:r>
            </m:e>
            <m:e>
              <m:r>
                <w:rPr>
                  <w:rFonts w:ascii="Cambria Math" w:eastAsiaTheme="minorEastAsia" w:hAnsi="Cambria Math"/>
                </w:rPr>
                <m:t>p</m:t>
              </m:r>
            </m:e>
          </m:d>
          <m:r>
            <w:rPr>
              <w:rFonts w:ascii="Cambria Math" w:eastAsiaTheme="minorEastAsia" w:hAnsi="Cambria Math"/>
            </w:rPr>
            <m:t>=N!</m:t>
          </m:r>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sup>
                  </m:sSubSup>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t>
                      </m:r>
                    </m:sub>
                  </m:sSub>
                  <m:r>
                    <w:rPr>
                      <w:rFonts w:ascii="Cambria Math" w:eastAsiaTheme="minorEastAsia" w:hAnsi="Cambria Math"/>
                    </w:rPr>
                    <m:t>!</m:t>
                  </m:r>
                </m:den>
              </m:f>
            </m:e>
          </m:nary>
        </m:oMath>
      </m:oMathPara>
    </w:p>
    <w:p w14:paraId="313E8AE7" w14:textId="77777777" w:rsidR="00222564" w:rsidRDefault="00222564" w:rsidP="00D27F05">
      <w:pPr>
        <w:spacing w:line="257" w:lineRule="auto"/>
      </w:pPr>
    </w:p>
    <w:p w14:paraId="64548D56" w14:textId="3AB208CE" w:rsidR="6B99E739" w:rsidRPr="005D2363" w:rsidRDefault="6B99E739" w:rsidP="082F9667">
      <w:pPr>
        <w:spacing w:line="257" w:lineRule="auto"/>
        <w:rPr>
          <w:rFonts w:cs="Times New Roman"/>
          <w:szCs w:val="20"/>
        </w:rPr>
      </w:pPr>
      <w:r w:rsidRPr="005D2363">
        <w:rPr>
          <w:rFonts w:eastAsia="Times New Roman" w:cs="Times New Roman"/>
          <w:szCs w:val="20"/>
        </w:rPr>
        <w:t>We modelled the probabilities using a composition of a link function with a linear predictor:</w:t>
      </w:r>
    </w:p>
    <w:p w14:paraId="31F24FF6" w14:textId="3F76BE73" w:rsidR="082F9667" w:rsidRDefault="00000000" w:rsidP="082F9667">
      <w:pPr>
        <w:spacing w:line="257"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T</m:t>
                      </m:r>
                    </m:sup>
                  </m:sSubSup>
                  <m:sSub>
                    <m:sSubPr>
                      <m:ctrlPr>
                        <w:rPr>
                          <w:rFonts w:ascii="Cambria Math" w:hAnsi="Cambria Math"/>
                          <w:i/>
                        </w:rPr>
                      </m:ctrlPr>
                    </m:sSubPr>
                    <m:e>
                      <m:r>
                        <w:rPr>
                          <w:rFonts w:ascii="Cambria Math" w:hAnsi="Cambria Math"/>
                        </w:rPr>
                        <m:t>β</m:t>
                      </m:r>
                    </m:e>
                    <m:sub>
                      <m:r>
                        <w:rPr>
                          <w:rFonts w:ascii="Cambria Math" w:hAnsi="Cambria Math"/>
                        </w:rPr>
                        <m:t>j</m:t>
                      </m:r>
                    </m:sub>
                  </m:sSub>
                </m:e>
              </m:d>
            </m:e>
          </m:func>
        </m:oMath>
      </m:oMathPara>
    </w:p>
    <w:p w14:paraId="08FB21A4" w14:textId="09B96154" w:rsidR="00222564" w:rsidRPr="005D2363" w:rsidRDefault="00222564" w:rsidP="00222564">
      <w:pPr>
        <w:rPr>
          <w:rFonts w:eastAsiaTheme="minorEastAsia" w:cs="Times New Roman"/>
          <w:szCs w:val="20"/>
        </w:rPr>
      </w:pPr>
      <w:r w:rsidRPr="005D2363">
        <w:rPr>
          <w:rFonts w:eastAsiaTheme="minorEastAsia" w:cs="Times New Roman"/>
          <w:szCs w:val="20"/>
        </w:rPr>
        <w:t xml:space="preserve">for observations </w:t>
      </w:r>
      <m:oMath>
        <m:r>
          <w:rPr>
            <w:rFonts w:ascii="Cambria Math" w:eastAsiaTheme="minorEastAsia" w:hAnsi="Cambria Math" w:cs="Times New Roman"/>
            <w:szCs w:val="20"/>
          </w:rPr>
          <m:t>i</m:t>
        </m:r>
      </m:oMath>
      <w:r w:rsidRPr="005D2363">
        <w:rPr>
          <w:rFonts w:eastAsiaTheme="minorEastAsia" w:cs="Times New Roman"/>
          <w:szCs w:val="20"/>
        </w:rPr>
        <w:t xml:space="preserve">, a vector of covariates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x</m:t>
            </m:r>
          </m:e>
          <m:sub>
            <m:r>
              <w:rPr>
                <w:rFonts w:ascii="Cambria Math" w:eastAsiaTheme="minorEastAsia" w:hAnsi="Cambria Math" w:cs="Times New Roman"/>
                <w:szCs w:val="20"/>
              </w:rPr>
              <m:t>i,j</m:t>
            </m:r>
          </m:sub>
        </m:sSub>
      </m:oMath>
      <w:r w:rsidRPr="005D2363">
        <w:rPr>
          <w:rFonts w:eastAsiaTheme="minorEastAsia" w:cs="Times New Roman"/>
          <w:szCs w:val="20"/>
        </w:rPr>
        <w:t>, and a vector of coefficients</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j</m:t>
            </m:r>
          </m:sub>
        </m:sSub>
      </m:oMath>
      <w:r w:rsidRPr="005D2363">
        <w:rPr>
          <w:rFonts w:eastAsiaTheme="minorEastAsia" w:cs="Times New Roman"/>
          <w:szCs w:val="20"/>
        </w:rPr>
        <w:t xml:space="preserve"> for each pathogen </w:t>
      </w:r>
      <m:oMath>
        <m:r>
          <w:rPr>
            <w:rFonts w:ascii="Cambria Math" w:eastAsiaTheme="minorEastAsia" w:hAnsi="Cambria Math" w:cs="Times New Roman"/>
            <w:szCs w:val="20"/>
          </w:rPr>
          <m:t>j</m:t>
        </m:r>
      </m:oMath>
      <w:r w:rsidRPr="005D2363">
        <w:rPr>
          <w:rFonts w:eastAsiaTheme="minorEastAsia" w:cs="Times New Roman"/>
          <w:szCs w:val="20"/>
        </w:rPr>
        <w:t xml:space="preserve">. </w:t>
      </w:r>
      <w:r w:rsidRPr="005D2363">
        <w:rPr>
          <w:rFonts w:cs="Times New Roman"/>
          <w:szCs w:val="20"/>
        </w:rPr>
        <w:t>the appendix of Murray et al. (2022)</w:t>
      </w:r>
      <w:r w:rsidRPr="005D2363">
        <w:rPr>
          <w:rFonts w:cs="Times New Roman"/>
          <w:color w:val="2B579A"/>
          <w:szCs w:val="20"/>
          <w:shd w:val="clear" w:color="auto" w:fill="E6E6E6"/>
        </w:rPr>
        <w:fldChar w:fldCharType="begin"/>
      </w:r>
      <w:r w:rsidRPr="005D2363">
        <w:rPr>
          <w:rFonts w:cs="Times New Roman"/>
          <w:szCs w:val="20"/>
        </w:rPr>
        <w:instrText xml:space="preserve"> ADDIN ZOTERO_ITEM CSL_CITATION {"citationID":"eDtudQVX","properties":{"formattedCitation":"\\super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1</w:t>
      </w:r>
      <w:r w:rsidRPr="005D2363">
        <w:rPr>
          <w:rFonts w:cs="Times New Roman"/>
          <w:color w:val="2B579A"/>
          <w:szCs w:val="20"/>
          <w:shd w:val="clear" w:color="auto" w:fill="E6E6E6"/>
        </w:rPr>
        <w:fldChar w:fldCharType="end"/>
      </w:r>
      <w:r w:rsidRPr="005D2363">
        <w:rPr>
          <w:rFonts w:cs="Times New Roman"/>
          <w:b/>
          <w:bCs/>
          <w:szCs w:val="20"/>
        </w:rPr>
        <w:t xml:space="preserve"> </w:t>
      </w:r>
      <w:r w:rsidRPr="005D2363">
        <w:rPr>
          <w:rFonts w:eastAsiaTheme="minorEastAsia" w:cs="Times New Roman"/>
          <w:szCs w:val="20"/>
        </w:rPr>
        <w:t>contains a table with the covariates used for infectious syndrome model, which included a typical specification included an intercept term, HAQ Index, a categorical age group dummy for large age bins, and any relevant vaccine coverage proportions by country. However, we did not observe these probabilities directly. Rather, we observed ratios between sums of these probabilities, which reduce to ratios between sums of cases within each study. These observations therefore take the form:</w:t>
      </w:r>
    </w:p>
    <w:p w14:paraId="3F45BE34" w14:textId="1FB82FEA" w:rsidR="082F9667" w:rsidRDefault="00000000" w:rsidP="082F9667">
      <w:pPr>
        <w:spacing w:line="257" w:lineRule="auto"/>
        <w:jc w:val="cente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cases of pathogen A</m:t>
              </m:r>
            </m:num>
            <m:den>
              <m:r>
                <w:rPr>
                  <w:rFonts w:ascii="Cambria Math" w:eastAsiaTheme="minorEastAsia" w:hAnsi="Cambria Math"/>
                </w:rPr>
                <m:t>cases of pathogen B</m:t>
              </m:r>
            </m:den>
          </m:f>
          <m:r>
            <w:rPr>
              <w:rFonts w:ascii="Cambria Math" w:eastAsiaTheme="minorEastAsia" w:hAnsi="Cambria Math"/>
            </w:rPr>
            <m:t>=</m:t>
          </m:r>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a</m:t>
                      </m:r>
                    </m:sup>
                  </m:sSubSup>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i,j</m:t>
                              </m:r>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e>
                      </m:d>
                    </m:e>
                  </m:func>
                </m:e>
              </m:nary>
            </m:num>
            <m:den>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b</m:t>
                      </m:r>
                    </m:sup>
                  </m:sSubSup>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i,j</m:t>
                              </m:r>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e>
                      </m:d>
                    </m:e>
                  </m:func>
                </m:e>
              </m:nary>
            </m:den>
          </m:f>
        </m:oMath>
      </m:oMathPara>
    </w:p>
    <w:p w14:paraId="1CD96B59" w14:textId="77777777" w:rsidR="00222564" w:rsidRPr="005D2363" w:rsidRDefault="00222564" w:rsidP="00222564">
      <w:pPr>
        <w:rPr>
          <w:rFonts w:eastAsiaTheme="minorEastAsia" w:cs="Times New Roman"/>
          <w:szCs w:val="20"/>
        </w:rPr>
      </w:pPr>
      <w:r w:rsidRPr="005D2363">
        <w:rPr>
          <w:rFonts w:eastAsiaTheme="minorEastAsia" w:cs="Times New Roman"/>
          <w:szCs w:val="20"/>
        </w:rPr>
        <w:t xml:space="preserve">where </w:t>
      </w:r>
      <m:oMath>
        <m:sSubSup>
          <m:sSubSupPr>
            <m:ctrlPr>
              <w:rPr>
                <w:rFonts w:ascii="Cambria Math" w:eastAsiaTheme="minorEastAsia" w:hAnsi="Cambria Math" w:cs="Times New Roman"/>
                <w:i/>
                <w:szCs w:val="20"/>
              </w:rPr>
            </m:ctrlPr>
          </m:sSubSupPr>
          <m:e>
            <m:r>
              <w:rPr>
                <w:rFonts w:ascii="Cambria Math" w:eastAsiaTheme="minorEastAsia" w:hAnsi="Cambria Math" w:cs="Times New Roman"/>
                <w:szCs w:val="20"/>
              </w:rPr>
              <m:t>w</m:t>
            </m:r>
          </m:e>
          <m:sub>
            <m:r>
              <w:rPr>
                <w:rFonts w:ascii="Cambria Math" w:eastAsiaTheme="minorEastAsia" w:hAnsi="Cambria Math" w:cs="Times New Roman"/>
                <w:szCs w:val="20"/>
              </w:rPr>
              <m:t>i,j</m:t>
            </m:r>
          </m:sub>
          <m:sup>
            <m:r>
              <w:rPr>
                <w:rFonts w:ascii="Cambria Math" w:eastAsiaTheme="minorEastAsia" w:hAnsi="Cambria Math" w:cs="Times New Roman"/>
                <w:szCs w:val="20"/>
              </w:rPr>
              <m:t>a</m:t>
            </m:r>
          </m:sup>
        </m:sSubSup>
      </m:oMath>
      <w:r w:rsidRPr="005D2363">
        <w:rPr>
          <w:rFonts w:eastAsiaTheme="minorEastAsia" w:cs="Times New Roman"/>
          <w:szCs w:val="20"/>
        </w:rPr>
        <w:t xml:space="preserve"> is a weight of 0 or 1 that selects the mutually exclusive, collectively exhaustive most-detailed pathogens that make up observed pathogen A, which may be a composite observation. For example, for the “other bacterial, non-GBS” pathogen,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w</m:t>
            </m:r>
          </m:e>
          <m:sub>
            <m:r>
              <w:rPr>
                <w:rFonts w:ascii="Cambria Math" w:eastAsiaTheme="minorEastAsia" w:hAnsi="Cambria Math" w:cs="Times New Roman"/>
                <w:szCs w:val="20"/>
              </w:rPr>
              <m:t>i,j</m:t>
            </m:r>
          </m:sub>
        </m:sSub>
      </m:oMath>
      <w:r w:rsidRPr="005D2363">
        <w:rPr>
          <w:rFonts w:eastAsiaTheme="minorEastAsia" w:cs="Times New Roman"/>
          <w:szCs w:val="20"/>
        </w:rPr>
        <w:t xml:space="preserve"> would be 1 for </w:t>
      </w:r>
      <w:proofErr w:type="spellStart"/>
      <w:r w:rsidRPr="005D2363">
        <w:rPr>
          <w:rFonts w:eastAsiaTheme="minorEastAsia" w:cs="Times New Roman"/>
          <w:i/>
          <w:szCs w:val="20"/>
        </w:rPr>
        <w:t>Staphyloccocus</w:t>
      </w:r>
      <w:proofErr w:type="spellEnd"/>
      <w:r w:rsidRPr="005D2363">
        <w:rPr>
          <w:rFonts w:eastAsiaTheme="minorEastAsia" w:cs="Times New Roman"/>
          <w:i/>
          <w:szCs w:val="20"/>
        </w:rPr>
        <w:t xml:space="preserve"> aureus, </w:t>
      </w:r>
      <w:r w:rsidRPr="005D2363">
        <w:rPr>
          <w:rFonts w:eastAsiaTheme="minorEastAsia" w:cs="Times New Roman"/>
          <w:i/>
          <w:iCs/>
          <w:szCs w:val="20"/>
        </w:rPr>
        <w:t xml:space="preserve">S. pneumoniae, </w:t>
      </w:r>
      <w:proofErr w:type="spellStart"/>
      <w:r w:rsidRPr="005D2363">
        <w:rPr>
          <w:rFonts w:cs="Times New Roman"/>
          <w:i/>
          <w:szCs w:val="20"/>
        </w:rPr>
        <w:t>Haemophilus</w:t>
      </w:r>
      <w:proofErr w:type="spellEnd"/>
      <w:r w:rsidRPr="005D2363">
        <w:rPr>
          <w:rFonts w:cs="Times New Roman"/>
          <w:i/>
          <w:szCs w:val="20"/>
        </w:rPr>
        <w:t xml:space="preserve"> influenzae</w:t>
      </w:r>
      <w:r w:rsidRPr="005D2363">
        <w:rPr>
          <w:rFonts w:eastAsiaTheme="minorEastAsia" w:cs="Times New Roman"/>
          <w:i/>
          <w:iCs/>
          <w:szCs w:val="20"/>
        </w:rPr>
        <w:t xml:space="preserve">, </w:t>
      </w:r>
      <w:r w:rsidRPr="005D2363">
        <w:rPr>
          <w:rFonts w:cs="Times New Roman"/>
          <w:i/>
          <w:szCs w:val="20"/>
        </w:rPr>
        <w:t>Neisseria meningitidis</w:t>
      </w:r>
      <w:r w:rsidRPr="005D2363">
        <w:rPr>
          <w:rFonts w:eastAsiaTheme="minorEastAsia" w:cs="Times New Roman"/>
          <w:i/>
          <w:iCs/>
          <w:szCs w:val="20"/>
        </w:rPr>
        <w:t xml:space="preserve">, </w:t>
      </w:r>
      <w:r w:rsidRPr="005D2363">
        <w:rPr>
          <w:rFonts w:cs="Times New Roman"/>
          <w:i/>
          <w:szCs w:val="20"/>
        </w:rPr>
        <w:t>Listeria</w:t>
      </w:r>
      <w:r w:rsidRPr="005D2363" w:rsidDel="00EC1089">
        <w:rPr>
          <w:rFonts w:eastAsiaTheme="minorEastAsia" w:cs="Times New Roman"/>
          <w:i/>
          <w:iCs/>
          <w:szCs w:val="20"/>
        </w:rPr>
        <w:t xml:space="preserve"> </w:t>
      </w:r>
      <w:r w:rsidRPr="005D2363">
        <w:rPr>
          <w:rFonts w:eastAsiaTheme="minorEastAsia" w:cs="Times New Roman"/>
          <w:i/>
          <w:iCs/>
          <w:szCs w:val="20"/>
        </w:rPr>
        <w:t>monocytogenes, K. pneumoniae, E. coli</w:t>
      </w:r>
      <w:r w:rsidRPr="005D2363">
        <w:rPr>
          <w:rFonts w:eastAsiaTheme="minorEastAsia" w:cs="Times New Roman"/>
          <w:iCs/>
          <w:szCs w:val="20"/>
        </w:rPr>
        <w:t>, and other pathogens</w:t>
      </w:r>
      <w:r w:rsidRPr="005D2363">
        <w:rPr>
          <w:rFonts w:eastAsiaTheme="minorEastAsia" w:cs="Times New Roman"/>
          <w:i/>
          <w:iCs/>
          <w:szCs w:val="20"/>
        </w:rPr>
        <w:t xml:space="preserve"> </w:t>
      </w:r>
      <w:r w:rsidRPr="005D2363">
        <w:rPr>
          <w:rFonts w:eastAsiaTheme="minorEastAsia" w:cs="Times New Roman"/>
          <w:szCs w:val="20"/>
        </w:rPr>
        <w:t xml:space="preserve">and 0 for GBS and virus. We dropped all observations where either the numerator or denominator had 0 observed cases </w:t>
      </w:r>
      <w:proofErr w:type="gramStart"/>
      <w:r w:rsidRPr="005D2363">
        <w:rPr>
          <w:rFonts w:eastAsiaTheme="minorEastAsia" w:cs="Times New Roman"/>
          <w:szCs w:val="20"/>
        </w:rPr>
        <w:t>in order to</w:t>
      </w:r>
      <w:proofErr w:type="gramEnd"/>
      <w:r w:rsidRPr="005D2363">
        <w:rPr>
          <w:rFonts w:eastAsiaTheme="minorEastAsia" w:cs="Times New Roman"/>
          <w:szCs w:val="20"/>
        </w:rPr>
        <w:t xml:space="preserve"> make this calculation and a forthcoming log transform possible. This may bias the model towards overestimating </w:t>
      </w:r>
      <w:proofErr w:type="gramStart"/>
      <w:r w:rsidRPr="005D2363">
        <w:rPr>
          <w:rFonts w:eastAsiaTheme="minorEastAsia" w:cs="Times New Roman"/>
          <w:szCs w:val="20"/>
        </w:rPr>
        <w:t>less</w:t>
      </w:r>
      <w:proofErr w:type="gramEnd"/>
      <w:r w:rsidRPr="005D2363">
        <w:rPr>
          <w:rFonts w:eastAsiaTheme="minorEastAsia" w:cs="Times New Roman"/>
          <w:szCs w:val="20"/>
        </w:rPr>
        <w:t xml:space="preserve"> common pathogens.</w:t>
      </w:r>
    </w:p>
    <w:p w14:paraId="5BF7F16C" w14:textId="6B499A5D" w:rsidR="00222564" w:rsidRPr="005D2363" w:rsidRDefault="00222564" w:rsidP="00222564">
      <w:pPr>
        <w:rPr>
          <w:rFonts w:eastAsiaTheme="minorEastAsia" w:cs="Times New Roman"/>
          <w:szCs w:val="20"/>
        </w:rPr>
      </w:pPr>
      <w:r w:rsidRPr="005D2363">
        <w:rPr>
          <w:rFonts w:eastAsiaTheme="minorEastAsia" w:cs="Times New Roman"/>
          <w:szCs w:val="20"/>
        </w:rPr>
        <w:t xml:space="preserve">It is not possible to infer all coefficients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j</m:t>
            </m:r>
          </m:sub>
        </m:sSub>
      </m:oMath>
      <w:r w:rsidRPr="005D2363">
        <w:rPr>
          <w:rFonts w:eastAsiaTheme="minorEastAsia" w:cs="Times New Roman"/>
          <w:szCs w:val="20"/>
        </w:rPr>
        <w:t xml:space="preserve"> from the </w:t>
      </w:r>
      <w:proofErr w:type="gramStart"/>
      <w:r w:rsidRPr="005D2363">
        <w:rPr>
          <w:rFonts w:eastAsiaTheme="minorEastAsia" w:cs="Times New Roman"/>
          <w:szCs w:val="20"/>
        </w:rPr>
        <w:t>observations, since</w:t>
      </w:r>
      <w:proofErr w:type="gramEnd"/>
      <w:r w:rsidRPr="005D2363">
        <w:rPr>
          <w:rFonts w:eastAsiaTheme="minorEastAsia" w:cs="Times New Roman"/>
          <w:szCs w:val="20"/>
        </w:rPr>
        <w:t xml:space="preserve"> they are all relative. Howe</w:t>
      </w:r>
      <w:proofErr w:type="spellStart"/>
      <w:r w:rsidRPr="005D2363">
        <w:rPr>
          <w:rFonts w:eastAsiaTheme="minorEastAsia" w:cs="Times New Roman"/>
          <w:szCs w:val="20"/>
        </w:rPr>
        <w:t>ver</w:t>
      </w:r>
      <w:proofErr w:type="spellEnd"/>
      <w:r w:rsidRPr="005D2363">
        <w:rPr>
          <w:rFonts w:eastAsiaTheme="minorEastAsia" w:cs="Times New Roman"/>
          <w:szCs w:val="20"/>
        </w:rPr>
        <w:t xml:space="preserve">, if we fix </w:t>
      </w:r>
      <w:proofErr w:type="gramStart"/>
      <w:r w:rsidRPr="005D2363">
        <w:rPr>
          <w:rFonts w:eastAsiaTheme="minorEastAsia" w:cs="Times New Roman"/>
          <w:szCs w:val="20"/>
        </w:rPr>
        <w:t>all of</w:t>
      </w:r>
      <w:proofErr w:type="gramEnd"/>
      <w:r w:rsidRPr="005D2363">
        <w:rPr>
          <w:rFonts w:eastAsiaTheme="minorEastAsia" w:cs="Times New Roman"/>
          <w:szCs w:val="20"/>
        </w:rPr>
        <w:t xml:space="preserve"> the coefficients for one pathogen to 0 as a reference group, then we obtain a well-posed inverse problem, as long as there is enough data to estimate the remaining coefficients. Without loss of generality, we assumed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1</m:t>
            </m:r>
          </m:sub>
        </m:sSub>
        <m:r>
          <w:rPr>
            <w:rFonts w:ascii="Cambria Math" w:eastAsiaTheme="minorEastAsia" w:hAnsi="Cambria Math" w:cs="Times New Roman"/>
            <w:szCs w:val="20"/>
          </w:rPr>
          <m:t>=0</m:t>
        </m:r>
      </m:oMath>
      <w:r w:rsidRPr="005D2363">
        <w:rPr>
          <w:rFonts w:eastAsiaTheme="minorEastAsia" w:cs="Times New Roman"/>
          <w:szCs w:val="20"/>
        </w:rPr>
        <w:t xml:space="preserve"> for all ele</w:t>
      </w:r>
      <w:proofErr w:type="spellStart"/>
      <w:r w:rsidRPr="005D2363">
        <w:rPr>
          <w:rFonts w:eastAsiaTheme="minorEastAsia" w:cs="Times New Roman"/>
          <w:szCs w:val="20"/>
        </w:rPr>
        <w:t>ments</w:t>
      </w:r>
      <w:proofErr w:type="spellEnd"/>
      <w:r w:rsidRPr="005D2363">
        <w:rPr>
          <w:rFonts w:eastAsiaTheme="minorEastAsia" w:cs="Times New Roman"/>
          <w:szCs w:val="20"/>
        </w:rPr>
        <w:t xml:space="preserve"> and obtain estimates of the remaining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2</m:t>
            </m:r>
          </m:sub>
        </m:sSub>
        <m:r>
          <w:rPr>
            <w:rFonts w:ascii="Cambria Math" w:eastAsiaTheme="minorEastAsia" w:hAnsi="Cambria Math" w:cs="Times New Roman"/>
            <w:szCs w:val="20"/>
          </w:rPr>
          <m:t>, …,</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n</m:t>
            </m:r>
          </m:sub>
        </m:sSub>
      </m:oMath>
      <w:r w:rsidRPr="005D2363">
        <w:rPr>
          <w:rFonts w:eastAsiaTheme="minorEastAsia" w:cs="Times New Roman"/>
          <w:szCs w:val="20"/>
        </w:rPr>
        <w:t xml:space="preserve"> by minimising the sum of the residuals between log-transformed observations </w:t>
      </w:r>
      <m:oMath>
        <m:r>
          <w:rPr>
            <w:rFonts w:ascii="Cambria Math" w:eastAsiaTheme="minorEastAsia" w:hAnsi="Cambria Math" w:cs="Times New Roman"/>
            <w:szCs w:val="20"/>
          </w:rPr>
          <m:t>y</m:t>
        </m:r>
      </m:oMath>
      <w:r w:rsidRPr="005D2363">
        <w:rPr>
          <w:rFonts w:eastAsiaTheme="minorEastAsia" w:cs="Times New Roman"/>
          <w:szCs w:val="20"/>
        </w:rPr>
        <w:t xml:space="preserve"> and corresponding log-transformed predictions from equation 3.3.5.4:</w:t>
      </w:r>
    </w:p>
    <w:p w14:paraId="053E34CB" w14:textId="77777777" w:rsidR="00222564" w:rsidRPr="000E0A2D" w:rsidRDefault="00000000" w:rsidP="00222564">
      <w:pPr>
        <w:jc w:val="center"/>
        <w:rPr>
          <w:rFonts w:eastAsiaTheme="minorEastAsia"/>
        </w:rPr>
      </w:pPr>
      <m:oMathPara>
        <m:oMath>
          <m:eqArr>
            <m:eqArrPr>
              <m:maxDist m:val="1"/>
              <m:ctrlPr>
                <w:rPr>
                  <w:rFonts w:ascii="Cambria Math" w:eastAsiaTheme="minorEastAsia" w:hAnsi="Cambria Math"/>
                  <w:i/>
                </w:rPr>
              </m:ctrlPr>
            </m:eqArrPr>
            <m:e>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eastAsiaTheme="minorEastAsia" w:hAnsi="Cambria Math"/>
                        </w:rPr>
                        <m:t>min</m:t>
                      </m:r>
                      <m:ctrlPr>
                        <w:rPr>
                          <w:rFonts w:ascii="Cambria Math" w:eastAsiaTheme="minorEastAsia" w:hAnsi="Cambria Math"/>
                        </w:rPr>
                      </m:ctrlPr>
                    </m:e>
                    <m:lim>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ctrlPr>
                        <w:rPr>
                          <w:rFonts w:ascii="Cambria Math" w:eastAsiaTheme="minorEastAsia" w:hAnsi="Cambria Math"/>
                        </w:rPr>
                      </m:ctrlPr>
                    </m:lim>
                  </m:limLow>
                </m:fName>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β</m:t>
                      </m:r>
                    </m:e>
                  </m:d>
                  <m:r>
                    <w:rPr>
                      <w:rFonts w:ascii="Cambria Math" w:eastAsiaTheme="minorEastAsia" w:hAnsi="Cambria Math"/>
                    </w:rPr>
                    <m:t>≔</m:t>
                  </m:r>
                  <m:nary>
                    <m:naryPr>
                      <m:chr m:val="∑"/>
                      <m:supHide m:val="1"/>
                      <m:ctrlPr>
                        <w:rPr>
                          <w:rFonts w:ascii="Cambria Math" w:eastAsiaTheme="minorEastAsia" w:hAnsi="Cambria Math"/>
                          <w:i/>
                        </w:rPr>
                      </m:ctrlPr>
                    </m:naryPr>
                    <m:sub>
                      <m:r>
                        <w:rPr>
                          <w:rFonts w:ascii="Cambria Math" w:eastAsiaTheme="minorEastAsia" w:hAnsi="Cambria Math"/>
                        </w:rPr>
                        <m:t>i</m:t>
                      </m:r>
                    </m:sub>
                    <m:sup/>
                    <m:e>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den>
                      </m:f>
                    </m:e>
                  </m:nary>
                  <m:sSup>
                    <m:sSupPr>
                      <m:ctrlPr>
                        <w:rPr>
                          <w:rFonts w:ascii="Cambria Math" w:eastAsiaTheme="minorEastAsia" w:hAnsi="Cambria Math"/>
                          <w:i/>
                        </w:rPr>
                      </m:ctrlPr>
                    </m:sSupPr>
                    <m:e>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a</m:t>
                                          </m:r>
                                        </m:sup>
                                      </m:sSubSup>
                                      <m:func>
                                        <m:funcPr>
                                          <m:ctrlPr>
                                            <w:rPr>
                                              <w:rFonts w:ascii="Cambria Math" w:eastAsiaTheme="minorEastAsia" w:hAnsi="Cambria Math"/>
                                              <w:i/>
                                            </w:rPr>
                                          </m:ctrlPr>
                                        </m:funcPr>
                                        <m:fName>
                                          <m: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i,j</m:t>
                                                  </m:r>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e>
                                          </m:d>
                                        </m:e>
                                      </m:func>
                                    </m:e>
                                  </m:nary>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n</m:t>
                                      </m:r>
                                    </m:sup>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i,j</m:t>
                                          </m:r>
                                        </m:sub>
                                        <m:sup>
                                          <m:r>
                                            <w:rPr>
                                              <w:rFonts w:ascii="Cambria Math" w:eastAsiaTheme="minorEastAsia" w:hAnsi="Cambria Math"/>
                                            </w:rPr>
                                            <m:t>b</m:t>
                                          </m:r>
                                        </m:sup>
                                      </m:sSubSup>
                                      <m:func>
                                        <m:funcPr>
                                          <m:ctrlPr>
                                            <w:rPr>
                                              <w:rFonts w:ascii="Cambria Math" w:eastAsiaTheme="minorEastAsia" w:hAnsi="Cambria Math"/>
                                              <w:i/>
                                            </w:rPr>
                                          </m:ctrlPr>
                                        </m:funcPr>
                                        <m:fName>
                                          <m: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i,j</m:t>
                                                  </m:r>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e>
                                          </m:d>
                                        </m:e>
                                      </m:func>
                                    </m:e>
                                  </m:nary>
                                </m:e>
                              </m:d>
                            </m:e>
                          </m:func>
                        </m:e>
                      </m:d>
                    </m:e>
                    <m:sup>
                      <m:r>
                        <w:rPr>
                          <w:rFonts w:ascii="Cambria Math" w:eastAsiaTheme="minorEastAsia" w:hAnsi="Cambria Math"/>
                        </w:rPr>
                        <m:t>2</m:t>
                      </m:r>
                    </m:sup>
                  </m:sSup>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3.4.5.4</m:t>
                  </m:r>
                </m:e>
              </m:d>
            </m:e>
          </m:eqArr>
        </m:oMath>
      </m:oMathPara>
    </w:p>
    <w:p w14:paraId="4494DC6B" w14:textId="7C24F4A9" w:rsidR="00222564" w:rsidRPr="005D2363" w:rsidRDefault="00222564" w:rsidP="00222564">
      <w:pPr>
        <w:rPr>
          <w:rFonts w:eastAsiaTheme="minorEastAsia" w:cs="Times New Roman"/>
          <w:szCs w:val="20"/>
        </w:rPr>
      </w:pPr>
      <w:r w:rsidRPr="005D2363">
        <w:rPr>
          <w:rFonts w:eastAsiaTheme="minorEastAsia" w:cs="Times New Roman"/>
          <w:szCs w:val="20"/>
        </w:rPr>
        <w:t xml:space="preserve">where </w:t>
      </w:r>
      <m:oMath>
        <m:sSubSup>
          <m:sSubSupPr>
            <m:ctrlPr>
              <w:rPr>
                <w:rFonts w:ascii="Cambria Math" w:eastAsiaTheme="minorEastAsia" w:hAnsi="Cambria Math" w:cs="Times New Roman"/>
                <w:i/>
                <w:szCs w:val="20"/>
              </w:rPr>
            </m:ctrlPr>
          </m:sSubSupPr>
          <m:e>
            <m:r>
              <w:rPr>
                <w:rFonts w:ascii="Cambria Math" w:eastAsiaTheme="minorEastAsia" w:hAnsi="Cambria Math" w:cs="Times New Roman"/>
                <w:szCs w:val="20"/>
              </w:rPr>
              <m:t>σ</m:t>
            </m:r>
          </m:e>
          <m:sub>
            <m:r>
              <w:rPr>
                <w:rFonts w:ascii="Cambria Math" w:eastAsiaTheme="minorEastAsia" w:hAnsi="Cambria Math" w:cs="Times New Roman"/>
                <w:szCs w:val="20"/>
              </w:rPr>
              <m:t>i</m:t>
            </m:r>
          </m:sub>
          <m:sup>
            <m:r>
              <w:rPr>
                <w:rFonts w:ascii="Cambria Math" w:eastAsiaTheme="minorEastAsia" w:hAnsi="Cambria Math" w:cs="Times New Roman"/>
                <w:szCs w:val="20"/>
              </w:rPr>
              <m:t>2</m:t>
            </m:r>
          </m:sup>
        </m:sSubSup>
      </m:oMath>
      <w:r w:rsidRPr="005D2363">
        <w:rPr>
          <w:rFonts w:eastAsiaTheme="minorEastAsia" w:cs="Times New Roman"/>
          <w:szCs w:val="20"/>
        </w:rPr>
        <w:t xml:space="preserve"> are variances corresponding to the data points. Equation 3.3.5.4 is a nonlinear likelihood minimisation problem that that we optimised using a standard implementation of the Gauss-Newton method.</w:t>
      </w:r>
      <w:r w:rsidRPr="005D2363">
        <w:rPr>
          <w:rFonts w:eastAsiaTheme="minorEastAsia" w:cs="Times New Roman"/>
          <w:color w:val="2B579A"/>
          <w:szCs w:val="20"/>
          <w:shd w:val="clear" w:color="auto" w:fill="E6E6E6"/>
        </w:rPr>
        <w:fldChar w:fldCharType="begin"/>
      </w:r>
      <w:r w:rsidR="00BE32E5">
        <w:rPr>
          <w:rFonts w:eastAsiaTheme="minorEastAsia" w:cs="Times New Roman"/>
          <w:szCs w:val="20"/>
        </w:rPr>
        <w:instrText xml:space="preserve"> ADDIN ZOTERO_ITEM CSL_CITATION {"citationID":"wKjE8CUl","properties":{"formattedCitation":"\\super 14\\nosupersub{}","plainCitation":"14","noteIndex":0},"citationItems":[{"id":116683,"uris":["http://zotero.org/groups/2154524/items/MI4Q9XC3"],"itemData":{"id":116683,"type":"book","edition":"2","event-place":"New York","ISBN":"978-0-387-40065-5","language":"en","publisher":"Springer-Verlag","publisher-place":"New York","source":"link.springer.com","title":"Numerical Optimization","URL":"https://link.springer.com/book/10.1007/978-0-387-40065-5","author":[{"literal":"Nocedal J, Wright S."}],"accessed":{"date-parts":[["2022",8,8]]},"issued":{"date-parts":[["2006"]]}}}],"schema":"https://github.com/citation-style-language/schema/raw/master/csl-citation.json"} </w:instrText>
      </w:r>
      <w:r w:rsidRPr="005D2363">
        <w:rPr>
          <w:rFonts w:eastAsiaTheme="minorEastAsia" w:cs="Times New Roman"/>
          <w:color w:val="2B579A"/>
          <w:szCs w:val="20"/>
          <w:shd w:val="clear" w:color="auto" w:fill="E6E6E6"/>
        </w:rPr>
        <w:fldChar w:fldCharType="separate"/>
      </w:r>
      <w:r w:rsidR="00BE32E5" w:rsidRPr="00BE32E5">
        <w:rPr>
          <w:rFonts w:cs="Times New Roman"/>
          <w:szCs w:val="24"/>
          <w:vertAlign w:val="superscript"/>
        </w:rPr>
        <w:t>14</w:t>
      </w:r>
      <w:r w:rsidRPr="005D2363">
        <w:rPr>
          <w:rFonts w:eastAsiaTheme="minorEastAsia" w:cs="Times New Roman"/>
          <w:color w:val="2B579A"/>
          <w:szCs w:val="20"/>
          <w:shd w:val="clear" w:color="auto" w:fill="E6E6E6"/>
        </w:rPr>
        <w:fldChar w:fldCharType="end"/>
      </w:r>
      <w:r w:rsidRPr="005D2363">
        <w:rPr>
          <w:rFonts w:eastAsiaTheme="minorEastAsia" w:cs="Times New Roman"/>
          <w:szCs w:val="20"/>
        </w:rPr>
        <w:t xml:space="preserve"> We then re-</w:t>
      </w:r>
      <w:proofErr w:type="spellStart"/>
      <w:r w:rsidRPr="005D2363">
        <w:rPr>
          <w:rFonts w:eastAsiaTheme="minorEastAsia" w:cs="Times New Roman"/>
          <w:szCs w:val="20"/>
        </w:rPr>
        <w:t>normalised</w:t>
      </w:r>
      <w:proofErr w:type="spellEnd"/>
      <w:r w:rsidRPr="005D2363">
        <w:rPr>
          <w:rFonts w:eastAsiaTheme="minorEastAsia" w:cs="Times New Roman"/>
          <w:szCs w:val="20"/>
        </w:rPr>
        <w:t xml:space="preserve"> the optimal coefficients to obtain final predictions of the probabilities of each pathogen:</w:t>
      </w:r>
    </w:p>
    <w:p w14:paraId="1DD8C4D2" w14:textId="77777777" w:rsidR="00222564" w:rsidRPr="000E0A2D" w:rsidRDefault="00000000" w:rsidP="00222564">
      <w:pPr>
        <w:jc w:val="center"/>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i,j</m:t>
                              </m:r>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e>
                      </m:d>
                    </m:e>
                  </m:func>
                </m:num>
                <m:den>
                  <m:nary>
                    <m:naryPr>
                      <m:chr m:val="∑"/>
                      <m:limLoc m:val="undOvr"/>
                      <m:supHide m:val="1"/>
                      <m:ctrlPr>
                        <w:rPr>
                          <w:rFonts w:ascii="Cambria Math" w:eastAsiaTheme="minorEastAsia" w:hAnsi="Cambria Math"/>
                        </w:rPr>
                      </m:ctrlPr>
                    </m:naryPr>
                    <m:sub>
                      <m:acc>
                        <m:accPr>
                          <m:ctrlPr>
                            <w:rPr>
                              <w:rFonts w:ascii="Cambria Math" w:eastAsiaTheme="minorEastAsia" w:hAnsi="Cambria Math"/>
                              <w:i/>
                            </w:rPr>
                          </m:ctrlPr>
                        </m:accPr>
                        <m:e>
                          <m:r>
                            <w:rPr>
                              <w:rFonts w:ascii="Cambria Math" w:eastAsiaTheme="minorEastAsia" w:hAnsi="Cambria Math"/>
                            </w:rPr>
                            <m:t>j</m:t>
                          </m:r>
                        </m:e>
                      </m:acc>
                    </m:sub>
                    <m:sup/>
                    <m:e>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acc>
                                    <m:accPr>
                                      <m:ctrlPr>
                                        <w:rPr>
                                          <w:rFonts w:ascii="Cambria Math" w:eastAsiaTheme="minorEastAsia" w:hAnsi="Cambria Math"/>
                                          <w:i/>
                                        </w:rPr>
                                      </m:ctrlPr>
                                    </m:accPr>
                                    <m:e>
                                      <m:r>
                                        <w:rPr>
                                          <w:rFonts w:ascii="Cambria Math" w:eastAsiaTheme="minorEastAsia" w:hAnsi="Cambria Math"/>
                                        </w:rPr>
                                        <m:t>j</m:t>
                                      </m:r>
                                    </m:e>
                                  </m:acc>
                                </m:sub>
                                <m:sup>
                                  <m:r>
                                    <w:rPr>
                                      <w:rFonts w:ascii="Cambria Math" w:eastAsiaTheme="minorEastAsia" w:hAnsi="Cambria Math"/>
                                    </w:rPr>
                                    <m:t>T</m:t>
                                  </m:r>
                                </m:sup>
                              </m:sSubSup>
                              <m:sSub>
                                <m:sSubPr>
                                  <m:ctrlPr>
                                    <w:rPr>
                                      <w:rFonts w:ascii="Cambria Math" w:eastAsiaTheme="minorEastAsia" w:hAnsi="Cambria Math"/>
                                      <w:i/>
                                    </w:rPr>
                                  </m:ctrlPr>
                                </m:sSubPr>
                                <m:e>
                                  <m:r>
                                    <w:rPr>
                                      <w:rFonts w:ascii="Cambria Math" w:eastAsiaTheme="minorEastAsia" w:hAnsi="Cambria Math"/>
                                    </w:rPr>
                                    <m:t>β</m:t>
                                  </m:r>
                                </m:e>
                                <m:sub>
                                  <m:acc>
                                    <m:accPr>
                                      <m:ctrlPr>
                                        <w:rPr>
                                          <w:rFonts w:ascii="Cambria Math" w:eastAsiaTheme="minorEastAsia" w:hAnsi="Cambria Math"/>
                                          <w:i/>
                                        </w:rPr>
                                      </m:ctrlPr>
                                    </m:accPr>
                                    <m:e>
                                      <m:r>
                                        <w:rPr>
                                          <w:rFonts w:ascii="Cambria Math" w:eastAsiaTheme="minorEastAsia" w:hAnsi="Cambria Math"/>
                                        </w:rPr>
                                        <m:t>j</m:t>
                                      </m:r>
                                    </m:e>
                                  </m:acc>
                                </m:sub>
                              </m:sSub>
                            </m:e>
                          </m:d>
                        </m:e>
                      </m:func>
                    </m:e>
                  </m:nary>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3.4.5.5</m:t>
                  </m:r>
                </m:e>
              </m:d>
            </m:e>
          </m:eqArr>
        </m:oMath>
      </m:oMathPara>
    </w:p>
    <w:p w14:paraId="20037EDD" w14:textId="77777777" w:rsidR="00222564" w:rsidRPr="005D2363" w:rsidRDefault="00222564" w:rsidP="00222564">
      <w:pPr>
        <w:rPr>
          <w:rFonts w:eastAsiaTheme="minorEastAsia" w:cs="Times New Roman"/>
          <w:szCs w:val="20"/>
        </w:rPr>
      </w:pPr>
      <w:r w:rsidRPr="005D2363">
        <w:rPr>
          <w:rFonts w:eastAsiaTheme="minorEastAsia" w:cs="Times New Roman"/>
          <w:szCs w:val="20"/>
        </w:rPr>
        <w:t xml:space="preserve">To quantify the uncertainty of this estimate, we used asymptotic statistics to obtain the posterior distribution of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2</m:t>
            </m:r>
          </m:sub>
        </m:sSub>
        <m:r>
          <w:rPr>
            <w:rFonts w:ascii="Cambria Math" w:eastAsiaTheme="minorEastAsia" w:hAnsi="Cambria Math" w:cs="Times New Roman"/>
            <w:szCs w:val="20"/>
          </w:rPr>
          <m:t xml:space="preserve">, …, </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n</m:t>
            </m:r>
          </m:sub>
        </m:sSub>
        <m:r>
          <w:rPr>
            <w:rFonts w:ascii="Cambria Math" w:eastAsiaTheme="minorEastAsia" w:hAnsi="Cambria Math" w:cs="Times New Roman"/>
            <w:szCs w:val="20"/>
          </w:rPr>
          <m:t>)</m:t>
        </m:r>
      </m:oMath>
      <w:r w:rsidRPr="005D2363">
        <w:rPr>
          <w:rFonts w:eastAsiaTheme="minorEastAsia" w:cs="Times New Roman"/>
          <w:szCs w:val="20"/>
        </w:rPr>
        <w:t xml:space="preserve">. Specifically, using the Gauss-Newton Hessian approximation gave us the asymptotic information matrix for all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j</m:t>
            </m:r>
          </m:sub>
        </m:sSub>
      </m:oMath>
      <w:r w:rsidRPr="005D2363">
        <w:rPr>
          <w:rFonts w:eastAsiaTheme="minorEastAsia" w:cs="Times New Roman"/>
          <w:szCs w:val="20"/>
        </w:rPr>
        <w:t xml:space="preserve"> except for the reference pathogen, allowing us to sample draws of </w:t>
      </w:r>
      <m:oMath>
        <m:r>
          <w:rPr>
            <w:rFonts w:ascii="Cambria Math" w:eastAsiaTheme="minorEastAsia" w:hAnsi="Cambria Math" w:cs="Times New Roman"/>
            <w:szCs w:val="20"/>
          </w:rPr>
          <m:t>β=(</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1</m:t>
            </m:r>
          </m:sub>
        </m:sSub>
        <m:r>
          <w:rPr>
            <w:rFonts w:ascii="Cambria Math" w:eastAsiaTheme="minorEastAsia" w:hAnsi="Cambria Math" w:cs="Times New Roman"/>
            <w:szCs w:val="20"/>
          </w:rPr>
          <m:t xml:space="preserve">=0, </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2</m:t>
            </m:r>
          </m:sub>
        </m:sSub>
        <m:r>
          <w:rPr>
            <w:rFonts w:ascii="Cambria Math" w:eastAsiaTheme="minorEastAsia" w:hAnsi="Cambria Math" w:cs="Times New Roman"/>
            <w:szCs w:val="20"/>
          </w:rPr>
          <m:t>,…,</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β</m:t>
            </m:r>
          </m:e>
          <m:sub>
            <m:r>
              <w:rPr>
                <w:rFonts w:ascii="Cambria Math" w:eastAsiaTheme="minorEastAsia" w:hAnsi="Cambria Math" w:cs="Times New Roman"/>
                <w:szCs w:val="20"/>
              </w:rPr>
              <m:t>n</m:t>
            </m:r>
          </m:sub>
        </m:sSub>
        <m:r>
          <w:rPr>
            <w:rFonts w:ascii="Cambria Math" w:eastAsiaTheme="minorEastAsia" w:hAnsi="Cambria Math" w:cs="Times New Roman"/>
            <w:szCs w:val="20"/>
          </w:rPr>
          <m:t>)</m:t>
        </m:r>
      </m:oMath>
      <w:r w:rsidRPr="005D2363">
        <w:rPr>
          <w:rFonts w:eastAsiaTheme="minorEastAsia" w:cs="Times New Roman"/>
          <w:szCs w:val="20"/>
        </w:rPr>
        <w:t xml:space="preserve">. For each </w:t>
      </w:r>
      <m:oMath>
        <m:r>
          <w:rPr>
            <w:rFonts w:ascii="Cambria Math" w:eastAsiaTheme="minorEastAsia" w:hAnsi="Cambria Math" w:cs="Times New Roman"/>
            <w:szCs w:val="20"/>
          </w:rPr>
          <m:t>β</m:t>
        </m:r>
      </m:oMath>
      <w:r w:rsidRPr="005D2363">
        <w:rPr>
          <w:rFonts w:eastAsiaTheme="minorEastAsia" w:cs="Times New Roman"/>
          <w:szCs w:val="20"/>
        </w:rPr>
        <w:t xml:space="preserve"> draw and given feature </w:t>
      </w:r>
      <m:oMath>
        <m:r>
          <w:rPr>
            <w:rFonts w:ascii="Cambria Math" w:eastAsiaTheme="minorEastAsia" w:hAnsi="Cambria Math" w:cs="Times New Roman"/>
            <w:szCs w:val="20"/>
          </w:rPr>
          <m:t>x</m:t>
        </m:r>
      </m:oMath>
      <w:r w:rsidRPr="005D2363">
        <w:rPr>
          <w:rFonts w:eastAsiaTheme="minorEastAsia" w:cs="Times New Roman"/>
          <w:szCs w:val="20"/>
        </w:rPr>
        <w:t xml:space="preserve">, we obtained a corresponding draw of </w:t>
      </w:r>
      <m:oMath>
        <m:r>
          <w:rPr>
            <w:rFonts w:ascii="Cambria Math" w:eastAsiaTheme="minorEastAsia" w:hAnsi="Cambria Math" w:cs="Times New Roman"/>
            <w:szCs w:val="20"/>
          </w:rPr>
          <m:t>p</m:t>
        </m:r>
      </m:oMath>
      <w:r w:rsidRPr="005D2363">
        <w:rPr>
          <w:rFonts w:eastAsiaTheme="minorEastAsia" w:cs="Times New Roman"/>
          <w:szCs w:val="20"/>
        </w:rPr>
        <w:t xml:space="preserve"> using equation 3.3.3.5.</w:t>
      </w:r>
    </w:p>
    <w:p w14:paraId="41269E34" w14:textId="77777777" w:rsidR="00222564" w:rsidRPr="005D2363" w:rsidRDefault="00222564" w:rsidP="00222564">
      <w:pPr>
        <w:rPr>
          <w:rFonts w:eastAsiaTheme="minorEastAsia" w:cs="Times New Roman"/>
          <w:szCs w:val="20"/>
        </w:rPr>
      </w:pPr>
      <w:r w:rsidRPr="005D2363">
        <w:rPr>
          <w:rFonts w:eastAsiaTheme="minorEastAsia" w:cs="Times New Roman"/>
          <w:szCs w:val="20"/>
        </w:rPr>
        <w:t xml:space="preserve">Finally, to convert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p</m:t>
            </m:r>
          </m:e>
          <m:sub>
            <m:r>
              <w:rPr>
                <w:rFonts w:ascii="Cambria Math" w:eastAsiaTheme="minorEastAsia" w:hAnsi="Cambria Math" w:cs="Times New Roman"/>
                <w:szCs w:val="20"/>
              </w:rPr>
              <m:t>i,j</m:t>
            </m:r>
          </m:sub>
        </m:sSub>
      </m:oMath>
      <w:r w:rsidRPr="005D2363">
        <w:rPr>
          <w:rFonts w:eastAsiaTheme="minorEastAsia" w:cs="Times New Roman"/>
          <w:szCs w:val="20"/>
        </w:rPr>
        <w:t xml:space="preserve"> for a given demographic group </w:t>
      </w:r>
      <m:oMath>
        <m:r>
          <w:rPr>
            <w:rFonts w:ascii="Cambria Math" w:eastAsiaTheme="minorEastAsia" w:hAnsi="Cambria Math" w:cs="Times New Roman"/>
            <w:szCs w:val="20"/>
          </w:rPr>
          <m:t>i</m:t>
        </m:r>
      </m:oMath>
      <w:r w:rsidRPr="005D2363">
        <w:rPr>
          <w:rFonts w:eastAsiaTheme="minorEastAsia" w:cs="Times New Roman"/>
          <w:szCs w:val="20"/>
        </w:rPr>
        <w:t xml:space="preserve"> from case spa</w:t>
      </w:r>
      <w:proofErr w:type="spellStart"/>
      <w:r w:rsidRPr="005D2363">
        <w:rPr>
          <w:rFonts w:eastAsiaTheme="minorEastAsia" w:cs="Times New Roman"/>
          <w:szCs w:val="20"/>
        </w:rPr>
        <w:t>ce</w:t>
      </w:r>
      <w:proofErr w:type="spellEnd"/>
      <w:r w:rsidRPr="005D2363">
        <w:rPr>
          <w:rFonts w:eastAsiaTheme="minorEastAsia" w:cs="Times New Roman"/>
          <w:szCs w:val="20"/>
        </w:rPr>
        <w:t xml:space="preserve"> to deaths space, we transformed using our CFR estimate for demographic </w:t>
      </w:r>
      <m:oMath>
        <m:r>
          <w:rPr>
            <w:rFonts w:ascii="Cambria Math" w:eastAsiaTheme="minorEastAsia" w:hAnsi="Cambria Math" w:cs="Times New Roman"/>
            <w:szCs w:val="20"/>
          </w:rPr>
          <m:t>i</m:t>
        </m:r>
      </m:oMath>
      <w:r w:rsidRPr="005D2363">
        <w:rPr>
          <w:rFonts w:eastAsiaTheme="minorEastAsia" w:cs="Times New Roman"/>
          <w:szCs w:val="20"/>
        </w:rPr>
        <w:t>:</w:t>
      </w:r>
    </w:p>
    <w:p w14:paraId="01901A65" w14:textId="77777777" w:rsidR="00222564" w:rsidRPr="00270A13" w:rsidRDefault="00000000" w:rsidP="00222564">
      <w:pPr>
        <w:jc w:val="center"/>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i,j</m:t>
                  </m:r>
                </m:sub>
                <m:sup>
                  <m:r>
                    <w:rPr>
                      <w:rFonts w:ascii="Cambria Math" w:eastAsiaTheme="minorEastAsia" w:hAnsi="Cambria Math"/>
                    </w:rPr>
                    <m:t>deaths</m:t>
                  </m:r>
                </m:sup>
              </m:sSub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i,j</m:t>
                      </m:r>
                    </m:sub>
                  </m:sSub>
                  <m:r>
                    <w:rPr>
                      <w:rFonts w:ascii="Cambria Math" w:eastAsiaTheme="minorEastAsia" w:hAnsi="Cambria Math"/>
                    </w:rPr>
                    <m:t>×CF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nary>
                    <m:naryPr>
                      <m:chr m:val="∑"/>
                      <m:limLoc m:val="undOvr"/>
                      <m:supHide m:val="1"/>
                      <m:ctrlPr>
                        <w:rPr>
                          <w:rFonts w:ascii="Cambria Math" w:eastAsiaTheme="minorEastAsia" w:hAnsi="Cambria Math"/>
                          <w:i/>
                        </w:rPr>
                      </m:ctrlPr>
                    </m:naryPr>
                    <m:sub>
                      <m:acc>
                        <m:accPr>
                          <m:ctrlPr>
                            <w:rPr>
                              <w:rFonts w:ascii="Cambria Math" w:eastAsiaTheme="minorEastAsia" w:hAnsi="Cambria Math"/>
                              <w:i/>
                            </w:rPr>
                          </m:ctrlPr>
                        </m:accPr>
                        <m:e>
                          <m:r>
                            <w:rPr>
                              <w:rFonts w:ascii="Cambria Math" w:eastAsiaTheme="minorEastAsia" w:hAnsi="Cambria Math"/>
                            </w:rPr>
                            <m:t>j</m:t>
                          </m:r>
                        </m:e>
                      </m:acc>
                    </m:sub>
                    <m:sup/>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acc>
                            <m:accPr>
                              <m:ctrlPr>
                                <w:rPr>
                                  <w:rFonts w:ascii="Cambria Math" w:eastAsiaTheme="minorEastAsia" w:hAnsi="Cambria Math"/>
                                  <w:i/>
                                </w:rPr>
                              </m:ctrlPr>
                            </m:accPr>
                            <m:e>
                              <m:r>
                                <w:rPr>
                                  <w:rFonts w:ascii="Cambria Math" w:eastAsiaTheme="minorEastAsia" w:hAnsi="Cambria Math"/>
                                </w:rPr>
                                <m:t>j</m:t>
                              </m:r>
                            </m:e>
                          </m:acc>
                        </m:sub>
                      </m:sSub>
                      <m:r>
                        <w:rPr>
                          <w:rFonts w:ascii="Cambria Math" w:eastAsiaTheme="minorEastAsia" w:hAnsi="Cambria Math"/>
                        </w:rPr>
                        <m:t>×CF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e>
                  </m:nary>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3.4.5.6</m:t>
                  </m:r>
                </m:e>
              </m:d>
            </m:e>
          </m:eqArr>
        </m:oMath>
      </m:oMathPara>
    </w:p>
    <w:p w14:paraId="10513E94" w14:textId="280CD97D" w:rsidR="00222564" w:rsidRDefault="00222564" w:rsidP="00222564">
      <w:pPr>
        <w:pStyle w:val="NoSpacing"/>
        <w:spacing w:line="276" w:lineRule="auto"/>
        <w:rPr>
          <w:rStyle w:val="normaltextrun"/>
          <w:rFonts w:eastAsia="Times New Roman" w:cs="Times New Roman"/>
          <w:shd w:val="clear" w:color="auto" w:fill="FFFFFF"/>
        </w:rPr>
      </w:pPr>
      <w:r w:rsidRPr="6469A535">
        <w:rPr>
          <w:rFonts w:eastAsiaTheme="minorEastAsia" w:cs="Times New Roman"/>
        </w:rPr>
        <w:t xml:space="preserve">This </w:t>
      </w:r>
      <w:r w:rsidRPr="6469A535">
        <w:rPr>
          <w:rStyle w:val="normaltextrun"/>
          <w:rFonts w:eastAsia="Times New Roman" w:cs="Times New Roman"/>
          <w:shd w:val="clear" w:color="auto" w:fill="FFFFFF"/>
        </w:rPr>
        <w:t xml:space="preserve">network regression with covariates framework allowed us to use partial and composite data that reported on one or only a few pathogens, or that reported multiple pathogens aggregated together. Networks, however, can be unstable with sparse data and stable estimates have in some cases required the use of Bayesian priors in these models. </w:t>
      </w:r>
      <w:proofErr w:type="gramStart"/>
      <w:r w:rsidRPr="6469A535">
        <w:rPr>
          <w:rStyle w:val="normaltextrun"/>
          <w:rFonts w:eastAsia="Times New Roman" w:cs="Times New Roman"/>
          <w:shd w:val="clear" w:color="auto" w:fill="FFFFFF"/>
        </w:rPr>
        <w:t>In particular, we</w:t>
      </w:r>
      <w:proofErr w:type="gramEnd"/>
      <w:r w:rsidRPr="6469A535">
        <w:rPr>
          <w:rStyle w:val="normaltextrun"/>
          <w:rFonts w:eastAsia="Times New Roman" w:cs="Times New Roman"/>
          <w:shd w:val="clear" w:color="auto" w:fill="FFFFFF"/>
        </w:rPr>
        <w:t xml:space="preserve"> imposed Gaussian priors with mean 0 and non-zero variance on all coefficients except intercepts, to bias the model away from spurious effects driven by data sparsity. These priors were based on expert opinion and can improved with further empirical validation in the future (</w:t>
      </w:r>
      <w:r w:rsidRPr="6469A535">
        <w:rPr>
          <w:rFonts w:cs="Times New Roman"/>
        </w:rPr>
        <w:t>appendix of Murray et al.</w:t>
      </w:r>
      <w:r w:rsidRPr="6469A535">
        <w:rPr>
          <w:rFonts w:cs="Times New Roman"/>
          <w:color w:val="2B579A"/>
          <w:shd w:val="clear" w:color="auto" w:fill="E6E6E6"/>
        </w:rPr>
        <w:fldChar w:fldCharType="begin"/>
      </w:r>
      <w:r w:rsidRPr="6469A535">
        <w:rPr>
          <w:rFonts w:cs="Times New Roman"/>
        </w:rPr>
        <w:instrText xml:space="preserve"> ADDIN ZOTERO_ITEM CSL_CITATION {"citationID":"biPvJ0MA","properties":{"formattedCitation":"\\super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6469A535">
        <w:rPr>
          <w:rFonts w:cs="Times New Roman"/>
          <w:color w:val="2B579A"/>
          <w:shd w:val="clear" w:color="auto" w:fill="E6E6E6"/>
        </w:rPr>
        <w:fldChar w:fldCharType="separate"/>
      </w:r>
      <w:r w:rsidR="003711BD" w:rsidRPr="6469A535">
        <w:rPr>
          <w:rFonts w:cs="Times New Roman"/>
          <w:vertAlign w:val="superscript"/>
        </w:rPr>
        <w:t>1</w:t>
      </w:r>
      <w:r w:rsidRPr="6469A535">
        <w:rPr>
          <w:rFonts w:cs="Times New Roman"/>
          <w:color w:val="2B579A"/>
          <w:shd w:val="clear" w:color="auto" w:fill="E6E6E6"/>
        </w:rPr>
        <w:fldChar w:fldCharType="end"/>
      </w:r>
      <w:r w:rsidRPr="6469A535">
        <w:rPr>
          <w:rStyle w:val="normaltextrun"/>
          <w:rFonts w:eastAsia="Times New Roman" w:cs="Times New Roman"/>
          <w:shd w:val="clear" w:color="auto" w:fill="FFFFFF"/>
        </w:rPr>
        <w:t>).</w:t>
      </w:r>
    </w:p>
    <w:p w14:paraId="1A47A361" w14:textId="77777777" w:rsidR="00AD750F" w:rsidRDefault="00AD750F" w:rsidP="00222564">
      <w:pPr>
        <w:pStyle w:val="NoSpacing"/>
        <w:spacing w:line="276" w:lineRule="auto"/>
        <w:rPr>
          <w:rStyle w:val="normaltextrun"/>
          <w:rFonts w:eastAsia="Times New Roman" w:cs="Times New Roman"/>
          <w:shd w:val="clear" w:color="auto" w:fill="FFFFFF"/>
        </w:rPr>
      </w:pPr>
    </w:p>
    <w:p w14:paraId="656BE24A" w14:textId="28E7DA19" w:rsidR="6469A535" w:rsidRPr="00217EF7" w:rsidRDefault="00AD750F" w:rsidP="00217EF7">
      <w:pPr>
        <w:spacing w:after="0"/>
        <w:rPr>
          <w:rStyle w:val="normaltextrun"/>
          <w:rFonts w:eastAsiaTheme="majorEastAsia" w:cstheme="majorBidi"/>
          <w:i/>
          <w:color w:val="1F4D78" w:themeColor="accent1" w:themeShade="7F"/>
          <w:szCs w:val="24"/>
        </w:rPr>
      </w:pPr>
      <w:r w:rsidRPr="00BB63AF">
        <w:rPr>
          <w:rFonts w:eastAsiaTheme="majorEastAsia" w:cstheme="majorBidi"/>
          <w:i/>
          <w:color w:val="1F4D78" w:themeColor="accent1" w:themeShade="7F"/>
          <w:szCs w:val="24"/>
        </w:rPr>
        <w:t>Table 3.4.</w:t>
      </w:r>
      <w:r w:rsidR="004266DD" w:rsidRPr="00BB63AF">
        <w:rPr>
          <w:rFonts w:eastAsiaTheme="majorEastAsia" w:cstheme="majorBidi"/>
          <w:i/>
          <w:color w:val="1F4D78" w:themeColor="accent1" w:themeShade="7F"/>
          <w:szCs w:val="24"/>
        </w:rPr>
        <w:t>6</w:t>
      </w:r>
      <w:r w:rsidR="00FE3F57" w:rsidRPr="00BB63AF">
        <w:rPr>
          <w:rFonts w:eastAsiaTheme="majorEastAsia" w:cstheme="majorBidi"/>
          <w:i/>
          <w:color w:val="1F4D78" w:themeColor="accent1" w:themeShade="7F"/>
          <w:szCs w:val="24"/>
        </w:rPr>
        <w:t xml:space="preserve">: </w:t>
      </w:r>
      <w:r w:rsidR="00CA3E76" w:rsidRPr="00BB63AF">
        <w:rPr>
          <w:rFonts w:eastAsiaTheme="majorEastAsia" w:cstheme="majorBidi"/>
          <w:i/>
          <w:color w:val="1F4D78" w:themeColor="accent1" w:themeShade="7F"/>
          <w:szCs w:val="24"/>
        </w:rPr>
        <w:t>Pathogens</w:t>
      </w:r>
      <w:r w:rsidR="008479B4" w:rsidRPr="00BB63AF">
        <w:rPr>
          <w:rFonts w:eastAsiaTheme="majorEastAsia" w:cstheme="majorBidi"/>
          <w:i/>
          <w:color w:val="1F4D78" w:themeColor="accent1" w:themeShade="7F"/>
          <w:szCs w:val="24"/>
        </w:rPr>
        <w:t xml:space="preserve"> included in each infectious syndrome </w:t>
      </w:r>
      <w:proofErr w:type="gramStart"/>
      <w:r w:rsidR="008479B4" w:rsidRPr="00BB63AF">
        <w:rPr>
          <w:rFonts w:eastAsiaTheme="majorEastAsia" w:cstheme="majorBidi"/>
          <w:i/>
          <w:color w:val="1F4D78" w:themeColor="accent1" w:themeShade="7F"/>
          <w:szCs w:val="24"/>
        </w:rPr>
        <w:t>model</w:t>
      </w:r>
      <w:proofErr w:type="gramEnd"/>
    </w:p>
    <w:tbl>
      <w:tblPr>
        <w:tblStyle w:val="TableGrid"/>
        <w:tblW w:w="0" w:type="auto"/>
        <w:tblLayout w:type="fixed"/>
        <w:tblLook w:val="04A0" w:firstRow="1" w:lastRow="0" w:firstColumn="1" w:lastColumn="0" w:noHBand="0" w:noVBand="1"/>
      </w:tblPr>
      <w:tblGrid>
        <w:gridCol w:w="1515"/>
        <w:gridCol w:w="3510"/>
        <w:gridCol w:w="2595"/>
        <w:gridCol w:w="1695"/>
      </w:tblGrid>
      <w:tr w:rsidR="6469A535" w14:paraId="5C91BEC4" w14:textId="77777777" w:rsidTr="6469A535">
        <w:trPr>
          <w:trHeight w:val="285"/>
        </w:trPr>
        <w:tc>
          <w:tcPr>
            <w:tcW w:w="1515" w:type="dxa"/>
            <w:shd w:val="clear" w:color="auto" w:fill="E7E6E6" w:themeFill="background2"/>
            <w:tcMar>
              <w:left w:w="105" w:type="dxa"/>
              <w:right w:w="105" w:type="dxa"/>
            </w:tcMar>
            <w:vAlign w:val="center"/>
          </w:tcPr>
          <w:p w14:paraId="25517482" w14:textId="6B022FD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b/>
                <w:bCs/>
                <w:color w:val="000000" w:themeColor="text1"/>
                <w:sz w:val="16"/>
                <w:szCs w:val="16"/>
              </w:rPr>
              <w:t>Infectious syndrome</w:t>
            </w:r>
          </w:p>
        </w:tc>
        <w:tc>
          <w:tcPr>
            <w:tcW w:w="3510" w:type="dxa"/>
            <w:shd w:val="clear" w:color="auto" w:fill="E7E6E6" w:themeFill="background2"/>
            <w:tcMar>
              <w:left w:w="105" w:type="dxa"/>
              <w:right w:w="105" w:type="dxa"/>
            </w:tcMar>
            <w:vAlign w:val="center"/>
          </w:tcPr>
          <w:p w14:paraId="13E11504" w14:textId="0F6020C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b/>
                <w:bCs/>
                <w:color w:val="000000" w:themeColor="text1"/>
                <w:sz w:val="16"/>
                <w:szCs w:val="16"/>
              </w:rPr>
              <w:t>Pathogens assessed</w:t>
            </w:r>
          </w:p>
        </w:tc>
        <w:tc>
          <w:tcPr>
            <w:tcW w:w="2595" w:type="dxa"/>
            <w:shd w:val="clear" w:color="auto" w:fill="E7E6E6" w:themeFill="background2"/>
            <w:tcMar>
              <w:left w:w="105" w:type="dxa"/>
              <w:right w:w="105" w:type="dxa"/>
            </w:tcMar>
            <w:vAlign w:val="center"/>
          </w:tcPr>
          <w:p w14:paraId="721015E6" w14:textId="1BBC88AE"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b/>
                <w:bCs/>
                <w:color w:val="000000" w:themeColor="text1"/>
                <w:sz w:val="16"/>
                <w:szCs w:val="16"/>
              </w:rPr>
              <w:t>Model covariates</w:t>
            </w:r>
          </w:p>
        </w:tc>
        <w:tc>
          <w:tcPr>
            <w:tcW w:w="1695" w:type="dxa"/>
            <w:shd w:val="clear" w:color="auto" w:fill="E7E6E6" w:themeFill="background2"/>
            <w:tcMar>
              <w:left w:w="105" w:type="dxa"/>
              <w:right w:w="105" w:type="dxa"/>
            </w:tcMar>
            <w:vAlign w:val="center"/>
          </w:tcPr>
          <w:p w14:paraId="7A0C1218" w14:textId="63D34040"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b/>
                <w:bCs/>
                <w:color w:val="000000" w:themeColor="text1"/>
                <w:sz w:val="16"/>
                <w:szCs w:val="16"/>
              </w:rPr>
              <w:t>Age groups</w:t>
            </w:r>
          </w:p>
        </w:tc>
      </w:tr>
      <w:tr w:rsidR="6469A535" w14:paraId="2E5889D9" w14:textId="77777777" w:rsidTr="6469A535">
        <w:trPr>
          <w:trHeight w:val="1695"/>
        </w:trPr>
        <w:tc>
          <w:tcPr>
            <w:tcW w:w="1515" w:type="dxa"/>
            <w:tcMar>
              <w:left w:w="105" w:type="dxa"/>
              <w:right w:w="105" w:type="dxa"/>
            </w:tcMar>
            <w:vAlign w:val="center"/>
          </w:tcPr>
          <w:p w14:paraId="56969E48" w14:textId="58BCD59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Bloodstream infections</w:t>
            </w:r>
          </w:p>
        </w:tc>
        <w:tc>
          <w:tcPr>
            <w:tcW w:w="3510" w:type="dxa"/>
            <w:tcMar>
              <w:left w:w="105" w:type="dxa"/>
              <w:right w:w="105" w:type="dxa"/>
            </w:tcMar>
            <w:vAlign w:val="center"/>
          </w:tcPr>
          <w:p w14:paraId="3365AA46" w14:textId="7863DB95"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 xml:space="preserve">Acinetobacter </w:t>
            </w:r>
            <w:proofErr w:type="spellStart"/>
            <w:r w:rsidRPr="6469A535">
              <w:rPr>
                <w:rFonts w:eastAsia="Times New Roman" w:cs="Times New Roman"/>
                <w:i/>
                <w:iCs/>
                <w:color w:val="000000" w:themeColor="text1"/>
                <w:sz w:val="16"/>
                <w:szCs w:val="16"/>
              </w:rPr>
              <w:t>baumannii</w:t>
            </w:r>
            <w:proofErr w:type="spellEnd"/>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Citrobacter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faecalis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faecium</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other enterococci,</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fungus,</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A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Neisseria meningitidis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non-typhoidal</w:t>
            </w:r>
            <w:r w:rsidRPr="6469A535">
              <w:rPr>
                <w:rFonts w:eastAsia="Times New Roman" w:cs="Times New Roman"/>
                <w:i/>
                <w:iCs/>
                <w:color w:val="000000" w:themeColor="text1"/>
                <w:sz w:val="16"/>
                <w:szCs w:val="16"/>
              </w:rPr>
              <w:t xml:space="preserve"> Salmonella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polymicrobial,</w:t>
            </w:r>
            <w:r w:rsidRPr="6469A535">
              <w:rPr>
                <w:rFonts w:eastAsia="Times New Roman" w:cs="Times New Roman"/>
                <w:i/>
                <w:iCs/>
                <w:color w:val="000000" w:themeColor="text1"/>
                <w:sz w:val="16"/>
                <w:szCs w:val="16"/>
              </w:rPr>
              <w:t xml:space="preserve"> Proteus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Pseudomonas aeruginosa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Salmonella </w:t>
            </w:r>
            <w:r w:rsidRPr="6469A535">
              <w:rPr>
                <w:rFonts w:eastAsia="Times New Roman" w:cs="Times New Roman"/>
                <w:color w:val="000000" w:themeColor="text1"/>
                <w:sz w:val="16"/>
                <w:szCs w:val="16"/>
              </w:rPr>
              <w:t>Typhi,</w:t>
            </w:r>
            <w:r w:rsidRPr="6469A535">
              <w:rPr>
                <w:rFonts w:eastAsia="Times New Roman" w:cs="Times New Roman"/>
                <w:i/>
                <w:iCs/>
                <w:color w:val="000000" w:themeColor="text1"/>
                <w:sz w:val="16"/>
                <w:szCs w:val="16"/>
              </w:rPr>
              <w:t xml:space="preserve"> Serratia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Staphylococcus aureus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Streptococcus pneumoniae</w:t>
            </w:r>
          </w:p>
        </w:tc>
        <w:tc>
          <w:tcPr>
            <w:tcW w:w="2595" w:type="dxa"/>
            <w:tcMar>
              <w:left w:w="105" w:type="dxa"/>
              <w:right w:w="105" w:type="dxa"/>
            </w:tcMar>
            <w:vAlign w:val="center"/>
          </w:tcPr>
          <w:p w14:paraId="3A70BECC" w14:textId="5F7C946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w:t>
            </w:r>
            <w:r w:rsidRPr="6469A535">
              <w:rPr>
                <w:rFonts w:eastAsia="Times New Roman" w:cs="Times New Roman"/>
                <w:color w:val="000000" w:themeColor="text1"/>
                <w:sz w:val="16"/>
                <w:szCs w:val="16"/>
                <w:vertAlign w:val="superscript"/>
              </w:rPr>
              <w:t>14</w:t>
            </w:r>
            <w:r w:rsidRPr="6469A535">
              <w:rPr>
                <w:rFonts w:eastAsia="Times New Roman" w:cs="Times New Roman"/>
                <w:color w:val="000000" w:themeColor="text1"/>
                <w:sz w:val="16"/>
                <w:szCs w:val="16"/>
              </w:rPr>
              <w:t xml:space="preserve"> age group, age-</w:t>
            </w:r>
            <w:proofErr w:type="spellStart"/>
            <w:r w:rsidRPr="6469A535">
              <w:rPr>
                <w:rFonts w:eastAsia="Times New Roman" w:cs="Times New Roman"/>
                <w:color w:val="000000" w:themeColor="text1"/>
                <w:sz w:val="16"/>
                <w:szCs w:val="16"/>
              </w:rPr>
              <w:t>standardised</w:t>
            </w:r>
            <w:proofErr w:type="spellEnd"/>
            <w:r w:rsidRPr="6469A535">
              <w:rPr>
                <w:rFonts w:eastAsia="Times New Roman" w:cs="Times New Roman"/>
                <w:color w:val="000000" w:themeColor="text1"/>
                <w:sz w:val="16"/>
                <w:szCs w:val="16"/>
              </w:rPr>
              <w:t xml:space="preserve"> proportion of intravenous drug use,</w:t>
            </w:r>
            <w:r w:rsidRPr="6469A535">
              <w:rPr>
                <w:rFonts w:eastAsia="Times New Roman" w:cs="Times New Roman"/>
                <w:color w:val="000000" w:themeColor="text1"/>
                <w:sz w:val="16"/>
                <w:szCs w:val="16"/>
                <w:vertAlign w:val="superscript"/>
              </w:rPr>
              <w:t>23</w:t>
            </w:r>
            <w:r w:rsidRPr="6469A535">
              <w:rPr>
                <w:rFonts w:eastAsia="Times New Roman" w:cs="Times New Roman"/>
                <w:color w:val="000000" w:themeColor="text1"/>
                <w:sz w:val="16"/>
                <w:szCs w:val="16"/>
              </w:rPr>
              <w:t xml:space="preserve"> proportion coverage by PCV3 vaccine,</w:t>
            </w:r>
            <w:r w:rsidRPr="6469A535">
              <w:rPr>
                <w:rFonts w:eastAsia="Times New Roman" w:cs="Times New Roman"/>
                <w:color w:val="000000" w:themeColor="text1"/>
                <w:sz w:val="16"/>
                <w:szCs w:val="16"/>
                <w:vertAlign w:val="superscript"/>
              </w:rPr>
              <w:t>33</w:t>
            </w:r>
            <w:r w:rsidRPr="6469A535">
              <w:rPr>
                <w:rFonts w:eastAsia="Times New Roman" w:cs="Times New Roman"/>
                <w:color w:val="000000" w:themeColor="text1"/>
                <w:sz w:val="16"/>
                <w:szCs w:val="16"/>
              </w:rPr>
              <w:t xml:space="preserve"> indicator variable for Europe</w:t>
            </w:r>
          </w:p>
        </w:tc>
        <w:tc>
          <w:tcPr>
            <w:tcW w:w="1695" w:type="dxa"/>
            <w:tcMar>
              <w:left w:w="105" w:type="dxa"/>
              <w:right w:w="105" w:type="dxa"/>
            </w:tcMar>
            <w:vAlign w:val="center"/>
          </w:tcPr>
          <w:p w14:paraId="6ED4B02E" w14:textId="62E909E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Neonatal,</w:t>
            </w:r>
          </w:p>
          <w:p w14:paraId="24EB9A24" w14:textId="034D84CE"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Post-neonatal–5,</w:t>
            </w:r>
          </w:p>
          <w:p w14:paraId="19B2CD5F" w14:textId="619DBB5C"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5–50,</w:t>
            </w:r>
          </w:p>
          <w:p w14:paraId="28DCA6AC" w14:textId="747FA3C3"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50–70,</w:t>
            </w:r>
          </w:p>
          <w:p w14:paraId="45BA2973" w14:textId="20BE211B"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32951281" w14:textId="77777777" w:rsidTr="6469A535">
        <w:trPr>
          <w:trHeight w:val="1140"/>
        </w:trPr>
        <w:tc>
          <w:tcPr>
            <w:tcW w:w="1515" w:type="dxa"/>
            <w:tcMar>
              <w:left w:w="105" w:type="dxa"/>
              <w:right w:w="105" w:type="dxa"/>
            </w:tcMar>
            <w:vAlign w:val="center"/>
          </w:tcPr>
          <w:p w14:paraId="6C7C76E9" w14:textId="1ADC72DE"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Infections of bones, joints, and related organs</w:t>
            </w:r>
          </w:p>
        </w:tc>
        <w:tc>
          <w:tcPr>
            <w:tcW w:w="3510" w:type="dxa"/>
            <w:tcMar>
              <w:left w:w="105" w:type="dxa"/>
              <w:right w:w="105" w:type="dxa"/>
            </w:tcMar>
            <w:vAlign w:val="center"/>
          </w:tcPr>
          <w:p w14:paraId="5F6AF35B" w14:textId="115BDA1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 xml:space="preserve">Enterococcus faecalis, Enterococcus faecium, </w:t>
            </w:r>
            <w:r w:rsidRPr="6469A535">
              <w:rPr>
                <w:rFonts w:eastAsia="Times New Roman" w:cs="Times New Roman"/>
                <w:color w:val="000000" w:themeColor="text1"/>
                <w:sz w:val="16"/>
                <w:szCs w:val="16"/>
              </w:rPr>
              <w:t xml:space="preserve">other enterococci, </w:t>
            </w:r>
            <w:r w:rsidRPr="6469A535">
              <w:rPr>
                <w:rFonts w:eastAsia="Times New Roman" w:cs="Times New Roman"/>
                <w:i/>
                <w:iCs/>
                <w:color w:val="000000" w:themeColor="text1"/>
                <w:sz w:val="16"/>
                <w:szCs w:val="16"/>
              </w:rPr>
              <w:t xml:space="preserve">Escherichia coli, </w:t>
            </w:r>
            <w:r w:rsidRPr="6469A535">
              <w:rPr>
                <w:rFonts w:eastAsia="Times New Roman" w:cs="Times New Roman"/>
                <w:color w:val="000000" w:themeColor="text1"/>
                <w:sz w:val="16"/>
                <w:szCs w:val="16"/>
              </w:rPr>
              <w:t xml:space="preserve">group A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 xml:space="preserve">, 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 xml:space="preserve">, </w:t>
            </w:r>
            <w:r w:rsidRPr="6469A535">
              <w:rPr>
                <w:rFonts w:eastAsia="Times New Roman" w:cs="Times New Roman"/>
                <w:i/>
                <w:iCs/>
                <w:color w:val="000000" w:themeColor="text1"/>
                <w:sz w:val="16"/>
                <w:szCs w:val="16"/>
              </w:rPr>
              <w:t xml:space="preserve">Klebsiella pneumoniae, Pseudomonas aeruginosa, Staphylococcus aureus </w:t>
            </w:r>
          </w:p>
        </w:tc>
        <w:tc>
          <w:tcPr>
            <w:tcW w:w="2595" w:type="dxa"/>
            <w:tcMar>
              <w:left w:w="105" w:type="dxa"/>
              <w:right w:w="105" w:type="dxa"/>
            </w:tcMar>
            <w:vAlign w:val="center"/>
          </w:tcPr>
          <w:p w14:paraId="683F74D0" w14:textId="3E6CD651"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 age group</w:t>
            </w:r>
          </w:p>
        </w:tc>
        <w:tc>
          <w:tcPr>
            <w:tcW w:w="1695" w:type="dxa"/>
            <w:tcMar>
              <w:left w:w="105" w:type="dxa"/>
              <w:right w:w="105" w:type="dxa"/>
            </w:tcMar>
            <w:vAlign w:val="center"/>
          </w:tcPr>
          <w:p w14:paraId="3CF4B7B5" w14:textId="4D1D6A3C"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Under 5,</w:t>
            </w:r>
          </w:p>
          <w:p w14:paraId="64EF13B9" w14:textId="6285262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5–50,</w:t>
            </w:r>
          </w:p>
          <w:p w14:paraId="3C5AB045" w14:textId="3E71D34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50–70,</w:t>
            </w:r>
          </w:p>
          <w:p w14:paraId="341A96AF" w14:textId="3D39C900"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1100CA1C" w14:textId="77777777" w:rsidTr="6469A535">
        <w:trPr>
          <w:trHeight w:val="1140"/>
        </w:trPr>
        <w:tc>
          <w:tcPr>
            <w:tcW w:w="1515" w:type="dxa"/>
            <w:tcMar>
              <w:left w:w="105" w:type="dxa"/>
              <w:right w:w="105" w:type="dxa"/>
            </w:tcMar>
            <w:vAlign w:val="center"/>
          </w:tcPr>
          <w:p w14:paraId="7B3D8F44" w14:textId="76D1FF97"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Endocarditis and other cardiac infections</w:t>
            </w:r>
          </w:p>
        </w:tc>
        <w:tc>
          <w:tcPr>
            <w:tcW w:w="3510" w:type="dxa"/>
            <w:tcMar>
              <w:left w:w="105" w:type="dxa"/>
              <w:right w:w="105" w:type="dxa"/>
            </w:tcMar>
            <w:vAlign w:val="center"/>
          </w:tcPr>
          <w:p w14:paraId="6F98809F" w14:textId="5698CE8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See bloodstream infection pathogens</w:t>
            </w:r>
          </w:p>
        </w:tc>
        <w:tc>
          <w:tcPr>
            <w:tcW w:w="2595" w:type="dxa"/>
            <w:tcMar>
              <w:left w:w="105" w:type="dxa"/>
              <w:right w:w="105" w:type="dxa"/>
            </w:tcMar>
            <w:vAlign w:val="center"/>
          </w:tcPr>
          <w:p w14:paraId="77AA9DA5" w14:textId="064F4D4C"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Not explicitly modelled. Pathogen distribution for bloodstream infections is used.</w:t>
            </w:r>
          </w:p>
        </w:tc>
        <w:tc>
          <w:tcPr>
            <w:tcW w:w="1695" w:type="dxa"/>
            <w:tcMar>
              <w:left w:w="105" w:type="dxa"/>
              <w:right w:w="105" w:type="dxa"/>
            </w:tcMar>
            <w:vAlign w:val="center"/>
          </w:tcPr>
          <w:p w14:paraId="2FC3F5B2" w14:textId="7D4604A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Neonatal,</w:t>
            </w:r>
          </w:p>
          <w:p w14:paraId="684C081B" w14:textId="3B24DD5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Post-neonatal–5,</w:t>
            </w:r>
          </w:p>
          <w:p w14:paraId="3C738202" w14:textId="4506B6F6"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5–50,</w:t>
            </w:r>
          </w:p>
          <w:p w14:paraId="01BD47F4" w14:textId="759FA432"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50–70,</w:t>
            </w:r>
          </w:p>
          <w:p w14:paraId="5AE0FBED" w14:textId="69E56BD7"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76A7C6AA" w14:textId="77777777" w:rsidTr="6469A535">
        <w:trPr>
          <w:trHeight w:val="1140"/>
        </w:trPr>
        <w:tc>
          <w:tcPr>
            <w:tcW w:w="1515" w:type="dxa"/>
            <w:tcMar>
              <w:left w:w="105" w:type="dxa"/>
              <w:right w:w="105" w:type="dxa"/>
            </w:tcMar>
            <w:vAlign w:val="center"/>
          </w:tcPr>
          <w:p w14:paraId="21BD5020" w14:textId="406D5AE7" w:rsidR="6469A535" w:rsidRDefault="6469A535" w:rsidP="6469A535">
            <w:pPr>
              <w:spacing w:line="259" w:lineRule="auto"/>
              <w:rPr>
                <w:rFonts w:eastAsia="Times New Roman" w:cs="Times New Roman"/>
                <w:color w:val="000000" w:themeColor="text1"/>
                <w:sz w:val="16"/>
                <w:szCs w:val="16"/>
              </w:rPr>
            </w:pPr>
            <w:proofErr w:type="spellStart"/>
            <w:r w:rsidRPr="6469A535">
              <w:rPr>
                <w:rFonts w:eastAsia="Times New Roman" w:cs="Times New Roman"/>
                <w:color w:val="000000" w:themeColor="text1"/>
                <w:sz w:val="16"/>
                <w:szCs w:val="16"/>
              </w:rPr>
              <w:t>Diarrhoea</w:t>
            </w:r>
            <w:proofErr w:type="spellEnd"/>
          </w:p>
        </w:tc>
        <w:tc>
          <w:tcPr>
            <w:tcW w:w="3510" w:type="dxa"/>
            <w:tcMar>
              <w:left w:w="105" w:type="dxa"/>
              <w:right w:w="105" w:type="dxa"/>
            </w:tcMar>
            <w:vAlign w:val="center"/>
          </w:tcPr>
          <w:p w14:paraId="0665477E" w14:textId="4A2BCF61"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Adenovirus,</w:t>
            </w:r>
            <w:r w:rsidRPr="6469A535">
              <w:rPr>
                <w:rFonts w:eastAsia="Times New Roman" w:cs="Times New Roman"/>
                <w:i/>
                <w:iCs/>
                <w:color w:val="000000" w:themeColor="text1"/>
                <w:sz w:val="16"/>
                <w:szCs w:val="16"/>
              </w:rPr>
              <w:t xml:space="preserve"> Aeromonas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Amebiasis,</w:t>
            </w:r>
            <w:r w:rsidRPr="6469A535">
              <w:rPr>
                <w:rFonts w:eastAsia="Times New Roman" w:cs="Times New Roman"/>
                <w:i/>
                <w:iCs/>
                <w:color w:val="000000" w:themeColor="text1"/>
                <w:sz w:val="16"/>
                <w:szCs w:val="16"/>
              </w:rPr>
              <w:t xml:space="preserve"> Campylobacter</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Clostridium difficile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cryptosporidium,</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enteropathogenic</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enterotoxigenic</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non-typhoidal </w:t>
            </w:r>
            <w:r w:rsidRPr="6469A535">
              <w:rPr>
                <w:rFonts w:eastAsia="Times New Roman" w:cs="Times New Roman"/>
                <w:i/>
                <w:iCs/>
                <w:color w:val="000000" w:themeColor="text1"/>
                <w:sz w:val="16"/>
                <w:szCs w:val="16"/>
              </w:rPr>
              <w:t>Salmonella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norovirus,</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rotavirus,</w:t>
            </w:r>
            <w:r w:rsidRPr="6469A535">
              <w:rPr>
                <w:rFonts w:eastAsia="Times New Roman" w:cs="Times New Roman"/>
                <w:i/>
                <w:iCs/>
                <w:color w:val="000000" w:themeColor="text1"/>
                <w:sz w:val="16"/>
                <w:szCs w:val="16"/>
              </w:rPr>
              <w:t xml:space="preserve"> Shigella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Vibrio cholerae</w:t>
            </w:r>
          </w:p>
        </w:tc>
        <w:tc>
          <w:tcPr>
            <w:tcW w:w="2595" w:type="dxa"/>
            <w:tcMar>
              <w:left w:w="105" w:type="dxa"/>
              <w:right w:w="105" w:type="dxa"/>
            </w:tcMar>
            <w:vAlign w:val="center"/>
          </w:tcPr>
          <w:p w14:paraId="287932D2" w14:textId="41EC593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Not modelled here. GBD </w:t>
            </w:r>
            <w:proofErr w:type="spellStart"/>
            <w:r w:rsidRPr="6469A535">
              <w:rPr>
                <w:rFonts w:eastAsia="Times New Roman" w:cs="Times New Roman"/>
                <w:color w:val="000000" w:themeColor="text1"/>
                <w:sz w:val="16"/>
                <w:szCs w:val="16"/>
              </w:rPr>
              <w:t>diarrhoea</w:t>
            </w:r>
            <w:proofErr w:type="spellEnd"/>
            <w:r w:rsidRPr="6469A535">
              <w:rPr>
                <w:rFonts w:eastAsia="Times New Roman" w:cs="Times New Roman"/>
                <w:color w:val="000000" w:themeColor="text1"/>
                <w:sz w:val="16"/>
                <w:szCs w:val="16"/>
              </w:rPr>
              <w:t xml:space="preserve"> </w:t>
            </w:r>
            <w:proofErr w:type="spellStart"/>
            <w:r w:rsidRPr="6469A535">
              <w:rPr>
                <w:rFonts w:eastAsia="Times New Roman" w:cs="Times New Roman"/>
                <w:color w:val="000000" w:themeColor="text1"/>
                <w:sz w:val="16"/>
                <w:szCs w:val="16"/>
              </w:rPr>
              <w:t>aetiology</w:t>
            </w:r>
            <w:proofErr w:type="spellEnd"/>
            <w:r w:rsidRPr="6469A535">
              <w:rPr>
                <w:rFonts w:eastAsia="Times New Roman" w:cs="Times New Roman"/>
                <w:color w:val="000000" w:themeColor="text1"/>
                <w:sz w:val="16"/>
                <w:szCs w:val="16"/>
              </w:rPr>
              <w:t xml:space="preserve"> estimates are used.</w:t>
            </w:r>
          </w:p>
        </w:tc>
        <w:tc>
          <w:tcPr>
            <w:tcW w:w="1695" w:type="dxa"/>
            <w:tcMar>
              <w:left w:w="105" w:type="dxa"/>
              <w:right w:w="105" w:type="dxa"/>
            </w:tcMar>
            <w:vAlign w:val="center"/>
          </w:tcPr>
          <w:p w14:paraId="7D70100F" w14:textId="6531E9DB"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GBD most detailed age groups</w:t>
            </w:r>
          </w:p>
        </w:tc>
      </w:tr>
      <w:tr w:rsidR="6469A535" w14:paraId="20C8E88F" w14:textId="77777777" w:rsidTr="6469A535">
        <w:trPr>
          <w:trHeight w:val="1140"/>
        </w:trPr>
        <w:tc>
          <w:tcPr>
            <w:tcW w:w="1515" w:type="dxa"/>
            <w:tcMar>
              <w:left w:w="105" w:type="dxa"/>
              <w:right w:w="105" w:type="dxa"/>
            </w:tcMar>
            <w:vAlign w:val="center"/>
          </w:tcPr>
          <w:p w14:paraId="5CCAAB90" w14:textId="46CA284C"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Lower respiratory infections and all related infections in the thorax</w:t>
            </w:r>
          </w:p>
        </w:tc>
        <w:tc>
          <w:tcPr>
            <w:tcW w:w="3510" w:type="dxa"/>
            <w:tcMar>
              <w:left w:w="105" w:type="dxa"/>
              <w:right w:w="105" w:type="dxa"/>
            </w:tcMar>
            <w:vAlign w:val="center"/>
          </w:tcPr>
          <w:p w14:paraId="68DEC6FC" w14:textId="6DC03FA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 xml:space="preserve">Acinetobacter </w:t>
            </w:r>
            <w:proofErr w:type="spellStart"/>
            <w:r w:rsidRPr="6469A535">
              <w:rPr>
                <w:rFonts w:eastAsia="Times New Roman" w:cs="Times New Roman"/>
                <w:i/>
                <w:iCs/>
                <w:color w:val="000000" w:themeColor="text1"/>
                <w:sz w:val="16"/>
                <w:szCs w:val="16"/>
              </w:rPr>
              <w:t>baumannii</w:t>
            </w:r>
            <w:proofErr w:type="spellEnd"/>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Chlamydia</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Enterobacter</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fungus,</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proofErr w:type="spellStart"/>
            <w:r w:rsidRPr="6469A535">
              <w:rPr>
                <w:rFonts w:eastAsia="Times New Roman" w:cs="Times New Roman"/>
                <w:i/>
                <w:iCs/>
                <w:color w:val="000000" w:themeColor="text1"/>
                <w:sz w:val="16"/>
                <w:szCs w:val="16"/>
              </w:rPr>
              <w:t>Haemophilus</w:t>
            </w:r>
            <w:proofErr w:type="spellEnd"/>
            <w:r w:rsidRPr="6469A535">
              <w:rPr>
                <w:rFonts w:eastAsia="Times New Roman" w:cs="Times New Roman"/>
                <w:i/>
                <w:iCs/>
                <w:color w:val="000000" w:themeColor="text1"/>
                <w:sz w:val="16"/>
                <w:szCs w:val="16"/>
              </w:rPr>
              <w:t xml:space="preserve"> influenzae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Legionella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 xml:space="preserve"> Mycoplasma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polymicrobial,</w:t>
            </w:r>
            <w:r w:rsidRPr="6469A535">
              <w:rPr>
                <w:rFonts w:eastAsia="Times New Roman" w:cs="Times New Roman"/>
                <w:i/>
                <w:iCs/>
                <w:color w:val="000000" w:themeColor="text1"/>
                <w:sz w:val="16"/>
                <w:szCs w:val="16"/>
              </w:rPr>
              <w:t xml:space="preserve"> Pseudomonas aeruginosa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Staphylococcus aureus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Streptococcus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virus</w:t>
            </w:r>
          </w:p>
        </w:tc>
        <w:tc>
          <w:tcPr>
            <w:tcW w:w="2595" w:type="dxa"/>
            <w:tcMar>
              <w:left w:w="105" w:type="dxa"/>
              <w:right w:w="105" w:type="dxa"/>
            </w:tcMar>
            <w:vAlign w:val="center"/>
          </w:tcPr>
          <w:p w14:paraId="340F254B" w14:textId="7822AE9D"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 proportion coverage by PCV3 vaccine, proportion coverage by Hib3 vaccine,</w:t>
            </w:r>
            <w:r w:rsidRPr="6469A535">
              <w:rPr>
                <w:rFonts w:eastAsia="Times New Roman" w:cs="Times New Roman"/>
                <w:color w:val="000000" w:themeColor="text1"/>
                <w:sz w:val="16"/>
                <w:szCs w:val="16"/>
                <w:vertAlign w:val="superscript"/>
              </w:rPr>
              <w:t>33</w:t>
            </w:r>
            <w:r w:rsidRPr="6469A535">
              <w:rPr>
                <w:rFonts w:eastAsia="Times New Roman" w:cs="Times New Roman"/>
                <w:color w:val="000000" w:themeColor="text1"/>
                <w:sz w:val="16"/>
                <w:szCs w:val="16"/>
              </w:rPr>
              <w:t xml:space="preserve"> age group, HAI/CAI</w:t>
            </w:r>
          </w:p>
        </w:tc>
        <w:tc>
          <w:tcPr>
            <w:tcW w:w="1695" w:type="dxa"/>
            <w:tcMar>
              <w:left w:w="105" w:type="dxa"/>
              <w:right w:w="105" w:type="dxa"/>
            </w:tcMar>
            <w:vAlign w:val="center"/>
          </w:tcPr>
          <w:p w14:paraId="70950052" w14:textId="096E4ED2"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Neonatal,</w:t>
            </w:r>
          </w:p>
          <w:p w14:paraId="0443A5AC" w14:textId="1D6103A2"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Post-neonatal–5,</w:t>
            </w:r>
          </w:p>
          <w:p w14:paraId="4B912F9B" w14:textId="5DC4D00E"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5–50,</w:t>
            </w:r>
          </w:p>
          <w:p w14:paraId="2CF7F7BE" w14:textId="0ACCF8E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50–70,</w:t>
            </w:r>
          </w:p>
          <w:p w14:paraId="1DA9E3C0" w14:textId="6FD05E12"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351D26C7" w14:textId="77777777" w:rsidTr="6469A535">
        <w:trPr>
          <w:trHeight w:val="285"/>
        </w:trPr>
        <w:tc>
          <w:tcPr>
            <w:tcW w:w="1515" w:type="dxa"/>
            <w:tcMar>
              <w:left w:w="105" w:type="dxa"/>
              <w:right w:w="105" w:type="dxa"/>
            </w:tcMar>
            <w:vAlign w:val="center"/>
          </w:tcPr>
          <w:p w14:paraId="4AD9025A" w14:textId="4BB3E1DD"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lastRenderedPageBreak/>
              <w:t>Meningitis and other bacterial central nervous system infections</w:t>
            </w:r>
          </w:p>
        </w:tc>
        <w:tc>
          <w:tcPr>
            <w:tcW w:w="3510" w:type="dxa"/>
            <w:tcMar>
              <w:left w:w="105" w:type="dxa"/>
              <w:right w:w="105" w:type="dxa"/>
            </w:tcMar>
            <w:vAlign w:val="center"/>
          </w:tcPr>
          <w:p w14:paraId="5CFDC718" w14:textId="70EDF242"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proofErr w:type="spellStart"/>
            <w:r w:rsidRPr="6469A535">
              <w:rPr>
                <w:rFonts w:eastAsia="Times New Roman" w:cs="Times New Roman"/>
                <w:i/>
                <w:iCs/>
                <w:color w:val="000000" w:themeColor="text1"/>
                <w:sz w:val="16"/>
                <w:szCs w:val="16"/>
              </w:rPr>
              <w:t>Haemophilus</w:t>
            </w:r>
            <w:proofErr w:type="spellEnd"/>
            <w:r w:rsidRPr="6469A535">
              <w:rPr>
                <w:rFonts w:eastAsia="Times New Roman" w:cs="Times New Roman"/>
                <w:i/>
                <w:iCs/>
                <w:color w:val="000000" w:themeColor="text1"/>
                <w:sz w:val="16"/>
                <w:szCs w:val="16"/>
              </w:rPr>
              <w:t xml:space="preserve"> influenzae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Listeria monocytogenes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Neisseria meningitidis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Staphylococcus aureus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Streptococcus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virus</w:t>
            </w:r>
          </w:p>
        </w:tc>
        <w:tc>
          <w:tcPr>
            <w:tcW w:w="2595" w:type="dxa"/>
            <w:tcMar>
              <w:left w:w="105" w:type="dxa"/>
              <w:right w:w="105" w:type="dxa"/>
            </w:tcMar>
            <w:vAlign w:val="center"/>
          </w:tcPr>
          <w:p w14:paraId="4FD55B1E" w14:textId="101B73D6"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HAQ Index, proportion coverage by PCV3 vaccine, proportion coverage by Hib3 vaccine, age group, proportion of population covered by ’10-’15 </w:t>
            </w:r>
            <w:proofErr w:type="spellStart"/>
            <w:r w:rsidRPr="6469A535">
              <w:rPr>
                <w:rFonts w:eastAsia="Times New Roman" w:cs="Times New Roman"/>
                <w:color w:val="000000" w:themeColor="text1"/>
                <w:sz w:val="16"/>
                <w:szCs w:val="16"/>
              </w:rPr>
              <w:t>MenAfriVac</w:t>
            </w:r>
            <w:proofErr w:type="spellEnd"/>
            <w:r w:rsidRPr="6469A535">
              <w:rPr>
                <w:rFonts w:eastAsia="Times New Roman" w:cs="Times New Roman"/>
                <w:color w:val="000000" w:themeColor="text1"/>
                <w:sz w:val="16"/>
                <w:szCs w:val="16"/>
              </w:rPr>
              <w:t xml:space="preserve"> rollout</w:t>
            </w:r>
            <w:r w:rsidRPr="6469A535">
              <w:rPr>
                <w:rFonts w:eastAsia="Times New Roman" w:cs="Times New Roman"/>
                <w:color w:val="000000" w:themeColor="text1"/>
                <w:sz w:val="16"/>
                <w:szCs w:val="16"/>
                <w:vertAlign w:val="superscript"/>
              </w:rPr>
              <w:t>1,34</w:t>
            </w:r>
          </w:p>
        </w:tc>
        <w:tc>
          <w:tcPr>
            <w:tcW w:w="1695" w:type="dxa"/>
            <w:tcMar>
              <w:left w:w="105" w:type="dxa"/>
              <w:right w:w="105" w:type="dxa"/>
            </w:tcMar>
            <w:vAlign w:val="center"/>
          </w:tcPr>
          <w:p w14:paraId="344383B3" w14:textId="4097558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Neonatal,</w:t>
            </w:r>
          </w:p>
          <w:p w14:paraId="2DCC51A9" w14:textId="7DA8D2CB"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Post-neonatal–5,</w:t>
            </w:r>
          </w:p>
          <w:p w14:paraId="1CF2D52C" w14:textId="67F6FB99"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5-50,</w:t>
            </w:r>
          </w:p>
          <w:p w14:paraId="72FB7CA0" w14:textId="0B0DDAF1"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50-70,</w:t>
            </w:r>
          </w:p>
          <w:p w14:paraId="57BE50AC" w14:textId="0F0858F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4BD63FBC" w14:textId="77777777" w:rsidTr="6469A535">
        <w:trPr>
          <w:trHeight w:val="285"/>
        </w:trPr>
        <w:tc>
          <w:tcPr>
            <w:tcW w:w="1515" w:type="dxa"/>
            <w:tcMar>
              <w:left w:w="105" w:type="dxa"/>
              <w:right w:w="105" w:type="dxa"/>
            </w:tcMar>
            <w:vAlign w:val="center"/>
          </w:tcPr>
          <w:p w14:paraId="2A0E1037" w14:textId="51172351"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Peritoneal and intra-abdominal infections</w:t>
            </w:r>
          </w:p>
        </w:tc>
        <w:tc>
          <w:tcPr>
            <w:tcW w:w="3510" w:type="dxa"/>
            <w:tcMar>
              <w:left w:w="105" w:type="dxa"/>
              <w:right w:w="105" w:type="dxa"/>
            </w:tcMar>
            <w:vAlign w:val="center"/>
          </w:tcPr>
          <w:p w14:paraId="5518E978" w14:textId="44807A57"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Citrobacter</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faecalis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faecium</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other </w:t>
            </w:r>
            <w:r w:rsidRPr="6469A535">
              <w:rPr>
                <w:rFonts w:eastAsia="Times New Roman" w:cs="Times New Roman"/>
                <w:i/>
                <w:iCs/>
                <w:color w:val="000000" w:themeColor="text1"/>
                <w:sz w:val="16"/>
                <w:szCs w:val="16"/>
              </w:rPr>
              <w:t xml:space="preserve">Klebsiella </w:t>
            </w:r>
            <w:r w:rsidRPr="6469A535">
              <w:rPr>
                <w:rFonts w:eastAsia="Times New Roman" w:cs="Times New Roman"/>
                <w:color w:val="000000" w:themeColor="text1"/>
                <w:sz w:val="16"/>
                <w:szCs w:val="16"/>
              </w:rPr>
              <w:t>species,</w:t>
            </w:r>
            <w:r w:rsidRPr="6469A535">
              <w:rPr>
                <w:rFonts w:eastAsia="Times New Roman" w:cs="Times New Roman"/>
                <w:i/>
                <w:iCs/>
                <w:color w:val="000000" w:themeColor="text1"/>
                <w:sz w:val="16"/>
                <w:szCs w:val="16"/>
              </w:rPr>
              <w:t xml:space="preserve"> Proteus</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 xml:space="preserve"> Pseudomonas aeruginosa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Serratia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 xml:space="preserve"> Staphylococcus aureus</w:t>
            </w:r>
          </w:p>
        </w:tc>
        <w:tc>
          <w:tcPr>
            <w:tcW w:w="2595" w:type="dxa"/>
            <w:tcMar>
              <w:left w:w="105" w:type="dxa"/>
              <w:right w:w="105" w:type="dxa"/>
            </w:tcMar>
            <w:vAlign w:val="center"/>
          </w:tcPr>
          <w:p w14:paraId="0A13C63D" w14:textId="069798F0"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 age group</w:t>
            </w:r>
          </w:p>
        </w:tc>
        <w:tc>
          <w:tcPr>
            <w:tcW w:w="1695" w:type="dxa"/>
            <w:tcMar>
              <w:left w:w="105" w:type="dxa"/>
              <w:right w:w="105" w:type="dxa"/>
            </w:tcMar>
            <w:vAlign w:val="center"/>
          </w:tcPr>
          <w:p w14:paraId="52FA6A9C" w14:textId="249E091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Under 5, </w:t>
            </w:r>
          </w:p>
          <w:p w14:paraId="150C4850" w14:textId="3AC6F6DD"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5–50, </w:t>
            </w:r>
          </w:p>
          <w:p w14:paraId="20A8A4AD" w14:textId="3C314CDC"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50–70, </w:t>
            </w:r>
          </w:p>
          <w:p w14:paraId="1079510F" w14:textId="3764A52E"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5455FA55" w14:textId="77777777" w:rsidTr="6469A535">
        <w:trPr>
          <w:trHeight w:val="285"/>
        </w:trPr>
        <w:tc>
          <w:tcPr>
            <w:tcW w:w="1515" w:type="dxa"/>
            <w:tcMar>
              <w:left w:w="105" w:type="dxa"/>
              <w:right w:w="105" w:type="dxa"/>
            </w:tcMar>
            <w:vAlign w:val="center"/>
          </w:tcPr>
          <w:p w14:paraId="325CD42E" w14:textId="04EBE70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Bacterial infections of the skin and subcutaneous systems</w:t>
            </w:r>
          </w:p>
        </w:tc>
        <w:tc>
          <w:tcPr>
            <w:tcW w:w="3510" w:type="dxa"/>
            <w:tcMar>
              <w:left w:w="105" w:type="dxa"/>
              <w:right w:w="105" w:type="dxa"/>
            </w:tcMar>
            <w:vAlign w:val="center"/>
          </w:tcPr>
          <w:p w14:paraId="62682BEC" w14:textId="6784634B"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 xml:space="preserve">Acinetobacter </w:t>
            </w:r>
            <w:proofErr w:type="spellStart"/>
            <w:r w:rsidRPr="6469A535">
              <w:rPr>
                <w:rFonts w:eastAsia="Times New Roman" w:cs="Times New Roman"/>
                <w:i/>
                <w:iCs/>
                <w:color w:val="000000" w:themeColor="text1"/>
                <w:sz w:val="16"/>
                <w:szCs w:val="16"/>
              </w:rPr>
              <w:t>baumannii</w:t>
            </w:r>
            <w:proofErr w:type="spellEnd"/>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faecalis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other enterococci,</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A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Proteus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Pseudomonas aeruginosa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Staphylococcus aureus</w:t>
            </w:r>
          </w:p>
        </w:tc>
        <w:tc>
          <w:tcPr>
            <w:tcW w:w="2595" w:type="dxa"/>
            <w:tcMar>
              <w:left w:w="105" w:type="dxa"/>
              <w:right w:w="105" w:type="dxa"/>
            </w:tcMar>
            <w:vAlign w:val="center"/>
          </w:tcPr>
          <w:p w14:paraId="7CBAD600" w14:textId="7F72F941"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 age group</w:t>
            </w:r>
          </w:p>
        </w:tc>
        <w:tc>
          <w:tcPr>
            <w:tcW w:w="1695" w:type="dxa"/>
            <w:tcMar>
              <w:left w:w="105" w:type="dxa"/>
              <w:right w:w="105" w:type="dxa"/>
            </w:tcMar>
            <w:vAlign w:val="center"/>
          </w:tcPr>
          <w:p w14:paraId="0FAD455F" w14:textId="3CE4E7D0"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Under 5, </w:t>
            </w:r>
          </w:p>
          <w:p w14:paraId="43577E33" w14:textId="444FCE5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5–50, </w:t>
            </w:r>
          </w:p>
          <w:p w14:paraId="6AA35650" w14:textId="1222BD4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50–70, </w:t>
            </w:r>
          </w:p>
          <w:p w14:paraId="542581F2" w14:textId="09341404"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r w:rsidR="6469A535" w14:paraId="38E01D4F" w14:textId="77777777" w:rsidTr="6469A535">
        <w:trPr>
          <w:trHeight w:val="1140"/>
        </w:trPr>
        <w:tc>
          <w:tcPr>
            <w:tcW w:w="1515" w:type="dxa"/>
            <w:tcMar>
              <w:left w:w="105" w:type="dxa"/>
              <w:right w:w="105" w:type="dxa"/>
            </w:tcMar>
            <w:vAlign w:val="center"/>
          </w:tcPr>
          <w:p w14:paraId="75B1CA78" w14:textId="3AF0B763"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Urinary tract infections and pyelonephritis</w:t>
            </w:r>
          </w:p>
        </w:tc>
        <w:tc>
          <w:tcPr>
            <w:tcW w:w="3510" w:type="dxa"/>
            <w:tcMar>
              <w:left w:w="105" w:type="dxa"/>
              <w:right w:w="105" w:type="dxa"/>
            </w:tcMar>
            <w:vAlign w:val="center"/>
          </w:tcPr>
          <w:p w14:paraId="445867AD" w14:textId="39A2F60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i/>
                <w:iCs/>
                <w:color w:val="000000" w:themeColor="text1"/>
                <w:sz w:val="16"/>
                <w:szCs w:val="16"/>
              </w:rPr>
              <w:t xml:space="preserve">Acinetobacter </w:t>
            </w:r>
            <w:proofErr w:type="spellStart"/>
            <w:r w:rsidRPr="6469A535">
              <w:rPr>
                <w:rFonts w:eastAsia="Times New Roman" w:cs="Times New Roman"/>
                <w:i/>
                <w:iCs/>
                <w:color w:val="000000" w:themeColor="text1"/>
                <w:sz w:val="16"/>
                <w:szCs w:val="16"/>
              </w:rPr>
              <w:t>baumannii</w:t>
            </w:r>
            <w:proofErr w:type="spellEnd"/>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Citrobacter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Enterobacter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faecalis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Enterococcus faecium</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other enterococci,</w:t>
            </w:r>
            <w:r w:rsidRPr="6469A535">
              <w:rPr>
                <w:rFonts w:eastAsia="Times New Roman" w:cs="Times New Roman"/>
                <w:i/>
                <w:iCs/>
                <w:color w:val="000000" w:themeColor="text1"/>
                <w:sz w:val="16"/>
                <w:szCs w:val="16"/>
              </w:rPr>
              <w:t xml:space="preserve"> Escherichia coli</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Streptococcus</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Klebsiella pneumoniae</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w:t>
            </w:r>
            <w:proofErr w:type="spellStart"/>
            <w:r w:rsidRPr="6469A535">
              <w:rPr>
                <w:rFonts w:eastAsia="Times New Roman" w:cs="Times New Roman"/>
                <w:i/>
                <w:iCs/>
                <w:color w:val="000000" w:themeColor="text1"/>
                <w:sz w:val="16"/>
                <w:szCs w:val="16"/>
              </w:rPr>
              <w:t>Morganella</w:t>
            </w:r>
            <w:proofErr w:type="spellEnd"/>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Proteus spp.</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Providencia </w:t>
            </w:r>
            <w:r w:rsidRPr="6469A535">
              <w:rPr>
                <w:rFonts w:eastAsia="Times New Roman" w:cs="Times New Roman"/>
                <w:color w:val="000000" w:themeColor="text1"/>
                <w:sz w:val="16"/>
                <w:szCs w:val="16"/>
              </w:rPr>
              <w:t>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Pseudomonas aeruginosa</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Serratia</w:t>
            </w:r>
            <w:r w:rsidRPr="6469A535">
              <w:rPr>
                <w:rFonts w:eastAsia="Times New Roman" w:cs="Times New Roman"/>
                <w:color w:val="000000" w:themeColor="text1"/>
                <w:sz w:val="16"/>
                <w:szCs w:val="16"/>
              </w:rPr>
              <w:t xml:space="preserve"> spp</w:t>
            </w:r>
            <w:r w:rsidRPr="6469A535">
              <w:rPr>
                <w:rFonts w:eastAsia="Times New Roman" w:cs="Times New Roman"/>
                <w:i/>
                <w:iCs/>
                <w:color w:val="000000" w:themeColor="text1"/>
                <w:sz w:val="16"/>
                <w:szCs w:val="16"/>
              </w:rPr>
              <w:t>.</w:t>
            </w:r>
            <w:r w:rsidRPr="6469A535">
              <w:rPr>
                <w:rFonts w:eastAsia="Times New Roman" w:cs="Times New Roman"/>
                <w:color w:val="000000" w:themeColor="text1"/>
                <w:sz w:val="16"/>
                <w:szCs w:val="16"/>
              </w:rPr>
              <w:t>,</w:t>
            </w:r>
            <w:r w:rsidRPr="6469A535">
              <w:rPr>
                <w:rFonts w:eastAsia="Times New Roman" w:cs="Times New Roman"/>
                <w:i/>
                <w:iCs/>
                <w:color w:val="000000" w:themeColor="text1"/>
                <w:sz w:val="16"/>
                <w:szCs w:val="16"/>
              </w:rPr>
              <w:t xml:space="preserve"> Staphylococcus aureus</w:t>
            </w:r>
          </w:p>
        </w:tc>
        <w:tc>
          <w:tcPr>
            <w:tcW w:w="2595" w:type="dxa"/>
            <w:tcMar>
              <w:left w:w="105" w:type="dxa"/>
              <w:right w:w="105" w:type="dxa"/>
            </w:tcMar>
            <w:vAlign w:val="center"/>
          </w:tcPr>
          <w:p w14:paraId="7639FF40" w14:textId="056AA6B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HAQ Index, age group, HAI/CAI</w:t>
            </w:r>
          </w:p>
        </w:tc>
        <w:tc>
          <w:tcPr>
            <w:tcW w:w="1695" w:type="dxa"/>
            <w:tcMar>
              <w:left w:w="105" w:type="dxa"/>
              <w:right w:w="105" w:type="dxa"/>
            </w:tcMar>
            <w:vAlign w:val="center"/>
          </w:tcPr>
          <w:p w14:paraId="324C3EE0" w14:textId="6CAAB9BB"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Under 5, </w:t>
            </w:r>
          </w:p>
          <w:p w14:paraId="1101843B" w14:textId="4B1B2B5A"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5–50, </w:t>
            </w:r>
          </w:p>
          <w:p w14:paraId="0320257F" w14:textId="6F209C98"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 xml:space="preserve">50–70, </w:t>
            </w:r>
          </w:p>
          <w:p w14:paraId="675E6A40" w14:textId="42B5FB56" w:rsidR="6469A535" w:rsidRDefault="6469A535" w:rsidP="6469A535">
            <w:pPr>
              <w:spacing w:line="259" w:lineRule="auto"/>
              <w:rPr>
                <w:rFonts w:eastAsia="Times New Roman" w:cs="Times New Roman"/>
                <w:color w:val="000000" w:themeColor="text1"/>
                <w:sz w:val="16"/>
                <w:szCs w:val="16"/>
              </w:rPr>
            </w:pPr>
            <w:r w:rsidRPr="6469A535">
              <w:rPr>
                <w:rFonts w:eastAsia="Times New Roman" w:cs="Times New Roman"/>
                <w:color w:val="000000" w:themeColor="text1"/>
                <w:sz w:val="16"/>
                <w:szCs w:val="16"/>
              </w:rPr>
              <w:t>70+</w:t>
            </w:r>
          </w:p>
        </w:tc>
      </w:tr>
    </w:tbl>
    <w:p w14:paraId="0E89D77F" w14:textId="45419CC5" w:rsidR="082F9667" w:rsidRDefault="1DBA5DDE" w:rsidP="00AD750F">
      <w:r w:rsidRPr="6469A535">
        <w:rPr>
          <w:rFonts w:eastAsia="Times New Roman" w:cs="Times New Roman"/>
          <w:color w:val="000000" w:themeColor="text1"/>
          <w:sz w:val="16"/>
          <w:szCs w:val="16"/>
        </w:rPr>
        <w:t xml:space="preserve">Group A </w:t>
      </w:r>
      <w:r w:rsidRPr="6469A535">
        <w:rPr>
          <w:rFonts w:eastAsia="Times New Roman" w:cs="Times New Roman"/>
          <w:i/>
          <w:iCs/>
          <w:color w:val="000000" w:themeColor="text1"/>
          <w:sz w:val="16"/>
          <w:szCs w:val="16"/>
        </w:rPr>
        <w:t xml:space="preserve">Streptococcus = Streptococcus pyogenes. </w:t>
      </w:r>
      <w:r w:rsidRPr="6469A535">
        <w:rPr>
          <w:rFonts w:eastAsia="Times New Roman" w:cs="Times New Roman"/>
          <w:color w:val="000000" w:themeColor="text1"/>
          <w:sz w:val="16"/>
          <w:szCs w:val="16"/>
        </w:rPr>
        <w:t xml:space="preserve">Group B </w:t>
      </w:r>
      <w:r w:rsidRPr="6469A535">
        <w:rPr>
          <w:rFonts w:eastAsia="Times New Roman" w:cs="Times New Roman"/>
          <w:i/>
          <w:iCs/>
          <w:color w:val="000000" w:themeColor="text1"/>
          <w:sz w:val="16"/>
          <w:szCs w:val="16"/>
        </w:rPr>
        <w:t xml:space="preserve">Streptococcus = Streptococcus agalactiae. </w:t>
      </w:r>
      <w:r w:rsidRPr="6469A535">
        <w:rPr>
          <w:rFonts w:eastAsia="Times New Roman" w:cs="Times New Roman"/>
          <w:color w:val="000000" w:themeColor="text1"/>
          <w:sz w:val="16"/>
          <w:szCs w:val="16"/>
        </w:rPr>
        <w:t xml:space="preserve">HAQ Index = Healthcare Access and Quality Index. HAI/CAI = hospital-acquired infection/community-acquired infection. </w:t>
      </w:r>
      <w:r w:rsidRPr="6469A535">
        <w:rPr>
          <w:rFonts w:eastAsia="Times New Roman" w:cs="Times New Roman"/>
          <w:szCs w:val="20"/>
        </w:rPr>
        <w:t xml:space="preserve"> </w:t>
      </w:r>
    </w:p>
    <w:p w14:paraId="2E104C1E" w14:textId="11C7FA77"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3.4.</w:t>
      </w:r>
      <w:r w:rsidR="00585133" w:rsidRPr="00D7626E">
        <w:rPr>
          <w:rFonts w:eastAsiaTheme="majorEastAsia" w:cstheme="majorBidi"/>
          <w:i/>
          <w:color w:val="1F4D78" w:themeColor="accent1" w:themeShade="7F"/>
          <w:szCs w:val="24"/>
        </w:rPr>
        <w:t>7</w:t>
      </w:r>
      <w:r w:rsidRPr="00D7626E">
        <w:rPr>
          <w:rFonts w:eastAsiaTheme="majorEastAsia" w:cstheme="majorBidi"/>
          <w:i/>
          <w:color w:val="1F4D78" w:themeColor="accent1" w:themeShade="7F"/>
          <w:szCs w:val="24"/>
        </w:rPr>
        <w:t>: Exceptions and special handling</w:t>
      </w:r>
    </w:p>
    <w:p w14:paraId="6B41CC43" w14:textId="5D777B8C" w:rsidR="6B99E739" w:rsidRPr="005D2363" w:rsidRDefault="6B99E739" w:rsidP="082F9667">
      <w:pPr>
        <w:spacing w:line="257" w:lineRule="auto"/>
        <w:rPr>
          <w:rFonts w:cs="Times New Roman"/>
          <w:szCs w:val="20"/>
        </w:rPr>
      </w:pPr>
      <w:r w:rsidRPr="005D2363">
        <w:rPr>
          <w:rFonts w:eastAsia="Times New Roman" w:cs="Times New Roman"/>
          <w:szCs w:val="20"/>
        </w:rPr>
        <w:t xml:space="preserve">There were several notable exceptions and special handling decisions made for each individual pathogen distribution model, which we hope to address with more sustainable approaches in our future work. For example, for cardiac infections, we used the pathogen distribution for bloodstream infections rather than estimating specific distributions for these syndromes, due to a lack of complete literature reviews on the </w:t>
      </w:r>
      <w:proofErr w:type="spellStart"/>
      <w:r w:rsidRPr="005D2363">
        <w:rPr>
          <w:rFonts w:eastAsia="Times New Roman" w:cs="Times New Roman"/>
          <w:szCs w:val="20"/>
        </w:rPr>
        <w:t>aetiologies</w:t>
      </w:r>
      <w:proofErr w:type="spellEnd"/>
      <w:r w:rsidRPr="005D2363">
        <w:rPr>
          <w:rFonts w:eastAsia="Times New Roman" w:cs="Times New Roman"/>
          <w:szCs w:val="20"/>
        </w:rPr>
        <w:t xml:space="preserve"> and case-fatality rates of these syndromes. We consider this to be a serious limitation of our methodology, but do not anticipate that is seriously impactful on our final estimates.</w:t>
      </w:r>
    </w:p>
    <w:p w14:paraId="02BB4689" w14:textId="1EDFC6B6" w:rsidR="6B99E739" w:rsidRPr="005D2363" w:rsidRDefault="6B99E739" w:rsidP="082F9667">
      <w:pPr>
        <w:spacing w:line="257" w:lineRule="auto"/>
        <w:rPr>
          <w:rFonts w:cs="Times New Roman"/>
          <w:szCs w:val="20"/>
        </w:rPr>
      </w:pPr>
      <w:r w:rsidRPr="005D2363">
        <w:rPr>
          <w:rFonts w:eastAsia="Times New Roman" w:cs="Times New Roman"/>
          <w:szCs w:val="20"/>
        </w:rPr>
        <w:t xml:space="preserve">In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patients, cultures of specimens taken from the gastrointestinal tract, bowels, rectum, or stool are almost always affected by contaminants or pathogens that are not the cause of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For this reason, we believe that our input data and modelling framework are not able to accurately capture the </w:t>
      </w:r>
      <w:proofErr w:type="spellStart"/>
      <w:r w:rsidRPr="005D2363">
        <w:rPr>
          <w:rFonts w:eastAsia="Times New Roman" w:cs="Times New Roman"/>
          <w:szCs w:val="20"/>
        </w:rPr>
        <w:t>aetiologies</w:t>
      </w:r>
      <w:proofErr w:type="spellEnd"/>
      <w:r w:rsidRPr="005D2363">
        <w:rPr>
          <w:rFonts w:eastAsia="Times New Roman" w:cs="Times New Roman"/>
          <w:szCs w:val="20"/>
        </w:rPr>
        <w:t xml:space="preserve"> of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We chose to use GBD estimates of the </w:t>
      </w:r>
      <w:proofErr w:type="spellStart"/>
      <w:r w:rsidRPr="005D2363">
        <w:rPr>
          <w:rFonts w:eastAsia="Times New Roman" w:cs="Times New Roman"/>
          <w:szCs w:val="20"/>
        </w:rPr>
        <w:t>aetiologies</w:t>
      </w:r>
      <w:proofErr w:type="spellEnd"/>
      <w:r w:rsidRPr="005D2363">
        <w:rPr>
          <w:rFonts w:eastAsia="Times New Roman" w:cs="Times New Roman"/>
          <w:szCs w:val="20"/>
        </w:rPr>
        <w:t xml:space="preserve"> of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in deaths instead of running our own model.</w:t>
      </w:r>
      <w:r w:rsidRPr="005D2363">
        <w:rPr>
          <w:rFonts w:eastAsia="Times New Roman" w:cs="Times New Roman"/>
          <w:szCs w:val="20"/>
          <w:vertAlign w:val="superscript"/>
        </w:rPr>
        <w:t>13</w:t>
      </w:r>
      <w:r w:rsidRPr="005D2363">
        <w:rPr>
          <w:rFonts w:eastAsia="Times New Roman" w:cs="Times New Roman"/>
          <w:szCs w:val="20"/>
        </w:rPr>
        <w:t xml:space="preserve"> Nonetheless, a major limitation of using such approach is that the GBD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w:t>
      </w:r>
      <w:proofErr w:type="spellStart"/>
      <w:r w:rsidRPr="005D2363">
        <w:rPr>
          <w:rFonts w:eastAsia="Times New Roman" w:cs="Times New Roman"/>
          <w:szCs w:val="20"/>
        </w:rPr>
        <w:t>aetiology</w:t>
      </w:r>
      <w:proofErr w:type="spellEnd"/>
      <w:r w:rsidRPr="005D2363">
        <w:rPr>
          <w:rFonts w:eastAsia="Times New Roman" w:cs="Times New Roman"/>
          <w:szCs w:val="20"/>
        </w:rPr>
        <w:t xml:space="preserve"> estimates are population attributable fractions (PAFs) for each pathogen. These PAFs may add to greater than 1 and the authors made no attempt to quantify the extent of co-occurrence of pathogens; the latter is inconsistent with the pathogen distribution estimation method used in our study, which quantifies polymicrobial infections and estimates all pathogens as mono-infections. Hence, </w:t>
      </w:r>
      <w:proofErr w:type="gramStart"/>
      <w:r w:rsidRPr="005D2363">
        <w:rPr>
          <w:rFonts w:eastAsia="Times New Roman" w:cs="Times New Roman"/>
          <w:szCs w:val="20"/>
        </w:rPr>
        <w:t>in order to</w:t>
      </w:r>
      <w:proofErr w:type="gramEnd"/>
      <w:r w:rsidRPr="005D2363">
        <w:rPr>
          <w:rFonts w:eastAsia="Times New Roman" w:cs="Times New Roman"/>
          <w:szCs w:val="20"/>
        </w:rPr>
        <w:t xml:space="preserve"> avoid duplication of cases in our framework, we had to make some assumptions about the co-occurrence of pathogens in </w:t>
      </w:r>
      <w:proofErr w:type="spellStart"/>
      <w:r w:rsidRPr="005D2363">
        <w:rPr>
          <w:rFonts w:eastAsia="Times New Roman" w:cs="Times New Roman"/>
          <w:szCs w:val="20"/>
        </w:rPr>
        <w:t>diarrhoea</w:t>
      </w:r>
      <w:proofErr w:type="spellEnd"/>
      <w:r w:rsidRPr="005D2363">
        <w:rPr>
          <w:rFonts w:eastAsia="Times New Roman" w:cs="Times New Roman"/>
          <w:szCs w:val="20"/>
        </w:rPr>
        <w:t xml:space="preserve"> (details provided in the appendix of Murray et al.</w:t>
      </w:r>
      <w:r w:rsidRPr="005D2363">
        <w:rPr>
          <w:rFonts w:eastAsia="Times New Roman" w:cs="Times New Roman"/>
          <w:szCs w:val="20"/>
          <w:vertAlign w:val="superscript"/>
        </w:rPr>
        <w:t>1</w:t>
      </w:r>
      <w:r w:rsidRPr="005D2363">
        <w:rPr>
          <w:rFonts w:eastAsia="Times New Roman" w:cs="Times New Roman"/>
          <w:szCs w:val="20"/>
        </w:rPr>
        <w:t>).</w:t>
      </w:r>
    </w:p>
    <w:p w14:paraId="089FF483" w14:textId="4FB72BB5" w:rsidR="6B99E739" w:rsidRPr="005D2363" w:rsidRDefault="6B99E739" w:rsidP="082F9667">
      <w:pPr>
        <w:spacing w:line="257" w:lineRule="auto"/>
        <w:rPr>
          <w:rFonts w:cs="Times New Roman"/>
          <w:szCs w:val="20"/>
        </w:rPr>
      </w:pPr>
      <w:r w:rsidRPr="005D2363">
        <w:rPr>
          <w:rFonts w:eastAsia="Times New Roman" w:cs="Times New Roman"/>
          <w:szCs w:val="20"/>
        </w:rPr>
        <w:t xml:space="preserve">Certain skin and subcutaneous samples are easily </w:t>
      </w:r>
      <w:proofErr w:type="gramStart"/>
      <w:r w:rsidRPr="005D2363">
        <w:rPr>
          <w:rFonts w:eastAsia="Times New Roman" w:cs="Times New Roman"/>
          <w:szCs w:val="20"/>
        </w:rPr>
        <w:t>affect</w:t>
      </w:r>
      <w:proofErr w:type="gramEnd"/>
      <w:r w:rsidRPr="005D2363">
        <w:rPr>
          <w:rFonts w:eastAsia="Times New Roman" w:cs="Times New Roman"/>
          <w:szCs w:val="20"/>
        </w:rPr>
        <w:t xml:space="preserve"> by contaminants, colonization, and other pathogens that are not the cause of infection. For this reason, we considered microbial data and mortality surveillance to be too difficult to extract meaningful </w:t>
      </w:r>
      <w:proofErr w:type="spellStart"/>
      <w:r w:rsidRPr="005D2363">
        <w:rPr>
          <w:rFonts w:eastAsia="Times New Roman" w:cs="Times New Roman"/>
          <w:szCs w:val="20"/>
        </w:rPr>
        <w:t>aetiology</w:t>
      </w:r>
      <w:proofErr w:type="spellEnd"/>
      <w:r w:rsidRPr="005D2363">
        <w:rPr>
          <w:rFonts w:eastAsia="Times New Roman" w:cs="Times New Roman"/>
          <w:szCs w:val="20"/>
        </w:rPr>
        <w:t xml:space="preserve"> information from, and instead used only ICD-coded databases (multiple cause of death, hospital discharge, and linkage data) and literature studies as inputs into our model of the pathogen distribution of skin infections.</w:t>
      </w:r>
    </w:p>
    <w:p w14:paraId="1D221613" w14:textId="35D6D0FB" w:rsidR="6B99E739" w:rsidRPr="005D2363" w:rsidRDefault="6B99E739" w:rsidP="082F9667">
      <w:pPr>
        <w:spacing w:line="257" w:lineRule="auto"/>
        <w:rPr>
          <w:rFonts w:cs="Times New Roman"/>
          <w:szCs w:val="20"/>
        </w:rPr>
      </w:pPr>
      <w:r w:rsidRPr="005D2363">
        <w:rPr>
          <w:rFonts w:eastAsia="Times New Roman" w:cs="Times New Roman"/>
          <w:szCs w:val="20"/>
        </w:rPr>
        <w:t xml:space="preserve">We dropped all data on </w:t>
      </w:r>
      <w:r w:rsidRPr="005D2363">
        <w:rPr>
          <w:rFonts w:eastAsia="Times New Roman" w:cs="Times New Roman"/>
          <w:i/>
          <w:iCs/>
          <w:szCs w:val="20"/>
        </w:rPr>
        <w:t xml:space="preserve">S. pneumoniae </w:t>
      </w:r>
      <w:r w:rsidRPr="005D2363">
        <w:rPr>
          <w:rFonts w:eastAsia="Times New Roman" w:cs="Times New Roman"/>
          <w:szCs w:val="20"/>
        </w:rPr>
        <w:t>for community-acquired LRI and thorax infections in non-neonatal age groups except our estimates from the vaccine probe analysis. Because dedicated anaerobic cultures were not routinely performed for peritoneal samples, we dropped all anaerobes observed in the data for and excluded anaerobes as an etiology of intra-abdominal infections. Moreover, due to the unique pattern of meningitis in neonates, particularly the high prevalence of GBS, we modeled neonatal and adult central nervous syndrome infections separately.</w:t>
      </w:r>
    </w:p>
    <w:p w14:paraId="7598AF71" w14:textId="52B40319" w:rsidR="6B99E739" w:rsidRPr="005D2363" w:rsidRDefault="6B99E739" w:rsidP="082F9667">
      <w:pPr>
        <w:spacing w:line="257" w:lineRule="auto"/>
        <w:rPr>
          <w:rFonts w:cs="Times New Roman"/>
          <w:szCs w:val="20"/>
        </w:rPr>
      </w:pPr>
      <w:r w:rsidRPr="005D2363">
        <w:rPr>
          <w:rFonts w:eastAsia="Times New Roman" w:cs="Times New Roman"/>
          <w:szCs w:val="20"/>
        </w:rPr>
        <w:lastRenderedPageBreak/>
        <w:t xml:space="preserve">For three infectious syndromes, we did not run a pathogen distribution model – these are “Typhoid, paratyphoid, and invasive non-typhoidal </w:t>
      </w:r>
      <w:r w:rsidRPr="005D2363">
        <w:rPr>
          <w:rFonts w:eastAsia="Times New Roman" w:cs="Times New Roman"/>
          <w:i/>
          <w:iCs/>
          <w:szCs w:val="20"/>
        </w:rPr>
        <w:t>Salmonella</w:t>
      </w:r>
      <w:r w:rsidRPr="005D2363">
        <w:rPr>
          <w:rFonts w:eastAsia="Times New Roman" w:cs="Times New Roman"/>
          <w:szCs w:val="20"/>
        </w:rPr>
        <w:t>”, “Tuberculosis” and “</w:t>
      </w:r>
      <w:proofErr w:type="spellStart"/>
      <w:r w:rsidRPr="005D2363">
        <w:rPr>
          <w:rFonts w:eastAsia="Times New Roman" w:cs="Times New Roman"/>
          <w:szCs w:val="20"/>
        </w:rPr>
        <w:t>Gonorrhoea</w:t>
      </w:r>
      <w:proofErr w:type="spellEnd"/>
      <w:r w:rsidRPr="005D2363">
        <w:rPr>
          <w:rFonts w:eastAsia="Times New Roman" w:cs="Times New Roman"/>
          <w:szCs w:val="20"/>
        </w:rPr>
        <w:t xml:space="preserve"> and chlamydia” infectious syndromes. They are all caused by distinct pathogens whose individual burdens are already estimated in GBD as separate causes of death. Therefore, for these syndromes, we simply used GBD estimates.</w:t>
      </w:r>
    </w:p>
    <w:p w14:paraId="4278E609" w14:textId="49DA5BF6"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3.4.</w:t>
      </w:r>
      <w:r w:rsidR="00585133" w:rsidRPr="00D7626E">
        <w:rPr>
          <w:rFonts w:eastAsiaTheme="majorEastAsia" w:cstheme="majorBidi"/>
          <w:i/>
          <w:color w:val="1F4D78" w:themeColor="accent1" w:themeShade="7F"/>
          <w:szCs w:val="24"/>
        </w:rPr>
        <w:t>8</w:t>
      </w:r>
      <w:r w:rsidRPr="00D7626E">
        <w:rPr>
          <w:rFonts w:eastAsiaTheme="majorEastAsia" w:cstheme="majorBidi"/>
          <w:i/>
          <w:color w:val="1F4D78" w:themeColor="accent1" w:themeShade="7F"/>
          <w:szCs w:val="24"/>
        </w:rPr>
        <w:t>: Model validation</w:t>
      </w:r>
    </w:p>
    <w:p w14:paraId="4C27A149" w14:textId="0BA68466" w:rsidR="6B99E739" w:rsidRPr="00012214" w:rsidRDefault="4250E043" w:rsidP="24AC020F">
      <w:pPr>
        <w:rPr>
          <w:rFonts w:cs="Times New Roman"/>
        </w:rPr>
      </w:pPr>
      <w:r w:rsidRPr="24AC020F">
        <w:rPr>
          <w:rFonts w:eastAsia="Times New Roman" w:cs="Times New Roman"/>
        </w:rPr>
        <w:t>To assess model validity, we calculated the root mean square error (RMSE) and coefficient of determination (R</w:t>
      </w:r>
      <w:r w:rsidRPr="24AC020F">
        <w:rPr>
          <w:rFonts w:eastAsia="Times New Roman" w:cs="Times New Roman"/>
          <w:vertAlign w:val="superscript"/>
        </w:rPr>
        <w:t>2</w:t>
      </w:r>
      <w:r w:rsidRPr="24AC020F">
        <w:rPr>
          <w:rFonts w:eastAsia="Times New Roman" w:cs="Times New Roman"/>
        </w:rPr>
        <w:t xml:space="preserve">) for each pathogen distribution model in proportion space for both in-sample and out-of-sample predictions. Proportions were predicted for each observation using the specific denominator observed from that study. For example, if a given study reported on only </w:t>
      </w:r>
      <w:r w:rsidRPr="24AC020F">
        <w:rPr>
          <w:rFonts w:eastAsia="Times New Roman" w:cs="Times New Roman"/>
          <w:i/>
          <w:iCs/>
        </w:rPr>
        <w:t xml:space="preserve">E. coli </w:t>
      </w:r>
      <w:r w:rsidRPr="24AC020F">
        <w:rPr>
          <w:rFonts w:eastAsia="Times New Roman" w:cs="Times New Roman"/>
        </w:rPr>
        <w:t xml:space="preserve">and </w:t>
      </w:r>
      <w:r w:rsidRPr="24AC020F">
        <w:rPr>
          <w:rFonts w:eastAsia="Times New Roman" w:cs="Times New Roman"/>
          <w:i/>
          <w:iCs/>
        </w:rPr>
        <w:t xml:space="preserve">S. pneumoniae, </w:t>
      </w:r>
      <w:r w:rsidRPr="24AC020F">
        <w:rPr>
          <w:rFonts w:eastAsia="Times New Roman" w:cs="Times New Roman"/>
        </w:rPr>
        <w:t xml:space="preserve">the predictions for model validation for this study were calculated as proportions of the total for </w:t>
      </w:r>
      <w:r w:rsidRPr="24AC020F">
        <w:rPr>
          <w:rFonts w:eastAsia="Times New Roman" w:cs="Times New Roman"/>
          <w:i/>
          <w:iCs/>
        </w:rPr>
        <w:t xml:space="preserve">E. coli </w:t>
      </w:r>
      <w:r w:rsidRPr="24AC020F">
        <w:rPr>
          <w:rFonts w:eastAsia="Times New Roman" w:cs="Times New Roman"/>
        </w:rPr>
        <w:t xml:space="preserve">and </w:t>
      </w:r>
      <w:r w:rsidRPr="24AC020F">
        <w:rPr>
          <w:rFonts w:eastAsia="Times New Roman" w:cs="Times New Roman"/>
          <w:i/>
          <w:iCs/>
        </w:rPr>
        <w:t>S. pneumoniae.</w:t>
      </w:r>
      <w:r w:rsidRPr="24AC020F">
        <w:rPr>
          <w:rFonts w:eastAsia="Times New Roman" w:cs="Times New Roman"/>
        </w:rPr>
        <w:t xml:space="preserve"> </w:t>
      </w:r>
      <w:proofErr w:type="gramStart"/>
      <w:r w:rsidRPr="24AC020F">
        <w:rPr>
          <w:rFonts w:eastAsia="Times New Roman" w:cs="Times New Roman"/>
        </w:rPr>
        <w:t>In order to</w:t>
      </w:r>
      <w:proofErr w:type="gramEnd"/>
      <w:r w:rsidRPr="24AC020F">
        <w:rPr>
          <w:rFonts w:eastAsia="Times New Roman" w:cs="Times New Roman"/>
        </w:rPr>
        <w:t xml:space="preserve"> calculate out-of-sample fit, we perform non-exhaustive cross-validation, with each round of the validation holding out 1 country of data at a time. This leave-one-country-out approach simulates the prediction task of estimating the pathogen distribution of a country for which we have no data. </w:t>
      </w:r>
    </w:p>
    <w:p w14:paraId="28841C64" w14:textId="3CDB82FE" w:rsidR="6B99E739" w:rsidRPr="00012214" w:rsidRDefault="12721DAF" w:rsidP="24AC020F">
      <w:pPr>
        <w:rPr>
          <w:rFonts w:cs="Times New Roman"/>
        </w:rPr>
      </w:pPr>
      <w:r w:rsidRPr="24AC020F">
        <w:rPr>
          <w:rFonts w:eastAsia="Times New Roman" w:cs="Times New Roman"/>
          <w:color w:val="000000" w:themeColor="text1"/>
          <w:szCs w:val="20"/>
        </w:rPr>
        <w:t>R</w:t>
      </w:r>
      <w:r w:rsidRPr="24AC020F">
        <w:rPr>
          <w:rFonts w:eastAsia="Times New Roman" w:cs="Times New Roman"/>
          <w:color w:val="000000" w:themeColor="text1"/>
          <w:szCs w:val="20"/>
          <w:vertAlign w:val="superscript"/>
        </w:rPr>
        <w:t>2</w:t>
      </w:r>
      <w:r w:rsidRPr="24AC020F">
        <w:rPr>
          <w:rFonts w:eastAsia="Times New Roman" w:cs="Times New Roman"/>
          <w:color w:val="000000" w:themeColor="text1"/>
          <w:szCs w:val="20"/>
        </w:rPr>
        <w:t xml:space="preserve"> ranges from 0.784 to 0.867 in-sample and from 0.755 to 0.837 out of sample, indicating good model fit with only modest losses when data are moved out of sample. RMSE ranges from 0.129 to 0.149 in-sample and from 0.141 to 0.159 out of sample. Given that the data are expected to vary from the model predictions according to the observation-level variance, and the fact that the RMSEs are relatively consistent between in-sample and out-of-sample, these RMSEs are reasonable. Overall, these metrics show that these models have good fit and good out-of-sample predictive ability.</w:t>
      </w:r>
    </w:p>
    <w:p w14:paraId="0C8EE5C8" w14:textId="5B1BCA96" w:rsidR="6B99E739" w:rsidRPr="00012214" w:rsidRDefault="12721DAF" w:rsidP="004F5186">
      <w:pPr>
        <w:spacing w:after="0"/>
        <w:rPr>
          <w:rFonts w:eastAsia="Times New Roman" w:cs="Times New Roman"/>
          <w:i/>
          <w:iCs/>
          <w:color w:val="1F3763"/>
          <w:szCs w:val="20"/>
        </w:rPr>
      </w:pPr>
      <w:r w:rsidRPr="004F5186">
        <w:rPr>
          <w:rFonts w:eastAsiaTheme="majorEastAsia" w:cstheme="majorBidi"/>
          <w:i/>
          <w:color w:val="1F4D78" w:themeColor="accent1" w:themeShade="7F"/>
          <w:szCs w:val="24"/>
        </w:rPr>
        <w:t xml:space="preserve">Table </w:t>
      </w:r>
      <w:r w:rsidR="00A228AC">
        <w:rPr>
          <w:rFonts w:eastAsiaTheme="majorEastAsia" w:cstheme="majorBidi"/>
          <w:i/>
          <w:color w:val="1F4D78" w:themeColor="accent1" w:themeShade="7F"/>
          <w:szCs w:val="24"/>
        </w:rPr>
        <w:t>3.4.8.1</w:t>
      </w:r>
      <w:r w:rsidR="004362C1">
        <w:rPr>
          <w:rFonts w:eastAsiaTheme="majorEastAsia" w:cstheme="majorBidi"/>
          <w:i/>
          <w:color w:val="1F4D78" w:themeColor="accent1" w:themeShade="7F"/>
          <w:szCs w:val="24"/>
        </w:rPr>
        <w:t>:</w:t>
      </w:r>
      <w:r w:rsidRPr="004F5186">
        <w:rPr>
          <w:rFonts w:eastAsiaTheme="majorEastAsia" w:cstheme="majorBidi"/>
          <w:i/>
          <w:color w:val="1F4D78" w:themeColor="accent1" w:themeShade="7F"/>
          <w:szCs w:val="24"/>
        </w:rPr>
        <w:t xml:space="preserve"> In-sample and out-of-sample validation metrics for pathogen distribution models (GLOBAL)</w:t>
      </w:r>
    </w:p>
    <w:tbl>
      <w:tblPr>
        <w:tblStyle w:val="TableGrid"/>
        <w:tblW w:w="0" w:type="auto"/>
        <w:tblLayout w:type="fixed"/>
        <w:tblLook w:val="04A0" w:firstRow="1" w:lastRow="0" w:firstColumn="1" w:lastColumn="0" w:noHBand="0" w:noVBand="1"/>
      </w:tblPr>
      <w:tblGrid>
        <w:gridCol w:w="2955"/>
        <w:gridCol w:w="1260"/>
        <w:gridCol w:w="1260"/>
        <w:gridCol w:w="1260"/>
        <w:gridCol w:w="1260"/>
        <w:gridCol w:w="1335"/>
      </w:tblGrid>
      <w:tr w:rsidR="24AC020F" w14:paraId="36523C99" w14:textId="77777777" w:rsidTr="24AC020F">
        <w:trPr>
          <w:trHeight w:val="270"/>
        </w:trPr>
        <w:tc>
          <w:tcPr>
            <w:tcW w:w="2955" w:type="dxa"/>
            <w:vMerge w:val="restart"/>
            <w:shd w:val="clear" w:color="auto" w:fill="E7E6E6" w:themeFill="background2"/>
            <w:tcMar>
              <w:left w:w="105" w:type="dxa"/>
              <w:right w:w="105" w:type="dxa"/>
            </w:tcMar>
          </w:tcPr>
          <w:p w14:paraId="559CBE1B" w14:textId="76F7B977"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Infectious syndrome</w:t>
            </w:r>
          </w:p>
        </w:tc>
        <w:tc>
          <w:tcPr>
            <w:tcW w:w="1260" w:type="dxa"/>
            <w:vMerge w:val="restart"/>
            <w:shd w:val="clear" w:color="auto" w:fill="E7E6E6" w:themeFill="background2"/>
            <w:tcMar>
              <w:left w:w="105" w:type="dxa"/>
              <w:right w:w="105" w:type="dxa"/>
            </w:tcMar>
          </w:tcPr>
          <w:p w14:paraId="18CD9F65" w14:textId="5776C585" w:rsidR="24AC020F" w:rsidRDefault="24AC020F" w:rsidP="24AC020F">
            <w:pPr>
              <w:spacing w:line="259" w:lineRule="auto"/>
              <w:rPr>
                <w:rFonts w:eastAsia="Times New Roman" w:cs="Times New Roman"/>
                <w:sz w:val="16"/>
                <w:szCs w:val="16"/>
              </w:rPr>
            </w:pPr>
            <w:r w:rsidRPr="24AC020F">
              <w:rPr>
                <w:rFonts w:eastAsia="Times New Roman" w:cs="Times New Roman"/>
                <w:b/>
                <w:bCs/>
                <w:sz w:val="16"/>
                <w:szCs w:val="16"/>
              </w:rPr>
              <w:t> Model type</w:t>
            </w:r>
          </w:p>
        </w:tc>
        <w:tc>
          <w:tcPr>
            <w:tcW w:w="2520" w:type="dxa"/>
            <w:gridSpan w:val="2"/>
            <w:shd w:val="clear" w:color="auto" w:fill="E7E6E6" w:themeFill="background2"/>
            <w:tcMar>
              <w:left w:w="105" w:type="dxa"/>
              <w:right w:w="105" w:type="dxa"/>
            </w:tcMar>
          </w:tcPr>
          <w:p w14:paraId="1EC45448" w14:textId="5AA5EE6B" w:rsidR="24AC020F" w:rsidRDefault="24AC020F" w:rsidP="24AC020F">
            <w:pPr>
              <w:spacing w:line="259" w:lineRule="auto"/>
              <w:jc w:val="center"/>
              <w:rPr>
                <w:rFonts w:eastAsia="Times New Roman" w:cs="Times New Roman"/>
                <w:sz w:val="12"/>
                <w:szCs w:val="12"/>
              </w:rPr>
            </w:pPr>
            <w:r w:rsidRPr="24AC020F">
              <w:rPr>
                <w:rFonts w:eastAsia="Times New Roman" w:cs="Times New Roman"/>
                <w:b/>
                <w:bCs/>
                <w:sz w:val="16"/>
                <w:szCs w:val="16"/>
              </w:rPr>
              <w:t>R</w:t>
            </w:r>
            <w:r w:rsidRPr="24AC020F">
              <w:rPr>
                <w:rFonts w:eastAsia="Times New Roman" w:cs="Times New Roman"/>
                <w:b/>
                <w:bCs/>
                <w:sz w:val="16"/>
                <w:szCs w:val="16"/>
                <w:vertAlign w:val="superscript"/>
              </w:rPr>
              <w:t>2</w:t>
            </w:r>
          </w:p>
        </w:tc>
        <w:tc>
          <w:tcPr>
            <w:tcW w:w="2595" w:type="dxa"/>
            <w:gridSpan w:val="2"/>
            <w:shd w:val="clear" w:color="auto" w:fill="E7E6E6" w:themeFill="background2"/>
            <w:tcMar>
              <w:left w:w="105" w:type="dxa"/>
              <w:right w:w="105" w:type="dxa"/>
            </w:tcMar>
          </w:tcPr>
          <w:p w14:paraId="08FFD41A" w14:textId="638CBC94" w:rsidR="24AC020F" w:rsidRDefault="24AC020F" w:rsidP="24AC020F">
            <w:pPr>
              <w:spacing w:line="259" w:lineRule="auto"/>
              <w:jc w:val="center"/>
              <w:rPr>
                <w:rFonts w:eastAsia="Times New Roman" w:cs="Times New Roman"/>
                <w:sz w:val="16"/>
                <w:szCs w:val="16"/>
              </w:rPr>
            </w:pPr>
            <w:r w:rsidRPr="24AC020F">
              <w:rPr>
                <w:rFonts w:eastAsia="Times New Roman" w:cs="Times New Roman"/>
                <w:b/>
                <w:bCs/>
                <w:sz w:val="16"/>
                <w:szCs w:val="16"/>
              </w:rPr>
              <w:t>RMSE</w:t>
            </w:r>
          </w:p>
        </w:tc>
      </w:tr>
      <w:tr w:rsidR="24AC020F" w14:paraId="6DA13610" w14:textId="77777777" w:rsidTr="24AC020F">
        <w:trPr>
          <w:trHeight w:val="270"/>
        </w:trPr>
        <w:tc>
          <w:tcPr>
            <w:tcW w:w="2955" w:type="dxa"/>
            <w:vMerge/>
            <w:vAlign w:val="center"/>
          </w:tcPr>
          <w:p w14:paraId="0DE97F7A" w14:textId="77777777" w:rsidR="008615B9" w:rsidRDefault="008615B9"/>
        </w:tc>
        <w:tc>
          <w:tcPr>
            <w:tcW w:w="1260" w:type="dxa"/>
            <w:vMerge/>
            <w:vAlign w:val="center"/>
          </w:tcPr>
          <w:p w14:paraId="56E378BC" w14:textId="77777777" w:rsidR="008615B9" w:rsidRDefault="008615B9"/>
        </w:tc>
        <w:tc>
          <w:tcPr>
            <w:tcW w:w="1260" w:type="dxa"/>
            <w:shd w:val="clear" w:color="auto" w:fill="E7E6E6" w:themeFill="background2"/>
            <w:tcMar>
              <w:left w:w="105" w:type="dxa"/>
              <w:right w:w="105" w:type="dxa"/>
            </w:tcMar>
          </w:tcPr>
          <w:p w14:paraId="35DFAA3A" w14:textId="729180BB" w:rsidR="24AC020F" w:rsidRDefault="24AC020F" w:rsidP="24AC020F">
            <w:pPr>
              <w:spacing w:line="259" w:lineRule="auto"/>
              <w:jc w:val="center"/>
              <w:rPr>
                <w:rFonts w:eastAsia="Times New Roman" w:cs="Times New Roman"/>
                <w:sz w:val="16"/>
                <w:szCs w:val="16"/>
              </w:rPr>
            </w:pPr>
            <w:r w:rsidRPr="24AC020F">
              <w:rPr>
                <w:rFonts w:eastAsia="Times New Roman" w:cs="Times New Roman"/>
                <w:b/>
                <w:bCs/>
                <w:sz w:val="16"/>
                <w:szCs w:val="16"/>
              </w:rPr>
              <w:t>In sample</w:t>
            </w:r>
          </w:p>
        </w:tc>
        <w:tc>
          <w:tcPr>
            <w:tcW w:w="1260" w:type="dxa"/>
            <w:shd w:val="clear" w:color="auto" w:fill="E7E6E6" w:themeFill="background2"/>
            <w:tcMar>
              <w:left w:w="105" w:type="dxa"/>
              <w:right w:w="105" w:type="dxa"/>
            </w:tcMar>
          </w:tcPr>
          <w:p w14:paraId="66F6B28B" w14:textId="1EB1A944" w:rsidR="24AC020F" w:rsidRDefault="24AC020F" w:rsidP="24AC020F">
            <w:pPr>
              <w:spacing w:line="259" w:lineRule="auto"/>
              <w:jc w:val="center"/>
              <w:rPr>
                <w:rFonts w:eastAsia="Times New Roman" w:cs="Times New Roman"/>
                <w:sz w:val="16"/>
                <w:szCs w:val="16"/>
              </w:rPr>
            </w:pPr>
            <w:r w:rsidRPr="24AC020F">
              <w:rPr>
                <w:rFonts w:eastAsia="Times New Roman" w:cs="Times New Roman"/>
                <w:b/>
                <w:bCs/>
                <w:sz w:val="16"/>
                <w:szCs w:val="16"/>
              </w:rPr>
              <w:t>Out of sample</w:t>
            </w:r>
          </w:p>
        </w:tc>
        <w:tc>
          <w:tcPr>
            <w:tcW w:w="1260" w:type="dxa"/>
            <w:shd w:val="clear" w:color="auto" w:fill="E7E6E6" w:themeFill="background2"/>
            <w:tcMar>
              <w:left w:w="105" w:type="dxa"/>
              <w:right w:w="105" w:type="dxa"/>
            </w:tcMar>
          </w:tcPr>
          <w:p w14:paraId="07B8760C" w14:textId="39C35E71" w:rsidR="24AC020F" w:rsidRDefault="24AC020F" w:rsidP="24AC020F">
            <w:pPr>
              <w:spacing w:line="259" w:lineRule="auto"/>
              <w:jc w:val="center"/>
              <w:rPr>
                <w:rFonts w:eastAsia="Times New Roman" w:cs="Times New Roman"/>
                <w:sz w:val="16"/>
                <w:szCs w:val="16"/>
              </w:rPr>
            </w:pPr>
            <w:r w:rsidRPr="24AC020F">
              <w:rPr>
                <w:rFonts w:eastAsia="Times New Roman" w:cs="Times New Roman"/>
                <w:b/>
                <w:bCs/>
                <w:sz w:val="16"/>
                <w:szCs w:val="16"/>
              </w:rPr>
              <w:t>In sample</w:t>
            </w:r>
          </w:p>
        </w:tc>
        <w:tc>
          <w:tcPr>
            <w:tcW w:w="1335" w:type="dxa"/>
            <w:shd w:val="clear" w:color="auto" w:fill="E7E6E6" w:themeFill="background2"/>
            <w:tcMar>
              <w:left w:w="105" w:type="dxa"/>
              <w:right w:w="105" w:type="dxa"/>
            </w:tcMar>
          </w:tcPr>
          <w:p w14:paraId="5A796AEE" w14:textId="15B1D6EC" w:rsidR="24AC020F" w:rsidRDefault="24AC020F" w:rsidP="24AC020F">
            <w:pPr>
              <w:spacing w:line="259" w:lineRule="auto"/>
              <w:jc w:val="center"/>
              <w:rPr>
                <w:rFonts w:eastAsia="Times New Roman" w:cs="Times New Roman"/>
                <w:sz w:val="16"/>
                <w:szCs w:val="16"/>
              </w:rPr>
            </w:pPr>
            <w:r w:rsidRPr="24AC020F">
              <w:rPr>
                <w:rFonts w:eastAsia="Times New Roman" w:cs="Times New Roman"/>
                <w:b/>
                <w:bCs/>
                <w:sz w:val="16"/>
                <w:szCs w:val="16"/>
              </w:rPr>
              <w:t>Out of sample</w:t>
            </w:r>
          </w:p>
        </w:tc>
      </w:tr>
      <w:tr w:rsidR="24AC020F" w14:paraId="6F900B68" w14:textId="77777777" w:rsidTr="24AC020F">
        <w:trPr>
          <w:trHeight w:val="270"/>
        </w:trPr>
        <w:tc>
          <w:tcPr>
            <w:tcW w:w="2955" w:type="dxa"/>
            <w:tcMar>
              <w:left w:w="105" w:type="dxa"/>
              <w:right w:w="105" w:type="dxa"/>
            </w:tcMar>
          </w:tcPr>
          <w:p w14:paraId="25B07B8B" w14:textId="6C96336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Bacterial infections of the skin and subcutaneous systems</w:t>
            </w:r>
          </w:p>
        </w:tc>
        <w:tc>
          <w:tcPr>
            <w:tcW w:w="1260" w:type="dxa"/>
            <w:tcMar>
              <w:left w:w="105" w:type="dxa"/>
              <w:right w:w="105" w:type="dxa"/>
            </w:tcMar>
          </w:tcPr>
          <w:p w14:paraId="1C8C2B5F" w14:textId="1C041F37"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32490CEE" w14:textId="7C58DF7F"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0.808</w:t>
            </w:r>
          </w:p>
        </w:tc>
        <w:tc>
          <w:tcPr>
            <w:tcW w:w="1260" w:type="dxa"/>
            <w:tcMar>
              <w:left w:w="105" w:type="dxa"/>
              <w:right w:w="105" w:type="dxa"/>
            </w:tcMar>
          </w:tcPr>
          <w:p w14:paraId="4E784EC1" w14:textId="42FECEDF"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0.771</w:t>
            </w:r>
          </w:p>
        </w:tc>
        <w:tc>
          <w:tcPr>
            <w:tcW w:w="1260" w:type="dxa"/>
            <w:tcMar>
              <w:left w:w="105" w:type="dxa"/>
              <w:right w:w="105" w:type="dxa"/>
            </w:tcMar>
          </w:tcPr>
          <w:p w14:paraId="7E653D9B" w14:textId="684211A7"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0.129</w:t>
            </w:r>
          </w:p>
        </w:tc>
        <w:tc>
          <w:tcPr>
            <w:tcW w:w="1335" w:type="dxa"/>
            <w:tcMar>
              <w:left w:w="105" w:type="dxa"/>
              <w:right w:w="105" w:type="dxa"/>
            </w:tcMar>
          </w:tcPr>
          <w:p w14:paraId="4E57046A" w14:textId="246F0052"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0.141</w:t>
            </w:r>
          </w:p>
        </w:tc>
      </w:tr>
      <w:tr w:rsidR="24AC020F" w14:paraId="40896885" w14:textId="77777777" w:rsidTr="24AC020F">
        <w:trPr>
          <w:trHeight w:val="270"/>
        </w:trPr>
        <w:tc>
          <w:tcPr>
            <w:tcW w:w="2955" w:type="dxa"/>
            <w:tcMar>
              <w:left w:w="105" w:type="dxa"/>
              <w:right w:w="105" w:type="dxa"/>
            </w:tcMar>
          </w:tcPr>
          <w:p w14:paraId="791D717B" w14:textId="7D545EA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Bloodstream infections</w:t>
            </w:r>
          </w:p>
        </w:tc>
        <w:tc>
          <w:tcPr>
            <w:tcW w:w="1260" w:type="dxa"/>
            <w:tcMar>
              <w:left w:w="105" w:type="dxa"/>
              <w:right w:w="105" w:type="dxa"/>
            </w:tcMar>
          </w:tcPr>
          <w:p w14:paraId="680F2A6D" w14:textId="46BB168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227E38EE" w14:textId="428A57E4"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0.822</w:t>
            </w:r>
          </w:p>
        </w:tc>
        <w:tc>
          <w:tcPr>
            <w:tcW w:w="1260" w:type="dxa"/>
            <w:tcMar>
              <w:left w:w="105" w:type="dxa"/>
              <w:right w:w="105" w:type="dxa"/>
            </w:tcMar>
          </w:tcPr>
          <w:p w14:paraId="624499C4" w14:textId="79BD3CB6"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0.785</w:t>
            </w:r>
          </w:p>
        </w:tc>
        <w:tc>
          <w:tcPr>
            <w:tcW w:w="1260" w:type="dxa"/>
            <w:tcMar>
              <w:left w:w="105" w:type="dxa"/>
              <w:right w:w="105" w:type="dxa"/>
            </w:tcMar>
          </w:tcPr>
          <w:p w14:paraId="0535948C" w14:textId="05A54A64"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0.128</w:t>
            </w:r>
          </w:p>
        </w:tc>
        <w:tc>
          <w:tcPr>
            <w:tcW w:w="1335" w:type="dxa"/>
            <w:tcMar>
              <w:left w:w="105" w:type="dxa"/>
              <w:right w:w="105" w:type="dxa"/>
            </w:tcMar>
          </w:tcPr>
          <w:p w14:paraId="21102D9E" w14:textId="64C67B32"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0.141</w:t>
            </w:r>
          </w:p>
        </w:tc>
      </w:tr>
      <w:tr w:rsidR="24AC020F" w14:paraId="63F22E08" w14:textId="77777777" w:rsidTr="24AC020F">
        <w:trPr>
          <w:trHeight w:val="270"/>
        </w:trPr>
        <w:tc>
          <w:tcPr>
            <w:tcW w:w="2955" w:type="dxa"/>
            <w:tcMar>
              <w:left w:w="105" w:type="dxa"/>
              <w:right w:w="105" w:type="dxa"/>
            </w:tcMar>
          </w:tcPr>
          <w:p w14:paraId="249EFB0D" w14:textId="0DA2A27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Infections of bones, joints, and related organs</w:t>
            </w:r>
          </w:p>
        </w:tc>
        <w:tc>
          <w:tcPr>
            <w:tcW w:w="1260" w:type="dxa"/>
            <w:tcMar>
              <w:left w:w="105" w:type="dxa"/>
              <w:right w:w="105" w:type="dxa"/>
            </w:tcMar>
          </w:tcPr>
          <w:p w14:paraId="4FB2698A" w14:textId="78E1F3DD"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53870088" w14:textId="0161A9B8"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0.858</w:t>
            </w:r>
          </w:p>
        </w:tc>
        <w:tc>
          <w:tcPr>
            <w:tcW w:w="1260" w:type="dxa"/>
            <w:tcMar>
              <w:left w:w="105" w:type="dxa"/>
              <w:right w:w="105" w:type="dxa"/>
            </w:tcMar>
          </w:tcPr>
          <w:p w14:paraId="4D828213" w14:textId="56C0E6DD"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0.837</w:t>
            </w:r>
          </w:p>
        </w:tc>
        <w:tc>
          <w:tcPr>
            <w:tcW w:w="1260" w:type="dxa"/>
            <w:tcMar>
              <w:left w:w="105" w:type="dxa"/>
              <w:right w:w="105" w:type="dxa"/>
            </w:tcMar>
          </w:tcPr>
          <w:p w14:paraId="1D87FE17" w14:textId="26E5867E"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0.141</w:t>
            </w:r>
          </w:p>
        </w:tc>
        <w:tc>
          <w:tcPr>
            <w:tcW w:w="1335" w:type="dxa"/>
            <w:tcMar>
              <w:left w:w="105" w:type="dxa"/>
              <w:right w:w="105" w:type="dxa"/>
            </w:tcMar>
          </w:tcPr>
          <w:p w14:paraId="0AB12952" w14:textId="7518C1EB"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0.151</w:t>
            </w:r>
          </w:p>
        </w:tc>
      </w:tr>
      <w:tr w:rsidR="24AC020F" w14:paraId="5A0E9432" w14:textId="77777777" w:rsidTr="24AC020F">
        <w:trPr>
          <w:trHeight w:val="270"/>
        </w:trPr>
        <w:tc>
          <w:tcPr>
            <w:tcW w:w="2955" w:type="dxa"/>
            <w:tcMar>
              <w:left w:w="105" w:type="dxa"/>
              <w:right w:w="105" w:type="dxa"/>
            </w:tcMar>
          </w:tcPr>
          <w:p w14:paraId="41F8D71A" w14:textId="019F648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Lower respiratory infections and all related infections in the thorax</w:t>
            </w:r>
          </w:p>
        </w:tc>
        <w:tc>
          <w:tcPr>
            <w:tcW w:w="1260" w:type="dxa"/>
            <w:tcMar>
              <w:left w:w="105" w:type="dxa"/>
              <w:right w:w="105" w:type="dxa"/>
            </w:tcMar>
          </w:tcPr>
          <w:p w14:paraId="4C9EDD10" w14:textId="5F45DCF8"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7CA37011" w14:textId="3B789D50"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0.810</w:t>
            </w:r>
          </w:p>
        </w:tc>
        <w:tc>
          <w:tcPr>
            <w:tcW w:w="1260" w:type="dxa"/>
            <w:tcMar>
              <w:left w:w="105" w:type="dxa"/>
              <w:right w:w="105" w:type="dxa"/>
            </w:tcMar>
          </w:tcPr>
          <w:p w14:paraId="105171F0" w14:textId="418B4B93"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0.780</w:t>
            </w:r>
          </w:p>
        </w:tc>
        <w:tc>
          <w:tcPr>
            <w:tcW w:w="1260" w:type="dxa"/>
            <w:tcMar>
              <w:left w:w="105" w:type="dxa"/>
              <w:right w:w="105" w:type="dxa"/>
            </w:tcMar>
          </w:tcPr>
          <w:p w14:paraId="4944DE96" w14:textId="47DE4648"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0.142</w:t>
            </w:r>
          </w:p>
        </w:tc>
        <w:tc>
          <w:tcPr>
            <w:tcW w:w="1335" w:type="dxa"/>
            <w:tcMar>
              <w:left w:w="105" w:type="dxa"/>
              <w:right w:w="105" w:type="dxa"/>
            </w:tcMar>
          </w:tcPr>
          <w:p w14:paraId="490EC938" w14:textId="55CCCE44"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0.153</w:t>
            </w:r>
          </w:p>
        </w:tc>
      </w:tr>
      <w:tr w:rsidR="24AC020F" w14:paraId="32C76917" w14:textId="77777777" w:rsidTr="24AC020F">
        <w:trPr>
          <w:trHeight w:val="270"/>
        </w:trPr>
        <w:tc>
          <w:tcPr>
            <w:tcW w:w="2955" w:type="dxa"/>
            <w:vMerge w:val="restart"/>
            <w:tcMar>
              <w:left w:w="105" w:type="dxa"/>
              <w:right w:w="105" w:type="dxa"/>
            </w:tcMar>
          </w:tcPr>
          <w:p w14:paraId="5D517058" w14:textId="56C6D743"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Meningitis and other bacterial central nervous system infections</w:t>
            </w:r>
          </w:p>
        </w:tc>
        <w:tc>
          <w:tcPr>
            <w:tcW w:w="1260" w:type="dxa"/>
            <w:tcMar>
              <w:left w:w="105" w:type="dxa"/>
              <w:right w:w="105" w:type="dxa"/>
            </w:tcMar>
          </w:tcPr>
          <w:p w14:paraId="40616148" w14:textId="7E529DE9"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Neonatal</w:t>
            </w:r>
          </w:p>
        </w:tc>
        <w:tc>
          <w:tcPr>
            <w:tcW w:w="1260" w:type="dxa"/>
            <w:tcMar>
              <w:left w:w="105" w:type="dxa"/>
              <w:right w:w="105" w:type="dxa"/>
            </w:tcMar>
          </w:tcPr>
          <w:p w14:paraId="4060897E" w14:textId="22415AA7"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0.858</w:t>
            </w:r>
          </w:p>
        </w:tc>
        <w:tc>
          <w:tcPr>
            <w:tcW w:w="1260" w:type="dxa"/>
            <w:tcMar>
              <w:left w:w="105" w:type="dxa"/>
              <w:right w:w="105" w:type="dxa"/>
            </w:tcMar>
          </w:tcPr>
          <w:p w14:paraId="2B96ADD5" w14:textId="508BF3D9"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0.803</w:t>
            </w:r>
          </w:p>
        </w:tc>
        <w:tc>
          <w:tcPr>
            <w:tcW w:w="1260" w:type="dxa"/>
            <w:tcMar>
              <w:left w:w="105" w:type="dxa"/>
              <w:right w:w="105" w:type="dxa"/>
            </w:tcMar>
          </w:tcPr>
          <w:p w14:paraId="2B433901" w14:textId="2B764A66"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0.134</w:t>
            </w:r>
          </w:p>
        </w:tc>
        <w:tc>
          <w:tcPr>
            <w:tcW w:w="1335" w:type="dxa"/>
            <w:tcMar>
              <w:left w:w="105" w:type="dxa"/>
              <w:right w:w="105" w:type="dxa"/>
            </w:tcMar>
          </w:tcPr>
          <w:p w14:paraId="1FB71DD9" w14:textId="0826EDC3"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0.158</w:t>
            </w:r>
          </w:p>
        </w:tc>
      </w:tr>
      <w:tr w:rsidR="24AC020F" w14:paraId="12A761F5" w14:textId="77777777" w:rsidTr="24AC020F">
        <w:trPr>
          <w:trHeight w:val="270"/>
        </w:trPr>
        <w:tc>
          <w:tcPr>
            <w:tcW w:w="2955" w:type="dxa"/>
            <w:vMerge/>
            <w:vAlign w:val="center"/>
          </w:tcPr>
          <w:p w14:paraId="4391DA52" w14:textId="77777777" w:rsidR="008615B9" w:rsidRDefault="008615B9"/>
        </w:tc>
        <w:tc>
          <w:tcPr>
            <w:tcW w:w="1260" w:type="dxa"/>
            <w:tcMar>
              <w:left w:w="105" w:type="dxa"/>
              <w:right w:w="105" w:type="dxa"/>
            </w:tcMar>
          </w:tcPr>
          <w:p w14:paraId="09419399" w14:textId="6C64FCF1"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Non-neonatal</w:t>
            </w:r>
          </w:p>
        </w:tc>
        <w:tc>
          <w:tcPr>
            <w:tcW w:w="1260" w:type="dxa"/>
            <w:tcMar>
              <w:left w:w="105" w:type="dxa"/>
              <w:right w:w="105" w:type="dxa"/>
            </w:tcMar>
          </w:tcPr>
          <w:p w14:paraId="7704B3FB" w14:textId="5EDD4260"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0.867</w:t>
            </w:r>
          </w:p>
        </w:tc>
        <w:tc>
          <w:tcPr>
            <w:tcW w:w="1260" w:type="dxa"/>
            <w:tcMar>
              <w:left w:w="105" w:type="dxa"/>
              <w:right w:w="105" w:type="dxa"/>
            </w:tcMar>
          </w:tcPr>
          <w:p w14:paraId="5C894E7A" w14:textId="50AF3962"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0.822</w:t>
            </w:r>
          </w:p>
        </w:tc>
        <w:tc>
          <w:tcPr>
            <w:tcW w:w="1260" w:type="dxa"/>
            <w:tcMar>
              <w:left w:w="105" w:type="dxa"/>
              <w:right w:w="105" w:type="dxa"/>
            </w:tcMar>
          </w:tcPr>
          <w:p w14:paraId="4B4BD50B" w14:textId="1FE348FA"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0.129</w:t>
            </w:r>
          </w:p>
        </w:tc>
        <w:tc>
          <w:tcPr>
            <w:tcW w:w="1335" w:type="dxa"/>
            <w:tcMar>
              <w:left w:w="105" w:type="dxa"/>
              <w:right w:w="105" w:type="dxa"/>
            </w:tcMar>
          </w:tcPr>
          <w:p w14:paraId="11D8E547" w14:textId="51EC5162"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0.150</w:t>
            </w:r>
          </w:p>
        </w:tc>
      </w:tr>
      <w:tr w:rsidR="24AC020F" w14:paraId="2BB08618" w14:textId="77777777" w:rsidTr="24AC020F">
        <w:trPr>
          <w:trHeight w:val="270"/>
        </w:trPr>
        <w:tc>
          <w:tcPr>
            <w:tcW w:w="2955" w:type="dxa"/>
            <w:tcMar>
              <w:left w:w="105" w:type="dxa"/>
              <w:right w:w="105" w:type="dxa"/>
            </w:tcMar>
          </w:tcPr>
          <w:p w14:paraId="2443FE7A" w14:textId="616E633E"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Peritoneal and intra-abdominal infections</w:t>
            </w:r>
          </w:p>
        </w:tc>
        <w:tc>
          <w:tcPr>
            <w:tcW w:w="1260" w:type="dxa"/>
            <w:tcMar>
              <w:left w:w="105" w:type="dxa"/>
              <w:right w:w="105" w:type="dxa"/>
            </w:tcMar>
          </w:tcPr>
          <w:p w14:paraId="61E0F9A3" w14:textId="41D69492"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6CCEBF40" w14:textId="0275CB65"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0.815</w:t>
            </w:r>
          </w:p>
        </w:tc>
        <w:tc>
          <w:tcPr>
            <w:tcW w:w="1260" w:type="dxa"/>
            <w:tcMar>
              <w:left w:w="105" w:type="dxa"/>
              <w:right w:w="105" w:type="dxa"/>
            </w:tcMar>
          </w:tcPr>
          <w:p w14:paraId="59CE78A3" w14:textId="27759FB8"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0.812</w:t>
            </w:r>
          </w:p>
        </w:tc>
        <w:tc>
          <w:tcPr>
            <w:tcW w:w="1260" w:type="dxa"/>
            <w:tcMar>
              <w:left w:w="105" w:type="dxa"/>
              <w:right w:w="105" w:type="dxa"/>
            </w:tcMar>
          </w:tcPr>
          <w:p w14:paraId="5DDBE9FB" w14:textId="008F9D10"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0.147</w:t>
            </w:r>
          </w:p>
        </w:tc>
        <w:tc>
          <w:tcPr>
            <w:tcW w:w="1335" w:type="dxa"/>
            <w:tcMar>
              <w:left w:w="105" w:type="dxa"/>
              <w:right w:w="105" w:type="dxa"/>
            </w:tcMar>
          </w:tcPr>
          <w:p w14:paraId="1A96027C" w14:textId="500D1861"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0.148</w:t>
            </w:r>
          </w:p>
        </w:tc>
      </w:tr>
      <w:tr w:rsidR="24AC020F" w14:paraId="19A62542" w14:textId="77777777" w:rsidTr="24AC020F">
        <w:trPr>
          <w:trHeight w:val="270"/>
        </w:trPr>
        <w:tc>
          <w:tcPr>
            <w:tcW w:w="2955" w:type="dxa"/>
            <w:tcMar>
              <w:left w:w="105" w:type="dxa"/>
              <w:right w:w="105" w:type="dxa"/>
            </w:tcMar>
          </w:tcPr>
          <w:p w14:paraId="7029689E" w14:textId="3E1A5D3B"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Urinary tract infections and pyelonephritis</w:t>
            </w:r>
          </w:p>
        </w:tc>
        <w:tc>
          <w:tcPr>
            <w:tcW w:w="1260" w:type="dxa"/>
            <w:tcMar>
              <w:left w:w="105" w:type="dxa"/>
              <w:right w:w="105" w:type="dxa"/>
            </w:tcMar>
          </w:tcPr>
          <w:p w14:paraId="143724B7" w14:textId="60170EE5" w:rsidR="24AC020F" w:rsidRDefault="24AC020F" w:rsidP="24AC020F">
            <w:pPr>
              <w:spacing w:line="259" w:lineRule="auto"/>
              <w:rPr>
                <w:rFonts w:eastAsia="Times New Roman" w:cs="Times New Roman"/>
                <w:sz w:val="16"/>
                <w:szCs w:val="16"/>
              </w:rPr>
            </w:pPr>
            <w:r w:rsidRPr="24AC020F">
              <w:rPr>
                <w:rFonts w:eastAsia="Times New Roman" w:cs="Times New Roman"/>
                <w:sz w:val="16"/>
                <w:szCs w:val="16"/>
              </w:rPr>
              <w:t> </w:t>
            </w:r>
          </w:p>
        </w:tc>
        <w:tc>
          <w:tcPr>
            <w:tcW w:w="1260" w:type="dxa"/>
            <w:tcMar>
              <w:left w:w="105" w:type="dxa"/>
              <w:right w:w="105" w:type="dxa"/>
            </w:tcMar>
          </w:tcPr>
          <w:p w14:paraId="3C2B3B2B" w14:textId="70478F5D"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0.784</w:t>
            </w:r>
          </w:p>
        </w:tc>
        <w:tc>
          <w:tcPr>
            <w:tcW w:w="1260" w:type="dxa"/>
            <w:tcMar>
              <w:left w:w="105" w:type="dxa"/>
              <w:right w:w="105" w:type="dxa"/>
            </w:tcMar>
          </w:tcPr>
          <w:p w14:paraId="66B06345" w14:textId="36BC986C"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0.755</w:t>
            </w:r>
          </w:p>
        </w:tc>
        <w:tc>
          <w:tcPr>
            <w:tcW w:w="1260" w:type="dxa"/>
            <w:tcMar>
              <w:left w:w="105" w:type="dxa"/>
              <w:right w:w="105" w:type="dxa"/>
            </w:tcMar>
          </w:tcPr>
          <w:p w14:paraId="1A6C589F" w14:textId="745F6D0D"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0.149</w:t>
            </w:r>
          </w:p>
        </w:tc>
        <w:tc>
          <w:tcPr>
            <w:tcW w:w="1335" w:type="dxa"/>
            <w:tcMar>
              <w:left w:w="105" w:type="dxa"/>
              <w:right w:w="105" w:type="dxa"/>
            </w:tcMar>
          </w:tcPr>
          <w:p w14:paraId="6E972331" w14:textId="00941E4B" w:rsidR="24AC020F" w:rsidRDefault="24AC020F" w:rsidP="24AC020F">
            <w:pPr>
              <w:spacing w:line="259" w:lineRule="auto"/>
              <w:jc w:val="right"/>
              <w:rPr>
                <w:rFonts w:eastAsia="Times New Roman" w:cs="Times New Roman"/>
                <w:sz w:val="16"/>
                <w:szCs w:val="16"/>
              </w:rPr>
            </w:pPr>
            <w:r w:rsidRPr="24AC020F">
              <w:rPr>
                <w:rFonts w:eastAsia="Times New Roman" w:cs="Times New Roman"/>
                <w:sz w:val="16"/>
                <w:szCs w:val="16"/>
              </w:rPr>
              <w:t>0.159</w:t>
            </w:r>
          </w:p>
        </w:tc>
      </w:tr>
    </w:tbl>
    <w:p w14:paraId="080A7287" w14:textId="7F177124" w:rsidR="6B99E739" w:rsidRPr="00A16519" w:rsidRDefault="12721DAF" w:rsidP="00A16519">
      <w:pPr>
        <w:rPr>
          <w:rFonts w:eastAsia="Times New Roman" w:cs="Times New Roman"/>
          <w:color w:val="000000" w:themeColor="text1"/>
          <w:sz w:val="16"/>
          <w:szCs w:val="16"/>
        </w:rPr>
      </w:pPr>
      <w:r w:rsidRPr="24AC020F">
        <w:rPr>
          <w:rFonts w:eastAsia="Times New Roman" w:cs="Times New Roman"/>
          <w:i/>
          <w:iCs/>
          <w:color w:val="000000" w:themeColor="text1"/>
          <w:sz w:val="16"/>
          <w:szCs w:val="16"/>
        </w:rPr>
        <w:t>Out of sample metrics calculated using leave-one-country-out cross validation</w:t>
      </w:r>
      <w:r w:rsidR="6B99E739" w:rsidRPr="24AC020F">
        <w:rPr>
          <w:rFonts w:eastAsia="Times New Roman" w:cs="Times New Roman"/>
          <w:color w:val="2B579A"/>
        </w:rPr>
        <w:fldChar w:fldCharType="begin"/>
      </w:r>
      <w:r w:rsidR="00BE32E5">
        <w:rPr>
          <w:rFonts w:eastAsia="Times New Roman" w:cs="Times New Roman"/>
        </w:rPr>
        <w:instrText xml:space="preserve"> ADDIN ZOTERO_ITEM CSL_CITATION {"citationID":"9NpRKmuA","properties":{"formattedCitation":"\\super 1\\nosupersub{}","plainCitation":"1","dontUpdate":true,"noteIndex":0},"citationItems":[{"id":112701,"uris":["http://zotero.org/groups/2154524/items/9L2ST2J6"],"itemData":{"id":112701,"type":"article-journal","container-title":"The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000000">
        <w:rPr>
          <w:rFonts w:eastAsia="Times New Roman" w:cs="Times New Roman"/>
          <w:color w:val="2B579A"/>
        </w:rPr>
        <w:fldChar w:fldCharType="separate"/>
      </w:r>
      <w:r w:rsidR="6B99E739" w:rsidRPr="24AC020F">
        <w:rPr>
          <w:rFonts w:eastAsia="Times New Roman" w:cs="Times New Roman"/>
          <w:color w:val="2B579A"/>
        </w:rPr>
        <w:fldChar w:fldCharType="end"/>
      </w:r>
    </w:p>
    <w:p w14:paraId="64FA024C" w14:textId="78B0A1D0" w:rsidR="6B99E739" w:rsidRDefault="6B99E739" w:rsidP="082F9667">
      <w:pPr>
        <w:pStyle w:val="Heading2"/>
      </w:pPr>
      <w:bookmarkStart w:id="15" w:name="_Toc135992047"/>
      <w:r w:rsidRPr="082F9667">
        <w:rPr>
          <w:rFonts w:eastAsia="Times New Roman" w:cs="Times New Roman"/>
          <w:bCs/>
          <w:color w:val="2F5496" w:themeColor="accent5" w:themeShade="BF"/>
          <w:szCs w:val="20"/>
        </w:rPr>
        <w:t>Section 3.5: Prevalence of resistance</w:t>
      </w:r>
      <w:bookmarkEnd w:id="15"/>
    </w:p>
    <w:p w14:paraId="4A01B499" w14:textId="28947C06"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 xml:space="preserve">Section 3.5.1: Input data </w:t>
      </w:r>
    </w:p>
    <w:p w14:paraId="0DD2ABA5" w14:textId="47E43F2B" w:rsidR="6B99E739" w:rsidRPr="005D2363" w:rsidRDefault="6B99E739" w:rsidP="082F9667">
      <w:pPr>
        <w:spacing w:line="257" w:lineRule="auto"/>
        <w:rPr>
          <w:rFonts w:cs="Times New Roman"/>
          <w:szCs w:val="20"/>
        </w:rPr>
      </w:pPr>
      <w:r w:rsidRPr="005D2363">
        <w:rPr>
          <w:rFonts w:eastAsia="Times New Roman" w:cs="Times New Roman"/>
          <w:szCs w:val="20"/>
        </w:rPr>
        <w:t>We identified line level and aggregate data on the prevalence of resistance in bacterial pathogens, which were linked to the country and year in which the infection was acquired, from datasets obtained from pharmaceutical companies, surveillance networks, academic institutions, and individual hospitals (see section 2). We supplemented microbiological data with systematic reviews following the Preferred Reporting Items for Systematic Reviews and Meta-Analyses (PRISMA) guidelines,</w:t>
      </w:r>
      <w:r w:rsidR="00B141B3" w:rsidRPr="005D2363">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{"citationID":"sELlCMwP","properties":{"formattedCitation":"\\super 15\\nosupersub{}","plainCitation":"15","noteIndex":0},"citationItems":[{"id":116688,"uris":["http://zotero.org/groups/2154524/items/8L968MF2"],"itemData":{"id":116688,"type":"article-journal","container-title":"PLoS medicine","DOI":"10.1371/journal.pmed.1000097","ISSN":"1549-1676","issue":"7","journalAbbreviation":"PLoS Med","language":"eng","note":"PMID: 19621072\nPMCID: PMC2707599","page":"e1000097","source":"PubMed","title":"Preferred reporting items for systematic reviews and meta-analyses: the PRISMA statement","title-short":"Preferred reporting items for systematic reviews and meta-analyses","volume":"6","author":[{"family":"Moher","given":"David"},{"family":"Liberati","given":"Alessandro"},{"family":"Tetzlaff","given":"Jennifer"},{"family":"Altman","given":"Douglas G."},{"literal":"PRISMA Group"}],"issued":{"date-parts":[["2009",7,21]]}}}],"schema":"https://github.com/citation-style-language/schema/raw/master/csl-citation.json"} </w:instrText>
      </w:r>
      <w:r w:rsidR="00B141B3" w:rsidRPr="005D2363">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15</w:t>
      </w:r>
      <w:r w:rsidR="00B141B3" w:rsidRPr="005D2363">
        <w:rPr>
          <w:rFonts w:eastAsia="Times New Roman" w:cs="Times New Roman"/>
          <w:color w:val="2B579A"/>
          <w:szCs w:val="20"/>
          <w:shd w:val="clear" w:color="auto" w:fill="E6E6E6"/>
        </w:rPr>
        <w:fldChar w:fldCharType="end"/>
      </w:r>
      <w:r w:rsidRPr="005D2363">
        <w:rPr>
          <w:rFonts w:eastAsia="Times New Roman" w:cs="Times New Roman"/>
          <w:szCs w:val="20"/>
        </w:rPr>
        <w:t xml:space="preserve"> to collect resistance data published from countries and territories where surveillance systems do not routinely collect data to ensure extensive coverage of the pathogen–drug combinations thought to contribute the greatest burden of drug resistant infections, which we termed core pathogen–drug combinations (table 3.5.1.1). Data on the prevalence of AMR in these pathogen–drug combinations were extracted from published literature and compiled into comprehensive datasets. The systematic reviews followed similar methodologies; a detailed description can be found either in published literature (</w:t>
      </w:r>
      <w:r w:rsidRPr="005D2363">
        <w:rPr>
          <w:rFonts w:eastAsia="Times New Roman" w:cs="Times New Roman"/>
          <w:i/>
          <w:iCs/>
          <w:szCs w:val="20"/>
        </w:rPr>
        <w:t>S.</w:t>
      </w:r>
      <w:r w:rsidRPr="005D2363">
        <w:rPr>
          <w:rFonts w:eastAsia="Times New Roman" w:cs="Times New Roman"/>
          <w:szCs w:val="20"/>
        </w:rPr>
        <w:t xml:space="preserve"> Typhi and </w:t>
      </w:r>
      <w:r w:rsidRPr="005D2363">
        <w:rPr>
          <w:rFonts w:eastAsia="Times New Roman" w:cs="Times New Roman"/>
          <w:i/>
          <w:iCs/>
          <w:szCs w:val="20"/>
        </w:rPr>
        <w:t>S.</w:t>
      </w:r>
      <w:r w:rsidRPr="005D2363">
        <w:rPr>
          <w:rFonts w:eastAsia="Times New Roman" w:cs="Times New Roman"/>
          <w:szCs w:val="20"/>
        </w:rPr>
        <w:t xml:space="preserve"> Paratyphi</w:t>
      </w:r>
      <w:r w:rsidR="00201679" w:rsidRPr="005D2363">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{"citationID":"nmGEAJaI","properties":{"formattedCitation":"\\super 16\\nosupersub{}","plainCitation":"16","noteIndex":0},"citationItems":[{"id":116691,"uris":["http://zotero.org/groups/2154524/items/7WC3V3ZD"],"itemData":{"id":116691,"type":"article-journal","container-title":"BMC Medicine","issue":"1","title":"Drug-resistant enteric fever worldwide, 1990 to 2018: a systematic review and meta-analysis","volume":"18","author":[{"literal":"Browne AJ, Kashef Hamadani BH, Kumaran EAP, et al."}],"accessed":{"date-parts":[["2022",8,8]]},"issued":{"date-parts":[["2020"]]}}}],"schema":"https://github.com/citation-style-language/schema/raw/master/csl-citation.json"} </w:instrText>
      </w:r>
      <w:r w:rsidR="00201679" w:rsidRPr="005D2363">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16</w:t>
      </w:r>
      <w:r w:rsidR="00201679" w:rsidRPr="005D2363">
        <w:rPr>
          <w:rFonts w:eastAsia="Times New Roman" w:cs="Times New Roman"/>
          <w:color w:val="2B579A"/>
          <w:szCs w:val="20"/>
          <w:shd w:val="clear" w:color="auto" w:fill="E6E6E6"/>
        </w:rPr>
        <w:fldChar w:fldCharType="end"/>
      </w:r>
      <w:r w:rsidRPr="005D2363">
        <w:rPr>
          <w:rFonts w:eastAsia="Times New Roman" w:cs="Times New Roman"/>
          <w:szCs w:val="20"/>
        </w:rPr>
        <w:t>) or in the corresponding PROSPERO records (</w:t>
      </w:r>
      <w:r w:rsidRPr="005D2363">
        <w:rPr>
          <w:rFonts w:eastAsia="Times New Roman" w:cs="Times New Roman"/>
          <w:i/>
          <w:iCs/>
          <w:szCs w:val="20"/>
        </w:rPr>
        <w:t xml:space="preserve">E. </w:t>
      </w:r>
      <w:r w:rsidRPr="005D2363">
        <w:rPr>
          <w:rFonts w:eastAsia="Times New Roman" w:cs="Times New Roman"/>
          <w:szCs w:val="20"/>
        </w:rPr>
        <w:t xml:space="preserve">coli, </w:t>
      </w:r>
      <w:r w:rsidRPr="005D2363">
        <w:rPr>
          <w:rFonts w:eastAsia="Times New Roman" w:cs="Times New Roman"/>
          <w:i/>
          <w:iCs/>
          <w:szCs w:val="20"/>
        </w:rPr>
        <w:t>K.</w:t>
      </w:r>
      <w:r w:rsidRPr="005D2363">
        <w:rPr>
          <w:rFonts w:eastAsia="Times New Roman" w:cs="Times New Roman"/>
          <w:szCs w:val="20"/>
        </w:rPr>
        <w:t xml:space="preserve"> </w:t>
      </w:r>
      <w:r w:rsidRPr="005D2363">
        <w:rPr>
          <w:rFonts w:eastAsia="Times New Roman" w:cs="Times New Roman"/>
          <w:i/>
          <w:iCs/>
          <w:szCs w:val="20"/>
        </w:rPr>
        <w:t xml:space="preserve">pneumoniae, S. aureus </w:t>
      </w:r>
      <w:r w:rsidRPr="005D2363">
        <w:rPr>
          <w:rFonts w:eastAsia="Times New Roman" w:cs="Times New Roman"/>
          <w:szCs w:val="20"/>
        </w:rPr>
        <w:t xml:space="preserve">and </w:t>
      </w:r>
      <w:r w:rsidRPr="005D2363">
        <w:rPr>
          <w:rFonts w:eastAsia="Times New Roman" w:cs="Times New Roman"/>
          <w:i/>
          <w:iCs/>
          <w:szCs w:val="20"/>
        </w:rPr>
        <w:t>S. pneumoniae</w:t>
      </w:r>
      <w:r w:rsidRPr="005D2363">
        <w:rPr>
          <w:rFonts w:eastAsia="Times New Roman" w:cs="Times New Roman"/>
          <w:szCs w:val="20"/>
        </w:rPr>
        <w:t xml:space="preserve"> PROSPERO registration CRD42019145148; </w:t>
      </w:r>
      <w:r w:rsidRPr="005D2363">
        <w:rPr>
          <w:rFonts w:eastAsia="Times New Roman" w:cs="Times New Roman"/>
          <w:i/>
          <w:iCs/>
          <w:szCs w:val="20"/>
        </w:rPr>
        <w:t>Shigella</w:t>
      </w:r>
      <w:r w:rsidRPr="005D2363">
        <w:rPr>
          <w:rFonts w:eastAsia="Times New Roman" w:cs="Times New Roman"/>
          <w:szCs w:val="20"/>
        </w:rPr>
        <w:t xml:space="preserve"> species PROSPERO registration CRD42019127603; </w:t>
      </w:r>
      <w:proofErr w:type="spellStart"/>
      <w:r w:rsidRPr="005D2363">
        <w:rPr>
          <w:rFonts w:eastAsia="Times New Roman" w:cs="Times New Roman"/>
          <w:szCs w:val="20"/>
        </w:rPr>
        <w:t>iNTS</w:t>
      </w:r>
      <w:proofErr w:type="spellEnd"/>
      <w:r w:rsidRPr="005D2363">
        <w:rPr>
          <w:rFonts w:eastAsia="Times New Roman" w:cs="Times New Roman"/>
          <w:szCs w:val="20"/>
        </w:rPr>
        <w:t xml:space="preserve"> PROSPERO registration CRD42020189935; </w:t>
      </w:r>
      <w:r w:rsidRPr="005D2363">
        <w:rPr>
          <w:rFonts w:eastAsia="Times New Roman" w:cs="Times New Roman"/>
          <w:i/>
          <w:iCs/>
          <w:szCs w:val="20"/>
        </w:rPr>
        <w:t xml:space="preserve">N. gonorrhoeae </w:t>
      </w:r>
      <w:r w:rsidRPr="005D2363">
        <w:rPr>
          <w:rFonts w:eastAsia="Times New Roman" w:cs="Times New Roman"/>
          <w:szCs w:val="20"/>
        </w:rPr>
        <w:t>SPF unique identifier osf.io/4vy5n</w:t>
      </w:r>
      <w:r w:rsidRPr="005D2363">
        <w:rPr>
          <w:rFonts w:eastAsia="Segoe UI" w:cs="Times New Roman"/>
          <w:szCs w:val="20"/>
        </w:rPr>
        <w:t>)</w:t>
      </w:r>
      <w:r w:rsidRPr="005D2363">
        <w:rPr>
          <w:rFonts w:eastAsia="Times New Roman" w:cs="Times New Roman"/>
          <w:szCs w:val="20"/>
        </w:rPr>
        <w:t xml:space="preserve">. The </w:t>
      </w:r>
      <w:r w:rsidRPr="005D2363">
        <w:rPr>
          <w:rFonts w:eastAsia="Times New Roman" w:cs="Times New Roman"/>
          <w:i/>
          <w:iCs/>
          <w:szCs w:val="20"/>
        </w:rPr>
        <w:t>S.</w:t>
      </w:r>
      <w:r w:rsidRPr="005D2363">
        <w:rPr>
          <w:rFonts w:eastAsia="Times New Roman" w:cs="Times New Roman"/>
          <w:szCs w:val="20"/>
        </w:rPr>
        <w:t xml:space="preserve"> Typhi and </w:t>
      </w:r>
      <w:r w:rsidRPr="005D2363">
        <w:rPr>
          <w:rFonts w:eastAsia="Times New Roman" w:cs="Times New Roman"/>
          <w:i/>
          <w:iCs/>
          <w:szCs w:val="20"/>
        </w:rPr>
        <w:t>S.</w:t>
      </w:r>
      <w:r w:rsidRPr="005D2363">
        <w:rPr>
          <w:rFonts w:eastAsia="Times New Roman" w:cs="Times New Roman"/>
          <w:szCs w:val="20"/>
        </w:rPr>
        <w:t xml:space="preserve"> </w:t>
      </w:r>
      <w:proofErr w:type="spellStart"/>
      <w:r w:rsidRPr="005D2363">
        <w:rPr>
          <w:rFonts w:eastAsia="Times New Roman" w:cs="Times New Roman"/>
          <w:szCs w:val="20"/>
        </w:rPr>
        <w:t>Paratyphi</w:t>
      </w:r>
      <w:proofErr w:type="spellEnd"/>
      <w:r w:rsidRPr="005D2363">
        <w:rPr>
          <w:rFonts w:eastAsia="Times New Roman" w:cs="Times New Roman"/>
          <w:szCs w:val="20"/>
        </w:rPr>
        <w:t xml:space="preserve"> A systematic review was expanded to include non-blood culture isolates for the current analysis. Forms were </w:t>
      </w:r>
      <w:r w:rsidRPr="005D2363">
        <w:rPr>
          <w:rFonts w:eastAsia="Times New Roman" w:cs="Times New Roman"/>
          <w:szCs w:val="20"/>
        </w:rPr>
        <w:lastRenderedPageBreak/>
        <w:t>created, and screening and data extraction were completed using web-based systematic review software (</w:t>
      </w:r>
      <w:proofErr w:type="spellStart"/>
      <w:r w:rsidRPr="005D2363">
        <w:rPr>
          <w:rFonts w:eastAsia="Times New Roman" w:cs="Times New Roman"/>
          <w:szCs w:val="20"/>
        </w:rPr>
        <w:t>DistillerSR</w:t>
      </w:r>
      <w:proofErr w:type="spellEnd"/>
      <w:r w:rsidRPr="005D2363">
        <w:rPr>
          <w:rFonts w:eastAsia="Times New Roman" w:cs="Times New Roman"/>
          <w:szCs w:val="20"/>
        </w:rPr>
        <w:t xml:space="preserve">, Evidence Partners, Ottawa, Canada) for all pathogens except </w:t>
      </w:r>
      <w:r w:rsidRPr="005D2363">
        <w:rPr>
          <w:rFonts w:eastAsia="Times New Roman" w:cs="Times New Roman"/>
          <w:i/>
          <w:iCs/>
          <w:szCs w:val="20"/>
        </w:rPr>
        <w:t xml:space="preserve">Salmonella, </w:t>
      </w:r>
      <w:r w:rsidRPr="005D2363">
        <w:rPr>
          <w:rFonts w:eastAsia="Times New Roman" w:cs="Times New Roman"/>
          <w:szCs w:val="20"/>
        </w:rPr>
        <w:t>for which a smaller number of manuscripts were identified.</w:t>
      </w:r>
    </w:p>
    <w:p w14:paraId="59B714DB" w14:textId="05F590B4" w:rsidR="003711BD" w:rsidRPr="00012214" w:rsidRDefault="6B99E739" w:rsidP="082F9667">
      <w:pPr>
        <w:spacing w:line="257" w:lineRule="auto"/>
        <w:rPr>
          <w:rFonts w:eastAsia="Times New Roman" w:cs="Times New Roman"/>
          <w:szCs w:val="20"/>
        </w:rPr>
      </w:pPr>
      <w:r w:rsidRPr="005D2363">
        <w:rPr>
          <w:rFonts w:eastAsia="Times New Roman" w:cs="Times New Roman"/>
          <w:szCs w:val="20"/>
        </w:rPr>
        <w:t xml:space="preserve">For the prevalence of drug resistance in </w:t>
      </w:r>
      <w:r w:rsidRPr="005D2363">
        <w:rPr>
          <w:rFonts w:eastAsia="Times New Roman" w:cs="Times New Roman"/>
          <w:i/>
          <w:iCs/>
          <w:szCs w:val="20"/>
        </w:rPr>
        <w:t>Mycobacterium tuberculosis</w:t>
      </w:r>
      <w:r w:rsidRPr="005D2363">
        <w:rPr>
          <w:rFonts w:eastAsia="Times New Roman" w:cs="Times New Roman"/>
          <w:szCs w:val="20"/>
        </w:rPr>
        <w:t xml:space="preserve"> for multi-drug resistance (MDR, </w:t>
      </w:r>
      <w:proofErr w:type="spellStart"/>
      <w:r w:rsidRPr="005D2363">
        <w:rPr>
          <w:rFonts w:eastAsia="Times New Roman" w:cs="Times New Roman"/>
          <w:szCs w:val="20"/>
        </w:rPr>
        <w:t>characterised</w:t>
      </w:r>
      <w:proofErr w:type="spellEnd"/>
      <w:r w:rsidRPr="005D2363">
        <w:rPr>
          <w:rFonts w:eastAsia="Times New Roman" w:cs="Times New Roman"/>
          <w:szCs w:val="20"/>
        </w:rPr>
        <w:t xml:space="preserve"> by isoniazid and rifampicin co-resistance) excluding extensive drug resistance (XDR, </w:t>
      </w:r>
      <w:proofErr w:type="spellStart"/>
      <w:r w:rsidRPr="005D2363">
        <w:rPr>
          <w:rFonts w:eastAsia="Times New Roman" w:cs="Times New Roman"/>
          <w:szCs w:val="20"/>
        </w:rPr>
        <w:t>characterised</w:t>
      </w:r>
      <w:proofErr w:type="spellEnd"/>
      <w:r w:rsidRPr="005D2363">
        <w:rPr>
          <w:rFonts w:eastAsia="Times New Roman" w:cs="Times New Roman"/>
          <w:szCs w:val="20"/>
        </w:rPr>
        <w:t xml:space="preserve"> by resistance to isoniazid, rifampicin, and fluoroquinolone, as well as either aminoglycosides or capreomycin) and XDR, we used </w:t>
      </w:r>
      <w:r w:rsidRPr="003711BD">
        <w:rPr>
          <w:rFonts w:eastAsia="Times New Roman" w:cs="Times New Roman"/>
          <w:szCs w:val="20"/>
        </w:rPr>
        <w:t>previously published GBD results.</w:t>
      </w:r>
      <w:r w:rsidR="003711BD" w:rsidRPr="003711BD">
        <w:rPr>
          <w:rFonts w:eastAsia="Times New Roman" w:cs="Times New Roman"/>
          <w:color w:val="2B579A"/>
          <w:szCs w:val="20"/>
          <w:shd w:val="clear" w:color="auto" w:fill="E6E6E6"/>
        </w:rPr>
        <w:fldChar w:fldCharType="begin"/>
      </w:r>
      <w:r w:rsidR="003711BD" w:rsidRPr="003711BD">
        <w:rPr>
          <w:rFonts w:eastAsia="Times New Roman" w:cs="Times New Roman"/>
          <w:szCs w:val="20"/>
        </w:rPr>
        <w:instrText xml:space="preserve"> ADDIN ZOTERO_ITEM CSL_CITATION {"citationID":"9mxHHqmv","properties":{"formattedCitation":"\\super 2\\nosupersub{}","plainCitation":"2","noteIndex":0},"citationItems":[{"id":122466,"uris":["http://zotero.org/groups/2154524/items/LJ6HQ43A"],"itemData":{"id":122466,"type":"article-journal","container-title":"The Lancet. Public Health","DOI":"10.1016/S2468-2667(22)00225-0","ISSN":"2468-2667","issue":"11","journalAbbreviation":"Lancet Public Health","note":"PMID: 36244350\nPMCID: PMC9630253","page":"e897-e913","source":"PubMed","title":"The burden of bacterial antimicrobial resistance in the WHO European region in 2019: a cross-country systematic analysis","volume":"7","author":[{"literal":"European Antimicrobial Resistance Collaborators"}],"issued":{"date-parts":[["2022",11]]}}}],"schema":"https://github.com/citation-style-language/schema/raw/master/csl-citation.json"} </w:instrText>
      </w:r>
      <w:r w:rsidR="003711BD" w:rsidRPr="003711BD">
        <w:rPr>
          <w:rFonts w:eastAsia="Times New Roman" w:cs="Times New Roman"/>
          <w:color w:val="2B579A"/>
          <w:szCs w:val="20"/>
          <w:shd w:val="clear" w:color="auto" w:fill="E6E6E6"/>
        </w:rPr>
        <w:fldChar w:fldCharType="separate"/>
      </w:r>
      <w:r w:rsidR="003711BD" w:rsidRPr="003711BD">
        <w:rPr>
          <w:rFonts w:cs="Times New Roman"/>
          <w:szCs w:val="24"/>
          <w:vertAlign w:val="superscript"/>
        </w:rPr>
        <w:t>2</w:t>
      </w:r>
      <w:r w:rsidR="003711BD" w:rsidRPr="003711BD">
        <w:rPr>
          <w:rFonts w:eastAsia="Times New Roman" w:cs="Times New Roman"/>
          <w:color w:val="2B579A"/>
          <w:szCs w:val="20"/>
          <w:shd w:val="clear" w:color="auto" w:fill="E6E6E6"/>
        </w:rPr>
        <w:fldChar w:fldCharType="end"/>
      </w:r>
      <w:r w:rsidRPr="003711BD">
        <w:rPr>
          <w:rFonts w:eastAsia="Times New Roman" w:cs="Times New Roman"/>
          <w:szCs w:val="20"/>
        </w:rPr>
        <w:t xml:space="preserve"> To more comprehensively account for the burden of AMR in bacteria, we also</w:t>
      </w:r>
      <w:r w:rsidRPr="005D2363">
        <w:rPr>
          <w:rFonts w:eastAsia="Times New Roman" w:cs="Times New Roman"/>
          <w:szCs w:val="20"/>
        </w:rPr>
        <w:t xml:space="preserve"> estimated the prevalence of resistance for 71 supplementary pathogen–drug combinations for which we did not conduct a systematic literature review. Data for these supplementary combinations were extracted from the datasets obtained from pharmaceutical companies, academic institutes, and individual hospitals using the same processing procedure as was used for the core pathogen–drug combinations. The list of supplementary combinations is presented in table 3.5.1.2.</w:t>
      </w:r>
    </w:p>
    <w:p w14:paraId="03727708" w14:textId="0CAB4C88" w:rsidR="6B99E739" w:rsidRPr="004F5186" w:rsidRDefault="6B99E739" w:rsidP="004F5186">
      <w:pPr>
        <w:spacing w:after="0"/>
        <w:rPr>
          <w:rFonts w:eastAsiaTheme="majorEastAsia" w:cstheme="majorBidi"/>
          <w:i/>
          <w:color w:val="1F4D78" w:themeColor="accent1" w:themeShade="7F"/>
          <w:szCs w:val="24"/>
        </w:rPr>
      </w:pPr>
      <w:r w:rsidRPr="004F5186">
        <w:rPr>
          <w:rFonts w:eastAsiaTheme="majorEastAsia" w:cstheme="majorBidi"/>
          <w:i/>
          <w:color w:val="1F4D78" w:themeColor="accent1" w:themeShade="7F"/>
          <w:szCs w:val="24"/>
        </w:rPr>
        <w:t>Table 3.5.1.1: Core pathogen–drug combinations</w:t>
      </w:r>
    </w:p>
    <w:tbl>
      <w:tblPr>
        <w:tblStyle w:val="TableGridLight"/>
        <w:tblW w:w="0" w:type="auto"/>
        <w:tblLayout w:type="fixed"/>
        <w:tblLook w:val="06A0" w:firstRow="1" w:lastRow="0" w:firstColumn="1" w:lastColumn="0" w:noHBand="1" w:noVBand="1"/>
      </w:tblPr>
      <w:tblGrid>
        <w:gridCol w:w="3480"/>
        <w:gridCol w:w="3570"/>
      </w:tblGrid>
      <w:tr w:rsidR="082F9667" w14:paraId="6719AC55" w14:textId="77777777" w:rsidTr="082F9667">
        <w:trPr>
          <w:trHeight w:val="30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1107C83" w14:textId="2CA38E04" w:rsidR="082F9667" w:rsidRDefault="082F9667">
            <w:r w:rsidRPr="082F9667">
              <w:rPr>
                <w:rFonts w:eastAsia="Times New Roman" w:cs="Times New Roman"/>
                <w:b/>
                <w:bCs/>
                <w:sz w:val="16"/>
                <w:szCs w:val="16"/>
              </w:rPr>
              <w:t>Pathogen</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7E6E6" w:themeFill="background2"/>
          </w:tcPr>
          <w:p w14:paraId="2DBAE656" w14:textId="629213DB" w:rsidR="082F9667" w:rsidRDefault="082F9667">
            <w:r w:rsidRPr="082F9667">
              <w:rPr>
                <w:rFonts w:eastAsia="Times New Roman" w:cs="Times New Roman"/>
                <w:b/>
                <w:bCs/>
                <w:sz w:val="16"/>
                <w:szCs w:val="16"/>
              </w:rPr>
              <w:t>Antimicrobial</w:t>
            </w:r>
          </w:p>
        </w:tc>
      </w:tr>
      <w:tr w:rsidR="082F9667" w14:paraId="5660AB7B" w14:textId="77777777" w:rsidTr="082F9667">
        <w:trPr>
          <w:trHeight w:val="42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05EAC8" w14:textId="0ADAD02D" w:rsidR="082F9667" w:rsidRDefault="082F9667">
            <w:r w:rsidRPr="082F9667">
              <w:rPr>
                <w:rFonts w:eastAsia="Times New Roman" w:cs="Times New Roman"/>
                <w:i/>
                <w:iCs/>
                <w:sz w:val="16"/>
                <w:szCs w:val="16"/>
              </w:rPr>
              <w:t xml:space="preserve">Escherichia coli </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1C9795A" w14:textId="7ED43EF1" w:rsidR="082F9667" w:rsidRDefault="082F9667">
            <w:r w:rsidRPr="082F9667">
              <w:rPr>
                <w:rFonts w:eastAsia="Times New Roman" w:cs="Times New Roman"/>
                <w:sz w:val="16"/>
                <w:szCs w:val="16"/>
              </w:rPr>
              <w:t>Third-generation cephalosporins</w:t>
            </w:r>
          </w:p>
          <w:p w14:paraId="0F1CF937" w14:textId="340887BF" w:rsidR="082F9667" w:rsidRDefault="082F9667">
            <w:r w:rsidRPr="082F9667">
              <w:rPr>
                <w:rFonts w:eastAsia="Times New Roman" w:cs="Times New Roman"/>
                <w:sz w:val="16"/>
                <w:szCs w:val="16"/>
              </w:rPr>
              <w:t>Fluoroquinolones</w:t>
            </w:r>
          </w:p>
        </w:tc>
      </w:tr>
      <w:tr w:rsidR="082F9667" w14:paraId="454DBBE8" w14:textId="77777777" w:rsidTr="082F9667">
        <w:trPr>
          <w:trHeight w:val="42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C1F08A" w14:textId="6BC2803B" w:rsidR="082F9667" w:rsidRDefault="082F9667">
            <w:r w:rsidRPr="082F9667">
              <w:rPr>
                <w:rFonts w:eastAsia="Times New Roman" w:cs="Times New Roman"/>
                <w:i/>
                <w:iCs/>
                <w:sz w:val="16"/>
                <w:szCs w:val="16"/>
              </w:rPr>
              <w:t>Klebsiella pneumoniae</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5E20713" w14:textId="0041FFCE" w:rsidR="082F9667" w:rsidRDefault="082F9667">
            <w:r w:rsidRPr="082F9667">
              <w:rPr>
                <w:rFonts w:eastAsia="Times New Roman" w:cs="Times New Roman"/>
                <w:sz w:val="16"/>
                <w:szCs w:val="16"/>
              </w:rPr>
              <w:t>Third-generation cephalosporins</w:t>
            </w:r>
          </w:p>
          <w:p w14:paraId="066CD769" w14:textId="3377FDBD" w:rsidR="082F9667" w:rsidRDefault="082F9667">
            <w:r w:rsidRPr="082F9667">
              <w:rPr>
                <w:rFonts w:eastAsia="Times New Roman" w:cs="Times New Roman"/>
                <w:sz w:val="16"/>
                <w:szCs w:val="16"/>
              </w:rPr>
              <w:t>Carbapenems</w:t>
            </w:r>
          </w:p>
        </w:tc>
      </w:tr>
      <w:tr w:rsidR="082F9667" w14:paraId="26DA916C"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45DA7C" w14:textId="0ECCCB54" w:rsidR="082F9667" w:rsidRDefault="082F9667">
            <w:r w:rsidRPr="082F9667">
              <w:rPr>
                <w:rFonts w:eastAsia="Times New Roman" w:cs="Times New Roman"/>
                <w:i/>
                <w:iCs/>
                <w:sz w:val="16"/>
                <w:szCs w:val="16"/>
              </w:rPr>
              <w:t>Staphylococcus aureus</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C44BF0D" w14:textId="3FEA4BFF" w:rsidR="082F9667" w:rsidRDefault="082F9667">
            <w:r w:rsidRPr="082F9667">
              <w:rPr>
                <w:rFonts w:eastAsia="Times New Roman" w:cs="Times New Roman"/>
                <w:sz w:val="16"/>
                <w:szCs w:val="16"/>
              </w:rPr>
              <w:t>Methicillin</w:t>
            </w:r>
          </w:p>
        </w:tc>
      </w:tr>
      <w:tr w:rsidR="082F9667" w14:paraId="6A02F513"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25839F" w14:textId="12858833" w:rsidR="082F9667" w:rsidRDefault="082F9667">
            <w:r w:rsidRPr="082F9667">
              <w:rPr>
                <w:rFonts w:eastAsia="Times New Roman" w:cs="Times New Roman"/>
                <w:i/>
                <w:iCs/>
                <w:sz w:val="16"/>
                <w:szCs w:val="16"/>
              </w:rPr>
              <w:t>Streptococcus pneumoniae</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652685" w14:textId="1E28A5FF" w:rsidR="082F9667" w:rsidRDefault="082F9667">
            <w:r w:rsidRPr="082F9667">
              <w:rPr>
                <w:rFonts w:eastAsia="Times New Roman" w:cs="Times New Roman"/>
                <w:sz w:val="16"/>
                <w:szCs w:val="16"/>
              </w:rPr>
              <w:t>Penicillin</w:t>
            </w:r>
          </w:p>
        </w:tc>
      </w:tr>
      <w:tr w:rsidR="082F9667" w14:paraId="40C37918" w14:textId="77777777" w:rsidTr="082F9667">
        <w:trPr>
          <w:trHeight w:val="42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122F49" w14:textId="6261B316" w:rsidR="082F9667" w:rsidRDefault="082F9667">
            <w:r w:rsidRPr="082F9667">
              <w:rPr>
                <w:rFonts w:eastAsia="Times New Roman" w:cs="Times New Roman"/>
                <w:i/>
                <w:iCs/>
                <w:sz w:val="16"/>
                <w:szCs w:val="16"/>
              </w:rPr>
              <w:t xml:space="preserve">Salmonella </w:t>
            </w:r>
            <w:r w:rsidRPr="082F9667">
              <w:rPr>
                <w:rFonts w:eastAsia="Times New Roman" w:cs="Times New Roman"/>
                <w:sz w:val="16"/>
                <w:szCs w:val="16"/>
              </w:rPr>
              <w:t>Typhi</w:t>
            </w:r>
            <w:r w:rsidRPr="082F9667">
              <w:rPr>
                <w:rFonts w:eastAsia="Times New Roman" w:cs="Times New Roman"/>
                <w:i/>
                <w:iCs/>
                <w:sz w:val="16"/>
                <w:szCs w:val="16"/>
              </w:rPr>
              <w:t xml:space="preserve"> </w:t>
            </w:r>
            <w:r w:rsidRPr="082F9667">
              <w:rPr>
                <w:rFonts w:eastAsia="Times New Roman" w:cs="Times New Roman"/>
                <w:sz w:val="16"/>
                <w:szCs w:val="16"/>
              </w:rPr>
              <w:t xml:space="preserve">&amp; </w:t>
            </w:r>
            <w:proofErr w:type="spellStart"/>
            <w:r w:rsidRPr="082F9667">
              <w:rPr>
                <w:rFonts w:eastAsia="Times New Roman" w:cs="Times New Roman"/>
                <w:sz w:val="16"/>
                <w:szCs w:val="16"/>
              </w:rPr>
              <w:t>Paratyphi</w:t>
            </w:r>
            <w:proofErr w:type="spellEnd"/>
            <w:r w:rsidRPr="082F9667">
              <w:rPr>
                <w:rFonts w:eastAsia="Times New Roman" w:cs="Times New Roman"/>
                <w:sz w:val="16"/>
                <w:szCs w:val="16"/>
              </w:rPr>
              <w:t xml:space="preserve"> A</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9BBEDFD" w14:textId="58025F7F" w:rsidR="082F9667" w:rsidRDefault="082F9667">
            <w:r w:rsidRPr="082F9667">
              <w:rPr>
                <w:rFonts w:eastAsia="Times New Roman" w:cs="Times New Roman"/>
                <w:sz w:val="16"/>
                <w:szCs w:val="16"/>
              </w:rPr>
              <w:t xml:space="preserve">Multidrug resistance  </w:t>
            </w:r>
          </w:p>
          <w:p w14:paraId="4D5C220E" w14:textId="1D80AD8E" w:rsidR="082F9667" w:rsidRDefault="082F9667">
            <w:r w:rsidRPr="082F9667">
              <w:rPr>
                <w:rFonts w:eastAsia="Times New Roman" w:cs="Times New Roman"/>
                <w:sz w:val="16"/>
                <w:szCs w:val="16"/>
              </w:rPr>
              <w:t>Fluoroquinolones</w:t>
            </w:r>
          </w:p>
        </w:tc>
      </w:tr>
      <w:tr w:rsidR="082F9667" w14:paraId="58E9FDE4"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329420" w14:textId="2D6363F4" w:rsidR="082F9667" w:rsidRDefault="082F9667">
            <w:r w:rsidRPr="082F9667">
              <w:rPr>
                <w:rFonts w:eastAsia="Times New Roman" w:cs="Times New Roman"/>
                <w:sz w:val="16"/>
                <w:szCs w:val="16"/>
              </w:rPr>
              <w:t>Invasive non-typhoidal</w:t>
            </w:r>
            <w:r w:rsidRPr="082F9667">
              <w:rPr>
                <w:rFonts w:eastAsia="Times New Roman" w:cs="Times New Roman"/>
                <w:i/>
                <w:iCs/>
                <w:sz w:val="16"/>
                <w:szCs w:val="16"/>
              </w:rPr>
              <w:t xml:space="preserve"> Salmonella</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A77871" w14:textId="66B5EABF" w:rsidR="082F9667" w:rsidRDefault="082F9667">
            <w:r w:rsidRPr="082F9667">
              <w:rPr>
                <w:rFonts w:eastAsia="Times New Roman" w:cs="Times New Roman"/>
                <w:sz w:val="16"/>
                <w:szCs w:val="16"/>
              </w:rPr>
              <w:t>Fluoroquinolones</w:t>
            </w:r>
          </w:p>
        </w:tc>
      </w:tr>
      <w:tr w:rsidR="082F9667" w14:paraId="1E05370D"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79A833" w14:textId="61733EB9" w:rsidR="082F9667" w:rsidRDefault="082F9667">
            <w:r w:rsidRPr="082F9667">
              <w:rPr>
                <w:rFonts w:eastAsia="Times New Roman" w:cs="Times New Roman"/>
                <w:i/>
                <w:iCs/>
                <w:sz w:val="16"/>
                <w:szCs w:val="16"/>
              </w:rPr>
              <w:t xml:space="preserve">Shigella </w:t>
            </w:r>
            <w:r w:rsidRPr="082F9667">
              <w:rPr>
                <w:rFonts w:eastAsia="Times New Roman" w:cs="Times New Roman"/>
                <w:sz w:val="16"/>
                <w:szCs w:val="16"/>
              </w:rPr>
              <w:t>species</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3BC6F90" w14:textId="2CEC3D8D" w:rsidR="082F9667" w:rsidRDefault="082F9667">
            <w:r w:rsidRPr="082F9667">
              <w:rPr>
                <w:rFonts w:eastAsia="Times New Roman" w:cs="Times New Roman"/>
                <w:sz w:val="16"/>
                <w:szCs w:val="16"/>
              </w:rPr>
              <w:t>Fluoroquinolones</w:t>
            </w:r>
          </w:p>
        </w:tc>
      </w:tr>
      <w:tr w:rsidR="082F9667" w14:paraId="73E9926A"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9B9A1FF" w14:textId="75BBE1EF" w:rsidR="082F9667" w:rsidRDefault="082F9667">
            <w:r w:rsidRPr="082F9667">
              <w:rPr>
                <w:rFonts w:eastAsia="Times New Roman" w:cs="Times New Roman"/>
                <w:i/>
                <w:iCs/>
                <w:sz w:val="16"/>
                <w:szCs w:val="16"/>
              </w:rPr>
              <w:t>Neisseria gonorrhoeae</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1E986B" w14:textId="37C77949" w:rsidR="082F9667" w:rsidRDefault="082F9667">
            <w:r w:rsidRPr="082F9667">
              <w:rPr>
                <w:rFonts w:eastAsia="Times New Roman" w:cs="Times New Roman"/>
                <w:sz w:val="16"/>
                <w:szCs w:val="16"/>
              </w:rPr>
              <w:t>Third-generation cephalosporins</w:t>
            </w:r>
          </w:p>
        </w:tc>
      </w:tr>
      <w:tr w:rsidR="082F9667" w14:paraId="11A1E6F9" w14:textId="77777777" w:rsidTr="082F9667">
        <w:trPr>
          <w:trHeight w:val="240"/>
        </w:trPr>
        <w:tc>
          <w:tcPr>
            <w:tcW w:w="34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76E3A47" w14:textId="110AE423" w:rsidR="082F9667" w:rsidRDefault="082F9667">
            <w:r w:rsidRPr="082F9667">
              <w:rPr>
                <w:rFonts w:eastAsia="Times New Roman" w:cs="Times New Roman"/>
                <w:i/>
                <w:iCs/>
                <w:sz w:val="16"/>
                <w:szCs w:val="16"/>
              </w:rPr>
              <w:t>Mycobacterium tuberculosis</w:t>
            </w:r>
          </w:p>
        </w:tc>
        <w:tc>
          <w:tcPr>
            <w:tcW w:w="35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42A72B9" w14:textId="52E0E842" w:rsidR="082F9667" w:rsidRDefault="082F9667">
            <w:r w:rsidRPr="082F9667">
              <w:rPr>
                <w:rFonts w:eastAsia="Times New Roman" w:cs="Times New Roman"/>
                <w:sz w:val="16"/>
                <w:szCs w:val="16"/>
              </w:rPr>
              <w:t>Isoniazid mono-resistance, Rifampicin mono-resistance</w:t>
            </w:r>
          </w:p>
        </w:tc>
      </w:tr>
    </w:tbl>
    <w:p w14:paraId="66943C8E" w14:textId="77777777" w:rsidR="003711BD" w:rsidRDefault="003711BD" w:rsidP="082F9667">
      <w:pPr>
        <w:spacing w:line="257" w:lineRule="auto"/>
        <w:rPr>
          <w:rFonts w:eastAsia="Times New Roman" w:cs="Times New Roman"/>
          <w:sz w:val="24"/>
          <w:szCs w:val="24"/>
        </w:rPr>
      </w:pPr>
    </w:p>
    <w:p w14:paraId="0F20F8EF" w14:textId="3E80918F" w:rsidR="6B99E739" w:rsidRPr="003711BD" w:rsidRDefault="6B99E739" w:rsidP="003711BD">
      <w:pPr>
        <w:rPr>
          <w:rFonts w:eastAsia="Times New Roman" w:cs="Times New Roman"/>
          <w:sz w:val="24"/>
          <w:szCs w:val="24"/>
        </w:rPr>
      </w:pPr>
      <w:r w:rsidRPr="082F9667">
        <w:rPr>
          <w:rFonts w:eastAsia="Times New Roman" w:cs="Times New Roman"/>
          <w:sz w:val="24"/>
          <w:szCs w:val="24"/>
        </w:rPr>
        <w:t xml:space="preserve"> </w:t>
      </w:r>
    </w:p>
    <w:p w14:paraId="6DEF3D19" w14:textId="77777777" w:rsidR="003711BD" w:rsidRDefault="003711BD">
      <w:pPr>
        <w:rPr>
          <w:rFonts w:eastAsia="Times New Roman" w:cs="Times New Roman"/>
          <w:i/>
          <w:iCs/>
          <w:color w:val="1F3763"/>
          <w:szCs w:val="20"/>
        </w:rPr>
      </w:pPr>
      <w:r>
        <w:rPr>
          <w:rFonts w:eastAsia="Times New Roman" w:cs="Times New Roman"/>
          <w:iCs/>
          <w:color w:val="1F3763"/>
          <w:szCs w:val="20"/>
        </w:rPr>
        <w:br w:type="page"/>
      </w:r>
    </w:p>
    <w:p w14:paraId="64E2F1B7" w14:textId="53D00226" w:rsidR="6B99E739" w:rsidRPr="004F5186" w:rsidRDefault="6B99E739" w:rsidP="004F5186">
      <w:pPr>
        <w:spacing w:after="0"/>
        <w:rPr>
          <w:rFonts w:eastAsiaTheme="majorEastAsia" w:cstheme="majorBidi"/>
          <w:i/>
          <w:color w:val="1F4D78" w:themeColor="accent1" w:themeShade="7F"/>
          <w:szCs w:val="24"/>
        </w:rPr>
      </w:pPr>
      <w:r w:rsidRPr="004F5186">
        <w:rPr>
          <w:rFonts w:eastAsiaTheme="majorEastAsia" w:cstheme="majorBidi"/>
          <w:i/>
          <w:color w:val="1F4D78" w:themeColor="accent1" w:themeShade="7F"/>
          <w:szCs w:val="24"/>
        </w:rPr>
        <w:lastRenderedPageBreak/>
        <w:t>Table 3.5.1.2: Supplementary pathogen–drug combinations</w:t>
      </w:r>
    </w:p>
    <w:tbl>
      <w:tblPr>
        <w:tblW w:w="0" w:type="auto"/>
        <w:tblLayout w:type="fixed"/>
        <w:tblLook w:val="04A0" w:firstRow="1" w:lastRow="0" w:firstColumn="1" w:lastColumn="0" w:noHBand="0" w:noVBand="1"/>
      </w:tblPr>
      <w:tblGrid>
        <w:gridCol w:w="2250"/>
        <w:gridCol w:w="7110"/>
      </w:tblGrid>
      <w:tr w:rsidR="082F9667" w14:paraId="0111FF9A"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E7E6E6" w:themeFill="background2"/>
          </w:tcPr>
          <w:p w14:paraId="42CBC86C" w14:textId="78E5CAC0" w:rsidR="082F9667" w:rsidRDefault="082F9667" w:rsidP="082F9667">
            <w:pPr>
              <w:spacing w:line="257" w:lineRule="auto"/>
            </w:pPr>
            <w:r w:rsidRPr="082F9667">
              <w:rPr>
                <w:rFonts w:eastAsia="Times New Roman" w:cs="Times New Roman"/>
                <w:b/>
                <w:bCs/>
                <w:sz w:val="16"/>
                <w:szCs w:val="16"/>
              </w:rPr>
              <w:t>Pathogen</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shd w:val="clear" w:color="auto" w:fill="E7E6E6" w:themeFill="background2"/>
          </w:tcPr>
          <w:p w14:paraId="4EE1DF15" w14:textId="6A6A8EA8" w:rsidR="082F9667" w:rsidRDefault="082F9667" w:rsidP="082F9667">
            <w:pPr>
              <w:spacing w:line="257" w:lineRule="auto"/>
            </w:pPr>
            <w:r w:rsidRPr="082F9667">
              <w:rPr>
                <w:rFonts w:eastAsia="Times New Roman" w:cs="Times New Roman"/>
                <w:b/>
                <w:bCs/>
                <w:sz w:val="16"/>
                <w:szCs w:val="16"/>
              </w:rPr>
              <w:t>Antimicrobial</w:t>
            </w:r>
          </w:p>
        </w:tc>
      </w:tr>
      <w:tr w:rsidR="082F9667" w14:paraId="4FDEE070"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8955083" w14:textId="473AF6FB" w:rsidR="082F9667" w:rsidRDefault="082F9667" w:rsidP="082F9667">
            <w:pPr>
              <w:spacing w:line="257" w:lineRule="auto"/>
            </w:pPr>
            <w:r w:rsidRPr="082F9667">
              <w:rPr>
                <w:rFonts w:eastAsia="Times New Roman" w:cs="Times New Roman"/>
                <w:i/>
                <w:iCs/>
                <w:sz w:val="16"/>
                <w:szCs w:val="16"/>
              </w:rPr>
              <w:t xml:space="preserve">Acinetobacter </w:t>
            </w:r>
            <w:proofErr w:type="spellStart"/>
            <w:r w:rsidRPr="082F9667">
              <w:rPr>
                <w:rFonts w:eastAsia="Times New Roman" w:cs="Times New Roman"/>
                <w:i/>
                <w:iCs/>
                <w:sz w:val="16"/>
                <w:szCs w:val="16"/>
              </w:rPr>
              <w:t>baumannii</w:t>
            </w:r>
            <w:proofErr w:type="spellEnd"/>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0C1E050" w14:textId="159E9D44" w:rsidR="082F9667" w:rsidRDefault="082F9667" w:rsidP="082F9667">
            <w:pPr>
              <w:spacing w:line="257" w:lineRule="auto"/>
            </w:pPr>
            <w:r w:rsidRPr="082F9667">
              <w:rPr>
                <w:rFonts w:eastAsia="Times New Roman" w:cs="Times New Roman"/>
                <w:sz w:val="16"/>
                <w:szCs w:val="16"/>
              </w:rPr>
              <w:t>Aminoglycosides, Anti-pseudomonal penicillin/Beta-lactamase inhibitors, Beta-lactam/Beta-lactamase inhibitors, Carbapenems, Third-generation cephalosporins, Fourth-generation cephalosporins, Fluoroquinolones</w:t>
            </w:r>
          </w:p>
        </w:tc>
      </w:tr>
      <w:tr w:rsidR="082F9667" w14:paraId="5829BA2E"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2525451" w14:textId="3FAED3DF" w:rsidR="082F9667" w:rsidRDefault="082F9667" w:rsidP="082F9667">
            <w:pPr>
              <w:spacing w:line="257" w:lineRule="auto"/>
            </w:pPr>
            <w:r w:rsidRPr="082F9667">
              <w:rPr>
                <w:rFonts w:eastAsia="Times New Roman" w:cs="Times New Roman"/>
                <w:i/>
                <w:iCs/>
                <w:sz w:val="16"/>
                <w:szCs w:val="16"/>
              </w:rPr>
              <w:t xml:space="preserve">Citrobacter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64AA8784" w14:textId="04A57BDA" w:rsidR="082F9667" w:rsidRDefault="082F9667" w:rsidP="082F9667">
            <w:pPr>
              <w:spacing w:line="257" w:lineRule="auto"/>
            </w:pPr>
            <w:r w:rsidRPr="082F9667">
              <w:rPr>
                <w:rFonts w:eastAsia="Times New Roman" w:cs="Times New Roman"/>
                <w:sz w:val="16"/>
                <w:szCs w:val="16"/>
              </w:rPr>
              <w:t>Aminoglycosides, Anti-pseudomonal penicillin/Beta-lactamase inhibitors, Carbapenems, Third-generation cephalosporins, Fourth-generation cephalosporins, Fluoroquinolones</w:t>
            </w:r>
          </w:p>
        </w:tc>
      </w:tr>
      <w:tr w:rsidR="082F9667" w14:paraId="7E81ACD2"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2B7F8A9B" w14:textId="1490C1C9" w:rsidR="082F9667" w:rsidRDefault="082F9667" w:rsidP="082F9667">
            <w:pPr>
              <w:spacing w:line="257" w:lineRule="auto"/>
            </w:pPr>
            <w:r w:rsidRPr="082F9667">
              <w:rPr>
                <w:rFonts w:eastAsia="Times New Roman" w:cs="Times New Roman"/>
                <w:i/>
                <w:iCs/>
                <w:sz w:val="16"/>
                <w:szCs w:val="16"/>
              </w:rPr>
              <w:t xml:space="preserve">Enterobacter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517C9DF1" w14:textId="511FB84F" w:rsidR="082F9667" w:rsidRDefault="082F9667" w:rsidP="082F9667">
            <w:pPr>
              <w:spacing w:line="257" w:lineRule="auto"/>
            </w:pPr>
            <w:r w:rsidRPr="082F9667">
              <w:rPr>
                <w:rFonts w:eastAsia="Times New Roman" w:cs="Times New Roman"/>
                <w:sz w:val="16"/>
                <w:szCs w:val="16"/>
              </w:rPr>
              <w:t>Aminoglycosides, Anti-pseudomonal penicillin/Beta-lactamase inhibitors, Carbapenems, Fourth-generation cephalosporins, Fluoroquinolones, Trimethoprim-Sulfamethoxazole</w:t>
            </w:r>
          </w:p>
        </w:tc>
      </w:tr>
      <w:tr w:rsidR="082F9667" w14:paraId="4882C2DC"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F00B2E9" w14:textId="19AA2544" w:rsidR="082F9667" w:rsidRDefault="082F9667" w:rsidP="082F9667">
            <w:pPr>
              <w:spacing w:line="257" w:lineRule="auto"/>
            </w:pPr>
            <w:r w:rsidRPr="082F9667">
              <w:rPr>
                <w:rFonts w:eastAsia="Times New Roman" w:cs="Times New Roman"/>
                <w:i/>
                <w:iCs/>
                <w:sz w:val="16"/>
                <w:szCs w:val="16"/>
              </w:rPr>
              <w:t>Enterococcus faecalis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3ABABAA7" w14:textId="36E8A42B" w:rsidR="082F9667" w:rsidRDefault="082F9667" w:rsidP="082F9667">
            <w:pPr>
              <w:spacing w:line="257" w:lineRule="auto"/>
            </w:pPr>
            <w:r w:rsidRPr="082F9667">
              <w:rPr>
                <w:rFonts w:eastAsia="Times New Roman" w:cs="Times New Roman"/>
                <w:sz w:val="16"/>
                <w:szCs w:val="16"/>
              </w:rPr>
              <w:t>Fluoroquinolones, Vancomycin</w:t>
            </w:r>
          </w:p>
        </w:tc>
      </w:tr>
      <w:tr w:rsidR="082F9667" w14:paraId="347C5005"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0F91BC68" w14:textId="1B5FB864" w:rsidR="082F9667" w:rsidRDefault="082F9667" w:rsidP="082F9667">
            <w:pPr>
              <w:spacing w:line="257" w:lineRule="auto"/>
            </w:pPr>
            <w:r w:rsidRPr="082F9667">
              <w:rPr>
                <w:rFonts w:eastAsia="Times New Roman" w:cs="Times New Roman"/>
                <w:i/>
                <w:iCs/>
                <w:sz w:val="16"/>
                <w:szCs w:val="16"/>
              </w:rPr>
              <w:t>Enterococcus faecium</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03B94E0D" w14:textId="63E4D83E" w:rsidR="082F9667" w:rsidRDefault="082F9667" w:rsidP="082F9667">
            <w:pPr>
              <w:spacing w:line="257" w:lineRule="auto"/>
            </w:pPr>
            <w:r w:rsidRPr="082F9667">
              <w:rPr>
                <w:rFonts w:eastAsia="Times New Roman" w:cs="Times New Roman"/>
                <w:sz w:val="16"/>
                <w:szCs w:val="16"/>
              </w:rPr>
              <w:t>Fluoroquinolones, Vancomycin</w:t>
            </w:r>
          </w:p>
        </w:tc>
      </w:tr>
      <w:tr w:rsidR="082F9667" w14:paraId="4D154E64"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1B5E348C" w14:textId="0F299CEA" w:rsidR="082F9667" w:rsidRDefault="082F9667" w:rsidP="082F9667">
            <w:pPr>
              <w:spacing w:line="257" w:lineRule="auto"/>
            </w:pPr>
            <w:r w:rsidRPr="082F9667">
              <w:rPr>
                <w:rFonts w:eastAsia="Times New Roman" w:cs="Times New Roman"/>
                <w:i/>
                <w:iCs/>
                <w:sz w:val="16"/>
                <w:szCs w:val="16"/>
              </w:rPr>
              <w:t xml:space="preserve">Enterococcus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4EF3D7D" w14:textId="5622F7ED" w:rsidR="082F9667" w:rsidRDefault="082F9667" w:rsidP="082F9667">
            <w:pPr>
              <w:spacing w:line="257" w:lineRule="auto"/>
            </w:pPr>
            <w:r w:rsidRPr="082F9667">
              <w:rPr>
                <w:rFonts w:eastAsia="Times New Roman" w:cs="Times New Roman"/>
                <w:sz w:val="16"/>
                <w:szCs w:val="16"/>
              </w:rPr>
              <w:t>Fluoroquinolones, Vancomycin</w:t>
            </w:r>
          </w:p>
        </w:tc>
      </w:tr>
      <w:tr w:rsidR="082F9667" w14:paraId="08E9BCE3"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717FB1E" w14:textId="367FA6D9" w:rsidR="082F9667" w:rsidRDefault="082F9667" w:rsidP="082F9667">
            <w:pPr>
              <w:spacing w:line="257" w:lineRule="auto"/>
            </w:pPr>
            <w:r w:rsidRPr="082F9667">
              <w:rPr>
                <w:rFonts w:eastAsia="Times New Roman" w:cs="Times New Roman"/>
                <w:i/>
                <w:iCs/>
                <w:sz w:val="16"/>
                <w:szCs w:val="16"/>
              </w:rPr>
              <w:t>Escherichia coli</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674F0A0" w14:textId="51FB600B" w:rsidR="082F9667" w:rsidRDefault="082F9667" w:rsidP="082F9667">
            <w:pPr>
              <w:spacing w:line="257" w:lineRule="auto"/>
            </w:pPr>
            <w:r w:rsidRPr="082F9667">
              <w:rPr>
                <w:rFonts w:eastAsia="Times New Roman" w:cs="Times New Roman"/>
                <w:sz w:val="16"/>
                <w:szCs w:val="16"/>
              </w:rPr>
              <w:t>Aminoglycosides, Aminopenicillin, Beta-lactam/Beta-lactamase inhibitors, Carbapenems, Trimethoprim-Sulfamethoxazole</w:t>
            </w:r>
          </w:p>
        </w:tc>
      </w:tr>
      <w:tr w:rsidR="082F9667" w14:paraId="507F642B"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5561A746" w14:textId="7C916170" w:rsidR="082F9667" w:rsidRDefault="082F9667" w:rsidP="082F9667">
            <w:pPr>
              <w:spacing w:line="257" w:lineRule="auto"/>
            </w:pPr>
            <w:r w:rsidRPr="082F9667">
              <w:rPr>
                <w:rFonts w:eastAsia="Times New Roman" w:cs="Times New Roman"/>
                <w:sz w:val="16"/>
                <w:szCs w:val="16"/>
              </w:rPr>
              <w:t xml:space="preserve">Group A </w:t>
            </w:r>
            <w:r w:rsidRPr="082F9667">
              <w:rPr>
                <w:rFonts w:eastAsia="Times New Roman" w:cs="Times New Roman"/>
                <w:i/>
                <w:iCs/>
                <w:sz w:val="16"/>
                <w:szCs w:val="16"/>
              </w:rPr>
              <w:t>Streptococcus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5B8B1CA6" w14:textId="6BE4D4D9" w:rsidR="082F9667" w:rsidRDefault="082F9667" w:rsidP="082F9667">
            <w:pPr>
              <w:spacing w:line="257" w:lineRule="auto"/>
            </w:pPr>
            <w:r w:rsidRPr="082F9667">
              <w:rPr>
                <w:rFonts w:eastAsia="Times New Roman" w:cs="Times New Roman"/>
                <w:sz w:val="16"/>
                <w:szCs w:val="16"/>
              </w:rPr>
              <w:t>Macrolide</w:t>
            </w:r>
          </w:p>
        </w:tc>
      </w:tr>
      <w:tr w:rsidR="082F9667" w14:paraId="07D017BF"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703B83F" w14:textId="51A76F4F" w:rsidR="082F9667" w:rsidRDefault="082F9667" w:rsidP="082F9667">
            <w:pPr>
              <w:spacing w:line="257" w:lineRule="auto"/>
            </w:pPr>
            <w:r w:rsidRPr="082F9667">
              <w:rPr>
                <w:rFonts w:eastAsia="Times New Roman" w:cs="Times New Roman"/>
                <w:sz w:val="16"/>
                <w:szCs w:val="16"/>
              </w:rPr>
              <w:t xml:space="preserve">Group B </w:t>
            </w:r>
            <w:r w:rsidRPr="082F9667">
              <w:rPr>
                <w:rFonts w:eastAsia="Times New Roman" w:cs="Times New Roman"/>
                <w:i/>
                <w:iCs/>
                <w:sz w:val="16"/>
                <w:szCs w:val="16"/>
              </w:rPr>
              <w:t>Streptococcus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D446361" w14:textId="3B642371" w:rsidR="082F9667" w:rsidRDefault="082F9667" w:rsidP="082F9667">
            <w:pPr>
              <w:spacing w:line="257" w:lineRule="auto"/>
            </w:pPr>
            <w:r w:rsidRPr="082F9667">
              <w:rPr>
                <w:rFonts w:eastAsia="Times New Roman" w:cs="Times New Roman"/>
                <w:sz w:val="16"/>
                <w:szCs w:val="16"/>
              </w:rPr>
              <w:t>Fluoroquinolones, Macrolide, Penicillin</w:t>
            </w:r>
          </w:p>
        </w:tc>
      </w:tr>
      <w:tr w:rsidR="082F9667" w14:paraId="48C97D3F"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3FAD555" w14:textId="1D3DF702" w:rsidR="082F9667" w:rsidRDefault="082F9667" w:rsidP="082F9667">
            <w:pPr>
              <w:spacing w:line="257" w:lineRule="auto"/>
            </w:pPr>
            <w:proofErr w:type="spellStart"/>
            <w:r w:rsidRPr="082F9667">
              <w:rPr>
                <w:rFonts w:eastAsia="Times New Roman" w:cs="Times New Roman"/>
                <w:i/>
                <w:iCs/>
                <w:sz w:val="16"/>
                <w:szCs w:val="16"/>
              </w:rPr>
              <w:t>Haemophilus</w:t>
            </w:r>
            <w:proofErr w:type="spellEnd"/>
            <w:r w:rsidRPr="082F9667">
              <w:rPr>
                <w:rFonts w:eastAsia="Times New Roman" w:cs="Times New Roman"/>
                <w:i/>
                <w:iCs/>
                <w:sz w:val="16"/>
                <w:szCs w:val="16"/>
              </w:rPr>
              <w:t xml:space="preserve"> influenzae</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9FB7ACF" w14:textId="4C2B52A6" w:rsidR="082F9667" w:rsidRDefault="082F9667" w:rsidP="082F9667">
            <w:pPr>
              <w:spacing w:line="257" w:lineRule="auto"/>
            </w:pPr>
            <w:r w:rsidRPr="082F9667">
              <w:rPr>
                <w:rFonts w:eastAsia="Times New Roman" w:cs="Times New Roman"/>
                <w:sz w:val="16"/>
                <w:szCs w:val="16"/>
              </w:rPr>
              <w:t>Aminopenicillin, Third-generation cephalosporins</w:t>
            </w:r>
          </w:p>
        </w:tc>
      </w:tr>
      <w:tr w:rsidR="082F9667" w14:paraId="634CC358" w14:textId="77777777" w:rsidTr="082F9667">
        <w:trPr>
          <w:trHeight w:val="49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60709A6B" w14:textId="424D39F0" w:rsidR="082F9667" w:rsidRDefault="082F9667" w:rsidP="082F9667">
            <w:pPr>
              <w:spacing w:line="257" w:lineRule="auto"/>
            </w:pPr>
            <w:r w:rsidRPr="082F9667">
              <w:rPr>
                <w:rFonts w:eastAsia="Times New Roman" w:cs="Times New Roman"/>
                <w:i/>
                <w:iCs/>
                <w:sz w:val="16"/>
                <w:szCs w:val="16"/>
              </w:rPr>
              <w:t>Klebsiella pneumoniae</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13435CD1" w14:textId="580B521D" w:rsidR="082F9667" w:rsidRDefault="082F9667" w:rsidP="082F9667">
            <w:pPr>
              <w:spacing w:line="257" w:lineRule="auto"/>
            </w:pPr>
            <w:r w:rsidRPr="082F9667">
              <w:rPr>
                <w:rFonts w:eastAsia="Times New Roman" w:cs="Times New Roman"/>
                <w:sz w:val="16"/>
                <w:szCs w:val="16"/>
              </w:rPr>
              <w:t>Aminoglycosides, Beta-lactam/Beta-lactamase inhibitors, Fluoroquinolones, Trimethoprim-Sulfamethoxazole</w:t>
            </w:r>
          </w:p>
        </w:tc>
      </w:tr>
      <w:tr w:rsidR="082F9667" w14:paraId="51B897F4"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370518A" w14:textId="19DE7DD7" w:rsidR="082F9667" w:rsidRDefault="082F9667" w:rsidP="082F9667">
            <w:pPr>
              <w:spacing w:line="257" w:lineRule="auto"/>
            </w:pPr>
            <w:proofErr w:type="spellStart"/>
            <w:r w:rsidRPr="082F9667">
              <w:rPr>
                <w:rFonts w:eastAsia="Times New Roman" w:cs="Times New Roman"/>
                <w:i/>
                <w:iCs/>
                <w:sz w:val="16"/>
                <w:szCs w:val="16"/>
              </w:rPr>
              <w:t>Morganella</w:t>
            </w:r>
            <w:proofErr w:type="spellEnd"/>
            <w:r w:rsidRPr="082F9667">
              <w:rPr>
                <w:rFonts w:eastAsia="Times New Roman" w:cs="Times New Roman"/>
                <w:i/>
                <w:iCs/>
                <w:sz w:val="16"/>
                <w:szCs w:val="16"/>
              </w:rPr>
              <w:t xml:space="preserve">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0761A87E" w14:textId="3155FD2B" w:rsidR="082F9667" w:rsidRDefault="082F9667" w:rsidP="082F9667">
            <w:pPr>
              <w:spacing w:line="257" w:lineRule="auto"/>
            </w:pPr>
            <w:r w:rsidRPr="082F9667">
              <w:rPr>
                <w:rFonts w:eastAsia="Times New Roman" w:cs="Times New Roman"/>
                <w:sz w:val="16"/>
                <w:szCs w:val="16"/>
              </w:rPr>
              <w:t>Third-generation cephalosporins, Fourth-generation cephalosporins, Fluoroquinolones</w:t>
            </w:r>
          </w:p>
        </w:tc>
      </w:tr>
      <w:tr w:rsidR="082F9667" w14:paraId="78F9FD94"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11A21CF4" w14:textId="1F4560C2" w:rsidR="082F9667" w:rsidRDefault="082F9667" w:rsidP="082F9667">
            <w:pPr>
              <w:spacing w:line="257" w:lineRule="auto"/>
            </w:pPr>
            <w:r w:rsidRPr="082F9667">
              <w:rPr>
                <w:rFonts w:eastAsia="Times New Roman" w:cs="Times New Roman"/>
                <w:i/>
                <w:iCs/>
                <w:sz w:val="16"/>
                <w:szCs w:val="16"/>
              </w:rPr>
              <w:t>Neisseria gonorrhoeae</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38CCE96B" w14:textId="62D38C05" w:rsidR="082F9667" w:rsidRDefault="082F9667" w:rsidP="082F9667">
            <w:pPr>
              <w:spacing w:line="257" w:lineRule="auto"/>
            </w:pPr>
            <w:r w:rsidRPr="082F9667">
              <w:rPr>
                <w:rFonts w:eastAsia="Times New Roman" w:cs="Times New Roman"/>
                <w:sz w:val="16"/>
                <w:szCs w:val="16"/>
              </w:rPr>
              <w:t xml:space="preserve">Fluoroquinolones </w:t>
            </w:r>
          </w:p>
        </w:tc>
      </w:tr>
      <w:tr w:rsidR="082F9667" w14:paraId="4C3D5ACB"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494BBC1E" w14:textId="44EF4E46" w:rsidR="082F9667" w:rsidRDefault="082F9667" w:rsidP="082F9667">
            <w:pPr>
              <w:spacing w:line="257" w:lineRule="auto"/>
            </w:pPr>
            <w:r w:rsidRPr="082F9667">
              <w:rPr>
                <w:rFonts w:eastAsia="Times New Roman" w:cs="Times New Roman"/>
                <w:i/>
                <w:iCs/>
                <w:sz w:val="16"/>
                <w:szCs w:val="16"/>
              </w:rPr>
              <w:t xml:space="preserve">Proteus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048B84FB" w14:textId="100A620F" w:rsidR="082F9667" w:rsidRDefault="082F9667" w:rsidP="082F9667">
            <w:pPr>
              <w:spacing w:line="257" w:lineRule="auto"/>
            </w:pPr>
            <w:r w:rsidRPr="082F9667">
              <w:rPr>
                <w:rFonts w:eastAsia="Times New Roman" w:cs="Times New Roman"/>
                <w:sz w:val="16"/>
                <w:szCs w:val="16"/>
              </w:rPr>
              <w:t>Aminoglycosides, Aminopenicillins, Third-generation cephalosporins, Fluoroquinolones, Trimethoprim-Sulfamethoxazole</w:t>
            </w:r>
          </w:p>
        </w:tc>
      </w:tr>
      <w:tr w:rsidR="082F9667" w14:paraId="58A229D9"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210AAB80" w14:textId="58AB092F" w:rsidR="082F9667" w:rsidRDefault="082F9667" w:rsidP="082F9667">
            <w:pPr>
              <w:spacing w:line="257" w:lineRule="auto"/>
            </w:pPr>
            <w:r w:rsidRPr="082F9667">
              <w:rPr>
                <w:rFonts w:eastAsia="Times New Roman" w:cs="Times New Roman"/>
                <w:i/>
                <w:iCs/>
                <w:sz w:val="16"/>
                <w:szCs w:val="16"/>
              </w:rPr>
              <w:t>Pseudomonas aeruginosa</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2043C7E" w14:textId="6C512F78" w:rsidR="082F9667" w:rsidRDefault="082F9667" w:rsidP="082F9667">
            <w:pPr>
              <w:spacing w:line="257" w:lineRule="auto"/>
            </w:pPr>
            <w:r w:rsidRPr="082F9667">
              <w:rPr>
                <w:rFonts w:eastAsia="Times New Roman" w:cs="Times New Roman"/>
                <w:sz w:val="16"/>
                <w:szCs w:val="16"/>
              </w:rPr>
              <w:t>Aminoglycosides, Anti-pseudomonal penicillin/Beta-lactamase inhibitors, Carbapenems, Third-generation cephalosporins, Fourth-generation cephalosporins, Fluoroquinolones</w:t>
            </w:r>
          </w:p>
        </w:tc>
      </w:tr>
      <w:tr w:rsidR="082F9667" w14:paraId="29591E7C"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10EFD7B1" w14:textId="16CA4B5F" w:rsidR="082F9667" w:rsidRDefault="082F9667" w:rsidP="082F9667">
            <w:pPr>
              <w:spacing w:line="257" w:lineRule="auto"/>
            </w:pPr>
            <w:r w:rsidRPr="082F9667">
              <w:rPr>
                <w:rFonts w:eastAsia="Times New Roman" w:cs="Times New Roman"/>
                <w:i/>
                <w:iCs/>
                <w:sz w:val="16"/>
                <w:szCs w:val="16"/>
              </w:rPr>
              <w:t xml:space="preserve">Serratia </w:t>
            </w:r>
            <w:r w:rsidRPr="082F9667">
              <w:rPr>
                <w:rFonts w:eastAsia="Times New Roman" w:cs="Times New Roman"/>
                <w:sz w:val="16"/>
                <w:szCs w:val="16"/>
              </w:rPr>
              <w:t>species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2403FB9F" w14:textId="77CE77D7" w:rsidR="082F9667" w:rsidRDefault="082F9667" w:rsidP="082F9667">
            <w:pPr>
              <w:spacing w:line="257" w:lineRule="auto"/>
            </w:pPr>
            <w:r w:rsidRPr="082F9667">
              <w:rPr>
                <w:rFonts w:eastAsia="Times New Roman" w:cs="Times New Roman"/>
                <w:sz w:val="16"/>
                <w:szCs w:val="16"/>
              </w:rPr>
              <w:t xml:space="preserve">Aminoglycosides, Anti-pseudomonal penicillin/Beta-lactamase inhibitors, Carbapenems, Third-generation cephalosporins, Fourth-generation cephalosporins, Fluoroquinolones </w:t>
            </w:r>
          </w:p>
        </w:tc>
      </w:tr>
      <w:tr w:rsidR="082F9667" w14:paraId="4DA3AA79"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16D52E77" w14:textId="57E859C5" w:rsidR="082F9667" w:rsidRDefault="082F9667" w:rsidP="082F9667">
            <w:pPr>
              <w:spacing w:line="257" w:lineRule="auto"/>
            </w:pPr>
            <w:r w:rsidRPr="082F9667">
              <w:rPr>
                <w:rFonts w:eastAsia="Times New Roman" w:cs="Times New Roman"/>
                <w:i/>
                <w:iCs/>
                <w:sz w:val="16"/>
                <w:szCs w:val="16"/>
              </w:rPr>
              <w:t>Staphylococcus aureus</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343ABF91" w14:textId="48667784" w:rsidR="082F9667" w:rsidRDefault="082F9667" w:rsidP="082F9667">
            <w:pPr>
              <w:spacing w:line="257" w:lineRule="auto"/>
            </w:pPr>
            <w:r w:rsidRPr="082F9667">
              <w:rPr>
                <w:rFonts w:eastAsia="Times New Roman" w:cs="Times New Roman"/>
                <w:sz w:val="16"/>
                <w:szCs w:val="16"/>
              </w:rPr>
              <w:t>Fluoroquinolones, Macrolide, Trimethoprim-Sulfamethoxazole, Vancomycin</w:t>
            </w:r>
          </w:p>
        </w:tc>
      </w:tr>
      <w:tr w:rsidR="082F9667" w14:paraId="5937CA7B" w14:textId="77777777" w:rsidTr="082F9667">
        <w:trPr>
          <w:trHeight w:val="15"/>
        </w:trPr>
        <w:tc>
          <w:tcPr>
            <w:tcW w:w="225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7D18607A" w14:textId="2B226F0F" w:rsidR="082F9667" w:rsidRDefault="082F9667" w:rsidP="082F9667">
            <w:pPr>
              <w:spacing w:line="257" w:lineRule="auto"/>
            </w:pPr>
            <w:r w:rsidRPr="082F9667">
              <w:rPr>
                <w:rFonts w:eastAsia="Times New Roman" w:cs="Times New Roman"/>
                <w:i/>
                <w:iCs/>
                <w:sz w:val="16"/>
                <w:szCs w:val="16"/>
              </w:rPr>
              <w:t>Streptococcus pneumoniae</w:t>
            </w:r>
          </w:p>
        </w:tc>
        <w:tc>
          <w:tcPr>
            <w:tcW w:w="7110" w:type="dxa"/>
            <w:tc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tcBorders>
            <w:vAlign w:val="center"/>
          </w:tcPr>
          <w:p w14:paraId="62E89BF7" w14:textId="79F59B97" w:rsidR="082F9667" w:rsidRDefault="082F9667" w:rsidP="082F9667">
            <w:pPr>
              <w:spacing w:line="257" w:lineRule="auto"/>
            </w:pPr>
            <w:r w:rsidRPr="082F9667">
              <w:rPr>
                <w:rFonts w:eastAsia="Times New Roman" w:cs="Times New Roman"/>
                <w:sz w:val="16"/>
                <w:szCs w:val="16"/>
              </w:rPr>
              <w:t>Beta-lactam/Beta-lactamase inhibitors, Carbapenems, Third-generation cephalosporins, Fluoroquinolones, Macrolide, Trimethoprim-Sulfamethoxazole</w:t>
            </w:r>
          </w:p>
        </w:tc>
      </w:tr>
    </w:tbl>
    <w:p w14:paraId="2391090F" w14:textId="16FB4CA1" w:rsidR="6B99E739" w:rsidRDefault="6B99E739" w:rsidP="082F9667">
      <w:pPr>
        <w:spacing w:line="257" w:lineRule="auto"/>
      </w:pPr>
      <w:r w:rsidRPr="082F9667">
        <w:rPr>
          <w:rFonts w:eastAsia="Times New Roman" w:cs="Times New Roman"/>
          <w:sz w:val="16"/>
          <w:szCs w:val="16"/>
        </w:rPr>
        <w:t xml:space="preserve">Group A </w:t>
      </w:r>
      <w:r w:rsidRPr="082F9667">
        <w:rPr>
          <w:rFonts w:eastAsia="Times New Roman" w:cs="Times New Roman"/>
          <w:i/>
          <w:iCs/>
          <w:sz w:val="16"/>
          <w:szCs w:val="16"/>
        </w:rPr>
        <w:t xml:space="preserve">Streptococcus = Streptococcus pyogenes. </w:t>
      </w:r>
      <w:r w:rsidRPr="082F9667">
        <w:rPr>
          <w:rFonts w:eastAsia="Times New Roman" w:cs="Times New Roman"/>
          <w:sz w:val="16"/>
          <w:szCs w:val="16"/>
        </w:rPr>
        <w:t xml:space="preserve">Group B </w:t>
      </w:r>
      <w:r w:rsidRPr="082F9667">
        <w:rPr>
          <w:rFonts w:eastAsia="Times New Roman" w:cs="Times New Roman"/>
          <w:i/>
          <w:iCs/>
          <w:sz w:val="16"/>
          <w:szCs w:val="16"/>
        </w:rPr>
        <w:t>Streptococcus = Streptococcus agalactiae</w:t>
      </w:r>
    </w:p>
    <w:p w14:paraId="6D680A6C" w14:textId="77777777" w:rsidR="00217EF7" w:rsidRDefault="00217EF7" w:rsidP="00D7626E">
      <w:pPr>
        <w:spacing w:after="0"/>
        <w:rPr>
          <w:rFonts w:eastAsiaTheme="majorEastAsia" w:cstheme="majorBidi"/>
          <w:i/>
          <w:color w:val="1F4D78" w:themeColor="accent1" w:themeShade="7F"/>
          <w:szCs w:val="24"/>
        </w:rPr>
      </w:pPr>
    </w:p>
    <w:p w14:paraId="06DEB65C" w14:textId="37B071F6"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 xml:space="preserve">Section 3.5.2: Data processing </w:t>
      </w:r>
    </w:p>
    <w:p w14:paraId="1EF71B79" w14:textId="537A3A6D" w:rsidR="6B99E739" w:rsidRPr="005D2363" w:rsidRDefault="6B99E739" w:rsidP="082F9667">
      <w:pPr>
        <w:spacing w:line="257" w:lineRule="auto"/>
        <w:rPr>
          <w:rFonts w:cs="Times New Roman"/>
          <w:szCs w:val="20"/>
        </w:rPr>
      </w:pPr>
      <w:r w:rsidRPr="005D2363">
        <w:rPr>
          <w:rFonts w:eastAsia="Times New Roman" w:cs="Times New Roman"/>
          <w:szCs w:val="20"/>
        </w:rPr>
        <w:t>The prevalence of resistance for each pathogen–drug combination was calculated for each data source, by country and year. Whenever possible, we classified resistance using the most recent CLSI guidelines based on the MICs provided in the data. When MICs were unavailable, we deferred to lab interpretation to classify the isolates. All isolates determined to have intermediate resistance were classified as resistant. To determine the prevalence of resistance to a class of antibiotics (</w:t>
      </w:r>
      <w:proofErr w:type="spellStart"/>
      <w:r w:rsidRPr="005D2363">
        <w:rPr>
          <w:rFonts w:eastAsia="Times New Roman" w:cs="Times New Roman"/>
          <w:szCs w:val="20"/>
        </w:rPr>
        <w:t>eg</w:t>
      </w:r>
      <w:proofErr w:type="spellEnd"/>
      <w:r w:rsidRPr="005D2363">
        <w:rPr>
          <w:rFonts w:eastAsia="Times New Roman" w:cs="Times New Roman"/>
          <w:szCs w:val="20"/>
        </w:rPr>
        <w:t>, fluoroquinolones), resistance to any one of the antibiotics in the class was sufficient to classify an isolate as resistant for line level data (</w:t>
      </w:r>
      <w:proofErr w:type="spellStart"/>
      <w:r w:rsidRPr="005D2363">
        <w:rPr>
          <w:rFonts w:eastAsia="Times New Roman" w:cs="Times New Roman"/>
          <w:szCs w:val="20"/>
        </w:rPr>
        <w:t>ie</w:t>
      </w:r>
      <w:proofErr w:type="spellEnd"/>
      <w:r w:rsidRPr="005D2363">
        <w:rPr>
          <w:rFonts w:eastAsia="Times New Roman" w:cs="Times New Roman"/>
          <w:szCs w:val="20"/>
        </w:rPr>
        <w:t>, susceptibility data for individual isolates). For aggregate data (</w:t>
      </w:r>
      <w:proofErr w:type="spellStart"/>
      <w:r w:rsidRPr="005D2363">
        <w:rPr>
          <w:rFonts w:eastAsia="Times New Roman" w:cs="Times New Roman"/>
          <w:szCs w:val="20"/>
        </w:rPr>
        <w:t>ie</w:t>
      </w:r>
      <w:proofErr w:type="spellEnd"/>
      <w:r w:rsidRPr="005D2363">
        <w:rPr>
          <w:rFonts w:eastAsia="Times New Roman" w:cs="Times New Roman"/>
          <w:szCs w:val="20"/>
        </w:rPr>
        <w:t xml:space="preserve">, the proportion of isolates resistant to various antibiotics), the highest prevalence of resistance to any antibiotic in the class was selected. Multidrug resistance in </w:t>
      </w:r>
      <w:r w:rsidRPr="005D2363">
        <w:rPr>
          <w:rFonts w:eastAsia="Times New Roman" w:cs="Times New Roman"/>
          <w:i/>
          <w:iCs/>
          <w:szCs w:val="20"/>
        </w:rPr>
        <w:t xml:space="preserve">Salmonella </w:t>
      </w:r>
      <w:r w:rsidRPr="005D2363">
        <w:rPr>
          <w:rFonts w:eastAsia="Times New Roman" w:cs="Times New Roman"/>
          <w:szCs w:val="20"/>
        </w:rPr>
        <w:t xml:space="preserve">species was defined as concurrent resistance to ampicillin/amoxicillin, chloramphenicol, and trimethoprim-sulfamethoxazole; and fluoroquinolone resistance was defined as ciprofloxacin minimum inhibitory concentration of 0.125 </w:t>
      </w:r>
      <w:proofErr w:type="spellStart"/>
      <w:r w:rsidRPr="005D2363">
        <w:rPr>
          <w:rFonts w:eastAsia="Times New Roman" w:cs="Times New Roman"/>
          <w:szCs w:val="20"/>
        </w:rPr>
        <w:t>μg</w:t>
      </w:r>
      <w:proofErr w:type="spellEnd"/>
      <w:r w:rsidRPr="005D2363">
        <w:rPr>
          <w:rFonts w:eastAsia="Times New Roman" w:cs="Times New Roman"/>
          <w:szCs w:val="20"/>
        </w:rPr>
        <w:t xml:space="preserve">/ml or higher, or nalidixic acid resistance (CLSI breakpoint for </w:t>
      </w:r>
      <w:r w:rsidRPr="005D2363">
        <w:rPr>
          <w:rFonts w:eastAsia="Times New Roman" w:cs="Times New Roman"/>
          <w:i/>
          <w:iCs/>
          <w:szCs w:val="20"/>
        </w:rPr>
        <w:t>Salmonella</w:t>
      </w:r>
      <w:r w:rsidRPr="005D2363">
        <w:rPr>
          <w:rFonts w:eastAsia="Times New Roman" w:cs="Times New Roman"/>
          <w:szCs w:val="20"/>
        </w:rPr>
        <w:t xml:space="preserve"> spp</w:t>
      </w:r>
      <w:r w:rsidRPr="005D2363">
        <w:rPr>
          <w:rFonts w:eastAsia="Times New Roman" w:cs="Times New Roman"/>
          <w:i/>
          <w:iCs/>
          <w:szCs w:val="20"/>
        </w:rPr>
        <w:t>.</w:t>
      </w:r>
      <w:r w:rsidRPr="005D2363">
        <w:rPr>
          <w:rFonts w:eastAsia="Times New Roman" w:cs="Times New Roman"/>
          <w:szCs w:val="20"/>
        </w:rPr>
        <w:t xml:space="preserve"> were updated in 2012 to include 0.125 </w:t>
      </w:r>
      <w:proofErr w:type="spellStart"/>
      <w:r w:rsidRPr="005D2363">
        <w:rPr>
          <w:rFonts w:eastAsia="Times New Roman" w:cs="Times New Roman"/>
          <w:szCs w:val="20"/>
        </w:rPr>
        <w:t>μg</w:t>
      </w:r>
      <w:proofErr w:type="spellEnd"/>
      <w:r w:rsidRPr="005D2363">
        <w:rPr>
          <w:rFonts w:eastAsia="Times New Roman" w:cs="Times New Roman"/>
          <w:szCs w:val="20"/>
        </w:rPr>
        <w:t xml:space="preserve">/ml as isolates with </w:t>
      </w:r>
      <w:r w:rsidRPr="005D2363">
        <w:rPr>
          <w:rFonts w:eastAsia="Times New Roman" w:cs="Times New Roman"/>
          <w:szCs w:val="20"/>
        </w:rPr>
        <w:lastRenderedPageBreak/>
        <w:t xml:space="preserve">‘decreased ciprofloxacin susceptibility’, and we have considered these as resistant). Nalidixic acid resistance was also used as a proxy for fluoroquinolone non-susceptibility for </w:t>
      </w:r>
      <w:r w:rsidRPr="005D2363">
        <w:rPr>
          <w:rFonts w:eastAsia="Times New Roman" w:cs="Times New Roman"/>
          <w:i/>
          <w:iCs/>
          <w:szCs w:val="20"/>
        </w:rPr>
        <w:t xml:space="preserve">Shigella </w:t>
      </w:r>
      <w:r w:rsidRPr="005D2363">
        <w:rPr>
          <w:rFonts w:eastAsia="Times New Roman" w:cs="Times New Roman"/>
          <w:szCs w:val="20"/>
        </w:rPr>
        <w:t>species.</w:t>
      </w:r>
    </w:p>
    <w:p w14:paraId="1E48B940" w14:textId="30118CE5" w:rsidR="6B99E739" w:rsidRPr="005D2363" w:rsidRDefault="6B99E739" w:rsidP="082F9667">
      <w:pPr>
        <w:spacing w:line="257" w:lineRule="auto"/>
        <w:rPr>
          <w:rFonts w:cs="Times New Roman"/>
          <w:szCs w:val="20"/>
        </w:rPr>
      </w:pPr>
      <w:r w:rsidRPr="005D2363">
        <w:rPr>
          <w:rFonts w:eastAsia="Times New Roman" w:cs="Times New Roman"/>
          <w:szCs w:val="20"/>
        </w:rPr>
        <w:t>To account for biased level of resistance found in tertiary care settings, we reviewed all input data used for the prevalence of resistance estimation and classified each data source as either tertiary, non-tertiary, or unknown/mixed designation, which was a commonly used classification for large resistance surveillance networks which don’t report on the hospitals they collect data from. We located datasets that either provided facility information at the line-level or reported samples from exclusively tertiary or non-tertiary facilities. Where possible, we used tertiary/non-tertiary assignments from the data providers. When no assignments were available, we classified sites as primary, secondary and following the definitions provided by Jamison et al.,</w:t>
      </w:r>
      <w:r w:rsidRPr="005D2363">
        <w:rPr>
          <w:rFonts w:eastAsia="Times New Roman" w:cs="Times New Roman"/>
          <w:szCs w:val="20"/>
          <w:vertAlign w:val="superscript"/>
        </w:rPr>
        <w:t>16</w:t>
      </w:r>
      <w:r w:rsidRPr="005D2363">
        <w:rPr>
          <w:rFonts w:eastAsia="Times New Roman" w:cs="Times New Roman"/>
          <w:szCs w:val="20"/>
        </w:rPr>
        <w:t xml:space="preserve"> as described in the appendix of Murray et al. (2022)</w:t>
      </w:r>
      <w:proofErr w:type="gramStart"/>
      <w:r w:rsidRPr="005D2363">
        <w:rPr>
          <w:rFonts w:eastAsia="Times New Roman" w:cs="Times New Roman"/>
          <w:szCs w:val="20"/>
        </w:rPr>
        <w:t>.</w:t>
      </w:r>
      <w:r w:rsidRPr="005D2363">
        <w:rPr>
          <w:rFonts w:eastAsia="Times New Roman" w:cs="Times New Roman"/>
          <w:szCs w:val="20"/>
          <w:vertAlign w:val="superscript"/>
        </w:rPr>
        <w:t>1</w:t>
      </w:r>
      <w:proofErr w:type="gramEnd"/>
    </w:p>
    <w:p w14:paraId="6B8D74E1" w14:textId="788A95AF" w:rsidR="6B99E739" w:rsidRPr="00EF16D2" w:rsidRDefault="6B99E739" w:rsidP="082F9667">
      <w:pPr>
        <w:spacing w:line="257" w:lineRule="auto"/>
        <w:rPr>
          <w:rFonts w:cs="Times New Roman"/>
          <w:szCs w:val="20"/>
        </w:rPr>
      </w:pPr>
      <w:r w:rsidRPr="005D2363">
        <w:rPr>
          <w:rFonts w:eastAsia="Times New Roman" w:cs="Times New Roman"/>
          <w:szCs w:val="20"/>
        </w:rPr>
        <w:t xml:space="preserve">Because the degree of bias in resistance between tertiary and non-tertiary data could vary, we ran a separate crosswalk for each super region and pathogen–drug </w:t>
      </w:r>
      <w:r w:rsidRPr="005D2363">
        <w:rPr>
          <w:rFonts w:eastAsia="Times New Roman" w:cs="Times New Roman"/>
          <w:i/>
          <w:iCs/>
          <w:szCs w:val="20"/>
        </w:rPr>
        <w:t>super group</w:t>
      </w:r>
      <w:r w:rsidRPr="005D2363">
        <w:rPr>
          <w:rFonts w:eastAsia="Times New Roman" w:cs="Times New Roman"/>
          <w:szCs w:val="20"/>
        </w:rPr>
        <w:t xml:space="preserve"> combination. Certain bacteria and antimicrobials were clustered into super groups to provide the models with more robust input data, though, crucially, while a given model would contain several </w:t>
      </w:r>
      <w:proofErr w:type="gramStart"/>
      <w:r w:rsidRPr="005D2363">
        <w:rPr>
          <w:rFonts w:eastAsia="Times New Roman" w:cs="Times New Roman"/>
          <w:szCs w:val="20"/>
        </w:rPr>
        <w:t>pathogen</w:t>
      </w:r>
      <w:proofErr w:type="gramEnd"/>
      <w:r w:rsidRPr="005D2363">
        <w:rPr>
          <w:rFonts w:eastAsia="Times New Roman" w:cs="Times New Roman"/>
          <w:szCs w:val="20"/>
        </w:rPr>
        <w:t xml:space="preserve">–drug combinations in its inputs, every matched pair was made comparing tertiary and non-tertiary values for the same combination. Bacteria were classified as follows (excluding those that would be robust to tertiary care bias, as well as </w:t>
      </w:r>
      <w:proofErr w:type="spellStart"/>
      <w:r w:rsidRPr="005D2363">
        <w:rPr>
          <w:rFonts w:eastAsia="Times New Roman" w:cs="Times New Roman"/>
          <w:i/>
          <w:iCs/>
          <w:szCs w:val="20"/>
        </w:rPr>
        <w:t>Morganella</w:t>
      </w:r>
      <w:proofErr w:type="spellEnd"/>
      <w:r w:rsidRPr="005D2363">
        <w:rPr>
          <w:rFonts w:eastAsia="Times New Roman" w:cs="Times New Roman"/>
          <w:i/>
          <w:iCs/>
          <w:szCs w:val="20"/>
        </w:rPr>
        <w:t xml:space="preserve"> </w:t>
      </w:r>
      <w:r w:rsidRPr="005D2363">
        <w:rPr>
          <w:rFonts w:eastAsia="Times New Roman" w:cs="Times New Roman"/>
          <w:szCs w:val="20"/>
        </w:rPr>
        <w:t xml:space="preserve">spp. due to no input data for that pathogen from tertiary facilities): </w:t>
      </w:r>
    </w:p>
    <w:p w14:paraId="234FB374" w14:textId="44EC5657" w:rsidR="6B99E739" w:rsidRPr="004F5186" w:rsidRDefault="6B99E739" w:rsidP="004F5186">
      <w:pPr>
        <w:spacing w:after="0"/>
        <w:rPr>
          <w:rFonts w:eastAsiaTheme="majorEastAsia" w:cstheme="majorBidi"/>
          <w:i/>
          <w:color w:val="1F4D78" w:themeColor="accent1" w:themeShade="7F"/>
          <w:szCs w:val="24"/>
        </w:rPr>
      </w:pPr>
      <w:r w:rsidRPr="004F5186">
        <w:rPr>
          <w:rFonts w:eastAsiaTheme="majorEastAsia" w:cstheme="majorBidi"/>
          <w:i/>
          <w:color w:val="1F4D78" w:themeColor="accent1" w:themeShade="7F"/>
          <w:szCs w:val="24"/>
        </w:rPr>
        <w:t>Table 3.5.2.1: Pathogens in each pathogen super group</w:t>
      </w:r>
    </w:p>
    <w:tbl>
      <w:tblPr>
        <w:tblStyle w:val="TableGrid"/>
        <w:tblW w:w="0" w:type="auto"/>
        <w:tblLayout w:type="fixed"/>
        <w:tblLook w:val="04A0" w:firstRow="1" w:lastRow="0" w:firstColumn="1" w:lastColumn="0" w:noHBand="0" w:noVBand="1"/>
      </w:tblPr>
      <w:tblGrid>
        <w:gridCol w:w="4680"/>
        <w:gridCol w:w="4680"/>
      </w:tblGrid>
      <w:tr w:rsidR="082F9667" w14:paraId="5F405812" w14:textId="77777777" w:rsidTr="082F966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21309FF3" w14:textId="40BC19C8" w:rsidR="082F9667" w:rsidRPr="00EF16D2" w:rsidRDefault="082F9667">
            <w:pPr>
              <w:rPr>
                <w:szCs w:val="20"/>
              </w:rPr>
            </w:pPr>
            <w:r w:rsidRPr="00EF16D2">
              <w:rPr>
                <w:rFonts w:eastAsia="Times New Roman" w:cs="Times New Roman"/>
                <w:b/>
                <w:bCs/>
                <w:szCs w:val="20"/>
              </w:rPr>
              <w:t>Pathogen super group</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Pr>
          <w:p w14:paraId="762338C8" w14:textId="311DDFAA" w:rsidR="082F9667" w:rsidRPr="00EF16D2" w:rsidRDefault="082F9667">
            <w:pPr>
              <w:rPr>
                <w:szCs w:val="20"/>
              </w:rPr>
            </w:pPr>
            <w:r w:rsidRPr="00EF16D2">
              <w:rPr>
                <w:rFonts w:eastAsia="Times New Roman" w:cs="Times New Roman"/>
                <w:b/>
                <w:bCs/>
                <w:szCs w:val="20"/>
              </w:rPr>
              <w:t>Incorporated pathogens</w:t>
            </w:r>
          </w:p>
        </w:tc>
      </w:tr>
      <w:tr w:rsidR="082F9667" w14:paraId="2710037A" w14:textId="77777777" w:rsidTr="082F966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5C3A0" w14:textId="14A77EC1" w:rsidR="082F9667" w:rsidRPr="00EF16D2" w:rsidRDefault="082F9667">
            <w:pPr>
              <w:rPr>
                <w:szCs w:val="20"/>
              </w:rPr>
            </w:pPr>
            <w:r w:rsidRPr="00EF16D2">
              <w:rPr>
                <w:rFonts w:eastAsia="Times New Roman" w:cs="Times New Roman"/>
                <w:szCs w:val="20"/>
              </w:rPr>
              <w:t>Gram-positives</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60FAB" w14:textId="75803DA7" w:rsidR="082F9667" w:rsidRPr="00EF16D2" w:rsidRDefault="082F9667">
            <w:pPr>
              <w:rPr>
                <w:szCs w:val="20"/>
              </w:rPr>
            </w:pPr>
            <w:r w:rsidRPr="00EF16D2">
              <w:rPr>
                <w:rFonts w:eastAsia="Times New Roman" w:cs="Times New Roman"/>
                <w:i/>
                <w:iCs/>
                <w:szCs w:val="20"/>
              </w:rPr>
              <w:t>Enterococcus faecalis</w:t>
            </w:r>
            <w:r w:rsidRPr="00EF16D2">
              <w:rPr>
                <w:rFonts w:eastAsia="Times New Roman" w:cs="Times New Roman"/>
                <w:szCs w:val="20"/>
              </w:rPr>
              <w:t xml:space="preserve">, </w:t>
            </w:r>
            <w:r w:rsidRPr="00EF16D2">
              <w:rPr>
                <w:rFonts w:eastAsia="Times New Roman" w:cs="Times New Roman"/>
                <w:i/>
                <w:iCs/>
                <w:szCs w:val="20"/>
              </w:rPr>
              <w:t>Enterococcus faecium, Enterococcus</w:t>
            </w:r>
            <w:r w:rsidRPr="00EF16D2">
              <w:rPr>
                <w:rFonts w:eastAsia="Times New Roman" w:cs="Times New Roman"/>
                <w:szCs w:val="20"/>
              </w:rPr>
              <w:t xml:space="preserve"> spp., Group A </w:t>
            </w:r>
            <w:r w:rsidRPr="00EF16D2">
              <w:rPr>
                <w:rFonts w:eastAsia="Times New Roman" w:cs="Times New Roman"/>
                <w:i/>
                <w:iCs/>
                <w:szCs w:val="20"/>
              </w:rPr>
              <w:t>Streptococcus</w:t>
            </w:r>
            <w:r w:rsidRPr="00EF16D2">
              <w:rPr>
                <w:rFonts w:eastAsia="Times New Roman" w:cs="Times New Roman"/>
                <w:szCs w:val="20"/>
              </w:rPr>
              <w:t xml:space="preserve">, Group B </w:t>
            </w:r>
            <w:r w:rsidRPr="00EF16D2">
              <w:rPr>
                <w:rFonts w:eastAsia="Times New Roman" w:cs="Times New Roman"/>
                <w:i/>
                <w:iCs/>
                <w:szCs w:val="20"/>
              </w:rPr>
              <w:t>Streptococcus</w:t>
            </w:r>
            <w:r w:rsidRPr="00EF16D2">
              <w:rPr>
                <w:rFonts w:eastAsia="Times New Roman" w:cs="Times New Roman"/>
                <w:szCs w:val="20"/>
              </w:rPr>
              <w:t xml:space="preserve">, </w:t>
            </w:r>
            <w:r w:rsidRPr="00EF16D2">
              <w:rPr>
                <w:rFonts w:eastAsia="Times New Roman" w:cs="Times New Roman"/>
                <w:i/>
                <w:iCs/>
                <w:szCs w:val="20"/>
              </w:rPr>
              <w:t>Staphylococcus aureus, Streptococcus pneumoniae</w:t>
            </w:r>
          </w:p>
        </w:tc>
      </w:tr>
      <w:tr w:rsidR="082F9667" w14:paraId="3347DF96" w14:textId="77777777" w:rsidTr="082F966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B0E1E" w14:textId="751FCBAC" w:rsidR="082F9667" w:rsidRPr="00EF16D2" w:rsidRDefault="082F9667">
            <w:pPr>
              <w:rPr>
                <w:szCs w:val="20"/>
              </w:rPr>
            </w:pPr>
            <w:proofErr w:type="spellStart"/>
            <w:r w:rsidRPr="00EF16D2">
              <w:rPr>
                <w:rFonts w:eastAsia="Times New Roman" w:cs="Times New Roman"/>
                <w:szCs w:val="20"/>
              </w:rPr>
              <w:t>Enterobacterales</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E0B47F" w14:textId="08A6D379" w:rsidR="082F9667" w:rsidRPr="00EF16D2" w:rsidRDefault="082F9667">
            <w:pPr>
              <w:rPr>
                <w:szCs w:val="20"/>
              </w:rPr>
            </w:pPr>
            <w:r w:rsidRPr="00EF16D2">
              <w:rPr>
                <w:rFonts w:eastAsia="Times New Roman" w:cs="Times New Roman"/>
                <w:i/>
                <w:iCs/>
                <w:szCs w:val="20"/>
              </w:rPr>
              <w:t xml:space="preserve">Citrobacter </w:t>
            </w:r>
            <w:r w:rsidRPr="00EF16D2">
              <w:rPr>
                <w:rFonts w:eastAsia="Times New Roman" w:cs="Times New Roman"/>
                <w:szCs w:val="20"/>
              </w:rPr>
              <w:t xml:space="preserve">spp., </w:t>
            </w:r>
            <w:r w:rsidRPr="00EF16D2">
              <w:rPr>
                <w:rFonts w:eastAsia="Times New Roman" w:cs="Times New Roman"/>
                <w:i/>
                <w:iCs/>
                <w:szCs w:val="20"/>
              </w:rPr>
              <w:t>Enterobacter</w:t>
            </w:r>
            <w:r w:rsidRPr="00EF16D2">
              <w:rPr>
                <w:rFonts w:eastAsia="Times New Roman" w:cs="Times New Roman"/>
                <w:szCs w:val="20"/>
              </w:rPr>
              <w:t xml:space="preserve"> spp., </w:t>
            </w:r>
            <w:r w:rsidRPr="00EF16D2">
              <w:rPr>
                <w:rFonts w:eastAsia="Times New Roman" w:cs="Times New Roman"/>
                <w:i/>
                <w:iCs/>
                <w:szCs w:val="20"/>
              </w:rPr>
              <w:t xml:space="preserve">Escherichia coli, </w:t>
            </w:r>
            <w:proofErr w:type="spellStart"/>
            <w:r w:rsidRPr="00EF16D2">
              <w:rPr>
                <w:rFonts w:eastAsia="Times New Roman" w:cs="Times New Roman"/>
                <w:i/>
                <w:iCs/>
                <w:szCs w:val="20"/>
              </w:rPr>
              <w:t>Haemophilus</w:t>
            </w:r>
            <w:proofErr w:type="spellEnd"/>
            <w:r w:rsidRPr="00EF16D2">
              <w:rPr>
                <w:rFonts w:eastAsia="Times New Roman" w:cs="Times New Roman"/>
                <w:i/>
                <w:iCs/>
                <w:szCs w:val="20"/>
              </w:rPr>
              <w:t xml:space="preserve"> influenzae, Klebsiella pneumoniae, Proteus</w:t>
            </w:r>
            <w:r w:rsidRPr="00EF16D2">
              <w:rPr>
                <w:rFonts w:eastAsia="Times New Roman" w:cs="Times New Roman"/>
                <w:szCs w:val="20"/>
              </w:rPr>
              <w:t xml:space="preserve"> spp., </w:t>
            </w:r>
            <w:r w:rsidRPr="00EF16D2">
              <w:rPr>
                <w:rFonts w:eastAsia="Times New Roman" w:cs="Times New Roman"/>
                <w:i/>
                <w:iCs/>
                <w:szCs w:val="20"/>
              </w:rPr>
              <w:t>Serratia</w:t>
            </w:r>
            <w:r w:rsidRPr="00EF16D2">
              <w:rPr>
                <w:rFonts w:eastAsia="Times New Roman" w:cs="Times New Roman"/>
                <w:szCs w:val="20"/>
              </w:rPr>
              <w:t xml:space="preserve"> spp.</w:t>
            </w:r>
          </w:p>
        </w:tc>
      </w:tr>
      <w:tr w:rsidR="082F9667" w14:paraId="14E72702" w14:textId="77777777" w:rsidTr="082F966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0AFB0" w14:textId="44F18E74" w:rsidR="082F9667" w:rsidRPr="00EF16D2" w:rsidRDefault="082F9667">
            <w:pPr>
              <w:rPr>
                <w:szCs w:val="20"/>
              </w:rPr>
            </w:pPr>
            <w:proofErr w:type="spellStart"/>
            <w:r w:rsidRPr="00EF16D2">
              <w:rPr>
                <w:rFonts w:eastAsia="Times New Roman" w:cs="Times New Roman"/>
                <w:szCs w:val="20"/>
              </w:rPr>
              <w:t>Pseudomonadales</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5054D" w14:textId="616CAD2B" w:rsidR="082F9667" w:rsidRPr="00EF16D2" w:rsidRDefault="082F9667">
            <w:pPr>
              <w:rPr>
                <w:szCs w:val="20"/>
              </w:rPr>
            </w:pPr>
            <w:r w:rsidRPr="00EF16D2">
              <w:rPr>
                <w:rFonts w:eastAsia="Times New Roman" w:cs="Times New Roman"/>
                <w:i/>
                <w:iCs/>
                <w:szCs w:val="20"/>
              </w:rPr>
              <w:t xml:space="preserve">Acinetobacter </w:t>
            </w:r>
            <w:proofErr w:type="spellStart"/>
            <w:r w:rsidRPr="00EF16D2">
              <w:rPr>
                <w:rFonts w:eastAsia="Times New Roman" w:cs="Times New Roman"/>
                <w:i/>
                <w:iCs/>
                <w:szCs w:val="20"/>
              </w:rPr>
              <w:t>baumannii</w:t>
            </w:r>
            <w:proofErr w:type="spellEnd"/>
            <w:r w:rsidRPr="00EF16D2">
              <w:rPr>
                <w:rFonts w:eastAsia="Times New Roman" w:cs="Times New Roman"/>
                <w:i/>
                <w:iCs/>
                <w:szCs w:val="20"/>
              </w:rPr>
              <w:t>, Pseudomonas aeruginosa</w:t>
            </w:r>
          </w:p>
        </w:tc>
      </w:tr>
    </w:tbl>
    <w:p w14:paraId="4B7ACB95" w14:textId="28484B87" w:rsidR="6B99E739" w:rsidRDefault="6B99E739" w:rsidP="082F9667">
      <w:pPr>
        <w:spacing w:line="257" w:lineRule="auto"/>
      </w:pPr>
      <w:r w:rsidRPr="082F9667">
        <w:rPr>
          <w:rFonts w:eastAsia="Times New Roman" w:cs="Times New Roman"/>
          <w:sz w:val="24"/>
          <w:szCs w:val="24"/>
        </w:rPr>
        <w:t xml:space="preserve"> </w:t>
      </w:r>
    </w:p>
    <w:p w14:paraId="3073D4B4" w14:textId="7801B95B" w:rsidR="6B99E739" w:rsidRPr="005D2363" w:rsidRDefault="6B99E739" w:rsidP="082F9667">
      <w:pPr>
        <w:spacing w:line="257" w:lineRule="auto"/>
        <w:rPr>
          <w:rFonts w:cs="Times New Roman"/>
          <w:szCs w:val="20"/>
        </w:rPr>
      </w:pPr>
      <w:r w:rsidRPr="005D2363">
        <w:rPr>
          <w:rFonts w:eastAsia="Times New Roman" w:cs="Times New Roman"/>
          <w:szCs w:val="20"/>
        </w:rPr>
        <w:t xml:space="preserve">Only one group of antimicrobials was clustered to create an antimicrobial super group, the β-lactam group, which was comprised of: aminopenicillin, anti-pseudomonal penicillin, β-lactamase inhibitors, carbapenems, third and fourth generation cephalosporins, methicillin, and penicillin. All other antibiotic classes (aminoglycosides, fluoroquinolones, macrolides, </w:t>
      </w:r>
      <w:proofErr w:type="spellStart"/>
      <w:r w:rsidRPr="005D2363">
        <w:rPr>
          <w:rFonts w:eastAsia="Times New Roman" w:cs="Times New Roman"/>
          <w:szCs w:val="20"/>
        </w:rPr>
        <w:t>sulfanoamides</w:t>
      </w:r>
      <w:proofErr w:type="spellEnd"/>
      <w:r w:rsidRPr="005D2363">
        <w:rPr>
          <w:rFonts w:eastAsia="Times New Roman" w:cs="Times New Roman"/>
          <w:szCs w:val="20"/>
        </w:rPr>
        <w:t>, and vancomycin) each individually comprised their own antimicrobial super group.</w:t>
      </w:r>
    </w:p>
    <w:p w14:paraId="001F721F" w14:textId="3EB7A704" w:rsidR="6B99E739" w:rsidRPr="005D2363" w:rsidRDefault="6B99E739" w:rsidP="082F9667">
      <w:pPr>
        <w:spacing w:line="257" w:lineRule="auto"/>
        <w:rPr>
          <w:rFonts w:cs="Times New Roman"/>
          <w:szCs w:val="20"/>
        </w:rPr>
      </w:pPr>
      <w:r w:rsidRPr="005D2363">
        <w:rPr>
          <w:rFonts w:eastAsia="Times New Roman" w:cs="Times New Roman"/>
          <w:szCs w:val="20"/>
        </w:rPr>
        <w:t>To allow us to implement linear models, resistance values were logit-transformed. We used the delta method to compute the standard error of the prevalence of resistance in logit space. To incorporate data with zero resistance, or with complete resistance, we applied a 0.1% offset, such that the prevalence of resistance for data with zero resistance was represented as 0.1% and the prevalence of resistance for data with total resistance was represented as 99.9%. We then used the MR-BRT modelling framework to estimate the logit difference of tertiary and non-tertiary data for each super region-pathogen/antimicrobial ‘super combination’, including a random effect for each pathogen–drug combination within the super combination and employing a positivity prior to enforce the constraint that the tertiary data exceed or be equal to the non-tertiary data.</w:t>
      </w:r>
    </w:p>
    <w:p w14:paraId="12177767" w14:textId="6BF535B8" w:rsidR="6B99E739" w:rsidRPr="005D2363" w:rsidRDefault="6B99E739" w:rsidP="082F9667">
      <w:pPr>
        <w:spacing w:line="257" w:lineRule="auto"/>
        <w:rPr>
          <w:rFonts w:cs="Times New Roman"/>
          <w:szCs w:val="20"/>
        </w:rPr>
      </w:pPr>
      <w:r w:rsidRPr="005D2363">
        <w:rPr>
          <w:rFonts w:eastAsia="Times New Roman" w:cs="Times New Roman"/>
          <w:szCs w:val="20"/>
        </w:rPr>
        <w:t xml:space="preserve">After modelling the difference between tertiary and non-tertiary data, we implemented the models to adjust all the country-level tertiary input data that was indicated as biased. We then used the adjusted prevalence of resistance estimates from tertiary care facilities and unadjusted prevalence of resistance from non-tertiary/mixed care facilities as data inputs for the prevalence of resistance models. As was done before, resistance values were offset prior to logit-transformation to allow the use of linear models; data with zero resistance or complete resistance was offset by 2%. Exceptions to this offset were made for two combinations, </w:t>
      </w:r>
      <w:r w:rsidRPr="005D2363">
        <w:rPr>
          <w:rFonts w:eastAsia="Times New Roman" w:cs="Times New Roman"/>
          <w:i/>
          <w:iCs/>
          <w:szCs w:val="20"/>
        </w:rPr>
        <w:t>Staphylococcus aureus</w:t>
      </w:r>
      <w:r w:rsidRPr="005D2363">
        <w:rPr>
          <w:rFonts w:eastAsia="Times New Roman" w:cs="Times New Roman"/>
          <w:szCs w:val="20"/>
        </w:rPr>
        <w:t xml:space="preserve">/vancomycin and Group B </w:t>
      </w:r>
      <w:r w:rsidRPr="005D2363">
        <w:rPr>
          <w:rFonts w:eastAsia="Times New Roman" w:cs="Times New Roman"/>
          <w:i/>
          <w:iCs/>
          <w:szCs w:val="20"/>
        </w:rPr>
        <w:t>Streptococcus</w:t>
      </w:r>
      <w:r w:rsidRPr="005D2363">
        <w:rPr>
          <w:rFonts w:eastAsia="Times New Roman" w:cs="Times New Roman"/>
          <w:szCs w:val="20"/>
        </w:rPr>
        <w:t>/penicillin, which were anticipated to often have values beneath 2% resistance. For these combinations, we applied a 0.5% offset instead.</w:t>
      </w:r>
    </w:p>
    <w:p w14:paraId="758E9E40" w14:textId="172B45B5"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lastRenderedPageBreak/>
        <w:t xml:space="preserve">Section 3.5.3: Modelling framework </w:t>
      </w:r>
    </w:p>
    <w:p w14:paraId="70E0C2DE" w14:textId="66FC65C9" w:rsidR="6B99E739" w:rsidRPr="005D2363" w:rsidRDefault="6B99E739" w:rsidP="082F9667">
      <w:pPr>
        <w:spacing w:line="257" w:lineRule="auto"/>
        <w:rPr>
          <w:rFonts w:cs="Times New Roman"/>
          <w:szCs w:val="20"/>
        </w:rPr>
      </w:pPr>
      <w:r w:rsidRPr="005D2363">
        <w:rPr>
          <w:rFonts w:eastAsia="Times New Roman" w:cs="Times New Roman"/>
          <w:szCs w:val="20"/>
        </w:rPr>
        <w:t xml:space="preserve">The prevalence of AMR in each pathogen–drug combination was modelled separately. For the core combinations, excluding </w:t>
      </w:r>
      <w:r w:rsidRPr="005D2363">
        <w:rPr>
          <w:rFonts w:eastAsia="Times New Roman" w:cs="Times New Roman"/>
          <w:i/>
          <w:iCs/>
          <w:szCs w:val="20"/>
        </w:rPr>
        <w:t>N. gonorrhoeae</w:t>
      </w:r>
      <w:r w:rsidRPr="005D2363">
        <w:rPr>
          <w:rFonts w:eastAsia="Times New Roman" w:cs="Times New Roman"/>
          <w:szCs w:val="20"/>
        </w:rPr>
        <w:t>/3GC, we selected a range of spatially- and temporally-explicit health and socio-demographic-related covariates with biologically plausible associations to the prevalence of AMR in each pathogen from the Global Health Data Exchange (</w:t>
      </w:r>
      <w:hyperlink r:id="rId8">
        <w:r w:rsidRPr="005D2363">
          <w:rPr>
            <w:rStyle w:val="Hyperlink"/>
            <w:rFonts w:eastAsia="Times New Roman" w:cs="Times New Roman"/>
            <w:szCs w:val="20"/>
            <w:lang w:val="en-GB"/>
          </w:rPr>
          <w:t>http://ghdx.healthdata.org/</w:t>
        </w:r>
      </w:hyperlink>
      <w:r w:rsidRPr="005D2363">
        <w:rPr>
          <w:rFonts w:eastAsia="Times New Roman" w:cs="Times New Roman"/>
          <w:szCs w:val="20"/>
        </w:rPr>
        <w:t>), and from published literature.</w:t>
      </w:r>
      <w:r w:rsidR="00B33559" w:rsidRPr="005D2363">
        <w:rPr>
          <w:rFonts w:eastAsia="Times New Roman" w:cs="Times New Roman"/>
          <w:color w:val="2B579A"/>
          <w:szCs w:val="20"/>
          <w:shd w:val="clear" w:color="auto" w:fill="E6E6E6"/>
        </w:rPr>
        <w:fldChar w:fldCharType="begin"/>
      </w:r>
      <w:r w:rsidR="00BE32E5">
        <w:rPr>
          <w:rFonts w:eastAsia="Times New Roman" w:cs="Times New Roman"/>
          <w:szCs w:val="20"/>
        </w:rPr>
        <w:instrText xml:space="preserve"> ADDIN ZOTERO_ITEM CSL_CITATION {"citationID":"DGSKSJCh","properties":{"formattedCitation":"\\super 17\\nosupersub{}","plainCitation":"17","noteIndex":0},"citationItems":[{"id":116695,"uris":["http://zotero.org/groups/2154524/items/NIQRPEQ8"],"itemData":{"id":116695,"type":"article-journal","container-title":"The Lancet Planetary Health","issue":"12","page":"E893-E904","title":"Global antibiotic consumption and usage in humans, 2000–18: a spatial modelling study","volume":"5","author":[{"literal":"Browne A, Chipeta M, Haines-Woodhouse G, et al."}],"issued":{"date-parts":[["2021"]]}}}],"schema":"https://github.com/citation-style-language/schema/raw/master/csl-citation.json"} </w:instrText>
      </w:r>
      <w:r w:rsidR="00B33559" w:rsidRPr="005D2363">
        <w:rPr>
          <w:rFonts w:eastAsia="Times New Roman" w:cs="Times New Roman"/>
          <w:color w:val="2B579A"/>
          <w:szCs w:val="20"/>
          <w:shd w:val="clear" w:color="auto" w:fill="E6E6E6"/>
        </w:rPr>
        <w:fldChar w:fldCharType="separate"/>
      </w:r>
      <w:r w:rsidR="00BE32E5" w:rsidRPr="00BE32E5">
        <w:rPr>
          <w:rFonts w:cs="Times New Roman"/>
          <w:szCs w:val="24"/>
          <w:vertAlign w:val="superscript"/>
        </w:rPr>
        <w:t>17</w:t>
      </w:r>
      <w:r w:rsidR="00B33559" w:rsidRPr="005D2363">
        <w:rPr>
          <w:rFonts w:eastAsia="Times New Roman" w:cs="Times New Roman"/>
          <w:color w:val="2B579A"/>
          <w:szCs w:val="20"/>
          <w:shd w:val="clear" w:color="auto" w:fill="E6E6E6"/>
        </w:rPr>
        <w:fldChar w:fldCharType="end"/>
      </w:r>
      <w:r w:rsidRPr="005D2363">
        <w:rPr>
          <w:rFonts w:eastAsia="Times New Roman" w:cs="Times New Roman"/>
          <w:szCs w:val="20"/>
        </w:rPr>
        <w:t xml:space="preserve"> This list was narrowed down by fitting a lasso </w:t>
      </w:r>
      <w:proofErr w:type="spellStart"/>
      <w:r w:rsidRPr="005D2363">
        <w:rPr>
          <w:rFonts w:eastAsia="Times New Roman" w:cs="Times New Roman"/>
          <w:szCs w:val="20"/>
        </w:rPr>
        <w:t>penalised</w:t>
      </w:r>
      <w:proofErr w:type="spellEnd"/>
      <w:r w:rsidRPr="005D2363">
        <w:rPr>
          <w:rFonts w:eastAsia="Times New Roman" w:cs="Times New Roman"/>
          <w:szCs w:val="20"/>
        </w:rPr>
        <w:t xml:space="preserve"> regression model between the data and the covariates for each dataset (using the ‘</w:t>
      </w:r>
      <w:proofErr w:type="spellStart"/>
      <w:r w:rsidRPr="005D2363">
        <w:rPr>
          <w:rFonts w:eastAsia="Times New Roman" w:cs="Times New Roman"/>
          <w:szCs w:val="20"/>
        </w:rPr>
        <w:t>glmnet</w:t>
      </w:r>
      <w:proofErr w:type="spellEnd"/>
      <w:r w:rsidRPr="005D2363">
        <w:rPr>
          <w:rFonts w:eastAsia="Times New Roman" w:cs="Times New Roman"/>
          <w:szCs w:val="20"/>
        </w:rPr>
        <w:t>’ package version 3.0.2 in R version 3.6.1) and selecting the most influential covariates in each of the pathogen–drug models to be taken forward. For the supplementary pathogen–drug combinations and</w:t>
      </w:r>
      <w:r w:rsidRPr="005D2363">
        <w:rPr>
          <w:rFonts w:eastAsia="Times New Roman" w:cs="Times New Roman"/>
          <w:i/>
          <w:iCs/>
          <w:szCs w:val="20"/>
        </w:rPr>
        <w:t xml:space="preserve"> N. gonorrhoeae</w:t>
      </w:r>
      <w:r w:rsidRPr="005D2363">
        <w:rPr>
          <w:rFonts w:eastAsia="Times New Roman" w:cs="Times New Roman"/>
          <w:szCs w:val="20"/>
        </w:rPr>
        <w:t xml:space="preserve">/3GC, we </w:t>
      </w:r>
      <w:proofErr w:type="spellStart"/>
      <w:r w:rsidRPr="005D2363">
        <w:rPr>
          <w:rFonts w:eastAsia="Times New Roman" w:cs="Times New Roman"/>
          <w:szCs w:val="20"/>
        </w:rPr>
        <w:t>utilised</w:t>
      </w:r>
      <w:proofErr w:type="spellEnd"/>
      <w:r w:rsidRPr="005D2363">
        <w:rPr>
          <w:rFonts w:eastAsia="Times New Roman" w:cs="Times New Roman"/>
          <w:szCs w:val="20"/>
        </w:rPr>
        <w:t xml:space="preserve"> a standard set of covariates for all models: HAQ Index, pigs per capita (as a proxy for antibiotic use in animal husbandry), mean temperature, and antibiotic consumption of the antibiotic class relevant to each pathogen–drug combination. Determining more </w:t>
      </w:r>
      <w:proofErr w:type="spellStart"/>
      <w:r w:rsidRPr="005D2363">
        <w:rPr>
          <w:rFonts w:eastAsia="Times New Roman" w:cs="Times New Roman"/>
          <w:szCs w:val="20"/>
        </w:rPr>
        <w:t>individualised</w:t>
      </w:r>
      <w:proofErr w:type="spellEnd"/>
      <w:r w:rsidRPr="005D2363">
        <w:rPr>
          <w:rFonts w:eastAsia="Times New Roman" w:cs="Times New Roman"/>
          <w:szCs w:val="20"/>
        </w:rPr>
        <w:t xml:space="preserve"> sets of covariates for each of these supplementary pathogen–drug combinations is an ongoing focus for future extensions of this research. All of the covariates used in our models are available in the appendix of Murray et al. (2022)</w:t>
      </w:r>
      <w:proofErr w:type="gramStart"/>
      <w:r w:rsidRPr="005D2363">
        <w:rPr>
          <w:rFonts w:eastAsia="Times New Roman" w:cs="Times New Roman"/>
          <w:szCs w:val="20"/>
        </w:rPr>
        <w:t>.</w:t>
      </w:r>
      <w:r w:rsidRPr="005D2363">
        <w:rPr>
          <w:rFonts w:eastAsia="Times New Roman" w:cs="Times New Roman"/>
          <w:szCs w:val="20"/>
          <w:vertAlign w:val="superscript"/>
        </w:rPr>
        <w:t>1</w:t>
      </w:r>
      <w:proofErr w:type="gramEnd"/>
    </w:p>
    <w:p w14:paraId="4E500B27" w14:textId="5884D8DA" w:rsidR="6B99E739" w:rsidRPr="005D2363" w:rsidRDefault="6B99E739" w:rsidP="082F9667">
      <w:pPr>
        <w:spacing w:line="257" w:lineRule="auto"/>
        <w:rPr>
          <w:rFonts w:cs="Times New Roman"/>
          <w:szCs w:val="20"/>
        </w:rPr>
      </w:pPr>
      <w:r w:rsidRPr="005D2363">
        <w:rPr>
          <w:rFonts w:eastAsia="Times New Roman" w:cs="Times New Roman"/>
          <w:szCs w:val="20"/>
        </w:rPr>
        <w:t xml:space="preserve">Due to the high heterogeneity of the input datasets, we </w:t>
      </w:r>
      <w:proofErr w:type="spellStart"/>
      <w:r w:rsidRPr="005D2363">
        <w:rPr>
          <w:rFonts w:eastAsia="Times New Roman" w:cs="Times New Roman"/>
          <w:szCs w:val="20"/>
        </w:rPr>
        <w:t>outliered</w:t>
      </w:r>
      <w:proofErr w:type="spellEnd"/>
      <w:r w:rsidRPr="005D2363">
        <w:rPr>
          <w:rFonts w:eastAsia="Times New Roman" w:cs="Times New Roman"/>
          <w:szCs w:val="20"/>
        </w:rPr>
        <w:t xml:space="preserve"> data points found to have the most extreme values for the prevalence of resistance. An initial </w:t>
      </w:r>
      <w:proofErr w:type="spellStart"/>
      <w:r w:rsidRPr="005D2363">
        <w:rPr>
          <w:rFonts w:eastAsia="Times New Roman" w:cs="Times New Roman"/>
          <w:szCs w:val="20"/>
        </w:rPr>
        <w:t>generalised</w:t>
      </w:r>
      <w:proofErr w:type="spellEnd"/>
      <w:r w:rsidRPr="005D2363">
        <w:rPr>
          <w:rFonts w:eastAsia="Times New Roman" w:cs="Times New Roman"/>
          <w:szCs w:val="20"/>
        </w:rPr>
        <w:t xml:space="preserve"> linear model (GLM) was fit to the data and covariates and input data points that lay outside of two times the median absolute deviation from the modelled estimate for each location were determined to be outliers and removed. The GLM was fit with nested random effects based on the location to capture spatial </w:t>
      </w:r>
      <w:proofErr w:type="gramStart"/>
      <w:r w:rsidRPr="005D2363">
        <w:rPr>
          <w:rFonts w:eastAsia="Times New Roman" w:cs="Times New Roman"/>
          <w:szCs w:val="20"/>
        </w:rPr>
        <w:t>effects, and</w:t>
      </w:r>
      <w:proofErr w:type="gramEnd"/>
      <w:r w:rsidRPr="005D2363">
        <w:rPr>
          <w:rFonts w:eastAsia="Times New Roman" w:cs="Times New Roman"/>
          <w:szCs w:val="20"/>
        </w:rPr>
        <w:t xml:space="preserve"> was fit using the ‘lme4’ package version 1.1-21 in R version 3.6.1. </w:t>
      </w:r>
    </w:p>
    <w:p w14:paraId="70649A8E" w14:textId="07DF2C6B" w:rsidR="6B99E739" w:rsidRPr="005D2363" w:rsidRDefault="6B99E739" w:rsidP="082F9667">
      <w:pPr>
        <w:spacing w:line="257" w:lineRule="auto"/>
        <w:rPr>
          <w:rFonts w:cs="Times New Roman"/>
          <w:szCs w:val="20"/>
        </w:rPr>
      </w:pPr>
      <w:r w:rsidRPr="005D2363">
        <w:rPr>
          <w:rFonts w:eastAsia="Times New Roman" w:cs="Times New Roman"/>
          <w:szCs w:val="20"/>
        </w:rPr>
        <w:t xml:space="preserve">After the removal of extreme values, the datasets were used to fit spatiotemporal statistical models of the prevalence of AMR. Firstly, we used a stacked ensemble model to fit the associations between selected covariates and data. For each of the pathogen–drug combinations, we considered the following child models for inclusion: </w:t>
      </w:r>
      <w:proofErr w:type="spellStart"/>
      <w:r w:rsidRPr="005D2363">
        <w:rPr>
          <w:rFonts w:eastAsia="Times New Roman" w:cs="Times New Roman"/>
          <w:szCs w:val="20"/>
        </w:rPr>
        <w:t>generalised</w:t>
      </w:r>
      <w:proofErr w:type="spellEnd"/>
      <w:r w:rsidRPr="005D2363">
        <w:rPr>
          <w:rFonts w:eastAsia="Times New Roman" w:cs="Times New Roman"/>
          <w:szCs w:val="20"/>
        </w:rPr>
        <w:t xml:space="preserve"> additive models (GAM), </w:t>
      </w:r>
      <w:proofErr w:type="spellStart"/>
      <w:r w:rsidRPr="005D2363">
        <w:rPr>
          <w:rFonts w:eastAsia="Times New Roman" w:cs="Times New Roman"/>
          <w:szCs w:val="20"/>
        </w:rPr>
        <w:t>penalised</w:t>
      </w:r>
      <w:proofErr w:type="spellEnd"/>
      <w:r w:rsidRPr="005D2363">
        <w:rPr>
          <w:rFonts w:eastAsia="Times New Roman" w:cs="Times New Roman"/>
          <w:szCs w:val="20"/>
        </w:rPr>
        <w:t xml:space="preserve"> regression models (elastic-net, ridge, lasso), random forest, cubist, and neural-networks. Models were fit in R version 3.6.1, using the packages ‘CARET’ version 6.085, ‘</w:t>
      </w:r>
      <w:proofErr w:type="spellStart"/>
      <w:r w:rsidRPr="005D2363">
        <w:rPr>
          <w:rFonts w:eastAsia="Times New Roman" w:cs="Times New Roman"/>
          <w:szCs w:val="20"/>
        </w:rPr>
        <w:t>mgcv</w:t>
      </w:r>
      <w:proofErr w:type="spellEnd"/>
      <w:r w:rsidRPr="005D2363">
        <w:rPr>
          <w:rFonts w:eastAsia="Times New Roman" w:cs="Times New Roman"/>
          <w:szCs w:val="20"/>
        </w:rPr>
        <w:t>’ version 1.8.31, and ‘</w:t>
      </w:r>
      <w:proofErr w:type="spellStart"/>
      <w:r w:rsidRPr="005D2363">
        <w:rPr>
          <w:rFonts w:eastAsia="Times New Roman" w:cs="Times New Roman"/>
          <w:szCs w:val="20"/>
        </w:rPr>
        <w:t>glmnet</w:t>
      </w:r>
      <w:proofErr w:type="spellEnd"/>
      <w:r w:rsidRPr="005D2363">
        <w:rPr>
          <w:rFonts w:eastAsia="Times New Roman" w:cs="Times New Roman"/>
          <w:szCs w:val="20"/>
        </w:rPr>
        <w:t>’ version 3.0.2. We fit the child models using five-fold cross validation for each combination and selected the best performing, non-correlated child models based on the out-of-sample predictive performance (final covariates for each pathogen–drug combination are shown in table S8). We then calculated the R</w:t>
      </w:r>
      <w:r w:rsidRPr="005D2363">
        <w:rPr>
          <w:rFonts w:eastAsia="Times New Roman" w:cs="Times New Roman"/>
          <w:szCs w:val="20"/>
          <w:vertAlign w:val="superscript"/>
        </w:rPr>
        <w:t>2</w:t>
      </w:r>
      <w:r w:rsidRPr="005D2363">
        <w:rPr>
          <w:rFonts w:eastAsia="Times New Roman" w:cs="Times New Roman"/>
          <w:szCs w:val="20"/>
        </w:rPr>
        <w:t xml:space="preserve">-weighted mean of the estimates of the child models, constraining the coefficients to sum to one, and used these ensemble estimates to fit a spatiotemporal Gaussian process regression (ST-GPR) model for each pathogen–drug combination. </w:t>
      </w:r>
    </w:p>
    <w:p w14:paraId="5573845C" w14:textId="0556BC4F" w:rsidR="6B99E739" w:rsidRPr="005D2363" w:rsidRDefault="6B99E739" w:rsidP="082F9667">
      <w:pPr>
        <w:spacing w:line="257" w:lineRule="auto"/>
        <w:rPr>
          <w:rFonts w:cs="Times New Roman"/>
          <w:szCs w:val="20"/>
        </w:rPr>
      </w:pPr>
      <w:r w:rsidRPr="005D2363">
        <w:rPr>
          <w:rFonts w:eastAsia="Times New Roman" w:cs="Times New Roman"/>
          <w:szCs w:val="20"/>
        </w:rPr>
        <w:t>ST-GPR is described in detail elsewhere.</w:t>
      </w:r>
      <w:r w:rsidR="00CF7AB5" w:rsidRPr="005D2363">
        <w:rPr>
          <w:rFonts w:eastAsia="Times New Roman" w:cs="Times New Roman"/>
          <w:color w:val="2B579A"/>
          <w:szCs w:val="20"/>
          <w:shd w:val="clear" w:color="auto" w:fill="E6E6E6"/>
        </w:rPr>
        <w:fldChar w:fldCharType="begin"/>
      </w:r>
      <w:r w:rsidR="003711BD">
        <w:rPr>
          <w:rFonts w:eastAsia="Times New Roman" w:cs="Times New Roman"/>
          <w:szCs w:val="20"/>
        </w:rPr>
        <w:instrText xml:space="preserve"> ADDIN ZOTERO_ITEM CSL_CITATION {"citationID":"TH828ajP","properties":{"formattedCitation":"\\super 1,3\\nosupersub{}","plainCitation":"1,3","noteIndex":0},"citationItems":[{"id":112701,"uris":["http://zotero.org/groups/2154524/items/9L2ST2J6"],"itemData":{"id":112701,"type":"article-journal","container-title":"The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Collaborators"}],"issued":{"date-parts":[["2022",2,12]]}},"label":"page"},{"id":93768,"uris":["http://zotero.org/groups/2154524/items/6TQ57EY7"],"itemData":{"id":93768,"type":"article-journal","container-title":"The Lancet","DOI":"10.1016/S0140-6736(20)30925-9","ISSN":"0140-6736, 1474-547X","issue":"10258","journalAbbreviation":"The Lancet","language":"English","note":"publisher: Elsevier\nPMID: 33069326","page":"1204-1222","source":"www.thelancet.com","title":"Global burden of 369 diseases and injuries in 204 countries and territories, 1990–2019: a systematic analysis for the Global Burden of Disease Study 2019","title-short":"Global burden of 369 diseases and injuries in 204 countries and territories, 1990–2019","volume":"396","author":[{"literal":"GBD 2019 Diseases and Injuries Collaborators"}],"issued":{"date-parts":[["2020",10,17]]}},"label":"page"}],"schema":"https://github.com/citation-style-language/schema/raw/master/csl-citation.json"} </w:instrText>
      </w:r>
      <w:r w:rsidR="00CF7AB5" w:rsidRPr="005D2363">
        <w:rPr>
          <w:rFonts w:eastAsia="Times New Roman" w:cs="Times New Roman"/>
          <w:color w:val="2B579A"/>
          <w:szCs w:val="20"/>
          <w:shd w:val="clear" w:color="auto" w:fill="E6E6E6"/>
        </w:rPr>
        <w:fldChar w:fldCharType="separate"/>
      </w:r>
      <w:r w:rsidR="003711BD" w:rsidRPr="003711BD">
        <w:rPr>
          <w:rFonts w:cs="Times New Roman"/>
          <w:szCs w:val="24"/>
          <w:vertAlign w:val="superscript"/>
        </w:rPr>
        <w:t>1,3</w:t>
      </w:r>
      <w:r w:rsidR="00CF7AB5" w:rsidRPr="005D2363">
        <w:rPr>
          <w:rFonts w:eastAsia="Times New Roman" w:cs="Times New Roman"/>
          <w:color w:val="2B579A"/>
          <w:szCs w:val="20"/>
          <w:shd w:val="clear" w:color="auto" w:fill="E6E6E6"/>
        </w:rPr>
        <w:fldChar w:fldCharType="end"/>
      </w:r>
      <w:r w:rsidRPr="005D2363">
        <w:rPr>
          <w:rFonts w:eastAsia="Times New Roman" w:cs="Times New Roman"/>
          <w:szCs w:val="20"/>
        </w:rPr>
        <w:t xml:space="preserve"> In brief, spatial and temporal weights were applied to the residuals of the stacked ensemble model; these were then added to the modelled estimates to smooth them in time and space. A Gaussian process regression (GPR) was then fit, and the mean prevalence of AMR was calculated from 1000 draws of the GPR for each location and year with endemic disease. The 1000 draws of the model were taken through to the next stage of calculations to propagate uncertainty throughout. </w:t>
      </w:r>
    </w:p>
    <w:p w14:paraId="037BC284" w14:textId="1FE5DF11"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 xml:space="preserve">Section 3.5.4: Resistance profiles </w:t>
      </w:r>
    </w:p>
    <w:p w14:paraId="41FB8545" w14:textId="021D4537" w:rsidR="6B99E739" w:rsidRPr="005D2363" w:rsidRDefault="6B99E739" w:rsidP="082F9667">
      <w:pPr>
        <w:spacing w:line="257" w:lineRule="auto"/>
        <w:rPr>
          <w:rFonts w:eastAsia="Times New Roman" w:cs="Times New Roman"/>
          <w:szCs w:val="20"/>
        </w:rPr>
      </w:pPr>
      <w:r w:rsidRPr="005D2363">
        <w:rPr>
          <w:rFonts w:eastAsia="Times New Roman" w:cs="Times New Roman"/>
          <w:szCs w:val="20"/>
        </w:rPr>
        <w:t xml:space="preserve">To accurately assess the burden associated with resistance to each antibiotic, we needed to first understand the landscape of multidrug-resistant bacteria, for which the burden would be shared across several antibiotics. We therefore estimated, for each bacteria studied, a set of ‘resistance profiles’ </w:t>
      </w:r>
      <w:proofErr w:type="spellStart"/>
      <w:r w:rsidRPr="005D2363">
        <w:rPr>
          <w:rFonts w:eastAsia="Times New Roman" w:cs="Times New Roman"/>
          <w:szCs w:val="20"/>
        </w:rPr>
        <w:t>characterised</w:t>
      </w:r>
      <w:proofErr w:type="spellEnd"/>
      <w:r w:rsidRPr="005D2363">
        <w:rPr>
          <w:rFonts w:eastAsia="Times New Roman" w:cs="Times New Roman"/>
          <w:szCs w:val="20"/>
        </w:rPr>
        <w:t xml:space="preserve"> as the probabilities for each possible combination of resistance/susceptibility for </w:t>
      </w:r>
      <w:proofErr w:type="gramStart"/>
      <w:r w:rsidRPr="005D2363">
        <w:rPr>
          <w:rFonts w:eastAsia="Times New Roman" w:cs="Times New Roman"/>
          <w:szCs w:val="20"/>
        </w:rPr>
        <w:t>all of</w:t>
      </w:r>
      <w:proofErr w:type="gramEnd"/>
      <w:r w:rsidRPr="005D2363">
        <w:rPr>
          <w:rFonts w:eastAsia="Times New Roman" w:cs="Times New Roman"/>
          <w:szCs w:val="20"/>
        </w:rPr>
        <w:t xml:space="preserve"> the antibiotics analyzed. For example, for a bacterium for which we assessed three antibiotics, we would estimate eight probabilities: SSS, SSR, SRS, RSS, SRR, RSR, RRS, and RRR (S – susceptible, R – resistant). These probabilities encompass the entire set of possibilities of resistance for the </w:t>
      </w:r>
      <w:r w:rsidR="00DC21AC" w:rsidRPr="005D2363">
        <w:rPr>
          <w:rFonts w:eastAsia="Times New Roman" w:cs="Times New Roman"/>
          <w:szCs w:val="20"/>
        </w:rPr>
        <w:t>bacterium and</w:t>
      </w:r>
      <w:r w:rsidRPr="005D2363">
        <w:rPr>
          <w:rFonts w:eastAsia="Times New Roman" w:cs="Times New Roman"/>
          <w:szCs w:val="20"/>
        </w:rPr>
        <w:t xml:space="preserve"> sum to 1.</w:t>
      </w:r>
    </w:p>
    <w:p w14:paraId="5A75C87A" w14:textId="0276DB59" w:rsidR="00CF7AB5" w:rsidRPr="005D2363" w:rsidRDefault="00CF7AB5" w:rsidP="00CF7AB5">
      <w:pPr>
        <w:rPr>
          <w:rFonts w:cs="Times New Roman"/>
          <w:szCs w:val="20"/>
        </w:rPr>
      </w:pPr>
      <w:r w:rsidRPr="005D2363">
        <w:rPr>
          <w:rFonts w:cs="Times New Roman"/>
          <w:szCs w:val="20"/>
        </w:rPr>
        <w:t xml:space="preserve">For a pathogen for which we assessed </w:t>
      </w:r>
      <w:r w:rsidRPr="005D2363">
        <w:rPr>
          <w:rFonts w:cs="Times New Roman"/>
          <w:i/>
          <w:iCs/>
          <w:szCs w:val="20"/>
        </w:rPr>
        <w:t>n</w:t>
      </w:r>
      <w:r w:rsidRPr="005D2363">
        <w:rPr>
          <w:rFonts w:cs="Times New Roman"/>
          <w:szCs w:val="20"/>
        </w:rPr>
        <w:t xml:space="preserve"> antibiotics, resistance profiles were estimated by </w:t>
      </w:r>
      <w:proofErr w:type="spellStart"/>
      <w:r w:rsidRPr="005D2363">
        <w:rPr>
          <w:rFonts w:cs="Times New Roman"/>
          <w:szCs w:val="20"/>
        </w:rPr>
        <w:t>optimising</w:t>
      </w:r>
      <w:proofErr w:type="spellEnd"/>
      <w:r w:rsidRPr="005D2363">
        <w:rPr>
          <w:rFonts w:cs="Times New Roman"/>
          <w:szCs w:val="20"/>
        </w:rPr>
        <w:t xml:space="preserve"> over a 2</w:t>
      </w:r>
      <w:r w:rsidRPr="005D2363">
        <w:rPr>
          <w:rFonts w:cs="Times New Roman"/>
          <w:i/>
          <w:iCs/>
          <w:szCs w:val="20"/>
          <w:vertAlign w:val="superscript"/>
        </w:rPr>
        <w:t>n</w:t>
      </w:r>
      <w:r w:rsidRPr="005D2363">
        <w:rPr>
          <w:rFonts w:cs="Times New Roman"/>
          <w:i/>
          <w:iCs/>
          <w:szCs w:val="20"/>
        </w:rPr>
        <w:t xml:space="preserve"> - 1</w:t>
      </w:r>
      <w:r w:rsidRPr="005D2363">
        <w:rPr>
          <w:rFonts w:cs="Times New Roman"/>
          <w:szCs w:val="20"/>
        </w:rPr>
        <w:t>-dimensional probability simplex with</w:t>
      </w:r>
      <w:r w:rsidRPr="005D2363">
        <w:rPr>
          <w:rFonts w:cs="Times New Roman"/>
          <w:i/>
          <w:iCs/>
          <w:szCs w:val="20"/>
        </w:rPr>
        <w:t xml:space="preserve"> </w:t>
      </w:r>
      <m:oMath>
        <m:f>
          <m:fPr>
            <m:ctrlPr>
              <w:rPr>
                <w:rFonts w:ascii="Cambria Math" w:hAnsi="Cambria Math" w:cs="Times New Roman"/>
                <w:i/>
                <w:szCs w:val="20"/>
              </w:rPr>
            </m:ctrlPr>
          </m:fPr>
          <m:num>
            <m:r>
              <w:rPr>
                <w:rFonts w:ascii="Cambria Math" w:hAnsi="Cambria Math" w:cs="Times New Roman"/>
                <w:szCs w:val="20"/>
              </w:rPr>
              <m:t>n</m:t>
            </m:r>
            <m:d>
              <m:dPr>
                <m:ctrlPr>
                  <w:rPr>
                    <w:rFonts w:ascii="Cambria Math" w:hAnsi="Cambria Math" w:cs="Times New Roman"/>
                    <w:i/>
                    <w:szCs w:val="20"/>
                  </w:rPr>
                </m:ctrlPr>
              </m:dPr>
              <m:e>
                <m:r>
                  <w:rPr>
                    <w:rFonts w:ascii="Cambria Math" w:hAnsi="Cambria Math" w:cs="Times New Roman"/>
                    <w:szCs w:val="20"/>
                  </w:rPr>
                  <m:t>n+1</m:t>
                </m:r>
              </m:e>
            </m:d>
          </m:num>
          <m:den>
            <m:r>
              <w:rPr>
                <w:rFonts w:ascii="Cambria Math" w:hAnsi="Cambria Math" w:cs="Times New Roman"/>
                <w:szCs w:val="20"/>
              </w:rPr>
              <m:t>2</m:t>
            </m:r>
          </m:den>
        </m:f>
      </m:oMath>
      <w:r w:rsidRPr="005D2363">
        <w:rPr>
          <w:rFonts w:eastAsiaTheme="minorEastAsia" w:cs="Times New Roman"/>
          <w:i/>
          <w:iCs/>
          <w:szCs w:val="20"/>
        </w:rPr>
        <w:t xml:space="preserve"> </w:t>
      </w:r>
      <w:r w:rsidRPr="005D2363">
        <w:rPr>
          <w:rFonts w:eastAsiaTheme="minorEastAsia" w:cs="Times New Roman"/>
          <w:szCs w:val="20"/>
        </w:rPr>
        <w:t xml:space="preserve">linear </w:t>
      </w:r>
      <w:r w:rsidRPr="005D2363">
        <w:rPr>
          <w:rFonts w:cs="Times New Roman"/>
          <w:szCs w:val="20"/>
        </w:rPr>
        <w:t>constraints. Every such set of resistance profiles corresponds to a full specification of a multivariate binomial distribution. The target set of constraints were as follows:</w:t>
      </w:r>
    </w:p>
    <w:p w14:paraId="70E9D215" w14:textId="77777777" w:rsidR="00CF7AB5" w:rsidRPr="005D2363" w:rsidRDefault="00CF7AB5" w:rsidP="00CF7AB5">
      <w:pPr>
        <w:pStyle w:val="ListParagraph"/>
        <w:numPr>
          <w:ilvl w:val="0"/>
          <w:numId w:val="14"/>
        </w:numPr>
        <w:rPr>
          <w:rFonts w:cs="Times New Roman"/>
          <w:szCs w:val="20"/>
        </w:rPr>
      </w:pPr>
      <w:r w:rsidRPr="005D2363">
        <w:rPr>
          <w:rFonts w:cs="Times New Roman"/>
          <w:szCs w:val="20"/>
        </w:rPr>
        <w:t xml:space="preserve">The inferred marginal probability of resistance for each antibiotic (the prevalence of resistance to an antibiotic irrespective of all others analyzed) exactly matches the estimates from our prevalence of resistance models. Since there are </w:t>
      </w:r>
      <w:r w:rsidRPr="005D2363">
        <w:rPr>
          <w:rFonts w:cs="Times New Roman"/>
          <w:i/>
          <w:iCs/>
          <w:szCs w:val="20"/>
        </w:rPr>
        <w:t>n</w:t>
      </w:r>
      <w:r w:rsidRPr="005D2363">
        <w:rPr>
          <w:rFonts w:cs="Times New Roman"/>
          <w:szCs w:val="20"/>
        </w:rPr>
        <w:t xml:space="preserve"> antibiotics, this set comprises </w:t>
      </w:r>
      <w:r w:rsidRPr="005D2363">
        <w:rPr>
          <w:rFonts w:cs="Times New Roman"/>
          <w:i/>
          <w:iCs/>
          <w:szCs w:val="20"/>
        </w:rPr>
        <w:t>n</w:t>
      </w:r>
      <w:r w:rsidRPr="005D2363">
        <w:rPr>
          <w:rFonts w:cs="Times New Roman"/>
          <w:szCs w:val="20"/>
        </w:rPr>
        <w:t xml:space="preserve"> constraints.</w:t>
      </w:r>
    </w:p>
    <w:p w14:paraId="27F00AA3" w14:textId="01554B04" w:rsidR="00CF7AB5" w:rsidRPr="005D2363" w:rsidRDefault="00CF7AB5" w:rsidP="00CF7AB5">
      <w:pPr>
        <w:pStyle w:val="ListParagraph"/>
        <w:numPr>
          <w:ilvl w:val="0"/>
          <w:numId w:val="14"/>
        </w:numPr>
        <w:rPr>
          <w:rFonts w:cs="Times New Roman"/>
          <w:szCs w:val="20"/>
        </w:rPr>
      </w:pPr>
      <w:r w:rsidRPr="005D2363">
        <w:rPr>
          <w:rFonts w:cs="Times New Roman"/>
          <w:szCs w:val="20"/>
        </w:rPr>
        <w:lastRenderedPageBreak/>
        <w:t xml:space="preserve">The inferred pairwise likelihood of co-resistance for each pair of antibiotics exactly matches the likelihood inferred from the marginal probability of each antibiotic in the pair, and the Pearson correlation of resistance between the two antibiotics observed across </w:t>
      </w:r>
      <w:proofErr w:type="gramStart"/>
      <w:r w:rsidRPr="005D2363">
        <w:rPr>
          <w:rFonts w:cs="Times New Roman"/>
          <w:szCs w:val="20"/>
        </w:rPr>
        <w:t>all of</w:t>
      </w:r>
      <w:proofErr w:type="gramEnd"/>
      <w:r w:rsidRPr="005D2363">
        <w:rPr>
          <w:rFonts w:cs="Times New Roman"/>
          <w:szCs w:val="20"/>
        </w:rPr>
        <w:t xml:space="preserve"> the laboratory data we compiled. These represent </w:t>
      </w:r>
      <m:oMath>
        <m:f>
          <m:fPr>
            <m:ctrlPr>
              <w:rPr>
                <w:rFonts w:ascii="Cambria Math" w:hAnsi="Cambria Math" w:cs="Times New Roman"/>
                <w:i/>
                <w:szCs w:val="20"/>
              </w:rPr>
            </m:ctrlPr>
          </m:fPr>
          <m:num>
            <m:sSup>
              <m:sSupPr>
                <m:ctrlPr>
                  <w:rPr>
                    <w:rFonts w:ascii="Cambria Math" w:hAnsi="Cambria Math" w:cs="Times New Roman"/>
                    <w:i/>
                    <w:szCs w:val="20"/>
                  </w:rPr>
                </m:ctrlPr>
              </m:sSupPr>
              <m:e>
                <m:r>
                  <w:rPr>
                    <w:rFonts w:ascii="Cambria Math" w:hAnsi="Cambria Math" w:cs="Times New Roman"/>
                    <w:szCs w:val="20"/>
                  </w:rPr>
                  <m:t>n</m:t>
                </m:r>
              </m:e>
              <m:sup>
                <m:r>
                  <w:rPr>
                    <w:rFonts w:ascii="Cambria Math" w:hAnsi="Cambria Math" w:cs="Times New Roman"/>
                    <w:szCs w:val="20"/>
                  </w:rPr>
                  <m:t>2</m:t>
                </m:r>
              </m:sup>
            </m:sSup>
            <m:r>
              <w:rPr>
                <w:rFonts w:ascii="Cambria Math" w:hAnsi="Cambria Math" w:cs="Times New Roman"/>
                <w:szCs w:val="20"/>
              </w:rPr>
              <m:t>-n</m:t>
            </m:r>
          </m:num>
          <m:den>
            <m:r>
              <w:rPr>
                <w:rFonts w:ascii="Cambria Math" w:hAnsi="Cambria Math" w:cs="Times New Roman"/>
                <w:szCs w:val="20"/>
              </w:rPr>
              <m:t>2</m:t>
            </m:r>
          </m:den>
        </m:f>
      </m:oMath>
      <w:r w:rsidRPr="005D2363">
        <w:rPr>
          <w:rFonts w:eastAsiaTheme="minorEastAsia" w:cs="Times New Roman"/>
          <w:szCs w:val="20"/>
        </w:rPr>
        <w:t xml:space="preserve"> </w:t>
      </w:r>
      <w:r w:rsidRPr="005D2363">
        <w:rPr>
          <w:rFonts w:cs="Times New Roman"/>
          <w:szCs w:val="20"/>
        </w:rPr>
        <w:t>additional constraints.</w:t>
      </w:r>
    </w:p>
    <w:p w14:paraId="6763506A" w14:textId="5C870B7A" w:rsidR="082F9667" w:rsidRPr="005D2363" w:rsidRDefault="082F9667" w:rsidP="082F9667">
      <w:pPr>
        <w:spacing w:line="257" w:lineRule="auto"/>
        <w:rPr>
          <w:rFonts w:cs="Times New Roman"/>
          <w:szCs w:val="20"/>
        </w:rPr>
      </w:pPr>
    </w:p>
    <w:p w14:paraId="1159E3A2" w14:textId="724DF233" w:rsidR="00CF7AB5" w:rsidRPr="005D2363" w:rsidRDefault="00CF7AB5" w:rsidP="00CF7AB5">
      <w:pPr>
        <w:rPr>
          <w:rFonts w:cs="Times New Roman"/>
          <w:szCs w:val="20"/>
        </w:rPr>
      </w:pPr>
      <w:r w:rsidRPr="005D2363">
        <w:rPr>
          <w:rFonts w:cs="Times New Roman"/>
          <w:szCs w:val="20"/>
        </w:rPr>
        <w:t>The input format for these constraints with an example case can be found in the appendix of Murray et al. (2022).</w:t>
      </w:r>
      <w:r w:rsidRPr="005D2363">
        <w:rPr>
          <w:rFonts w:cs="Times New Roman"/>
          <w:color w:val="2B579A"/>
          <w:szCs w:val="20"/>
          <w:shd w:val="clear" w:color="auto" w:fill="E6E6E6"/>
        </w:rPr>
        <w:fldChar w:fldCharType="begin"/>
      </w:r>
      <w:r w:rsidRPr="005D2363">
        <w:rPr>
          <w:rFonts w:cs="Times New Roman"/>
          <w:szCs w:val="20"/>
        </w:rPr>
        <w:instrText xml:space="preserve"> ADDIN ZOTERO_ITEM CSL_CITATION {"citationID":"MWqON4Im","properties":{"formattedCitation":"\\super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1</w:t>
      </w:r>
      <w:r w:rsidRPr="005D2363">
        <w:rPr>
          <w:rFonts w:cs="Times New Roman"/>
          <w:color w:val="2B579A"/>
          <w:szCs w:val="20"/>
          <w:shd w:val="clear" w:color="auto" w:fill="E6E6E6"/>
        </w:rPr>
        <w:fldChar w:fldCharType="end"/>
      </w:r>
      <w:r w:rsidRPr="005D2363">
        <w:rPr>
          <w:rFonts w:cs="Times New Roman"/>
          <w:szCs w:val="20"/>
        </w:rPr>
        <w:t xml:space="preserve"> However, </w:t>
      </w:r>
      <w:r w:rsidRPr="005D2363">
        <w:rPr>
          <w:rFonts w:eastAsiaTheme="minorEastAsia" w:cs="Times New Roman"/>
          <w:szCs w:val="20"/>
        </w:rPr>
        <w:t xml:space="preserve">there is no </w:t>
      </w:r>
      <w:r w:rsidRPr="005D2363">
        <w:rPr>
          <w:rFonts w:eastAsiaTheme="minorEastAsia" w:cs="Times New Roman"/>
          <w:i/>
          <w:iCs/>
          <w:szCs w:val="20"/>
        </w:rPr>
        <w:t>a priori</w:t>
      </w:r>
      <w:r w:rsidRPr="005D2363">
        <w:rPr>
          <w:rFonts w:eastAsiaTheme="minorEastAsia" w:cs="Times New Roman"/>
          <w:szCs w:val="20"/>
        </w:rPr>
        <w:t xml:space="preserve"> guarantee that the observables generate a feasible solution. </w:t>
      </w:r>
      <w:r w:rsidRPr="005D2363">
        <w:rPr>
          <w:rFonts w:cs="Times New Roman"/>
          <w:szCs w:val="20"/>
        </w:rPr>
        <w:t xml:space="preserve">To prevent the constraints from delineating an infeasible probability simplex (for example, an input suggesting the individual resistances to antibiotics A and B are both above 90% but the probability of co-resistance to A and B is below 10%), we solved an optimization problem that identified, for each input matrix, the closest feasible set of input constraints and a corresponding set of resistance profiles that fits these constraints. The 1-simplex in any dimension is specified </w:t>
      </w:r>
      <w:proofErr w:type="gramStart"/>
      <w:r w:rsidRPr="005D2363">
        <w:rPr>
          <w:rFonts w:cs="Times New Roman"/>
          <w:szCs w:val="20"/>
        </w:rPr>
        <w:t>by</w:t>
      </w:r>
      <w:proofErr w:type="gramEnd"/>
      <w:r w:rsidRPr="005D2363">
        <w:rPr>
          <w:rFonts w:cs="Times New Roman"/>
          <w:szCs w:val="20"/>
        </w:rPr>
        <w:t xml:space="preserve"> </w:t>
      </w:r>
    </w:p>
    <w:p w14:paraId="407E7DC4" w14:textId="77777777" w:rsidR="00CF7AB5" w:rsidRPr="00AE0BE3" w:rsidRDefault="00CF7AB5" w:rsidP="00CF7AB5">
      <w:pPr>
        <w:ind w:firstLine="720"/>
        <w:jc w:val="right"/>
        <w:rPr>
          <w:rFonts w:cs="Times New Roman"/>
        </w:rPr>
      </w:pPr>
      <m:oMath>
        <m:r>
          <m:rPr>
            <m:sty m:val="p"/>
          </m:rPr>
          <w:rPr>
            <w:rFonts w:ascii="Cambria Math" w:hAnsi="Cambria Math" w:cs="Times New Roman"/>
            <w:szCs w:val="20"/>
          </w:rPr>
          <m:t>Δ</m:t>
        </m:r>
        <m:r>
          <w:rPr>
            <w:rFonts w:ascii="Cambria Math" w:hAnsi="Cambria Math" w:cs="Times New Roman"/>
            <w:szCs w:val="20"/>
          </w:rPr>
          <m:t>≔</m:t>
        </m:r>
        <m:d>
          <m:dPr>
            <m:begChr m:val="{"/>
            <m:endChr m:val="}"/>
            <m:ctrlPr>
              <w:rPr>
                <w:rFonts w:ascii="Cambria Math" w:hAnsi="Cambria Math" w:cs="Times New Roman"/>
                <w:i/>
                <w:szCs w:val="20"/>
              </w:rPr>
            </m:ctrlPr>
          </m:dPr>
          <m:e>
            <m:r>
              <w:rPr>
                <w:rFonts w:ascii="Cambria Math" w:hAnsi="Cambria Math" w:cs="Times New Roman"/>
                <w:szCs w:val="20"/>
              </w:rPr>
              <m:t>p:        0≤</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i</m:t>
                </m:r>
              </m:sub>
            </m:sSub>
            <m:r>
              <w:rPr>
                <w:rFonts w:ascii="Cambria Math" w:hAnsi="Cambria Math" w:cs="Times New Roman"/>
                <w:szCs w:val="20"/>
              </w:rPr>
              <m:t>≤1,  ∑</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i</m:t>
                </m:r>
              </m:sub>
            </m:sSub>
            <m:r>
              <w:rPr>
                <w:rFonts w:ascii="Cambria Math" w:hAnsi="Cambria Math" w:cs="Times New Roman"/>
                <w:szCs w:val="20"/>
              </w:rPr>
              <m:t>=1</m:t>
            </m:r>
          </m:e>
        </m:d>
      </m:oMath>
      <w:r>
        <w:rPr>
          <w:rFonts w:eastAsiaTheme="minorEastAsia" w:cs="Times New Roman"/>
          <w:szCs w:val="20"/>
        </w:rPr>
        <w:t xml:space="preserve">                                                   (3.5.5.1)</w:t>
      </w:r>
    </w:p>
    <w:p w14:paraId="4FAB9FB8" w14:textId="4BA02D0A" w:rsidR="00CF7AB5" w:rsidRPr="005D2363" w:rsidRDefault="00CF7AB5" w:rsidP="00CF7AB5">
      <w:pPr>
        <w:rPr>
          <w:rFonts w:eastAsiaTheme="minorEastAsia" w:cs="Times New Roman"/>
          <w:szCs w:val="20"/>
        </w:rPr>
      </w:pPr>
      <w:r w:rsidRPr="005D2363">
        <w:rPr>
          <w:rFonts w:cs="Times New Roman"/>
          <w:szCs w:val="20"/>
        </w:rPr>
        <w:t xml:space="preserve">Each marginal observation and each pairwise co-resistance </w:t>
      </w:r>
      <w:proofErr w:type="gramStart"/>
      <w:r w:rsidR="0054430C" w:rsidRPr="005D2363">
        <w:rPr>
          <w:rFonts w:cs="Times New Roman"/>
          <w:szCs w:val="20"/>
        </w:rPr>
        <w:t>correspond</w:t>
      </w:r>
      <w:proofErr w:type="gramEnd"/>
      <w:r w:rsidRPr="005D2363">
        <w:rPr>
          <w:rFonts w:cs="Times New Roman"/>
          <w:szCs w:val="20"/>
        </w:rPr>
        <w:t xml:space="preserve"> to a linear constraint, where a sum over a subset of the </w:t>
      </w:r>
      <m:oMath>
        <m:r>
          <w:rPr>
            <w:rFonts w:ascii="Cambria Math" w:hAnsi="Cambria Math" w:cs="Times New Roman"/>
            <w:szCs w:val="20"/>
          </w:rPr>
          <m:t>p</m:t>
        </m:r>
      </m:oMath>
      <w:r w:rsidRPr="005D2363">
        <w:rPr>
          <w:rFonts w:eastAsiaTheme="minorEastAsia" w:cs="Times New Roman"/>
          <w:szCs w:val="20"/>
        </w:rPr>
        <w:t xml:space="preserve"> in the simplex should be a given value </w:t>
      </w:r>
      <m:oMath>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i</m:t>
            </m:r>
          </m:sub>
        </m:sSub>
      </m:oMath>
      <w:r w:rsidRPr="005D2363">
        <w:rPr>
          <w:rFonts w:eastAsiaTheme="minorEastAsia" w:cs="Times New Roman"/>
          <w:szCs w:val="20"/>
        </w:rPr>
        <w:t xml:space="preserve">: </w:t>
      </w:r>
    </w:p>
    <w:p w14:paraId="061B35AE" w14:textId="77777777" w:rsidR="00CF7AB5" w:rsidRPr="00E505CB" w:rsidRDefault="00000000" w:rsidP="00CF7AB5">
      <w:pPr>
        <w:ind w:firstLine="720"/>
        <w:jc w:val="center"/>
        <w:rPr>
          <w:rFonts w:eastAsiaTheme="minorEastAsia" w:cs="Times New Roman"/>
        </w:rPr>
      </w:pPr>
      <m:oMathPara>
        <m:oMathParaPr>
          <m:jc m:val="right"/>
        </m:oMathParaPr>
        <m:oMath>
          <m:sSubSup>
            <m:sSubSupPr>
              <m:ctrlPr>
                <w:rPr>
                  <w:rFonts w:ascii="Cambria Math" w:hAnsi="Cambria Math" w:cs="Times New Roman"/>
                  <w:szCs w:val="20"/>
                </w:rPr>
              </m:ctrlPr>
            </m:sSubSupPr>
            <m:e>
              <m:r>
                <m:rPr>
                  <m:sty m:val="p"/>
                </m:rPr>
                <w:rPr>
                  <w:rFonts w:ascii="Cambria Math" w:hAnsi="Cambria Math" w:cs="Times New Roman"/>
                  <w:szCs w:val="20"/>
                </w:rPr>
                <m:t>m</m:t>
              </m:r>
            </m:e>
            <m:sub>
              <m:r>
                <m:rPr>
                  <m:sty m:val="p"/>
                </m:rPr>
                <w:rPr>
                  <w:rFonts w:ascii="Cambria Math" w:hAnsi="Cambria Math" w:cs="Times New Roman"/>
                  <w:szCs w:val="20"/>
                </w:rPr>
                <m:t>i</m:t>
              </m:r>
            </m:sub>
            <m:sup>
              <m:r>
                <m:rPr>
                  <m:sty m:val="p"/>
                </m:rPr>
                <w:rPr>
                  <w:rFonts w:ascii="Cambria Math" w:hAnsi="Cambria Math" w:cs="Times New Roman"/>
                  <w:szCs w:val="20"/>
                </w:rPr>
                <m:t>T</m:t>
              </m:r>
            </m:sup>
          </m:sSubSup>
          <m:r>
            <w:rPr>
              <w:rFonts w:ascii="Cambria Math" w:hAnsi="Cambria Math" w:cs="Times New Roman"/>
              <w:szCs w:val="20"/>
            </w:rPr>
            <m:t>p=</m:t>
          </m:r>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rPr>
                <m:t>i</m:t>
              </m:r>
            </m:sub>
          </m:sSub>
          <m:r>
            <w:rPr>
              <w:rFonts w:ascii="Cambria Math" w:eastAsiaTheme="minorEastAsia" w:hAnsi="Cambria Math" w:cs="Times New Roman"/>
              <w:szCs w:val="20"/>
            </w:rPr>
            <m:t xml:space="preserve">                                                                                (3.5.5.2)</m:t>
          </m:r>
        </m:oMath>
      </m:oMathPara>
    </w:p>
    <w:p w14:paraId="5CE713E6" w14:textId="77777777" w:rsidR="00CF7AB5" w:rsidRPr="005D2363" w:rsidRDefault="00CF7AB5" w:rsidP="00CF7AB5">
      <w:pPr>
        <w:rPr>
          <w:rFonts w:eastAsiaTheme="minorEastAsia" w:cs="Times New Roman"/>
          <w:szCs w:val="20"/>
        </w:rPr>
      </w:pPr>
      <w:r w:rsidRPr="005D2363">
        <w:rPr>
          <w:rFonts w:eastAsiaTheme="minorEastAsia" w:cs="Times New Roman"/>
          <w:szCs w:val="20"/>
        </w:rPr>
        <w:t xml:space="preserve">where </w:t>
      </w:r>
      <m:oMath>
        <m:sSub>
          <m:sSubPr>
            <m:ctrlPr>
              <w:rPr>
                <w:rFonts w:ascii="Cambria Math" w:hAnsi="Cambria Math" w:cs="Times New Roman"/>
                <w:szCs w:val="20"/>
              </w:rPr>
            </m:ctrlPr>
          </m:sSubPr>
          <m:e>
            <m:r>
              <m:rPr>
                <m:sty m:val="p"/>
              </m:rPr>
              <w:rPr>
                <w:rFonts w:ascii="Cambria Math" w:hAnsi="Cambria Math" w:cs="Times New Roman"/>
                <w:szCs w:val="20"/>
              </w:rPr>
              <m:t>m</m:t>
            </m:r>
          </m:e>
          <m:sub>
            <m:r>
              <m:rPr>
                <m:sty m:val="p"/>
              </m:rPr>
              <w:rPr>
                <w:rFonts w:ascii="Cambria Math" w:hAnsi="Cambria Math" w:cs="Times New Roman"/>
                <w:szCs w:val="20"/>
              </w:rPr>
              <m:t>i</m:t>
            </m:r>
          </m:sub>
        </m:sSub>
      </m:oMath>
      <w:r w:rsidRPr="005D2363">
        <w:rPr>
          <w:rFonts w:eastAsiaTheme="minorEastAsia" w:cs="Times New Roman"/>
          <w:szCs w:val="20"/>
        </w:rPr>
        <w:t xml:space="preserve"> is a ‘mask vector’ of zeros and ones, used to pick out the appropriate summands. Overall, there are </w:t>
      </w:r>
      <m:oMath>
        <m:f>
          <m:fPr>
            <m:ctrlPr>
              <w:rPr>
                <w:rFonts w:ascii="Cambria Math" w:hAnsi="Cambria Math" w:cs="Times New Roman"/>
                <w:i/>
                <w:szCs w:val="20"/>
              </w:rPr>
            </m:ctrlPr>
          </m:fPr>
          <m:num>
            <m:r>
              <w:rPr>
                <w:rFonts w:ascii="Cambria Math" w:hAnsi="Cambria Math" w:cs="Times New Roman"/>
                <w:szCs w:val="20"/>
              </w:rPr>
              <m:t>n</m:t>
            </m:r>
            <m:d>
              <m:dPr>
                <m:ctrlPr>
                  <w:rPr>
                    <w:rFonts w:ascii="Cambria Math" w:hAnsi="Cambria Math" w:cs="Times New Roman"/>
                    <w:i/>
                    <w:szCs w:val="20"/>
                  </w:rPr>
                </m:ctrlPr>
              </m:dPr>
              <m:e>
                <m:r>
                  <w:rPr>
                    <w:rFonts w:ascii="Cambria Math" w:hAnsi="Cambria Math" w:cs="Times New Roman"/>
                    <w:szCs w:val="20"/>
                  </w:rPr>
                  <m:t>n+1</m:t>
                </m:r>
              </m:e>
            </m:d>
          </m:num>
          <m:den>
            <m:r>
              <w:rPr>
                <w:rFonts w:ascii="Cambria Math" w:hAnsi="Cambria Math" w:cs="Times New Roman"/>
                <w:szCs w:val="20"/>
              </w:rPr>
              <m:t>2</m:t>
            </m:r>
          </m:den>
        </m:f>
      </m:oMath>
      <w:r w:rsidRPr="005D2363">
        <w:rPr>
          <w:rFonts w:eastAsiaTheme="minorEastAsia" w:cs="Times New Roman"/>
          <w:szCs w:val="20"/>
        </w:rPr>
        <w:t xml:space="preserve"> such affine constraints. The optimisation problem we solve is to find the nearest feasible simplex given these constraints: </w:t>
      </w:r>
    </w:p>
    <w:p w14:paraId="27F34788" w14:textId="77777777" w:rsidR="00CF7AB5" w:rsidRPr="00356B02" w:rsidRDefault="00000000" w:rsidP="00CF7AB5">
      <w:pPr>
        <w:rPr>
          <w:rFonts w:eastAsiaTheme="minorEastAsia" w:cs="Times New Roman"/>
        </w:rPr>
      </w:pPr>
      <m:oMathPara>
        <m:oMathParaPr>
          <m:jc m:val="right"/>
        </m:oMathParaPr>
        <m:oMath>
          <m:func>
            <m:funcPr>
              <m:ctrlPr>
                <w:rPr>
                  <w:rFonts w:ascii="Cambria Math" w:eastAsiaTheme="minorEastAsia" w:hAnsi="Cambria Math" w:cs="Times New Roman"/>
                  <w:i/>
                  <w:szCs w:val="20"/>
                </w:rPr>
              </m:ctrlPr>
            </m:funcPr>
            <m:fName>
              <m:limLow>
                <m:limLowPr>
                  <m:ctrlPr>
                    <w:rPr>
                      <w:rFonts w:ascii="Cambria Math" w:eastAsiaTheme="minorEastAsia" w:hAnsi="Cambria Math" w:cs="Times New Roman"/>
                      <w:i/>
                      <w:szCs w:val="20"/>
                    </w:rPr>
                  </m:ctrlPr>
                </m:limLowPr>
                <m:e>
                  <m:r>
                    <m:rPr>
                      <m:sty m:val="p"/>
                    </m:rPr>
                    <w:rPr>
                      <w:rFonts w:ascii="Cambria Math" w:eastAsiaTheme="minorEastAsia" w:hAnsi="Cambria Math" w:cs="Times New Roman"/>
                      <w:szCs w:val="20"/>
                    </w:rPr>
                    <m:t>min</m:t>
                  </m:r>
                  <m:ctrlPr>
                    <w:rPr>
                      <w:rFonts w:ascii="Cambria Math" w:eastAsiaTheme="minorEastAsia" w:hAnsi="Cambria Math" w:cs="Times New Roman"/>
                      <w:szCs w:val="20"/>
                    </w:rPr>
                  </m:ctrlPr>
                </m:e>
                <m:lim>
                  <m:r>
                    <w:rPr>
                      <w:rFonts w:ascii="Cambria Math" w:eastAsiaTheme="minorEastAsia" w:hAnsi="Cambria Math" w:cs="Times New Roman"/>
                      <w:szCs w:val="20"/>
                    </w:rPr>
                    <m:t>p∈</m:t>
                  </m:r>
                  <m:r>
                    <m:rPr>
                      <m:sty m:val="p"/>
                    </m:rPr>
                    <w:rPr>
                      <w:rFonts w:ascii="Cambria Math" w:eastAsiaTheme="minorEastAsia" w:hAnsi="Cambria Math" w:cs="Times New Roman"/>
                      <w:szCs w:val="20"/>
                    </w:rPr>
                    <m:t>Δ</m:t>
                  </m:r>
                  <m:ctrlPr>
                    <w:rPr>
                      <w:rFonts w:ascii="Cambria Math" w:eastAsiaTheme="minorEastAsia" w:hAnsi="Cambria Math" w:cs="Times New Roman"/>
                      <w:szCs w:val="20"/>
                    </w:rPr>
                  </m:ctrlPr>
                </m:lim>
              </m:limLow>
            </m:fName>
            <m:e>
              <m:r>
                <w:rPr>
                  <w:rFonts w:ascii="Cambria Math" w:eastAsiaTheme="minorEastAsia" w:hAnsi="Cambria Math" w:cs="Times New Roman"/>
                  <w:szCs w:val="20"/>
                </w:rPr>
                <m:t>f</m:t>
              </m:r>
              <m:d>
                <m:dPr>
                  <m:ctrlPr>
                    <w:rPr>
                      <w:rFonts w:ascii="Cambria Math" w:eastAsiaTheme="minorEastAsia" w:hAnsi="Cambria Math" w:cs="Times New Roman"/>
                      <w:i/>
                      <w:szCs w:val="20"/>
                    </w:rPr>
                  </m:ctrlPr>
                </m:dPr>
                <m:e>
                  <m:r>
                    <w:rPr>
                      <w:rFonts w:ascii="Cambria Math" w:eastAsiaTheme="minorEastAsia" w:hAnsi="Cambria Math" w:cs="Times New Roman"/>
                      <w:szCs w:val="20"/>
                    </w:rPr>
                    <m:t>p</m:t>
                  </m:r>
                </m:e>
              </m:d>
              <m:r>
                <w:rPr>
                  <w:rFonts w:ascii="Cambria Math" w:eastAsiaTheme="minorEastAsia" w:hAnsi="Cambria Math" w:cs="Times New Roman"/>
                  <w:szCs w:val="20"/>
                </w:rPr>
                <m:t>≔</m:t>
              </m:r>
              <m:nary>
                <m:naryPr>
                  <m:chr m:val="∑"/>
                  <m:limLoc m:val="undOvr"/>
                  <m:ctrlPr>
                    <w:rPr>
                      <w:rFonts w:ascii="Cambria Math" w:eastAsiaTheme="minorEastAsia" w:hAnsi="Cambria Math" w:cs="Times New Roman"/>
                      <w:i/>
                      <w:szCs w:val="20"/>
                    </w:rPr>
                  </m:ctrlPr>
                </m:naryPr>
                <m:sub>
                  <m:r>
                    <w:rPr>
                      <w:rFonts w:ascii="Cambria Math" w:eastAsiaTheme="minorEastAsia" w:hAnsi="Cambria Math" w:cs="Times New Roman"/>
                      <w:szCs w:val="20"/>
                    </w:rPr>
                    <m:t>i=1</m:t>
                  </m:r>
                </m:sub>
                <m:sup>
                  <m:r>
                    <w:rPr>
                      <w:rFonts w:ascii="Cambria Math" w:eastAsiaTheme="minorEastAsia" w:hAnsi="Cambria Math" w:cs="Times New Roman"/>
                      <w:szCs w:val="20"/>
                    </w:rPr>
                    <m:t>n(n+1)/2</m:t>
                  </m:r>
                </m:sup>
                <m:e>
                  <m:f>
                    <m:fPr>
                      <m:ctrlPr>
                        <w:rPr>
                          <w:rFonts w:ascii="Cambria Math" w:eastAsiaTheme="minorEastAsia" w:hAnsi="Cambria Math" w:cs="Times New Roman"/>
                          <w:i/>
                          <w:szCs w:val="20"/>
                        </w:rPr>
                      </m:ctrlPr>
                    </m:fPr>
                    <m:num>
                      <m:r>
                        <w:rPr>
                          <w:rFonts w:ascii="Cambria Math" w:eastAsiaTheme="minorEastAsia" w:hAnsi="Cambria Math" w:cs="Times New Roman"/>
                          <w:szCs w:val="20"/>
                        </w:rPr>
                        <m:t>1</m:t>
                      </m:r>
                    </m:num>
                    <m:den>
                      <m:sSubSup>
                        <m:sSubSupPr>
                          <m:ctrlPr>
                            <w:rPr>
                              <w:rFonts w:ascii="Cambria Math" w:eastAsiaTheme="minorEastAsia" w:hAnsi="Cambria Math" w:cs="Times New Roman"/>
                              <w:i/>
                              <w:szCs w:val="20"/>
                            </w:rPr>
                          </m:ctrlPr>
                        </m:sSubSupPr>
                        <m:e>
                          <m:r>
                            <w:rPr>
                              <w:rFonts w:ascii="Cambria Math" w:eastAsiaTheme="minorEastAsia" w:hAnsi="Cambria Math" w:cs="Times New Roman"/>
                              <w:szCs w:val="20"/>
                            </w:rPr>
                            <m:t>σ</m:t>
                          </m:r>
                        </m:e>
                        <m:sub>
                          <m:r>
                            <w:rPr>
                              <w:rFonts w:ascii="Cambria Math" w:eastAsiaTheme="minorEastAsia" w:hAnsi="Cambria Math" w:cs="Times New Roman"/>
                              <w:szCs w:val="20"/>
                            </w:rPr>
                            <m:t>i</m:t>
                          </m:r>
                        </m:sub>
                        <m:sup>
                          <m:r>
                            <w:rPr>
                              <w:rFonts w:ascii="Cambria Math" w:eastAsiaTheme="minorEastAsia" w:hAnsi="Cambria Math" w:cs="Times New Roman"/>
                              <w:szCs w:val="20"/>
                            </w:rPr>
                            <m:t>2</m:t>
                          </m:r>
                        </m:sup>
                      </m:sSubSup>
                    </m:den>
                  </m:f>
                  <m:r>
                    <w:rPr>
                      <w:rFonts w:ascii="Cambria Math" w:eastAsiaTheme="minorEastAsia" w:hAnsi="Cambria Math" w:cs="Times New Roman"/>
                      <w:szCs w:val="20"/>
                    </w:rPr>
                    <m:t>(</m:t>
                  </m:r>
                </m:e>
              </m:nary>
            </m:e>
          </m:func>
          <m:sSubSup>
            <m:sSubSupPr>
              <m:ctrlPr>
                <w:rPr>
                  <w:rFonts w:ascii="Cambria Math" w:eastAsiaTheme="minorEastAsia" w:hAnsi="Cambria Math" w:cs="Times New Roman"/>
                  <w:i/>
                  <w:szCs w:val="20"/>
                </w:rPr>
              </m:ctrlPr>
            </m:sSubSupPr>
            <m:e>
              <m:r>
                <w:rPr>
                  <w:rFonts w:ascii="Cambria Math" w:eastAsiaTheme="minorEastAsia" w:hAnsi="Cambria Math" w:cs="Times New Roman"/>
                  <w:szCs w:val="20"/>
                </w:rPr>
                <m:t>m</m:t>
              </m:r>
            </m:e>
            <m:sub>
              <m:r>
                <w:rPr>
                  <w:rFonts w:ascii="Cambria Math" w:eastAsiaTheme="minorEastAsia" w:hAnsi="Cambria Math" w:cs="Times New Roman"/>
                  <w:szCs w:val="20"/>
                </w:rPr>
                <m:t>i</m:t>
              </m:r>
            </m:sub>
            <m:sup>
              <m:r>
                <w:rPr>
                  <w:rFonts w:ascii="Cambria Math" w:eastAsiaTheme="minorEastAsia" w:hAnsi="Cambria Math" w:cs="Times New Roman"/>
                  <w:szCs w:val="20"/>
                </w:rPr>
                <m:t>T</m:t>
              </m:r>
            </m:sup>
          </m:sSubSup>
          <m:r>
            <w:rPr>
              <w:rFonts w:ascii="Cambria Math" w:eastAsiaTheme="minorEastAsia" w:hAnsi="Cambria Math" w:cs="Times New Roman"/>
              <w:szCs w:val="20"/>
            </w:rPr>
            <m:t>p-</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v</m:t>
              </m:r>
            </m:e>
            <m:sub>
              <m:r>
                <w:rPr>
                  <w:rFonts w:ascii="Cambria Math" w:eastAsiaTheme="minorEastAsia" w:hAnsi="Cambria Math" w:cs="Times New Roman"/>
                  <w:szCs w:val="20"/>
                </w:rPr>
                <m:t>i</m:t>
              </m:r>
            </m:sub>
          </m:sSub>
          <m:r>
            <w:rPr>
              <w:rFonts w:ascii="Cambria Math" w:eastAsiaTheme="minorEastAsia" w:hAnsi="Cambria Math" w:cs="Times New Roman"/>
              <w:szCs w:val="20"/>
            </w:rPr>
            <m:t>)^2                                                            (3.5.5.3)</m:t>
          </m:r>
        </m:oMath>
      </m:oMathPara>
    </w:p>
    <w:p w14:paraId="02933ABA" w14:textId="77777777" w:rsidR="00CF7AB5" w:rsidRDefault="00CF7AB5" w:rsidP="082F9667">
      <w:pPr>
        <w:spacing w:line="257" w:lineRule="auto"/>
        <w:rPr>
          <w:rFonts w:eastAsia="Times New Roman" w:cs="Times New Roman"/>
          <w:sz w:val="24"/>
          <w:szCs w:val="24"/>
        </w:rPr>
      </w:pPr>
    </w:p>
    <w:p w14:paraId="3AC61C90" w14:textId="77777777" w:rsidR="00CF7AB5" w:rsidRPr="005D2363" w:rsidRDefault="00CF7AB5" w:rsidP="00CF7AB5">
      <w:pPr>
        <w:rPr>
          <w:rFonts w:cs="Times New Roman"/>
          <w:szCs w:val="20"/>
        </w:rPr>
      </w:pPr>
      <w:r w:rsidRPr="005D2363">
        <w:rPr>
          <w:rFonts w:cs="Times New Roman"/>
          <w:szCs w:val="20"/>
        </w:rPr>
        <w:t xml:space="preserve">Where </w:t>
      </w:r>
      <m:oMath>
        <m:f>
          <m:fPr>
            <m:ctrlPr>
              <w:rPr>
                <w:rFonts w:ascii="Cambria Math" w:eastAsiaTheme="minorEastAsia" w:hAnsi="Cambria Math" w:cs="Times New Roman"/>
                <w:i/>
                <w:szCs w:val="20"/>
              </w:rPr>
            </m:ctrlPr>
          </m:fPr>
          <m:num>
            <m:r>
              <w:rPr>
                <w:rFonts w:ascii="Cambria Math" w:eastAsiaTheme="minorEastAsia" w:hAnsi="Cambria Math" w:cs="Times New Roman"/>
                <w:szCs w:val="20"/>
              </w:rPr>
              <m:t>1</m:t>
            </m:r>
          </m:num>
          <m:den>
            <m:sSubSup>
              <m:sSubSupPr>
                <m:ctrlPr>
                  <w:rPr>
                    <w:rFonts w:ascii="Cambria Math" w:eastAsiaTheme="minorEastAsia" w:hAnsi="Cambria Math" w:cs="Times New Roman"/>
                    <w:i/>
                    <w:szCs w:val="20"/>
                  </w:rPr>
                </m:ctrlPr>
              </m:sSubSupPr>
              <m:e>
                <m:r>
                  <w:rPr>
                    <w:rFonts w:ascii="Cambria Math" w:eastAsiaTheme="minorEastAsia" w:hAnsi="Cambria Math" w:cs="Times New Roman"/>
                    <w:szCs w:val="20"/>
                  </w:rPr>
                  <m:t>σ</m:t>
                </m:r>
              </m:e>
              <m:sub>
                <m:r>
                  <w:rPr>
                    <w:rFonts w:ascii="Cambria Math" w:eastAsiaTheme="minorEastAsia" w:hAnsi="Cambria Math" w:cs="Times New Roman"/>
                    <w:szCs w:val="20"/>
                  </w:rPr>
                  <m:t>i</m:t>
                </m:r>
              </m:sub>
              <m:sup>
                <m:r>
                  <w:rPr>
                    <w:rFonts w:ascii="Cambria Math" w:eastAsiaTheme="minorEastAsia" w:hAnsi="Cambria Math" w:cs="Times New Roman"/>
                    <w:szCs w:val="20"/>
                  </w:rPr>
                  <m:t>2</m:t>
                </m:r>
              </m:sup>
            </m:sSubSup>
          </m:den>
        </m:f>
      </m:oMath>
      <w:r w:rsidRPr="005D2363">
        <w:rPr>
          <w:rFonts w:eastAsiaTheme="minorEastAsia" w:cs="Times New Roman"/>
          <w:szCs w:val="20"/>
        </w:rPr>
        <w:t xml:space="preserve"> can be used to provide importance weights for the data. </w:t>
      </w:r>
      <w:r w:rsidRPr="005D2363">
        <w:rPr>
          <w:rFonts w:cs="Times New Roman"/>
          <w:szCs w:val="20"/>
        </w:rPr>
        <w:t>This is a least squares problem with linear equality and inequality constraints (corresponding to the simplex</w:t>
      </w:r>
      <w:proofErr w:type="gramStart"/>
      <w:r w:rsidRPr="005D2363">
        <w:rPr>
          <w:rFonts w:cs="Times New Roman"/>
          <w:szCs w:val="20"/>
        </w:rPr>
        <w:t>), and</w:t>
      </w:r>
      <w:proofErr w:type="gramEnd"/>
      <w:r w:rsidRPr="005D2363">
        <w:rPr>
          <w:rFonts w:cs="Times New Roman"/>
          <w:szCs w:val="20"/>
        </w:rPr>
        <w:t xml:space="preserve"> can be solved very efficiently even for relatively large n (such as 10 co-occurring antibiotic classes). The result is guaranteed to return the probability simplex closest to the specified constraint, even if the original set of constraints is infeasible, and corresponding set of resistance profiles that fits this nearest simplex.</w:t>
      </w:r>
    </w:p>
    <w:p w14:paraId="1BF130FF" w14:textId="4C3E9BA4" w:rsidR="00CF7AB5" w:rsidRPr="005D2363" w:rsidRDefault="00CF7AB5" w:rsidP="00CF7AB5">
      <w:pPr>
        <w:rPr>
          <w:rFonts w:cs="Times New Roman"/>
          <w:szCs w:val="20"/>
          <w:lang w:val="en-GB"/>
        </w:rPr>
      </w:pPr>
      <w:r w:rsidRPr="005D2363">
        <w:rPr>
          <w:rFonts w:cs="Times New Roman"/>
          <w:szCs w:val="20"/>
        </w:rPr>
        <w:t xml:space="preserve">To propagate uncertainty, we repeat this procedure for each of the 1,000 draws we estimate for prevalence of antibiotic resistance. To generate the </w:t>
      </w:r>
      <w:proofErr w:type="spellStart"/>
      <w:r w:rsidRPr="005D2363">
        <w:rPr>
          <w:rFonts w:cs="Times New Roman"/>
          <w:i/>
          <w:iCs/>
          <w:szCs w:val="20"/>
        </w:rPr>
        <w:t>i-</w:t>
      </w:r>
      <w:r w:rsidRPr="005D2363">
        <w:rPr>
          <w:rFonts w:cs="Times New Roman"/>
          <w:szCs w:val="20"/>
        </w:rPr>
        <w:t>th</w:t>
      </w:r>
      <w:proofErr w:type="spellEnd"/>
      <w:r w:rsidRPr="005D2363">
        <w:rPr>
          <w:rFonts w:cs="Times New Roman"/>
          <w:szCs w:val="20"/>
        </w:rPr>
        <w:t xml:space="preserve"> draw of our resistance profiles, we input the </w:t>
      </w:r>
      <w:proofErr w:type="spellStart"/>
      <w:r w:rsidRPr="005D2363">
        <w:rPr>
          <w:rFonts w:cs="Times New Roman"/>
          <w:i/>
          <w:iCs/>
          <w:szCs w:val="20"/>
        </w:rPr>
        <w:t>i</w:t>
      </w:r>
      <w:r w:rsidRPr="005D2363">
        <w:rPr>
          <w:rFonts w:cs="Times New Roman"/>
          <w:szCs w:val="20"/>
        </w:rPr>
        <w:t>-th</w:t>
      </w:r>
      <w:proofErr w:type="spellEnd"/>
      <w:r w:rsidRPr="005D2363">
        <w:rPr>
          <w:rFonts w:cs="Times New Roman"/>
          <w:szCs w:val="20"/>
        </w:rPr>
        <w:t xml:space="preserve"> draw of the marginal probability of resistance for each antibiotic analyzed for a given pathogen into the probability simplex optimization algorithm. Updating the marginal probabilities of resistance in turn influences the probabilities of co-resistance, and each element of the input we feed the algorithm is unique to the </w:t>
      </w:r>
      <w:proofErr w:type="spellStart"/>
      <w:r w:rsidRPr="005D2363">
        <w:rPr>
          <w:rFonts w:cs="Times New Roman"/>
          <w:i/>
          <w:iCs/>
          <w:szCs w:val="20"/>
        </w:rPr>
        <w:t>i</w:t>
      </w:r>
      <w:r w:rsidRPr="005D2363">
        <w:rPr>
          <w:rFonts w:cs="Times New Roman"/>
          <w:szCs w:val="20"/>
        </w:rPr>
        <w:t>-th</w:t>
      </w:r>
      <w:proofErr w:type="spellEnd"/>
      <w:r w:rsidRPr="005D2363">
        <w:rPr>
          <w:rFonts w:cs="Times New Roman"/>
          <w:szCs w:val="20"/>
        </w:rPr>
        <w:t xml:space="preserve"> draw. The optimization is also </w:t>
      </w:r>
      <w:proofErr w:type="spellStart"/>
      <w:r w:rsidRPr="005D2363">
        <w:rPr>
          <w:rFonts w:cs="Times New Roman"/>
          <w:szCs w:val="20"/>
        </w:rPr>
        <w:t>initialised</w:t>
      </w:r>
      <w:proofErr w:type="spellEnd"/>
      <w:r w:rsidRPr="005D2363">
        <w:rPr>
          <w:rFonts w:cs="Times New Roman"/>
          <w:szCs w:val="20"/>
        </w:rPr>
        <w:t xml:space="preserve"> randomly for every draw. This process is implemented for each country, resulting in 1000 resistance profiles for each country for each pathogen in our analysis. The Pearson correlations of co-resistance that we derive from the input data are assumed to be constant across location, sex, and infectious syndrome.</w:t>
      </w:r>
      <w:r w:rsidRPr="005D2363">
        <w:rPr>
          <w:rFonts w:cs="Times New Roman"/>
          <w:szCs w:val="20"/>
          <w:lang w:val="en-GB"/>
        </w:rPr>
        <w:t xml:space="preserve"> </w:t>
      </w:r>
    </w:p>
    <w:p w14:paraId="06824AC2" w14:textId="16F5B14D"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 xml:space="preserve">Section 3.5.5: Model validation </w:t>
      </w:r>
    </w:p>
    <w:p w14:paraId="445E8FE1" w14:textId="77777777" w:rsidR="00CF7AB5" w:rsidRPr="005D2363" w:rsidRDefault="00CF7AB5" w:rsidP="00CF7AB5">
      <w:pPr>
        <w:rPr>
          <w:rFonts w:cs="Times New Roman"/>
          <w:szCs w:val="20"/>
        </w:rPr>
      </w:pPr>
      <w:r w:rsidRPr="005D2363">
        <w:rPr>
          <w:rFonts w:cs="Times New Roman"/>
          <w:szCs w:val="20"/>
        </w:rPr>
        <w:t>Validation of prevalence of resistance modelling occurs in two instances. For the ensemble estimates, machine-learning candidate models are validated using five random holdout sets, and we select models correlated below a Pearson correlation coefficient threshold of 0.8 which showed the best performance based on the R</w:t>
      </w:r>
      <w:r w:rsidRPr="005D2363">
        <w:rPr>
          <w:rFonts w:cs="Times New Roman"/>
          <w:szCs w:val="20"/>
          <w:vertAlign w:val="superscript"/>
        </w:rPr>
        <w:t>2</w:t>
      </w:r>
      <w:r w:rsidRPr="005D2363">
        <w:rPr>
          <w:rFonts w:cs="Times New Roman"/>
          <w:szCs w:val="20"/>
        </w:rPr>
        <w:t xml:space="preserve"> predictive validity for the out-of-sample predictions. These intermediary results are not reported in this paper because they do </w:t>
      </w:r>
      <w:r w:rsidRPr="005D2363" w:rsidDel="002D30D6">
        <w:rPr>
          <w:rFonts w:cs="Times New Roman"/>
          <w:szCs w:val="20"/>
        </w:rPr>
        <w:t xml:space="preserve">not </w:t>
      </w:r>
      <w:r w:rsidRPr="005D2363">
        <w:rPr>
          <w:rFonts w:cs="Times New Roman"/>
          <w:szCs w:val="20"/>
        </w:rPr>
        <w:t xml:space="preserve">pertain to the final prevalence of resistance estimate. </w:t>
      </w:r>
    </w:p>
    <w:p w14:paraId="081F92E9" w14:textId="6A7DDBFC" w:rsidR="00CF7AB5" w:rsidRPr="005D2363" w:rsidRDefault="2D0D3A40" w:rsidP="00E86E2B">
      <w:pPr>
        <w:rPr>
          <w:rFonts w:cs="Times New Roman"/>
        </w:rPr>
      </w:pPr>
      <w:r w:rsidRPr="24AC020F">
        <w:rPr>
          <w:rFonts w:cs="Times New Roman"/>
        </w:rPr>
        <w:lastRenderedPageBreak/>
        <w:t>We then validate the entire ensemble ST-GPR process by calculating in-sample and out-of-sample accuracy metrics. Accuracy is measured as the proportion of correctly classified resistant/susceptible isolates based on the modelled estimate and the raw data’s prevalence of resistance.</w:t>
      </w:r>
      <w:r w:rsidR="6470D594" w:rsidRPr="24AC020F">
        <w:rPr>
          <w:rFonts w:cs="Times New Roman"/>
        </w:rPr>
        <w:t xml:space="preserve"> </w:t>
      </w:r>
      <w:r w:rsidR="6470D594" w:rsidRPr="24AC020F">
        <w:rPr>
          <w:rFonts w:eastAsia="Times New Roman" w:cs="Times New Roman"/>
        </w:rPr>
        <w:t>More information on this can be found in the appendix of Murray et al. (2022).</w:t>
      </w:r>
      <w:r w:rsidR="00CF7AB5" w:rsidRPr="24AC020F">
        <w:rPr>
          <w:rFonts w:eastAsia="Times New Roman" w:cs="Times New Roman"/>
          <w:color w:val="2B579A"/>
        </w:rPr>
        <w:fldChar w:fldCharType="begin"/>
      </w:r>
      <w:r w:rsidR="00BE32E5">
        <w:rPr>
          <w:rFonts w:eastAsia="Times New Roman" w:cs="Times New Roman"/>
        </w:rPr>
        <w:instrText xml:space="preserve"> ADDIN ZOTERO_ITEM CSL_CITATION {"citationID":"7swSwSvp","properties":{"formattedCitation":"\\super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CF7AB5" w:rsidRPr="24AC020F">
        <w:rPr>
          <w:rFonts w:eastAsia="Times New Roman" w:cs="Times New Roman"/>
          <w:color w:val="2B579A"/>
        </w:rPr>
        <w:fldChar w:fldCharType="separate"/>
      </w:r>
      <w:r w:rsidR="6470D594" w:rsidRPr="24AC020F">
        <w:rPr>
          <w:rFonts w:cs="Times New Roman"/>
          <w:vertAlign w:val="superscript"/>
        </w:rPr>
        <w:t>1</w:t>
      </w:r>
      <w:r w:rsidR="00CF7AB5" w:rsidRPr="24AC020F">
        <w:rPr>
          <w:rFonts w:eastAsia="Times New Roman" w:cs="Times New Roman"/>
          <w:color w:val="2B579A"/>
        </w:rPr>
        <w:fldChar w:fldCharType="end"/>
      </w:r>
      <w:r w:rsidRPr="24AC020F">
        <w:rPr>
          <w:rFonts w:cs="Times New Roman"/>
        </w:rPr>
        <w:t xml:space="preserve"> For out-of-sample cross-validation, we withheld, at the outset of the ensemble modelling process, a set of countries with data as a holdout group: for the core-combinations we withheld 20% of countries each iteration, for 5 total holdout sets, while for the supplementary-combinations we withheld 10% of countries each iteration, for 10 hold</w:t>
      </w:r>
      <w:r w:rsidRPr="00515834">
        <w:rPr>
          <w:rFonts w:cs="Times New Roman"/>
        </w:rPr>
        <w:t>out sets.</w:t>
      </w:r>
      <w:r w:rsidR="29D2D281" w:rsidRPr="00515834">
        <w:rPr>
          <w:rFonts w:cs="Times New Roman"/>
        </w:rPr>
        <w:t xml:space="preserve"> </w:t>
      </w:r>
      <w:r w:rsidR="29D2D281" w:rsidRPr="00515834">
        <w:rPr>
          <w:rFonts w:eastAsia="Times New Roman" w:cs="Times New Roman"/>
          <w:color w:val="000000" w:themeColor="text1"/>
          <w:sz w:val="19"/>
          <w:szCs w:val="19"/>
        </w:rPr>
        <w:t xml:space="preserve">Table </w:t>
      </w:r>
      <w:r w:rsidR="00515834" w:rsidRPr="00515834">
        <w:rPr>
          <w:rFonts w:eastAsia="Times New Roman" w:cs="Times New Roman"/>
          <w:color w:val="000000" w:themeColor="text1"/>
          <w:sz w:val="19"/>
          <w:szCs w:val="19"/>
        </w:rPr>
        <w:t>3.5.5.1</w:t>
      </w:r>
      <w:r w:rsidR="29D2D281" w:rsidRPr="00515834">
        <w:rPr>
          <w:rFonts w:eastAsia="Times New Roman" w:cs="Times New Roman"/>
          <w:color w:val="000000" w:themeColor="text1"/>
          <w:sz w:val="19"/>
          <w:szCs w:val="19"/>
        </w:rPr>
        <w:t xml:space="preserve"> repo</w:t>
      </w:r>
      <w:r w:rsidR="29D2D281" w:rsidRPr="24AC020F">
        <w:rPr>
          <w:rFonts w:eastAsia="Times New Roman" w:cs="Times New Roman"/>
          <w:color w:val="000000" w:themeColor="text1"/>
          <w:sz w:val="19"/>
          <w:szCs w:val="19"/>
        </w:rPr>
        <w:t>rts the accuracy metric for each pathogen–drug combination. Our in-sample accuracy values range from 77.2% to 99.8%, while our out-of-sample accuracy values range from 57.1% to 99.7%.</w:t>
      </w:r>
      <w:r w:rsidR="00CF7AB5" w:rsidRPr="24AC020F">
        <w:rPr>
          <w:rFonts w:cs="Times New Roman"/>
          <w:color w:val="2B579A"/>
        </w:rPr>
        <w:fldChar w:fldCharType="begin"/>
      </w:r>
      <w:r w:rsidR="00CF7AB5" w:rsidRPr="24AC020F">
        <w:rPr>
          <w:rFonts w:cs="Times New Roman"/>
        </w:rPr>
        <w:instrText xml:space="preserve"> ADDIN ZOTERO_ITEM CSL_CITATION {"citationID":"ejJcJ1KH","properties":{"formattedCitation":"\\super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CF7AB5" w:rsidRPr="24AC020F">
        <w:rPr>
          <w:rFonts w:cs="Times New Roman"/>
          <w:color w:val="2B579A"/>
        </w:rPr>
        <w:fldChar w:fldCharType="separate"/>
      </w:r>
      <w:r w:rsidR="00BE32E5" w:rsidRPr="00BE32E5">
        <w:rPr>
          <w:rFonts w:cs="Times New Roman"/>
          <w:szCs w:val="24"/>
          <w:vertAlign w:val="superscript"/>
        </w:rPr>
        <w:t>1</w:t>
      </w:r>
      <w:r w:rsidR="00CF7AB5" w:rsidRPr="24AC020F">
        <w:rPr>
          <w:rFonts w:cs="Times New Roman"/>
          <w:color w:val="2B579A"/>
        </w:rPr>
        <w:fldChar w:fldCharType="end"/>
      </w:r>
    </w:p>
    <w:p w14:paraId="068C1ED5" w14:textId="77777777" w:rsidR="00217EF7" w:rsidRDefault="00217EF7" w:rsidP="00515834">
      <w:pPr>
        <w:spacing w:after="0"/>
        <w:rPr>
          <w:rFonts w:eastAsiaTheme="majorEastAsia" w:cstheme="majorBidi"/>
          <w:i/>
          <w:color w:val="1F4D78" w:themeColor="accent1" w:themeShade="7F"/>
          <w:szCs w:val="24"/>
        </w:rPr>
      </w:pPr>
    </w:p>
    <w:p w14:paraId="2B39CC50" w14:textId="32414ED2" w:rsidR="00E86E2B" w:rsidRPr="00515834" w:rsidRDefault="4C5F2522" w:rsidP="00515834">
      <w:pPr>
        <w:spacing w:after="0"/>
        <w:rPr>
          <w:rFonts w:eastAsiaTheme="majorEastAsia" w:cstheme="majorBidi"/>
          <w:i/>
          <w:color w:val="1F4D78" w:themeColor="accent1" w:themeShade="7F"/>
          <w:szCs w:val="24"/>
        </w:rPr>
      </w:pPr>
      <w:r w:rsidRPr="00515834">
        <w:rPr>
          <w:rFonts w:eastAsiaTheme="majorEastAsia" w:cstheme="majorBidi"/>
          <w:i/>
          <w:color w:val="1F4D78" w:themeColor="accent1" w:themeShade="7F"/>
          <w:szCs w:val="24"/>
        </w:rPr>
        <w:t xml:space="preserve">Table </w:t>
      </w:r>
      <w:r w:rsidR="00515834" w:rsidRPr="00515834">
        <w:rPr>
          <w:rFonts w:eastAsiaTheme="majorEastAsia" w:cstheme="majorBidi"/>
          <w:i/>
          <w:color w:val="1F4D78" w:themeColor="accent1" w:themeShade="7F"/>
          <w:szCs w:val="24"/>
        </w:rPr>
        <w:t>3.5.5.1</w:t>
      </w:r>
      <w:r w:rsidRPr="00515834">
        <w:rPr>
          <w:rFonts w:eastAsiaTheme="majorEastAsia" w:cstheme="majorBidi"/>
          <w:i/>
          <w:color w:val="1F4D78" w:themeColor="accent1" w:themeShade="7F"/>
          <w:szCs w:val="24"/>
        </w:rPr>
        <w:t>: In-sample and out-of-sample accuracy estimates for prevalence of resistance models (GLOBAL)</w:t>
      </w:r>
    </w:p>
    <w:tbl>
      <w:tblPr>
        <w:tblStyle w:val="PlainTable1"/>
        <w:tblW w:w="0" w:type="auto"/>
        <w:tblLayout w:type="fixed"/>
        <w:tblLook w:val="04A0" w:firstRow="1" w:lastRow="0" w:firstColumn="1" w:lastColumn="0" w:noHBand="0" w:noVBand="1"/>
      </w:tblPr>
      <w:tblGrid>
        <w:gridCol w:w="2880"/>
        <w:gridCol w:w="1440"/>
        <w:gridCol w:w="1140"/>
        <w:gridCol w:w="1140"/>
      </w:tblGrid>
      <w:tr w:rsidR="004F607B" w:rsidRPr="003014F4" w14:paraId="092FC0E7" w14:textId="7777777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tcBorders>
              <w:bottom w:val="single" w:sz="6" w:space="0" w:color="auto"/>
            </w:tcBorders>
            <w:shd w:val="clear" w:color="auto" w:fill="E7E6E6" w:themeFill="background2"/>
            <w:tcMar>
              <w:left w:w="105" w:type="dxa"/>
              <w:right w:w="105" w:type="dxa"/>
            </w:tcMar>
            <w:vAlign w:val="center"/>
          </w:tcPr>
          <w:p w14:paraId="4D83689F" w14:textId="77777777" w:rsidR="004F607B" w:rsidRPr="00B66763" w:rsidRDefault="004F607B" w:rsidP="00DE75A8">
            <w:pPr>
              <w:rPr>
                <w:rFonts w:eastAsia="Times New Roman" w:cs="Times New Roman"/>
                <w:sz w:val="16"/>
                <w:szCs w:val="16"/>
              </w:rPr>
            </w:pPr>
            <w:bookmarkStart w:id="16" w:name="_Toc131938062"/>
            <w:r w:rsidRPr="00B66763">
              <w:rPr>
                <w:rFonts w:eastAsia="Times New Roman" w:cs="Times New Roman"/>
                <w:sz w:val="16"/>
                <w:szCs w:val="16"/>
              </w:rPr>
              <w:t>Pathogen</w:t>
            </w:r>
            <w:bookmarkEnd w:id="16"/>
          </w:p>
        </w:tc>
        <w:tc>
          <w:tcPr>
            <w:tcW w:w="1440" w:type="dxa"/>
            <w:tcBorders>
              <w:bottom w:val="single" w:sz="6" w:space="0" w:color="auto"/>
            </w:tcBorders>
            <w:shd w:val="clear" w:color="auto" w:fill="E7E6E6" w:themeFill="background2"/>
            <w:tcMar>
              <w:left w:w="105" w:type="dxa"/>
              <w:right w:w="105" w:type="dxa"/>
            </w:tcMar>
            <w:vAlign w:val="center"/>
          </w:tcPr>
          <w:p w14:paraId="45516D35" w14:textId="77777777" w:rsidR="004F607B" w:rsidRPr="00B66763" w:rsidRDefault="004F607B" w:rsidP="00DE75A8">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bookmarkStart w:id="17" w:name="_Toc131938063"/>
            <w:r w:rsidRPr="00B66763">
              <w:rPr>
                <w:rFonts w:eastAsia="Times New Roman" w:cs="Times New Roman"/>
                <w:sz w:val="16"/>
                <w:szCs w:val="16"/>
              </w:rPr>
              <w:t>Antibiotic class</w:t>
            </w:r>
            <w:bookmarkEnd w:id="17"/>
          </w:p>
        </w:tc>
        <w:tc>
          <w:tcPr>
            <w:tcW w:w="1140" w:type="dxa"/>
            <w:tcBorders>
              <w:bottom w:val="single" w:sz="6" w:space="0" w:color="auto"/>
            </w:tcBorders>
            <w:shd w:val="clear" w:color="auto" w:fill="E7E6E6" w:themeFill="background2"/>
            <w:tcMar>
              <w:left w:w="105" w:type="dxa"/>
              <w:right w:w="105" w:type="dxa"/>
            </w:tcMar>
            <w:vAlign w:val="center"/>
          </w:tcPr>
          <w:p w14:paraId="5FD7751A" w14:textId="77777777" w:rsidR="004F607B" w:rsidRPr="00B66763" w:rsidRDefault="004F607B" w:rsidP="00DE75A8">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bookmarkStart w:id="18" w:name="_Toc131938064"/>
            <w:r w:rsidRPr="00B66763">
              <w:rPr>
                <w:rFonts w:eastAsia="Times New Roman" w:cs="Times New Roman"/>
                <w:sz w:val="16"/>
                <w:szCs w:val="16"/>
              </w:rPr>
              <w:t>IS accuracy</w:t>
            </w:r>
            <w:bookmarkEnd w:id="18"/>
          </w:p>
        </w:tc>
        <w:tc>
          <w:tcPr>
            <w:tcW w:w="1140" w:type="dxa"/>
            <w:tcBorders>
              <w:bottom w:val="single" w:sz="6" w:space="0" w:color="auto"/>
            </w:tcBorders>
            <w:shd w:val="clear" w:color="auto" w:fill="E7E6E6" w:themeFill="background2"/>
            <w:tcMar>
              <w:left w:w="105" w:type="dxa"/>
              <w:right w:w="105" w:type="dxa"/>
            </w:tcMar>
            <w:vAlign w:val="center"/>
          </w:tcPr>
          <w:p w14:paraId="67B44108" w14:textId="77777777" w:rsidR="004F607B" w:rsidRPr="00B66763" w:rsidRDefault="004F607B" w:rsidP="00DE75A8">
            <w:pP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rPr>
            </w:pPr>
            <w:bookmarkStart w:id="19" w:name="_Toc131938065"/>
            <w:r w:rsidRPr="00B66763">
              <w:rPr>
                <w:rFonts w:eastAsia="Times New Roman" w:cs="Times New Roman"/>
                <w:sz w:val="16"/>
                <w:szCs w:val="16"/>
              </w:rPr>
              <w:t>OOS accuracy</w:t>
            </w:r>
            <w:bookmarkEnd w:id="19"/>
          </w:p>
        </w:tc>
      </w:tr>
      <w:tr w:rsidR="004F607B" w:rsidRPr="003014F4" w14:paraId="216520EC"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tcBorders>
              <w:top w:val="single" w:sz="6" w:space="0" w:color="auto"/>
            </w:tcBorders>
            <w:shd w:val="clear" w:color="auto" w:fill="FFFFFF" w:themeFill="background1"/>
            <w:tcMar>
              <w:left w:w="105" w:type="dxa"/>
              <w:right w:w="105" w:type="dxa"/>
            </w:tcMar>
            <w:vAlign w:val="center"/>
          </w:tcPr>
          <w:p w14:paraId="08080E1A" w14:textId="77777777" w:rsidR="004F607B" w:rsidRPr="003014F4" w:rsidRDefault="004F607B" w:rsidP="00DE75A8">
            <w:pPr>
              <w:rPr>
                <w:rFonts w:eastAsia="Times New Roman" w:cs="Times New Roman"/>
                <w:b w:val="0"/>
                <w:bCs w:val="0"/>
                <w:i/>
                <w:iCs/>
                <w:sz w:val="16"/>
                <w:szCs w:val="16"/>
              </w:rPr>
            </w:pPr>
            <w:bookmarkStart w:id="20" w:name="_Toc131938066"/>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20"/>
            <w:proofErr w:type="spellEnd"/>
          </w:p>
        </w:tc>
        <w:tc>
          <w:tcPr>
            <w:tcW w:w="1440" w:type="dxa"/>
            <w:tcBorders>
              <w:top w:val="single" w:sz="6" w:space="0" w:color="auto"/>
            </w:tcBorders>
            <w:shd w:val="clear" w:color="auto" w:fill="FFFFFF" w:themeFill="background1"/>
            <w:tcMar>
              <w:left w:w="105" w:type="dxa"/>
              <w:right w:w="105" w:type="dxa"/>
            </w:tcMar>
            <w:vAlign w:val="center"/>
          </w:tcPr>
          <w:p w14:paraId="3811A70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1" w:name="_Toc131938067"/>
            <w:r w:rsidRPr="003014F4">
              <w:rPr>
                <w:rFonts w:eastAsia="Times New Roman" w:cs="Times New Roman"/>
                <w:sz w:val="16"/>
                <w:szCs w:val="16"/>
              </w:rPr>
              <w:t>3GC</w:t>
            </w:r>
            <w:bookmarkEnd w:id="21"/>
          </w:p>
        </w:tc>
        <w:tc>
          <w:tcPr>
            <w:tcW w:w="1140" w:type="dxa"/>
            <w:tcBorders>
              <w:top w:val="single" w:sz="6" w:space="0" w:color="auto"/>
            </w:tcBorders>
            <w:shd w:val="clear" w:color="auto" w:fill="FFFFFF" w:themeFill="background1"/>
            <w:tcMar>
              <w:left w:w="105" w:type="dxa"/>
              <w:right w:w="105" w:type="dxa"/>
            </w:tcMar>
            <w:vAlign w:val="center"/>
          </w:tcPr>
          <w:p w14:paraId="184292FD"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2" w:name="_Toc131938068"/>
            <w:r w:rsidRPr="003014F4">
              <w:rPr>
                <w:rFonts w:eastAsia="Times New Roman" w:cs="Times New Roman"/>
                <w:sz w:val="16"/>
                <w:szCs w:val="16"/>
              </w:rPr>
              <w:t>0.98</w:t>
            </w:r>
            <w:bookmarkEnd w:id="22"/>
          </w:p>
        </w:tc>
        <w:tc>
          <w:tcPr>
            <w:tcW w:w="1140" w:type="dxa"/>
            <w:tcBorders>
              <w:top w:val="single" w:sz="6" w:space="0" w:color="auto"/>
            </w:tcBorders>
            <w:shd w:val="clear" w:color="auto" w:fill="FFFFFF" w:themeFill="background1"/>
            <w:tcMar>
              <w:left w:w="105" w:type="dxa"/>
              <w:right w:w="105" w:type="dxa"/>
            </w:tcMar>
            <w:vAlign w:val="center"/>
          </w:tcPr>
          <w:p w14:paraId="4D0DB1A7"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3" w:name="_Toc131938069"/>
            <w:r w:rsidRPr="003014F4">
              <w:rPr>
                <w:rFonts w:eastAsia="Times New Roman" w:cs="Times New Roman"/>
                <w:sz w:val="16"/>
                <w:szCs w:val="16"/>
              </w:rPr>
              <w:t>0.892</w:t>
            </w:r>
            <w:bookmarkEnd w:id="23"/>
          </w:p>
        </w:tc>
      </w:tr>
      <w:tr w:rsidR="004F607B" w:rsidRPr="003014F4" w14:paraId="02B2A627"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FACBBA0" w14:textId="77777777" w:rsidR="004F607B" w:rsidRPr="003014F4" w:rsidRDefault="004F607B" w:rsidP="00DE75A8">
            <w:pPr>
              <w:rPr>
                <w:rFonts w:eastAsia="Times New Roman" w:cs="Times New Roman"/>
                <w:b w:val="0"/>
                <w:bCs w:val="0"/>
                <w:i/>
                <w:iCs/>
                <w:sz w:val="16"/>
                <w:szCs w:val="16"/>
              </w:rPr>
            </w:pPr>
            <w:bookmarkStart w:id="24" w:name="_Toc131938070"/>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24"/>
            <w:proofErr w:type="spellEnd"/>
          </w:p>
        </w:tc>
        <w:tc>
          <w:tcPr>
            <w:tcW w:w="1440" w:type="dxa"/>
            <w:shd w:val="clear" w:color="auto" w:fill="FFFFFF" w:themeFill="background1"/>
            <w:tcMar>
              <w:left w:w="105" w:type="dxa"/>
              <w:right w:w="105" w:type="dxa"/>
            </w:tcMar>
            <w:vAlign w:val="center"/>
          </w:tcPr>
          <w:p w14:paraId="60A6C45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5" w:name="_Toc131938071"/>
            <w:r w:rsidRPr="003014F4">
              <w:rPr>
                <w:rFonts w:eastAsia="Times New Roman" w:cs="Times New Roman"/>
                <w:sz w:val="16"/>
                <w:szCs w:val="16"/>
              </w:rPr>
              <w:t>4GC</w:t>
            </w:r>
            <w:bookmarkEnd w:id="25"/>
          </w:p>
        </w:tc>
        <w:tc>
          <w:tcPr>
            <w:tcW w:w="1140" w:type="dxa"/>
            <w:shd w:val="clear" w:color="auto" w:fill="FFFFFF" w:themeFill="background1"/>
            <w:tcMar>
              <w:left w:w="105" w:type="dxa"/>
              <w:right w:w="105" w:type="dxa"/>
            </w:tcMar>
            <w:vAlign w:val="center"/>
          </w:tcPr>
          <w:p w14:paraId="78C60D1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6" w:name="_Toc131938072"/>
            <w:r w:rsidRPr="003014F4">
              <w:rPr>
                <w:rFonts w:eastAsia="Times New Roman" w:cs="Times New Roman"/>
                <w:sz w:val="16"/>
                <w:szCs w:val="16"/>
              </w:rPr>
              <w:t>0.964</w:t>
            </w:r>
            <w:bookmarkEnd w:id="26"/>
          </w:p>
        </w:tc>
        <w:tc>
          <w:tcPr>
            <w:tcW w:w="1140" w:type="dxa"/>
            <w:shd w:val="clear" w:color="auto" w:fill="FFFFFF" w:themeFill="background1"/>
            <w:tcMar>
              <w:left w:w="105" w:type="dxa"/>
              <w:right w:w="105" w:type="dxa"/>
            </w:tcMar>
            <w:vAlign w:val="center"/>
          </w:tcPr>
          <w:p w14:paraId="60F06DD6"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7" w:name="_Toc131938073"/>
            <w:r w:rsidRPr="003014F4">
              <w:rPr>
                <w:rFonts w:eastAsia="Times New Roman" w:cs="Times New Roman"/>
                <w:sz w:val="16"/>
                <w:szCs w:val="16"/>
              </w:rPr>
              <w:t>0.88</w:t>
            </w:r>
            <w:bookmarkEnd w:id="27"/>
          </w:p>
        </w:tc>
      </w:tr>
      <w:tr w:rsidR="004F607B" w:rsidRPr="003014F4" w14:paraId="59AA3177"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A9CDFDE" w14:textId="77777777" w:rsidR="004F607B" w:rsidRPr="003014F4" w:rsidRDefault="004F607B" w:rsidP="00DE75A8">
            <w:pPr>
              <w:rPr>
                <w:rFonts w:eastAsia="Times New Roman" w:cs="Times New Roman"/>
                <w:b w:val="0"/>
                <w:bCs w:val="0"/>
                <w:i/>
                <w:iCs/>
                <w:sz w:val="16"/>
                <w:szCs w:val="16"/>
              </w:rPr>
            </w:pPr>
            <w:bookmarkStart w:id="28" w:name="_Toc131938074"/>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28"/>
            <w:proofErr w:type="spellEnd"/>
          </w:p>
        </w:tc>
        <w:tc>
          <w:tcPr>
            <w:tcW w:w="1440" w:type="dxa"/>
            <w:shd w:val="clear" w:color="auto" w:fill="FFFFFF" w:themeFill="background1"/>
            <w:tcMar>
              <w:left w:w="105" w:type="dxa"/>
              <w:right w:w="105" w:type="dxa"/>
            </w:tcMar>
            <w:vAlign w:val="center"/>
          </w:tcPr>
          <w:p w14:paraId="0F44F5E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9" w:name="_Toc131938075"/>
            <w:r w:rsidRPr="003014F4">
              <w:rPr>
                <w:rFonts w:eastAsia="Times New Roman" w:cs="Times New Roman"/>
                <w:sz w:val="16"/>
                <w:szCs w:val="16"/>
              </w:rPr>
              <w:t>AG</w:t>
            </w:r>
            <w:bookmarkEnd w:id="29"/>
          </w:p>
        </w:tc>
        <w:tc>
          <w:tcPr>
            <w:tcW w:w="1140" w:type="dxa"/>
            <w:shd w:val="clear" w:color="auto" w:fill="FFFFFF" w:themeFill="background1"/>
            <w:tcMar>
              <w:left w:w="105" w:type="dxa"/>
              <w:right w:w="105" w:type="dxa"/>
            </w:tcMar>
            <w:vAlign w:val="center"/>
          </w:tcPr>
          <w:p w14:paraId="6399AC5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30" w:name="_Toc131938076"/>
            <w:r w:rsidRPr="003014F4">
              <w:rPr>
                <w:rFonts w:eastAsia="Times New Roman" w:cs="Times New Roman"/>
                <w:sz w:val="16"/>
                <w:szCs w:val="16"/>
              </w:rPr>
              <w:t>0.772</w:t>
            </w:r>
            <w:bookmarkEnd w:id="30"/>
          </w:p>
        </w:tc>
        <w:tc>
          <w:tcPr>
            <w:tcW w:w="1140" w:type="dxa"/>
            <w:shd w:val="clear" w:color="auto" w:fill="FFFFFF" w:themeFill="background1"/>
            <w:tcMar>
              <w:left w:w="105" w:type="dxa"/>
              <w:right w:w="105" w:type="dxa"/>
            </w:tcMar>
            <w:vAlign w:val="center"/>
          </w:tcPr>
          <w:p w14:paraId="1975DCF4"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31" w:name="_Toc131938077"/>
            <w:r w:rsidRPr="003014F4">
              <w:rPr>
                <w:rFonts w:eastAsia="Times New Roman" w:cs="Times New Roman"/>
                <w:sz w:val="16"/>
                <w:szCs w:val="16"/>
              </w:rPr>
              <w:t>0.645</w:t>
            </w:r>
            <w:bookmarkEnd w:id="31"/>
          </w:p>
        </w:tc>
      </w:tr>
      <w:tr w:rsidR="004F607B" w:rsidRPr="003014F4" w14:paraId="331BA6FC"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71387E3D" w14:textId="77777777" w:rsidR="004F607B" w:rsidRPr="003014F4" w:rsidRDefault="004F607B" w:rsidP="00DE75A8">
            <w:pPr>
              <w:rPr>
                <w:rFonts w:eastAsia="Times New Roman" w:cs="Times New Roman"/>
                <w:b w:val="0"/>
                <w:bCs w:val="0"/>
                <w:i/>
                <w:iCs/>
                <w:sz w:val="16"/>
                <w:szCs w:val="16"/>
              </w:rPr>
            </w:pPr>
            <w:bookmarkStart w:id="32" w:name="_Toc131938078"/>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32"/>
            <w:proofErr w:type="spellEnd"/>
          </w:p>
        </w:tc>
        <w:tc>
          <w:tcPr>
            <w:tcW w:w="1440" w:type="dxa"/>
            <w:shd w:val="clear" w:color="auto" w:fill="FFFFFF" w:themeFill="background1"/>
            <w:tcMar>
              <w:left w:w="105" w:type="dxa"/>
              <w:right w:w="105" w:type="dxa"/>
            </w:tcMar>
            <w:vAlign w:val="center"/>
          </w:tcPr>
          <w:p w14:paraId="1F4FEC76"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33" w:name="_Toc131938079"/>
            <w:r w:rsidRPr="003014F4">
              <w:rPr>
                <w:rFonts w:eastAsia="Times New Roman" w:cs="Times New Roman"/>
                <w:sz w:val="16"/>
                <w:szCs w:val="16"/>
              </w:rPr>
              <w:t>Anti-pseudomonal</w:t>
            </w:r>
            <w:bookmarkEnd w:id="33"/>
          </w:p>
        </w:tc>
        <w:tc>
          <w:tcPr>
            <w:tcW w:w="1140" w:type="dxa"/>
            <w:shd w:val="clear" w:color="auto" w:fill="FFFFFF" w:themeFill="background1"/>
            <w:tcMar>
              <w:left w:w="105" w:type="dxa"/>
              <w:right w:w="105" w:type="dxa"/>
            </w:tcMar>
            <w:vAlign w:val="center"/>
          </w:tcPr>
          <w:p w14:paraId="582F3FE9"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34" w:name="_Toc131938080"/>
            <w:r w:rsidRPr="003014F4">
              <w:rPr>
                <w:rFonts w:eastAsia="Times New Roman" w:cs="Times New Roman"/>
                <w:sz w:val="16"/>
                <w:szCs w:val="16"/>
              </w:rPr>
              <w:t>0.96</w:t>
            </w:r>
            <w:bookmarkEnd w:id="34"/>
          </w:p>
        </w:tc>
        <w:tc>
          <w:tcPr>
            <w:tcW w:w="1140" w:type="dxa"/>
            <w:shd w:val="clear" w:color="auto" w:fill="FFFFFF" w:themeFill="background1"/>
            <w:tcMar>
              <w:left w:w="105" w:type="dxa"/>
              <w:right w:w="105" w:type="dxa"/>
            </w:tcMar>
            <w:vAlign w:val="center"/>
          </w:tcPr>
          <w:p w14:paraId="27B3ADB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35" w:name="_Toc131938081"/>
            <w:r w:rsidRPr="003014F4">
              <w:rPr>
                <w:rFonts w:eastAsia="Times New Roman" w:cs="Times New Roman"/>
                <w:sz w:val="16"/>
                <w:szCs w:val="16"/>
              </w:rPr>
              <w:t>0.816</w:t>
            </w:r>
            <w:bookmarkEnd w:id="35"/>
          </w:p>
        </w:tc>
      </w:tr>
      <w:tr w:rsidR="004F607B" w:rsidRPr="003014F4" w14:paraId="3F99702D"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6E1EE28" w14:textId="77777777" w:rsidR="004F607B" w:rsidRPr="003014F4" w:rsidRDefault="004F607B" w:rsidP="00DE75A8">
            <w:pPr>
              <w:rPr>
                <w:rFonts w:eastAsia="Times New Roman" w:cs="Times New Roman"/>
                <w:b w:val="0"/>
                <w:bCs w:val="0"/>
                <w:i/>
                <w:iCs/>
                <w:sz w:val="16"/>
                <w:szCs w:val="16"/>
              </w:rPr>
            </w:pPr>
            <w:bookmarkStart w:id="36" w:name="_Toc131938082"/>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36"/>
            <w:proofErr w:type="spellEnd"/>
          </w:p>
        </w:tc>
        <w:tc>
          <w:tcPr>
            <w:tcW w:w="1440" w:type="dxa"/>
            <w:shd w:val="clear" w:color="auto" w:fill="FFFFFF" w:themeFill="background1"/>
            <w:tcMar>
              <w:left w:w="105" w:type="dxa"/>
              <w:right w:w="105" w:type="dxa"/>
            </w:tcMar>
            <w:vAlign w:val="center"/>
          </w:tcPr>
          <w:p w14:paraId="647A61D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37" w:name="_Toc131938083"/>
            <w:r w:rsidRPr="003014F4">
              <w:rPr>
                <w:rFonts w:eastAsia="Times New Roman" w:cs="Times New Roman"/>
                <w:sz w:val="16"/>
                <w:szCs w:val="16"/>
              </w:rPr>
              <w:t>BL-BLI</w:t>
            </w:r>
            <w:bookmarkEnd w:id="37"/>
          </w:p>
        </w:tc>
        <w:tc>
          <w:tcPr>
            <w:tcW w:w="1140" w:type="dxa"/>
            <w:shd w:val="clear" w:color="auto" w:fill="FFFFFF" w:themeFill="background1"/>
            <w:tcMar>
              <w:left w:w="105" w:type="dxa"/>
              <w:right w:w="105" w:type="dxa"/>
            </w:tcMar>
            <w:vAlign w:val="center"/>
          </w:tcPr>
          <w:p w14:paraId="4608C28F"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38" w:name="_Toc131938084"/>
            <w:r w:rsidRPr="003014F4">
              <w:rPr>
                <w:rFonts w:eastAsia="Times New Roman" w:cs="Times New Roman"/>
                <w:sz w:val="16"/>
                <w:szCs w:val="16"/>
              </w:rPr>
              <w:t>0.969</w:t>
            </w:r>
            <w:bookmarkEnd w:id="38"/>
          </w:p>
        </w:tc>
        <w:tc>
          <w:tcPr>
            <w:tcW w:w="1140" w:type="dxa"/>
            <w:shd w:val="clear" w:color="auto" w:fill="FFFFFF" w:themeFill="background1"/>
            <w:tcMar>
              <w:left w:w="105" w:type="dxa"/>
              <w:right w:w="105" w:type="dxa"/>
            </w:tcMar>
            <w:vAlign w:val="center"/>
          </w:tcPr>
          <w:p w14:paraId="591CC40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39" w:name="_Toc131938085"/>
            <w:r w:rsidRPr="003014F4">
              <w:rPr>
                <w:rFonts w:eastAsia="Times New Roman" w:cs="Times New Roman"/>
                <w:sz w:val="16"/>
                <w:szCs w:val="16"/>
              </w:rPr>
              <w:t>0.636</w:t>
            </w:r>
            <w:bookmarkEnd w:id="39"/>
          </w:p>
        </w:tc>
      </w:tr>
      <w:tr w:rsidR="004F607B" w:rsidRPr="003014F4" w14:paraId="2C036D64"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7C713F31" w14:textId="77777777" w:rsidR="004F607B" w:rsidRPr="003014F4" w:rsidRDefault="004F607B" w:rsidP="00DE75A8">
            <w:pPr>
              <w:rPr>
                <w:rFonts w:eastAsia="Times New Roman" w:cs="Times New Roman"/>
                <w:b w:val="0"/>
                <w:bCs w:val="0"/>
                <w:i/>
                <w:iCs/>
                <w:sz w:val="16"/>
                <w:szCs w:val="16"/>
              </w:rPr>
            </w:pPr>
            <w:bookmarkStart w:id="40" w:name="_Toc131938086"/>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40"/>
            <w:proofErr w:type="spellEnd"/>
          </w:p>
        </w:tc>
        <w:tc>
          <w:tcPr>
            <w:tcW w:w="1440" w:type="dxa"/>
            <w:shd w:val="clear" w:color="auto" w:fill="FFFFFF" w:themeFill="background1"/>
            <w:tcMar>
              <w:left w:w="105" w:type="dxa"/>
              <w:right w:w="105" w:type="dxa"/>
            </w:tcMar>
            <w:vAlign w:val="center"/>
          </w:tcPr>
          <w:p w14:paraId="1F923AA1"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41" w:name="_Toc131938087"/>
            <w:r w:rsidRPr="003014F4">
              <w:rPr>
                <w:rFonts w:eastAsia="Times New Roman" w:cs="Times New Roman"/>
                <w:sz w:val="16"/>
                <w:szCs w:val="16"/>
              </w:rPr>
              <w:t>CP</w:t>
            </w:r>
            <w:bookmarkEnd w:id="41"/>
          </w:p>
        </w:tc>
        <w:tc>
          <w:tcPr>
            <w:tcW w:w="1140" w:type="dxa"/>
            <w:shd w:val="clear" w:color="auto" w:fill="FFFFFF" w:themeFill="background1"/>
            <w:tcMar>
              <w:left w:w="105" w:type="dxa"/>
              <w:right w:w="105" w:type="dxa"/>
            </w:tcMar>
            <w:vAlign w:val="center"/>
          </w:tcPr>
          <w:p w14:paraId="47E007D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42" w:name="_Toc131938088"/>
            <w:r w:rsidRPr="003014F4">
              <w:rPr>
                <w:rFonts w:eastAsia="Times New Roman" w:cs="Times New Roman"/>
                <w:sz w:val="16"/>
                <w:szCs w:val="16"/>
              </w:rPr>
              <w:t>0.901</w:t>
            </w:r>
            <w:bookmarkEnd w:id="42"/>
          </w:p>
        </w:tc>
        <w:tc>
          <w:tcPr>
            <w:tcW w:w="1140" w:type="dxa"/>
            <w:shd w:val="clear" w:color="auto" w:fill="FFFFFF" w:themeFill="background1"/>
            <w:tcMar>
              <w:left w:w="105" w:type="dxa"/>
              <w:right w:w="105" w:type="dxa"/>
            </w:tcMar>
            <w:vAlign w:val="center"/>
          </w:tcPr>
          <w:p w14:paraId="78994BF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43" w:name="_Toc131938089"/>
            <w:r w:rsidRPr="003014F4">
              <w:rPr>
                <w:rFonts w:eastAsia="Times New Roman" w:cs="Times New Roman"/>
                <w:sz w:val="16"/>
                <w:szCs w:val="16"/>
              </w:rPr>
              <w:t>0.768</w:t>
            </w:r>
            <w:bookmarkEnd w:id="43"/>
          </w:p>
        </w:tc>
      </w:tr>
      <w:tr w:rsidR="004F607B" w:rsidRPr="003014F4" w14:paraId="70164C26"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A884D27" w14:textId="77777777" w:rsidR="004F607B" w:rsidRPr="003014F4" w:rsidRDefault="004F607B" w:rsidP="00DE75A8">
            <w:pPr>
              <w:rPr>
                <w:rFonts w:eastAsia="Times New Roman" w:cs="Times New Roman"/>
                <w:b w:val="0"/>
                <w:bCs w:val="0"/>
                <w:i/>
                <w:iCs/>
                <w:sz w:val="16"/>
                <w:szCs w:val="16"/>
              </w:rPr>
            </w:pPr>
            <w:bookmarkStart w:id="44" w:name="_Toc131938090"/>
            <w:r w:rsidRPr="003014F4">
              <w:rPr>
                <w:rFonts w:eastAsia="Times New Roman" w:cs="Times New Roman"/>
                <w:b w:val="0"/>
                <w:bCs w:val="0"/>
                <w:i/>
                <w:iCs/>
                <w:sz w:val="16"/>
                <w:szCs w:val="16"/>
              </w:rPr>
              <w:t xml:space="preserve">Acinetobacter </w:t>
            </w:r>
            <w:proofErr w:type="spellStart"/>
            <w:r w:rsidRPr="003014F4">
              <w:rPr>
                <w:rFonts w:eastAsia="Times New Roman" w:cs="Times New Roman"/>
                <w:b w:val="0"/>
                <w:bCs w:val="0"/>
                <w:i/>
                <w:iCs/>
                <w:sz w:val="16"/>
                <w:szCs w:val="16"/>
              </w:rPr>
              <w:t>baumannii</w:t>
            </w:r>
            <w:bookmarkEnd w:id="44"/>
            <w:proofErr w:type="spellEnd"/>
          </w:p>
        </w:tc>
        <w:tc>
          <w:tcPr>
            <w:tcW w:w="1440" w:type="dxa"/>
            <w:shd w:val="clear" w:color="auto" w:fill="FFFFFF" w:themeFill="background1"/>
            <w:tcMar>
              <w:left w:w="105" w:type="dxa"/>
              <w:right w:w="105" w:type="dxa"/>
            </w:tcMar>
            <w:vAlign w:val="center"/>
          </w:tcPr>
          <w:p w14:paraId="7A049101"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45" w:name="_Toc131938091"/>
            <w:r w:rsidRPr="003014F4">
              <w:rPr>
                <w:rFonts w:eastAsia="Times New Roman" w:cs="Times New Roman"/>
                <w:sz w:val="16"/>
                <w:szCs w:val="16"/>
              </w:rPr>
              <w:t>FQ</w:t>
            </w:r>
            <w:bookmarkEnd w:id="45"/>
          </w:p>
        </w:tc>
        <w:tc>
          <w:tcPr>
            <w:tcW w:w="1140" w:type="dxa"/>
            <w:shd w:val="clear" w:color="auto" w:fill="FFFFFF" w:themeFill="background1"/>
            <w:tcMar>
              <w:left w:w="105" w:type="dxa"/>
              <w:right w:w="105" w:type="dxa"/>
            </w:tcMar>
            <w:vAlign w:val="center"/>
          </w:tcPr>
          <w:p w14:paraId="1C3BCA47"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46" w:name="_Toc131938092"/>
            <w:r w:rsidRPr="003014F4">
              <w:rPr>
                <w:rFonts w:eastAsia="Times New Roman" w:cs="Times New Roman"/>
                <w:sz w:val="16"/>
                <w:szCs w:val="16"/>
              </w:rPr>
              <w:t>0.964</w:t>
            </w:r>
            <w:bookmarkEnd w:id="46"/>
          </w:p>
        </w:tc>
        <w:tc>
          <w:tcPr>
            <w:tcW w:w="1140" w:type="dxa"/>
            <w:shd w:val="clear" w:color="auto" w:fill="FFFFFF" w:themeFill="background1"/>
            <w:tcMar>
              <w:left w:w="105" w:type="dxa"/>
              <w:right w:w="105" w:type="dxa"/>
            </w:tcMar>
            <w:vAlign w:val="center"/>
          </w:tcPr>
          <w:p w14:paraId="3CCBC376"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47" w:name="_Toc131938093"/>
            <w:r w:rsidRPr="003014F4">
              <w:rPr>
                <w:rFonts w:eastAsia="Times New Roman" w:cs="Times New Roman"/>
                <w:sz w:val="16"/>
                <w:szCs w:val="16"/>
              </w:rPr>
              <w:t>0.821</w:t>
            </w:r>
            <w:bookmarkEnd w:id="47"/>
          </w:p>
        </w:tc>
      </w:tr>
      <w:tr w:rsidR="004F607B" w:rsidRPr="003014F4" w14:paraId="456B9532"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274362F" w14:textId="77777777" w:rsidR="004F607B" w:rsidRPr="003014F4" w:rsidRDefault="004F607B" w:rsidP="00DE75A8">
            <w:pPr>
              <w:rPr>
                <w:rFonts w:eastAsia="Times New Roman" w:cs="Times New Roman"/>
                <w:b w:val="0"/>
                <w:bCs w:val="0"/>
                <w:i/>
                <w:iCs/>
                <w:sz w:val="16"/>
                <w:szCs w:val="16"/>
              </w:rPr>
            </w:pPr>
            <w:bookmarkStart w:id="48" w:name="_Toc131938094"/>
            <w:r w:rsidRPr="003014F4">
              <w:rPr>
                <w:rFonts w:eastAsia="Times New Roman" w:cs="Times New Roman"/>
                <w:b w:val="0"/>
                <w:bCs w:val="0"/>
                <w:i/>
                <w:iCs/>
                <w:sz w:val="16"/>
                <w:szCs w:val="16"/>
              </w:rPr>
              <w:t>Citrobacter spp.</w:t>
            </w:r>
            <w:bookmarkEnd w:id="48"/>
          </w:p>
        </w:tc>
        <w:tc>
          <w:tcPr>
            <w:tcW w:w="1440" w:type="dxa"/>
            <w:shd w:val="clear" w:color="auto" w:fill="FFFFFF" w:themeFill="background1"/>
            <w:tcMar>
              <w:left w:w="105" w:type="dxa"/>
              <w:right w:w="105" w:type="dxa"/>
            </w:tcMar>
            <w:vAlign w:val="center"/>
          </w:tcPr>
          <w:p w14:paraId="5F4F5D99"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49" w:name="_Toc131938095"/>
            <w:r w:rsidRPr="003014F4">
              <w:rPr>
                <w:rFonts w:eastAsia="Times New Roman" w:cs="Times New Roman"/>
                <w:sz w:val="16"/>
                <w:szCs w:val="16"/>
              </w:rPr>
              <w:t>3GC</w:t>
            </w:r>
            <w:bookmarkEnd w:id="49"/>
          </w:p>
        </w:tc>
        <w:tc>
          <w:tcPr>
            <w:tcW w:w="1140" w:type="dxa"/>
            <w:shd w:val="clear" w:color="auto" w:fill="FFFFFF" w:themeFill="background1"/>
            <w:tcMar>
              <w:left w:w="105" w:type="dxa"/>
              <w:right w:w="105" w:type="dxa"/>
            </w:tcMar>
            <w:vAlign w:val="center"/>
          </w:tcPr>
          <w:p w14:paraId="02C69D17"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50" w:name="_Toc131938096"/>
            <w:r w:rsidRPr="003014F4">
              <w:rPr>
                <w:rFonts w:eastAsia="Times New Roman" w:cs="Times New Roman"/>
                <w:sz w:val="16"/>
                <w:szCs w:val="16"/>
              </w:rPr>
              <w:t>0.987</w:t>
            </w:r>
            <w:bookmarkEnd w:id="50"/>
          </w:p>
        </w:tc>
        <w:tc>
          <w:tcPr>
            <w:tcW w:w="1140" w:type="dxa"/>
            <w:shd w:val="clear" w:color="auto" w:fill="FFFFFF" w:themeFill="background1"/>
            <w:tcMar>
              <w:left w:w="105" w:type="dxa"/>
              <w:right w:w="105" w:type="dxa"/>
            </w:tcMar>
            <w:vAlign w:val="center"/>
          </w:tcPr>
          <w:p w14:paraId="18851B0E"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51" w:name="_Toc131938097"/>
            <w:r w:rsidRPr="003014F4">
              <w:rPr>
                <w:rFonts w:eastAsia="Times New Roman" w:cs="Times New Roman"/>
                <w:sz w:val="16"/>
                <w:szCs w:val="16"/>
              </w:rPr>
              <w:t>0.922</w:t>
            </w:r>
            <w:bookmarkEnd w:id="51"/>
          </w:p>
        </w:tc>
      </w:tr>
      <w:tr w:rsidR="004F607B" w:rsidRPr="003014F4" w14:paraId="5D06C88D"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B4776FB" w14:textId="77777777" w:rsidR="004F607B" w:rsidRPr="003014F4" w:rsidRDefault="004F607B" w:rsidP="00DE75A8">
            <w:pPr>
              <w:rPr>
                <w:rFonts w:eastAsia="Times New Roman" w:cs="Times New Roman"/>
                <w:b w:val="0"/>
                <w:bCs w:val="0"/>
                <w:i/>
                <w:iCs/>
                <w:sz w:val="16"/>
                <w:szCs w:val="16"/>
              </w:rPr>
            </w:pPr>
            <w:bookmarkStart w:id="52" w:name="_Toc131938098"/>
            <w:r w:rsidRPr="003014F4">
              <w:rPr>
                <w:rFonts w:eastAsia="Times New Roman" w:cs="Times New Roman"/>
                <w:b w:val="0"/>
                <w:bCs w:val="0"/>
                <w:i/>
                <w:iCs/>
                <w:sz w:val="16"/>
                <w:szCs w:val="16"/>
              </w:rPr>
              <w:t>Citrobacter spp.</w:t>
            </w:r>
            <w:bookmarkEnd w:id="52"/>
          </w:p>
        </w:tc>
        <w:tc>
          <w:tcPr>
            <w:tcW w:w="1440" w:type="dxa"/>
            <w:shd w:val="clear" w:color="auto" w:fill="FFFFFF" w:themeFill="background1"/>
            <w:tcMar>
              <w:left w:w="105" w:type="dxa"/>
              <w:right w:w="105" w:type="dxa"/>
            </w:tcMar>
            <w:vAlign w:val="center"/>
          </w:tcPr>
          <w:p w14:paraId="0FAC508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53" w:name="_Toc131938099"/>
            <w:r w:rsidRPr="003014F4">
              <w:rPr>
                <w:rFonts w:eastAsia="Times New Roman" w:cs="Times New Roman"/>
                <w:sz w:val="16"/>
                <w:szCs w:val="16"/>
              </w:rPr>
              <w:t>4GC</w:t>
            </w:r>
            <w:bookmarkEnd w:id="53"/>
          </w:p>
        </w:tc>
        <w:tc>
          <w:tcPr>
            <w:tcW w:w="1140" w:type="dxa"/>
            <w:shd w:val="clear" w:color="auto" w:fill="FFFFFF" w:themeFill="background1"/>
            <w:tcMar>
              <w:left w:w="105" w:type="dxa"/>
              <w:right w:w="105" w:type="dxa"/>
            </w:tcMar>
            <w:vAlign w:val="center"/>
          </w:tcPr>
          <w:p w14:paraId="609A209C"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54" w:name="_Toc131938100"/>
            <w:r w:rsidRPr="003014F4">
              <w:rPr>
                <w:rFonts w:eastAsia="Times New Roman" w:cs="Times New Roman"/>
                <w:sz w:val="16"/>
                <w:szCs w:val="16"/>
              </w:rPr>
              <w:t>0.991</w:t>
            </w:r>
            <w:bookmarkEnd w:id="54"/>
          </w:p>
        </w:tc>
        <w:tc>
          <w:tcPr>
            <w:tcW w:w="1140" w:type="dxa"/>
            <w:shd w:val="clear" w:color="auto" w:fill="FFFFFF" w:themeFill="background1"/>
            <w:tcMar>
              <w:left w:w="105" w:type="dxa"/>
              <w:right w:w="105" w:type="dxa"/>
            </w:tcMar>
            <w:vAlign w:val="center"/>
          </w:tcPr>
          <w:p w14:paraId="13E1EB26"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55" w:name="_Toc131938101"/>
            <w:r w:rsidRPr="003014F4">
              <w:rPr>
                <w:rFonts w:eastAsia="Times New Roman" w:cs="Times New Roman"/>
                <w:sz w:val="16"/>
                <w:szCs w:val="16"/>
              </w:rPr>
              <w:t>0.974</w:t>
            </w:r>
            <w:bookmarkEnd w:id="55"/>
          </w:p>
        </w:tc>
      </w:tr>
      <w:tr w:rsidR="004F607B" w:rsidRPr="003014F4" w14:paraId="44797154"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6848A874" w14:textId="77777777" w:rsidR="004F607B" w:rsidRPr="003014F4" w:rsidRDefault="004F607B" w:rsidP="00DE75A8">
            <w:pPr>
              <w:rPr>
                <w:rFonts w:eastAsia="Times New Roman" w:cs="Times New Roman"/>
                <w:b w:val="0"/>
                <w:bCs w:val="0"/>
                <w:i/>
                <w:iCs/>
                <w:sz w:val="16"/>
                <w:szCs w:val="16"/>
              </w:rPr>
            </w:pPr>
            <w:bookmarkStart w:id="56" w:name="_Toc131938102"/>
            <w:r w:rsidRPr="003014F4">
              <w:rPr>
                <w:rFonts w:eastAsia="Times New Roman" w:cs="Times New Roman"/>
                <w:b w:val="0"/>
                <w:bCs w:val="0"/>
                <w:i/>
                <w:iCs/>
                <w:sz w:val="16"/>
                <w:szCs w:val="16"/>
              </w:rPr>
              <w:t>Citrobacter spp.</w:t>
            </w:r>
            <w:bookmarkEnd w:id="56"/>
          </w:p>
        </w:tc>
        <w:tc>
          <w:tcPr>
            <w:tcW w:w="1440" w:type="dxa"/>
            <w:shd w:val="clear" w:color="auto" w:fill="FFFFFF" w:themeFill="background1"/>
            <w:tcMar>
              <w:left w:w="105" w:type="dxa"/>
              <w:right w:w="105" w:type="dxa"/>
            </w:tcMar>
            <w:vAlign w:val="center"/>
          </w:tcPr>
          <w:p w14:paraId="4673652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57" w:name="_Toc131938103"/>
            <w:r w:rsidRPr="003014F4">
              <w:rPr>
                <w:rFonts w:eastAsia="Times New Roman" w:cs="Times New Roman"/>
                <w:sz w:val="16"/>
                <w:szCs w:val="16"/>
              </w:rPr>
              <w:t>AG</w:t>
            </w:r>
            <w:bookmarkEnd w:id="57"/>
          </w:p>
        </w:tc>
        <w:tc>
          <w:tcPr>
            <w:tcW w:w="1140" w:type="dxa"/>
            <w:shd w:val="clear" w:color="auto" w:fill="FFFFFF" w:themeFill="background1"/>
            <w:tcMar>
              <w:left w:w="105" w:type="dxa"/>
              <w:right w:w="105" w:type="dxa"/>
            </w:tcMar>
            <w:vAlign w:val="center"/>
          </w:tcPr>
          <w:p w14:paraId="53FD2C9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58" w:name="_Toc131938104"/>
            <w:r w:rsidRPr="003014F4">
              <w:rPr>
                <w:rFonts w:eastAsia="Times New Roman" w:cs="Times New Roman"/>
                <w:sz w:val="16"/>
                <w:szCs w:val="16"/>
              </w:rPr>
              <w:t>0.993</w:t>
            </w:r>
            <w:bookmarkEnd w:id="58"/>
          </w:p>
        </w:tc>
        <w:tc>
          <w:tcPr>
            <w:tcW w:w="1140" w:type="dxa"/>
            <w:shd w:val="clear" w:color="auto" w:fill="FFFFFF" w:themeFill="background1"/>
            <w:tcMar>
              <w:left w:w="105" w:type="dxa"/>
              <w:right w:w="105" w:type="dxa"/>
            </w:tcMar>
            <w:vAlign w:val="center"/>
          </w:tcPr>
          <w:p w14:paraId="32A3798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59" w:name="_Toc131938105"/>
            <w:r w:rsidRPr="003014F4">
              <w:rPr>
                <w:rFonts w:eastAsia="Times New Roman" w:cs="Times New Roman"/>
                <w:sz w:val="16"/>
                <w:szCs w:val="16"/>
              </w:rPr>
              <w:t>0.959</w:t>
            </w:r>
            <w:bookmarkEnd w:id="59"/>
          </w:p>
        </w:tc>
      </w:tr>
      <w:tr w:rsidR="004F607B" w:rsidRPr="003014F4" w14:paraId="315E4DE3"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01FD7C16" w14:textId="77777777" w:rsidR="004F607B" w:rsidRPr="003014F4" w:rsidRDefault="004F607B" w:rsidP="00DE75A8">
            <w:pPr>
              <w:rPr>
                <w:rFonts w:eastAsia="Times New Roman" w:cs="Times New Roman"/>
                <w:b w:val="0"/>
                <w:bCs w:val="0"/>
                <w:i/>
                <w:iCs/>
                <w:sz w:val="16"/>
                <w:szCs w:val="16"/>
              </w:rPr>
            </w:pPr>
            <w:bookmarkStart w:id="60" w:name="_Toc131938106"/>
            <w:r w:rsidRPr="003014F4">
              <w:rPr>
                <w:rFonts w:eastAsia="Times New Roman" w:cs="Times New Roman"/>
                <w:b w:val="0"/>
                <w:bCs w:val="0"/>
                <w:i/>
                <w:iCs/>
                <w:sz w:val="16"/>
                <w:szCs w:val="16"/>
              </w:rPr>
              <w:t>Citrobacter spp.</w:t>
            </w:r>
            <w:bookmarkEnd w:id="60"/>
          </w:p>
        </w:tc>
        <w:tc>
          <w:tcPr>
            <w:tcW w:w="1440" w:type="dxa"/>
            <w:shd w:val="clear" w:color="auto" w:fill="FFFFFF" w:themeFill="background1"/>
            <w:tcMar>
              <w:left w:w="105" w:type="dxa"/>
              <w:right w:w="105" w:type="dxa"/>
            </w:tcMar>
            <w:vAlign w:val="center"/>
          </w:tcPr>
          <w:p w14:paraId="748DFFED"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61" w:name="_Toc131938107"/>
            <w:r w:rsidRPr="003014F4">
              <w:rPr>
                <w:rFonts w:eastAsia="Times New Roman" w:cs="Times New Roman"/>
                <w:sz w:val="16"/>
                <w:szCs w:val="16"/>
              </w:rPr>
              <w:t>Anti-pseudomonal</w:t>
            </w:r>
            <w:bookmarkEnd w:id="61"/>
          </w:p>
        </w:tc>
        <w:tc>
          <w:tcPr>
            <w:tcW w:w="1140" w:type="dxa"/>
            <w:shd w:val="clear" w:color="auto" w:fill="FFFFFF" w:themeFill="background1"/>
            <w:tcMar>
              <w:left w:w="105" w:type="dxa"/>
              <w:right w:w="105" w:type="dxa"/>
            </w:tcMar>
            <w:vAlign w:val="center"/>
          </w:tcPr>
          <w:p w14:paraId="06A02030"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62" w:name="_Toc131938108"/>
            <w:r w:rsidRPr="003014F4">
              <w:rPr>
                <w:rFonts w:eastAsia="Times New Roman" w:cs="Times New Roman"/>
                <w:sz w:val="16"/>
                <w:szCs w:val="16"/>
              </w:rPr>
              <w:t>0.984</w:t>
            </w:r>
            <w:bookmarkEnd w:id="62"/>
          </w:p>
        </w:tc>
        <w:tc>
          <w:tcPr>
            <w:tcW w:w="1140" w:type="dxa"/>
            <w:shd w:val="clear" w:color="auto" w:fill="FFFFFF" w:themeFill="background1"/>
            <w:tcMar>
              <w:left w:w="105" w:type="dxa"/>
              <w:right w:w="105" w:type="dxa"/>
            </w:tcMar>
            <w:vAlign w:val="center"/>
          </w:tcPr>
          <w:p w14:paraId="47FF8A02"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63" w:name="_Toc131938109"/>
            <w:r w:rsidRPr="003014F4">
              <w:rPr>
                <w:rFonts w:eastAsia="Times New Roman" w:cs="Times New Roman"/>
                <w:sz w:val="16"/>
                <w:szCs w:val="16"/>
              </w:rPr>
              <w:t>0.912</w:t>
            </w:r>
            <w:bookmarkEnd w:id="63"/>
          </w:p>
        </w:tc>
      </w:tr>
      <w:tr w:rsidR="004F607B" w:rsidRPr="003014F4" w14:paraId="06DA2DC1"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09DECB2B" w14:textId="77777777" w:rsidR="004F607B" w:rsidRPr="003014F4" w:rsidRDefault="004F607B" w:rsidP="00DE75A8">
            <w:pPr>
              <w:rPr>
                <w:rFonts w:eastAsia="Times New Roman" w:cs="Times New Roman"/>
                <w:b w:val="0"/>
                <w:bCs w:val="0"/>
                <w:i/>
                <w:iCs/>
                <w:sz w:val="16"/>
                <w:szCs w:val="16"/>
              </w:rPr>
            </w:pPr>
            <w:bookmarkStart w:id="64" w:name="_Toc131938110"/>
            <w:r w:rsidRPr="003014F4">
              <w:rPr>
                <w:rFonts w:eastAsia="Times New Roman" w:cs="Times New Roman"/>
                <w:b w:val="0"/>
                <w:bCs w:val="0"/>
                <w:i/>
                <w:iCs/>
                <w:sz w:val="16"/>
                <w:szCs w:val="16"/>
              </w:rPr>
              <w:t>Citrobacter spp.</w:t>
            </w:r>
            <w:bookmarkEnd w:id="64"/>
          </w:p>
        </w:tc>
        <w:tc>
          <w:tcPr>
            <w:tcW w:w="1440" w:type="dxa"/>
            <w:shd w:val="clear" w:color="auto" w:fill="FFFFFF" w:themeFill="background1"/>
            <w:tcMar>
              <w:left w:w="105" w:type="dxa"/>
              <w:right w:w="105" w:type="dxa"/>
            </w:tcMar>
            <w:vAlign w:val="center"/>
          </w:tcPr>
          <w:p w14:paraId="4324F1F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65" w:name="_Toc131938111"/>
            <w:r w:rsidRPr="003014F4">
              <w:rPr>
                <w:rFonts w:eastAsia="Times New Roman" w:cs="Times New Roman"/>
                <w:sz w:val="16"/>
                <w:szCs w:val="16"/>
              </w:rPr>
              <w:t>CP</w:t>
            </w:r>
            <w:bookmarkEnd w:id="65"/>
          </w:p>
        </w:tc>
        <w:tc>
          <w:tcPr>
            <w:tcW w:w="1140" w:type="dxa"/>
            <w:shd w:val="clear" w:color="auto" w:fill="FFFFFF" w:themeFill="background1"/>
            <w:tcMar>
              <w:left w:w="105" w:type="dxa"/>
              <w:right w:w="105" w:type="dxa"/>
            </w:tcMar>
            <w:vAlign w:val="center"/>
          </w:tcPr>
          <w:p w14:paraId="7B632CD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66" w:name="_Toc131938112"/>
            <w:r w:rsidRPr="003014F4">
              <w:rPr>
                <w:rFonts w:eastAsia="Times New Roman" w:cs="Times New Roman"/>
                <w:sz w:val="16"/>
                <w:szCs w:val="16"/>
              </w:rPr>
              <w:t>0.995</w:t>
            </w:r>
            <w:bookmarkEnd w:id="66"/>
          </w:p>
        </w:tc>
        <w:tc>
          <w:tcPr>
            <w:tcW w:w="1140" w:type="dxa"/>
            <w:shd w:val="clear" w:color="auto" w:fill="FFFFFF" w:themeFill="background1"/>
            <w:tcMar>
              <w:left w:w="105" w:type="dxa"/>
              <w:right w:w="105" w:type="dxa"/>
            </w:tcMar>
            <w:vAlign w:val="center"/>
          </w:tcPr>
          <w:p w14:paraId="26BB9F47"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67" w:name="_Toc131938113"/>
            <w:r w:rsidRPr="003014F4">
              <w:rPr>
                <w:rFonts w:eastAsia="Times New Roman" w:cs="Times New Roman"/>
                <w:sz w:val="16"/>
                <w:szCs w:val="16"/>
              </w:rPr>
              <w:t>0.973</w:t>
            </w:r>
            <w:bookmarkEnd w:id="67"/>
          </w:p>
        </w:tc>
      </w:tr>
      <w:tr w:rsidR="004F607B" w:rsidRPr="003014F4" w14:paraId="36995073"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7B19F91C" w14:textId="77777777" w:rsidR="004F607B" w:rsidRPr="003014F4" w:rsidRDefault="004F607B" w:rsidP="00DE75A8">
            <w:pPr>
              <w:rPr>
                <w:rFonts w:eastAsia="Times New Roman" w:cs="Times New Roman"/>
                <w:b w:val="0"/>
                <w:bCs w:val="0"/>
                <w:i/>
                <w:iCs/>
                <w:sz w:val="16"/>
                <w:szCs w:val="16"/>
              </w:rPr>
            </w:pPr>
            <w:bookmarkStart w:id="68" w:name="_Toc131938114"/>
            <w:r w:rsidRPr="003014F4">
              <w:rPr>
                <w:rFonts w:eastAsia="Times New Roman" w:cs="Times New Roman"/>
                <w:b w:val="0"/>
                <w:bCs w:val="0"/>
                <w:i/>
                <w:iCs/>
                <w:sz w:val="16"/>
                <w:szCs w:val="16"/>
              </w:rPr>
              <w:t>Citrobacter spp.</w:t>
            </w:r>
            <w:bookmarkEnd w:id="68"/>
          </w:p>
        </w:tc>
        <w:tc>
          <w:tcPr>
            <w:tcW w:w="1440" w:type="dxa"/>
            <w:shd w:val="clear" w:color="auto" w:fill="FFFFFF" w:themeFill="background1"/>
            <w:tcMar>
              <w:left w:w="105" w:type="dxa"/>
              <w:right w:w="105" w:type="dxa"/>
            </w:tcMar>
            <w:vAlign w:val="center"/>
          </w:tcPr>
          <w:p w14:paraId="2E76A9A0"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69" w:name="_Toc131938115"/>
            <w:r w:rsidRPr="003014F4">
              <w:rPr>
                <w:rFonts w:eastAsia="Times New Roman" w:cs="Times New Roman"/>
                <w:sz w:val="16"/>
                <w:szCs w:val="16"/>
              </w:rPr>
              <w:t>FQ</w:t>
            </w:r>
            <w:bookmarkEnd w:id="69"/>
          </w:p>
        </w:tc>
        <w:tc>
          <w:tcPr>
            <w:tcW w:w="1140" w:type="dxa"/>
            <w:shd w:val="clear" w:color="auto" w:fill="FFFFFF" w:themeFill="background1"/>
            <w:tcMar>
              <w:left w:w="105" w:type="dxa"/>
              <w:right w:w="105" w:type="dxa"/>
            </w:tcMar>
            <w:vAlign w:val="center"/>
          </w:tcPr>
          <w:p w14:paraId="19561BBF"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70" w:name="_Toc131938116"/>
            <w:r w:rsidRPr="003014F4">
              <w:rPr>
                <w:rFonts w:eastAsia="Times New Roman" w:cs="Times New Roman"/>
                <w:sz w:val="16"/>
                <w:szCs w:val="16"/>
              </w:rPr>
              <w:t>0.989</w:t>
            </w:r>
            <w:bookmarkEnd w:id="70"/>
          </w:p>
        </w:tc>
        <w:tc>
          <w:tcPr>
            <w:tcW w:w="1140" w:type="dxa"/>
            <w:shd w:val="clear" w:color="auto" w:fill="FFFFFF" w:themeFill="background1"/>
            <w:tcMar>
              <w:left w:w="105" w:type="dxa"/>
              <w:right w:w="105" w:type="dxa"/>
            </w:tcMar>
            <w:vAlign w:val="center"/>
          </w:tcPr>
          <w:p w14:paraId="17731FD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71" w:name="_Toc131938117"/>
            <w:r w:rsidRPr="003014F4">
              <w:rPr>
                <w:rFonts w:eastAsia="Times New Roman" w:cs="Times New Roman"/>
                <w:sz w:val="16"/>
                <w:szCs w:val="16"/>
              </w:rPr>
              <w:t>0.967</w:t>
            </w:r>
            <w:bookmarkEnd w:id="71"/>
          </w:p>
        </w:tc>
      </w:tr>
      <w:tr w:rsidR="004F607B" w:rsidRPr="003014F4" w14:paraId="3A35A2A8"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2B02159" w14:textId="77777777" w:rsidR="004F607B" w:rsidRPr="003014F4" w:rsidRDefault="004F607B" w:rsidP="00DE75A8">
            <w:pPr>
              <w:rPr>
                <w:rFonts w:eastAsia="Times New Roman" w:cs="Times New Roman"/>
                <w:b w:val="0"/>
                <w:bCs w:val="0"/>
                <w:i/>
                <w:iCs/>
                <w:sz w:val="16"/>
                <w:szCs w:val="16"/>
              </w:rPr>
            </w:pPr>
            <w:bookmarkStart w:id="72" w:name="_Toc131938118"/>
            <w:r w:rsidRPr="003014F4">
              <w:rPr>
                <w:rFonts w:eastAsia="Times New Roman" w:cs="Times New Roman"/>
                <w:b w:val="0"/>
                <w:bCs w:val="0"/>
                <w:i/>
                <w:iCs/>
                <w:sz w:val="16"/>
                <w:szCs w:val="16"/>
              </w:rPr>
              <w:t>Enterobacter spp.</w:t>
            </w:r>
            <w:bookmarkEnd w:id="72"/>
          </w:p>
        </w:tc>
        <w:tc>
          <w:tcPr>
            <w:tcW w:w="1440" w:type="dxa"/>
            <w:shd w:val="clear" w:color="auto" w:fill="FFFFFF" w:themeFill="background1"/>
            <w:tcMar>
              <w:left w:w="105" w:type="dxa"/>
              <w:right w:w="105" w:type="dxa"/>
            </w:tcMar>
            <w:vAlign w:val="center"/>
          </w:tcPr>
          <w:p w14:paraId="29FC177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73" w:name="_Toc131938119"/>
            <w:r w:rsidRPr="003014F4">
              <w:rPr>
                <w:rFonts w:eastAsia="Times New Roman" w:cs="Times New Roman"/>
                <w:sz w:val="16"/>
                <w:szCs w:val="16"/>
              </w:rPr>
              <w:t>4GC</w:t>
            </w:r>
            <w:bookmarkEnd w:id="73"/>
          </w:p>
        </w:tc>
        <w:tc>
          <w:tcPr>
            <w:tcW w:w="1140" w:type="dxa"/>
            <w:shd w:val="clear" w:color="auto" w:fill="FFFFFF" w:themeFill="background1"/>
            <w:tcMar>
              <w:left w:w="105" w:type="dxa"/>
              <w:right w:w="105" w:type="dxa"/>
            </w:tcMar>
            <w:vAlign w:val="center"/>
          </w:tcPr>
          <w:p w14:paraId="471C2829"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74" w:name="_Toc131938120"/>
            <w:r w:rsidRPr="003014F4">
              <w:rPr>
                <w:rFonts w:eastAsia="Times New Roman" w:cs="Times New Roman"/>
                <w:sz w:val="16"/>
                <w:szCs w:val="16"/>
              </w:rPr>
              <w:t>0.982</w:t>
            </w:r>
            <w:bookmarkEnd w:id="74"/>
          </w:p>
        </w:tc>
        <w:tc>
          <w:tcPr>
            <w:tcW w:w="1140" w:type="dxa"/>
            <w:shd w:val="clear" w:color="auto" w:fill="FFFFFF" w:themeFill="background1"/>
            <w:tcMar>
              <w:left w:w="105" w:type="dxa"/>
              <w:right w:w="105" w:type="dxa"/>
            </w:tcMar>
            <w:vAlign w:val="center"/>
          </w:tcPr>
          <w:p w14:paraId="1E3D8C21"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75" w:name="_Toc131938121"/>
            <w:r w:rsidRPr="003014F4">
              <w:rPr>
                <w:rFonts w:eastAsia="Times New Roman" w:cs="Times New Roman"/>
                <w:sz w:val="16"/>
                <w:szCs w:val="16"/>
              </w:rPr>
              <w:t>0.941</w:t>
            </w:r>
            <w:bookmarkEnd w:id="75"/>
          </w:p>
        </w:tc>
      </w:tr>
      <w:tr w:rsidR="004F607B" w:rsidRPr="003014F4" w14:paraId="0ACFFBBB"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6ADEA9D" w14:textId="77777777" w:rsidR="004F607B" w:rsidRPr="003014F4" w:rsidRDefault="004F607B" w:rsidP="00DE75A8">
            <w:pPr>
              <w:rPr>
                <w:rFonts w:eastAsia="Times New Roman" w:cs="Times New Roman"/>
                <w:b w:val="0"/>
                <w:bCs w:val="0"/>
                <w:i/>
                <w:iCs/>
                <w:sz w:val="16"/>
                <w:szCs w:val="16"/>
              </w:rPr>
            </w:pPr>
            <w:bookmarkStart w:id="76" w:name="_Toc131938122"/>
            <w:r w:rsidRPr="003014F4">
              <w:rPr>
                <w:rFonts w:eastAsia="Times New Roman" w:cs="Times New Roman"/>
                <w:b w:val="0"/>
                <w:bCs w:val="0"/>
                <w:i/>
                <w:iCs/>
                <w:sz w:val="16"/>
                <w:szCs w:val="16"/>
              </w:rPr>
              <w:t>Enterobacter spp.</w:t>
            </w:r>
            <w:bookmarkEnd w:id="76"/>
          </w:p>
        </w:tc>
        <w:tc>
          <w:tcPr>
            <w:tcW w:w="1440" w:type="dxa"/>
            <w:shd w:val="clear" w:color="auto" w:fill="FFFFFF" w:themeFill="background1"/>
            <w:tcMar>
              <w:left w:w="105" w:type="dxa"/>
              <w:right w:w="105" w:type="dxa"/>
            </w:tcMar>
            <w:vAlign w:val="center"/>
          </w:tcPr>
          <w:p w14:paraId="490E4BDF"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77" w:name="_Toc131938123"/>
            <w:r w:rsidRPr="003014F4">
              <w:rPr>
                <w:rFonts w:eastAsia="Times New Roman" w:cs="Times New Roman"/>
                <w:sz w:val="16"/>
                <w:szCs w:val="16"/>
              </w:rPr>
              <w:t>AG</w:t>
            </w:r>
            <w:bookmarkEnd w:id="77"/>
          </w:p>
        </w:tc>
        <w:tc>
          <w:tcPr>
            <w:tcW w:w="1140" w:type="dxa"/>
            <w:shd w:val="clear" w:color="auto" w:fill="FFFFFF" w:themeFill="background1"/>
            <w:tcMar>
              <w:left w:w="105" w:type="dxa"/>
              <w:right w:w="105" w:type="dxa"/>
            </w:tcMar>
            <w:vAlign w:val="center"/>
          </w:tcPr>
          <w:p w14:paraId="448184C0"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78" w:name="_Toc131938124"/>
            <w:r w:rsidRPr="003014F4">
              <w:rPr>
                <w:rFonts w:eastAsia="Times New Roman" w:cs="Times New Roman"/>
                <w:sz w:val="16"/>
                <w:szCs w:val="16"/>
              </w:rPr>
              <w:t>0.989</w:t>
            </w:r>
            <w:bookmarkEnd w:id="78"/>
          </w:p>
        </w:tc>
        <w:tc>
          <w:tcPr>
            <w:tcW w:w="1140" w:type="dxa"/>
            <w:shd w:val="clear" w:color="auto" w:fill="FFFFFF" w:themeFill="background1"/>
            <w:tcMar>
              <w:left w:w="105" w:type="dxa"/>
              <w:right w:w="105" w:type="dxa"/>
            </w:tcMar>
            <w:vAlign w:val="center"/>
          </w:tcPr>
          <w:p w14:paraId="37CE9251"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79" w:name="_Toc131938125"/>
            <w:r w:rsidRPr="003014F4">
              <w:rPr>
                <w:rFonts w:eastAsia="Times New Roman" w:cs="Times New Roman"/>
                <w:sz w:val="16"/>
                <w:szCs w:val="16"/>
              </w:rPr>
              <w:t>0.976</w:t>
            </w:r>
            <w:bookmarkEnd w:id="79"/>
          </w:p>
        </w:tc>
      </w:tr>
      <w:tr w:rsidR="004F607B" w:rsidRPr="003014F4" w14:paraId="4BFC5F5E"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67F8E14A" w14:textId="77777777" w:rsidR="004F607B" w:rsidRPr="003014F4" w:rsidRDefault="004F607B" w:rsidP="00DE75A8">
            <w:pPr>
              <w:rPr>
                <w:rFonts w:eastAsia="Times New Roman" w:cs="Times New Roman"/>
                <w:b w:val="0"/>
                <w:bCs w:val="0"/>
                <w:i/>
                <w:iCs/>
                <w:sz w:val="16"/>
                <w:szCs w:val="16"/>
              </w:rPr>
            </w:pPr>
            <w:bookmarkStart w:id="80" w:name="_Toc131938126"/>
            <w:r w:rsidRPr="003014F4">
              <w:rPr>
                <w:rFonts w:eastAsia="Times New Roman" w:cs="Times New Roman"/>
                <w:b w:val="0"/>
                <w:bCs w:val="0"/>
                <w:i/>
                <w:iCs/>
                <w:sz w:val="16"/>
                <w:szCs w:val="16"/>
              </w:rPr>
              <w:t>Enterobacter spp.</w:t>
            </w:r>
            <w:bookmarkEnd w:id="80"/>
          </w:p>
        </w:tc>
        <w:tc>
          <w:tcPr>
            <w:tcW w:w="1440" w:type="dxa"/>
            <w:shd w:val="clear" w:color="auto" w:fill="FFFFFF" w:themeFill="background1"/>
            <w:tcMar>
              <w:left w:w="105" w:type="dxa"/>
              <w:right w:w="105" w:type="dxa"/>
            </w:tcMar>
            <w:vAlign w:val="center"/>
          </w:tcPr>
          <w:p w14:paraId="51E7C21A"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81" w:name="_Toc131938127"/>
            <w:r w:rsidRPr="003014F4">
              <w:rPr>
                <w:rFonts w:eastAsia="Times New Roman" w:cs="Times New Roman"/>
                <w:sz w:val="16"/>
                <w:szCs w:val="16"/>
              </w:rPr>
              <w:t>Anti-pseudomonal</w:t>
            </w:r>
            <w:bookmarkEnd w:id="81"/>
          </w:p>
        </w:tc>
        <w:tc>
          <w:tcPr>
            <w:tcW w:w="1140" w:type="dxa"/>
            <w:shd w:val="clear" w:color="auto" w:fill="FFFFFF" w:themeFill="background1"/>
            <w:tcMar>
              <w:left w:w="105" w:type="dxa"/>
              <w:right w:w="105" w:type="dxa"/>
            </w:tcMar>
            <w:vAlign w:val="center"/>
          </w:tcPr>
          <w:p w14:paraId="430E40B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82" w:name="_Toc131938128"/>
            <w:r w:rsidRPr="003014F4">
              <w:rPr>
                <w:rFonts w:eastAsia="Times New Roman" w:cs="Times New Roman"/>
                <w:sz w:val="16"/>
                <w:szCs w:val="16"/>
              </w:rPr>
              <w:t>0.984</w:t>
            </w:r>
            <w:bookmarkEnd w:id="82"/>
          </w:p>
        </w:tc>
        <w:tc>
          <w:tcPr>
            <w:tcW w:w="1140" w:type="dxa"/>
            <w:shd w:val="clear" w:color="auto" w:fill="FFFFFF" w:themeFill="background1"/>
            <w:tcMar>
              <w:left w:w="105" w:type="dxa"/>
              <w:right w:w="105" w:type="dxa"/>
            </w:tcMar>
            <w:vAlign w:val="center"/>
          </w:tcPr>
          <w:p w14:paraId="14D50A6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83" w:name="_Toc131938129"/>
            <w:r w:rsidRPr="003014F4">
              <w:rPr>
                <w:rFonts w:eastAsia="Times New Roman" w:cs="Times New Roman"/>
                <w:sz w:val="16"/>
                <w:szCs w:val="16"/>
              </w:rPr>
              <w:t>0.939</w:t>
            </w:r>
            <w:bookmarkEnd w:id="83"/>
          </w:p>
        </w:tc>
      </w:tr>
      <w:tr w:rsidR="004F607B" w:rsidRPr="003014F4" w14:paraId="1A5846C9"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BE3661A" w14:textId="77777777" w:rsidR="004F607B" w:rsidRPr="003014F4" w:rsidRDefault="004F607B" w:rsidP="00DE75A8">
            <w:pPr>
              <w:rPr>
                <w:rFonts w:eastAsia="Times New Roman" w:cs="Times New Roman"/>
                <w:b w:val="0"/>
                <w:bCs w:val="0"/>
                <w:i/>
                <w:iCs/>
                <w:sz w:val="16"/>
                <w:szCs w:val="16"/>
              </w:rPr>
            </w:pPr>
            <w:bookmarkStart w:id="84" w:name="_Toc131938130"/>
            <w:r w:rsidRPr="003014F4">
              <w:rPr>
                <w:rFonts w:eastAsia="Times New Roman" w:cs="Times New Roman"/>
                <w:b w:val="0"/>
                <w:bCs w:val="0"/>
                <w:i/>
                <w:iCs/>
                <w:sz w:val="16"/>
                <w:szCs w:val="16"/>
              </w:rPr>
              <w:t>Enterobacter spp.</w:t>
            </w:r>
            <w:bookmarkEnd w:id="84"/>
          </w:p>
        </w:tc>
        <w:tc>
          <w:tcPr>
            <w:tcW w:w="1440" w:type="dxa"/>
            <w:shd w:val="clear" w:color="auto" w:fill="FFFFFF" w:themeFill="background1"/>
            <w:tcMar>
              <w:left w:w="105" w:type="dxa"/>
              <w:right w:w="105" w:type="dxa"/>
            </w:tcMar>
            <w:vAlign w:val="center"/>
          </w:tcPr>
          <w:p w14:paraId="4DD0BBD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85" w:name="_Toc131938131"/>
            <w:r w:rsidRPr="003014F4">
              <w:rPr>
                <w:rFonts w:eastAsia="Times New Roman" w:cs="Times New Roman"/>
                <w:sz w:val="16"/>
                <w:szCs w:val="16"/>
              </w:rPr>
              <w:t>CP</w:t>
            </w:r>
            <w:bookmarkEnd w:id="85"/>
          </w:p>
        </w:tc>
        <w:tc>
          <w:tcPr>
            <w:tcW w:w="1140" w:type="dxa"/>
            <w:shd w:val="clear" w:color="auto" w:fill="FFFFFF" w:themeFill="background1"/>
            <w:tcMar>
              <w:left w:w="105" w:type="dxa"/>
              <w:right w:w="105" w:type="dxa"/>
            </w:tcMar>
            <w:vAlign w:val="center"/>
          </w:tcPr>
          <w:p w14:paraId="5BC2795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86" w:name="_Toc131938132"/>
            <w:r w:rsidRPr="003014F4">
              <w:rPr>
                <w:rFonts w:eastAsia="Times New Roman" w:cs="Times New Roman"/>
                <w:sz w:val="16"/>
                <w:szCs w:val="16"/>
              </w:rPr>
              <w:t>0.988</w:t>
            </w:r>
            <w:bookmarkEnd w:id="86"/>
          </w:p>
        </w:tc>
        <w:tc>
          <w:tcPr>
            <w:tcW w:w="1140" w:type="dxa"/>
            <w:shd w:val="clear" w:color="auto" w:fill="FFFFFF" w:themeFill="background1"/>
            <w:tcMar>
              <w:left w:w="105" w:type="dxa"/>
              <w:right w:w="105" w:type="dxa"/>
            </w:tcMar>
            <w:vAlign w:val="center"/>
          </w:tcPr>
          <w:p w14:paraId="4EB53FA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87" w:name="_Toc131938133"/>
            <w:r w:rsidRPr="003014F4">
              <w:rPr>
                <w:rFonts w:eastAsia="Times New Roman" w:cs="Times New Roman"/>
                <w:sz w:val="16"/>
                <w:szCs w:val="16"/>
              </w:rPr>
              <w:t>0.973</w:t>
            </w:r>
            <w:bookmarkEnd w:id="87"/>
          </w:p>
        </w:tc>
      </w:tr>
      <w:tr w:rsidR="004F607B" w:rsidRPr="003014F4" w14:paraId="14655071"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7A04152" w14:textId="77777777" w:rsidR="004F607B" w:rsidRPr="003014F4" w:rsidRDefault="004F607B" w:rsidP="00DE75A8">
            <w:pPr>
              <w:rPr>
                <w:rFonts w:eastAsia="Times New Roman" w:cs="Times New Roman"/>
                <w:b w:val="0"/>
                <w:bCs w:val="0"/>
                <w:i/>
                <w:iCs/>
                <w:sz w:val="16"/>
                <w:szCs w:val="16"/>
              </w:rPr>
            </w:pPr>
            <w:bookmarkStart w:id="88" w:name="_Toc131938134"/>
            <w:r w:rsidRPr="003014F4">
              <w:rPr>
                <w:rFonts w:eastAsia="Times New Roman" w:cs="Times New Roman"/>
                <w:b w:val="0"/>
                <w:bCs w:val="0"/>
                <w:i/>
                <w:iCs/>
                <w:sz w:val="16"/>
                <w:szCs w:val="16"/>
              </w:rPr>
              <w:t>Enterobacter spp.</w:t>
            </w:r>
            <w:bookmarkEnd w:id="88"/>
          </w:p>
        </w:tc>
        <w:tc>
          <w:tcPr>
            <w:tcW w:w="1440" w:type="dxa"/>
            <w:shd w:val="clear" w:color="auto" w:fill="FFFFFF" w:themeFill="background1"/>
            <w:tcMar>
              <w:left w:w="105" w:type="dxa"/>
              <w:right w:w="105" w:type="dxa"/>
            </w:tcMar>
            <w:vAlign w:val="center"/>
          </w:tcPr>
          <w:p w14:paraId="69F6B86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89" w:name="_Toc131938135"/>
            <w:r w:rsidRPr="003014F4">
              <w:rPr>
                <w:rFonts w:eastAsia="Times New Roman" w:cs="Times New Roman"/>
                <w:sz w:val="16"/>
                <w:szCs w:val="16"/>
              </w:rPr>
              <w:t>FQ</w:t>
            </w:r>
            <w:bookmarkEnd w:id="89"/>
          </w:p>
        </w:tc>
        <w:tc>
          <w:tcPr>
            <w:tcW w:w="1140" w:type="dxa"/>
            <w:shd w:val="clear" w:color="auto" w:fill="FFFFFF" w:themeFill="background1"/>
            <w:tcMar>
              <w:left w:w="105" w:type="dxa"/>
              <w:right w:w="105" w:type="dxa"/>
            </w:tcMar>
            <w:vAlign w:val="center"/>
          </w:tcPr>
          <w:p w14:paraId="390C806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90" w:name="_Toc131938136"/>
            <w:r w:rsidRPr="003014F4">
              <w:rPr>
                <w:rFonts w:eastAsia="Times New Roman" w:cs="Times New Roman"/>
                <w:sz w:val="16"/>
                <w:szCs w:val="16"/>
              </w:rPr>
              <w:t>0.991</w:t>
            </w:r>
            <w:bookmarkEnd w:id="90"/>
          </w:p>
        </w:tc>
        <w:tc>
          <w:tcPr>
            <w:tcW w:w="1140" w:type="dxa"/>
            <w:shd w:val="clear" w:color="auto" w:fill="FFFFFF" w:themeFill="background1"/>
            <w:tcMar>
              <w:left w:w="105" w:type="dxa"/>
              <w:right w:w="105" w:type="dxa"/>
            </w:tcMar>
            <w:vAlign w:val="center"/>
          </w:tcPr>
          <w:p w14:paraId="2FA6285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91" w:name="_Toc131938137"/>
            <w:r w:rsidRPr="003014F4">
              <w:rPr>
                <w:rFonts w:eastAsia="Times New Roman" w:cs="Times New Roman"/>
                <w:sz w:val="16"/>
                <w:szCs w:val="16"/>
              </w:rPr>
              <w:t>0.98</w:t>
            </w:r>
            <w:bookmarkEnd w:id="91"/>
          </w:p>
        </w:tc>
      </w:tr>
      <w:tr w:rsidR="004F607B" w:rsidRPr="003014F4" w14:paraId="43D00411"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0DCBCE8E" w14:textId="77777777" w:rsidR="004F607B" w:rsidRPr="003014F4" w:rsidRDefault="004F607B" w:rsidP="00DE75A8">
            <w:pPr>
              <w:rPr>
                <w:rFonts w:eastAsia="Times New Roman" w:cs="Times New Roman"/>
                <w:b w:val="0"/>
                <w:bCs w:val="0"/>
                <w:i/>
                <w:iCs/>
                <w:sz w:val="16"/>
                <w:szCs w:val="16"/>
              </w:rPr>
            </w:pPr>
            <w:bookmarkStart w:id="92" w:name="_Toc131938138"/>
            <w:r w:rsidRPr="003014F4">
              <w:rPr>
                <w:rFonts w:eastAsia="Times New Roman" w:cs="Times New Roman"/>
                <w:b w:val="0"/>
                <w:bCs w:val="0"/>
                <w:i/>
                <w:iCs/>
                <w:sz w:val="16"/>
                <w:szCs w:val="16"/>
              </w:rPr>
              <w:t>Enterobacter spp.</w:t>
            </w:r>
            <w:bookmarkEnd w:id="92"/>
          </w:p>
        </w:tc>
        <w:tc>
          <w:tcPr>
            <w:tcW w:w="1440" w:type="dxa"/>
            <w:shd w:val="clear" w:color="auto" w:fill="FFFFFF" w:themeFill="background1"/>
            <w:tcMar>
              <w:left w:w="105" w:type="dxa"/>
              <w:right w:w="105" w:type="dxa"/>
            </w:tcMar>
            <w:vAlign w:val="center"/>
          </w:tcPr>
          <w:p w14:paraId="5EBFC65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93" w:name="_Toc131938139"/>
            <w:r w:rsidRPr="003014F4">
              <w:rPr>
                <w:rFonts w:eastAsia="Times New Roman" w:cs="Times New Roman"/>
                <w:sz w:val="16"/>
                <w:szCs w:val="16"/>
              </w:rPr>
              <w:t>TMP-SMX</w:t>
            </w:r>
            <w:bookmarkEnd w:id="93"/>
          </w:p>
        </w:tc>
        <w:tc>
          <w:tcPr>
            <w:tcW w:w="1140" w:type="dxa"/>
            <w:shd w:val="clear" w:color="auto" w:fill="FFFFFF" w:themeFill="background1"/>
            <w:tcMar>
              <w:left w:w="105" w:type="dxa"/>
              <w:right w:w="105" w:type="dxa"/>
            </w:tcMar>
            <w:vAlign w:val="center"/>
          </w:tcPr>
          <w:p w14:paraId="7E2916F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94" w:name="_Toc131938140"/>
            <w:r w:rsidRPr="003014F4">
              <w:rPr>
                <w:rFonts w:eastAsia="Times New Roman" w:cs="Times New Roman"/>
                <w:sz w:val="16"/>
                <w:szCs w:val="16"/>
              </w:rPr>
              <w:t>0.996</w:t>
            </w:r>
            <w:bookmarkEnd w:id="94"/>
          </w:p>
        </w:tc>
        <w:tc>
          <w:tcPr>
            <w:tcW w:w="1140" w:type="dxa"/>
            <w:shd w:val="clear" w:color="auto" w:fill="FFFFFF" w:themeFill="background1"/>
            <w:tcMar>
              <w:left w:w="105" w:type="dxa"/>
              <w:right w:w="105" w:type="dxa"/>
            </w:tcMar>
            <w:vAlign w:val="center"/>
          </w:tcPr>
          <w:p w14:paraId="09635C1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95" w:name="_Toc131938141"/>
            <w:r w:rsidRPr="003014F4">
              <w:rPr>
                <w:rFonts w:eastAsia="Times New Roman" w:cs="Times New Roman"/>
                <w:sz w:val="16"/>
                <w:szCs w:val="16"/>
              </w:rPr>
              <w:t>0.883</w:t>
            </w:r>
            <w:bookmarkEnd w:id="95"/>
          </w:p>
        </w:tc>
      </w:tr>
      <w:tr w:rsidR="004F607B" w:rsidRPr="003014F4" w14:paraId="708AE835"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E38DEBD" w14:textId="77777777" w:rsidR="004F607B" w:rsidRPr="003014F4" w:rsidRDefault="004F607B" w:rsidP="00DE75A8">
            <w:pPr>
              <w:rPr>
                <w:rFonts w:eastAsia="Times New Roman" w:cs="Times New Roman"/>
                <w:b w:val="0"/>
                <w:bCs w:val="0"/>
                <w:i/>
                <w:iCs/>
                <w:sz w:val="16"/>
                <w:szCs w:val="16"/>
              </w:rPr>
            </w:pPr>
            <w:bookmarkStart w:id="96" w:name="_Toc131938142"/>
            <w:r w:rsidRPr="003014F4">
              <w:rPr>
                <w:rFonts w:eastAsia="Times New Roman" w:cs="Times New Roman"/>
                <w:b w:val="0"/>
                <w:bCs w:val="0"/>
                <w:i/>
                <w:iCs/>
                <w:sz w:val="16"/>
                <w:szCs w:val="16"/>
              </w:rPr>
              <w:t>Enterococcus faecalis</w:t>
            </w:r>
            <w:bookmarkEnd w:id="96"/>
          </w:p>
        </w:tc>
        <w:tc>
          <w:tcPr>
            <w:tcW w:w="1440" w:type="dxa"/>
            <w:shd w:val="clear" w:color="auto" w:fill="FFFFFF" w:themeFill="background1"/>
            <w:tcMar>
              <w:left w:w="105" w:type="dxa"/>
              <w:right w:w="105" w:type="dxa"/>
            </w:tcMar>
            <w:vAlign w:val="center"/>
          </w:tcPr>
          <w:p w14:paraId="06C5B4FB"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97" w:name="_Toc131938143"/>
            <w:r w:rsidRPr="003014F4">
              <w:rPr>
                <w:rFonts w:eastAsia="Times New Roman" w:cs="Times New Roman"/>
                <w:sz w:val="16"/>
                <w:szCs w:val="16"/>
              </w:rPr>
              <w:t>FQ</w:t>
            </w:r>
            <w:bookmarkEnd w:id="97"/>
          </w:p>
        </w:tc>
        <w:tc>
          <w:tcPr>
            <w:tcW w:w="1140" w:type="dxa"/>
            <w:shd w:val="clear" w:color="auto" w:fill="FFFFFF" w:themeFill="background1"/>
            <w:tcMar>
              <w:left w:w="105" w:type="dxa"/>
              <w:right w:w="105" w:type="dxa"/>
            </w:tcMar>
            <w:vAlign w:val="center"/>
          </w:tcPr>
          <w:p w14:paraId="69BCBD2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98" w:name="_Toc131938144"/>
            <w:r w:rsidRPr="003014F4">
              <w:rPr>
                <w:rFonts w:eastAsia="Times New Roman" w:cs="Times New Roman"/>
                <w:sz w:val="16"/>
                <w:szCs w:val="16"/>
              </w:rPr>
              <w:t>0.982</w:t>
            </w:r>
            <w:bookmarkEnd w:id="98"/>
          </w:p>
        </w:tc>
        <w:tc>
          <w:tcPr>
            <w:tcW w:w="1140" w:type="dxa"/>
            <w:shd w:val="clear" w:color="auto" w:fill="FFFFFF" w:themeFill="background1"/>
            <w:tcMar>
              <w:left w:w="105" w:type="dxa"/>
              <w:right w:w="105" w:type="dxa"/>
            </w:tcMar>
            <w:vAlign w:val="center"/>
          </w:tcPr>
          <w:p w14:paraId="08B05A7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99" w:name="_Toc131938145"/>
            <w:r w:rsidRPr="003014F4">
              <w:rPr>
                <w:rFonts w:eastAsia="Times New Roman" w:cs="Times New Roman"/>
                <w:sz w:val="16"/>
                <w:szCs w:val="16"/>
              </w:rPr>
              <w:t>0.856</w:t>
            </w:r>
            <w:bookmarkEnd w:id="99"/>
          </w:p>
        </w:tc>
      </w:tr>
      <w:tr w:rsidR="004F607B" w:rsidRPr="003014F4" w14:paraId="4CE2CADB"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BFB31D1" w14:textId="77777777" w:rsidR="004F607B" w:rsidRPr="003014F4" w:rsidRDefault="004F607B" w:rsidP="00DE75A8">
            <w:pPr>
              <w:rPr>
                <w:rFonts w:eastAsia="Times New Roman" w:cs="Times New Roman"/>
                <w:b w:val="0"/>
                <w:bCs w:val="0"/>
                <w:i/>
                <w:iCs/>
                <w:sz w:val="16"/>
                <w:szCs w:val="16"/>
              </w:rPr>
            </w:pPr>
            <w:bookmarkStart w:id="100" w:name="_Toc131938146"/>
            <w:r w:rsidRPr="003014F4">
              <w:rPr>
                <w:rFonts w:eastAsia="Times New Roman" w:cs="Times New Roman"/>
                <w:b w:val="0"/>
                <w:bCs w:val="0"/>
                <w:i/>
                <w:iCs/>
                <w:sz w:val="16"/>
                <w:szCs w:val="16"/>
              </w:rPr>
              <w:t>Enterococcus faecalis</w:t>
            </w:r>
            <w:bookmarkEnd w:id="100"/>
          </w:p>
        </w:tc>
        <w:tc>
          <w:tcPr>
            <w:tcW w:w="1440" w:type="dxa"/>
            <w:shd w:val="clear" w:color="auto" w:fill="FFFFFF" w:themeFill="background1"/>
            <w:tcMar>
              <w:left w:w="105" w:type="dxa"/>
              <w:right w:w="105" w:type="dxa"/>
            </w:tcMar>
            <w:vAlign w:val="center"/>
          </w:tcPr>
          <w:p w14:paraId="0EB2DC72"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01" w:name="_Toc131938147"/>
            <w:proofErr w:type="spellStart"/>
            <w:r w:rsidRPr="003014F4">
              <w:rPr>
                <w:rFonts w:eastAsia="Times New Roman" w:cs="Times New Roman"/>
                <w:sz w:val="16"/>
                <w:szCs w:val="16"/>
              </w:rPr>
              <w:t>Vanco</w:t>
            </w:r>
            <w:bookmarkEnd w:id="101"/>
            <w:proofErr w:type="spellEnd"/>
          </w:p>
        </w:tc>
        <w:tc>
          <w:tcPr>
            <w:tcW w:w="1140" w:type="dxa"/>
            <w:shd w:val="clear" w:color="auto" w:fill="FFFFFF" w:themeFill="background1"/>
            <w:tcMar>
              <w:left w:w="105" w:type="dxa"/>
              <w:right w:w="105" w:type="dxa"/>
            </w:tcMar>
            <w:vAlign w:val="center"/>
          </w:tcPr>
          <w:p w14:paraId="7EBFB9C2"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02" w:name="_Toc131938148"/>
            <w:r w:rsidRPr="003014F4">
              <w:rPr>
                <w:rFonts w:eastAsia="Times New Roman" w:cs="Times New Roman"/>
                <w:sz w:val="16"/>
                <w:szCs w:val="16"/>
              </w:rPr>
              <w:t>0.993</w:t>
            </w:r>
            <w:bookmarkEnd w:id="102"/>
          </w:p>
        </w:tc>
        <w:tc>
          <w:tcPr>
            <w:tcW w:w="1140" w:type="dxa"/>
            <w:shd w:val="clear" w:color="auto" w:fill="FFFFFF" w:themeFill="background1"/>
            <w:tcMar>
              <w:left w:w="105" w:type="dxa"/>
              <w:right w:w="105" w:type="dxa"/>
            </w:tcMar>
            <w:vAlign w:val="center"/>
          </w:tcPr>
          <w:p w14:paraId="1C46381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03" w:name="_Toc131938149"/>
            <w:r w:rsidRPr="003014F4">
              <w:rPr>
                <w:rFonts w:eastAsia="Times New Roman" w:cs="Times New Roman"/>
                <w:sz w:val="16"/>
                <w:szCs w:val="16"/>
              </w:rPr>
              <w:t>0.987</w:t>
            </w:r>
            <w:bookmarkEnd w:id="103"/>
          </w:p>
        </w:tc>
      </w:tr>
      <w:tr w:rsidR="004F607B" w:rsidRPr="003014F4" w14:paraId="35DD8B05"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38D211B" w14:textId="77777777" w:rsidR="004F607B" w:rsidRPr="003014F4" w:rsidRDefault="004F607B" w:rsidP="00DE75A8">
            <w:pPr>
              <w:rPr>
                <w:rFonts w:eastAsia="Times New Roman" w:cs="Times New Roman"/>
                <w:b w:val="0"/>
                <w:bCs w:val="0"/>
                <w:i/>
                <w:iCs/>
                <w:sz w:val="16"/>
                <w:szCs w:val="16"/>
              </w:rPr>
            </w:pPr>
            <w:bookmarkStart w:id="104" w:name="_Toc131938150"/>
            <w:r w:rsidRPr="003014F4">
              <w:rPr>
                <w:rFonts w:eastAsia="Times New Roman" w:cs="Times New Roman"/>
                <w:b w:val="0"/>
                <w:bCs w:val="0"/>
                <w:i/>
                <w:iCs/>
                <w:sz w:val="16"/>
                <w:szCs w:val="16"/>
              </w:rPr>
              <w:t>Enterococcus faecium</w:t>
            </w:r>
            <w:bookmarkEnd w:id="104"/>
          </w:p>
        </w:tc>
        <w:tc>
          <w:tcPr>
            <w:tcW w:w="1440" w:type="dxa"/>
            <w:shd w:val="clear" w:color="auto" w:fill="FFFFFF" w:themeFill="background1"/>
            <w:tcMar>
              <w:left w:w="105" w:type="dxa"/>
              <w:right w:w="105" w:type="dxa"/>
            </w:tcMar>
            <w:vAlign w:val="center"/>
          </w:tcPr>
          <w:p w14:paraId="483BD1B7"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05" w:name="_Toc131938151"/>
            <w:r w:rsidRPr="003014F4">
              <w:rPr>
                <w:rFonts w:eastAsia="Times New Roman" w:cs="Times New Roman"/>
                <w:sz w:val="16"/>
                <w:szCs w:val="16"/>
              </w:rPr>
              <w:t>FQ</w:t>
            </w:r>
            <w:bookmarkEnd w:id="105"/>
          </w:p>
        </w:tc>
        <w:tc>
          <w:tcPr>
            <w:tcW w:w="1140" w:type="dxa"/>
            <w:shd w:val="clear" w:color="auto" w:fill="FFFFFF" w:themeFill="background1"/>
            <w:tcMar>
              <w:left w:w="105" w:type="dxa"/>
              <w:right w:w="105" w:type="dxa"/>
            </w:tcMar>
            <w:vAlign w:val="center"/>
          </w:tcPr>
          <w:p w14:paraId="39E9293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06" w:name="_Toc131938152"/>
            <w:r w:rsidRPr="003014F4">
              <w:rPr>
                <w:rFonts w:eastAsia="Times New Roman" w:cs="Times New Roman"/>
                <w:sz w:val="16"/>
                <w:szCs w:val="16"/>
              </w:rPr>
              <w:t>0.992</w:t>
            </w:r>
            <w:bookmarkEnd w:id="106"/>
          </w:p>
        </w:tc>
        <w:tc>
          <w:tcPr>
            <w:tcW w:w="1140" w:type="dxa"/>
            <w:shd w:val="clear" w:color="auto" w:fill="FFFFFF" w:themeFill="background1"/>
            <w:tcMar>
              <w:left w:w="105" w:type="dxa"/>
              <w:right w:w="105" w:type="dxa"/>
            </w:tcMar>
            <w:vAlign w:val="center"/>
          </w:tcPr>
          <w:p w14:paraId="40DE93E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07" w:name="_Toc131938153"/>
            <w:r w:rsidRPr="003014F4">
              <w:rPr>
                <w:rFonts w:eastAsia="Times New Roman" w:cs="Times New Roman"/>
                <w:sz w:val="16"/>
                <w:szCs w:val="16"/>
              </w:rPr>
              <w:t>0.985</w:t>
            </w:r>
            <w:bookmarkEnd w:id="107"/>
          </w:p>
        </w:tc>
      </w:tr>
      <w:tr w:rsidR="004F607B" w:rsidRPr="003014F4" w14:paraId="46A66062"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0F2B00D5" w14:textId="77777777" w:rsidR="004F607B" w:rsidRPr="003014F4" w:rsidRDefault="004F607B" w:rsidP="00DE75A8">
            <w:pPr>
              <w:rPr>
                <w:rFonts w:eastAsia="Times New Roman" w:cs="Times New Roman"/>
                <w:b w:val="0"/>
                <w:bCs w:val="0"/>
                <w:i/>
                <w:iCs/>
                <w:sz w:val="16"/>
                <w:szCs w:val="16"/>
              </w:rPr>
            </w:pPr>
            <w:bookmarkStart w:id="108" w:name="_Toc131938154"/>
            <w:r w:rsidRPr="003014F4">
              <w:rPr>
                <w:rFonts w:eastAsia="Times New Roman" w:cs="Times New Roman"/>
                <w:b w:val="0"/>
                <w:bCs w:val="0"/>
                <w:i/>
                <w:iCs/>
                <w:sz w:val="16"/>
                <w:szCs w:val="16"/>
              </w:rPr>
              <w:t>Enterococcus faecium</w:t>
            </w:r>
            <w:bookmarkEnd w:id="108"/>
          </w:p>
        </w:tc>
        <w:tc>
          <w:tcPr>
            <w:tcW w:w="1440" w:type="dxa"/>
            <w:shd w:val="clear" w:color="auto" w:fill="FFFFFF" w:themeFill="background1"/>
            <w:tcMar>
              <w:left w:w="105" w:type="dxa"/>
              <w:right w:w="105" w:type="dxa"/>
            </w:tcMar>
            <w:vAlign w:val="center"/>
          </w:tcPr>
          <w:p w14:paraId="7FCB9FD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09" w:name="_Toc131938155"/>
            <w:proofErr w:type="spellStart"/>
            <w:r w:rsidRPr="003014F4">
              <w:rPr>
                <w:rFonts w:eastAsia="Times New Roman" w:cs="Times New Roman"/>
                <w:sz w:val="16"/>
                <w:szCs w:val="16"/>
              </w:rPr>
              <w:t>Vanco</w:t>
            </w:r>
            <w:bookmarkEnd w:id="109"/>
            <w:proofErr w:type="spellEnd"/>
          </w:p>
        </w:tc>
        <w:tc>
          <w:tcPr>
            <w:tcW w:w="1140" w:type="dxa"/>
            <w:shd w:val="clear" w:color="auto" w:fill="FFFFFF" w:themeFill="background1"/>
            <w:tcMar>
              <w:left w:w="105" w:type="dxa"/>
              <w:right w:w="105" w:type="dxa"/>
            </w:tcMar>
            <w:vAlign w:val="center"/>
          </w:tcPr>
          <w:p w14:paraId="41BF678D"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10" w:name="_Toc131938156"/>
            <w:r w:rsidRPr="003014F4">
              <w:rPr>
                <w:rFonts w:eastAsia="Times New Roman" w:cs="Times New Roman"/>
                <w:sz w:val="16"/>
                <w:szCs w:val="16"/>
              </w:rPr>
              <w:t>0.976</w:t>
            </w:r>
            <w:bookmarkEnd w:id="110"/>
          </w:p>
        </w:tc>
        <w:tc>
          <w:tcPr>
            <w:tcW w:w="1140" w:type="dxa"/>
            <w:shd w:val="clear" w:color="auto" w:fill="FFFFFF" w:themeFill="background1"/>
            <w:tcMar>
              <w:left w:w="105" w:type="dxa"/>
              <w:right w:w="105" w:type="dxa"/>
            </w:tcMar>
            <w:vAlign w:val="center"/>
          </w:tcPr>
          <w:p w14:paraId="66F4567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11" w:name="_Toc131938157"/>
            <w:r w:rsidRPr="003014F4">
              <w:rPr>
                <w:rFonts w:eastAsia="Times New Roman" w:cs="Times New Roman"/>
                <w:sz w:val="16"/>
                <w:szCs w:val="16"/>
              </w:rPr>
              <w:t>0.703</w:t>
            </w:r>
            <w:bookmarkEnd w:id="111"/>
          </w:p>
        </w:tc>
      </w:tr>
      <w:tr w:rsidR="004F607B" w:rsidRPr="003014F4" w14:paraId="1214BF8E"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77CC762D" w14:textId="77777777" w:rsidR="004F607B" w:rsidRPr="003014F4" w:rsidRDefault="004F607B" w:rsidP="00DE75A8">
            <w:pPr>
              <w:rPr>
                <w:rFonts w:eastAsia="Times New Roman" w:cs="Times New Roman"/>
                <w:b w:val="0"/>
                <w:bCs w:val="0"/>
                <w:i/>
                <w:iCs/>
                <w:sz w:val="16"/>
                <w:szCs w:val="16"/>
              </w:rPr>
            </w:pPr>
            <w:bookmarkStart w:id="112" w:name="_Toc131938158"/>
            <w:r w:rsidRPr="003014F4">
              <w:rPr>
                <w:rFonts w:eastAsia="Times New Roman" w:cs="Times New Roman"/>
                <w:b w:val="0"/>
                <w:bCs w:val="0"/>
                <w:i/>
                <w:iCs/>
                <w:sz w:val="16"/>
                <w:szCs w:val="16"/>
              </w:rPr>
              <w:t>Escherichia coli</w:t>
            </w:r>
            <w:bookmarkEnd w:id="112"/>
          </w:p>
        </w:tc>
        <w:tc>
          <w:tcPr>
            <w:tcW w:w="1440" w:type="dxa"/>
            <w:shd w:val="clear" w:color="auto" w:fill="FFFFFF" w:themeFill="background1"/>
            <w:tcMar>
              <w:left w:w="105" w:type="dxa"/>
              <w:right w:w="105" w:type="dxa"/>
            </w:tcMar>
            <w:vAlign w:val="center"/>
          </w:tcPr>
          <w:p w14:paraId="79DE8FB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13" w:name="_Toc131938159"/>
            <w:r w:rsidRPr="003014F4">
              <w:rPr>
                <w:rFonts w:eastAsia="Times New Roman" w:cs="Times New Roman"/>
                <w:sz w:val="16"/>
                <w:szCs w:val="16"/>
              </w:rPr>
              <w:t>3GC</w:t>
            </w:r>
            <w:bookmarkEnd w:id="113"/>
          </w:p>
        </w:tc>
        <w:tc>
          <w:tcPr>
            <w:tcW w:w="1140" w:type="dxa"/>
            <w:shd w:val="clear" w:color="auto" w:fill="FFFFFF" w:themeFill="background1"/>
            <w:tcMar>
              <w:left w:w="105" w:type="dxa"/>
              <w:right w:w="105" w:type="dxa"/>
            </w:tcMar>
            <w:vAlign w:val="center"/>
          </w:tcPr>
          <w:p w14:paraId="6A3D150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14" w:name="_Toc131938160"/>
            <w:r w:rsidRPr="003014F4">
              <w:rPr>
                <w:rFonts w:eastAsia="Times New Roman" w:cs="Times New Roman"/>
                <w:sz w:val="16"/>
                <w:szCs w:val="16"/>
              </w:rPr>
              <w:t>0.977</w:t>
            </w:r>
            <w:bookmarkEnd w:id="114"/>
          </w:p>
        </w:tc>
        <w:tc>
          <w:tcPr>
            <w:tcW w:w="1140" w:type="dxa"/>
            <w:shd w:val="clear" w:color="auto" w:fill="FFFFFF" w:themeFill="background1"/>
            <w:tcMar>
              <w:left w:w="105" w:type="dxa"/>
              <w:right w:w="105" w:type="dxa"/>
            </w:tcMar>
            <w:vAlign w:val="center"/>
          </w:tcPr>
          <w:p w14:paraId="445BD55A"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15" w:name="_Toc131938161"/>
            <w:r w:rsidRPr="003014F4">
              <w:rPr>
                <w:rFonts w:eastAsia="Times New Roman" w:cs="Times New Roman"/>
                <w:sz w:val="16"/>
                <w:szCs w:val="16"/>
              </w:rPr>
              <w:t>0.973</w:t>
            </w:r>
            <w:bookmarkEnd w:id="115"/>
          </w:p>
        </w:tc>
      </w:tr>
      <w:tr w:rsidR="004F607B" w:rsidRPr="003014F4" w14:paraId="1C2E71FA"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105669B" w14:textId="77777777" w:rsidR="004F607B" w:rsidRPr="003014F4" w:rsidRDefault="004F607B" w:rsidP="00DE75A8">
            <w:pPr>
              <w:rPr>
                <w:rFonts w:eastAsia="Times New Roman" w:cs="Times New Roman"/>
                <w:b w:val="0"/>
                <w:bCs w:val="0"/>
                <w:i/>
                <w:iCs/>
                <w:sz w:val="16"/>
                <w:szCs w:val="16"/>
              </w:rPr>
            </w:pPr>
            <w:bookmarkStart w:id="116" w:name="_Toc131938162"/>
            <w:r w:rsidRPr="003014F4">
              <w:rPr>
                <w:rFonts w:eastAsia="Times New Roman" w:cs="Times New Roman"/>
                <w:b w:val="0"/>
                <w:bCs w:val="0"/>
                <w:i/>
                <w:iCs/>
                <w:sz w:val="16"/>
                <w:szCs w:val="16"/>
              </w:rPr>
              <w:t>Escherichia coli</w:t>
            </w:r>
            <w:bookmarkEnd w:id="116"/>
          </w:p>
        </w:tc>
        <w:tc>
          <w:tcPr>
            <w:tcW w:w="1440" w:type="dxa"/>
            <w:shd w:val="clear" w:color="auto" w:fill="FFFFFF" w:themeFill="background1"/>
            <w:tcMar>
              <w:left w:w="105" w:type="dxa"/>
              <w:right w:w="105" w:type="dxa"/>
            </w:tcMar>
            <w:vAlign w:val="center"/>
          </w:tcPr>
          <w:p w14:paraId="073E0EBF"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17" w:name="_Toc131938163"/>
            <w:r w:rsidRPr="003014F4">
              <w:rPr>
                <w:rFonts w:eastAsia="Times New Roman" w:cs="Times New Roman"/>
                <w:sz w:val="16"/>
                <w:szCs w:val="16"/>
              </w:rPr>
              <w:t>AG</w:t>
            </w:r>
            <w:bookmarkEnd w:id="117"/>
          </w:p>
        </w:tc>
        <w:tc>
          <w:tcPr>
            <w:tcW w:w="1140" w:type="dxa"/>
            <w:shd w:val="clear" w:color="auto" w:fill="FFFFFF" w:themeFill="background1"/>
            <w:tcMar>
              <w:left w:w="105" w:type="dxa"/>
              <w:right w:w="105" w:type="dxa"/>
            </w:tcMar>
            <w:vAlign w:val="center"/>
          </w:tcPr>
          <w:p w14:paraId="72C85EF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18" w:name="_Toc131938164"/>
            <w:r w:rsidRPr="003014F4">
              <w:rPr>
                <w:rFonts w:eastAsia="Times New Roman" w:cs="Times New Roman"/>
                <w:sz w:val="16"/>
                <w:szCs w:val="16"/>
              </w:rPr>
              <w:t>0.979</w:t>
            </w:r>
            <w:bookmarkEnd w:id="118"/>
          </w:p>
        </w:tc>
        <w:tc>
          <w:tcPr>
            <w:tcW w:w="1140" w:type="dxa"/>
            <w:shd w:val="clear" w:color="auto" w:fill="FFFFFF" w:themeFill="background1"/>
            <w:tcMar>
              <w:left w:w="105" w:type="dxa"/>
              <w:right w:w="105" w:type="dxa"/>
            </w:tcMar>
            <w:vAlign w:val="center"/>
          </w:tcPr>
          <w:p w14:paraId="0BF0490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19" w:name="_Toc131938165"/>
            <w:r w:rsidRPr="003014F4">
              <w:rPr>
                <w:rFonts w:eastAsia="Times New Roman" w:cs="Times New Roman"/>
                <w:sz w:val="16"/>
                <w:szCs w:val="16"/>
              </w:rPr>
              <w:t>0.96</w:t>
            </w:r>
            <w:bookmarkEnd w:id="119"/>
          </w:p>
        </w:tc>
      </w:tr>
      <w:tr w:rsidR="004F607B" w:rsidRPr="003014F4" w14:paraId="4CF4567F"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CD754E5" w14:textId="77777777" w:rsidR="004F607B" w:rsidRPr="003014F4" w:rsidRDefault="004F607B" w:rsidP="00DE75A8">
            <w:pPr>
              <w:rPr>
                <w:rFonts w:eastAsia="Times New Roman" w:cs="Times New Roman"/>
                <w:b w:val="0"/>
                <w:bCs w:val="0"/>
                <w:i/>
                <w:iCs/>
                <w:sz w:val="16"/>
                <w:szCs w:val="16"/>
              </w:rPr>
            </w:pPr>
            <w:bookmarkStart w:id="120" w:name="_Toc131938166"/>
            <w:r w:rsidRPr="003014F4">
              <w:rPr>
                <w:rFonts w:eastAsia="Times New Roman" w:cs="Times New Roman"/>
                <w:b w:val="0"/>
                <w:bCs w:val="0"/>
                <w:i/>
                <w:iCs/>
                <w:sz w:val="16"/>
                <w:szCs w:val="16"/>
              </w:rPr>
              <w:t>Escherichia coli</w:t>
            </w:r>
            <w:bookmarkEnd w:id="120"/>
          </w:p>
        </w:tc>
        <w:tc>
          <w:tcPr>
            <w:tcW w:w="1440" w:type="dxa"/>
            <w:shd w:val="clear" w:color="auto" w:fill="FFFFFF" w:themeFill="background1"/>
            <w:tcMar>
              <w:left w:w="105" w:type="dxa"/>
              <w:right w:w="105" w:type="dxa"/>
            </w:tcMar>
            <w:vAlign w:val="center"/>
          </w:tcPr>
          <w:p w14:paraId="2BE09D3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21" w:name="_Toc131938167"/>
            <w:r w:rsidRPr="003014F4">
              <w:rPr>
                <w:rFonts w:eastAsia="Times New Roman" w:cs="Times New Roman"/>
                <w:sz w:val="16"/>
                <w:szCs w:val="16"/>
              </w:rPr>
              <w:t>Aminopenicillin</w:t>
            </w:r>
            <w:bookmarkEnd w:id="121"/>
          </w:p>
        </w:tc>
        <w:tc>
          <w:tcPr>
            <w:tcW w:w="1140" w:type="dxa"/>
            <w:shd w:val="clear" w:color="auto" w:fill="FFFFFF" w:themeFill="background1"/>
            <w:tcMar>
              <w:left w:w="105" w:type="dxa"/>
              <w:right w:w="105" w:type="dxa"/>
            </w:tcMar>
            <w:vAlign w:val="center"/>
          </w:tcPr>
          <w:p w14:paraId="62FB765B"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22" w:name="_Toc131938168"/>
            <w:r w:rsidRPr="003014F4">
              <w:rPr>
                <w:rFonts w:eastAsia="Times New Roman" w:cs="Times New Roman"/>
                <w:sz w:val="16"/>
                <w:szCs w:val="16"/>
              </w:rPr>
              <w:t>0.959</w:t>
            </w:r>
            <w:bookmarkEnd w:id="122"/>
          </w:p>
        </w:tc>
        <w:tc>
          <w:tcPr>
            <w:tcW w:w="1140" w:type="dxa"/>
            <w:shd w:val="clear" w:color="auto" w:fill="FFFFFF" w:themeFill="background1"/>
            <w:tcMar>
              <w:left w:w="105" w:type="dxa"/>
              <w:right w:w="105" w:type="dxa"/>
            </w:tcMar>
            <w:vAlign w:val="center"/>
          </w:tcPr>
          <w:p w14:paraId="63F8702D"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23" w:name="_Toc131938169"/>
            <w:r w:rsidRPr="003014F4">
              <w:rPr>
                <w:rFonts w:eastAsia="Times New Roman" w:cs="Times New Roman"/>
                <w:sz w:val="16"/>
                <w:szCs w:val="16"/>
              </w:rPr>
              <w:t>0.915</w:t>
            </w:r>
            <w:bookmarkEnd w:id="123"/>
          </w:p>
        </w:tc>
      </w:tr>
      <w:tr w:rsidR="004F607B" w:rsidRPr="003014F4" w14:paraId="4571F493"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54A73268" w14:textId="77777777" w:rsidR="004F607B" w:rsidRPr="003014F4" w:rsidRDefault="004F607B" w:rsidP="00DE75A8">
            <w:pPr>
              <w:rPr>
                <w:rFonts w:eastAsia="Times New Roman" w:cs="Times New Roman"/>
                <w:b w:val="0"/>
                <w:bCs w:val="0"/>
                <w:i/>
                <w:iCs/>
                <w:sz w:val="16"/>
                <w:szCs w:val="16"/>
              </w:rPr>
            </w:pPr>
            <w:bookmarkStart w:id="124" w:name="_Toc131938170"/>
            <w:r w:rsidRPr="003014F4">
              <w:rPr>
                <w:rFonts w:eastAsia="Times New Roman" w:cs="Times New Roman"/>
                <w:b w:val="0"/>
                <w:bCs w:val="0"/>
                <w:i/>
                <w:iCs/>
                <w:sz w:val="16"/>
                <w:szCs w:val="16"/>
              </w:rPr>
              <w:t>Escherichia coli</w:t>
            </w:r>
            <w:bookmarkEnd w:id="124"/>
          </w:p>
        </w:tc>
        <w:tc>
          <w:tcPr>
            <w:tcW w:w="1440" w:type="dxa"/>
            <w:shd w:val="clear" w:color="auto" w:fill="FFFFFF" w:themeFill="background1"/>
            <w:tcMar>
              <w:left w:w="105" w:type="dxa"/>
              <w:right w:w="105" w:type="dxa"/>
            </w:tcMar>
            <w:vAlign w:val="center"/>
          </w:tcPr>
          <w:p w14:paraId="2D45ABA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25" w:name="_Toc131938171"/>
            <w:r w:rsidRPr="003014F4">
              <w:rPr>
                <w:rFonts w:eastAsia="Times New Roman" w:cs="Times New Roman"/>
                <w:sz w:val="16"/>
                <w:szCs w:val="16"/>
              </w:rPr>
              <w:t>BL-BLI</w:t>
            </w:r>
            <w:bookmarkEnd w:id="125"/>
          </w:p>
        </w:tc>
        <w:tc>
          <w:tcPr>
            <w:tcW w:w="1140" w:type="dxa"/>
            <w:shd w:val="clear" w:color="auto" w:fill="FFFFFF" w:themeFill="background1"/>
            <w:tcMar>
              <w:left w:w="105" w:type="dxa"/>
              <w:right w:w="105" w:type="dxa"/>
            </w:tcMar>
            <w:vAlign w:val="center"/>
          </w:tcPr>
          <w:p w14:paraId="64D7FB44"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26" w:name="_Toc131938172"/>
            <w:r w:rsidRPr="003014F4">
              <w:rPr>
                <w:rFonts w:eastAsia="Times New Roman" w:cs="Times New Roman"/>
                <w:sz w:val="16"/>
                <w:szCs w:val="16"/>
              </w:rPr>
              <w:t>0.932</w:t>
            </w:r>
            <w:bookmarkEnd w:id="126"/>
          </w:p>
        </w:tc>
        <w:tc>
          <w:tcPr>
            <w:tcW w:w="1140" w:type="dxa"/>
            <w:shd w:val="clear" w:color="auto" w:fill="FFFFFF" w:themeFill="background1"/>
            <w:tcMar>
              <w:left w:w="105" w:type="dxa"/>
              <w:right w:w="105" w:type="dxa"/>
            </w:tcMar>
            <w:vAlign w:val="center"/>
          </w:tcPr>
          <w:p w14:paraId="4CCF3D5D"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27" w:name="_Toc131938173"/>
            <w:r w:rsidRPr="003014F4">
              <w:rPr>
                <w:rFonts w:eastAsia="Times New Roman" w:cs="Times New Roman"/>
                <w:sz w:val="16"/>
                <w:szCs w:val="16"/>
              </w:rPr>
              <w:t>0.909</w:t>
            </w:r>
            <w:bookmarkEnd w:id="127"/>
          </w:p>
        </w:tc>
      </w:tr>
      <w:tr w:rsidR="004F607B" w:rsidRPr="003014F4" w14:paraId="3929DEB3"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FC0726F" w14:textId="77777777" w:rsidR="004F607B" w:rsidRPr="003014F4" w:rsidRDefault="004F607B" w:rsidP="00DE75A8">
            <w:pPr>
              <w:rPr>
                <w:rFonts w:eastAsia="Times New Roman" w:cs="Times New Roman"/>
                <w:b w:val="0"/>
                <w:bCs w:val="0"/>
                <w:i/>
                <w:iCs/>
                <w:sz w:val="16"/>
                <w:szCs w:val="16"/>
              </w:rPr>
            </w:pPr>
            <w:bookmarkStart w:id="128" w:name="_Toc131938174"/>
            <w:r w:rsidRPr="003014F4">
              <w:rPr>
                <w:rFonts w:eastAsia="Times New Roman" w:cs="Times New Roman"/>
                <w:b w:val="0"/>
                <w:bCs w:val="0"/>
                <w:i/>
                <w:iCs/>
                <w:sz w:val="16"/>
                <w:szCs w:val="16"/>
              </w:rPr>
              <w:t>Escherichia coli</w:t>
            </w:r>
            <w:bookmarkEnd w:id="128"/>
          </w:p>
        </w:tc>
        <w:tc>
          <w:tcPr>
            <w:tcW w:w="1440" w:type="dxa"/>
            <w:shd w:val="clear" w:color="auto" w:fill="FFFFFF" w:themeFill="background1"/>
            <w:tcMar>
              <w:left w:w="105" w:type="dxa"/>
              <w:right w:w="105" w:type="dxa"/>
            </w:tcMar>
            <w:vAlign w:val="center"/>
          </w:tcPr>
          <w:p w14:paraId="54F2EDA8"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29" w:name="_Toc131938175"/>
            <w:r w:rsidRPr="003014F4">
              <w:rPr>
                <w:rFonts w:eastAsia="Times New Roman" w:cs="Times New Roman"/>
                <w:sz w:val="16"/>
                <w:szCs w:val="16"/>
              </w:rPr>
              <w:t>CP</w:t>
            </w:r>
            <w:bookmarkEnd w:id="129"/>
          </w:p>
        </w:tc>
        <w:tc>
          <w:tcPr>
            <w:tcW w:w="1140" w:type="dxa"/>
            <w:shd w:val="clear" w:color="auto" w:fill="FFFFFF" w:themeFill="background1"/>
            <w:tcMar>
              <w:left w:w="105" w:type="dxa"/>
              <w:right w:w="105" w:type="dxa"/>
            </w:tcMar>
            <w:vAlign w:val="center"/>
          </w:tcPr>
          <w:p w14:paraId="06941E0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30" w:name="_Toc131938176"/>
            <w:r w:rsidRPr="003014F4">
              <w:rPr>
                <w:rFonts w:eastAsia="Times New Roman" w:cs="Times New Roman"/>
                <w:sz w:val="16"/>
                <w:szCs w:val="16"/>
              </w:rPr>
              <w:t>0.988</w:t>
            </w:r>
            <w:bookmarkEnd w:id="130"/>
          </w:p>
        </w:tc>
        <w:tc>
          <w:tcPr>
            <w:tcW w:w="1140" w:type="dxa"/>
            <w:shd w:val="clear" w:color="auto" w:fill="FFFFFF" w:themeFill="background1"/>
            <w:tcMar>
              <w:left w:w="105" w:type="dxa"/>
              <w:right w:w="105" w:type="dxa"/>
            </w:tcMar>
            <w:vAlign w:val="center"/>
          </w:tcPr>
          <w:p w14:paraId="7B4FA2EA"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31" w:name="_Toc131938177"/>
            <w:r w:rsidRPr="003014F4">
              <w:rPr>
                <w:rFonts w:eastAsia="Times New Roman" w:cs="Times New Roman"/>
                <w:sz w:val="16"/>
                <w:szCs w:val="16"/>
              </w:rPr>
              <w:t>0.972</w:t>
            </w:r>
            <w:bookmarkEnd w:id="131"/>
          </w:p>
        </w:tc>
      </w:tr>
      <w:tr w:rsidR="004F607B" w:rsidRPr="003014F4" w14:paraId="6BE4B89E"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6513DE4" w14:textId="77777777" w:rsidR="004F607B" w:rsidRPr="003014F4" w:rsidRDefault="004F607B" w:rsidP="00DE75A8">
            <w:pPr>
              <w:rPr>
                <w:rFonts w:eastAsia="Times New Roman" w:cs="Times New Roman"/>
                <w:b w:val="0"/>
                <w:bCs w:val="0"/>
                <w:i/>
                <w:iCs/>
                <w:sz w:val="16"/>
                <w:szCs w:val="16"/>
              </w:rPr>
            </w:pPr>
            <w:bookmarkStart w:id="132" w:name="_Toc131938178"/>
            <w:r w:rsidRPr="003014F4">
              <w:rPr>
                <w:rFonts w:eastAsia="Times New Roman" w:cs="Times New Roman"/>
                <w:b w:val="0"/>
                <w:bCs w:val="0"/>
                <w:i/>
                <w:iCs/>
                <w:sz w:val="16"/>
                <w:szCs w:val="16"/>
              </w:rPr>
              <w:t>Escherichia coli</w:t>
            </w:r>
            <w:bookmarkEnd w:id="132"/>
          </w:p>
        </w:tc>
        <w:tc>
          <w:tcPr>
            <w:tcW w:w="1440" w:type="dxa"/>
            <w:shd w:val="clear" w:color="auto" w:fill="FFFFFF" w:themeFill="background1"/>
            <w:tcMar>
              <w:left w:w="105" w:type="dxa"/>
              <w:right w:w="105" w:type="dxa"/>
            </w:tcMar>
            <w:vAlign w:val="center"/>
          </w:tcPr>
          <w:p w14:paraId="45C0048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33" w:name="_Toc131938179"/>
            <w:r w:rsidRPr="003014F4">
              <w:rPr>
                <w:rFonts w:eastAsia="Times New Roman" w:cs="Times New Roman"/>
                <w:sz w:val="16"/>
                <w:szCs w:val="16"/>
              </w:rPr>
              <w:t>FQ</w:t>
            </w:r>
            <w:bookmarkEnd w:id="133"/>
          </w:p>
        </w:tc>
        <w:tc>
          <w:tcPr>
            <w:tcW w:w="1140" w:type="dxa"/>
            <w:shd w:val="clear" w:color="auto" w:fill="FFFFFF" w:themeFill="background1"/>
            <w:tcMar>
              <w:left w:w="105" w:type="dxa"/>
              <w:right w:w="105" w:type="dxa"/>
            </w:tcMar>
            <w:vAlign w:val="center"/>
          </w:tcPr>
          <w:p w14:paraId="727AB1C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34" w:name="_Toc131938180"/>
            <w:r w:rsidRPr="003014F4">
              <w:rPr>
                <w:rFonts w:eastAsia="Times New Roman" w:cs="Times New Roman"/>
                <w:sz w:val="16"/>
                <w:szCs w:val="16"/>
              </w:rPr>
              <w:t>0.983</w:t>
            </w:r>
            <w:bookmarkEnd w:id="134"/>
          </w:p>
        </w:tc>
        <w:tc>
          <w:tcPr>
            <w:tcW w:w="1140" w:type="dxa"/>
            <w:shd w:val="clear" w:color="auto" w:fill="FFFFFF" w:themeFill="background1"/>
            <w:tcMar>
              <w:left w:w="105" w:type="dxa"/>
              <w:right w:w="105" w:type="dxa"/>
            </w:tcMar>
            <w:vAlign w:val="center"/>
          </w:tcPr>
          <w:p w14:paraId="6803912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35" w:name="_Toc131938181"/>
            <w:r w:rsidRPr="003014F4">
              <w:rPr>
                <w:rFonts w:eastAsia="Times New Roman" w:cs="Times New Roman"/>
                <w:sz w:val="16"/>
                <w:szCs w:val="16"/>
              </w:rPr>
              <w:t>0.98</w:t>
            </w:r>
            <w:bookmarkEnd w:id="135"/>
          </w:p>
        </w:tc>
      </w:tr>
      <w:tr w:rsidR="004F607B" w:rsidRPr="003014F4" w14:paraId="4F42965D"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08B86BA" w14:textId="77777777" w:rsidR="004F607B" w:rsidRPr="003014F4" w:rsidRDefault="004F607B" w:rsidP="00DE75A8">
            <w:pPr>
              <w:rPr>
                <w:rFonts w:eastAsia="Times New Roman" w:cs="Times New Roman"/>
                <w:b w:val="0"/>
                <w:bCs w:val="0"/>
                <w:i/>
                <w:iCs/>
                <w:sz w:val="16"/>
                <w:szCs w:val="16"/>
              </w:rPr>
            </w:pPr>
            <w:bookmarkStart w:id="136" w:name="_Toc131938182"/>
            <w:r w:rsidRPr="003014F4">
              <w:rPr>
                <w:rFonts w:eastAsia="Times New Roman" w:cs="Times New Roman"/>
                <w:b w:val="0"/>
                <w:bCs w:val="0"/>
                <w:i/>
                <w:iCs/>
                <w:sz w:val="16"/>
                <w:szCs w:val="16"/>
              </w:rPr>
              <w:t>Escherichia coli</w:t>
            </w:r>
            <w:bookmarkEnd w:id="136"/>
          </w:p>
        </w:tc>
        <w:tc>
          <w:tcPr>
            <w:tcW w:w="1440" w:type="dxa"/>
            <w:shd w:val="clear" w:color="auto" w:fill="FFFFFF" w:themeFill="background1"/>
            <w:tcMar>
              <w:left w:w="105" w:type="dxa"/>
              <w:right w:w="105" w:type="dxa"/>
            </w:tcMar>
            <w:vAlign w:val="center"/>
          </w:tcPr>
          <w:p w14:paraId="43BC54D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37" w:name="_Toc131938183"/>
            <w:r w:rsidRPr="003014F4">
              <w:rPr>
                <w:rFonts w:eastAsia="Times New Roman" w:cs="Times New Roman"/>
                <w:sz w:val="16"/>
                <w:szCs w:val="16"/>
              </w:rPr>
              <w:t>TMP-SMX</w:t>
            </w:r>
            <w:bookmarkEnd w:id="137"/>
          </w:p>
        </w:tc>
        <w:tc>
          <w:tcPr>
            <w:tcW w:w="1140" w:type="dxa"/>
            <w:shd w:val="clear" w:color="auto" w:fill="FFFFFF" w:themeFill="background1"/>
            <w:tcMar>
              <w:left w:w="105" w:type="dxa"/>
              <w:right w:w="105" w:type="dxa"/>
            </w:tcMar>
            <w:vAlign w:val="center"/>
          </w:tcPr>
          <w:p w14:paraId="2B0F18E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38" w:name="_Toc131938184"/>
            <w:r w:rsidRPr="003014F4">
              <w:rPr>
                <w:rFonts w:eastAsia="Times New Roman" w:cs="Times New Roman"/>
                <w:sz w:val="16"/>
                <w:szCs w:val="16"/>
              </w:rPr>
              <w:t>0.907</w:t>
            </w:r>
            <w:bookmarkEnd w:id="138"/>
          </w:p>
        </w:tc>
        <w:tc>
          <w:tcPr>
            <w:tcW w:w="1140" w:type="dxa"/>
            <w:shd w:val="clear" w:color="auto" w:fill="FFFFFF" w:themeFill="background1"/>
            <w:tcMar>
              <w:left w:w="105" w:type="dxa"/>
              <w:right w:w="105" w:type="dxa"/>
            </w:tcMar>
            <w:vAlign w:val="center"/>
          </w:tcPr>
          <w:p w14:paraId="7D3AAE6D"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39" w:name="_Toc131938185"/>
            <w:r w:rsidRPr="003014F4">
              <w:rPr>
                <w:rFonts w:eastAsia="Times New Roman" w:cs="Times New Roman"/>
                <w:sz w:val="16"/>
                <w:szCs w:val="16"/>
              </w:rPr>
              <w:t>0.903</w:t>
            </w:r>
            <w:bookmarkEnd w:id="139"/>
          </w:p>
        </w:tc>
      </w:tr>
      <w:tr w:rsidR="004F607B" w:rsidRPr="003014F4" w14:paraId="0F4AC79A"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88F56E9" w14:textId="77777777" w:rsidR="004F607B" w:rsidRPr="003014F4" w:rsidRDefault="004F607B" w:rsidP="00DE75A8">
            <w:pPr>
              <w:rPr>
                <w:rFonts w:eastAsia="Times New Roman" w:cs="Times New Roman"/>
                <w:b w:val="0"/>
                <w:bCs w:val="0"/>
                <w:i/>
                <w:iCs/>
                <w:sz w:val="16"/>
                <w:szCs w:val="16"/>
              </w:rPr>
            </w:pPr>
            <w:bookmarkStart w:id="140" w:name="_Toc131938186"/>
            <w:r w:rsidRPr="003014F4">
              <w:rPr>
                <w:rFonts w:eastAsia="Times New Roman" w:cs="Times New Roman"/>
                <w:b w:val="0"/>
                <w:bCs w:val="0"/>
                <w:i/>
                <w:iCs/>
                <w:sz w:val="16"/>
                <w:szCs w:val="16"/>
              </w:rPr>
              <w:t>Group A Streptococcus</w:t>
            </w:r>
            <w:bookmarkEnd w:id="140"/>
          </w:p>
        </w:tc>
        <w:tc>
          <w:tcPr>
            <w:tcW w:w="1440" w:type="dxa"/>
            <w:shd w:val="clear" w:color="auto" w:fill="FFFFFF" w:themeFill="background1"/>
            <w:tcMar>
              <w:left w:w="105" w:type="dxa"/>
              <w:right w:w="105" w:type="dxa"/>
            </w:tcMar>
            <w:vAlign w:val="center"/>
          </w:tcPr>
          <w:p w14:paraId="3E05FC6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41" w:name="_Toc131938187"/>
            <w:r w:rsidRPr="003014F4">
              <w:rPr>
                <w:rFonts w:eastAsia="Times New Roman" w:cs="Times New Roman"/>
                <w:sz w:val="16"/>
                <w:szCs w:val="16"/>
              </w:rPr>
              <w:t>Macrolide</w:t>
            </w:r>
            <w:bookmarkEnd w:id="141"/>
          </w:p>
        </w:tc>
        <w:tc>
          <w:tcPr>
            <w:tcW w:w="1140" w:type="dxa"/>
            <w:shd w:val="clear" w:color="auto" w:fill="FFFFFF" w:themeFill="background1"/>
            <w:tcMar>
              <w:left w:w="105" w:type="dxa"/>
              <w:right w:w="105" w:type="dxa"/>
            </w:tcMar>
            <w:vAlign w:val="center"/>
          </w:tcPr>
          <w:p w14:paraId="06B14B3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42" w:name="_Toc131938188"/>
            <w:r w:rsidRPr="003014F4">
              <w:rPr>
                <w:rFonts w:eastAsia="Times New Roman" w:cs="Times New Roman"/>
                <w:sz w:val="16"/>
                <w:szCs w:val="16"/>
              </w:rPr>
              <w:t>0.987</w:t>
            </w:r>
            <w:bookmarkEnd w:id="142"/>
          </w:p>
        </w:tc>
        <w:tc>
          <w:tcPr>
            <w:tcW w:w="1140" w:type="dxa"/>
            <w:shd w:val="clear" w:color="auto" w:fill="FFFFFF" w:themeFill="background1"/>
            <w:tcMar>
              <w:left w:w="105" w:type="dxa"/>
              <w:right w:w="105" w:type="dxa"/>
            </w:tcMar>
            <w:vAlign w:val="center"/>
          </w:tcPr>
          <w:p w14:paraId="5A9E8B17"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43" w:name="_Toc131938189"/>
            <w:r w:rsidRPr="003014F4">
              <w:rPr>
                <w:rFonts w:eastAsia="Times New Roman" w:cs="Times New Roman"/>
                <w:sz w:val="16"/>
                <w:szCs w:val="16"/>
              </w:rPr>
              <w:t>0.863</w:t>
            </w:r>
            <w:bookmarkEnd w:id="143"/>
          </w:p>
        </w:tc>
      </w:tr>
      <w:tr w:rsidR="004F607B" w:rsidRPr="003014F4" w14:paraId="2DA23EC9"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2D8150B" w14:textId="77777777" w:rsidR="004F607B" w:rsidRPr="003014F4" w:rsidRDefault="004F607B" w:rsidP="00DE75A8">
            <w:pPr>
              <w:rPr>
                <w:rFonts w:eastAsia="Times New Roman" w:cs="Times New Roman"/>
                <w:b w:val="0"/>
                <w:bCs w:val="0"/>
                <w:i/>
                <w:iCs/>
                <w:sz w:val="16"/>
                <w:szCs w:val="16"/>
              </w:rPr>
            </w:pPr>
            <w:bookmarkStart w:id="144" w:name="_Toc131938190"/>
            <w:r w:rsidRPr="003014F4">
              <w:rPr>
                <w:rFonts w:eastAsia="Times New Roman" w:cs="Times New Roman"/>
                <w:b w:val="0"/>
                <w:bCs w:val="0"/>
                <w:i/>
                <w:iCs/>
                <w:sz w:val="16"/>
                <w:szCs w:val="16"/>
              </w:rPr>
              <w:t>Group B Streptococcus</w:t>
            </w:r>
            <w:bookmarkEnd w:id="144"/>
          </w:p>
        </w:tc>
        <w:tc>
          <w:tcPr>
            <w:tcW w:w="1440" w:type="dxa"/>
            <w:shd w:val="clear" w:color="auto" w:fill="FFFFFF" w:themeFill="background1"/>
            <w:tcMar>
              <w:left w:w="105" w:type="dxa"/>
              <w:right w:w="105" w:type="dxa"/>
            </w:tcMar>
            <w:vAlign w:val="center"/>
          </w:tcPr>
          <w:p w14:paraId="76AC2660"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45" w:name="_Toc131938191"/>
            <w:r w:rsidRPr="003014F4">
              <w:rPr>
                <w:rFonts w:eastAsia="Times New Roman" w:cs="Times New Roman"/>
                <w:sz w:val="16"/>
                <w:szCs w:val="16"/>
              </w:rPr>
              <w:t>FQ</w:t>
            </w:r>
            <w:bookmarkEnd w:id="145"/>
          </w:p>
        </w:tc>
        <w:tc>
          <w:tcPr>
            <w:tcW w:w="1140" w:type="dxa"/>
            <w:shd w:val="clear" w:color="auto" w:fill="FFFFFF" w:themeFill="background1"/>
            <w:tcMar>
              <w:left w:w="105" w:type="dxa"/>
              <w:right w:w="105" w:type="dxa"/>
            </w:tcMar>
            <w:vAlign w:val="center"/>
          </w:tcPr>
          <w:p w14:paraId="454939D8"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46" w:name="_Toc131938192"/>
            <w:r w:rsidRPr="003014F4">
              <w:rPr>
                <w:rFonts w:eastAsia="Times New Roman" w:cs="Times New Roman"/>
                <w:sz w:val="16"/>
                <w:szCs w:val="16"/>
              </w:rPr>
              <w:t>0.993</w:t>
            </w:r>
            <w:bookmarkEnd w:id="146"/>
          </w:p>
        </w:tc>
        <w:tc>
          <w:tcPr>
            <w:tcW w:w="1140" w:type="dxa"/>
            <w:shd w:val="clear" w:color="auto" w:fill="FFFFFF" w:themeFill="background1"/>
            <w:tcMar>
              <w:left w:w="105" w:type="dxa"/>
              <w:right w:w="105" w:type="dxa"/>
            </w:tcMar>
            <w:vAlign w:val="center"/>
          </w:tcPr>
          <w:p w14:paraId="253CEECF"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47" w:name="_Toc131938193"/>
            <w:r w:rsidRPr="003014F4">
              <w:rPr>
                <w:rFonts w:eastAsia="Times New Roman" w:cs="Times New Roman"/>
                <w:sz w:val="16"/>
                <w:szCs w:val="16"/>
              </w:rPr>
              <w:t>0.731</w:t>
            </w:r>
            <w:bookmarkEnd w:id="147"/>
          </w:p>
        </w:tc>
      </w:tr>
      <w:tr w:rsidR="004F607B" w:rsidRPr="003014F4" w14:paraId="2B40680D"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44F78B7" w14:textId="77777777" w:rsidR="004F607B" w:rsidRPr="003014F4" w:rsidRDefault="004F607B" w:rsidP="00DE75A8">
            <w:pPr>
              <w:rPr>
                <w:rFonts w:eastAsia="Times New Roman" w:cs="Times New Roman"/>
                <w:b w:val="0"/>
                <w:bCs w:val="0"/>
                <w:i/>
                <w:iCs/>
                <w:sz w:val="16"/>
                <w:szCs w:val="16"/>
              </w:rPr>
            </w:pPr>
            <w:bookmarkStart w:id="148" w:name="_Toc131938194"/>
            <w:r w:rsidRPr="003014F4">
              <w:rPr>
                <w:rFonts w:eastAsia="Times New Roman" w:cs="Times New Roman"/>
                <w:b w:val="0"/>
                <w:bCs w:val="0"/>
                <w:i/>
                <w:iCs/>
                <w:sz w:val="16"/>
                <w:szCs w:val="16"/>
              </w:rPr>
              <w:t>Group B Streptococcus</w:t>
            </w:r>
            <w:bookmarkEnd w:id="148"/>
          </w:p>
        </w:tc>
        <w:tc>
          <w:tcPr>
            <w:tcW w:w="1440" w:type="dxa"/>
            <w:shd w:val="clear" w:color="auto" w:fill="FFFFFF" w:themeFill="background1"/>
            <w:tcMar>
              <w:left w:w="105" w:type="dxa"/>
              <w:right w:w="105" w:type="dxa"/>
            </w:tcMar>
            <w:vAlign w:val="center"/>
          </w:tcPr>
          <w:p w14:paraId="37D6DA3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49" w:name="_Toc131938195"/>
            <w:r w:rsidRPr="003014F4">
              <w:rPr>
                <w:rFonts w:eastAsia="Times New Roman" w:cs="Times New Roman"/>
                <w:sz w:val="16"/>
                <w:szCs w:val="16"/>
              </w:rPr>
              <w:t>Macrolide</w:t>
            </w:r>
            <w:bookmarkEnd w:id="149"/>
          </w:p>
        </w:tc>
        <w:tc>
          <w:tcPr>
            <w:tcW w:w="1140" w:type="dxa"/>
            <w:shd w:val="clear" w:color="auto" w:fill="FFFFFF" w:themeFill="background1"/>
            <w:tcMar>
              <w:left w:w="105" w:type="dxa"/>
              <w:right w:w="105" w:type="dxa"/>
            </w:tcMar>
            <w:vAlign w:val="center"/>
          </w:tcPr>
          <w:p w14:paraId="487DA89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50" w:name="_Toc131938196"/>
            <w:r w:rsidRPr="003014F4">
              <w:rPr>
                <w:rFonts w:eastAsia="Times New Roman" w:cs="Times New Roman"/>
                <w:sz w:val="16"/>
                <w:szCs w:val="16"/>
              </w:rPr>
              <w:t>0.986</w:t>
            </w:r>
            <w:bookmarkEnd w:id="150"/>
          </w:p>
        </w:tc>
        <w:tc>
          <w:tcPr>
            <w:tcW w:w="1140" w:type="dxa"/>
            <w:shd w:val="clear" w:color="auto" w:fill="FFFFFF" w:themeFill="background1"/>
            <w:tcMar>
              <w:left w:w="105" w:type="dxa"/>
              <w:right w:w="105" w:type="dxa"/>
            </w:tcMar>
            <w:vAlign w:val="center"/>
          </w:tcPr>
          <w:p w14:paraId="17B8E546"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51" w:name="_Toc131938197"/>
            <w:r w:rsidRPr="003014F4">
              <w:rPr>
                <w:rFonts w:eastAsia="Times New Roman" w:cs="Times New Roman"/>
                <w:sz w:val="16"/>
                <w:szCs w:val="16"/>
              </w:rPr>
              <w:t>0.907</w:t>
            </w:r>
            <w:bookmarkEnd w:id="151"/>
          </w:p>
        </w:tc>
      </w:tr>
      <w:tr w:rsidR="004F607B" w:rsidRPr="003014F4" w14:paraId="544E671D"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60E48859" w14:textId="77777777" w:rsidR="004F607B" w:rsidRPr="003014F4" w:rsidRDefault="004F607B" w:rsidP="00DE75A8">
            <w:pPr>
              <w:rPr>
                <w:rFonts w:eastAsia="Times New Roman" w:cs="Times New Roman"/>
                <w:b w:val="0"/>
                <w:bCs w:val="0"/>
                <w:i/>
                <w:iCs/>
                <w:sz w:val="16"/>
                <w:szCs w:val="16"/>
              </w:rPr>
            </w:pPr>
            <w:bookmarkStart w:id="152" w:name="_Toc131938198"/>
            <w:r w:rsidRPr="003014F4">
              <w:rPr>
                <w:rFonts w:eastAsia="Times New Roman" w:cs="Times New Roman"/>
                <w:b w:val="0"/>
                <w:bCs w:val="0"/>
                <w:i/>
                <w:iCs/>
                <w:sz w:val="16"/>
                <w:szCs w:val="16"/>
              </w:rPr>
              <w:t>Group B Streptococcus</w:t>
            </w:r>
            <w:bookmarkEnd w:id="152"/>
          </w:p>
        </w:tc>
        <w:tc>
          <w:tcPr>
            <w:tcW w:w="1440" w:type="dxa"/>
            <w:shd w:val="clear" w:color="auto" w:fill="FFFFFF" w:themeFill="background1"/>
            <w:tcMar>
              <w:left w:w="105" w:type="dxa"/>
              <w:right w:w="105" w:type="dxa"/>
            </w:tcMar>
            <w:vAlign w:val="center"/>
          </w:tcPr>
          <w:p w14:paraId="3A4F9F11"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53" w:name="_Toc131938199"/>
            <w:r w:rsidRPr="003014F4">
              <w:rPr>
                <w:rFonts w:eastAsia="Times New Roman" w:cs="Times New Roman"/>
                <w:sz w:val="16"/>
                <w:szCs w:val="16"/>
              </w:rPr>
              <w:t>PCN</w:t>
            </w:r>
            <w:bookmarkEnd w:id="153"/>
          </w:p>
        </w:tc>
        <w:tc>
          <w:tcPr>
            <w:tcW w:w="1140" w:type="dxa"/>
            <w:shd w:val="clear" w:color="auto" w:fill="FFFFFF" w:themeFill="background1"/>
            <w:tcMar>
              <w:left w:w="105" w:type="dxa"/>
              <w:right w:w="105" w:type="dxa"/>
            </w:tcMar>
            <w:vAlign w:val="center"/>
          </w:tcPr>
          <w:p w14:paraId="1B9615C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54" w:name="_Toc131938200"/>
            <w:r w:rsidRPr="003014F4">
              <w:rPr>
                <w:rFonts w:eastAsia="Times New Roman" w:cs="Times New Roman"/>
                <w:sz w:val="16"/>
                <w:szCs w:val="16"/>
              </w:rPr>
              <w:t>0.997</w:t>
            </w:r>
            <w:bookmarkEnd w:id="154"/>
          </w:p>
        </w:tc>
        <w:tc>
          <w:tcPr>
            <w:tcW w:w="1140" w:type="dxa"/>
            <w:shd w:val="clear" w:color="auto" w:fill="FFFFFF" w:themeFill="background1"/>
            <w:tcMar>
              <w:left w:w="105" w:type="dxa"/>
              <w:right w:w="105" w:type="dxa"/>
            </w:tcMar>
            <w:vAlign w:val="center"/>
          </w:tcPr>
          <w:p w14:paraId="67CD915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55" w:name="_Toc131938201"/>
            <w:r w:rsidRPr="003014F4">
              <w:rPr>
                <w:rFonts w:eastAsia="Times New Roman" w:cs="Times New Roman"/>
                <w:sz w:val="16"/>
                <w:szCs w:val="16"/>
              </w:rPr>
              <w:t>0.992</w:t>
            </w:r>
            <w:bookmarkEnd w:id="155"/>
          </w:p>
        </w:tc>
      </w:tr>
      <w:tr w:rsidR="004F607B" w:rsidRPr="003014F4" w14:paraId="3F300D5E"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5ED6A491" w14:textId="77777777" w:rsidR="004F607B" w:rsidRPr="003014F4" w:rsidRDefault="004F607B" w:rsidP="00DE75A8">
            <w:pPr>
              <w:rPr>
                <w:rFonts w:eastAsia="Times New Roman" w:cs="Times New Roman"/>
                <w:b w:val="0"/>
                <w:bCs w:val="0"/>
                <w:i/>
                <w:iCs/>
                <w:sz w:val="16"/>
                <w:szCs w:val="16"/>
              </w:rPr>
            </w:pPr>
            <w:bookmarkStart w:id="156" w:name="_Toc131938202"/>
            <w:proofErr w:type="spellStart"/>
            <w:r w:rsidRPr="003014F4">
              <w:rPr>
                <w:rFonts w:eastAsia="Times New Roman" w:cs="Times New Roman"/>
                <w:b w:val="0"/>
                <w:bCs w:val="0"/>
                <w:i/>
                <w:iCs/>
                <w:sz w:val="16"/>
                <w:szCs w:val="16"/>
              </w:rPr>
              <w:t>Haemophilus</w:t>
            </w:r>
            <w:proofErr w:type="spellEnd"/>
            <w:r w:rsidRPr="003014F4">
              <w:rPr>
                <w:rFonts w:eastAsia="Times New Roman" w:cs="Times New Roman"/>
                <w:b w:val="0"/>
                <w:bCs w:val="0"/>
                <w:i/>
                <w:iCs/>
                <w:sz w:val="16"/>
                <w:szCs w:val="16"/>
              </w:rPr>
              <w:t xml:space="preserve"> influenzae</w:t>
            </w:r>
            <w:bookmarkEnd w:id="156"/>
          </w:p>
        </w:tc>
        <w:tc>
          <w:tcPr>
            <w:tcW w:w="1440" w:type="dxa"/>
            <w:shd w:val="clear" w:color="auto" w:fill="FFFFFF" w:themeFill="background1"/>
            <w:tcMar>
              <w:left w:w="105" w:type="dxa"/>
              <w:right w:w="105" w:type="dxa"/>
            </w:tcMar>
            <w:vAlign w:val="center"/>
          </w:tcPr>
          <w:p w14:paraId="6B743121"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57" w:name="_Toc131938203"/>
            <w:r w:rsidRPr="003014F4">
              <w:rPr>
                <w:rFonts w:eastAsia="Times New Roman" w:cs="Times New Roman"/>
                <w:sz w:val="16"/>
                <w:szCs w:val="16"/>
              </w:rPr>
              <w:t>3GC</w:t>
            </w:r>
            <w:bookmarkEnd w:id="157"/>
          </w:p>
        </w:tc>
        <w:tc>
          <w:tcPr>
            <w:tcW w:w="1140" w:type="dxa"/>
            <w:shd w:val="clear" w:color="auto" w:fill="FFFFFF" w:themeFill="background1"/>
            <w:tcMar>
              <w:left w:w="105" w:type="dxa"/>
              <w:right w:w="105" w:type="dxa"/>
            </w:tcMar>
            <w:vAlign w:val="center"/>
          </w:tcPr>
          <w:p w14:paraId="638DB2C0"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58" w:name="_Toc131938204"/>
            <w:r w:rsidRPr="003014F4">
              <w:rPr>
                <w:rFonts w:eastAsia="Times New Roman" w:cs="Times New Roman"/>
                <w:sz w:val="16"/>
                <w:szCs w:val="16"/>
              </w:rPr>
              <w:t>0.995</w:t>
            </w:r>
            <w:bookmarkEnd w:id="158"/>
          </w:p>
        </w:tc>
        <w:tc>
          <w:tcPr>
            <w:tcW w:w="1140" w:type="dxa"/>
            <w:shd w:val="clear" w:color="auto" w:fill="FFFFFF" w:themeFill="background1"/>
            <w:tcMar>
              <w:left w:w="105" w:type="dxa"/>
              <w:right w:w="105" w:type="dxa"/>
            </w:tcMar>
            <w:vAlign w:val="center"/>
          </w:tcPr>
          <w:p w14:paraId="4E0F6204"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59" w:name="_Toc131938205"/>
            <w:r w:rsidRPr="003014F4">
              <w:rPr>
                <w:rFonts w:eastAsia="Times New Roman" w:cs="Times New Roman"/>
                <w:sz w:val="16"/>
                <w:szCs w:val="16"/>
              </w:rPr>
              <w:t>0.981</w:t>
            </w:r>
            <w:bookmarkEnd w:id="159"/>
          </w:p>
        </w:tc>
      </w:tr>
      <w:tr w:rsidR="004F607B" w:rsidRPr="003014F4" w14:paraId="02FB9A59"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317DA7CA" w14:textId="77777777" w:rsidR="004F607B" w:rsidRPr="003014F4" w:rsidRDefault="004F607B" w:rsidP="00DE75A8">
            <w:pPr>
              <w:rPr>
                <w:rFonts w:eastAsia="Times New Roman" w:cs="Times New Roman"/>
                <w:b w:val="0"/>
                <w:bCs w:val="0"/>
                <w:i/>
                <w:iCs/>
                <w:sz w:val="16"/>
                <w:szCs w:val="16"/>
              </w:rPr>
            </w:pPr>
            <w:bookmarkStart w:id="160" w:name="_Toc131938206"/>
            <w:proofErr w:type="spellStart"/>
            <w:r w:rsidRPr="003014F4">
              <w:rPr>
                <w:rFonts w:eastAsia="Times New Roman" w:cs="Times New Roman"/>
                <w:b w:val="0"/>
                <w:bCs w:val="0"/>
                <w:i/>
                <w:iCs/>
                <w:sz w:val="16"/>
                <w:szCs w:val="16"/>
              </w:rPr>
              <w:t>Haemophilus</w:t>
            </w:r>
            <w:proofErr w:type="spellEnd"/>
            <w:r w:rsidRPr="003014F4">
              <w:rPr>
                <w:rFonts w:eastAsia="Times New Roman" w:cs="Times New Roman"/>
                <w:b w:val="0"/>
                <w:bCs w:val="0"/>
                <w:i/>
                <w:iCs/>
                <w:sz w:val="16"/>
                <w:szCs w:val="16"/>
              </w:rPr>
              <w:t xml:space="preserve"> influenzae</w:t>
            </w:r>
            <w:bookmarkEnd w:id="160"/>
          </w:p>
        </w:tc>
        <w:tc>
          <w:tcPr>
            <w:tcW w:w="1440" w:type="dxa"/>
            <w:shd w:val="clear" w:color="auto" w:fill="FFFFFF" w:themeFill="background1"/>
            <w:tcMar>
              <w:left w:w="105" w:type="dxa"/>
              <w:right w:w="105" w:type="dxa"/>
            </w:tcMar>
            <w:vAlign w:val="center"/>
          </w:tcPr>
          <w:p w14:paraId="3C9AC5A7"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61" w:name="_Toc131938207"/>
            <w:r w:rsidRPr="003014F4">
              <w:rPr>
                <w:rFonts w:eastAsia="Times New Roman" w:cs="Times New Roman"/>
                <w:sz w:val="16"/>
                <w:szCs w:val="16"/>
              </w:rPr>
              <w:t>Aminopenicillin</w:t>
            </w:r>
            <w:bookmarkEnd w:id="161"/>
          </w:p>
        </w:tc>
        <w:tc>
          <w:tcPr>
            <w:tcW w:w="1140" w:type="dxa"/>
            <w:shd w:val="clear" w:color="auto" w:fill="FFFFFF" w:themeFill="background1"/>
            <w:tcMar>
              <w:left w:w="105" w:type="dxa"/>
              <w:right w:w="105" w:type="dxa"/>
            </w:tcMar>
            <w:vAlign w:val="center"/>
          </w:tcPr>
          <w:p w14:paraId="189D664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62" w:name="_Toc131938208"/>
            <w:r w:rsidRPr="003014F4">
              <w:rPr>
                <w:rFonts w:eastAsia="Times New Roman" w:cs="Times New Roman"/>
                <w:sz w:val="16"/>
                <w:szCs w:val="16"/>
              </w:rPr>
              <w:t>0.958</w:t>
            </w:r>
            <w:bookmarkEnd w:id="162"/>
          </w:p>
        </w:tc>
        <w:tc>
          <w:tcPr>
            <w:tcW w:w="1140" w:type="dxa"/>
            <w:shd w:val="clear" w:color="auto" w:fill="FFFFFF" w:themeFill="background1"/>
            <w:tcMar>
              <w:left w:w="105" w:type="dxa"/>
              <w:right w:w="105" w:type="dxa"/>
            </w:tcMar>
            <w:vAlign w:val="center"/>
          </w:tcPr>
          <w:p w14:paraId="69692D4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63" w:name="_Toc131938209"/>
            <w:r w:rsidRPr="003014F4">
              <w:rPr>
                <w:rFonts w:eastAsia="Times New Roman" w:cs="Times New Roman"/>
                <w:sz w:val="16"/>
                <w:szCs w:val="16"/>
              </w:rPr>
              <w:t>0.849</w:t>
            </w:r>
            <w:bookmarkEnd w:id="163"/>
          </w:p>
        </w:tc>
      </w:tr>
      <w:tr w:rsidR="004F607B" w:rsidRPr="003014F4" w14:paraId="3D5963DA"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095D04BA" w14:textId="77777777" w:rsidR="004F607B" w:rsidRPr="003014F4" w:rsidRDefault="004F607B" w:rsidP="00DE75A8">
            <w:pPr>
              <w:rPr>
                <w:rFonts w:eastAsia="Times New Roman" w:cs="Times New Roman"/>
                <w:b w:val="0"/>
                <w:bCs w:val="0"/>
                <w:i/>
                <w:iCs/>
                <w:sz w:val="16"/>
                <w:szCs w:val="16"/>
              </w:rPr>
            </w:pPr>
            <w:bookmarkStart w:id="164" w:name="_Toc131938210"/>
            <w:r w:rsidRPr="003014F4">
              <w:rPr>
                <w:rFonts w:eastAsia="Times New Roman" w:cs="Times New Roman"/>
                <w:b w:val="0"/>
                <w:bCs w:val="0"/>
                <w:i/>
                <w:iCs/>
                <w:sz w:val="16"/>
                <w:szCs w:val="16"/>
              </w:rPr>
              <w:t>Klebsiella pneumoniae</w:t>
            </w:r>
            <w:bookmarkEnd w:id="164"/>
          </w:p>
        </w:tc>
        <w:tc>
          <w:tcPr>
            <w:tcW w:w="1440" w:type="dxa"/>
            <w:shd w:val="clear" w:color="auto" w:fill="FFFFFF" w:themeFill="background1"/>
            <w:tcMar>
              <w:left w:w="105" w:type="dxa"/>
              <w:right w:w="105" w:type="dxa"/>
            </w:tcMar>
            <w:vAlign w:val="center"/>
          </w:tcPr>
          <w:p w14:paraId="508B167C"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65" w:name="_Toc131938211"/>
            <w:r w:rsidRPr="003014F4">
              <w:rPr>
                <w:rFonts w:eastAsia="Times New Roman" w:cs="Times New Roman"/>
                <w:sz w:val="16"/>
                <w:szCs w:val="16"/>
              </w:rPr>
              <w:t>3GC</w:t>
            </w:r>
            <w:bookmarkEnd w:id="165"/>
          </w:p>
        </w:tc>
        <w:tc>
          <w:tcPr>
            <w:tcW w:w="1140" w:type="dxa"/>
            <w:shd w:val="clear" w:color="auto" w:fill="FFFFFF" w:themeFill="background1"/>
            <w:tcMar>
              <w:left w:w="105" w:type="dxa"/>
              <w:right w:w="105" w:type="dxa"/>
            </w:tcMar>
            <w:vAlign w:val="center"/>
          </w:tcPr>
          <w:p w14:paraId="02EA656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66" w:name="_Toc131938212"/>
            <w:r w:rsidRPr="003014F4">
              <w:rPr>
                <w:rFonts w:eastAsia="Times New Roman" w:cs="Times New Roman"/>
                <w:sz w:val="16"/>
                <w:szCs w:val="16"/>
              </w:rPr>
              <w:t>0.981</w:t>
            </w:r>
            <w:bookmarkEnd w:id="166"/>
          </w:p>
        </w:tc>
        <w:tc>
          <w:tcPr>
            <w:tcW w:w="1140" w:type="dxa"/>
            <w:shd w:val="clear" w:color="auto" w:fill="FFFFFF" w:themeFill="background1"/>
            <w:tcMar>
              <w:left w:w="105" w:type="dxa"/>
              <w:right w:w="105" w:type="dxa"/>
            </w:tcMar>
            <w:vAlign w:val="center"/>
          </w:tcPr>
          <w:p w14:paraId="7540430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67" w:name="_Toc131938213"/>
            <w:r w:rsidRPr="003014F4">
              <w:rPr>
                <w:rFonts w:eastAsia="Times New Roman" w:cs="Times New Roman"/>
                <w:sz w:val="16"/>
                <w:szCs w:val="16"/>
              </w:rPr>
              <w:t>0.985</w:t>
            </w:r>
            <w:bookmarkEnd w:id="167"/>
          </w:p>
        </w:tc>
      </w:tr>
      <w:tr w:rsidR="004F607B" w:rsidRPr="003014F4" w14:paraId="747E2552"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9588507" w14:textId="77777777" w:rsidR="004F607B" w:rsidRPr="003014F4" w:rsidRDefault="004F607B" w:rsidP="00DE75A8">
            <w:pPr>
              <w:rPr>
                <w:rFonts w:eastAsia="Times New Roman" w:cs="Times New Roman"/>
                <w:b w:val="0"/>
                <w:bCs w:val="0"/>
                <w:i/>
                <w:iCs/>
                <w:sz w:val="16"/>
                <w:szCs w:val="16"/>
              </w:rPr>
            </w:pPr>
            <w:bookmarkStart w:id="168" w:name="_Toc131938214"/>
            <w:r w:rsidRPr="003014F4">
              <w:rPr>
                <w:rFonts w:eastAsia="Times New Roman" w:cs="Times New Roman"/>
                <w:b w:val="0"/>
                <w:bCs w:val="0"/>
                <w:i/>
                <w:iCs/>
                <w:sz w:val="16"/>
                <w:szCs w:val="16"/>
              </w:rPr>
              <w:t>Klebsiella pneumoniae</w:t>
            </w:r>
            <w:bookmarkEnd w:id="168"/>
          </w:p>
        </w:tc>
        <w:tc>
          <w:tcPr>
            <w:tcW w:w="1440" w:type="dxa"/>
            <w:shd w:val="clear" w:color="auto" w:fill="FFFFFF" w:themeFill="background1"/>
            <w:tcMar>
              <w:left w:w="105" w:type="dxa"/>
              <w:right w:w="105" w:type="dxa"/>
            </w:tcMar>
            <w:vAlign w:val="center"/>
          </w:tcPr>
          <w:p w14:paraId="43F4276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69" w:name="_Toc131938215"/>
            <w:r w:rsidRPr="003014F4">
              <w:rPr>
                <w:rFonts w:eastAsia="Times New Roman" w:cs="Times New Roman"/>
                <w:sz w:val="16"/>
                <w:szCs w:val="16"/>
              </w:rPr>
              <w:t>AG</w:t>
            </w:r>
            <w:bookmarkEnd w:id="169"/>
          </w:p>
        </w:tc>
        <w:tc>
          <w:tcPr>
            <w:tcW w:w="1140" w:type="dxa"/>
            <w:shd w:val="clear" w:color="auto" w:fill="FFFFFF" w:themeFill="background1"/>
            <w:tcMar>
              <w:left w:w="105" w:type="dxa"/>
              <w:right w:w="105" w:type="dxa"/>
            </w:tcMar>
            <w:vAlign w:val="center"/>
          </w:tcPr>
          <w:p w14:paraId="089937D3"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70" w:name="_Toc131938216"/>
            <w:r w:rsidRPr="003014F4">
              <w:rPr>
                <w:rFonts w:eastAsia="Times New Roman" w:cs="Times New Roman"/>
                <w:sz w:val="16"/>
                <w:szCs w:val="16"/>
              </w:rPr>
              <w:t>0.983</w:t>
            </w:r>
            <w:bookmarkEnd w:id="170"/>
          </w:p>
        </w:tc>
        <w:tc>
          <w:tcPr>
            <w:tcW w:w="1140" w:type="dxa"/>
            <w:shd w:val="clear" w:color="auto" w:fill="FFFFFF" w:themeFill="background1"/>
            <w:tcMar>
              <w:left w:w="105" w:type="dxa"/>
              <w:right w:w="105" w:type="dxa"/>
            </w:tcMar>
            <w:vAlign w:val="center"/>
          </w:tcPr>
          <w:p w14:paraId="78FF481B"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71" w:name="_Toc131938217"/>
            <w:r w:rsidRPr="003014F4">
              <w:rPr>
                <w:rFonts w:eastAsia="Times New Roman" w:cs="Times New Roman"/>
                <w:sz w:val="16"/>
                <w:szCs w:val="16"/>
              </w:rPr>
              <w:t>0.901</w:t>
            </w:r>
            <w:bookmarkEnd w:id="171"/>
          </w:p>
        </w:tc>
      </w:tr>
      <w:tr w:rsidR="004F607B" w:rsidRPr="003014F4" w14:paraId="1D103DB2"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66AC230" w14:textId="77777777" w:rsidR="004F607B" w:rsidRPr="003014F4" w:rsidRDefault="004F607B" w:rsidP="00DE75A8">
            <w:pPr>
              <w:rPr>
                <w:rFonts w:eastAsia="Times New Roman" w:cs="Times New Roman"/>
                <w:b w:val="0"/>
                <w:bCs w:val="0"/>
                <w:i/>
                <w:iCs/>
                <w:sz w:val="16"/>
                <w:szCs w:val="16"/>
              </w:rPr>
            </w:pPr>
            <w:bookmarkStart w:id="172" w:name="_Toc131938218"/>
            <w:r w:rsidRPr="003014F4">
              <w:rPr>
                <w:rFonts w:eastAsia="Times New Roman" w:cs="Times New Roman"/>
                <w:b w:val="0"/>
                <w:bCs w:val="0"/>
                <w:i/>
                <w:iCs/>
                <w:sz w:val="16"/>
                <w:szCs w:val="16"/>
              </w:rPr>
              <w:t>Klebsiella pneumoniae</w:t>
            </w:r>
            <w:bookmarkEnd w:id="172"/>
          </w:p>
        </w:tc>
        <w:tc>
          <w:tcPr>
            <w:tcW w:w="1440" w:type="dxa"/>
            <w:shd w:val="clear" w:color="auto" w:fill="FFFFFF" w:themeFill="background1"/>
            <w:tcMar>
              <w:left w:w="105" w:type="dxa"/>
              <w:right w:w="105" w:type="dxa"/>
            </w:tcMar>
            <w:vAlign w:val="center"/>
          </w:tcPr>
          <w:p w14:paraId="68A8679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73" w:name="_Toc131938219"/>
            <w:r w:rsidRPr="003014F4">
              <w:rPr>
                <w:rFonts w:eastAsia="Times New Roman" w:cs="Times New Roman"/>
                <w:sz w:val="16"/>
                <w:szCs w:val="16"/>
              </w:rPr>
              <w:t>BL-BLI</w:t>
            </w:r>
            <w:bookmarkEnd w:id="173"/>
          </w:p>
        </w:tc>
        <w:tc>
          <w:tcPr>
            <w:tcW w:w="1140" w:type="dxa"/>
            <w:shd w:val="clear" w:color="auto" w:fill="FFFFFF" w:themeFill="background1"/>
            <w:tcMar>
              <w:left w:w="105" w:type="dxa"/>
              <w:right w:w="105" w:type="dxa"/>
            </w:tcMar>
            <w:vAlign w:val="center"/>
          </w:tcPr>
          <w:p w14:paraId="1F9B79A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74" w:name="_Toc131938220"/>
            <w:r w:rsidRPr="003014F4">
              <w:rPr>
                <w:rFonts w:eastAsia="Times New Roman" w:cs="Times New Roman"/>
                <w:sz w:val="16"/>
                <w:szCs w:val="16"/>
              </w:rPr>
              <w:t>0.979</w:t>
            </w:r>
            <w:bookmarkEnd w:id="174"/>
          </w:p>
        </w:tc>
        <w:tc>
          <w:tcPr>
            <w:tcW w:w="1140" w:type="dxa"/>
            <w:shd w:val="clear" w:color="auto" w:fill="FFFFFF" w:themeFill="background1"/>
            <w:tcMar>
              <w:left w:w="105" w:type="dxa"/>
              <w:right w:w="105" w:type="dxa"/>
            </w:tcMar>
            <w:vAlign w:val="center"/>
          </w:tcPr>
          <w:p w14:paraId="2A97CFEB"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75" w:name="_Toc131938221"/>
            <w:r w:rsidRPr="003014F4">
              <w:rPr>
                <w:rFonts w:eastAsia="Times New Roman" w:cs="Times New Roman"/>
                <w:sz w:val="16"/>
                <w:szCs w:val="16"/>
              </w:rPr>
              <w:t>0.832</w:t>
            </w:r>
            <w:bookmarkEnd w:id="175"/>
          </w:p>
        </w:tc>
      </w:tr>
      <w:tr w:rsidR="004F607B" w:rsidRPr="003014F4" w14:paraId="2F760623"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31B888B" w14:textId="77777777" w:rsidR="004F607B" w:rsidRPr="003014F4" w:rsidRDefault="004F607B" w:rsidP="00DE75A8">
            <w:pPr>
              <w:rPr>
                <w:rFonts w:eastAsia="Times New Roman" w:cs="Times New Roman"/>
                <w:b w:val="0"/>
                <w:bCs w:val="0"/>
                <w:i/>
                <w:iCs/>
                <w:sz w:val="16"/>
                <w:szCs w:val="16"/>
              </w:rPr>
            </w:pPr>
            <w:bookmarkStart w:id="176" w:name="_Toc131938222"/>
            <w:r w:rsidRPr="003014F4">
              <w:rPr>
                <w:rFonts w:eastAsia="Times New Roman" w:cs="Times New Roman"/>
                <w:b w:val="0"/>
                <w:bCs w:val="0"/>
                <w:i/>
                <w:iCs/>
                <w:sz w:val="16"/>
                <w:szCs w:val="16"/>
              </w:rPr>
              <w:t>Klebsiella pneumoniae</w:t>
            </w:r>
            <w:bookmarkEnd w:id="176"/>
          </w:p>
        </w:tc>
        <w:tc>
          <w:tcPr>
            <w:tcW w:w="1440" w:type="dxa"/>
            <w:shd w:val="clear" w:color="auto" w:fill="FFFFFF" w:themeFill="background1"/>
            <w:tcMar>
              <w:left w:w="105" w:type="dxa"/>
              <w:right w:w="105" w:type="dxa"/>
            </w:tcMar>
            <w:vAlign w:val="center"/>
          </w:tcPr>
          <w:p w14:paraId="2251FCC9"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77" w:name="_Toc131938223"/>
            <w:r w:rsidRPr="003014F4">
              <w:rPr>
                <w:rFonts w:eastAsia="Times New Roman" w:cs="Times New Roman"/>
                <w:sz w:val="16"/>
                <w:szCs w:val="16"/>
              </w:rPr>
              <w:t>CP</w:t>
            </w:r>
            <w:bookmarkEnd w:id="177"/>
          </w:p>
        </w:tc>
        <w:tc>
          <w:tcPr>
            <w:tcW w:w="1140" w:type="dxa"/>
            <w:shd w:val="clear" w:color="auto" w:fill="FFFFFF" w:themeFill="background1"/>
            <w:tcMar>
              <w:left w:w="105" w:type="dxa"/>
              <w:right w:w="105" w:type="dxa"/>
            </w:tcMar>
            <w:vAlign w:val="center"/>
          </w:tcPr>
          <w:p w14:paraId="3E5B7F04"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78" w:name="_Toc131938224"/>
            <w:r w:rsidRPr="003014F4">
              <w:rPr>
                <w:rFonts w:eastAsia="Times New Roman" w:cs="Times New Roman"/>
                <w:sz w:val="16"/>
                <w:szCs w:val="16"/>
              </w:rPr>
              <w:t>0.987</w:t>
            </w:r>
            <w:bookmarkEnd w:id="178"/>
          </w:p>
        </w:tc>
        <w:tc>
          <w:tcPr>
            <w:tcW w:w="1140" w:type="dxa"/>
            <w:shd w:val="clear" w:color="auto" w:fill="FFFFFF" w:themeFill="background1"/>
            <w:tcMar>
              <w:left w:w="105" w:type="dxa"/>
              <w:right w:w="105" w:type="dxa"/>
            </w:tcMar>
            <w:vAlign w:val="center"/>
          </w:tcPr>
          <w:p w14:paraId="572487AE"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79" w:name="_Toc131938225"/>
            <w:r w:rsidRPr="003014F4">
              <w:rPr>
                <w:rFonts w:eastAsia="Times New Roman" w:cs="Times New Roman"/>
                <w:sz w:val="16"/>
                <w:szCs w:val="16"/>
              </w:rPr>
              <w:t>0.992</w:t>
            </w:r>
            <w:bookmarkEnd w:id="179"/>
          </w:p>
        </w:tc>
      </w:tr>
      <w:tr w:rsidR="004F607B" w:rsidRPr="003014F4" w14:paraId="00AB4774"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5DD64414" w14:textId="77777777" w:rsidR="004F607B" w:rsidRPr="003014F4" w:rsidRDefault="004F607B" w:rsidP="00DE75A8">
            <w:pPr>
              <w:rPr>
                <w:rFonts w:eastAsia="Times New Roman" w:cs="Times New Roman"/>
                <w:b w:val="0"/>
                <w:bCs w:val="0"/>
                <w:i/>
                <w:iCs/>
                <w:sz w:val="16"/>
                <w:szCs w:val="16"/>
              </w:rPr>
            </w:pPr>
            <w:bookmarkStart w:id="180" w:name="_Toc131938226"/>
            <w:r w:rsidRPr="003014F4">
              <w:rPr>
                <w:rFonts w:eastAsia="Times New Roman" w:cs="Times New Roman"/>
                <w:b w:val="0"/>
                <w:bCs w:val="0"/>
                <w:i/>
                <w:iCs/>
                <w:sz w:val="16"/>
                <w:szCs w:val="16"/>
              </w:rPr>
              <w:t>Klebsiella pneumoniae</w:t>
            </w:r>
            <w:bookmarkEnd w:id="180"/>
          </w:p>
        </w:tc>
        <w:tc>
          <w:tcPr>
            <w:tcW w:w="1440" w:type="dxa"/>
            <w:shd w:val="clear" w:color="auto" w:fill="FFFFFF" w:themeFill="background1"/>
            <w:tcMar>
              <w:left w:w="105" w:type="dxa"/>
              <w:right w:w="105" w:type="dxa"/>
            </w:tcMar>
            <w:vAlign w:val="center"/>
          </w:tcPr>
          <w:p w14:paraId="7FFEAB86"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81" w:name="_Toc131938227"/>
            <w:r w:rsidRPr="003014F4">
              <w:rPr>
                <w:rFonts w:eastAsia="Times New Roman" w:cs="Times New Roman"/>
                <w:sz w:val="16"/>
                <w:szCs w:val="16"/>
              </w:rPr>
              <w:t>FQ</w:t>
            </w:r>
            <w:bookmarkEnd w:id="181"/>
          </w:p>
        </w:tc>
        <w:tc>
          <w:tcPr>
            <w:tcW w:w="1140" w:type="dxa"/>
            <w:shd w:val="clear" w:color="auto" w:fill="FFFFFF" w:themeFill="background1"/>
            <w:tcMar>
              <w:left w:w="105" w:type="dxa"/>
              <w:right w:w="105" w:type="dxa"/>
            </w:tcMar>
            <w:vAlign w:val="center"/>
          </w:tcPr>
          <w:p w14:paraId="680721F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82" w:name="_Toc131938228"/>
            <w:r w:rsidRPr="003014F4">
              <w:rPr>
                <w:rFonts w:eastAsia="Times New Roman" w:cs="Times New Roman"/>
                <w:sz w:val="16"/>
                <w:szCs w:val="16"/>
              </w:rPr>
              <w:t>0.935</w:t>
            </w:r>
            <w:bookmarkEnd w:id="182"/>
          </w:p>
        </w:tc>
        <w:tc>
          <w:tcPr>
            <w:tcW w:w="1140" w:type="dxa"/>
            <w:shd w:val="clear" w:color="auto" w:fill="FFFFFF" w:themeFill="background1"/>
            <w:tcMar>
              <w:left w:w="105" w:type="dxa"/>
              <w:right w:w="105" w:type="dxa"/>
            </w:tcMar>
            <w:vAlign w:val="center"/>
          </w:tcPr>
          <w:p w14:paraId="74AF35A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83" w:name="_Toc131938229"/>
            <w:r w:rsidRPr="003014F4">
              <w:rPr>
                <w:rFonts w:eastAsia="Times New Roman" w:cs="Times New Roman"/>
                <w:sz w:val="16"/>
                <w:szCs w:val="16"/>
              </w:rPr>
              <w:t>0.755</w:t>
            </w:r>
            <w:bookmarkEnd w:id="183"/>
          </w:p>
        </w:tc>
      </w:tr>
      <w:tr w:rsidR="004F607B" w:rsidRPr="003014F4" w14:paraId="203EB456"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45E0EEB4" w14:textId="77777777" w:rsidR="004F607B" w:rsidRPr="003014F4" w:rsidRDefault="004F607B" w:rsidP="00DE75A8">
            <w:pPr>
              <w:rPr>
                <w:rFonts w:eastAsia="Times New Roman" w:cs="Times New Roman"/>
                <w:b w:val="0"/>
                <w:bCs w:val="0"/>
                <w:i/>
                <w:iCs/>
                <w:sz w:val="16"/>
                <w:szCs w:val="16"/>
              </w:rPr>
            </w:pPr>
            <w:bookmarkStart w:id="184" w:name="_Toc131938230"/>
            <w:r w:rsidRPr="003014F4">
              <w:rPr>
                <w:rFonts w:eastAsia="Times New Roman" w:cs="Times New Roman"/>
                <w:b w:val="0"/>
                <w:bCs w:val="0"/>
                <w:i/>
                <w:iCs/>
                <w:sz w:val="16"/>
                <w:szCs w:val="16"/>
              </w:rPr>
              <w:t>Klebsiella pneumoniae</w:t>
            </w:r>
            <w:bookmarkEnd w:id="184"/>
          </w:p>
        </w:tc>
        <w:tc>
          <w:tcPr>
            <w:tcW w:w="1440" w:type="dxa"/>
            <w:shd w:val="clear" w:color="auto" w:fill="FFFFFF" w:themeFill="background1"/>
            <w:tcMar>
              <w:left w:w="105" w:type="dxa"/>
              <w:right w:w="105" w:type="dxa"/>
            </w:tcMar>
            <w:vAlign w:val="center"/>
          </w:tcPr>
          <w:p w14:paraId="613246C2"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85" w:name="_Toc131938231"/>
            <w:r w:rsidRPr="003014F4">
              <w:rPr>
                <w:rFonts w:eastAsia="Times New Roman" w:cs="Times New Roman"/>
                <w:sz w:val="16"/>
                <w:szCs w:val="16"/>
              </w:rPr>
              <w:t>TMP-SMX</w:t>
            </w:r>
            <w:bookmarkEnd w:id="185"/>
          </w:p>
        </w:tc>
        <w:tc>
          <w:tcPr>
            <w:tcW w:w="1140" w:type="dxa"/>
            <w:shd w:val="clear" w:color="auto" w:fill="FFFFFF" w:themeFill="background1"/>
            <w:tcMar>
              <w:left w:w="105" w:type="dxa"/>
              <w:right w:w="105" w:type="dxa"/>
            </w:tcMar>
            <w:vAlign w:val="center"/>
          </w:tcPr>
          <w:p w14:paraId="60D15DD6"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86" w:name="_Toc131938232"/>
            <w:r w:rsidRPr="003014F4">
              <w:rPr>
                <w:rFonts w:eastAsia="Times New Roman" w:cs="Times New Roman"/>
                <w:sz w:val="16"/>
                <w:szCs w:val="16"/>
              </w:rPr>
              <w:t>0.973</w:t>
            </w:r>
            <w:bookmarkEnd w:id="186"/>
          </w:p>
        </w:tc>
        <w:tc>
          <w:tcPr>
            <w:tcW w:w="1140" w:type="dxa"/>
            <w:shd w:val="clear" w:color="auto" w:fill="FFFFFF" w:themeFill="background1"/>
            <w:tcMar>
              <w:left w:w="105" w:type="dxa"/>
              <w:right w:w="105" w:type="dxa"/>
            </w:tcMar>
            <w:vAlign w:val="center"/>
          </w:tcPr>
          <w:p w14:paraId="5B09C10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87" w:name="_Toc131938233"/>
            <w:r w:rsidRPr="003014F4">
              <w:rPr>
                <w:rFonts w:eastAsia="Times New Roman" w:cs="Times New Roman"/>
                <w:sz w:val="16"/>
                <w:szCs w:val="16"/>
              </w:rPr>
              <w:t>0.816</w:t>
            </w:r>
            <w:bookmarkEnd w:id="187"/>
          </w:p>
        </w:tc>
      </w:tr>
      <w:tr w:rsidR="004F607B" w:rsidRPr="003014F4" w14:paraId="4F5C5470"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09900B7" w14:textId="77777777" w:rsidR="004F607B" w:rsidRPr="003014F4" w:rsidRDefault="004F607B" w:rsidP="00DE75A8">
            <w:pPr>
              <w:rPr>
                <w:rFonts w:eastAsia="Times New Roman" w:cs="Times New Roman"/>
                <w:b w:val="0"/>
                <w:bCs w:val="0"/>
                <w:i/>
                <w:iCs/>
                <w:sz w:val="16"/>
                <w:szCs w:val="16"/>
              </w:rPr>
            </w:pPr>
            <w:bookmarkStart w:id="188" w:name="_Toc131938234"/>
            <w:proofErr w:type="spellStart"/>
            <w:r w:rsidRPr="003014F4">
              <w:rPr>
                <w:rFonts w:eastAsia="Times New Roman" w:cs="Times New Roman"/>
                <w:b w:val="0"/>
                <w:bCs w:val="0"/>
                <w:i/>
                <w:iCs/>
                <w:sz w:val="16"/>
                <w:szCs w:val="16"/>
              </w:rPr>
              <w:t>Morganella</w:t>
            </w:r>
            <w:proofErr w:type="spellEnd"/>
            <w:r w:rsidRPr="003014F4">
              <w:rPr>
                <w:rFonts w:eastAsia="Times New Roman" w:cs="Times New Roman"/>
                <w:b w:val="0"/>
                <w:bCs w:val="0"/>
                <w:i/>
                <w:iCs/>
                <w:sz w:val="16"/>
                <w:szCs w:val="16"/>
              </w:rPr>
              <w:t xml:space="preserve"> spp.</w:t>
            </w:r>
            <w:bookmarkEnd w:id="188"/>
          </w:p>
        </w:tc>
        <w:tc>
          <w:tcPr>
            <w:tcW w:w="1440" w:type="dxa"/>
            <w:shd w:val="clear" w:color="auto" w:fill="FFFFFF" w:themeFill="background1"/>
            <w:tcMar>
              <w:left w:w="105" w:type="dxa"/>
              <w:right w:w="105" w:type="dxa"/>
            </w:tcMar>
            <w:vAlign w:val="center"/>
          </w:tcPr>
          <w:p w14:paraId="28BD2C2C"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89" w:name="_Toc131938235"/>
            <w:r w:rsidRPr="003014F4">
              <w:rPr>
                <w:rFonts w:eastAsia="Times New Roman" w:cs="Times New Roman"/>
                <w:sz w:val="16"/>
                <w:szCs w:val="16"/>
              </w:rPr>
              <w:t>3GC</w:t>
            </w:r>
            <w:bookmarkEnd w:id="189"/>
          </w:p>
        </w:tc>
        <w:tc>
          <w:tcPr>
            <w:tcW w:w="1140" w:type="dxa"/>
            <w:shd w:val="clear" w:color="auto" w:fill="FFFFFF" w:themeFill="background1"/>
            <w:tcMar>
              <w:left w:w="105" w:type="dxa"/>
              <w:right w:w="105" w:type="dxa"/>
            </w:tcMar>
            <w:vAlign w:val="center"/>
          </w:tcPr>
          <w:p w14:paraId="7C545698"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90" w:name="_Toc131938236"/>
            <w:r w:rsidRPr="003014F4">
              <w:rPr>
                <w:rFonts w:eastAsia="Times New Roman" w:cs="Times New Roman"/>
                <w:sz w:val="16"/>
                <w:szCs w:val="16"/>
              </w:rPr>
              <w:t>0.922</w:t>
            </w:r>
            <w:bookmarkEnd w:id="190"/>
          </w:p>
        </w:tc>
        <w:tc>
          <w:tcPr>
            <w:tcW w:w="1140" w:type="dxa"/>
            <w:shd w:val="clear" w:color="auto" w:fill="FFFFFF" w:themeFill="background1"/>
            <w:tcMar>
              <w:left w:w="105" w:type="dxa"/>
              <w:right w:w="105" w:type="dxa"/>
            </w:tcMar>
            <w:vAlign w:val="center"/>
          </w:tcPr>
          <w:p w14:paraId="4A8AF16A"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91" w:name="_Toc131938237"/>
            <w:r w:rsidRPr="003014F4">
              <w:rPr>
                <w:rFonts w:eastAsia="Times New Roman" w:cs="Times New Roman"/>
                <w:sz w:val="16"/>
                <w:szCs w:val="16"/>
              </w:rPr>
              <w:t>0.834</w:t>
            </w:r>
            <w:bookmarkEnd w:id="191"/>
          </w:p>
        </w:tc>
      </w:tr>
      <w:tr w:rsidR="004F607B" w:rsidRPr="003014F4" w14:paraId="6A45E68D"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242019DE" w14:textId="77777777" w:rsidR="004F607B" w:rsidRPr="003014F4" w:rsidRDefault="004F607B" w:rsidP="00DE75A8">
            <w:pPr>
              <w:rPr>
                <w:rFonts w:eastAsia="Times New Roman" w:cs="Times New Roman"/>
                <w:b w:val="0"/>
                <w:bCs w:val="0"/>
                <w:i/>
                <w:iCs/>
                <w:sz w:val="16"/>
                <w:szCs w:val="16"/>
              </w:rPr>
            </w:pPr>
            <w:bookmarkStart w:id="192" w:name="_Toc131938238"/>
            <w:proofErr w:type="spellStart"/>
            <w:r w:rsidRPr="003014F4">
              <w:rPr>
                <w:rFonts w:eastAsia="Times New Roman" w:cs="Times New Roman"/>
                <w:b w:val="0"/>
                <w:bCs w:val="0"/>
                <w:i/>
                <w:iCs/>
                <w:sz w:val="16"/>
                <w:szCs w:val="16"/>
              </w:rPr>
              <w:t>Morganella</w:t>
            </w:r>
            <w:proofErr w:type="spellEnd"/>
            <w:r w:rsidRPr="003014F4">
              <w:rPr>
                <w:rFonts w:eastAsia="Times New Roman" w:cs="Times New Roman"/>
                <w:b w:val="0"/>
                <w:bCs w:val="0"/>
                <w:i/>
                <w:iCs/>
                <w:sz w:val="16"/>
                <w:szCs w:val="16"/>
              </w:rPr>
              <w:t xml:space="preserve"> spp.</w:t>
            </w:r>
            <w:bookmarkEnd w:id="192"/>
          </w:p>
        </w:tc>
        <w:tc>
          <w:tcPr>
            <w:tcW w:w="1440" w:type="dxa"/>
            <w:shd w:val="clear" w:color="auto" w:fill="FFFFFF" w:themeFill="background1"/>
            <w:tcMar>
              <w:left w:w="105" w:type="dxa"/>
              <w:right w:w="105" w:type="dxa"/>
            </w:tcMar>
            <w:vAlign w:val="center"/>
          </w:tcPr>
          <w:p w14:paraId="7E8D1091"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93" w:name="_Toc131938239"/>
            <w:r w:rsidRPr="003014F4">
              <w:rPr>
                <w:rFonts w:eastAsia="Times New Roman" w:cs="Times New Roman"/>
                <w:sz w:val="16"/>
                <w:szCs w:val="16"/>
              </w:rPr>
              <w:t>4GC</w:t>
            </w:r>
            <w:bookmarkEnd w:id="193"/>
          </w:p>
        </w:tc>
        <w:tc>
          <w:tcPr>
            <w:tcW w:w="1140" w:type="dxa"/>
            <w:shd w:val="clear" w:color="auto" w:fill="FFFFFF" w:themeFill="background1"/>
            <w:tcMar>
              <w:left w:w="105" w:type="dxa"/>
              <w:right w:w="105" w:type="dxa"/>
            </w:tcMar>
            <w:vAlign w:val="center"/>
          </w:tcPr>
          <w:p w14:paraId="04C1905A"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94" w:name="_Toc131938240"/>
            <w:r w:rsidRPr="003014F4">
              <w:rPr>
                <w:rFonts w:eastAsia="Times New Roman" w:cs="Times New Roman"/>
                <w:sz w:val="16"/>
                <w:szCs w:val="16"/>
              </w:rPr>
              <w:t>0.974</w:t>
            </w:r>
            <w:bookmarkEnd w:id="194"/>
          </w:p>
        </w:tc>
        <w:tc>
          <w:tcPr>
            <w:tcW w:w="1140" w:type="dxa"/>
            <w:shd w:val="clear" w:color="auto" w:fill="FFFFFF" w:themeFill="background1"/>
            <w:tcMar>
              <w:left w:w="105" w:type="dxa"/>
              <w:right w:w="105" w:type="dxa"/>
            </w:tcMar>
            <w:vAlign w:val="center"/>
          </w:tcPr>
          <w:p w14:paraId="10CB81F9"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195" w:name="_Toc131938241"/>
            <w:r w:rsidRPr="003014F4">
              <w:rPr>
                <w:rFonts w:eastAsia="Times New Roman" w:cs="Times New Roman"/>
                <w:sz w:val="16"/>
                <w:szCs w:val="16"/>
              </w:rPr>
              <w:t>0.917</w:t>
            </w:r>
            <w:bookmarkEnd w:id="195"/>
          </w:p>
        </w:tc>
      </w:tr>
      <w:tr w:rsidR="004F607B" w:rsidRPr="003014F4" w14:paraId="58A45040"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vAlign w:val="center"/>
          </w:tcPr>
          <w:p w14:paraId="16AA98CD" w14:textId="77777777" w:rsidR="004F607B" w:rsidRPr="003014F4" w:rsidRDefault="004F607B" w:rsidP="00DE75A8">
            <w:pPr>
              <w:rPr>
                <w:rFonts w:eastAsia="Times New Roman" w:cs="Times New Roman"/>
                <w:b w:val="0"/>
                <w:bCs w:val="0"/>
                <w:i/>
                <w:iCs/>
                <w:sz w:val="16"/>
                <w:szCs w:val="16"/>
              </w:rPr>
            </w:pPr>
            <w:bookmarkStart w:id="196" w:name="_Toc131938242"/>
            <w:proofErr w:type="spellStart"/>
            <w:r w:rsidRPr="003014F4">
              <w:rPr>
                <w:rFonts w:eastAsia="Times New Roman" w:cs="Times New Roman"/>
                <w:b w:val="0"/>
                <w:bCs w:val="0"/>
                <w:i/>
                <w:iCs/>
                <w:sz w:val="16"/>
                <w:szCs w:val="16"/>
              </w:rPr>
              <w:t>Morganella</w:t>
            </w:r>
            <w:proofErr w:type="spellEnd"/>
            <w:r w:rsidRPr="003014F4">
              <w:rPr>
                <w:rFonts w:eastAsia="Times New Roman" w:cs="Times New Roman"/>
                <w:b w:val="0"/>
                <w:bCs w:val="0"/>
                <w:i/>
                <w:iCs/>
                <w:sz w:val="16"/>
                <w:szCs w:val="16"/>
              </w:rPr>
              <w:t xml:space="preserve"> spp.</w:t>
            </w:r>
            <w:bookmarkEnd w:id="196"/>
          </w:p>
        </w:tc>
        <w:tc>
          <w:tcPr>
            <w:tcW w:w="1440" w:type="dxa"/>
            <w:shd w:val="clear" w:color="auto" w:fill="FFFFFF" w:themeFill="background1"/>
            <w:tcMar>
              <w:left w:w="105" w:type="dxa"/>
              <w:right w:w="105" w:type="dxa"/>
            </w:tcMar>
            <w:vAlign w:val="center"/>
          </w:tcPr>
          <w:p w14:paraId="29B4A154"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97" w:name="_Toc131938243"/>
            <w:r w:rsidRPr="003014F4">
              <w:rPr>
                <w:rFonts w:eastAsia="Times New Roman" w:cs="Times New Roman"/>
                <w:sz w:val="16"/>
                <w:szCs w:val="16"/>
              </w:rPr>
              <w:t>FQ</w:t>
            </w:r>
            <w:bookmarkEnd w:id="197"/>
          </w:p>
        </w:tc>
        <w:tc>
          <w:tcPr>
            <w:tcW w:w="1140" w:type="dxa"/>
            <w:shd w:val="clear" w:color="auto" w:fill="FFFFFF" w:themeFill="background1"/>
            <w:tcMar>
              <w:left w:w="105" w:type="dxa"/>
              <w:right w:w="105" w:type="dxa"/>
            </w:tcMar>
            <w:vAlign w:val="center"/>
          </w:tcPr>
          <w:p w14:paraId="119DD77B"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98" w:name="_Toc131938244"/>
            <w:r w:rsidRPr="003014F4">
              <w:rPr>
                <w:rFonts w:eastAsia="Times New Roman" w:cs="Times New Roman"/>
                <w:sz w:val="16"/>
                <w:szCs w:val="16"/>
              </w:rPr>
              <w:t>0.928</w:t>
            </w:r>
            <w:bookmarkEnd w:id="198"/>
          </w:p>
        </w:tc>
        <w:tc>
          <w:tcPr>
            <w:tcW w:w="1140" w:type="dxa"/>
            <w:shd w:val="clear" w:color="auto" w:fill="FFFFFF" w:themeFill="background1"/>
            <w:tcMar>
              <w:left w:w="105" w:type="dxa"/>
              <w:right w:w="105" w:type="dxa"/>
            </w:tcMar>
            <w:vAlign w:val="center"/>
          </w:tcPr>
          <w:p w14:paraId="6F60337E"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199" w:name="_Toc131938245"/>
            <w:r w:rsidRPr="003014F4">
              <w:rPr>
                <w:rFonts w:eastAsia="Times New Roman" w:cs="Times New Roman"/>
                <w:sz w:val="16"/>
                <w:szCs w:val="16"/>
              </w:rPr>
              <w:t>0.839</w:t>
            </w:r>
            <w:bookmarkEnd w:id="199"/>
          </w:p>
        </w:tc>
      </w:tr>
      <w:tr w:rsidR="004F607B" w:rsidRPr="003014F4" w14:paraId="316354D8"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tcMar>
              <w:left w:w="105" w:type="dxa"/>
              <w:right w:w="105" w:type="dxa"/>
            </w:tcMar>
          </w:tcPr>
          <w:p w14:paraId="32A77B3F" w14:textId="77777777" w:rsidR="004F607B" w:rsidRPr="003014F4" w:rsidRDefault="004F607B" w:rsidP="00DE75A8">
            <w:pPr>
              <w:rPr>
                <w:rFonts w:eastAsia="Times New Roman" w:cs="Times New Roman"/>
                <w:b w:val="0"/>
                <w:bCs w:val="0"/>
                <w:i/>
                <w:iCs/>
                <w:sz w:val="16"/>
                <w:szCs w:val="16"/>
              </w:rPr>
            </w:pPr>
            <w:bookmarkStart w:id="200" w:name="_Toc131938246"/>
            <w:r w:rsidRPr="003014F4">
              <w:rPr>
                <w:rFonts w:eastAsia="Times New Roman" w:cs="Times New Roman"/>
                <w:b w:val="0"/>
                <w:bCs w:val="0"/>
                <w:i/>
                <w:iCs/>
                <w:sz w:val="16"/>
                <w:szCs w:val="16"/>
              </w:rPr>
              <w:t xml:space="preserve">Mycobacterium tuberculosis </w:t>
            </w:r>
            <w:r w:rsidRPr="003014F4">
              <w:rPr>
                <w:rFonts w:eastAsia="Times New Roman" w:cs="Times New Roman"/>
                <w:b w:val="0"/>
                <w:bCs w:val="0"/>
                <w:sz w:val="16"/>
                <w:szCs w:val="16"/>
              </w:rPr>
              <w:t>(new)</w:t>
            </w:r>
            <w:bookmarkEnd w:id="200"/>
          </w:p>
        </w:tc>
        <w:tc>
          <w:tcPr>
            <w:tcW w:w="1440" w:type="dxa"/>
            <w:tcMar>
              <w:left w:w="105" w:type="dxa"/>
              <w:right w:w="105" w:type="dxa"/>
            </w:tcMar>
          </w:tcPr>
          <w:p w14:paraId="5E2FEB1D"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01" w:name="_Toc131938247"/>
            <w:r w:rsidRPr="003014F4">
              <w:rPr>
                <w:rFonts w:eastAsia="Times New Roman" w:cs="Times New Roman"/>
                <w:sz w:val="16"/>
                <w:szCs w:val="16"/>
              </w:rPr>
              <w:t>Mono INH</w:t>
            </w:r>
            <w:bookmarkEnd w:id="201"/>
          </w:p>
        </w:tc>
        <w:tc>
          <w:tcPr>
            <w:tcW w:w="1140" w:type="dxa"/>
            <w:tcMar>
              <w:left w:w="105" w:type="dxa"/>
              <w:right w:w="105" w:type="dxa"/>
            </w:tcMar>
          </w:tcPr>
          <w:p w14:paraId="6F5B9F7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02" w:name="_Toc131938248"/>
            <w:r w:rsidRPr="003014F4">
              <w:rPr>
                <w:rFonts w:eastAsia="Times New Roman" w:cs="Times New Roman"/>
                <w:sz w:val="16"/>
                <w:szCs w:val="16"/>
              </w:rPr>
              <w:t>0.993</w:t>
            </w:r>
            <w:bookmarkEnd w:id="202"/>
          </w:p>
        </w:tc>
        <w:tc>
          <w:tcPr>
            <w:tcW w:w="1140" w:type="dxa"/>
            <w:tcMar>
              <w:left w:w="105" w:type="dxa"/>
              <w:right w:w="105" w:type="dxa"/>
            </w:tcMar>
          </w:tcPr>
          <w:p w14:paraId="2901493C"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03" w:name="_Toc131938249"/>
            <w:r w:rsidRPr="003014F4">
              <w:rPr>
                <w:rFonts w:eastAsia="Times New Roman" w:cs="Times New Roman"/>
                <w:sz w:val="16"/>
                <w:szCs w:val="16"/>
              </w:rPr>
              <w:t>0.966</w:t>
            </w:r>
            <w:bookmarkEnd w:id="203"/>
          </w:p>
        </w:tc>
      </w:tr>
      <w:tr w:rsidR="004F607B" w:rsidRPr="003014F4" w14:paraId="7E9F3DA2" w14:textId="7777777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tcPr>
          <w:p w14:paraId="4ABAB856" w14:textId="77777777" w:rsidR="004F607B" w:rsidRPr="003014F4" w:rsidRDefault="004F607B" w:rsidP="00DE75A8">
            <w:pPr>
              <w:rPr>
                <w:rFonts w:eastAsia="Times New Roman" w:cs="Times New Roman"/>
                <w:b w:val="0"/>
                <w:bCs w:val="0"/>
                <w:i/>
                <w:iCs/>
                <w:sz w:val="16"/>
                <w:szCs w:val="16"/>
              </w:rPr>
            </w:pPr>
            <w:bookmarkStart w:id="204" w:name="_Toc131938250"/>
            <w:r w:rsidRPr="003014F4">
              <w:rPr>
                <w:rFonts w:eastAsia="Times New Roman" w:cs="Times New Roman"/>
                <w:b w:val="0"/>
                <w:bCs w:val="0"/>
                <w:i/>
                <w:iCs/>
                <w:sz w:val="16"/>
                <w:szCs w:val="16"/>
              </w:rPr>
              <w:t xml:space="preserve">Mycobacterium tuberculosis </w:t>
            </w:r>
            <w:r w:rsidRPr="003014F4">
              <w:rPr>
                <w:rFonts w:eastAsia="Times New Roman" w:cs="Times New Roman"/>
                <w:b w:val="0"/>
                <w:bCs w:val="0"/>
                <w:sz w:val="16"/>
                <w:szCs w:val="16"/>
              </w:rPr>
              <w:t>(new)</w:t>
            </w:r>
            <w:bookmarkEnd w:id="204"/>
          </w:p>
        </w:tc>
        <w:tc>
          <w:tcPr>
            <w:tcW w:w="1440" w:type="dxa"/>
            <w:shd w:val="clear" w:color="auto" w:fill="FFFFFF" w:themeFill="background1"/>
            <w:tcMar>
              <w:left w:w="105" w:type="dxa"/>
              <w:right w:w="105" w:type="dxa"/>
            </w:tcMar>
          </w:tcPr>
          <w:p w14:paraId="783E9B39"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05" w:name="_Toc131938251"/>
            <w:r w:rsidRPr="003014F4">
              <w:rPr>
                <w:rFonts w:eastAsia="Times New Roman" w:cs="Times New Roman"/>
                <w:sz w:val="16"/>
                <w:szCs w:val="16"/>
              </w:rPr>
              <w:t>Mono RIF</w:t>
            </w:r>
            <w:bookmarkEnd w:id="205"/>
          </w:p>
        </w:tc>
        <w:tc>
          <w:tcPr>
            <w:tcW w:w="1140" w:type="dxa"/>
            <w:shd w:val="clear" w:color="auto" w:fill="FFFFFF" w:themeFill="background1"/>
            <w:tcMar>
              <w:left w:w="105" w:type="dxa"/>
              <w:right w:w="105" w:type="dxa"/>
            </w:tcMar>
          </w:tcPr>
          <w:p w14:paraId="14D5CDB3"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06" w:name="_Toc131938252"/>
            <w:r w:rsidRPr="003014F4">
              <w:rPr>
                <w:rFonts w:eastAsia="Times New Roman" w:cs="Times New Roman"/>
                <w:sz w:val="16"/>
                <w:szCs w:val="16"/>
              </w:rPr>
              <w:t>0.996</w:t>
            </w:r>
            <w:bookmarkEnd w:id="206"/>
          </w:p>
        </w:tc>
        <w:tc>
          <w:tcPr>
            <w:tcW w:w="1140" w:type="dxa"/>
            <w:shd w:val="clear" w:color="auto" w:fill="FFFFFF" w:themeFill="background1"/>
            <w:tcMar>
              <w:left w:w="105" w:type="dxa"/>
              <w:right w:w="105" w:type="dxa"/>
            </w:tcMar>
          </w:tcPr>
          <w:p w14:paraId="69410665" w14:textId="77777777" w:rsidR="004F607B" w:rsidRPr="003014F4" w:rsidRDefault="004F607B" w:rsidP="00DE75A8">
            <w:pP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bookmarkStart w:id="207" w:name="_Toc131938253"/>
            <w:r w:rsidRPr="003014F4">
              <w:rPr>
                <w:rFonts w:eastAsia="Times New Roman" w:cs="Times New Roman"/>
                <w:sz w:val="16"/>
                <w:szCs w:val="16"/>
              </w:rPr>
              <w:t>0.987</w:t>
            </w:r>
            <w:bookmarkEnd w:id="207"/>
          </w:p>
        </w:tc>
      </w:tr>
      <w:tr w:rsidR="004F607B" w:rsidRPr="003014F4" w14:paraId="0B8B2A42" w14:textId="77777777">
        <w:trPr>
          <w:trHeight w:val="135"/>
        </w:trPr>
        <w:tc>
          <w:tcPr>
            <w:cnfStyle w:val="001000000000" w:firstRow="0" w:lastRow="0" w:firstColumn="1" w:lastColumn="0" w:oddVBand="0" w:evenVBand="0" w:oddHBand="0" w:evenHBand="0" w:firstRowFirstColumn="0" w:firstRowLastColumn="0" w:lastRowFirstColumn="0" w:lastRowLastColumn="0"/>
            <w:tcW w:w="2880" w:type="dxa"/>
            <w:shd w:val="clear" w:color="auto" w:fill="FFFFFF" w:themeFill="background1"/>
            <w:tcMar>
              <w:left w:w="105" w:type="dxa"/>
              <w:right w:w="105" w:type="dxa"/>
            </w:tcMar>
          </w:tcPr>
          <w:p w14:paraId="3E0C741A" w14:textId="77777777" w:rsidR="004F607B" w:rsidRPr="003014F4" w:rsidRDefault="004F607B" w:rsidP="00DE75A8">
            <w:pPr>
              <w:rPr>
                <w:rFonts w:eastAsia="Times New Roman" w:cs="Times New Roman"/>
                <w:b w:val="0"/>
                <w:bCs w:val="0"/>
                <w:i/>
                <w:iCs/>
                <w:sz w:val="16"/>
                <w:szCs w:val="16"/>
              </w:rPr>
            </w:pPr>
            <w:bookmarkStart w:id="208" w:name="_Toc131938254"/>
            <w:r w:rsidRPr="003014F4">
              <w:rPr>
                <w:rFonts w:eastAsia="Times New Roman" w:cs="Times New Roman"/>
                <w:b w:val="0"/>
                <w:bCs w:val="0"/>
                <w:i/>
                <w:iCs/>
                <w:sz w:val="16"/>
                <w:szCs w:val="16"/>
              </w:rPr>
              <w:t xml:space="preserve">Mycobacterium tuberculosis </w:t>
            </w:r>
            <w:r w:rsidRPr="003014F4">
              <w:rPr>
                <w:rFonts w:eastAsia="Times New Roman" w:cs="Times New Roman"/>
                <w:b w:val="0"/>
                <w:bCs w:val="0"/>
                <w:sz w:val="16"/>
                <w:szCs w:val="16"/>
              </w:rPr>
              <w:t>(retreated)</w:t>
            </w:r>
            <w:bookmarkEnd w:id="208"/>
          </w:p>
        </w:tc>
        <w:tc>
          <w:tcPr>
            <w:tcW w:w="1440" w:type="dxa"/>
            <w:shd w:val="clear" w:color="auto" w:fill="FFFFFF" w:themeFill="background1"/>
            <w:tcMar>
              <w:left w:w="105" w:type="dxa"/>
              <w:right w:w="105" w:type="dxa"/>
            </w:tcMar>
          </w:tcPr>
          <w:p w14:paraId="7ECED3D8"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09" w:name="_Toc131938255"/>
            <w:r w:rsidRPr="003014F4">
              <w:rPr>
                <w:rFonts w:eastAsia="Times New Roman" w:cs="Times New Roman"/>
                <w:sz w:val="16"/>
                <w:szCs w:val="16"/>
              </w:rPr>
              <w:t>Mono INH</w:t>
            </w:r>
            <w:bookmarkEnd w:id="209"/>
          </w:p>
        </w:tc>
        <w:tc>
          <w:tcPr>
            <w:tcW w:w="1140" w:type="dxa"/>
            <w:shd w:val="clear" w:color="auto" w:fill="FFFFFF" w:themeFill="background1"/>
            <w:tcMar>
              <w:left w:w="105" w:type="dxa"/>
              <w:right w:w="105" w:type="dxa"/>
            </w:tcMar>
          </w:tcPr>
          <w:p w14:paraId="5FA213D5"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10" w:name="_Toc131938256"/>
            <w:r w:rsidRPr="003014F4">
              <w:rPr>
                <w:rFonts w:eastAsia="Times New Roman" w:cs="Times New Roman"/>
                <w:sz w:val="16"/>
                <w:szCs w:val="16"/>
              </w:rPr>
              <w:t>0.982</w:t>
            </w:r>
            <w:bookmarkEnd w:id="210"/>
          </w:p>
        </w:tc>
        <w:tc>
          <w:tcPr>
            <w:tcW w:w="1140" w:type="dxa"/>
            <w:shd w:val="clear" w:color="auto" w:fill="FFFFFF" w:themeFill="background1"/>
            <w:tcMar>
              <w:left w:w="105" w:type="dxa"/>
              <w:right w:w="105" w:type="dxa"/>
            </w:tcMar>
          </w:tcPr>
          <w:p w14:paraId="67DFB0B6" w14:textId="77777777" w:rsidR="004F607B" w:rsidRPr="003014F4" w:rsidRDefault="004F607B" w:rsidP="00DE75A8">
            <w:pP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bookmarkStart w:id="211" w:name="_Toc131938257"/>
            <w:r w:rsidRPr="003014F4">
              <w:rPr>
                <w:rFonts w:eastAsia="Times New Roman" w:cs="Times New Roman"/>
                <w:sz w:val="16"/>
                <w:szCs w:val="16"/>
              </w:rPr>
              <w:t>0.968</w:t>
            </w:r>
            <w:bookmarkEnd w:id="211"/>
          </w:p>
        </w:tc>
      </w:tr>
    </w:tbl>
    <w:p w14:paraId="29C26C78" w14:textId="73EFB52B" w:rsidR="00515834" w:rsidRDefault="00515834" w:rsidP="00E86E2B">
      <w:pPr>
        <w:rPr>
          <w:rFonts w:eastAsia="Times New Roman" w:cs="Times New Roman"/>
          <w:color w:val="000000" w:themeColor="text1"/>
          <w:sz w:val="14"/>
          <w:szCs w:val="14"/>
        </w:rPr>
      </w:pPr>
    </w:p>
    <w:p w14:paraId="16658CD8" w14:textId="5C46F8C4" w:rsidR="00477D88" w:rsidRPr="00B66763" w:rsidRDefault="004F607B" w:rsidP="00E86E2B">
      <w:pPr>
        <w:rPr>
          <w:rFonts w:eastAsia="Times New Roman" w:cs="Times New Roman"/>
          <w:color w:val="000000" w:themeColor="text1"/>
          <w:sz w:val="16"/>
          <w:szCs w:val="16"/>
        </w:rPr>
      </w:pPr>
      <w:r w:rsidRPr="00B66763">
        <w:rPr>
          <w:rFonts w:eastAsia="Times New Roman" w:cs="Times New Roman"/>
          <w:color w:val="000000" w:themeColor="text1"/>
          <w:sz w:val="16"/>
          <w:szCs w:val="16"/>
        </w:rPr>
        <w:lastRenderedPageBreak/>
        <w:t xml:space="preserve">3GC = Third-generation cephalosporins. 4GC = Fourth-generation cephalosporins. AG = Aminoglycosides. Anti-pseudomonal = Anti-pseudomonal penicillin/Beta-Lactamase inhibitors. BL-BLI = Beta Lactam/Beta-lactamase inhibitors. CP = Carbapenems. FQ = Fluoroquinolones. MDR excluding XDR in TB = </w:t>
      </w:r>
      <w:proofErr w:type="gramStart"/>
      <w:r w:rsidRPr="00B66763">
        <w:rPr>
          <w:rFonts w:eastAsia="Times New Roman" w:cs="Times New Roman"/>
          <w:color w:val="000000" w:themeColor="text1"/>
          <w:sz w:val="16"/>
          <w:szCs w:val="16"/>
        </w:rPr>
        <w:t>Multi-drug</w:t>
      </w:r>
      <w:proofErr w:type="gramEnd"/>
      <w:r w:rsidRPr="00B66763">
        <w:rPr>
          <w:rFonts w:eastAsia="Times New Roman" w:cs="Times New Roman"/>
          <w:color w:val="000000" w:themeColor="text1"/>
          <w:sz w:val="16"/>
          <w:szCs w:val="16"/>
        </w:rPr>
        <w:t xml:space="preserve"> resistance excluding extensive drug resistance in TB. MDR in S. Typhi and </w:t>
      </w:r>
      <w:proofErr w:type="spellStart"/>
      <w:r w:rsidRPr="00B66763">
        <w:rPr>
          <w:rFonts w:eastAsia="Times New Roman" w:cs="Times New Roman"/>
          <w:color w:val="000000" w:themeColor="text1"/>
          <w:sz w:val="16"/>
          <w:szCs w:val="16"/>
        </w:rPr>
        <w:t>Paratyphi</w:t>
      </w:r>
      <w:proofErr w:type="spellEnd"/>
      <w:r w:rsidRPr="00B66763">
        <w:rPr>
          <w:rFonts w:eastAsia="Times New Roman" w:cs="Times New Roman"/>
          <w:color w:val="000000" w:themeColor="text1"/>
          <w:sz w:val="16"/>
          <w:szCs w:val="16"/>
        </w:rPr>
        <w:t xml:space="preserve"> = </w:t>
      </w:r>
      <w:proofErr w:type="gramStart"/>
      <w:r w:rsidRPr="00B66763">
        <w:rPr>
          <w:rFonts w:eastAsia="Times New Roman" w:cs="Times New Roman"/>
          <w:color w:val="000000" w:themeColor="text1"/>
          <w:sz w:val="16"/>
          <w:szCs w:val="16"/>
        </w:rPr>
        <w:t>Multi-drug</w:t>
      </w:r>
      <w:proofErr w:type="gramEnd"/>
      <w:r w:rsidRPr="00B66763">
        <w:rPr>
          <w:rFonts w:eastAsia="Times New Roman" w:cs="Times New Roman"/>
          <w:color w:val="000000" w:themeColor="text1"/>
          <w:sz w:val="16"/>
          <w:szCs w:val="16"/>
        </w:rPr>
        <w:t xml:space="preserve"> resistance in Salmonella Typhi and </w:t>
      </w:r>
      <w:proofErr w:type="spellStart"/>
      <w:r w:rsidRPr="00B66763">
        <w:rPr>
          <w:rFonts w:eastAsia="Times New Roman" w:cs="Times New Roman"/>
          <w:color w:val="000000" w:themeColor="text1"/>
          <w:sz w:val="16"/>
          <w:szCs w:val="16"/>
        </w:rPr>
        <w:t>Paratyphi</w:t>
      </w:r>
      <w:proofErr w:type="spellEnd"/>
      <w:r w:rsidRPr="00B66763">
        <w:rPr>
          <w:rFonts w:eastAsia="Times New Roman" w:cs="Times New Roman"/>
          <w:color w:val="000000" w:themeColor="text1"/>
          <w:sz w:val="16"/>
          <w:szCs w:val="16"/>
        </w:rPr>
        <w:t xml:space="preserve">. Mono INH = Isoniazid mono-resistance. Mono RIF = Rifampicin mono-resistance. PCN = Penicillin. TMP-SMX = Trimethoprim-Sulfamethoxazole. </w:t>
      </w:r>
      <w:proofErr w:type="spellStart"/>
      <w:r w:rsidRPr="00B66763">
        <w:rPr>
          <w:rFonts w:eastAsia="Times New Roman" w:cs="Times New Roman"/>
          <w:color w:val="000000" w:themeColor="text1"/>
          <w:sz w:val="16"/>
          <w:szCs w:val="16"/>
        </w:rPr>
        <w:t>Vanco</w:t>
      </w:r>
      <w:proofErr w:type="spellEnd"/>
      <w:r w:rsidRPr="00B66763">
        <w:rPr>
          <w:rFonts w:eastAsia="Times New Roman" w:cs="Times New Roman"/>
          <w:color w:val="000000" w:themeColor="text1"/>
          <w:sz w:val="16"/>
          <w:szCs w:val="16"/>
        </w:rPr>
        <w:t xml:space="preserve"> = Vancomycin. XDR in TB = Extensive drug resistance in TB.</w:t>
      </w:r>
    </w:p>
    <w:p w14:paraId="04B334FD" w14:textId="2AD2EF23" w:rsidR="6B99E739" w:rsidRDefault="6B99E739" w:rsidP="082F9667">
      <w:pPr>
        <w:pStyle w:val="Heading2"/>
      </w:pPr>
      <w:bookmarkStart w:id="212" w:name="_Toc135992048"/>
      <w:r w:rsidRPr="082F9667">
        <w:rPr>
          <w:rFonts w:eastAsia="Times New Roman" w:cs="Times New Roman"/>
          <w:bCs/>
          <w:color w:val="2F5496" w:themeColor="accent5" w:themeShade="BF"/>
          <w:szCs w:val="20"/>
        </w:rPr>
        <w:t>Section 3.6: Relative risk</w:t>
      </w:r>
      <w:bookmarkEnd w:id="212"/>
    </w:p>
    <w:p w14:paraId="1B9CA9C3" w14:textId="5FF7926E" w:rsidR="6B99E739" w:rsidRDefault="6B99E739" w:rsidP="00D7626E">
      <w:pPr>
        <w:spacing w:after="0"/>
      </w:pPr>
      <w:r w:rsidRPr="00D7626E">
        <w:rPr>
          <w:rFonts w:eastAsiaTheme="majorEastAsia" w:cstheme="majorBidi"/>
          <w:i/>
          <w:color w:val="1F4D78" w:themeColor="accent1" w:themeShade="7F"/>
          <w:szCs w:val="24"/>
        </w:rPr>
        <w:t>Section 3.6.1: Input data and data processing</w:t>
      </w:r>
    </w:p>
    <w:p w14:paraId="10F84D9E" w14:textId="5C88B4BA" w:rsidR="00CF7AB5" w:rsidRPr="005D2363" w:rsidRDefault="00CF7AB5" w:rsidP="00CF7AB5">
      <w:pPr>
        <w:rPr>
          <w:rFonts w:cs="Times New Roman"/>
          <w:szCs w:val="20"/>
        </w:rPr>
      </w:pPr>
      <w:r w:rsidRPr="005D2363">
        <w:rPr>
          <w:rFonts w:cs="Times New Roman"/>
          <w:szCs w:val="20"/>
        </w:rPr>
        <w:t>The input data for the relative risk estimation step included literature data that provided relative risk of death for resistant and susceptible organisms and hospital-based microbiology surveillance data linked to outcomes, as well as other clinical parameters (</w:t>
      </w:r>
      <w:proofErr w:type="spellStart"/>
      <w:r w:rsidRPr="005D2363">
        <w:rPr>
          <w:rFonts w:cs="Times New Roman"/>
          <w:szCs w:val="20"/>
        </w:rPr>
        <w:t>eg</w:t>
      </w:r>
      <w:proofErr w:type="spellEnd"/>
      <w:r w:rsidRPr="005D2363">
        <w:rPr>
          <w:rFonts w:cs="Times New Roman"/>
          <w:szCs w:val="20"/>
        </w:rPr>
        <w:t>, demographics, diagnoses). Published studies were identified from a recent meta-analysis performed by Cassini and colleagues.</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{"citationID":"wmXDATA8","properties":{"formattedCitation":"\\super 18\\nosupersub{}","plainCitation":"18","noteIndex":0},"citationItems":[{"id":116697,"uris":["http://zotero.org/groups/2154524/items/NPMA5CRK"],"itemData":{"id":116697,"type":"article-journal","container-title":"The Lancet Infectious Diseases","DOI":"10.1016/S1473-3099(18)30605-4","ISSN":"1473-3099, 1474-4457","issue":"1","journalAbbreviation":"The Lancet Infectious Diseases","language":"English","note":"publisher: Elsevier\nPMID: 30409683","page":"56-66","source":"www.thelancet.com","title":"Attributable deaths and disability-adjusted life-years caused by infections with antibiotic-resistant bacteria in the EU and the European Economic Area in 2015: a population-level modelling analysis","title-short":"Attributable deaths and disability-adjusted life-years caused by infections with antibiotic-resistant bacteria in the EU and the European Economic Area in 2015","volume":"19","author":[{"family":"Cassini","given":"Alessandro"},{"family":"Högberg","given":"Liselotte Diaz"},{"family":"Plachouras","given":"Diamantis"},{"family":"Quattrocchi","given":"Annalisa"},{"family":"Hoxha","given":"Ana"},{"family":"Simonsen","given":"Gunnar Skov"},{"family":"Colomb-Cotinat","given":"Mélanie"},{"family":"Kretzschmar","given":"Mirjam E."},{"family":"Devleesschauwer","given":"Brecht"},{"family":"Cecchini","given":"Michele"},{"family":"Ouakrim","given":"Driss Ait"},{"family":"Oliveira","given":"Tiago Cravo"},{"family":"Struelens","given":"Marc J."},{"family":"Suetens","given":"Carl"},{"family":"Monnet","given":"Dominique L."},{"family":"Strauss","given":"Reinhild"},{"family":"Mertens","given":"Karl"},{"family":"Struyf","given":"Thomas"},{"family":"Catry","given":"Boudewijn"},{"family":"Latour","given":"Katrien"},{"family":"Ivanov","given":"Ivan N."},{"family":"Dobreva","given":"Elina G."},{"family":"Andraševic","given":"Arjana Tambic"},{"family":"Soprek","given":"Silvija"},{"family":"Budimir","given":"Ana"},{"family":"Paphitou","given":"Niki"},{"family":"Žemlicková","given":"Helena"},{"family":"Olsen","given":"Stefan Schytte"},{"family":"Sönksen","given":"Ute Wolff"},{"family":"Märtin","given":"Pille"},{"family":"Ivanova","given":"Marina"},{"family":"Lyytikäinen","given":"Outi"},{"family":"Jalava","given":"Jari"},{"family":"Coignard","given":"Bruno"},{"family":"Eckmanns","given":"Tim"},{"family":"Sin","given":"Muna Abu"},{"family":"Haller","given":"Sebastian"},{"family":"Daikos","given":"George L."},{"family":"Gikas","given":"Achilleas"},{"family":"Tsiodras","given":"Sotirios"},{"family":"Kontopidou","given":"Flora"},{"family":"Tóth","given":"Ákos"},{"family":"Hajdu","given":"Ágnes"},{"family":"Guólaugsson","given":"Ólafur"},{"family":"Kristinsson","given":"Karl G."},{"family":"Murchan","given":"Stephen"},{"family":"Burns","given":"Karen"},{"family":"Pezzotti","given":"Patrizio"},{"family":"Gagliotti","given":"Carlo"},{"family":"Dumpis","given":"Uga"},{"family":"Liuimiene","given":"Agne"},{"family":"Perrin","given":"Monique"},{"family":"Borg","given":"Michael A."},{"family":"Greeff","given":"Sabine C.","dropping-particle":"de"},{"family":"Monen","given":"Jos CM"},{"family":"Koek","given":"Mayke BG"},{"family":"Elstrøm","given":"Petter"},{"family":"Zabicka","given":"Dorota"},{"family":"Deptula","given":"Aleksander"},{"family":"Hryniewicz","given":"Waleria"},{"family":"Caniça","given":"Manuela"},{"family":"Nogueira","given":"Paulo Jorge"},{"family":"Fernandes","given":"Paulo André"},{"family":"Manageiro","given":"Vera"},{"family":"Popescu","given":"Gabriel A."},{"family":"Serban","given":"Roxana I."},{"family":"Schréterová","given":"Eva"},{"family":"Litvová","given":"Slavka"},{"family":"Štefkovicová","given":"Mária"},{"family":"Kolman","given":"Jana"},{"family":"Klavs","given":"Irena"},{"family":"Korošec","given":"Aleš"},{"family":"Aracil","given":"Belén"},{"family":"Asensio","given":"Angel"},{"family":"Pérez-Vázquez","given":"María"},{"family":"Billström","given":"Hanna"},{"family":"Larsson","given":"Sofie"},{"family":"Reilly","given":"Jacqui S."},{"family":"Johnson","given":"Alan"},{"family":"Hopkins","given":"Susan"}],"issued":{"date-parts":[["2019",1,1]]}}}],"schema":"https://github.com/citation-style-language/schema/raw/master/csl-citation.json"}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18</w:t>
      </w:r>
      <w:r w:rsidRPr="005D2363">
        <w:rPr>
          <w:rFonts w:cs="Times New Roman"/>
          <w:color w:val="2B579A"/>
          <w:szCs w:val="20"/>
          <w:shd w:val="clear" w:color="auto" w:fill="E6E6E6"/>
        </w:rPr>
        <w:fldChar w:fldCharType="end"/>
      </w:r>
      <w:r w:rsidRPr="005D2363">
        <w:rPr>
          <w:rFonts w:cs="Times New Roman"/>
          <w:szCs w:val="20"/>
        </w:rPr>
        <w:t xml:space="preserve"> </w:t>
      </w:r>
    </w:p>
    <w:p w14:paraId="20C66989" w14:textId="77777777" w:rsidR="00CF7AB5" w:rsidRPr="005D2363" w:rsidRDefault="00CF7AB5" w:rsidP="00CF7AB5">
      <w:pPr>
        <w:rPr>
          <w:rFonts w:cs="Times New Roman"/>
          <w:szCs w:val="20"/>
          <w:lang w:val="en-GB"/>
        </w:rPr>
      </w:pPr>
      <w:r w:rsidRPr="005D2363">
        <w:rPr>
          <w:rFonts w:cs="Times New Roman"/>
          <w:szCs w:val="20"/>
        </w:rPr>
        <w:t>The data inputs for the excess duration estimates were literature data that reported on length of stay for resistant and susceptible organisms and hospital-based microbiology surveillance data that were linked to outcomes as well as various other clinical parameters (</w:t>
      </w:r>
      <w:proofErr w:type="spellStart"/>
      <w:r w:rsidRPr="005D2363">
        <w:rPr>
          <w:rFonts w:cs="Times New Roman"/>
          <w:szCs w:val="20"/>
        </w:rPr>
        <w:t>eg</w:t>
      </w:r>
      <w:proofErr w:type="spellEnd"/>
      <w:r w:rsidRPr="005D2363">
        <w:rPr>
          <w:rFonts w:cs="Times New Roman"/>
          <w:szCs w:val="20"/>
        </w:rPr>
        <w:t xml:space="preserve">, demographics, diagnoses). </w:t>
      </w:r>
      <w:r w:rsidRPr="005D2363">
        <w:rPr>
          <w:rFonts w:cs="Times New Roman"/>
          <w:szCs w:val="20"/>
          <w:lang w:val="en-GB"/>
        </w:rPr>
        <w:t xml:space="preserve">The number of days between a positive specimen date and discharge date was used to obtain the mean duration of infection. We </w:t>
      </w:r>
      <w:proofErr w:type="gramStart"/>
      <w:r w:rsidRPr="005D2363">
        <w:rPr>
          <w:rFonts w:cs="Times New Roman"/>
          <w:szCs w:val="20"/>
          <w:lang w:val="en-GB"/>
        </w:rPr>
        <w:t>took into account</w:t>
      </w:r>
      <w:proofErr w:type="gramEnd"/>
      <w:r w:rsidRPr="005D2363">
        <w:rPr>
          <w:rFonts w:cs="Times New Roman"/>
          <w:szCs w:val="20"/>
          <w:lang w:val="en-GB"/>
        </w:rPr>
        <w:t xml:space="preserve"> days elapsed between admission and discharge as mean duration of stay if this was the only piece of information provided in the study. We also considered median duration of infection or median duration of stay if the study only provided this piece of information. </w:t>
      </w:r>
    </w:p>
    <w:p w14:paraId="302812DF" w14:textId="5AD8BFBF" w:rsidR="00CF7AB5" w:rsidRPr="005D2363" w:rsidRDefault="00CF7AB5" w:rsidP="00CF7AB5">
      <w:pPr>
        <w:rPr>
          <w:rFonts w:cs="Times New Roman"/>
          <w:szCs w:val="20"/>
        </w:rPr>
      </w:pPr>
      <w:r w:rsidRPr="005D2363">
        <w:rPr>
          <w:rFonts w:cs="Times New Roman"/>
          <w:szCs w:val="20"/>
        </w:rPr>
        <w:t>Relative risk estimates were extracted from primary literature as were study characteristics that described the adjustments made by the study. When no adjustments were made, or an adjusted odds ratio was presented, we extracted the crude relative risk. For hospital data that contained admission diagnoses, diagnoses were mapped to GBD Level 2 causes. Admission diagnoses were mapped to GBD causes using ICD codes when provided; when admission diagnoses were free-text entries, they were mapped using two expert reviews.</w:t>
      </w:r>
    </w:p>
    <w:p w14:paraId="2605A622" w14:textId="0DA53233"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3.6.2: Modelling overview</w:t>
      </w:r>
    </w:p>
    <w:p w14:paraId="3C954702" w14:textId="77777777" w:rsidR="000F4642" w:rsidRPr="005D2363" w:rsidRDefault="000F4642" w:rsidP="000F4642">
      <w:pPr>
        <w:rPr>
          <w:rFonts w:cs="Times New Roman"/>
          <w:szCs w:val="20"/>
        </w:rPr>
      </w:pPr>
      <w:r w:rsidRPr="005D2363">
        <w:rPr>
          <w:rFonts w:cs="Times New Roman"/>
          <w:szCs w:val="20"/>
        </w:rPr>
        <w:t xml:space="preserve">The measure of excess risk used to estimate the fatal burden of AMR was the relative risk of death from an infection with a pathogen resistant to the antibiotic of interest as compared to an infection of the same site with the same organism that was susceptible to the antibiotic of interest. The relative risk estimate was produced after adjusting for various potential confounders including age, admission diagnosis (mapped to GBD causes), site of culture, and hospital versus community onset. Because of data sparsity, a single measure of relative risk was estimated for each pathogen–drug combination, representing a global estimate for all sites of infection and all underlying causes. </w:t>
      </w:r>
    </w:p>
    <w:p w14:paraId="45D1E893" w14:textId="77777777" w:rsidR="000F4642" w:rsidRPr="005D2363" w:rsidRDefault="000F4642" w:rsidP="000F4642">
      <w:pPr>
        <w:rPr>
          <w:rFonts w:cs="Times New Roman"/>
          <w:szCs w:val="20"/>
        </w:rPr>
      </w:pPr>
      <w:r w:rsidRPr="005D2363">
        <w:rPr>
          <w:rFonts w:cs="Times New Roman"/>
          <w:szCs w:val="20"/>
        </w:rPr>
        <w:t xml:space="preserve">When data availability allowed it, relative risk from hospital-based microbiology surveillance data was estimated after adjusting for age, admission diagnosis, site of culture, and hospital- versus </w:t>
      </w:r>
      <w:r w:rsidRPr="005D2363" w:rsidDel="00CC051B">
        <w:rPr>
          <w:rFonts w:cs="Times New Roman"/>
          <w:szCs w:val="20"/>
        </w:rPr>
        <w:t>community</w:t>
      </w:r>
      <w:r w:rsidRPr="005D2363">
        <w:rPr>
          <w:rFonts w:cs="Times New Roman"/>
          <w:szCs w:val="20"/>
        </w:rPr>
        <w:t xml:space="preserve">-acquired infection, otherwise a crude relative risk was used. The adjusted estimates of relative risks were then included with the crude relative risks in a two-stage nested mixed effects meta-regression model using MR-BRT. The stage one model was a meta-regression for each antibiotic class, which was used to produce a prior for the stage two model. We considered study-specific adjustments such as age of patients, admission diagnosis, site of culture and hospital-versus community acquired infection as potential covariates to be included in the second stage. Covariate selection was based on a set of log-linear models with a range of Lasso penalty parameters, and only statistically significant covariates were selected. The stage two model was run for each antibiotic class with a random effect for pathogen and fixed effects for study level characteristics that described whether the relative risk estimate from a study or dataset adjusted for each parameter using the prior from the stage one model for the antibiotic class. </w:t>
      </w:r>
    </w:p>
    <w:p w14:paraId="7A4A3F2A" w14:textId="77777777" w:rsidR="000F4642" w:rsidRDefault="000F4642" w:rsidP="000F4642"/>
    <w:p w14:paraId="0D6629F8" w14:textId="77777777" w:rsidR="000F4642" w:rsidRPr="00233871" w:rsidRDefault="000F4642" w:rsidP="000F4642">
      <w:pPr>
        <w:jc w:val="center"/>
        <w:rPr>
          <w:rFonts w:eastAsiaTheme="minorEastAsia"/>
          <w:iCs/>
        </w:rPr>
      </w:pPr>
      <m:oMathPara>
        <m:oMathParaPr>
          <m:jc m:val="right"/>
        </m:oMathParaPr>
        <m:oMath>
          <m:r>
            <w:rPr>
              <w:rFonts w:ascii="Cambria Math" w:hAnsi="Cambria Math"/>
            </w:rPr>
            <m:t>Relative Ris</m:t>
          </m:r>
          <m:sSub>
            <m:sSubPr>
              <m:ctrlPr>
                <w:rPr>
                  <w:rFonts w:ascii="Cambria Math" w:hAnsi="Cambria Math"/>
                  <w:i/>
                </w:rPr>
              </m:ctrlPr>
            </m:sSubPr>
            <m:e>
              <m:r>
                <w:rPr>
                  <w:rFonts w:ascii="Cambria Math" w:hAnsi="Cambria Math"/>
                </w:rPr>
                <m:t>k</m:t>
              </m:r>
            </m:e>
            <m:sub>
              <m:r>
                <w:rPr>
                  <w:rFonts w:ascii="Cambria Math" w:hAnsi="Cambria Math"/>
                </w:rPr>
                <m:t>pathoge</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dru</m:t>
              </m:r>
              <m:sSub>
                <m:sSubPr>
                  <m:ctrlPr>
                    <w:rPr>
                      <w:rFonts w:ascii="Cambria Math" w:hAnsi="Cambria Math"/>
                      <w:i/>
                    </w:rPr>
                  </m:ctrlPr>
                </m:sSubPr>
                <m:e>
                  <m:r>
                    <w:rPr>
                      <w:rFonts w:ascii="Cambria Math" w:hAnsi="Cambria Math"/>
                    </w:rPr>
                    <m:t>g</m:t>
                  </m:r>
                </m:e>
                <m:sub>
                  <m:r>
                    <w:rPr>
                      <w:rFonts w:ascii="Cambria Math" w:hAnsi="Cambria Math"/>
                    </w:rPr>
                    <m:t>d</m:t>
                  </m:r>
                </m:sub>
              </m:sSub>
            </m:sub>
          </m:sSub>
          <m:r>
            <w:rPr>
              <w:rFonts w:ascii="Cambria Math" w:hAnsi="Cambria Math"/>
            </w:rPr>
            <m:t>=</m:t>
          </m:r>
          <m:sSub>
            <m:sSubPr>
              <m:ctrlPr>
                <w:rPr>
                  <w:rFonts w:ascii="Cambria Math" w:hAnsi="Cambria Math"/>
                  <w:i/>
                  <w:iCs/>
                </w:rPr>
              </m:ctrlPr>
            </m:sSubPr>
            <m:e>
              <m:r>
                <w:rPr>
                  <w:rFonts w:ascii="Cambria Math" w:hAnsi="Cambria Math"/>
                  <w:lang w:val="el-GR"/>
                </w:rPr>
                <m:t>β</m:t>
              </m:r>
            </m:e>
            <m:sub>
              <m:r>
                <w:rPr>
                  <w:rFonts w:ascii="Cambria Math" w:hAnsi="Cambria Math"/>
                </w:rPr>
                <m:t>0</m:t>
              </m:r>
            </m:sub>
          </m:sSub>
          <m:r>
            <w:rPr>
              <w:rFonts w:ascii="Cambria Math" w:hAnsi="Cambria Math"/>
              <w:lang w:val="en-GB"/>
            </w:rPr>
            <m:t>+</m:t>
          </m:r>
          <m:sSub>
            <m:sSubPr>
              <m:ctrlPr>
                <w:rPr>
                  <w:rFonts w:ascii="Cambria Math" w:hAnsi="Cambria Math"/>
                  <w:i/>
                  <w:iCs/>
                </w:rPr>
              </m:ctrlPr>
            </m:sSubPr>
            <m:e>
              <m:r>
                <w:rPr>
                  <w:rFonts w:ascii="Cambria Math" w:hAnsi="Cambria Math"/>
                  <w:lang w:val="el-GR"/>
                </w:rPr>
                <m:t>β</m:t>
              </m:r>
            </m:e>
            <m:sub>
              <m:r>
                <w:rPr>
                  <w:rFonts w:ascii="Cambria Math" w:hAnsi="Cambria Math"/>
                </w:rPr>
                <m:t>d</m:t>
              </m:r>
            </m:sub>
          </m:sSub>
          <m:r>
            <w:rPr>
              <w:rFonts w:ascii="Cambria Math" w:hAnsi="Cambria Math"/>
            </w:rPr>
            <m:t>∙x</m:t>
          </m:r>
          <m:r>
            <w:rPr>
              <w:rFonts w:ascii="Cambria Math" w:hAnsi="Cambria Math"/>
              <w:lang w:val="en-GB"/>
            </w:rPr>
            <m:t>+</m:t>
          </m:r>
          <m:sSub>
            <m:sSubPr>
              <m:ctrlPr>
                <w:rPr>
                  <w:rFonts w:ascii="Cambria Math" w:hAnsi="Cambria Math"/>
                  <w:i/>
                  <w:iCs/>
                </w:rPr>
              </m:ctrlPr>
            </m:sSubPr>
            <m:e>
              <m:r>
                <w:rPr>
                  <w:rFonts w:ascii="Cambria Math" w:hAnsi="Cambria Math"/>
                  <w:lang w:val="en-GB"/>
                </w:rPr>
                <m:t>u</m:t>
              </m:r>
            </m:e>
            <m:sub>
              <m:r>
                <w:rPr>
                  <w:rFonts w:ascii="Cambria Math" w:hAnsi="Cambria Math"/>
                </w:rPr>
                <m:t>pathoge</m:t>
              </m:r>
              <m:sSub>
                <m:sSubPr>
                  <m:ctrlPr>
                    <w:rPr>
                      <w:rFonts w:ascii="Cambria Math" w:hAnsi="Cambria Math"/>
                      <w:i/>
                      <w:iCs/>
                    </w:rPr>
                  </m:ctrlPr>
                </m:sSubPr>
                <m:e>
                  <m:r>
                    <w:rPr>
                      <w:rFonts w:ascii="Cambria Math" w:hAnsi="Cambria Math"/>
                    </w:rPr>
                    <m:t>n</m:t>
                  </m:r>
                </m:e>
                <m:sub>
                  <m:r>
                    <w:rPr>
                      <w:rFonts w:ascii="Cambria Math" w:hAnsi="Cambria Math"/>
                    </w:rPr>
                    <m:t>n</m:t>
                  </m:r>
                </m:sub>
              </m:sSub>
            </m:sub>
          </m:sSub>
          <m:r>
            <w:rPr>
              <w:rFonts w:ascii="Cambria Math" w:hAnsi="Cambria Math"/>
              <w:lang w:val="en-GB"/>
            </w:rPr>
            <m:t>+</m:t>
          </m:r>
          <m:sSub>
            <m:sSubPr>
              <m:ctrlPr>
                <w:rPr>
                  <w:rFonts w:ascii="Cambria Math" w:hAnsi="Cambria Math"/>
                  <w:i/>
                  <w:iCs/>
                </w:rPr>
              </m:ctrlPr>
            </m:sSubPr>
            <m:e>
              <m:r>
                <w:rPr>
                  <w:rFonts w:ascii="Cambria Math" w:hAnsi="Cambria Math"/>
                  <w:lang w:val="el-GR"/>
                </w:rPr>
                <m:t>ϵ</m:t>
              </m:r>
            </m:e>
            <m:sub>
              <m:r>
                <w:rPr>
                  <w:rFonts w:ascii="Cambria Math" w:hAnsi="Cambria Math"/>
                </w:rPr>
                <m:t>d</m:t>
              </m:r>
            </m:sub>
          </m:sSub>
          <m:r>
            <w:rPr>
              <w:rFonts w:ascii="Cambria Math" w:hAnsi="Cambria Math"/>
            </w:rPr>
            <m:t xml:space="preserve">                                           (3.6.2.1)</m:t>
          </m:r>
        </m:oMath>
      </m:oMathPara>
    </w:p>
    <w:p w14:paraId="2364BE60" w14:textId="77777777" w:rsidR="000F4642" w:rsidRPr="005D2363" w:rsidRDefault="000F4642" w:rsidP="000F4642">
      <w:pPr>
        <w:rPr>
          <w:rFonts w:cs="Times New Roman"/>
          <w:szCs w:val="20"/>
        </w:rPr>
      </w:pPr>
      <w:r w:rsidRPr="005D2363">
        <w:rPr>
          <w:rFonts w:eastAsiaTheme="minorEastAsia" w:cs="Times New Roman"/>
          <w:szCs w:val="20"/>
        </w:rPr>
        <w:t xml:space="preserve">Where </w:t>
      </w:r>
      <m:oMath>
        <m:r>
          <w:rPr>
            <w:rFonts w:ascii="Cambria Math" w:hAnsi="Cambria Math" w:cs="Times New Roman"/>
            <w:szCs w:val="20"/>
          </w:rPr>
          <m:t>x</m:t>
        </m:r>
      </m:oMath>
      <w:r w:rsidRPr="005D2363">
        <w:rPr>
          <w:rFonts w:cs="Times New Roman"/>
          <w:szCs w:val="20"/>
          <w:lang w:val="en-GB"/>
        </w:rPr>
        <w:t xml:space="preserve"> is a bias covariate, </w:t>
      </w:r>
      <m:oMath>
        <m:sSub>
          <m:sSubPr>
            <m:ctrlPr>
              <w:rPr>
                <w:rFonts w:ascii="Cambria Math" w:hAnsi="Cambria Math" w:cs="Times New Roman"/>
                <w:i/>
                <w:iCs/>
                <w:szCs w:val="20"/>
              </w:rPr>
            </m:ctrlPr>
          </m:sSubPr>
          <m:e>
            <m:r>
              <w:rPr>
                <w:rFonts w:ascii="Cambria Math" w:hAnsi="Cambria Math" w:cs="Times New Roman"/>
                <w:szCs w:val="20"/>
                <w:lang w:val="en-GB"/>
              </w:rPr>
              <m:t>u</m:t>
            </m:r>
          </m:e>
          <m:sub>
            <m:r>
              <w:rPr>
                <w:rFonts w:ascii="Cambria Math" w:hAnsi="Cambria Math" w:cs="Times New Roman"/>
                <w:szCs w:val="20"/>
              </w:rPr>
              <m:t>pathoge</m:t>
            </m:r>
            <m:sSub>
              <m:sSubPr>
                <m:ctrlPr>
                  <w:rPr>
                    <w:rFonts w:ascii="Cambria Math" w:hAnsi="Cambria Math" w:cs="Times New Roman"/>
                    <w:i/>
                    <w:iCs/>
                    <w:szCs w:val="20"/>
                  </w:rPr>
                </m:ctrlPr>
              </m:sSubPr>
              <m:e>
                <m:r>
                  <w:rPr>
                    <w:rFonts w:ascii="Cambria Math" w:hAnsi="Cambria Math" w:cs="Times New Roman"/>
                    <w:szCs w:val="20"/>
                  </w:rPr>
                  <m:t>n</m:t>
                </m:r>
              </m:e>
              <m:sub>
                <m:r>
                  <w:rPr>
                    <w:rFonts w:ascii="Cambria Math" w:hAnsi="Cambria Math" w:cs="Times New Roman"/>
                    <w:szCs w:val="20"/>
                  </w:rPr>
                  <m:t>n</m:t>
                </m:r>
              </m:sub>
            </m:sSub>
          </m:sub>
        </m:sSub>
      </m:oMath>
      <w:r w:rsidRPr="005D2363">
        <w:rPr>
          <w:rFonts w:eastAsiaTheme="minorEastAsia" w:cs="Times New Roman"/>
          <w:iCs/>
          <w:szCs w:val="20"/>
        </w:rPr>
        <w:t>is a</w:t>
      </w:r>
      <w:r w:rsidRPr="005D2363">
        <w:rPr>
          <w:rFonts w:cs="Times New Roman"/>
          <w:szCs w:val="20"/>
          <w:lang w:val="en-GB"/>
        </w:rPr>
        <w:t xml:space="preserve"> random effect for pathogen </w:t>
      </w:r>
      <w:r w:rsidRPr="005D2363">
        <w:rPr>
          <w:rFonts w:cs="Times New Roman"/>
          <w:i/>
          <w:iCs/>
          <w:szCs w:val="20"/>
          <w:lang w:val="en-GB"/>
        </w:rPr>
        <w:t xml:space="preserve">n </w:t>
      </w:r>
      <w:r w:rsidRPr="005D2363">
        <w:rPr>
          <w:rFonts w:cs="Times New Roman"/>
          <w:szCs w:val="20"/>
          <w:lang w:val="en-GB"/>
        </w:rPr>
        <w:t>within an antibiotic class,</w:t>
      </w:r>
      <w:r w:rsidRPr="005D2363">
        <w:rPr>
          <w:rFonts w:cs="Times New Roman"/>
          <w:szCs w:val="20"/>
        </w:rPr>
        <w:t xml:space="preserve"> </w:t>
      </w:r>
      <m:oMath>
        <m:sSub>
          <m:sSubPr>
            <m:ctrlPr>
              <w:rPr>
                <w:rFonts w:ascii="Cambria Math" w:hAnsi="Cambria Math" w:cs="Times New Roman"/>
                <w:i/>
                <w:iCs/>
                <w:szCs w:val="20"/>
              </w:rPr>
            </m:ctrlPr>
          </m:sSubPr>
          <m:e>
            <m:r>
              <w:rPr>
                <w:rFonts w:ascii="Cambria Math" w:hAnsi="Cambria Math" w:cs="Times New Roman"/>
                <w:szCs w:val="20"/>
                <w:lang w:val="el-GR"/>
              </w:rPr>
              <m:t>ϵ</m:t>
            </m:r>
          </m:e>
          <m:sub>
            <m:r>
              <w:rPr>
                <w:rFonts w:ascii="Cambria Math" w:hAnsi="Cambria Math" w:cs="Times New Roman"/>
                <w:szCs w:val="20"/>
              </w:rPr>
              <m:t>K</m:t>
            </m:r>
          </m:sub>
        </m:sSub>
        <m:r>
          <m:rPr>
            <m:sty m:val="p"/>
          </m:rPr>
          <w:rPr>
            <w:rFonts w:ascii="Cambria Math" w:hAnsi="Cambria Math" w:cs="Times New Roman"/>
            <w:szCs w:val="20"/>
            <w:lang w:val="en-GB"/>
          </w:rPr>
          <m:t xml:space="preserve"> is the </m:t>
        </m:r>
      </m:oMath>
      <w:r w:rsidRPr="005D2363">
        <w:rPr>
          <w:rFonts w:cs="Times New Roman"/>
          <w:szCs w:val="20"/>
          <w:lang w:val="en-GB"/>
        </w:rPr>
        <w:t xml:space="preserve">measurement error, d is antibiotic class and </w:t>
      </w:r>
      <m:oMath>
        <m:r>
          <w:rPr>
            <w:rFonts w:ascii="Cambria Math" w:hAnsi="Cambria Math" w:cs="Times New Roman"/>
            <w:szCs w:val="20"/>
          </w:rPr>
          <m:t>β</m:t>
        </m:r>
      </m:oMath>
      <w:r w:rsidRPr="005D2363">
        <w:rPr>
          <w:rFonts w:cs="Times New Roman"/>
          <w:szCs w:val="20"/>
        </w:rPr>
        <w:t xml:space="preserve"> and </w:t>
      </w:r>
      <m:oMath>
        <m:r>
          <w:rPr>
            <w:rFonts w:ascii="Cambria Math" w:hAnsi="Cambria Math" w:cs="Times New Roman"/>
            <w:szCs w:val="20"/>
          </w:rPr>
          <m:t>X</m:t>
        </m:r>
      </m:oMath>
      <w:r w:rsidRPr="005D2363">
        <w:rPr>
          <w:rFonts w:cs="Times New Roman"/>
          <w:szCs w:val="20"/>
        </w:rPr>
        <w:t xml:space="preserve"> are vectors of length </w:t>
      </w:r>
      <m:oMath>
        <m:r>
          <w:rPr>
            <w:rFonts w:ascii="Cambria Math" w:hAnsi="Cambria Math" w:cs="Times New Roman"/>
            <w:szCs w:val="20"/>
          </w:rPr>
          <m:t>i+1</m:t>
        </m:r>
      </m:oMath>
      <w:r w:rsidRPr="005D2363">
        <w:rPr>
          <w:rFonts w:cs="Times New Roman"/>
          <w:szCs w:val="20"/>
        </w:rPr>
        <w:t xml:space="preserve"> for </w:t>
      </w:r>
      <m:oMath>
        <m:r>
          <w:rPr>
            <w:rFonts w:ascii="Cambria Math" w:hAnsi="Cambria Math" w:cs="Times New Roman"/>
            <w:szCs w:val="20"/>
          </w:rPr>
          <m:t>i</m:t>
        </m:r>
      </m:oMath>
      <w:r w:rsidRPr="005D2363">
        <w:rPr>
          <w:rFonts w:cs="Times New Roman"/>
          <w:szCs w:val="20"/>
        </w:rPr>
        <w:t xml:space="preserve"> covariates. From this stage two model, we produced 1000 draws to estimate the relative risk of death and uncertainty attributable to resistance for each pathogen–drug combination.</w:t>
      </w:r>
    </w:p>
    <w:p w14:paraId="6AE833F3" w14:textId="77777777" w:rsidR="000F4642" w:rsidRPr="005D2363" w:rsidRDefault="000F4642" w:rsidP="000F4642">
      <w:pPr>
        <w:rPr>
          <w:rFonts w:cs="Times New Roman"/>
          <w:szCs w:val="20"/>
        </w:rPr>
      </w:pPr>
      <w:r w:rsidRPr="005D2363">
        <w:rPr>
          <w:rFonts w:cs="Times New Roman"/>
          <w:szCs w:val="20"/>
        </w:rPr>
        <w:lastRenderedPageBreak/>
        <w:t xml:space="preserve">For non-fatal burden estimation, we estimated the excess duration attributable to resistance – comparing the length of hospital stay for an infection with a pathogen resistant to the antibiotic of interest to an infection of the same site with the same organism that was susceptible to the antibiotic of interest. For community-acquired infections the entire duration of length of stay was attributed to the infection, whereas for hospital-acquired infections we used the time from first positive culture to time of discharge to estimate length of stay. To address the potential confounding effect of longer admissions resulting in higher probability of acquiring resistant infections, we adjusted the relative length of stay obtained from patient level data for the number of hospital days prior to culture positivity. We observed a generally lower relative length of stay when we applied this adjustment, which was expected. </w:t>
      </w:r>
      <w:r w:rsidRPr="005D2363">
        <w:rPr>
          <w:rFonts w:cs="Times New Roman"/>
          <w:szCs w:val="20"/>
          <w:lang w:val="en-GB"/>
        </w:rPr>
        <w:t xml:space="preserve">We then used the same two-stage nested mixed effects meta-regression modelling framework described for fatal estimation to produce a relative length of stay attributable to resistance for each pathogen–drug combination. One exception to this estimation process was </w:t>
      </w:r>
      <w:r w:rsidRPr="005D2363">
        <w:rPr>
          <w:rFonts w:cs="Times New Roman"/>
          <w:i/>
          <w:iCs/>
          <w:szCs w:val="20"/>
          <w:lang w:val="en-GB"/>
        </w:rPr>
        <w:t>Neisseria gonorrhoeae</w:t>
      </w:r>
      <w:r w:rsidRPr="005D2363">
        <w:rPr>
          <w:rFonts w:cs="Times New Roman"/>
          <w:szCs w:val="20"/>
          <w:lang w:val="en-GB"/>
        </w:rPr>
        <w:t>,</w:t>
      </w:r>
      <w:r w:rsidRPr="005D2363">
        <w:rPr>
          <w:rFonts w:cs="Times New Roman"/>
          <w:i/>
          <w:iCs/>
          <w:szCs w:val="20"/>
          <w:lang w:val="en-GB"/>
        </w:rPr>
        <w:t xml:space="preserve"> </w:t>
      </w:r>
      <w:r w:rsidRPr="005D2363">
        <w:rPr>
          <w:rFonts w:cs="Times New Roman"/>
          <w:szCs w:val="20"/>
          <w:lang w:val="en-GB"/>
        </w:rPr>
        <w:t>which had too little data to produce an estimate on the impact of resistance on duration of illness. As a result, we produced a YLD estimate based on the excess duration of illness for a given antibiotic class.</w:t>
      </w:r>
    </w:p>
    <w:p w14:paraId="4414A3B4" w14:textId="00B27BBA" w:rsidR="000F4642" w:rsidRPr="005D2363" w:rsidRDefault="000F4642" w:rsidP="000F4642">
      <w:pPr>
        <w:rPr>
          <w:rFonts w:cs="Times New Roman"/>
          <w:szCs w:val="20"/>
          <w:lang w:val="en-GB"/>
        </w:rPr>
      </w:pPr>
      <w:r w:rsidRPr="005D2363">
        <w:rPr>
          <w:rFonts w:cs="Times New Roman"/>
          <w:szCs w:val="20"/>
          <w:lang w:val="en-GB"/>
        </w:rPr>
        <w:t xml:space="preserve">The analysis of relative risk followed the definitions of the prevalence of resistance step (section 3.5) as closely as possible. Both analyses identified resistance to a given antibiotics class if the isolate had an intermediate or resistant interpretation to any one of the antibiotics in that given class. But the analysis of relative risk diverged from the analysis of prevalence of resistance in the following circumstances. First, the relative risk step included molecular resistance testing if this was the only data provided by a study, </w:t>
      </w:r>
      <w:proofErr w:type="spellStart"/>
      <w:r w:rsidRPr="005D2363">
        <w:rPr>
          <w:rFonts w:cs="Times New Roman"/>
          <w:szCs w:val="20"/>
          <w:lang w:val="en-GB"/>
        </w:rPr>
        <w:t>eg</w:t>
      </w:r>
      <w:proofErr w:type="spellEnd"/>
      <w:r w:rsidRPr="005D2363">
        <w:rPr>
          <w:rFonts w:cs="Times New Roman"/>
          <w:szCs w:val="20"/>
          <w:lang w:val="en-GB"/>
        </w:rPr>
        <w:t xml:space="preserve">, β-lactamase or </w:t>
      </w:r>
      <w:proofErr w:type="spellStart"/>
      <w:r w:rsidRPr="005D2363">
        <w:rPr>
          <w:rFonts w:cs="Times New Roman"/>
          <w:i/>
          <w:iCs/>
          <w:szCs w:val="20"/>
          <w:lang w:val="en-GB"/>
        </w:rPr>
        <w:t>mecA</w:t>
      </w:r>
      <w:proofErr w:type="spellEnd"/>
      <w:r w:rsidRPr="005D2363">
        <w:rPr>
          <w:rFonts w:cs="Times New Roman"/>
          <w:szCs w:val="20"/>
          <w:lang w:val="en-GB"/>
        </w:rPr>
        <w:t xml:space="preserve"> positive pathogens; this could potentially misclassify some resistant organisms as sensitive if they had an alternate mechanism for resistance, such as a porin alteration leading to carbapenem resistance. Second, the relative risk estimate produced was for sterile sites of infection, as there was limited data from non-sterile sites. Third, it was not possible to assess relative risk of multidrug-resistant pathogens because of limited data availability and because it did not fit in the modelling strategy at the antibiotic class level. Instead, the relative risk of each of the components of multidrug-resistant pathogens was calculated and the antibiotic class with the highest relative risk was used; for </w:t>
      </w:r>
      <w:r w:rsidRPr="005D2363">
        <w:rPr>
          <w:rFonts w:cs="Times New Roman"/>
          <w:i/>
          <w:iCs/>
          <w:szCs w:val="20"/>
          <w:lang w:val="en-GB"/>
        </w:rPr>
        <w:t xml:space="preserve">Salmonella </w:t>
      </w:r>
      <w:r w:rsidRPr="005D2363">
        <w:rPr>
          <w:rFonts w:cs="Times New Roman"/>
          <w:szCs w:val="20"/>
          <w:lang w:val="en-GB"/>
        </w:rPr>
        <w:t>Typhi this was relative risk to Trimethoprim-</w:t>
      </w:r>
      <w:proofErr w:type="spellStart"/>
      <w:r w:rsidRPr="005D2363">
        <w:rPr>
          <w:rFonts w:cs="Times New Roman"/>
          <w:szCs w:val="20"/>
          <w:lang w:val="en-GB"/>
        </w:rPr>
        <w:t>Suflamethoxazole</w:t>
      </w:r>
      <w:proofErr w:type="spellEnd"/>
      <w:r w:rsidRPr="005D2363">
        <w:rPr>
          <w:rFonts w:cs="Times New Roman"/>
          <w:szCs w:val="20"/>
          <w:lang w:val="en-GB"/>
        </w:rPr>
        <w:t xml:space="preserve">. Fourth, we had limited availability of data on fatalities attributable to </w:t>
      </w:r>
      <w:r w:rsidRPr="005D2363">
        <w:rPr>
          <w:rFonts w:cs="Times New Roman"/>
          <w:i/>
          <w:iCs/>
          <w:szCs w:val="20"/>
          <w:lang w:val="en-GB"/>
        </w:rPr>
        <w:t>Salmonella</w:t>
      </w:r>
      <w:r w:rsidRPr="005D2363">
        <w:rPr>
          <w:rFonts w:cs="Times New Roman"/>
          <w:szCs w:val="20"/>
          <w:lang w:val="en-GB"/>
        </w:rPr>
        <w:t xml:space="preserve"> </w:t>
      </w:r>
      <w:proofErr w:type="spellStart"/>
      <w:r w:rsidRPr="005D2363">
        <w:rPr>
          <w:rFonts w:cs="Times New Roman"/>
          <w:szCs w:val="20"/>
          <w:lang w:val="en-GB"/>
        </w:rPr>
        <w:t>Paratyphi</w:t>
      </w:r>
      <w:proofErr w:type="spellEnd"/>
      <w:r w:rsidRPr="005D2363">
        <w:rPr>
          <w:rFonts w:cs="Times New Roman"/>
          <w:szCs w:val="20"/>
          <w:lang w:val="en-GB"/>
        </w:rPr>
        <w:t xml:space="preserve"> and </w:t>
      </w:r>
      <w:r w:rsidRPr="005D2363">
        <w:rPr>
          <w:rFonts w:cs="Times New Roman"/>
          <w:i/>
          <w:iCs/>
          <w:szCs w:val="20"/>
          <w:lang w:val="en-GB"/>
        </w:rPr>
        <w:t xml:space="preserve">Shigella </w:t>
      </w:r>
      <w:r w:rsidRPr="005D2363">
        <w:rPr>
          <w:rFonts w:cs="Times New Roman"/>
          <w:szCs w:val="20"/>
          <w:lang w:val="en-GB"/>
        </w:rPr>
        <w:t xml:space="preserve">species; as a result, we used fatal relative risk estimates from </w:t>
      </w:r>
      <w:r w:rsidRPr="005D2363">
        <w:rPr>
          <w:rFonts w:cs="Times New Roman"/>
          <w:i/>
          <w:iCs/>
          <w:szCs w:val="20"/>
          <w:lang w:val="en-GB"/>
        </w:rPr>
        <w:t>Salmonella</w:t>
      </w:r>
      <w:r w:rsidRPr="005D2363">
        <w:rPr>
          <w:rFonts w:cs="Times New Roman"/>
          <w:szCs w:val="20"/>
          <w:lang w:val="en-GB"/>
        </w:rPr>
        <w:t xml:space="preserve"> Typhi as a proxy. Fifth, there were limited data on fatalities attributable to resistant </w:t>
      </w:r>
      <w:r w:rsidRPr="005D2363">
        <w:rPr>
          <w:rFonts w:cs="Times New Roman"/>
          <w:i/>
          <w:iCs/>
          <w:szCs w:val="20"/>
          <w:lang w:val="en-GB"/>
        </w:rPr>
        <w:t>N. gonorrhoeae,</w:t>
      </w:r>
      <w:r w:rsidRPr="005D2363">
        <w:rPr>
          <w:rFonts w:cs="Times New Roman"/>
          <w:szCs w:val="20"/>
          <w:lang w:val="en-GB"/>
        </w:rPr>
        <w:t xml:space="preserve"> so we excluded the fatal estimate for this pathogen. Finally, the relative risk of </w:t>
      </w:r>
      <w:r w:rsidRPr="005D2363">
        <w:rPr>
          <w:rFonts w:cs="Times New Roman"/>
          <w:i/>
          <w:iCs/>
          <w:szCs w:val="20"/>
          <w:lang w:val="en-GB"/>
        </w:rPr>
        <w:t>Mycobacterium tuberculosis</w:t>
      </w:r>
      <w:r w:rsidRPr="005D2363">
        <w:rPr>
          <w:rFonts w:cs="Times New Roman"/>
          <w:szCs w:val="20"/>
          <w:lang w:val="en-GB"/>
        </w:rPr>
        <w:t xml:space="preserve"> was assessed for multidrug and extensively drug-resistant infections as reported previously in GBD. Estimates of relative risk of death for sterile sources of specimen across 88 pathogen–drug combinations can be viewed in </w:t>
      </w:r>
      <w:r w:rsidRPr="005D2363">
        <w:rPr>
          <w:rFonts w:cs="Times New Roman"/>
          <w:szCs w:val="20"/>
        </w:rPr>
        <w:t>the appendix of Murray et al. (2022).</w:t>
      </w:r>
      <w:r w:rsidRPr="005D2363">
        <w:rPr>
          <w:rFonts w:cs="Times New Roman"/>
          <w:color w:val="2B579A"/>
          <w:szCs w:val="20"/>
          <w:shd w:val="clear" w:color="auto" w:fill="E6E6E6"/>
        </w:rPr>
        <w:fldChar w:fldCharType="begin"/>
      </w:r>
      <w:r w:rsidRPr="005D2363">
        <w:rPr>
          <w:rFonts w:cs="Times New Roman"/>
          <w:szCs w:val="20"/>
        </w:rPr>
        <w:instrText xml:space="preserve"> ADDIN ZOTERO_ITEM CSL_CITATION {"citationID":"YP8sQwd5","properties":{"formattedCitation":"\\super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1</w:t>
      </w:r>
      <w:r w:rsidRPr="005D2363">
        <w:rPr>
          <w:rFonts w:cs="Times New Roman"/>
          <w:color w:val="2B579A"/>
          <w:szCs w:val="20"/>
          <w:shd w:val="clear" w:color="auto" w:fill="E6E6E6"/>
        </w:rPr>
        <w:fldChar w:fldCharType="end"/>
      </w:r>
      <w:r w:rsidRPr="005D2363">
        <w:rPr>
          <w:rFonts w:cs="Times New Roman"/>
          <w:szCs w:val="20"/>
          <w:lang w:val="en-GB"/>
        </w:rPr>
        <w:t xml:space="preserve"> </w:t>
      </w:r>
    </w:p>
    <w:p w14:paraId="087D8BAB" w14:textId="77777777" w:rsidR="00217EF7" w:rsidRDefault="00217EF7" w:rsidP="00D7626E">
      <w:pPr>
        <w:spacing w:after="0"/>
        <w:rPr>
          <w:rFonts w:eastAsiaTheme="majorEastAsia" w:cstheme="majorBidi"/>
          <w:i/>
          <w:color w:val="1F4D78" w:themeColor="accent1" w:themeShade="7F"/>
          <w:szCs w:val="24"/>
        </w:rPr>
      </w:pPr>
    </w:p>
    <w:p w14:paraId="36A8280A" w14:textId="2CC810A5"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3.6.3: Model validation</w:t>
      </w:r>
    </w:p>
    <w:p w14:paraId="059A212B" w14:textId="597989A4" w:rsidR="000F4642" w:rsidRPr="005D2363" w:rsidRDefault="736DA5B5" w:rsidP="24AC020F">
      <w:pPr>
        <w:rPr>
          <w:rFonts w:cs="Times New Roman"/>
          <w:vertAlign w:val="superscript"/>
        </w:rPr>
      </w:pPr>
      <w:r w:rsidRPr="24AC020F">
        <w:rPr>
          <w:rFonts w:cs="Times New Roman"/>
        </w:rPr>
        <w:t xml:space="preserve">We report three summary metrics to evaluate the relative risk of death models: the root-mean squared error (RMSE), the Mean Average Error (MAE) and the percent coverage of observed data within the full variance of the model. These three metrics were calculated using the real relative risk ratio in the whole sample of data and also by holding out 25% of the sample within antibiotic class in 4 iterations. </w:t>
      </w:r>
      <w:r w:rsidR="000F4642" w:rsidRPr="24AC020F">
        <w:rPr>
          <w:rFonts w:cs="Times New Roman"/>
          <w:color w:val="2B579A"/>
        </w:rPr>
        <w:fldChar w:fldCharType="begin"/>
      </w:r>
      <w:r w:rsidR="000F4642" w:rsidRPr="24AC020F">
        <w:rPr>
          <w:rFonts w:cs="Times New Roman"/>
        </w:rPr>
        <w:instrText xml:space="preserve"> ADDIN ZOTERO_ITEM CSL_CITATION {"citationID":"ueSE16ou","properties":{"formattedCitation":"\\super 1\\nosupersub{}","plainCitation":"1","noteIndex":0},"citationItems":[{"id":112701,"uris":["http://zotero.org/groups/2154524/items/9L2ST2J6"],"itemData":{"id":112701,"type":"article-journal","container-title":"The Lancet","DOI":"10.1016/S0140-6736(21)02724-0","ISSN":"0140-6736, 1474-547X","issue":"10325","journalAbbreviation":"The Lancet","language":"English","note":"publisher: Elsevier\nPMID: 35065702","page":"629-655","source":"www.thelancet.com","title":"Global burden of bacterial antimicrobial resistance in 2019: a systematic analysis","title-short":"Global burden of bacterial antimicrobial resistance in 2019","volume":"399","author":[{"literal":"Antimicrobial Resistance Collaborators"}],"issued":{"date-parts":[["2022",2,12]]}}}],"schema":"https://github.com/citation-style-language/schema/raw/master/csl-citation.json"} </w:instrText>
      </w:r>
      <w:r w:rsidR="000F4642" w:rsidRPr="24AC020F">
        <w:rPr>
          <w:rFonts w:cs="Times New Roman"/>
          <w:color w:val="2B579A"/>
        </w:rPr>
        <w:fldChar w:fldCharType="separate"/>
      </w:r>
      <w:r w:rsidR="00BE32E5" w:rsidRPr="00BE32E5">
        <w:rPr>
          <w:rFonts w:cs="Times New Roman"/>
          <w:szCs w:val="24"/>
          <w:vertAlign w:val="superscript"/>
        </w:rPr>
        <w:t>1</w:t>
      </w:r>
      <w:r w:rsidR="000F4642" w:rsidRPr="24AC020F">
        <w:rPr>
          <w:rFonts w:cs="Times New Roman"/>
          <w:color w:val="2B579A"/>
        </w:rPr>
        <w:fldChar w:fldCharType="end"/>
      </w:r>
    </w:p>
    <w:p w14:paraId="0C9A8D7A" w14:textId="5C5E8A9F" w:rsidR="455E28B4" w:rsidRPr="004F5186" w:rsidRDefault="455E28B4" w:rsidP="004F5186">
      <w:pPr>
        <w:spacing w:after="0"/>
        <w:rPr>
          <w:rFonts w:eastAsiaTheme="majorEastAsia" w:cstheme="majorBidi"/>
          <w:i/>
          <w:color w:val="1F4D78" w:themeColor="accent1" w:themeShade="7F"/>
          <w:szCs w:val="24"/>
        </w:rPr>
      </w:pPr>
      <w:r w:rsidRPr="004F5186">
        <w:rPr>
          <w:rFonts w:eastAsiaTheme="majorEastAsia" w:cstheme="majorBidi"/>
          <w:i/>
          <w:color w:val="1F4D78" w:themeColor="accent1" w:themeShade="7F"/>
          <w:szCs w:val="24"/>
        </w:rPr>
        <w:t xml:space="preserve">Table </w:t>
      </w:r>
      <w:r w:rsidR="004C273B">
        <w:rPr>
          <w:rFonts w:eastAsiaTheme="majorEastAsia" w:cstheme="majorBidi"/>
          <w:i/>
          <w:color w:val="1F4D78" w:themeColor="accent1" w:themeShade="7F"/>
          <w:szCs w:val="24"/>
        </w:rPr>
        <w:t>3.6.3.1</w:t>
      </w:r>
      <w:r w:rsidRPr="004F5186">
        <w:rPr>
          <w:rFonts w:eastAsiaTheme="majorEastAsia" w:cstheme="majorBidi"/>
          <w:i/>
          <w:color w:val="1F4D78" w:themeColor="accent1" w:themeShade="7F"/>
          <w:szCs w:val="24"/>
        </w:rPr>
        <w:t xml:space="preserve">: In-sample and out-of-sample performance metrics for relative risk of death models </w:t>
      </w:r>
    </w:p>
    <w:tbl>
      <w:tblPr>
        <w:tblW w:w="0" w:type="auto"/>
        <w:tblLayout w:type="fixed"/>
        <w:tblLook w:val="04A0" w:firstRow="1" w:lastRow="0" w:firstColumn="1" w:lastColumn="0" w:noHBand="0" w:noVBand="1"/>
      </w:tblPr>
      <w:tblGrid>
        <w:gridCol w:w="3885"/>
        <w:gridCol w:w="915"/>
        <w:gridCol w:w="855"/>
        <w:gridCol w:w="780"/>
        <w:gridCol w:w="1095"/>
        <w:gridCol w:w="780"/>
        <w:gridCol w:w="990"/>
      </w:tblGrid>
      <w:tr w:rsidR="24AC020F" w14:paraId="457B6623" w14:textId="77777777" w:rsidTr="24AC020F">
        <w:trPr>
          <w:trHeight w:val="300"/>
        </w:trPr>
        <w:tc>
          <w:tcPr>
            <w:tcW w:w="3885" w:type="dxa"/>
            <w:vMerge w:val="restart"/>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1934647E" w14:textId="3C47F16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Antibiotic class</w:t>
            </w:r>
          </w:p>
        </w:tc>
        <w:tc>
          <w:tcPr>
            <w:tcW w:w="1770" w:type="dxa"/>
            <w:gridSpan w:val="2"/>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10E93BE2" w14:textId="28ED69C8"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MAE</w:t>
            </w:r>
          </w:p>
        </w:tc>
        <w:tc>
          <w:tcPr>
            <w:tcW w:w="1875" w:type="dxa"/>
            <w:gridSpan w:val="2"/>
            <w:tcBorders>
              <w:top w:val="single" w:sz="6" w:space="0" w:color="auto"/>
              <w:left w:val="nil"/>
              <w:bottom w:val="single" w:sz="6" w:space="0" w:color="auto"/>
              <w:right w:val="single" w:sz="6" w:space="0" w:color="auto"/>
            </w:tcBorders>
            <w:shd w:val="clear" w:color="auto" w:fill="E7E6E6" w:themeFill="background2"/>
            <w:tcMar>
              <w:left w:w="105" w:type="dxa"/>
              <w:right w:w="105" w:type="dxa"/>
            </w:tcMar>
            <w:vAlign w:val="center"/>
          </w:tcPr>
          <w:p w14:paraId="71D383BC" w14:textId="3E5B0E9D"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RMSE</w:t>
            </w:r>
          </w:p>
        </w:tc>
        <w:tc>
          <w:tcPr>
            <w:tcW w:w="1770" w:type="dxa"/>
            <w:gridSpan w:val="2"/>
            <w:tcBorders>
              <w:top w:val="single" w:sz="6" w:space="0" w:color="auto"/>
              <w:left w:val="nil"/>
              <w:bottom w:val="single" w:sz="6" w:space="0" w:color="auto"/>
              <w:right w:val="single" w:sz="6" w:space="0" w:color="auto"/>
            </w:tcBorders>
            <w:shd w:val="clear" w:color="auto" w:fill="E7E6E6" w:themeFill="background2"/>
            <w:tcMar>
              <w:left w:w="105" w:type="dxa"/>
              <w:right w:w="105" w:type="dxa"/>
            </w:tcMar>
            <w:vAlign w:val="center"/>
          </w:tcPr>
          <w:p w14:paraId="1840DC5D" w14:textId="0A18432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Coverage</w:t>
            </w:r>
          </w:p>
        </w:tc>
      </w:tr>
      <w:tr w:rsidR="24AC020F" w14:paraId="1A765382" w14:textId="77777777" w:rsidTr="24AC020F">
        <w:trPr>
          <w:trHeight w:val="300"/>
        </w:trPr>
        <w:tc>
          <w:tcPr>
            <w:tcW w:w="3885" w:type="dxa"/>
            <w:vMerge/>
            <w:tcBorders>
              <w:left w:val="single" w:sz="0" w:space="0" w:color="auto"/>
              <w:bottom w:val="single" w:sz="0" w:space="0" w:color="auto"/>
              <w:right w:val="single" w:sz="0" w:space="0" w:color="auto"/>
            </w:tcBorders>
            <w:vAlign w:val="center"/>
          </w:tcPr>
          <w:p w14:paraId="1C887D1F" w14:textId="77777777" w:rsidR="008615B9" w:rsidRDefault="008615B9"/>
        </w:tc>
        <w:tc>
          <w:tcPr>
            <w:tcW w:w="915" w:type="dxa"/>
            <w:tcBorders>
              <w:top w:val="single" w:sz="6" w:space="0" w:color="auto"/>
              <w:left w:val="nil"/>
              <w:bottom w:val="single" w:sz="6" w:space="0" w:color="auto"/>
              <w:right w:val="single" w:sz="6" w:space="0" w:color="auto"/>
            </w:tcBorders>
            <w:shd w:val="clear" w:color="auto" w:fill="E7E6E6" w:themeFill="background2"/>
            <w:tcMar>
              <w:left w:w="105" w:type="dxa"/>
              <w:right w:w="105" w:type="dxa"/>
            </w:tcMar>
            <w:vAlign w:val="bottom"/>
          </w:tcPr>
          <w:p w14:paraId="0CDF8E79" w14:textId="6255CFBD"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in-sample</w:t>
            </w:r>
          </w:p>
        </w:tc>
        <w:tc>
          <w:tcPr>
            <w:tcW w:w="855" w:type="dxa"/>
            <w:tcBorders>
              <w:top w:val="nil"/>
              <w:left w:val="single" w:sz="6" w:space="0" w:color="auto"/>
              <w:bottom w:val="single" w:sz="6" w:space="0" w:color="auto"/>
              <w:right w:val="single" w:sz="6" w:space="0" w:color="auto"/>
            </w:tcBorders>
            <w:shd w:val="clear" w:color="auto" w:fill="E7E6E6" w:themeFill="background2"/>
            <w:tcMar>
              <w:left w:w="105" w:type="dxa"/>
              <w:right w:w="105" w:type="dxa"/>
            </w:tcMar>
            <w:vAlign w:val="bottom"/>
          </w:tcPr>
          <w:p w14:paraId="2861E069" w14:textId="4A427D60"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out-of-sample</w:t>
            </w:r>
          </w:p>
        </w:tc>
        <w:tc>
          <w:tcPr>
            <w:tcW w:w="780"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bottom"/>
          </w:tcPr>
          <w:p w14:paraId="26277DE9" w14:textId="42704EAA"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in-sample</w:t>
            </w:r>
          </w:p>
        </w:tc>
        <w:tc>
          <w:tcPr>
            <w:tcW w:w="1095" w:type="dxa"/>
            <w:tcBorders>
              <w:top w:val="nil"/>
              <w:left w:val="single" w:sz="6" w:space="0" w:color="auto"/>
              <w:bottom w:val="single" w:sz="6" w:space="0" w:color="auto"/>
              <w:right w:val="single" w:sz="6" w:space="0" w:color="auto"/>
            </w:tcBorders>
            <w:shd w:val="clear" w:color="auto" w:fill="E7E6E6" w:themeFill="background2"/>
            <w:tcMar>
              <w:left w:w="105" w:type="dxa"/>
              <w:right w:w="105" w:type="dxa"/>
            </w:tcMar>
            <w:vAlign w:val="bottom"/>
          </w:tcPr>
          <w:p w14:paraId="4D8DACDD" w14:textId="0C98B339"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out-of-sample</w:t>
            </w:r>
          </w:p>
        </w:tc>
        <w:tc>
          <w:tcPr>
            <w:tcW w:w="780"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bottom"/>
          </w:tcPr>
          <w:p w14:paraId="0ACD6FC1" w14:textId="2C8D2C18"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in-sample</w:t>
            </w:r>
          </w:p>
        </w:tc>
        <w:tc>
          <w:tcPr>
            <w:tcW w:w="990" w:type="dxa"/>
            <w:tcBorders>
              <w:top w:val="nil"/>
              <w:left w:val="single" w:sz="6" w:space="0" w:color="auto"/>
              <w:bottom w:val="single" w:sz="6" w:space="0" w:color="auto"/>
              <w:right w:val="single" w:sz="6" w:space="0" w:color="auto"/>
            </w:tcBorders>
            <w:shd w:val="clear" w:color="auto" w:fill="E7E6E6" w:themeFill="background2"/>
            <w:tcMar>
              <w:left w:w="105" w:type="dxa"/>
              <w:right w:w="105" w:type="dxa"/>
            </w:tcMar>
            <w:vAlign w:val="bottom"/>
          </w:tcPr>
          <w:p w14:paraId="76D73F2F" w14:textId="0B5E91D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b/>
                <w:bCs/>
                <w:color w:val="000000" w:themeColor="text1"/>
                <w:sz w:val="16"/>
                <w:szCs w:val="16"/>
                <w:lang w:val="en-GB"/>
              </w:rPr>
              <w:t>out-of-sample</w:t>
            </w:r>
          </w:p>
        </w:tc>
      </w:tr>
      <w:tr w:rsidR="24AC020F" w14:paraId="62253C7A" w14:textId="77777777" w:rsidTr="24AC020F">
        <w:trPr>
          <w:trHeight w:val="300"/>
        </w:trPr>
        <w:tc>
          <w:tcPr>
            <w:tcW w:w="3885" w:type="dxa"/>
            <w:tcBorders>
              <w:top w:val="nil"/>
              <w:left w:val="single" w:sz="6" w:space="0" w:color="auto"/>
              <w:bottom w:val="single" w:sz="6" w:space="0" w:color="auto"/>
              <w:right w:val="single" w:sz="6" w:space="0" w:color="auto"/>
            </w:tcBorders>
            <w:tcMar>
              <w:left w:w="105" w:type="dxa"/>
              <w:right w:w="105" w:type="dxa"/>
            </w:tcMar>
            <w:vAlign w:val="bottom"/>
          </w:tcPr>
          <w:p w14:paraId="4D12A6D4" w14:textId="5AEA9708"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Vancomycin</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99F663" w14:textId="3F74408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0.71</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24935C" w14:textId="54E2519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0.65</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D7D0F3" w14:textId="13C9587A"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1.33</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9EF46C" w14:textId="2932F33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0.94</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9FFAF6" w14:textId="1A95AB9D"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82%</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4E2E3D" w14:textId="013DA3F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82%</w:t>
            </w:r>
          </w:p>
        </w:tc>
      </w:tr>
      <w:tr w:rsidR="24AC020F" w14:paraId="39C7F183"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D5516B" w14:textId="460B3104"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Fluoroquinolones</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ACDFED" w14:textId="153C1BA8"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0.73</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31FC8F" w14:textId="5BB69E20"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0.75</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14ED4" w14:textId="28E3A4DE"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1.61</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9766B7" w14:textId="5159F0DE"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1.52</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1D9E4C" w14:textId="2EE90D9E"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88%</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57171D" w14:textId="577D4FC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90%</w:t>
            </w:r>
          </w:p>
        </w:tc>
      </w:tr>
      <w:tr w:rsidR="24AC020F" w14:paraId="07421BBA"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741847" w14:textId="1886D724" w:rsidR="24AC020F" w:rsidRDefault="24AC020F" w:rsidP="24AC020F">
            <w:pPr>
              <w:spacing w:after="0" w:line="240" w:lineRule="auto"/>
              <w:rPr>
                <w:rFonts w:eastAsia="Times New Roman" w:cs="Times New Roman"/>
                <w:color w:val="000000" w:themeColor="text1"/>
                <w:sz w:val="16"/>
                <w:szCs w:val="16"/>
              </w:rPr>
            </w:pPr>
            <w:proofErr w:type="gramStart"/>
            <w:r w:rsidRPr="24AC020F">
              <w:rPr>
                <w:rFonts w:eastAsia="Times New Roman" w:cs="Times New Roman"/>
                <w:color w:val="000000" w:themeColor="text1"/>
                <w:sz w:val="16"/>
                <w:szCs w:val="16"/>
                <w:lang w:val="en-GB"/>
              </w:rPr>
              <w:t>Third-generation</w:t>
            </w:r>
            <w:proofErr w:type="gramEnd"/>
            <w:r w:rsidRPr="24AC020F">
              <w:rPr>
                <w:rFonts w:eastAsia="Times New Roman" w:cs="Times New Roman"/>
                <w:color w:val="000000" w:themeColor="text1"/>
                <w:sz w:val="16"/>
                <w:szCs w:val="16"/>
                <w:lang w:val="en-GB"/>
              </w:rPr>
              <w:t xml:space="preserve"> cephalosporins</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DFFA9C" w14:textId="359B83D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0.75</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830974" w14:textId="0CB2436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0.76</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C1056C" w14:textId="5C16EA0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1.63</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D8BEBB" w14:textId="597AE9F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1.49</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308273" w14:textId="3419EECA"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93%</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A87A2" w14:textId="7AA6BB4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93%</w:t>
            </w:r>
          </w:p>
        </w:tc>
      </w:tr>
      <w:tr w:rsidR="24AC020F" w14:paraId="6A8E51A8"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19B140" w14:textId="6E0D5DF7"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Macrolide</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26B5A" w14:textId="75ACC3F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0.71</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BCDCE6" w14:textId="1099A92E"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0.73</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9E0A46" w14:textId="3B666331"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1.25</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12D1F6" w14:textId="5B10C847"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1.24</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BE1B9" w14:textId="5B77E05D"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95%</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293DAE" w14:textId="46CF32F0"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94%</w:t>
            </w:r>
          </w:p>
        </w:tc>
      </w:tr>
      <w:tr w:rsidR="24AC020F" w14:paraId="0FF552C5"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DD9012" w14:textId="4D33AE61"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Methicillin</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805519" w14:textId="2EF6E9BC"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0.65</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7CF23A" w14:textId="79FE16FE"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0.67</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C08C0E" w14:textId="0DC148C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1.3</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A4E346" w14:textId="6B63AC5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1.13</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1D3B3E" w14:textId="4D95077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96%</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01910" w14:textId="72A4520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94%</w:t>
            </w:r>
          </w:p>
        </w:tc>
      </w:tr>
      <w:tr w:rsidR="24AC020F" w14:paraId="1C5F25F3"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93E360D" w14:textId="044EC800"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Penicillin</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AA686" w14:textId="76A2115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0.48</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C176B4" w14:textId="11BBEA31"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0.69</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BFE33F" w14:textId="66CC79C1"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0.83</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753E6F" w14:textId="2A0395A3"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0.97</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C4451E" w14:textId="74592783"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96%</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165EED" w14:textId="147C1DE4"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98%</w:t>
            </w:r>
          </w:p>
        </w:tc>
      </w:tr>
      <w:tr w:rsidR="24AC020F" w14:paraId="3826B957"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D28F4C" w14:textId="1BAE4833"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Carbapenem</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C5622" w14:textId="4D7E789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0.64</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C80FB2" w14:textId="381F00C7"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0.64</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1D2DE4" w14:textId="3F68A74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1.54</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EDCB52" w14:textId="23D71A5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1.29</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128F40" w14:textId="3D24588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98%</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1E586B" w14:textId="0F86ECA1"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97%</w:t>
            </w:r>
          </w:p>
        </w:tc>
      </w:tr>
      <w:tr w:rsidR="24AC020F" w14:paraId="408E0FCA"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82A470" w14:textId="14EFBC94"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lastRenderedPageBreak/>
              <w:t>Aminoglycosides</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2CF2B4" w14:textId="5FB40768"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0.37</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1397CF" w14:textId="3F0313B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0.41</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9519AA" w14:textId="207ABAB8"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0.61</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8CD2F" w14:textId="5F5B97E7"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0.58</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C013C1" w14:textId="777DE87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E3D6D7" w14:textId="0F3BA323"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r w:rsidR="24AC020F" w14:paraId="4DCFBB6B"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FD7ADE" w14:textId="482D0B55"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Aminopenicillin</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13E99D" w14:textId="00C193F4"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B67D1F" w14:textId="2201A009"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0.86</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885CA3" w14:textId="0A49D88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1.82</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BB2623" w14:textId="77644FA9"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1.68</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E10922" w14:textId="2B4C296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5724E1" w14:textId="119648E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r w:rsidR="24AC020F" w14:paraId="55CF51B1"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7A06C7" w14:textId="6565B206"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Anti-pseudomonal penicillin/Beta-Lactamase inhibitors</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44064D" w14:textId="229D958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0.76</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457454" w14:textId="3DC95C3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0.8</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C705E" w14:textId="2BFB57E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1.76</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535862" w14:textId="308935B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1.64</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75F224" w14:textId="54AF3B4A"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8D9997" w14:textId="2C9A8EEF"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r w:rsidR="24AC020F" w14:paraId="36FE6D5E"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8C4B24C" w14:textId="0D128D46"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s-MX"/>
              </w:rPr>
              <w:t xml:space="preserve">Beta </w:t>
            </w:r>
            <w:proofErr w:type="spellStart"/>
            <w:r w:rsidRPr="24AC020F">
              <w:rPr>
                <w:rFonts w:eastAsia="Times New Roman" w:cs="Times New Roman"/>
                <w:color w:val="000000" w:themeColor="text1"/>
                <w:sz w:val="16"/>
                <w:szCs w:val="16"/>
                <w:lang w:val="es-MX"/>
              </w:rPr>
              <w:t>Lactam</w:t>
            </w:r>
            <w:proofErr w:type="spellEnd"/>
            <w:r w:rsidRPr="24AC020F">
              <w:rPr>
                <w:rFonts w:eastAsia="Times New Roman" w:cs="Times New Roman"/>
                <w:color w:val="000000" w:themeColor="text1"/>
                <w:sz w:val="16"/>
                <w:szCs w:val="16"/>
                <w:lang w:val="es-MX"/>
              </w:rPr>
              <w:t>/Beta-</w:t>
            </w:r>
            <w:proofErr w:type="spellStart"/>
            <w:r w:rsidRPr="24AC020F">
              <w:rPr>
                <w:rFonts w:eastAsia="Times New Roman" w:cs="Times New Roman"/>
                <w:color w:val="000000" w:themeColor="text1"/>
                <w:sz w:val="16"/>
                <w:szCs w:val="16"/>
                <w:lang w:val="es-MX"/>
              </w:rPr>
              <w:t>lactamase</w:t>
            </w:r>
            <w:proofErr w:type="spellEnd"/>
            <w:r w:rsidRPr="24AC020F">
              <w:rPr>
                <w:rFonts w:eastAsia="Times New Roman" w:cs="Times New Roman"/>
                <w:color w:val="000000" w:themeColor="text1"/>
                <w:sz w:val="16"/>
                <w:szCs w:val="16"/>
                <w:lang w:val="es-MX"/>
              </w:rPr>
              <w:t xml:space="preserve"> </w:t>
            </w:r>
            <w:proofErr w:type="spellStart"/>
            <w:r w:rsidRPr="24AC020F">
              <w:rPr>
                <w:rFonts w:eastAsia="Times New Roman" w:cs="Times New Roman"/>
                <w:color w:val="000000" w:themeColor="text1"/>
                <w:sz w:val="16"/>
                <w:szCs w:val="16"/>
                <w:lang w:val="es-MX"/>
              </w:rPr>
              <w:t>inhibitors</w:t>
            </w:r>
            <w:proofErr w:type="spellEnd"/>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0044B9" w14:textId="371DD7D0"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0.36</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A49A69" w14:textId="287EACE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0.3</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7B2FA6" w14:textId="4F17C58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0.61</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E1AA9" w14:textId="1C822F7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0.37</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D80DB0" w14:textId="7459801C"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27B04D" w14:textId="30A320B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r w:rsidR="24AC020F" w14:paraId="2860F697"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12787E7" w14:textId="35DABB32" w:rsidR="24AC020F" w:rsidRDefault="24AC020F" w:rsidP="24AC020F">
            <w:pPr>
              <w:spacing w:after="0" w:line="240" w:lineRule="auto"/>
              <w:rPr>
                <w:rFonts w:eastAsia="Times New Roman" w:cs="Times New Roman"/>
                <w:color w:val="000000" w:themeColor="text1"/>
                <w:sz w:val="16"/>
                <w:szCs w:val="16"/>
              </w:rPr>
            </w:pPr>
            <w:proofErr w:type="gramStart"/>
            <w:r w:rsidRPr="24AC020F">
              <w:rPr>
                <w:rFonts w:eastAsia="Times New Roman" w:cs="Times New Roman"/>
                <w:color w:val="000000" w:themeColor="text1"/>
                <w:sz w:val="16"/>
                <w:szCs w:val="16"/>
                <w:lang w:val="en-GB"/>
              </w:rPr>
              <w:t>Fourth-generation</w:t>
            </w:r>
            <w:proofErr w:type="gramEnd"/>
            <w:r w:rsidRPr="24AC020F">
              <w:rPr>
                <w:rFonts w:eastAsia="Times New Roman" w:cs="Times New Roman"/>
                <w:color w:val="000000" w:themeColor="text1"/>
                <w:sz w:val="16"/>
                <w:szCs w:val="16"/>
                <w:lang w:val="en-GB"/>
              </w:rPr>
              <w:t xml:space="preserve"> cephalosporins</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7FF7A" w14:textId="7C31C53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1.22</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5D4BE" w14:textId="3DC57BFC"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1.54</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FE43F0" w14:textId="5EB048BB"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3.21</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61899D" w14:textId="65013735"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3.46</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88BEBF" w14:textId="3BE0BCBD"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AADDCB" w14:textId="253A9CC1"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r w:rsidR="24AC020F" w14:paraId="4F4BB9A4" w14:textId="77777777" w:rsidTr="24AC020F">
        <w:trPr>
          <w:trHeight w:val="300"/>
        </w:trPr>
        <w:tc>
          <w:tcPr>
            <w:tcW w:w="388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F252B6" w14:textId="659FB63C" w:rsidR="24AC020F" w:rsidRDefault="24AC020F" w:rsidP="24AC020F">
            <w:pPr>
              <w:spacing w:after="0" w:line="240" w:lineRule="auto"/>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Trimethoprim-Sulfamethoxazole</w:t>
            </w:r>
          </w:p>
        </w:tc>
        <w:tc>
          <w:tcPr>
            <w:tcW w:w="9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45E32C" w14:textId="5228ACE7"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0.64</w:t>
            </w:r>
          </w:p>
        </w:tc>
        <w:tc>
          <w:tcPr>
            <w:tcW w:w="8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AA413E" w14:textId="71E1DF66"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0.6</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0CE41F" w14:textId="5BDCC78C"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1.17</w:t>
            </w:r>
          </w:p>
        </w:tc>
        <w:tc>
          <w:tcPr>
            <w:tcW w:w="10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563E79" w14:textId="702B80E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0.97</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6601C2" w14:textId="212F30C0"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c>
          <w:tcPr>
            <w:tcW w:w="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62A9F5" w14:textId="63217632" w:rsidR="24AC020F" w:rsidRDefault="24AC020F" w:rsidP="24AC020F">
            <w:pPr>
              <w:spacing w:after="0" w:line="240" w:lineRule="auto"/>
              <w:jc w:val="center"/>
              <w:rPr>
                <w:rFonts w:eastAsia="Times New Roman" w:cs="Times New Roman"/>
                <w:color w:val="000000" w:themeColor="text1"/>
                <w:sz w:val="16"/>
                <w:szCs w:val="16"/>
              </w:rPr>
            </w:pPr>
            <w:r w:rsidRPr="24AC020F">
              <w:rPr>
                <w:rFonts w:eastAsia="Times New Roman" w:cs="Times New Roman"/>
                <w:color w:val="000000" w:themeColor="text1"/>
                <w:sz w:val="16"/>
                <w:szCs w:val="16"/>
                <w:lang w:val="en-GB"/>
              </w:rPr>
              <w:t>100%</w:t>
            </w:r>
          </w:p>
        </w:tc>
      </w:tr>
    </w:tbl>
    <w:p w14:paraId="1100223A" w14:textId="77777777" w:rsidR="00F87909" w:rsidRDefault="00F87909" w:rsidP="000F4642">
      <w:pPr>
        <w:rPr>
          <w:rFonts w:cs="Times New Roman"/>
          <w:szCs w:val="20"/>
          <w:lang w:val="en-GB"/>
        </w:rPr>
      </w:pPr>
    </w:p>
    <w:p w14:paraId="04F71690" w14:textId="77777777" w:rsidR="000F4642" w:rsidRPr="005D2363" w:rsidRDefault="000F4642" w:rsidP="000F4642">
      <w:pPr>
        <w:rPr>
          <w:rFonts w:cs="Times New Roman"/>
          <w:szCs w:val="20"/>
          <w:lang w:val="en-GB"/>
        </w:rPr>
      </w:pPr>
      <w:r w:rsidRPr="005D2363">
        <w:rPr>
          <w:rFonts w:cs="Times New Roman"/>
          <w:szCs w:val="20"/>
          <w:lang w:val="en-GB"/>
        </w:rPr>
        <w:t>This approach for relative risk estimation had several limitations, most were attributable to data sparsity. First, it is likely that the impact of resistance on mortality is different across locations. In locations where overall health-care access and quality are lower, the impact of resistance may be smaller because the management of susceptible infections is sub-optimal. Conversely, in locations where broad, second- and third-line antimicrobials are not available, one would expect the impact of resistance to be greater. Second, it is possible that the relative risk of death attributable to resistance is different across anatomical sites of infection because of variable penetrance of antibiotics to different anatomical locations. As we continue efforts to expand data collection and reporting, we hope to be able to address these limitations in future iterations.</w:t>
      </w:r>
    </w:p>
    <w:p w14:paraId="2E8FB490" w14:textId="77777777" w:rsidR="00217EF7" w:rsidRDefault="00217EF7" w:rsidP="00F50B97"/>
    <w:p w14:paraId="6929B495" w14:textId="07E56E70" w:rsidR="6B99E739" w:rsidRDefault="6B99E739" w:rsidP="082F9667">
      <w:pPr>
        <w:pStyle w:val="Heading2"/>
      </w:pPr>
      <w:bookmarkStart w:id="213" w:name="_Toc135992049"/>
      <w:r w:rsidRPr="082F9667">
        <w:rPr>
          <w:rFonts w:eastAsia="Times New Roman" w:cs="Times New Roman"/>
          <w:bCs/>
          <w:color w:val="2F5496" w:themeColor="accent5" w:themeShade="BF"/>
          <w:szCs w:val="20"/>
        </w:rPr>
        <w:t>Section 3.7: Counterfactuals and AMR estimation</w:t>
      </w:r>
      <w:bookmarkEnd w:id="213"/>
    </w:p>
    <w:p w14:paraId="0D2557CC" w14:textId="30B381BE"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3.7.1: Estimating AMR burden with counterfactual of no infection</w:t>
      </w:r>
    </w:p>
    <w:p w14:paraId="4C9EA6F0" w14:textId="77777777" w:rsidR="000F4642" w:rsidRPr="005D2363" w:rsidRDefault="000F4642" w:rsidP="000F4642">
      <w:pPr>
        <w:rPr>
          <w:rFonts w:cs="Times New Roman"/>
          <w:szCs w:val="20"/>
        </w:rPr>
      </w:pPr>
      <w:r w:rsidRPr="005D2363">
        <w:rPr>
          <w:rFonts w:cs="Times New Roman"/>
          <w:szCs w:val="20"/>
        </w:rPr>
        <w:t>We computed two counterfactuals to estimate the drug-resistant burden. First, we estimated the burden of AMR using the counterfactual of no infection. We estimated the fatal burden of individual pathogen–drug combinations by taking the product of the deaths for each underlying cause, fraction of deaths related to infection, infectious syndrome fraction, fatal pathogen fraction, and fatal prevalence of resistance and then summed across all infectious syndromes and underlying causes:</w:t>
      </w:r>
    </w:p>
    <w:p w14:paraId="7D771582" w14:textId="77777777" w:rsidR="000F4642" w:rsidRPr="00343D09" w:rsidRDefault="00000000" w:rsidP="000F4642">
      <w:pPr>
        <w:rPr>
          <w:rFonts w:eastAsiaTheme="minorEastAsia"/>
        </w:rPr>
      </w:pPr>
      <m:oMathPara>
        <m:oMath>
          <m:eqArr>
            <m:eqArrPr>
              <m:maxDist m:val="1"/>
              <m:ctrlPr>
                <w:rPr>
                  <w:rFonts w:ascii="Cambria Math" w:hAnsi="Cambria Math"/>
                  <w:bCs/>
                  <w:i/>
                  <w:iCs/>
                </w:rPr>
              </m:ctrlPr>
            </m:eqArrPr>
            <m:e>
              <m:r>
                <w:rPr>
                  <w:rFonts w:ascii="Cambria Math" w:hAnsi="Cambria Math"/>
                </w:rPr>
                <m:t>Deaths with Resistanc</m:t>
              </m:r>
              <m:sSub>
                <m:sSubPr>
                  <m:ctrlPr>
                    <w:rPr>
                      <w:rFonts w:ascii="Cambria Math" w:hAnsi="Cambria Math"/>
                      <w:i/>
                    </w:rPr>
                  </m:ctrlPr>
                </m:sSubPr>
                <m:e>
                  <m:r>
                    <w:rPr>
                      <w:rFonts w:ascii="Cambria Math" w:hAnsi="Cambria Math"/>
                    </w:rPr>
                    <m:t>e</m:t>
                  </m:r>
                </m:e>
                <m:sub>
                  <m:r>
                    <w:rPr>
                      <w:rFonts w:ascii="Cambria Math" w:hAnsi="Cambria Math"/>
                    </w:rPr>
                    <m:t>Kd</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D</m:t>
                          </m:r>
                        </m:e>
                        <m:sub>
                          <m:r>
                            <w:rPr>
                              <w:rFonts w:ascii="Cambria Math" w:hAnsi="Cambria Math"/>
                            </w:rPr>
                            <m:t>J</m:t>
                          </m:r>
                        </m:sub>
                      </m:sSub>
                    </m:e>
                  </m:nary>
                </m:e>
              </m:nary>
              <m:r>
                <m:rPr>
                  <m:sty m:val="bi"/>
                </m:rPr>
                <w:rPr>
                  <w:rFonts w:ascii="Cambria Math" w:hAnsi="Cambria Math"/>
                </w:rPr>
                <m:t>×</m:t>
              </m:r>
              <m:sSub>
                <m:sSubPr>
                  <m:ctrlPr>
                    <w:rPr>
                      <w:rFonts w:ascii="Cambria Math" w:hAnsi="Cambria Math"/>
                      <w:bCs/>
                      <w:i/>
                      <w:iCs/>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LJ</m:t>
                  </m:r>
                </m:sub>
              </m:sSub>
              <m: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LK</m:t>
                  </m:r>
                </m:sub>
              </m:sSub>
              <m:r>
                <w:rPr>
                  <w:rFonts w:ascii="Cambria Math" w:hAnsi="Cambria Math"/>
                </w:rPr>
                <m:t>×</m:t>
              </m:r>
              <m:sSub>
                <m:sSubPr>
                  <m:ctrlPr>
                    <w:rPr>
                      <w:rFonts w:ascii="Cambria Math" w:hAnsi="Cambria Math"/>
                      <w:bCs/>
                      <w:i/>
                      <w:iCs/>
                    </w:rPr>
                  </m:ctrlPr>
                </m:sSubPr>
                <m:e>
                  <m:r>
                    <w:rPr>
                      <w:rFonts w:ascii="Cambria Math" w:hAnsi="Cambria Math"/>
                    </w:rPr>
                    <m:t>R</m:t>
                  </m:r>
                </m:e>
                <m:sub>
                  <m:r>
                    <w:rPr>
                      <w:rFonts w:ascii="Cambria Math" w:hAnsi="Cambria Math"/>
                    </w:rPr>
                    <m:t>Kd</m:t>
                  </m:r>
                </m:sub>
              </m:sSub>
              <m:r>
                <w:rPr>
                  <w:rFonts w:ascii="Cambria Math" w:hAnsi="Cambria Math"/>
                </w:rPr>
                <m:t>#(3.7.1.1)</m:t>
              </m:r>
            </m:e>
          </m:eqArr>
        </m:oMath>
      </m:oMathPara>
    </w:p>
    <w:p w14:paraId="5C8111A3" w14:textId="77777777" w:rsidR="000F4642" w:rsidRPr="005D2363" w:rsidRDefault="000F4642" w:rsidP="000F4642">
      <w:pPr>
        <w:rPr>
          <w:rFonts w:cs="Times New Roman"/>
          <w:color w:val="2B579A"/>
          <w:szCs w:val="20"/>
          <w:shd w:val="clear" w:color="auto" w:fill="E6E6E6"/>
        </w:rPr>
      </w:pPr>
      <w:r w:rsidRPr="005D2363">
        <w:rPr>
          <w:rFonts w:eastAsiaTheme="minorEastAsia" w:cs="Times New Roman"/>
          <w:szCs w:val="20"/>
        </w:rPr>
        <w:t xml:space="preserve">where </w:t>
      </w:r>
      <w:r w:rsidRPr="005D2363">
        <w:rPr>
          <w:rFonts w:cs="Times New Roman"/>
          <w:szCs w:val="20"/>
        </w:rPr>
        <w:t xml:space="preserve">D = deaths, S = fraction related to infection, M = infectious syndrome fraction, P = fatal pathogen fraction, R = fatal prevalence of resistance, J = cause, L = syndrome, K = pathogen, d = drug. To produce an estimate of deaths with resistance to any antibiotic estimated, we employed the same formula but used the fatal prevalence of resistance to any antibiotic using the resistance profiles, described previously. We calculated the fatal prevalence of resistance R </w:t>
      </w:r>
      <w:r w:rsidRPr="005D2363">
        <w:rPr>
          <w:rFonts w:eastAsiaTheme="minorEastAsia" w:cs="Times New Roman"/>
          <w:szCs w:val="20"/>
        </w:rPr>
        <w:t xml:space="preserve">for a given drug </w:t>
      </w:r>
      <m:oMath>
        <m:r>
          <w:rPr>
            <w:rFonts w:ascii="Cambria Math" w:eastAsiaTheme="minorEastAsia" w:hAnsi="Cambria Math" w:cs="Times New Roman"/>
            <w:szCs w:val="20"/>
          </w:rPr>
          <m:t>d</m:t>
        </m:r>
      </m:oMath>
      <w:r w:rsidRPr="005D2363">
        <w:rPr>
          <w:rFonts w:eastAsiaTheme="minorEastAsia" w:cs="Times New Roman"/>
          <w:szCs w:val="20"/>
        </w:rPr>
        <w:t xml:space="preserve"> based on the non-fatal p</w:t>
      </w:r>
      <w:proofErr w:type="spellStart"/>
      <w:r w:rsidRPr="005D2363">
        <w:rPr>
          <w:rFonts w:eastAsiaTheme="minorEastAsia" w:cs="Times New Roman"/>
          <w:szCs w:val="20"/>
        </w:rPr>
        <w:t>revalence</w:t>
      </w:r>
      <w:proofErr w:type="spellEnd"/>
      <w:r w:rsidRPr="005D2363">
        <w:rPr>
          <w:rFonts w:eastAsiaTheme="minorEastAsia" w:cs="Times New Roman"/>
          <w:szCs w:val="20"/>
        </w:rPr>
        <w:t xml:space="preserve"> of resistance </w:t>
      </w:r>
      <m:oMath>
        <m:r>
          <w:rPr>
            <w:rFonts w:ascii="Cambria Math" w:eastAsiaTheme="minorEastAsia" w:hAnsi="Cambria Math" w:cs="Times New Roman"/>
            <w:szCs w:val="20"/>
          </w:rPr>
          <m:t>R'</m:t>
        </m:r>
      </m:oMath>
      <w:r w:rsidRPr="005D2363">
        <w:rPr>
          <w:rFonts w:eastAsiaTheme="minorEastAsia" w:cs="Times New Roman"/>
          <w:szCs w:val="20"/>
        </w:rPr>
        <w:t xml:space="preserve"> and relative risk of death </w:t>
      </w:r>
      <m:oMath>
        <m:r>
          <w:rPr>
            <w:rFonts w:ascii="Cambria Math" w:eastAsiaTheme="minorEastAsia" w:hAnsi="Cambria Math" w:cs="Times New Roman"/>
            <w:szCs w:val="20"/>
          </w:rPr>
          <m:t>RR</m:t>
        </m:r>
      </m:oMath>
      <w:r w:rsidRPr="005D2363">
        <w:rPr>
          <w:rFonts w:eastAsiaTheme="minorEastAsia" w:cs="Times New Roman"/>
          <w:szCs w:val="20"/>
        </w:rPr>
        <w:t xml:space="preserve"> for this drug:</w:t>
      </w:r>
    </w:p>
    <w:p w14:paraId="5E8E8C54" w14:textId="77777777" w:rsidR="000F4642" w:rsidRPr="00343D09" w:rsidRDefault="00000000" w:rsidP="000F4642">
      <w:pPr>
        <w:jc w:val="center"/>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Kd</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Kd</m:t>
                      </m:r>
                    </m:sub>
                    <m:sup>
                      <m:r>
                        <w:rPr>
                          <w:rFonts w:ascii="Cambria Math" w:hAnsi="Cambria Math"/>
                        </w:rPr>
                        <m:t>'</m:t>
                      </m:r>
                    </m:sup>
                  </m:sSubSup>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Kd</m:t>
                      </m:r>
                    </m:sub>
                  </m:sSub>
                </m:num>
                <m:den>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kd</m:t>
                          </m:r>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Kd</m:t>
                      </m:r>
                    </m:sub>
                    <m:sup>
                      <m:r>
                        <w:rPr>
                          <w:rFonts w:ascii="Cambria Math" w:hAnsi="Cambria Math"/>
                        </w:rPr>
                        <m:t>'</m:t>
                      </m:r>
                    </m:sup>
                  </m:sSubSup>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Kd</m:t>
                      </m:r>
                    </m:sub>
                  </m:sSub>
                </m:den>
              </m:f>
              <m:r>
                <w:rPr>
                  <w:rFonts w:ascii="Cambria Math" w:hAnsi="Cambria Math"/>
                </w:rPr>
                <m:t>#(3.7.1.2)</m:t>
              </m:r>
            </m:e>
          </m:eqArr>
        </m:oMath>
      </m:oMathPara>
    </w:p>
    <w:p w14:paraId="1DAA64DC" w14:textId="77777777" w:rsidR="000F4642" w:rsidRPr="005D2363" w:rsidRDefault="000F4642" w:rsidP="000F4642">
      <w:pPr>
        <w:rPr>
          <w:rFonts w:eastAsiaTheme="minorEastAsia" w:cs="Times New Roman"/>
          <w:szCs w:val="20"/>
        </w:rPr>
      </w:pPr>
      <w:r w:rsidRPr="005D2363">
        <w:rPr>
          <w:rFonts w:cs="Times New Roman"/>
          <w:szCs w:val="20"/>
        </w:rPr>
        <w:t xml:space="preserve">We calculated the fatal prevalence of resistance to any antibiotic estimated based on the non-fatal </w:t>
      </w:r>
      <w:proofErr w:type="spellStart"/>
      <w:r w:rsidRPr="005D2363">
        <w:rPr>
          <w:rFonts w:cs="Times New Roman"/>
          <w:szCs w:val="20"/>
        </w:rPr>
        <w:t>prevalences</w:t>
      </w:r>
      <w:proofErr w:type="spellEnd"/>
      <w:r w:rsidRPr="005D2363">
        <w:rPr>
          <w:rFonts w:cs="Times New Roman"/>
          <w:szCs w:val="20"/>
        </w:rPr>
        <w:t xml:space="preserve"> of each resistance profile, incorporating all resistance profiles </w:t>
      </w:r>
      <m:oMath>
        <m:r>
          <w:rPr>
            <w:rFonts w:ascii="Cambria Math" w:hAnsi="Cambria Math" w:cs="Times New Roman"/>
            <w:szCs w:val="20"/>
          </w:rPr>
          <m:t>δ</m:t>
        </m:r>
      </m:oMath>
      <w:r w:rsidRPr="005D2363">
        <w:rPr>
          <w:rFonts w:eastAsiaTheme="minorEastAsia" w:cs="Times New Roman"/>
          <w:szCs w:val="20"/>
        </w:rPr>
        <w:t xml:space="preserve"> that are resistant to at least 1 drug with corresponding relative risks </w:t>
      </w:r>
      <m:oMath>
        <m:r>
          <w:rPr>
            <w:rFonts w:ascii="Cambria Math" w:eastAsiaTheme="minorEastAsia" w:hAnsi="Cambria Math" w:cs="Times New Roman"/>
            <w:szCs w:val="20"/>
          </w:rPr>
          <m:t>R</m:t>
        </m:r>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R</m:t>
            </m:r>
          </m:e>
          <m:sub>
            <m:r>
              <w:rPr>
                <w:rFonts w:ascii="Cambria Math" w:eastAsiaTheme="minorEastAsia" w:hAnsi="Cambria Math" w:cs="Times New Roman"/>
                <w:szCs w:val="20"/>
              </w:rPr>
              <m:t>K</m:t>
            </m:r>
            <m:sSup>
              <m:sSupPr>
                <m:ctrlPr>
                  <w:rPr>
                    <w:rFonts w:ascii="Cambria Math" w:eastAsiaTheme="minorEastAsia" w:hAnsi="Cambria Math" w:cs="Times New Roman"/>
                    <w:i/>
                    <w:szCs w:val="20"/>
                  </w:rPr>
                </m:ctrlPr>
              </m:sSupPr>
              <m:e>
                <m:r>
                  <w:rPr>
                    <w:rFonts w:ascii="Cambria Math" w:eastAsiaTheme="minorEastAsia" w:hAnsi="Cambria Math" w:cs="Times New Roman"/>
                    <w:szCs w:val="20"/>
                  </w:rPr>
                  <m:t>d</m:t>
                </m:r>
              </m:e>
              <m:sup>
                <m:r>
                  <w:rPr>
                    <w:rFonts w:ascii="Cambria Math" w:eastAsiaTheme="minorEastAsia" w:hAnsi="Cambria Math" w:cs="Times New Roman"/>
                    <w:szCs w:val="20"/>
                  </w:rPr>
                  <m:t>*</m:t>
                </m:r>
              </m:sup>
            </m:sSup>
          </m:sub>
        </m:sSub>
      </m:oMath>
      <w:r w:rsidRPr="005D2363">
        <w:rPr>
          <w:rFonts w:eastAsiaTheme="minorEastAsia" w:cs="Times New Roman"/>
          <w:szCs w:val="20"/>
        </w:rPr>
        <w:t>, determined by the method described below (section 3.7.2):</w:t>
      </w:r>
    </w:p>
    <w:p w14:paraId="2CEC0671" w14:textId="77777777" w:rsidR="000F4642" w:rsidRPr="001B3C8A" w:rsidRDefault="00000000" w:rsidP="000F4642">
      <m:oMathPara>
        <m:oMath>
          <m:eqArr>
            <m:eqArrPr>
              <m:maxDist m:val="1"/>
              <m:ctrlPr>
                <w:rPr>
                  <w:rFonts w:ascii="Cambria Math" w:hAnsi="Cambria Math"/>
                  <w:i/>
                </w:rPr>
              </m:ctrlPr>
            </m:eqArr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 all drugs</m:t>
                  </m:r>
                </m:sub>
              </m:sSub>
              <m:r>
                <w:rPr>
                  <w:rFonts w:ascii="Cambria Math" w:eastAsiaTheme="minorEastAsia"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δ</m:t>
                      </m:r>
                    </m:sub>
                    <m:sup/>
                    <m:e>
                      <m:sSubSup>
                        <m:sSubSupPr>
                          <m:ctrlPr>
                            <w:rPr>
                              <w:rFonts w:ascii="Cambria Math" w:hAnsi="Cambria Math"/>
                              <w:i/>
                            </w:rPr>
                          </m:ctrlPr>
                        </m:sSubSupPr>
                        <m:e>
                          <m:r>
                            <w:rPr>
                              <w:rFonts w:ascii="Cambria Math" w:hAnsi="Cambria Math"/>
                            </w:rPr>
                            <m:t>R</m:t>
                          </m:r>
                        </m:e>
                        <m:sub>
                          <m:r>
                            <w:rPr>
                              <w:rFonts w:ascii="Cambria Math" w:hAnsi="Cambria Math"/>
                            </w:rPr>
                            <m:t>Kδ</m:t>
                          </m:r>
                        </m:sub>
                        <m:sup>
                          <m:r>
                            <w:rPr>
                              <w:rFonts w:ascii="Cambria Math" w:hAnsi="Cambria Math"/>
                            </w:rPr>
                            <m:t>'</m:t>
                          </m:r>
                        </m:sup>
                      </m:sSubSup>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m:t>
                          </m:r>
                          <m:sSup>
                            <m:sSupPr>
                              <m:ctrlPr>
                                <w:rPr>
                                  <w:rFonts w:ascii="Cambria Math" w:hAnsi="Cambria Math"/>
                                  <w:i/>
                                </w:rPr>
                              </m:ctrlPr>
                            </m:sSupPr>
                            <m:e>
                              <m:r>
                                <w:rPr>
                                  <w:rFonts w:ascii="Cambria Math" w:hAnsi="Cambria Math"/>
                                </w:rPr>
                                <m:t>d</m:t>
                              </m:r>
                            </m:e>
                            <m:sup>
                              <m:r>
                                <w:rPr>
                                  <w:rFonts w:ascii="Cambria Math" w:hAnsi="Cambria Math"/>
                                </w:rPr>
                                <m:t>*</m:t>
                              </m:r>
                            </m:sup>
                          </m:sSup>
                        </m:sub>
                      </m:sSub>
                    </m:e>
                  </m:nary>
                </m:num>
                <m:den>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r>
                            <w:rPr>
                              <w:rFonts w:ascii="Cambria Math" w:hAnsi="Cambria Math"/>
                            </w:rPr>
                            <m:t>δ</m:t>
                          </m:r>
                        </m:sub>
                        <m:sup/>
                        <m:e>
                          <m:sSubSup>
                            <m:sSubSupPr>
                              <m:ctrlPr>
                                <w:rPr>
                                  <w:rFonts w:ascii="Cambria Math" w:hAnsi="Cambria Math"/>
                                  <w:i/>
                                </w:rPr>
                              </m:ctrlPr>
                            </m:sSubSupPr>
                            <m:e>
                              <m:r>
                                <w:rPr>
                                  <w:rFonts w:ascii="Cambria Math" w:hAnsi="Cambria Math"/>
                                </w:rPr>
                                <m:t>R</m:t>
                              </m:r>
                            </m:e>
                            <m:sub>
                              <m:r>
                                <w:rPr>
                                  <w:rFonts w:ascii="Cambria Math" w:hAnsi="Cambria Math"/>
                                </w:rPr>
                                <m:t>Kδ</m:t>
                              </m:r>
                            </m:sub>
                            <m:sup>
                              <m:r>
                                <w:rPr>
                                  <w:rFonts w:ascii="Cambria Math" w:hAnsi="Cambria Math"/>
                                </w:rPr>
                                <m:t>'</m:t>
                              </m:r>
                            </m:sup>
                          </m:sSubSup>
                        </m:e>
                      </m:nary>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δ</m:t>
                      </m:r>
                    </m:sub>
                    <m:sup/>
                    <m:e>
                      <m:sSubSup>
                        <m:sSubSupPr>
                          <m:ctrlPr>
                            <w:rPr>
                              <w:rFonts w:ascii="Cambria Math" w:hAnsi="Cambria Math"/>
                              <w:i/>
                            </w:rPr>
                          </m:ctrlPr>
                        </m:sSubSupPr>
                        <m:e>
                          <m:r>
                            <w:rPr>
                              <w:rFonts w:ascii="Cambria Math" w:hAnsi="Cambria Math"/>
                            </w:rPr>
                            <m:t>R</m:t>
                          </m:r>
                        </m:e>
                        <m:sub>
                          <m:r>
                            <w:rPr>
                              <w:rFonts w:ascii="Cambria Math" w:hAnsi="Cambria Math"/>
                            </w:rPr>
                            <m:t>Kδ</m:t>
                          </m:r>
                        </m:sub>
                        <m:sup>
                          <m:r>
                            <w:rPr>
                              <w:rFonts w:ascii="Cambria Math" w:hAnsi="Cambria Math"/>
                            </w:rPr>
                            <m:t>'</m:t>
                          </m:r>
                        </m:sup>
                      </m:sSubSup>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m:t>
                          </m:r>
                          <m:sSup>
                            <m:sSupPr>
                              <m:ctrlPr>
                                <w:rPr>
                                  <w:rFonts w:ascii="Cambria Math" w:hAnsi="Cambria Math"/>
                                  <w:i/>
                                </w:rPr>
                              </m:ctrlPr>
                            </m:sSupPr>
                            <m:e>
                              <m:r>
                                <w:rPr>
                                  <w:rFonts w:ascii="Cambria Math" w:hAnsi="Cambria Math"/>
                                </w:rPr>
                                <m:t>d</m:t>
                              </m:r>
                            </m:e>
                            <m:sup>
                              <m:r>
                                <w:rPr>
                                  <w:rFonts w:ascii="Cambria Math" w:hAnsi="Cambria Math"/>
                                </w:rPr>
                                <m:t>*</m:t>
                              </m:r>
                            </m:sup>
                          </m:sSup>
                        </m:sub>
                      </m:sSub>
                    </m:e>
                  </m:nary>
                </m:den>
              </m:f>
              <m:r>
                <w:rPr>
                  <w:rFonts w:ascii="Cambria Math" w:eastAsiaTheme="minorEastAsia" w:hAnsi="Cambria Math"/>
                </w:rPr>
                <m:t>#(</m:t>
              </m:r>
              <m:r>
                <w:rPr>
                  <w:rFonts w:ascii="Cambria Math" w:hAnsi="Cambria Math"/>
                </w:rPr>
                <m:t>3.7.1.3)</m:t>
              </m:r>
            </m:e>
          </m:eqArr>
        </m:oMath>
      </m:oMathPara>
    </w:p>
    <w:p w14:paraId="75BFF191" w14:textId="585FBC36" w:rsidR="000F4642" w:rsidRPr="005D2363" w:rsidRDefault="000F4642" w:rsidP="000F4642">
      <w:pPr>
        <w:rPr>
          <w:rFonts w:cs="Times New Roman"/>
          <w:szCs w:val="20"/>
        </w:rPr>
      </w:pPr>
      <w:r w:rsidRPr="005D2363">
        <w:rPr>
          <w:rFonts w:cs="Times New Roman"/>
          <w:szCs w:val="20"/>
        </w:rPr>
        <w:t>We then estimated YLLs using standard GBD methods to convert age-sex specific deaths into YLLs.</w:t>
      </w:r>
      <w:r w:rsidRPr="005D2363">
        <w:rPr>
          <w:rFonts w:cs="Times New Roman"/>
          <w:color w:val="2B579A"/>
          <w:szCs w:val="20"/>
          <w:shd w:val="clear" w:color="auto" w:fill="E6E6E6"/>
        </w:rPr>
        <w:fldChar w:fldCharType="begin"/>
      </w:r>
      <w:r w:rsidR="003711BD">
        <w:rPr>
          <w:rFonts w:cs="Times New Roman"/>
          <w:szCs w:val="20"/>
        </w:rPr>
        <w:instrText xml:space="preserve"> ADDIN ZOTERO_ITEM CSL_CITATION {"citationID":"YnyKueSe","properties":{"formattedCitation":"\\super 4\\nosupersub{}","plainCitation":"4","noteIndex":0},"citationItems":[{"id":93869,"uris":["http://zotero.org/groups/2154524/items/VKVU6PWG"],"itemData":{"id":93869,"type":"article-journal","abstract":"&lt;h2&gt;Summary&lt;/h2&gt;&lt;h3&gt;Background&lt;/h3&gt;&lt;p&gt;Accurate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Foundation.&lt;/p&gt;","container-title":"The Lancet","DOI":"10.1016/S0140-6736(20)30977-6","ISSN":"0140-6736, 1474-547X","issue":"10258","journalAbbreviation":"The 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1950–2019","volume":"396","author":[{"literal":"GBD 2019 Demographics Collaborators"}],"issued":{"date-parts":[["2020",10,17]]}}}],"schema":"https://github.com/citation-style-language/schema/raw/master/csl-citation.json"}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4</w:t>
      </w:r>
      <w:r w:rsidRPr="005D2363">
        <w:rPr>
          <w:rFonts w:cs="Times New Roman"/>
          <w:color w:val="2B579A"/>
          <w:szCs w:val="20"/>
          <w:shd w:val="clear" w:color="auto" w:fill="E6E6E6"/>
        </w:rPr>
        <w:fldChar w:fldCharType="end"/>
      </w:r>
    </w:p>
    <w:p w14:paraId="5FA343AE" w14:textId="77777777" w:rsidR="000F4642" w:rsidRPr="005D2363" w:rsidRDefault="000F4642" w:rsidP="000F4642">
      <w:pPr>
        <w:rPr>
          <w:rFonts w:cs="Times New Roman"/>
          <w:szCs w:val="20"/>
        </w:rPr>
      </w:pPr>
      <w:r w:rsidRPr="005D2363">
        <w:rPr>
          <w:rFonts w:cs="Times New Roman"/>
          <w:szCs w:val="20"/>
        </w:rPr>
        <w:t>For the non-fatal estimate, we first estimated the incidence of each infectious syndrome in each underlying cause. For infectious underlying causes, we simply used the incidence estimated in GBD. For non-infectious underlying causes, we divided the infectious syndrome deaths (</w:t>
      </w: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j</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J</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M</m:t>
            </m:r>
          </m:e>
          <m:sub>
            <m:r>
              <w:rPr>
                <w:rFonts w:ascii="Cambria Math" w:hAnsi="Cambria Math" w:cs="Times New Roman"/>
                <w:szCs w:val="20"/>
              </w:rPr>
              <m:t>LJ</m:t>
            </m:r>
          </m:sub>
        </m:sSub>
      </m:oMath>
      <w:r w:rsidRPr="005D2363">
        <w:rPr>
          <w:rFonts w:eastAsiaTheme="minorEastAsia" w:cs="Times New Roman"/>
          <w:szCs w:val="20"/>
        </w:rPr>
        <w:t xml:space="preserve">) by </w:t>
      </w:r>
      <w:r w:rsidRPr="005D2363">
        <w:rPr>
          <w:rFonts w:cs="Times New Roman"/>
          <w:szCs w:val="20"/>
        </w:rPr>
        <w:t xml:space="preserve">the syndrome- and pathogen-specific CFRs calculated in section 5, aggregated across pathogen using the nonfatal pathogen distribution </w:t>
      </w:r>
      <m:oMath>
        <m:r>
          <w:rPr>
            <w:rFonts w:ascii="Cambria Math" w:hAnsi="Cambria Math" w:cs="Times New Roman"/>
            <w:szCs w:val="20"/>
          </w:rPr>
          <m:t>P'</m:t>
        </m:r>
      </m:oMath>
      <w:r w:rsidRPr="005D2363">
        <w:rPr>
          <w:rFonts w:eastAsiaTheme="minorEastAsia" w:cs="Times New Roman"/>
          <w:szCs w:val="20"/>
        </w:rPr>
        <w:t xml:space="preserve"> </w:t>
      </w:r>
      <w:r w:rsidRPr="005D2363">
        <w:rPr>
          <w:rFonts w:cs="Times New Roman"/>
          <w:szCs w:val="20"/>
        </w:rPr>
        <w:t xml:space="preserve">calculated above. </w:t>
      </w:r>
    </w:p>
    <w:p w14:paraId="15685BBB" w14:textId="77777777" w:rsidR="000F4642" w:rsidRPr="00294427" w:rsidRDefault="00000000" w:rsidP="000F4642">
      <w:pPr>
        <w:jc w:val="center"/>
        <w:rPr>
          <w:rFonts w:eastAsiaTheme="minorEastAsia"/>
        </w:rPr>
      </w:pPr>
      <m:oMathPara>
        <m:oMath>
          <m:eqArr>
            <m:eqArrPr>
              <m:maxDist m:val="1"/>
              <m:ctrlPr>
                <w:rPr>
                  <w:rFonts w:ascii="Cambria Math" w:hAnsi="Cambria Math"/>
                  <w:i/>
                </w:rPr>
              </m:ctrlPr>
            </m:eqArrPr>
            <m:e>
              <m:r>
                <w:rPr>
                  <w:rFonts w:ascii="Cambria Math" w:hAnsi="Cambria Math"/>
                </w:rPr>
                <m:t>Incidenc</m:t>
              </m:r>
              <m:sSub>
                <m:sSubPr>
                  <m:ctrlPr>
                    <w:rPr>
                      <w:rFonts w:ascii="Cambria Math" w:hAnsi="Cambria Math"/>
                      <w:i/>
                    </w:rPr>
                  </m:ctrlPr>
                </m:sSubPr>
                <m:e>
                  <m:r>
                    <w:rPr>
                      <w:rFonts w:ascii="Cambria Math" w:hAnsi="Cambria Math"/>
                    </w:rPr>
                    <m:t>e</m:t>
                  </m:r>
                </m:e>
                <m:sub>
                  <m:r>
                    <w:rPr>
                      <w:rFonts w:ascii="Cambria Math" w:hAnsi="Cambria Math"/>
                    </w:rPr>
                    <m:t>JL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J</m:t>
                      </m:r>
                    </m:sub>
                  </m:sSub>
                  <m:sSub>
                    <m:sSubPr>
                      <m:ctrlPr>
                        <w:rPr>
                          <w:rFonts w:ascii="Cambria Math" w:hAnsi="Cambria Math"/>
                          <w:i/>
                        </w:rPr>
                      </m:ctrlPr>
                    </m:sSubPr>
                    <m:e>
                      <m:r>
                        <w:rPr>
                          <w:rFonts w:ascii="Cambria Math" w:hAnsi="Cambria Math"/>
                        </w:rPr>
                        <m:t>S</m:t>
                      </m:r>
                    </m:e>
                    <m:sub>
                      <m:r>
                        <w:rPr>
                          <w:rFonts w:ascii="Cambria Math" w:hAnsi="Cambria Math"/>
                        </w:rPr>
                        <m:t>J</m:t>
                      </m:r>
                    </m:sub>
                  </m:sSub>
                  <m:sSub>
                    <m:sSubPr>
                      <m:ctrlPr>
                        <w:rPr>
                          <w:rFonts w:ascii="Cambria Math" w:hAnsi="Cambria Math"/>
                          <w:i/>
                        </w:rPr>
                      </m:ctrlPr>
                    </m:sSubPr>
                    <m:e>
                      <m:r>
                        <w:rPr>
                          <w:rFonts w:ascii="Cambria Math" w:hAnsi="Cambria Math"/>
                        </w:rPr>
                        <m:t>M</m:t>
                      </m:r>
                    </m:e>
                    <m:sub>
                      <m:r>
                        <w:rPr>
                          <w:rFonts w:ascii="Cambria Math" w:hAnsi="Cambria Math"/>
                        </w:rPr>
                        <m:t>LJ</m:t>
                      </m:r>
                    </m:sub>
                  </m:sSub>
                </m:num>
                <m:den>
                  <m:nary>
                    <m:naryPr>
                      <m:chr m:val="∑"/>
                      <m:limLoc m:val="undOvr"/>
                      <m:supHide m:val="1"/>
                      <m:ctrlPr>
                        <w:rPr>
                          <w:rFonts w:ascii="Cambria Math" w:hAnsi="Cambria Math"/>
                          <w:i/>
                        </w:rPr>
                      </m:ctrlPr>
                    </m:naryPr>
                    <m:sub>
                      <m:r>
                        <w:rPr>
                          <w:rFonts w:ascii="Cambria Math" w:hAnsi="Cambria Math"/>
                        </w:rPr>
                        <m:t>K</m:t>
                      </m:r>
                    </m:sub>
                    <m:sup/>
                    <m:e>
                      <m:r>
                        <w:rPr>
                          <w:rFonts w:ascii="Cambria Math" w:hAnsi="Cambria Math"/>
                        </w:rPr>
                        <m:t>CF</m:t>
                      </m:r>
                      <m:sSub>
                        <m:sSubPr>
                          <m:ctrlPr>
                            <w:rPr>
                              <w:rFonts w:ascii="Cambria Math" w:hAnsi="Cambria Math"/>
                              <w:i/>
                            </w:rPr>
                          </m:ctrlPr>
                        </m:sSubPr>
                        <m:e>
                          <m:r>
                            <w:rPr>
                              <w:rFonts w:ascii="Cambria Math" w:hAnsi="Cambria Math"/>
                            </w:rPr>
                            <m:t>R</m:t>
                          </m:r>
                        </m:e>
                        <m:sub>
                          <m:r>
                            <w:rPr>
                              <w:rFonts w:ascii="Cambria Math" w:hAnsi="Cambria Math"/>
                            </w:rPr>
                            <m:t>LK</m:t>
                          </m:r>
                        </m:sub>
                      </m:sSub>
                      <m:sSubSup>
                        <m:sSubSupPr>
                          <m:ctrlPr>
                            <w:rPr>
                              <w:rFonts w:ascii="Cambria Math" w:hAnsi="Cambria Math"/>
                              <w:i/>
                            </w:rPr>
                          </m:ctrlPr>
                        </m:sSubSupPr>
                        <m:e>
                          <m:r>
                            <w:rPr>
                              <w:rFonts w:ascii="Cambria Math" w:hAnsi="Cambria Math"/>
                            </w:rPr>
                            <m:t>P</m:t>
                          </m:r>
                        </m:e>
                        <m:sub>
                          <m:r>
                            <w:rPr>
                              <w:rFonts w:ascii="Cambria Math" w:hAnsi="Cambria Math"/>
                            </w:rPr>
                            <m:t>LK</m:t>
                          </m:r>
                        </m:sub>
                        <m:sup>
                          <m:r>
                            <w:rPr>
                              <w:rFonts w:ascii="Cambria Math" w:hAnsi="Cambria Math"/>
                            </w:rPr>
                            <m:t>'</m:t>
                          </m:r>
                        </m:sup>
                      </m:sSubSup>
                    </m:e>
                  </m:nary>
                </m:den>
              </m:f>
              <m:r>
                <w:rPr>
                  <w:rFonts w:ascii="Cambria Math" w:hAnsi="Cambria Math"/>
                </w:rPr>
                <m:t>#(3.7.1.4)</m:t>
              </m:r>
            </m:e>
          </m:eqArr>
        </m:oMath>
      </m:oMathPara>
    </w:p>
    <w:p w14:paraId="5F93CF87" w14:textId="77777777" w:rsidR="000F4642" w:rsidRPr="005D2363" w:rsidRDefault="000F4642" w:rsidP="000F4642">
      <w:pPr>
        <w:rPr>
          <w:rFonts w:cs="Times New Roman"/>
          <w:szCs w:val="20"/>
        </w:rPr>
      </w:pPr>
      <w:r w:rsidRPr="005D2363">
        <w:rPr>
          <w:rFonts w:cs="Times New Roman"/>
          <w:szCs w:val="20"/>
        </w:rPr>
        <w:t>We then took the product of the infectious syndrome incidence, the non-fatal pathogen fraction, and the non-fatal prevalence of resistance and summed across all infectious syndromes and underlying causes to get incidence with resistance for every pathogen and drug. As with the fatal estimate, to produce an estimate of incident infections with resistance to any antibiotic, we used the same formula and used the non-fatal prevalence of resistance to any antibiotic estimated from the resistance profiles.</w:t>
      </w:r>
    </w:p>
    <w:p w14:paraId="448D4988" w14:textId="21842391" w:rsidR="000F4642" w:rsidRPr="005D2363" w:rsidRDefault="000F4642" w:rsidP="000F4642">
      <w:pPr>
        <w:rPr>
          <w:rFonts w:cs="Times New Roman"/>
          <w:szCs w:val="20"/>
        </w:rPr>
      </w:pPr>
      <w:r w:rsidRPr="005D2363">
        <w:rPr>
          <w:rFonts w:cs="Times New Roman"/>
          <w:szCs w:val="20"/>
        </w:rPr>
        <w:t>We then calculated YLDs for each pathogen. For some GBD causes, we simply used the GBD YLD estimates and multiplied them by the corresponding nonfatal pathogen distribution (table 8.1.2) For all other causes, we multiplied together the infectious syndrome incidence, the non-fatal pathogen fraction, and a syndrome-specific YLDs per incident case rate, calculated using a proxy cause from GBD.</w:t>
      </w:r>
      <w:r w:rsidRPr="005D2363">
        <w:rPr>
          <w:rFonts w:cs="Times New Roman"/>
          <w:color w:val="2B579A"/>
          <w:szCs w:val="20"/>
          <w:shd w:val="clear" w:color="auto" w:fill="E6E6E6"/>
        </w:rPr>
        <w:fldChar w:fldCharType="begin"/>
      </w:r>
      <w:r w:rsidR="003711BD">
        <w:rPr>
          <w:rFonts w:cs="Times New Roman"/>
          <w:szCs w:val="20"/>
        </w:rPr>
        <w:instrText xml:space="preserve"> ADDIN ZOTERO_ITEM CSL_CITATION {"citationID":"BF4vqsbq","properties":{"formattedCitation":"\\super 4\\nosupersub{}","plainCitation":"4","noteIndex":0},"citationItems":[{"id":93869,"uris":["http://zotero.org/groups/2154524/items/VKVU6PWG"],"itemData":{"id":93869,"type":"article-journal","abstract":"&lt;h2&gt;Summary&lt;/h2&gt;&lt;h3&gt;Background&lt;/h3&gt;&lt;p&gt;Accurate and up-to-date assessment of demographic metrics is crucial for understanding a wide range of social, economic, and public health issues that affect populations worldwide. The Global Burden of Diseases, Injuries, and Risk Factors Study (GBD) 2019 produced updated and comprehensive demographic assessments of the key indicators of fertility, mortality, migration, and population for 204 countries and territories and selected subnational locations from 1950 to 2019.&lt;/p&gt;&lt;h3&gt;Methods&lt;/h3&gt;&lt;p&gt;8078 country-years of vital registration and sample registration data, 938 surveys, 349 censuses, and 238 other sources were identified and used to estimate age-specific fertility. Spatiotemporal Gaussian process regression (ST-GPR) was used to generate age-specific fertility rates for 5-year age groups between ages 15 and 49 years. With extensions to age groups 10–14 and 50–54 years, the total fertility rate (TFR) was then aggregated using the estimated age-specific fertility between ages 10 and 54 years. 7417 sources were used for under-5 mortality estimation and 7355 for adult mortality. ST-GPR was used to synthesise data sources after correction for known biases. Adult mortality was measured as the probability of death between ages 15 and 60 years based on vital registration, sample registration, and sibling histories, and was also estimated using ST-GPR. HIV-free life tables were then estimated using estimates of under-5 and adult mortality rates using a relational model life table system created for GBD, which closely tracks observed age-specific mortality rates from complete vital registration when available. Independent estimates of HIV-specific mortality generated by an epidemiological analysis of HIV prevalence surveys and antenatal clinic serosurveillance and other sources were incorporated into the estimates in countries with large epidemics. Annual and single-year age estimates of net migration and population for each country and territory were generated using a Bayesian hierarchical cohort component model that analysed estimated age-specific fertility and mortality rates along with 1250 censuses and 747 population registry years. We classified location-years into seven categories on the basis of the natural rate of increase in population (calculated by subtracting the crude death rate from the crude birth rate) and the net migration rate. We computed healthy life expectancy (HALE) using years lived with disability (YLDs) per capita, life tables, and standard demographic methods. Uncertainty was propagated throughout the demographic estimation process, including fertility, mortality, and population, with 1000 draw-level estimates produced for each metric.&lt;/p&gt;&lt;h3&gt;Findings&lt;/h3&gt;&lt;p&gt;The global TFR decreased from 2·72 (95% uncertainty interval [UI] 2·66–2·79) in 2000 to 2·31 (2·17–2·46) in 2019. Global annual livebirths increased from 134·5 million (131·5–137·8) in 2000 to a peak of 139·6 million (133·0–146·9) in 2016. Global livebirths then declined to 135·3 million (127·2–144·1) in 2019. Of the 204 countries and territories included in this study, in 2019, 102 had a TFR lower than 2·1, which is considered a good approximation of replacement-level fertility. All countries in sub-Saharan Africa had TFRs above replacement level in 2019 and accounted for 27·1% (95% UI 26·4–27·8) of global livebirths. Global life expectancy at birth increased from 67·2 years (95% UI 66·8–67·6) in 2000 to 73·5 years (72·8–74·3) in 2019. The total number of deaths increased from 50·7 million (49·5–51·9) in 2000 to 56·5 million (53·7–59·2) in 2019. Under-5 deaths declined from 9·6 million (9·1–10·3) in 2000 to 5·0 million (4·3–6·0) in 2019. Global population increased by 25·7%, from 6·2 billion (6·0–6·3) in 2000 to 7·7 billion (7·5–8·0) in 2019. In 2019, 34 countries had negative natural rates of increase; in 17 of these, the population declined because immigration was not sufficient to counteract the negative rate of decline. Globally, HALE increased from 58·6 years (56·1–60·8) in 2000 to 63·5 years (60·8–66·1) in 2019. HALE increased in 202 of 204 countries and territories between 2000 and 2019.&lt;/p&gt;&lt;h3&gt;Interpretation&lt;/h3&gt;&lt;p&gt;Over the past 20 years, fertility rates have been dropping steadily and life expectancy has been increasing, with few exceptions. Much of this change follows historical patterns linking social and economic determinants, such as those captured by the GBD Socio-demographic Index, with demographic outcomes. More recently, several countries have experienced a combination of low fertility and stagnating improvement in mortality rates, pushing more populations into the late stages of the demographic transition. Tracking demographic change and the emergence of new patterns will be essential for global health monitoring.&lt;/p&gt;&lt;h3&gt;Funding&lt;/h3&gt;&lt;p&gt;Bill &amp; Melinda Gates Foundation.&lt;/p&gt;","container-title":"The Lancet","DOI":"10.1016/S0140-6736(20)30977-6","ISSN":"0140-6736, 1474-547X","issue":"10258","journalAbbreviation":"The Lancet","language":"English","note":"publisher: Elsevier\nPMID: 33069325","page":"1160-1203","source":"www.thelancet.com","title":"Global age-sex-specific fertility, mortality, healthy life expectancy (HALE), and population estimates in 204 countries and territories, 1950–2019: a comprehensive demographic analysis for the Global Burden of Disease Study 2019","title-short":"Global age-sex-specific fertility, mortality, healthy life expectancy (HALE), and population estimates in 204 countries and territories, 1950–2019","volume":"396","author":[{"literal":"GBD 2019 Demographics Collaborators"}],"issued":{"date-parts":[["2020",10,17]]}}}],"schema":"https://github.com/citation-style-language/schema/raw/master/csl-citation.json"}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4</w:t>
      </w:r>
      <w:r w:rsidRPr="005D2363">
        <w:rPr>
          <w:rFonts w:cs="Times New Roman"/>
          <w:color w:val="2B579A"/>
          <w:szCs w:val="20"/>
          <w:shd w:val="clear" w:color="auto" w:fill="E6E6E6"/>
        </w:rPr>
        <w:fldChar w:fldCharType="end"/>
      </w:r>
      <w:r w:rsidRPr="005D2363">
        <w:rPr>
          <w:rFonts w:cs="Times New Roman"/>
          <w:szCs w:val="20"/>
        </w:rPr>
        <w:t xml:space="preserve"> To estimate the YLDs per incident case rate, we extracted GBD incidence and YLD estimates for the proxy causes and divided the YLDs by the incidence for each age, sex, and location. Three infectious syndromes are not estimated in the GBD, and therefore have no standard sequelae or disability weights: bloodstream infections, intra-abdominal infections, and bone and joint infections. For the proxy causes for these three syndromes, we used the closest approximate disease as determined by a group of experts in infectious diseases and epidemiology. This approach is a significant limitation of the study and should be improved in future work.</w:t>
      </w:r>
    </w:p>
    <w:p w14:paraId="7B4AB7ED" w14:textId="77777777" w:rsidR="000F4642" w:rsidRPr="005D2363" w:rsidRDefault="000F4642" w:rsidP="000F4642">
      <w:pPr>
        <w:rPr>
          <w:rFonts w:cs="Times New Roman"/>
          <w:szCs w:val="20"/>
        </w:rPr>
      </w:pPr>
      <w:r w:rsidRPr="005D2363">
        <w:rPr>
          <w:rFonts w:cs="Times New Roman"/>
          <w:szCs w:val="20"/>
        </w:rPr>
        <w:t xml:space="preserve">To get the YLDs associated with resistance for each pathogen, we used the non-fatal </w:t>
      </w:r>
      <w:proofErr w:type="spellStart"/>
      <w:r w:rsidRPr="005D2363">
        <w:rPr>
          <w:rFonts w:cs="Times New Roman"/>
          <w:szCs w:val="20"/>
        </w:rPr>
        <w:t>prevalences</w:t>
      </w:r>
      <w:proofErr w:type="spellEnd"/>
      <w:r w:rsidRPr="005D2363">
        <w:rPr>
          <w:rFonts w:cs="Times New Roman"/>
          <w:szCs w:val="20"/>
        </w:rPr>
        <w:t xml:space="preserve"> of resistance for each drug and resistance profile and relative length of stay (LOS) for each pathogen–drug combination to calculate the fraction of YLDs associated with resistance for each pathogen, using equations analogous to equations 3.7.1.2 and 3.7.1.3. We multiplied this fraction by the YLDs for each pathogen to get YLDs associated with resistance to each pathogen–drug combination and YLDs associated with resistance any antibiotics estimated. We then added YLLs and YLDs to produce the DALY estimate for burden associated with resistance. </w:t>
      </w:r>
    </w:p>
    <w:p w14:paraId="54BD57F7" w14:textId="57A97EA4"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3.7.2: Estimating AMR burden with counterfactual of infection with susceptible organism</w:t>
      </w:r>
    </w:p>
    <w:p w14:paraId="3C10A341" w14:textId="77777777" w:rsidR="000F4642" w:rsidRPr="005D2363" w:rsidRDefault="000F4642" w:rsidP="000F4642">
      <w:pPr>
        <w:rPr>
          <w:rFonts w:cs="Times New Roman"/>
          <w:szCs w:val="20"/>
        </w:rPr>
      </w:pPr>
      <w:r w:rsidRPr="005D2363">
        <w:rPr>
          <w:rFonts w:cs="Times New Roman"/>
          <w:szCs w:val="20"/>
        </w:rPr>
        <w:t xml:space="preserve">For the second counterfactual – comparing resistant to susceptible infections – we calculated mutually exclusive pathogen–drug estimates. To do this, we first estimated the population attributable fraction of deaths </w:t>
      </w:r>
      <w:r w:rsidRPr="005D2363">
        <w:rPr>
          <w:rFonts w:eastAsiaTheme="minorEastAsia" w:cs="Times New Roman"/>
          <w:szCs w:val="20"/>
        </w:rPr>
        <w:t>(</w:t>
      </w:r>
      <m:oMath>
        <m:r>
          <w:rPr>
            <w:rFonts w:ascii="Cambria Math" w:hAnsi="Cambria Math" w:cs="Times New Roman"/>
            <w:szCs w:val="20"/>
          </w:rPr>
          <m:t>Mortality PAF</m:t>
        </m:r>
      </m:oMath>
      <w:r w:rsidRPr="005D2363">
        <w:rPr>
          <w:rFonts w:eastAsiaTheme="minorEastAsia" w:cs="Times New Roman"/>
          <w:szCs w:val="20"/>
        </w:rPr>
        <w:t>)</w:t>
      </w:r>
      <w:r w:rsidRPr="005D2363">
        <w:rPr>
          <w:rFonts w:cs="Times New Roman"/>
          <w:szCs w:val="20"/>
        </w:rPr>
        <w:t xml:space="preserve"> for each resistance profile with resistance to at least 1 drug, </w:t>
      </w:r>
      <m:oMath>
        <m:r>
          <w:rPr>
            <w:rFonts w:ascii="Cambria Math" w:hAnsi="Cambria Math" w:cs="Times New Roman"/>
            <w:szCs w:val="20"/>
          </w:rPr>
          <m:t>δ</m:t>
        </m:r>
      </m:oMath>
      <w:r w:rsidRPr="005D2363">
        <w:rPr>
          <w:rFonts w:cs="Times New Roman"/>
          <w:szCs w:val="20"/>
        </w:rPr>
        <w:t>. The inputs for the PAF were the non-fatal prevalence of the given resistance prof</w:t>
      </w:r>
      <w:proofErr w:type="spellStart"/>
      <w:r w:rsidRPr="005D2363">
        <w:rPr>
          <w:rFonts w:cs="Times New Roman"/>
          <w:szCs w:val="20"/>
        </w:rPr>
        <w:t>ile</w:t>
      </w:r>
      <w:proofErr w:type="spellEnd"/>
      <w:r w:rsidRPr="005D2363">
        <w:rPr>
          <w:rFonts w:cs="Times New Roman"/>
          <w:szCs w:val="20"/>
        </w:rPr>
        <w:t xml:space="preserve">, </w:t>
      </w:r>
      <m:oMath>
        <m:sSubSup>
          <m:sSubSupPr>
            <m:ctrlPr>
              <w:rPr>
                <w:rFonts w:ascii="Cambria Math" w:hAnsi="Cambria Math" w:cs="Times New Roman"/>
                <w:i/>
                <w:szCs w:val="20"/>
              </w:rPr>
            </m:ctrlPr>
          </m:sSubSupPr>
          <m:e>
            <m:r>
              <w:rPr>
                <w:rFonts w:ascii="Cambria Math" w:hAnsi="Cambria Math" w:cs="Times New Roman"/>
                <w:szCs w:val="20"/>
              </w:rPr>
              <m:t>R</m:t>
            </m:r>
          </m:e>
          <m:sub>
            <m:r>
              <w:rPr>
                <w:rFonts w:ascii="Cambria Math" w:hAnsi="Cambria Math" w:cs="Times New Roman"/>
                <w:szCs w:val="20"/>
              </w:rPr>
              <m:t>Kδ</m:t>
            </m:r>
          </m:sub>
          <m:sup>
            <m:r>
              <w:rPr>
                <w:rFonts w:ascii="Cambria Math" w:hAnsi="Cambria Math" w:cs="Times New Roman"/>
                <w:szCs w:val="20"/>
              </w:rPr>
              <m:t>'</m:t>
            </m:r>
          </m:sup>
        </m:sSubSup>
      </m:oMath>
      <w:r w:rsidRPr="005D2363">
        <w:rPr>
          <w:rFonts w:eastAsiaTheme="minorEastAsia" w:cs="Times New Roman"/>
          <w:szCs w:val="20"/>
        </w:rPr>
        <w:t>,</w:t>
      </w:r>
      <w:r w:rsidRPr="005D2363">
        <w:rPr>
          <w:rFonts w:cs="Times New Roman"/>
          <w:szCs w:val="20"/>
        </w:rPr>
        <w:t xml:space="preserve"> and the relative risk of death for resistant infection compared to susceptible infection for each drug, </w:t>
      </w:r>
      <m:oMath>
        <m:sSub>
          <m:sSubPr>
            <m:ctrlPr>
              <w:rPr>
                <w:rFonts w:ascii="Cambria Math" w:hAnsi="Cambria Math" w:cs="Times New Roman"/>
                <w:i/>
                <w:szCs w:val="20"/>
              </w:rPr>
            </m:ctrlPr>
          </m:sSubPr>
          <m:e>
            <m:r>
              <w:rPr>
                <w:rFonts w:ascii="Cambria Math" w:hAnsi="Cambria Math" w:cs="Times New Roman"/>
                <w:szCs w:val="20"/>
              </w:rPr>
              <m:t>RR</m:t>
            </m:r>
          </m:e>
          <m:sub>
            <m:r>
              <w:rPr>
                <w:rFonts w:ascii="Cambria Math" w:hAnsi="Cambria Math" w:cs="Times New Roman"/>
                <w:szCs w:val="20"/>
              </w:rPr>
              <m:t>kd</m:t>
            </m:r>
          </m:sub>
        </m:sSub>
      </m:oMath>
      <w:r w:rsidRPr="005D2363">
        <w:rPr>
          <w:rFonts w:cs="Times New Roman"/>
          <w:szCs w:val="20"/>
        </w:rPr>
        <w:t xml:space="preserve">. Because of data sparsity, we were unable to calculate the relative risk for every possible resistance profile, and so instead used the highest relative risk of </w:t>
      </w:r>
      <w:proofErr w:type="gramStart"/>
      <w:r w:rsidRPr="005D2363">
        <w:rPr>
          <w:rFonts w:cs="Times New Roman"/>
          <w:szCs w:val="20"/>
        </w:rPr>
        <w:t>all of</w:t>
      </w:r>
      <w:proofErr w:type="gramEnd"/>
      <w:r w:rsidRPr="005D2363">
        <w:rPr>
          <w:rFonts w:cs="Times New Roman"/>
          <w:szCs w:val="20"/>
        </w:rPr>
        <w:t xml:space="preserve"> the drugs in the resistance profile. For example, if for a resistance profile of resistant to penicillin and fluoroquinolones, the relative risk was 1.1 for penicillin and 1.4 for fluoroquinolones, we would use a relative risk of 1.4 for this profile. The mortality PAF is calculated as a multi-category exposure:</w:t>
      </w:r>
    </w:p>
    <w:p w14:paraId="6553BA4B" w14:textId="77777777" w:rsidR="000F4642" w:rsidRPr="00720AEB" w:rsidRDefault="00000000" w:rsidP="000F4642">
      <w:pPr>
        <w:rPr>
          <w:rFonts w:eastAsiaTheme="minorEastAsia"/>
        </w:rPr>
      </w:pPr>
      <m:oMathPara>
        <m:oMath>
          <m:eqArr>
            <m:eqArrPr>
              <m:maxDist m:val="1"/>
              <m:ctrlPr>
                <w:rPr>
                  <w:rFonts w:ascii="Cambria Math" w:hAnsi="Cambria Math" w:cs="Times New Roman"/>
                  <w:i/>
                </w:rPr>
              </m:ctrlPr>
            </m:eqArrPr>
            <m:e>
              <m:r>
                <w:rPr>
                  <w:rFonts w:ascii="Cambria Math" w:hAnsi="Cambria Math" w:cs="Times New Roman"/>
                </w:rPr>
                <m:t>Mortality PA</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Kδ</m:t>
                  </m:r>
                </m:sub>
              </m:sSub>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Kδ</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K</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m:t>
                              </m:r>
                            </m:sup>
                          </m:sSup>
                        </m:sub>
                      </m:sSub>
                      <m:r>
                        <w:rPr>
                          <w:rFonts w:ascii="Cambria Math" w:hAnsi="Cambria Math" w:cs="Times New Roman"/>
                        </w:rPr>
                        <m:t>-1</m:t>
                      </m:r>
                    </m:e>
                  </m:d>
                </m:num>
                <m:den>
                  <m:r>
                    <w:rPr>
                      <w:rFonts w:ascii="Cambria Math" w:hAnsi="Cambria Math" w:cs="Times New Roman"/>
                    </w:rPr>
                    <m:t>1+</m:t>
                  </m:r>
                  <m:nary>
                    <m:naryPr>
                      <m:chr m:val="∑"/>
                      <m:limLoc m:val="undOvr"/>
                      <m:supHide m:val="1"/>
                      <m:ctrlPr>
                        <w:rPr>
                          <w:rFonts w:ascii="Cambria Math" w:hAnsi="Cambria Math" w:cs="Times New Roman"/>
                          <w:i/>
                        </w:rPr>
                      </m:ctrlPr>
                    </m:naryPr>
                    <m:sub>
                      <m:r>
                        <w:rPr>
                          <w:rFonts w:ascii="Cambria Math" w:hAnsi="Cambria Math" w:cs="Times New Roman"/>
                        </w:rPr>
                        <m:t>δ</m:t>
                      </m:r>
                    </m:sub>
                    <m:sup/>
                    <m:e>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Kδ</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K</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m:t>
                                  </m:r>
                                </m:sup>
                              </m:sSup>
                            </m:sub>
                          </m:sSub>
                          <m:r>
                            <w:rPr>
                              <w:rFonts w:ascii="Cambria Math" w:hAnsi="Cambria Math" w:cs="Times New Roman"/>
                            </w:rPr>
                            <m:t>-1</m:t>
                          </m:r>
                        </m:e>
                      </m:d>
                    </m:e>
                  </m:nary>
                </m:den>
              </m:f>
              <m:r>
                <w:rPr>
                  <w:rFonts w:ascii="Cambria Math" w:hAnsi="Cambria Math" w:cs="Times New Roman"/>
                </w:rPr>
                <m:t>#(3.7.2.1)</m:t>
              </m:r>
            </m:e>
          </m:eqArr>
        </m:oMath>
      </m:oMathPara>
    </w:p>
    <w:p w14:paraId="581ECC9A" w14:textId="77777777" w:rsidR="000F4642" w:rsidRPr="005D2363" w:rsidRDefault="000F4642" w:rsidP="000F4642">
      <w:pPr>
        <w:rPr>
          <w:rFonts w:eastAsiaTheme="minorEastAsia" w:cs="Times New Roman"/>
          <w:szCs w:val="20"/>
        </w:rPr>
      </w:pPr>
      <w:r w:rsidRPr="005D2363">
        <w:rPr>
          <w:rFonts w:cs="Times New Roman"/>
          <w:szCs w:val="20"/>
        </w:rPr>
        <w:t>where</w:t>
      </w:r>
      <w:r w:rsidRPr="005D2363">
        <w:rPr>
          <w:rFonts w:eastAsiaTheme="minorEastAsia" w:cs="Times New Roman"/>
          <w:szCs w:val="20"/>
        </w:rPr>
        <w:t xml:space="preserve"> d* is the drug in the resistance profile </w:t>
      </w:r>
      <m:oMath>
        <m:r>
          <w:rPr>
            <w:rFonts w:ascii="Cambria Math" w:eastAsiaTheme="minorEastAsia" w:hAnsi="Cambria Math" w:cs="Times New Roman"/>
            <w:szCs w:val="20"/>
          </w:rPr>
          <m:t>δ</m:t>
        </m:r>
      </m:oMath>
      <w:r w:rsidRPr="005D2363">
        <w:rPr>
          <w:rFonts w:eastAsiaTheme="minorEastAsia" w:cs="Times New Roman"/>
          <w:szCs w:val="20"/>
        </w:rPr>
        <w:t xml:space="preserve"> with the highest relative risk.</w:t>
      </w:r>
    </w:p>
    <w:p w14:paraId="309C055D" w14:textId="77777777" w:rsidR="000F4642" w:rsidRPr="005D2363" w:rsidRDefault="000F4642" w:rsidP="000F4642">
      <w:pPr>
        <w:rPr>
          <w:rFonts w:cs="Times New Roman"/>
          <w:szCs w:val="20"/>
        </w:rPr>
      </w:pPr>
      <w:r w:rsidRPr="005D2363">
        <w:rPr>
          <w:rFonts w:cs="Times New Roman"/>
          <w:szCs w:val="20"/>
        </w:rPr>
        <w:t>We then took the product of the deaths for each underlying cause, fraction of deaths related to infection, infectious syndrome fraction, fatal pathogen fraction, and the mortality PAF for each resistance profile to get the deaths attributable to resistance for every resistance profile:</w:t>
      </w:r>
    </w:p>
    <w:p w14:paraId="6C869D52" w14:textId="77777777" w:rsidR="000F4642" w:rsidRPr="00343D09" w:rsidRDefault="00000000" w:rsidP="000F4642">
      <w:pPr>
        <w:rPr>
          <w:rFonts w:eastAsiaTheme="minorEastAsia"/>
        </w:rPr>
      </w:pPr>
      <m:oMathPara>
        <m:oMath>
          <m:eqArr>
            <m:eqArrPr>
              <m:maxDist m:val="1"/>
              <m:ctrlPr>
                <w:rPr>
                  <w:rFonts w:ascii="Cambria Math" w:eastAsiaTheme="minorEastAsia" w:hAnsi="Cambria Math"/>
                  <w:bCs/>
                  <w:i/>
                  <w:iCs/>
                </w:rPr>
              </m:ctrlPr>
            </m:eqArrPr>
            <m:e>
              <m:r>
                <w:rPr>
                  <w:rFonts w:ascii="Cambria Math" w:hAnsi="Cambria Math"/>
                </w:rPr>
                <m:t>Deaths due to Resistanc</m:t>
              </m:r>
              <m:sSub>
                <m:sSubPr>
                  <m:ctrlPr>
                    <w:rPr>
                      <w:rFonts w:ascii="Cambria Math" w:hAnsi="Cambria Math"/>
                      <w:i/>
                    </w:rPr>
                  </m:ctrlPr>
                </m:sSubPr>
                <m:e>
                  <m:r>
                    <w:rPr>
                      <w:rFonts w:ascii="Cambria Math" w:hAnsi="Cambria Math"/>
                    </w:rPr>
                    <m:t>e</m:t>
                  </m:r>
                </m:e>
                <m:sub>
                  <m:r>
                    <w:rPr>
                      <w:rFonts w:ascii="Cambria Math" w:hAnsi="Cambria Math"/>
                    </w:rPr>
                    <m:t>Kδ</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D</m:t>
                          </m:r>
                        </m:e>
                        <m:sub>
                          <m:r>
                            <w:rPr>
                              <w:rFonts w:ascii="Cambria Math" w:hAnsi="Cambria Math"/>
                            </w:rPr>
                            <m:t>J</m:t>
                          </m:r>
                        </m:sub>
                      </m:sSub>
                    </m:e>
                  </m:nary>
                </m:e>
              </m:nary>
              <m:r>
                <m:rPr>
                  <m:sty m:val="bi"/>
                </m:rPr>
                <w:rPr>
                  <w:rFonts w:ascii="Cambria Math" w:hAnsi="Cambria Math"/>
                </w:rPr>
                <m:t>×</m:t>
              </m:r>
              <m:sSub>
                <m:sSubPr>
                  <m:ctrlPr>
                    <w:rPr>
                      <w:rFonts w:ascii="Cambria Math" w:hAnsi="Cambria Math"/>
                      <w:bCs/>
                      <w:i/>
                      <w:iCs/>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bCs/>
                      <w:i/>
                      <w:iCs/>
                    </w:rPr>
                  </m:ctrlPr>
                </m:sSubPr>
                <m:e>
                  <m:r>
                    <w:rPr>
                      <w:rFonts w:ascii="Cambria Math" w:hAnsi="Cambria Math"/>
                    </w:rPr>
                    <m:t>M</m:t>
                  </m:r>
                </m:e>
                <m:sub>
                  <m:r>
                    <w:rPr>
                      <w:rFonts w:ascii="Cambria Math" w:hAnsi="Cambria Math"/>
                    </w:rPr>
                    <m:t>LJ</m:t>
                  </m:r>
                </m:sub>
              </m:sSub>
              <m: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LK</m:t>
                  </m:r>
                </m:sub>
              </m:sSub>
              <m:r>
                <w:rPr>
                  <w:rFonts w:ascii="Cambria Math" w:hAnsi="Cambria Math"/>
                </w:rPr>
                <m:t>×</m:t>
              </m:r>
              <m:sSub>
                <m:sSubPr>
                  <m:ctrlPr>
                    <w:rPr>
                      <w:rFonts w:ascii="Cambria Math" w:hAnsi="Cambria Math"/>
                      <w:bCs/>
                      <w:i/>
                      <w:iCs/>
                    </w:rPr>
                  </m:ctrlPr>
                </m:sSubPr>
                <m:e>
                  <m:r>
                    <w:rPr>
                      <w:rFonts w:ascii="Cambria Math" w:hAnsi="Cambria Math"/>
                    </w:rPr>
                    <m:t>Mortality PAF</m:t>
                  </m:r>
                </m:e>
                <m:sub>
                  <m:r>
                    <w:rPr>
                      <w:rFonts w:ascii="Cambria Math" w:hAnsi="Cambria Math"/>
                    </w:rPr>
                    <m:t>Kδ</m:t>
                  </m:r>
                </m:sub>
              </m:sSub>
              <m:r>
                <w:rPr>
                  <w:rFonts w:ascii="Cambria Math" w:hAnsi="Cambria Math"/>
                </w:rPr>
                <m:t>#(3.7</m:t>
              </m:r>
              <m:r>
                <w:rPr>
                  <w:rFonts w:ascii="Cambria Math" w:eastAsiaTheme="minorEastAsia" w:hAnsi="Cambria Math"/>
                </w:rPr>
                <m:t>.2.2)</m:t>
              </m:r>
            </m:e>
          </m:eqArr>
        </m:oMath>
      </m:oMathPara>
    </w:p>
    <w:p w14:paraId="034E3925" w14:textId="77777777" w:rsidR="000F4642" w:rsidRPr="005D2363" w:rsidRDefault="000F4642" w:rsidP="000F4642">
      <w:pPr>
        <w:rPr>
          <w:rFonts w:cs="Times New Roman"/>
          <w:szCs w:val="20"/>
        </w:rPr>
      </w:pPr>
      <w:r w:rsidRPr="005D2363">
        <w:rPr>
          <w:rFonts w:cs="Times New Roman"/>
          <w:szCs w:val="20"/>
        </w:rPr>
        <w:t xml:space="preserve">When the resistance profile described resistance to more than one antibiotic, the deaths were then distributed to the component pathogen–drug combinations based on the excess risk of the pathogen–drug combination divided by the sum of the excess risk of all </w:t>
      </w:r>
      <w:proofErr w:type="gramStart"/>
      <w:r w:rsidRPr="005D2363">
        <w:rPr>
          <w:rFonts w:cs="Times New Roman"/>
          <w:szCs w:val="20"/>
        </w:rPr>
        <w:t>pathogen</w:t>
      </w:r>
      <w:proofErr w:type="gramEnd"/>
      <w:r w:rsidRPr="005D2363">
        <w:rPr>
          <w:rFonts w:cs="Times New Roman"/>
          <w:szCs w:val="20"/>
        </w:rPr>
        <w:t xml:space="preserve">–drug combinations in the resistance profile. For a resistance profile </w:t>
      </w:r>
      <m:oMath>
        <m:r>
          <w:rPr>
            <w:rFonts w:ascii="Cambria Math" w:hAnsi="Cambria Math" w:cs="Times New Roman"/>
            <w:szCs w:val="20"/>
          </w:rPr>
          <m:t>δ</m:t>
        </m:r>
      </m:oMath>
      <w:r w:rsidRPr="005D2363">
        <w:rPr>
          <w:rFonts w:eastAsiaTheme="minorEastAsia" w:cs="Times New Roman"/>
          <w:szCs w:val="20"/>
        </w:rPr>
        <w:t xml:space="preserve"> with resistance to drugs </w:t>
      </w:r>
      <m:oMath>
        <m:r>
          <w:rPr>
            <w:rFonts w:ascii="Cambria Math" w:eastAsiaTheme="minorEastAsia" w:hAnsi="Cambria Math" w:cs="Times New Roman"/>
            <w:szCs w:val="20"/>
          </w:rPr>
          <m:t>i=1,…, n</m:t>
        </m:r>
      </m:oMath>
      <w:r w:rsidRPr="005D2363">
        <w:rPr>
          <w:rFonts w:eastAsiaTheme="minorEastAsia" w:cs="Times New Roman"/>
          <w:szCs w:val="20"/>
        </w:rPr>
        <w:t>:</w:t>
      </w:r>
    </w:p>
    <w:p w14:paraId="6AF2F8B6" w14:textId="77777777" w:rsidR="000F4642" w:rsidRPr="00720AEB" w:rsidRDefault="00000000" w:rsidP="000F4642">
      <w:pPr>
        <w:rPr>
          <w:rFonts w:eastAsiaTheme="minorEastAsia"/>
        </w:rPr>
      </w:pPr>
      <m:oMathPara>
        <m:oMath>
          <m:eqArr>
            <m:eqArrPr>
              <m:maxDist m:val="1"/>
              <m:ctrlPr>
                <w:rPr>
                  <w:rFonts w:ascii="Cambria Math" w:hAnsi="Cambria Math"/>
                  <w:i/>
                </w:rPr>
              </m:ctrlPr>
            </m:eqArrPr>
            <m:e>
              <m:r>
                <w:rPr>
                  <w:rFonts w:ascii="Cambria Math" w:hAnsi="Cambria Math"/>
                </w:rPr>
                <m:t>Redistribution Weigh</m:t>
              </m:r>
              <m:sSub>
                <m:sSubPr>
                  <m:ctrlPr>
                    <w:rPr>
                      <w:rFonts w:ascii="Cambria Math" w:hAnsi="Cambria Math"/>
                      <w:i/>
                    </w:rPr>
                  </m:ctrlPr>
                </m:sSubPr>
                <m:e>
                  <m:r>
                    <w:rPr>
                      <w:rFonts w:ascii="Cambria Math" w:hAnsi="Cambria Math"/>
                    </w:rPr>
                    <m:t>t</m:t>
                  </m:r>
                </m:e>
                <m:sub>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i</m:t>
                          </m:r>
                        </m:sub>
                      </m:sSub>
                    </m:sub>
                  </m:sSub>
                  <m:r>
                    <w:rPr>
                      <w:rFonts w:ascii="Cambria Math" w:hAnsi="Cambria Math"/>
                    </w:rPr>
                    <m:t>-1</m:t>
                  </m:r>
                </m:num>
                <m:den>
                  <m:nary>
                    <m:naryPr>
                      <m:chr m:val="∑"/>
                      <m:limLoc m:val="undOvr"/>
                      <m:supHide m:val="1"/>
                      <m:ctrlPr>
                        <w:rPr>
                          <w:rFonts w:ascii="Cambria Math" w:hAnsi="Cambria Math"/>
                          <w:i/>
                        </w:rPr>
                      </m:ctrlPr>
                    </m:naryPr>
                    <m:sub>
                      <m:acc>
                        <m:accPr>
                          <m:ctrlPr>
                            <w:rPr>
                              <w:rFonts w:ascii="Cambria Math" w:hAnsi="Cambria Math"/>
                              <w:i/>
                            </w:rPr>
                          </m:ctrlPr>
                        </m:accPr>
                        <m:e>
                          <m:r>
                            <w:rPr>
                              <w:rFonts w:ascii="Cambria Math" w:hAnsi="Cambria Math"/>
                            </w:rPr>
                            <m:t>i</m:t>
                          </m:r>
                        </m:e>
                      </m:acc>
                    </m:sub>
                    <m:sup/>
                    <m:e>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K</m:t>
                          </m:r>
                          <m:sSub>
                            <m:sSubPr>
                              <m:ctrlPr>
                                <w:rPr>
                                  <w:rFonts w:ascii="Cambria Math" w:hAnsi="Cambria Math"/>
                                  <w:i/>
                                </w:rPr>
                              </m:ctrlPr>
                            </m:sSubPr>
                            <m:e>
                              <m:r>
                                <w:rPr>
                                  <w:rFonts w:ascii="Cambria Math" w:hAnsi="Cambria Math"/>
                                </w:rPr>
                                <m:t>d</m:t>
                              </m:r>
                            </m:e>
                            <m:sub>
                              <m:acc>
                                <m:accPr>
                                  <m:ctrlPr>
                                    <w:rPr>
                                      <w:rFonts w:ascii="Cambria Math" w:hAnsi="Cambria Math"/>
                                      <w:i/>
                                    </w:rPr>
                                  </m:ctrlPr>
                                </m:accPr>
                                <m:e>
                                  <m:r>
                                    <w:rPr>
                                      <w:rFonts w:ascii="Cambria Math" w:hAnsi="Cambria Math"/>
                                    </w:rPr>
                                    <m:t>i</m:t>
                                  </m:r>
                                </m:e>
                              </m:acc>
                            </m:sub>
                          </m:sSub>
                        </m:sub>
                      </m:sSub>
                      <m:r>
                        <w:rPr>
                          <w:rFonts w:ascii="Cambria Math" w:hAnsi="Cambria Math"/>
                        </w:rPr>
                        <m:t>-1)</m:t>
                      </m:r>
                    </m:e>
                  </m:nary>
                </m:den>
              </m:f>
              <m:r>
                <w:rPr>
                  <w:rFonts w:ascii="Cambria Math" w:hAnsi="Cambria Math"/>
                </w:rPr>
                <m:t>#(3.7.2.3)</m:t>
              </m:r>
            </m:e>
          </m:eqArr>
        </m:oMath>
      </m:oMathPara>
    </w:p>
    <w:p w14:paraId="063C47C6" w14:textId="59074926" w:rsidR="000F4642" w:rsidRPr="005D2363" w:rsidRDefault="000F4642" w:rsidP="000F4642">
      <w:pPr>
        <w:rPr>
          <w:rFonts w:cs="Times New Roman"/>
          <w:szCs w:val="20"/>
        </w:rPr>
      </w:pPr>
      <w:r w:rsidRPr="005D2363">
        <w:rPr>
          <w:rFonts w:cs="Times New Roman"/>
          <w:szCs w:val="20"/>
        </w:rPr>
        <w:t>For co-resistance amongst beta-lactam antibiotics (</w:t>
      </w:r>
      <w:proofErr w:type="spellStart"/>
      <w:r w:rsidRPr="005D2363">
        <w:rPr>
          <w:rFonts w:cs="Times New Roman"/>
          <w:szCs w:val="20"/>
        </w:rPr>
        <w:t>ie</w:t>
      </w:r>
      <w:proofErr w:type="spellEnd"/>
      <w:r w:rsidRPr="005D2363">
        <w:rPr>
          <w:rFonts w:cs="Times New Roman"/>
          <w:szCs w:val="20"/>
        </w:rPr>
        <w:t>, carbapenems, 4GC, 3GC, antipseudomonal, BL/BLI, aminopenicillins, and penicillin), we used a different approach to redistributing burden. Similar to Cassini et al., we applied a hierarchy such that the burden was categorically attributed to the broadest beta-lactam antibiotic, rather than split the burden between multiple beta-lactam antibiotics.</w:t>
      </w:r>
      <w:r w:rsidRPr="005D2363">
        <w:rPr>
          <w:rFonts w:cs="Times New Roman"/>
          <w:color w:val="2B579A"/>
          <w:szCs w:val="20"/>
          <w:shd w:val="clear" w:color="auto" w:fill="E6E6E6"/>
        </w:rPr>
        <w:fldChar w:fldCharType="begin"/>
      </w:r>
      <w:r w:rsidR="003711BD">
        <w:rPr>
          <w:rFonts w:cs="Times New Roman"/>
          <w:szCs w:val="20"/>
        </w:rPr>
        <w:instrText xml:space="preserve"> ADDIN ZOTERO_ITEM CSL_CITATION {"citationID":"3q7qfuSC","properties":{"formattedCitation":"\\super 5\\nosupersub{}","plainCitation":"5","noteIndex":0},"citationItems":[{"id":94388,"uris":["http://zotero.org/groups/2154524/items/WYYGB7MY"],"itemData":{"id":94388,"type":"article-journal","abstract":"&lt;h2&gt;Summary&lt;/h2&gt;&lt;h3&gt;Background&lt;/h3&gt;&lt;p&gt;Sepsis is life-threatening organ dysfunction due to a dysregulated host response to infection. It is considered a major cause of health loss, but data for the global burden of sepsis are limited. As a syndrome caused by underlying infection, sepsis is not part of standard Global Burden of Diseases, Injuries, and Risk Factors Study (GBD) estimates. Accurate estimates are important to inform and monitor health policy interventions, allocation of resources, and clinical treatment initiatives. We estimated the global, regional, and national incidence of sepsis and mortality from this disorder using data from GBD 2017.&lt;/p&gt;&lt;h3&gt;Methods&lt;/h3&gt;&lt;p&gt;We used multiple cause-of-death data from 109 million individual death records to calculate mortality related to sepsis among each of the 282 underlying causes of death in GBD 2017. The percentage of sepsis-related deaths by underlying GBD cause in each location worldwide was modelled using mixed-effects linear regression. Sepsis-related mortality for each age group, sex, location, GBD cause, and year (1990–2017) was estimated by applying modelled cause-specific fractions to GBD 2017 cause-of-death estimates. We used data for 8·7 million individual hospital records to calculate in-hospital sepsis-associated case-fatality, stratified by underlying GBD cause. In-hospital sepsis-associated case-fatality was modelled for each location using linear regression, and sepsis incidence was estimated by applying modelled case-fatality to sepsis-related mortality estimates.&lt;/p&gt;&lt;h3&gt;Findings&lt;/h3&gt;&lt;p&gt;In 2017, an estimated 48·9 million (95% uncertainty interval [UI] 38·9–62·9) incident cases of sepsis were recorded worldwide and 11·0 million (10·1–12·0) sepsis-related deaths were reported, representing 19·7% (18·2–21·4) of all global deaths. Age-standardised sepsis incidence fell by 37·0% (95% UI 11·8–54·5) and mortality decreased by 52·8% (47·7–57·5) from 1990 to 2017. Sepsis incidence and mortality varied substantially across regions, with the highest burden in sub-Saharan Africa, Oceania, south Asia, east Asia, and southeast Asia.&lt;/p&gt;&lt;h3&gt;Interpretation&lt;/h3&gt;&lt;p&gt;Despite declining age-standardised incidence and mortality, sepsis remains a major cause of health loss worldwide and has an especially high health-related burden in sub-Saharan Africa.&lt;/p&gt;&lt;h3&gt;Funding&lt;/h3&gt;&lt;p&gt;The Bill &amp; Melinda Gates Foundation, the National Institutes of Health, the University of Pittsburgh, the British Columbia Children's Hospital Foundation, the Wellcome Trust, and the Fleming Fund.&lt;/p&gt;","container-title":"The Lancet","DOI":"10.1016/S0140-6736(19)32989-7","ISSN":"0140-6736, 1474-547X","issue":"10219","journalAbbreviation":"The Lancet","language":"English","note":"publisher: Elsevier\nPMID: 31954465","page":"200-211","source":"www.thelancet.com","title":"Global, regional, and national sepsis incidence and mortality, 1990–2017: analysis for the Global Burden of Disease Study","title-short":"Global, regional, and national sepsis incidence and mortality, 1990–2017","volume":"395","author":[{"family":"Rudd","given":"Kristina E."},{"family":"Johnson","given":"Sarah Charlotte"},{"family":"Agesa","given":"Kareha M."},{"family":"Shackelford","given":"Katya Anne"},{"family":"Tsoi","given":"Derrick"},{"family":"Kievlan","given":"Daniel Rhodes"},{"family":"Colombara","given":"Danny V."},{"family":"Ikuta","given":"Kevin S."},{"family":"Kissoon","given":"Niranjan"},{"family":"Finfer","given":"Simon"},{"family":"Fleischmann-Struzek","given":"Carolin"},{"family":"Machado","given":"Flavia R."},{"family":"Reinhart","given":"Konrad K."},{"family":"Rowan","given":"Kathryn"},{"family":"Seymour","given":"Christopher W."},{"family":"Watson","given":"R. Scott"},{"family":"West","given":"T. Eoin"},{"family":"Marinho","given":"Fatima"},{"family":"Hay","given":"Simon I."},{"family":"Lozano","given":"Rafael"},{"family":"Lopez","given":"Alan D."},{"family":"Angus","given":"Derek C."},{"family":"Murray","given":"Christopher J. L."},{"family":"Naghavi","given":"Mohsen"}],"issued":{"date-parts":[["2020",1,18]]}}}],"schema":"https://github.com/citation-style-language/schema/raw/master/csl-citation.json"} </w:instrText>
      </w:r>
      <w:r w:rsidRPr="005D2363">
        <w:rPr>
          <w:rFonts w:cs="Times New Roman"/>
          <w:color w:val="2B579A"/>
          <w:szCs w:val="20"/>
          <w:shd w:val="clear" w:color="auto" w:fill="E6E6E6"/>
        </w:rPr>
        <w:fldChar w:fldCharType="separate"/>
      </w:r>
      <w:r w:rsidR="003711BD" w:rsidRPr="003711BD">
        <w:rPr>
          <w:rFonts w:cs="Times New Roman"/>
          <w:szCs w:val="24"/>
          <w:vertAlign w:val="superscript"/>
        </w:rPr>
        <w:t>5</w:t>
      </w:r>
      <w:r w:rsidRPr="005D2363">
        <w:rPr>
          <w:rFonts w:cs="Times New Roman"/>
          <w:color w:val="2B579A"/>
          <w:szCs w:val="20"/>
          <w:shd w:val="clear" w:color="auto" w:fill="E6E6E6"/>
        </w:rPr>
        <w:fldChar w:fldCharType="end"/>
      </w:r>
      <w:r w:rsidRPr="005D2363">
        <w:rPr>
          <w:rFonts w:cs="Times New Roman"/>
          <w:szCs w:val="20"/>
        </w:rPr>
        <w:t xml:space="preserve"> When a pathogen was resistant to multiple beta-lactams and a non-beta-lactam antibiotic, we first applied the hierarchy to determine the ‘highest’ beta-lactam resistance and then generated redistribution weights using only the ‘highest’ beta-lactam and the non-beta-lactams. We then used these attributable death estimates to estimate YLLs using standard GBD methods to convert age-sex specific deaths to YLLs. </w:t>
      </w:r>
    </w:p>
    <w:p w14:paraId="519A1F77" w14:textId="77777777" w:rsidR="000F4642" w:rsidRPr="005D2363" w:rsidRDefault="000F4642" w:rsidP="000F4642">
      <w:pPr>
        <w:rPr>
          <w:rFonts w:cs="Times New Roman"/>
          <w:szCs w:val="20"/>
        </w:rPr>
      </w:pPr>
      <w:r w:rsidRPr="005D2363">
        <w:rPr>
          <w:rFonts w:cs="Times New Roman"/>
          <w:szCs w:val="20"/>
        </w:rPr>
        <w:t xml:space="preserve">A similar approach was taken to estimate non-fatal burden for the counterfactual of antibiotic-susceptible infection. We first assumed that antibiotic resistance has no effect on the attack rate of pathogens; therefore, there are 0 incident cases attributable to resistance and all non-fatal burden comes from increased length of illness. To quantify the extent of this increased length of illness, we first produced a length of stay (LOS) PAF for each resistance profile using the non-fatal prevalence of resistance and relative LOS for resistant infections as compared to susceptible infections in a method analogous to equation 3.7.2.1. Because of data sparsity, we were unable to calculate the relative LOS for every resistance profile, and so instead used the relative LOS for the drug with the highest relative LOS in the profile. We then took the product of the YLDs for each infectious syndrome, the non-fatal pathogen distribution, and the LOS PAF to produce attributable YLD estimates. This assumes that the attributable LOS PAF is equally applicable to all sequelae, which is an assumption made because of a lack of data on the impact of resistance on the likelihood of different sequelae and the duration of specific sequelae. Specifically for AMR, this assumption fails to account for the fact that patients with resistant infections are more prone to re-infection, treatment failure and </w:t>
      </w:r>
      <w:proofErr w:type="gramStart"/>
      <w:r w:rsidRPr="005D2363">
        <w:rPr>
          <w:rFonts w:cs="Times New Roman"/>
          <w:szCs w:val="20"/>
        </w:rPr>
        <w:t>long term</w:t>
      </w:r>
      <w:proofErr w:type="gramEnd"/>
      <w:r w:rsidRPr="005D2363">
        <w:rPr>
          <w:rFonts w:cs="Times New Roman"/>
          <w:szCs w:val="20"/>
        </w:rPr>
        <w:t xml:space="preserve"> sequelae as compared to patients with susceptible ones, and we acknowledge this is a significant limitation that should be improved in future work. We then added YLLs and YLDs to produce an estimate of DALYs attributable to resistance.</w:t>
      </w:r>
    </w:p>
    <w:p w14:paraId="4E9C0053" w14:textId="1919899A" w:rsidR="6B99E739" w:rsidRPr="005D2363" w:rsidRDefault="000F4642" w:rsidP="005D2363">
      <w:pPr>
        <w:rPr>
          <w:rFonts w:eastAsiaTheme="minorEastAsia" w:cs="Times New Roman"/>
          <w:szCs w:val="20"/>
          <w:lang w:val="en-GB"/>
        </w:rPr>
      </w:pPr>
      <w:r w:rsidRPr="005D2363">
        <w:rPr>
          <w:rFonts w:cs="Times New Roman"/>
          <w:szCs w:val="20"/>
          <w:lang w:val="en-GB"/>
        </w:rPr>
        <w:t xml:space="preserve">Because of the optimisation approach used to derive each resistance profile, the prevalence of resistance to for a given pathogen–drug as modelled using ensemble ST-GPR (section 3.5.3), </w:t>
      </w:r>
      <m:oMath>
        <m:sSub>
          <m:sSubPr>
            <m:ctrlPr>
              <w:rPr>
                <w:rFonts w:ascii="Cambria Math" w:hAnsi="Cambria Math" w:cs="Times New Roman"/>
                <w:i/>
                <w:szCs w:val="20"/>
                <w:lang w:val="en-GB"/>
              </w:rPr>
            </m:ctrlPr>
          </m:sSubPr>
          <m:e>
            <m:r>
              <w:rPr>
                <w:rFonts w:ascii="Cambria Math" w:hAnsi="Cambria Math" w:cs="Times New Roman"/>
                <w:szCs w:val="20"/>
                <w:lang w:val="en-GB"/>
              </w:rPr>
              <m:t>R'</m:t>
            </m:r>
          </m:e>
          <m:sub>
            <m:r>
              <w:rPr>
                <w:rFonts w:ascii="Cambria Math" w:hAnsi="Cambria Math" w:cs="Times New Roman"/>
                <w:szCs w:val="20"/>
                <w:lang w:val="en-GB"/>
              </w:rPr>
              <m:t>Kd</m:t>
            </m:r>
          </m:sub>
        </m:sSub>
      </m:oMath>
      <w:r w:rsidRPr="005D2363">
        <w:rPr>
          <w:rFonts w:eastAsiaTheme="minorEastAsia" w:cs="Times New Roman"/>
          <w:szCs w:val="20"/>
          <w:lang w:val="en-GB"/>
        </w:rPr>
        <w:t xml:space="preserve">, will not necessarily be exactly equal to the sum of all resistance profiles </w:t>
      </w:r>
      <m:oMath>
        <m:sSubSup>
          <m:sSubSupPr>
            <m:ctrlPr>
              <w:rPr>
                <w:rFonts w:ascii="Cambria Math" w:hAnsi="Cambria Math" w:cs="Times New Roman"/>
                <w:i/>
                <w:szCs w:val="20"/>
              </w:rPr>
            </m:ctrlPr>
          </m:sSubSupPr>
          <m:e>
            <m:r>
              <w:rPr>
                <w:rFonts w:ascii="Cambria Math" w:hAnsi="Cambria Math" w:cs="Times New Roman"/>
                <w:szCs w:val="20"/>
              </w:rPr>
              <m:t>R</m:t>
            </m:r>
          </m:e>
          <m:sub>
            <m:r>
              <w:rPr>
                <w:rFonts w:ascii="Cambria Math" w:hAnsi="Cambria Math" w:cs="Times New Roman"/>
                <w:szCs w:val="20"/>
              </w:rPr>
              <m:t>Kδ</m:t>
            </m:r>
          </m:sub>
          <m:sup>
            <m:r>
              <w:rPr>
                <w:rFonts w:ascii="Cambria Math" w:hAnsi="Cambria Math" w:cs="Times New Roman"/>
                <w:szCs w:val="20"/>
              </w:rPr>
              <m:t>'</m:t>
            </m:r>
          </m:sup>
        </m:sSubSup>
      </m:oMath>
      <w:r w:rsidRPr="005D2363">
        <w:rPr>
          <w:rFonts w:eastAsiaTheme="minorEastAsia" w:cs="Times New Roman"/>
          <w:szCs w:val="20"/>
          <w:lang w:val="en-GB"/>
        </w:rPr>
        <w:t xml:space="preserve"> that include resistance to drug </w:t>
      </w:r>
      <m:oMath>
        <m:r>
          <w:rPr>
            <w:rFonts w:ascii="Cambria Math" w:eastAsiaTheme="minorEastAsia" w:hAnsi="Cambria Math" w:cs="Times New Roman"/>
            <w:szCs w:val="20"/>
            <w:lang w:val="en-GB"/>
          </w:rPr>
          <m:t>d</m:t>
        </m:r>
      </m:oMath>
      <w:r w:rsidRPr="005D2363">
        <w:rPr>
          <w:rFonts w:eastAsiaTheme="minorEastAsia" w:cs="Times New Roman"/>
          <w:szCs w:val="20"/>
          <w:lang w:val="en-GB"/>
        </w:rPr>
        <w:t xml:space="preserve">. Due to this inconsistency, in extremely rare cases, an estimate of AMR burden in the susceptible counterfactual may slightly exceed the corresponding estimate of AMR burden in the no infection counterfactual for a specific pathogen–drug. We consider the ensemble ST-GPR estimate to be more accurate than the resistance profiles, since the latter are based on Pearson correlations of multidrug resistance that are calculated from limited microdata and generalised to all locations. For this reason, we </w:t>
      </w:r>
      <w:proofErr w:type="spellStart"/>
      <w:r w:rsidRPr="005D2363">
        <w:rPr>
          <w:rFonts w:eastAsiaTheme="minorEastAsia" w:cs="Times New Roman"/>
          <w:szCs w:val="20"/>
          <w:lang w:val="en-GB"/>
        </w:rPr>
        <w:t>cap</w:t>
      </w:r>
      <w:proofErr w:type="spellEnd"/>
      <w:r w:rsidRPr="005D2363">
        <w:rPr>
          <w:rFonts w:eastAsiaTheme="minorEastAsia" w:cs="Times New Roman"/>
          <w:szCs w:val="20"/>
          <w:lang w:val="en-GB"/>
        </w:rPr>
        <w:t xml:space="preserve"> all individual pathogen–drug estimates of burden for the susceptible counterfactual, which are based on the resistance profiles, to the burden for the no infection counterfactual, which are based on the ensemble ST-GPR estimates.</w:t>
      </w:r>
    </w:p>
    <w:p w14:paraId="02A83D6F" w14:textId="5B84B81C" w:rsidR="6B99E739" w:rsidRPr="00D7626E" w:rsidRDefault="6B99E739" w:rsidP="00D7626E">
      <w:pPr>
        <w:spacing w:after="0"/>
        <w:rPr>
          <w:rFonts w:eastAsiaTheme="majorEastAsia" w:cstheme="majorBidi"/>
          <w:i/>
          <w:color w:val="1F4D78" w:themeColor="accent1" w:themeShade="7F"/>
          <w:szCs w:val="24"/>
        </w:rPr>
      </w:pPr>
      <w:r w:rsidRPr="00D7626E">
        <w:rPr>
          <w:rFonts w:eastAsiaTheme="majorEastAsia" w:cstheme="majorBidi"/>
          <w:i/>
          <w:color w:val="1F4D78" w:themeColor="accent1" w:themeShade="7F"/>
          <w:szCs w:val="24"/>
        </w:rPr>
        <w:t>Section 3.7.3: Excluded combinations</w:t>
      </w:r>
    </w:p>
    <w:p w14:paraId="65EE882E" w14:textId="7EC7190A" w:rsidR="6B99E739" w:rsidRPr="005D2363" w:rsidRDefault="000F4642" w:rsidP="000F4642">
      <w:pPr>
        <w:rPr>
          <w:rFonts w:cs="Times New Roman"/>
          <w:szCs w:val="20"/>
        </w:rPr>
      </w:pPr>
      <w:r w:rsidRPr="005D2363">
        <w:rPr>
          <w:rFonts w:cs="Times New Roman"/>
          <w:szCs w:val="20"/>
        </w:rPr>
        <w:t xml:space="preserve">Although our approach attempted to be exhaustive and include all clinically-relevant pathogen–drug combinations, there are two combinations included in the WHO priority list for which we could not produce an estimate. The first is clarithromycin resistance in </w:t>
      </w:r>
      <w:r w:rsidRPr="005D2363">
        <w:rPr>
          <w:rFonts w:cs="Times New Roman"/>
          <w:i/>
          <w:iCs/>
          <w:szCs w:val="20"/>
        </w:rPr>
        <w:t>Helicobacter pylori</w:t>
      </w:r>
      <w:r w:rsidRPr="005D2363">
        <w:rPr>
          <w:rFonts w:cs="Times New Roman"/>
          <w:szCs w:val="20"/>
        </w:rPr>
        <w:t xml:space="preserve"> and the second is fluoroquinolone resistance in </w:t>
      </w:r>
      <w:r w:rsidRPr="005D2363">
        <w:rPr>
          <w:rFonts w:cs="Times New Roman"/>
          <w:i/>
          <w:iCs/>
          <w:szCs w:val="20"/>
        </w:rPr>
        <w:t>Campylobacter</w:t>
      </w:r>
      <w:r w:rsidRPr="005D2363">
        <w:rPr>
          <w:rFonts w:cs="Times New Roman"/>
          <w:szCs w:val="20"/>
        </w:rPr>
        <w:t xml:space="preserve"> species. These were excluded due to limited data availability, as highlighted by a recent study in the European Union that found that, as of 2019, no member countries had implemented publicly accessible, mandatory reporting surveillance </w:t>
      </w:r>
      <w:proofErr w:type="spellStart"/>
      <w:r w:rsidRPr="005D2363">
        <w:rPr>
          <w:rFonts w:cs="Times New Roman"/>
          <w:szCs w:val="20"/>
        </w:rPr>
        <w:t>programmes</w:t>
      </w:r>
      <w:proofErr w:type="spellEnd"/>
      <w:r w:rsidRPr="005D2363">
        <w:rPr>
          <w:rFonts w:cs="Times New Roman"/>
          <w:szCs w:val="20"/>
        </w:rPr>
        <w:t xml:space="preserve"> for these two pathogen–drug combinations.</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{"citationID":"qnrlezku","properties":{"formattedCitation":"\\super 19\\nosupersub{}","plainCitation":"19","noteIndex":0},"citationItems":[{"id":116701,"uris":["http://zotero.org/groups/2154524/items/PUDY737C"],"itemData":{"id":116701,"type":"article-journal","container-title":"Clinical Microbiology and Infection: The Official Publication of the European Society of Clinical Microbiology and Infectious Diseases","DOI":"10.1016/j.cmi.2019.11.020","ISSN":"1469-0691","issue":"7","journalAbbreviation":"Clin Microbiol Infect","language":"eng","note":"PMID: 31812771","page":"943.e1-943.e6","source":"PubMed","title":"Mandatory surveillance and outbreaks reporting of the WHO priority pathogens for research &amp; discovery of new antibiotics in European countries","volume":"26","author":[{"literal":"Rajendran NB, Mutters NT, Marasca G, et al."}],"issued":{"date-parts":[["2020",7]]}}}],"schema":"https://github.com/citation-style-language/schema/raw/master/csl-citation.json"}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19</w:t>
      </w:r>
      <w:r w:rsidRPr="005D2363">
        <w:rPr>
          <w:rFonts w:cs="Times New Roman"/>
          <w:color w:val="2B579A"/>
          <w:szCs w:val="20"/>
          <w:shd w:val="clear" w:color="auto" w:fill="E6E6E6"/>
        </w:rPr>
        <w:fldChar w:fldCharType="end"/>
      </w:r>
      <w:r w:rsidRPr="005D2363">
        <w:rPr>
          <w:rFonts w:cs="Times New Roman"/>
          <w:szCs w:val="20"/>
        </w:rPr>
        <w:t xml:space="preserve"> </w:t>
      </w:r>
      <w:r w:rsidRPr="005D2363">
        <w:rPr>
          <w:rFonts w:cs="Times New Roman"/>
          <w:i/>
          <w:iCs/>
          <w:szCs w:val="20"/>
        </w:rPr>
        <w:t>H. pylori</w:t>
      </w:r>
      <w:r w:rsidRPr="005D2363">
        <w:rPr>
          <w:rFonts w:cs="Times New Roman"/>
          <w:szCs w:val="20"/>
        </w:rPr>
        <w:t xml:space="preserve"> and </w:t>
      </w:r>
      <w:r w:rsidRPr="005D2363">
        <w:rPr>
          <w:rFonts w:cs="Times New Roman"/>
          <w:i/>
          <w:iCs/>
          <w:szCs w:val="20"/>
        </w:rPr>
        <w:t xml:space="preserve">Campylobacter </w:t>
      </w:r>
      <w:r w:rsidRPr="005D2363">
        <w:rPr>
          <w:rFonts w:cs="Times New Roman"/>
          <w:szCs w:val="20"/>
        </w:rPr>
        <w:t xml:space="preserve">spp. are commonly diagnosed without culture so resistance profiles are uncommon in passive surveillance systems. The burden of </w:t>
      </w:r>
      <w:r w:rsidRPr="005D2363">
        <w:rPr>
          <w:rFonts w:cs="Times New Roman"/>
          <w:i/>
          <w:iCs/>
          <w:szCs w:val="20"/>
        </w:rPr>
        <w:t>H. pylori</w:t>
      </w:r>
      <w:r w:rsidRPr="005D2363">
        <w:rPr>
          <w:rFonts w:cs="Times New Roman"/>
          <w:szCs w:val="20"/>
        </w:rPr>
        <w:t xml:space="preserve"> is not currently estimated in GBD, though some of the consequent diseases are, like peptic ulcer disease and gastric cancer. Producing a burden estimate of </w:t>
      </w:r>
      <w:r w:rsidRPr="005D2363">
        <w:rPr>
          <w:rFonts w:cs="Times New Roman"/>
          <w:i/>
          <w:iCs/>
          <w:szCs w:val="20"/>
        </w:rPr>
        <w:t xml:space="preserve">H. pylori was </w:t>
      </w:r>
      <w:r w:rsidRPr="005D2363">
        <w:rPr>
          <w:rFonts w:cs="Times New Roman"/>
          <w:szCs w:val="20"/>
        </w:rPr>
        <w:t xml:space="preserve">outside the scope of this work, and without a pathogen burden estimate, we could not produce an estimate of the burden attributable to clarithromycin-resistant </w:t>
      </w:r>
      <w:r w:rsidRPr="005D2363">
        <w:rPr>
          <w:rFonts w:cs="Times New Roman"/>
          <w:i/>
          <w:iCs/>
          <w:szCs w:val="20"/>
        </w:rPr>
        <w:t>H. pylori</w:t>
      </w:r>
      <w:r w:rsidRPr="005D2363">
        <w:rPr>
          <w:rFonts w:cs="Times New Roman"/>
          <w:szCs w:val="20"/>
        </w:rPr>
        <w:t xml:space="preserve">. In contrast, GBD does produce an estimate on the burden of </w:t>
      </w:r>
      <w:r w:rsidRPr="005D2363">
        <w:rPr>
          <w:rFonts w:cs="Times New Roman"/>
          <w:i/>
          <w:iCs/>
          <w:szCs w:val="20"/>
        </w:rPr>
        <w:t xml:space="preserve">Campylobacter </w:t>
      </w:r>
      <w:r w:rsidRPr="005D2363">
        <w:rPr>
          <w:rFonts w:cs="Times New Roman"/>
          <w:szCs w:val="20"/>
        </w:rPr>
        <w:t xml:space="preserve">spp. There were, however, too few data to produce an estimate on the excess risk of death or duration associated with fluoroquinolone resistance and limited data to inform a global prevalence of resistance estimate. Given these limitations, we did not </w:t>
      </w:r>
      <w:r w:rsidRPr="005D2363">
        <w:rPr>
          <w:rFonts w:cs="Times New Roman"/>
          <w:szCs w:val="20"/>
        </w:rPr>
        <w:lastRenderedPageBreak/>
        <w:t xml:space="preserve">produce burden estimates for clarithromycin-resistant </w:t>
      </w:r>
      <w:r w:rsidRPr="005D2363">
        <w:rPr>
          <w:rFonts w:cs="Times New Roman"/>
          <w:i/>
          <w:iCs/>
          <w:szCs w:val="20"/>
        </w:rPr>
        <w:t>H. pylori</w:t>
      </w:r>
      <w:r w:rsidRPr="005D2363">
        <w:rPr>
          <w:rFonts w:cs="Times New Roman"/>
          <w:szCs w:val="20"/>
        </w:rPr>
        <w:t xml:space="preserve"> or fluoroquinolone-resistant </w:t>
      </w:r>
      <w:r w:rsidRPr="005D2363">
        <w:rPr>
          <w:rFonts w:cs="Times New Roman"/>
          <w:i/>
          <w:iCs/>
          <w:szCs w:val="20"/>
        </w:rPr>
        <w:t xml:space="preserve">Campylobacter </w:t>
      </w:r>
      <w:r w:rsidRPr="005D2363">
        <w:rPr>
          <w:rFonts w:cs="Times New Roman"/>
          <w:szCs w:val="20"/>
        </w:rPr>
        <w:t xml:space="preserve">spp. Because of the lack of data on risk of death associated with drug-resistant </w:t>
      </w:r>
      <w:r w:rsidRPr="005D2363">
        <w:rPr>
          <w:rFonts w:cs="Times New Roman"/>
          <w:i/>
          <w:iCs/>
          <w:szCs w:val="20"/>
        </w:rPr>
        <w:t>Neisseria gonorrhoeae,</w:t>
      </w:r>
      <w:r w:rsidRPr="005D2363">
        <w:rPr>
          <w:rFonts w:cs="Times New Roman"/>
          <w:szCs w:val="20"/>
        </w:rPr>
        <w:t xml:space="preserve"> we were unable to produce an estimate of the fatal burden of resistance so produce only a non-fatal estimate. Many potential pathogen–drug combinations were excluded due to the spectrum of antimicrobial activity (</w:t>
      </w:r>
      <w:proofErr w:type="spellStart"/>
      <w:r w:rsidRPr="005D2363">
        <w:rPr>
          <w:rFonts w:cs="Times New Roman"/>
          <w:szCs w:val="20"/>
        </w:rPr>
        <w:t>ie</w:t>
      </w:r>
      <w:proofErr w:type="spellEnd"/>
      <w:r w:rsidRPr="005D2363">
        <w:rPr>
          <w:rFonts w:cs="Times New Roman"/>
          <w:szCs w:val="20"/>
        </w:rPr>
        <w:t xml:space="preserve">, vancomycin and </w:t>
      </w:r>
      <w:r w:rsidRPr="005D2363">
        <w:rPr>
          <w:rFonts w:cs="Times New Roman"/>
          <w:i/>
          <w:iCs/>
          <w:szCs w:val="20"/>
        </w:rPr>
        <w:t>E. coli</w:t>
      </w:r>
      <w:r w:rsidRPr="005D2363">
        <w:rPr>
          <w:rFonts w:cs="Times New Roman"/>
          <w:szCs w:val="20"/>
        </w:rPr>
        <w:t>), intrinsic resistance (</w:t>
      </w:r>
      <w:proofErr w:type="spellStart"/>
      <w:r w:rsidRPr="005D2363">
        <w:rPr>
          <w:rFonts w:cs="Times New Roman"/>
          <w:szCs w:val="20"/>
        </w:rPr>
        <w:t>eg</w:t>
      </w:r>
      <w:proofErr w:type="spellEnd"/>
      <w:r w:rsidRPr="005D2363">
        <w:rPr>
          <w:rFonts w:cs="Times New Roman"/>
          <w:szCs w:val="20"/>
        </w:rPr>
        <w:t xml:space="preserve">, BL/BLI resistance in </w:t>
      </w:r>
      <w:r w:rsidRPr="005D2363">
        <w:rPr>
          <w:rFonts w:cs="Times New Roman"/>
          <w:i/>
          <w:iCs/>
          <w:szCs w:val="20"/>
        </w:rPr>
        <w:t>Pseudomonas aeruginosa</w:t>
      </w:r>
      <w:r w:rsidRPr="005D2363">
        <w:rPr>
          <w:rFonts w:cs="Times New Roman"/>
          <w:szCs w:val="20"/>
        </w:rPr>
        <w:t>) or resistance that is exceedingly common (</w:t>
      </w:r>
      <w:proofErr w:type="spellStart"/>
      <w:r w:rsidRPr="005D2363">
        <w:rPr>
          <w:rFonts w:cs="Times New Roman"/>
          <w:szCs w:val="20"/>
        </w:rPr>
        <w:t>eg</w:t>
      </w:r>
      <w:proofErr w:type="spellEnd"/>
      <w:r w:rsidRPr="005D2363">
        <w:rPr>
          <w:rFonts w:cs="Times New Roman"/>
          <w:szCs w:val="20"/>
        </w:rPr>
        <w:t xml:space="preserve">, penicillin resistance in </w:t>
      </w:r>
      <w:r w:rsidRPr="005D2363">
        <w:rPr>
          <w:rFonts w:cs="Times New Roman"/>
          <w:i/>
          <w:iCs/>
          <w:szCs w:val="20"/>
        </w:rPr>
        <w:t>S. aureus</w:t>
      </w:r>
      <w:r w:rsidRPr="005D2363">
        <w:rPr>
          <w:rFonts w:cs="Times New Roman"/>
          <w:szCs w:val="20"/>
        </w:rPr>
        <w:t xml:space="preserve">); these combinations were decided by a group of experts in infectious diseases, microbiology, epidemiology, and population health. A final constraint was the computational burden of estimating more than seven antibiotic classes for a single pathogen. Because of the approach to co-resistance described in section 3.5, each antibiotic class added led to an exponential increase in the computation needs and anything above seven antibiotic classes was not tenable. As additional data are made available, we plan to add clinically relevant combinations and iterate on the computational approach so that we can describe the burden of bacterial AMR more comprehensively. </w:t>
      </w:r>
      <w:r w:rsidR="6B99E739" w:rsidRPr="005D2363">
        <w:rPr>
          <w:rFonts w:eastAsia="Times New Roman" w:cs="Times New Roman"/>
          <w:szCs w:val="20"/>
        </w:rPr>
        <w:t xml:space="preserve"> </w:t>
      </w:r>
    </w:p>
    <w:p w14:paraId="16B96B1A" w14:textId="4C96FF6E" w:rsidR="6B99E739" w:rsidRDefault="6B99E739" w:rsidP="082F9667">
      <w:pPr>
        <w:pStyle w:val="Heading2"/>
      </w:pPr>
      <w:bookmarkStart w:id="214" w:name="_Toc135992050"/>
      <w:r w:rsidRPr="082F9667">
        <w:rPr>
          <w:rFonts w:eastAsia="Times New Roman" w:cs="Times New Roman"/>
          <w:bCs/>
          <w:color w:val="2F5496" w:themeColor="accent5" w:themeShade="BF"/>
          <w:szCs w:val="20"/>
        </w:rPr>
        <w:t>Section 3.8: Special considerations</w:t>
      </w:r>
      <w:bookmarkEnd w:id="214"/>
    </w:p>
    <w:p w14:paraId="4901F4D4" w14:textId="68FACC74" w:rsidR="6B99E739" w:rsidRDefault="6B99E739" w:rsidP="00D7626E">
      <w:pPr>
        <w:spacing w:after="0"/>
      </w:pPr>
      <w:r w:rsidRPr="00D7626E">
        <w:rPr>
          <w:rFonts w:eastAsiaTheme="majorEastAsia" w:cstheme="majorBidi"/>
          <w:i/>
          <w:color w:val="1F4D78" w:themeColor="accent1" w:themeShade="7F"/>
          <w:szCs w:val="24"/>
        </w:rPr>
        <w:t>Section 3.8.1: The use of defined daily doses (DDDs) and breakpoint interpretations</w:t>
      </w:r>
    </w:p>
    <w:p w14:paraId="34061737" w14:textId="3BA405A1" w:rsidR="000F4642" w:rsidRPr="005D2363" w:rsidRDefault="000F4642" w:rsidP="000F4642">
      <w:pPr>
        <w:rPr>
          <w:rFonts w:cs="Times New Roman"/>
          <w:szCs w:val="20"/>
        </w:rPr>
      </w:pPr>
      <w:r w:rsidRPr="005D2363">
        <w:rPr>
          <w:rFonts w:cs="Times New Roman"/>
          <w:szCs w:val="20"/>
        </w:rPr>
        <w:t xml:space="preserve">Although used pervasively, the DDD metric is not ideal and is often misunderstood, which is why novel approaches to quantify drug </w:t>
      </w:r>
      <w:proofErr w:type="spellStart"/>
      <w:r w:rsidRPr="005D2363">
        <w:rPr>
          <w:rFonts w:cs="Times New Roman"/>
          <w:szCs w:val="20"/>
        </w:rPr>
        <w:t>utilisation</w:t>
      </w:r>
      <w:proofErr w:type="spellEnd"/>
      <w:r w:rsidRPr="005D2363">
        <w:rPr>
          <w:rFonts w:cs="Times New Roman"/>
          <w:szCs w:val="20"/>
        </w:rPr>
        <w:t xml:space="preserve"> have been proposed recently, especially for the </w:t>
      </w:r>
      <w:proofErr w:type="spellStart"/>
      <w:r w:rsidRPr="005D2363">
        <w:rPr>
          <w:rFonts w:cs="Times New Roman"/>
          <w:szCs w:val="20"/>
        </w:rPr>
        <w:t>paediatric</w:t>
      </w:r>
      <w:proofErr w:type="spellEnd"/>
      <w:r w:rsidRPr="005D2363">
        <w:rPr>
          <w:rFonts w:cs="Times New Roman"/>
          <w:szCs w:val="20"/>
        </w:rPr>
        <w:t xml:space="preserve"> population.</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{"citationID":"CWU3gu5J","properties":{"formattedCitation":"\\super 20,21\\nosupersub{}","plainCitation":"20,21","noteIndex":0},"citationItems":[{"id":112724,"uris":["http://zotero.org/groups/2154524/items/W6UYDXK4"],"itemData":{"id":112724,"type":"article-journal","abstract":"Background\nThe international Innovative Medicines Initiative (IMI) project DRIVE-AB (Driving Reinvestment in Research and Development and Responsible Antibiotic Use) aims to develop a global definition of ‘responsible’ antibiotic use.\n\nObjectives\nTo identify consensually validated quantity metrics for antibiotic use in the outpatient setting.\n\nMethods\nFirst, outpatient quantity metrics (OQMs) were identified by a systematic search of literature and web sites published until 12 December 2014. Identified OQMs were evaluated by a multidisciplinary, international stakeholder panel using a RAND-modified Delphi procedure. Two online questionnaires and a face-to-face meeting between them were conducted to assess OQM relevance for measuring the quantity of antibiotic use on a nine-point Likert scale, to add comments or to propose new metrics.\n\nResults\nA total of 597 articles were screened, 177 studies met criteria for full-text screening and 138 were finally included. Twenty different OQMs were identified and appraised by 23 stakeholders. During the first survey, 14 OQMs were excluded and 6 qualified for discussion. During the face-to-face meeting, 10 stakeholders retained five OQMs and suggestions were made considering context and combination of metrics. The final set of metrics included defined daily doses, treatments/courses and prescriptions per defined population, treatments/courses and prescriptions per defined number of physician contacts and seasonal variation of total antibiotic use.\n\nConclusions\nA small set of consensually validated metrics to assess the quantity of antibiotic use in the outpatient setting was obtained, enabling (inter)national comparisons. The OQMs will help build a global conceptual framework for responsible antibiotic use.","container-title":"Journal of Antimicrobial Chemotherapy","DOI":"10.1093/jac/dky119","ISSN":"0305-7453","issue":"Suppl 6","journalAbbreviation":"J Antimicrob Chemother","note":"PMID: 29878220\nPMCID: PMC5989614","page":"vi59-vi66","source":"PubMed Central","title":"Metrics to assess the quantity of antibiotic use in the outpatient setting: a systematic review followed by an international multidisciplinary consensus procedure","title-short":"Metrics to assess the quantity of antibiotic use in the outpatient setting","volume":"73","author":[{"family":"Versporten","given":"Ann"},{"family":"Gyssens","given":"Inge C"},{"family":"Pulcini","given":"Céline"},{"family":"Monnier","given":"Annelie A"},{"family":"Schouten","given":"Jeroen"},{"family":"Milanič","given":"Romina"},{"family":"Stanić Benić","given":"Mirjana"},{"family":"Tebano","given":"Gianpiero"},{"family":"Le Maréchal","given":"Marion"},{"family":"Zanichelli","given":"Veronica"},{"family":"Huttner","given":"Benedikt"},{"family":"Vlahović-Palčevski","given":"Vera"},{"family":"Goossens","given":"Herman"},{"family":"Hulscher","given":"Marlies E"},{"family":"Adriaenssens","given":"Niels"}],"issued":{"date-parts":[["2018",6]]}},"label":"page"},{"id":112646,"uris":["http://zotero.org/groups/2154524/items/VVN3YJFN"],"itemData":{"id":112646,"type":"article-journal","container-title":"Discoveries","DOI":"10.15190/d.2020.16","ISSN":"2359-7232","issue":"4","journalAbbreviation":"Discoveries (Craiova)","note":"PMID: 33365385\nPMCID: PMC7746476","page":"e119","source":"PubMed Central","title":"A novel metric system to quantify antibiotic consumption in paediatric population: a hospital based, biphasic pilot study","title-short":"A Novel Metric System to Quantify Antibiotic Consumption in Paediatric Population","volume":"8","author":[{"family":"Ahmed","given":"SN"},{"family":"Jhaj","given":"R"},{"family":"Patidar","given":"R"},{"family":"Dangi","given":"Mahendra"},{"family":"Malik","given":"Shikha"},{"family":"Sadasivam","given":"Balakrishnan"},{"family":"Atal","given":"Shubham"}],"issued":{"date-parts":[["2020",12,10]]}},"label":"page"}],"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20,21</w:t>
      </w:r>
      <w:r w:rsidRPr="005D2363">
        <w:rPr>
          <w:rFonts w:cs="Times New Roman"/>
          <w:color w:val="2B579A"/>
          <w:szCs w:val="20"/>
          <w:shd w:val="clear" w:color="auto" w:fill="E6E6E6"/>
        </w:rPr>
        <w:fldChar w:fldCharType="end"/>
      </w:r>
      <w:r w:rsidRPr="005D2363">
        <w:rPr>
          <w:rFonts w:cs="Times New Roman"/>
          <w:szCs w:val="20"/>
        </w:rPr>
        <w:t xml:space="preserve"> As DDD aims to capture a dosing regimen intended for a 70-kg adult patient, concentrating on the frequency and the duration of a single-unit dose, this is not always an accurate representation of prescribed doses in certain countries</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{"citationID":"x0PQ6Yk9","properties":{"formattedCitation":"\\super 22\\nosupersub{}","plainCitation":"22","noteIndex":0},"citationItems":[{"id":112714,"uris":["http://zotero.org/groups/2154524/items/KMJNSHTJ"],"itemData":{"id":112714,"type":"article-journal","container-title":"Clin Microbiol Infect","DOI":"10.1016/j.cmi.2016.11.013","ISSN":"1469-0691","issue":"6","journalAbbreviation":"Clin Microbiol Infect","language":"eng","note":"PMID: 27890458","page":"414-415","source":"PubMed","title":"Amoxicillin dosing recommendations are very different in European countries: a cross-sectional survey","title-short":"Amoxicillin dosing recommendations are very different in European countries","volume":"23","author":[{"family":"Pulcini","given":"C."},{"literal":"ESGAP AMOXDOSE working group"}],"issued":{"date-parts":[["2017",6]]}}}],"schema":"https://github.com/citation-style-language/schema/raw/master/csl-citation.json"}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22</w:t>
      </w:r>
      <w:r w:rsidRPr="005D2363">
        <w:rPr>
          <w:rFonts w:cs="Times New Roman"/>
          <w:color w:val="2B579A"/>
          <w:szCs w:val="20"/>
          <w:shd w:val="clear" w:color="auto" w:fill="E6E6E6"/>
        </w:rPr>
        <w:fldChar w:fldCharType="end"/>
      </w:r>
      <w:r w:rsidRPr="005D2363">
        <w:rPr>
          <w:rFonts w:cs="Times New Roman"/>
          <w:szCs w:val="20"/>
        </w:rPr>
        <w:t xml:space="preserve">. </w:t>
      </w:r>
      <w:proofErr w:type="spellStart"/>
      <w:r w:rsidRPr="005D2363">
        <w:rPr>
          <w:rFonts w:cs="Times New Roman"/>
          <w:szCs w:val="20"/>
        </w:rPr>
        <w:t>Bruyndonckx</w:t>
      </w:r>
      <w:proofErr w:type="spellEnd"/>
      <w:r w:rsidRPr="005D2363">
        <w:rPr>
          <w:rFonts w:cs="Times New Roman"/>
          <w:szCs w:val="20"/>
        </w:rPr>
        <w:t xml:space="preserve"> et al.</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{"citationID":"KZGGDQKS","properties":{"formattedCitation":"\\super 23\\nosupersub{}","plainCitation":"23","noteIndex":0},"citationItems":[{"id":112651,"uris":["http://zotero.org/groups/2154524/items/HPBG2HQN"],"itemData":{"id":112651,"type":"article-journal","abstract":"To complement analyses of the linear trend and seasonal fluctuation of European outpatient antibiotic use expressed in defined daily doses (DDD) by analyses of data in packages, to assess the agreement between both measures and to study changes in the number of DDD per package over time.Data on outpatient antibiotic use, aggregated at the level of the active substance (WHO version 2011) were collected from 2000 to 2007 for 31 countries and expressed in DDD and packages per 1000 inhabitants per day (DID and PID, respectively). Data expressed in DID and PID were analysed separately using non-linear mixed models while the agreement between these measurements was analysed through a joint non-linear mixed model. The change in DDD per package over time was studied with a linear mixed model.Total outpatient antibiotic and penicillin use in Europe and their seasonal fluctuation significantly increased in DID, but not in PID. The use of combinations of penicillins significantly increased in DID and in PID. Broad-spectrum penicillin use did not increase significantly in DID and decreased significantly in PID. For all but one subgroup, country-specific deviations moved in the same direction whether measured in DID or PID. The correlations are not perfect. The DDD per package increased significantly over time for all but one subgroup.Outpatient antibiotic use in Europe shows contrasting trends, depending on whether DID or PID is used as the measure. The increase of the DDD per package corroborates the recommendation to adopt PID to monitor outpatient antibiotic use in Europe.","container-title":"Journal of Antimicrobial Chemotherapy","DOI":"10.1093/jac/dku063","ISSN":"0305-7453","issue":"7","journalAbbreviation":"Journal of Antimicrobial Chemotherapy","page":"1981-1986","source":"Silverchair","title":"Measuring trends of outpatient antibiotic use in Europe: jointly modelling longitudinal data in defined daily doses and packages","title-short":"Measuring trends of outpatient antibiotic use in Europe","volume":"69","author":[{"family":"Bruyndonckx","given":"Robin"},{"family":"Hens","given":"Niel"},{"family":"Aerts","given":"Marc"},{"family":"Goossens","given":"Herman"},{"family":"Molenberghs","given":"Geert"},{"family":"Coenen","given":"Samuel"}],"issued":{"date-parts":[["2014",7,1]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23</w:t>
      </w:r>
      <w:r w:rsidRPr="005D2363">
        <w:rPr>
          <w:rFonts w:cs="Times New Roman"/>
          <w:color w:val="2B579A"/>
          <w:szCs w:val="20"/>
          <w:shd w:val="clear" w:color="auto" w:fill="E6E6E6"/>
        </w:rPr>
        <w:fldChar w:fldCharType="end"/>
      </w:r>
      <w:r w:rsidRPr="005D2363">
        <w:rPr>
          <w:rFonts w:cs="Times New Roman"/>
          <w:szCs w:val="20"/>
        </w:rPr>
        <w:t xml:space="preserve"> demonstrated how the typical content of an original antibiotic package has significantly increased in European countries over time, with substantial differences between countries and antibiotic groups (apart from fluoroquinolones); this alone has important implications for understanding the link between antibiotic usage and resistance development, and consequently on resultant mortality rates. Likewise, inconsistent associations and predictions of resistance can be observed when DDDs are compared with different metrics, such as “packages per 1000 inhabitants per day (PID)”.</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{"citationID":"CnzJBvMu","properties":{"formattedCitation":"\\super 24\\nosupersub{}","plainCitation":"24","noteIndex":0},"citationItems":[{"id":112648,"uris":["http://zotero.org/groups/2154524/items/UE3GDFLF"],"itemData":{"id":112648,"type":"article-journal","abstract":"The objective of this study was to explore the association between resistance and outpatient antibiotic use, expressed as either DDDs per 1000 inhabitants per day (DID) or packages per 1000 inhabitants per day (PID).IMS Health data on outpatient penicillin and cephalosporin (β-lactam) and tetracycline, macrolide, lincosamide and streptogramin (TMLS) use, aggregated at the level of the active substance (WHO version 2011) expressed as DID and PID (2000–07) were linked to European Antimicrobial Resistance Surveillance System (EARSS) data on proportions of penicillin-non-susceptible Streptococcus pneumoniae (PNSP) and erythromycin-non-susceptible S. pneumoniae (ENSP) (2000–09). Combined data for 27 European countries were analysed with a generalized linear mixed model. Model fit for use in DID, PID or both and 0, 1 or 2 year time lags between use and resistance was assessed and predictions of resistance were made for decreasing use expressed as DID, PID or both.When exploring the association between β-lactam use and PNSP, the best model fit was obtained for use in PID without time lag. For the association between TMLS use and ENSP, the best model fit was obtained for use in both PID and DID with a 1 year time lag. PNSP and ENSP are predicted to decrease when use decreases in PID, but not when use decreases in DID.Associations between outpatient antibiotic use and resistance and predictions of resistance were inconsistent whether expressing antibiotic use as DID or PID. We recommend that data on antibiotic use be expressed as PID and that time lags between use and resistance be considered when exploring these associations.","container-title":"Journal of Antimicrobial Chemotherapy","DOI":"10.1093/jac/dku525","ISSN":"0305-7453","issue":"4","journalAbbreviation":"Journal of Antimicrobial Chemotherapy","page":"1241-1244","source":"Silverchair","title":"Exploring the association between resistance and outpatient antibiotic use expressed as DDDs or packages","volume":"70","author":[{"family":"Bruyndonckx","given":"Robin"},{"family":"Hens","given":"Niel"},{"family":"Aerts","given":"Marc"},{"family":"Goossens","given":"Herman"},{"family":"Cortiñas Abrahantes","given":"José"},{"family":"Coenen","given":"Samuel"}],"issued":{"date-parts":[["2015",4,1]]}}}],"schema":"https://github.com/citation-style-language/schema/raw/master/csl-citation.json"}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24</w:t>
      </w:r>
      <w:r w:rsidRPr="005D2363">
        <w:rPr>
          <w:rFonts w:cs="Times New Roman"/>
          <w:color w:val="2B579A"/>
          <w:szCs w:val="20"/>
          <w:shd w:val="clear" w:color="auto" w:fill="E6E6E6"/>
        </w:rPr>
        <w:fldChar w:fldCharType="end"/>
      </w:r>
      <w:r w:rsidRPr="005D2363">
        <w:rPr>
          <w:rFonts w:cs="Times New Roman"/>
          <w:szCs w:val="20"/>
        </w:rPr>
        <w:t xml:space="preserve"> We should also consider mathematical and theoretical models that indicate how consumption-resistance relationships are usually nonlinear,</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{"citationID":"HuLos6Cd","properties":{"formattedCitation":"\\super 25\\nosupersub{}","plainCitation":"25","noteIndex":0},"citationItems":[{"id":112696,"uris":["http://zotero.org/groups/2154524/items/XK9M4M6A"],"itemData":{"id":112696,"type":"article-journal","abstract":"Balancing access to antibiotics with the control of antibiotic resistance is a global public health priority. At present, antibiotic stewardship is informed by a 'use it and lose it' principle, in which antibiotic use by the population is linearly related to resistance rates. However, theoretical and mathematical models suggest that use-resistance relationships are nonlinear. One explanation for this is that resistance genes are commonly associated with 'fitness costs' that impair the replication or transmissibility of the pathogen. Therefore, resistant genes and pathogens may only gain a survival advantage where antibiotic selection pressures exceed critical thresholds. These thresholds may provide quantitative targets for stewardship-optimizing the control of resistance while avoiding over-restriction of antibiotics. Here, we evaluated the generalizability of a nonlinear time-series analysis approach for identifying thresholds using historical prescribing and microbiological data from five populations in Europe. We identified minimum thresholds in temporal relationships between the use of selected antibiotics and incidence rates of carbapenem-resistant Acinetobacter baumannii (Hungary), extended-spectrum β-lactamase-producing Escherichia coli (Spain), cefepime-resistant E. coli (Spain), gentamicin-resistant Pseudomonas aeruginosa (France) and methicillin-resistant Staphylococcus aureus (Northern Ireland) in different epidemiological phases. Using routinely generated data, our approach can identify context-specific quantitative targets for rationalizing population antibiotic use and controlling resistance. Prospective intervention studies that restrict antibiotic consumption are needed to validate these thresholds.","container-title":"Nat Microbiol","DOI":"10.1038/s41564-019-0410-0","ISSN":"2058-5276","issue":"7","journalAbbreviation":"Nat Microbiol","language":"eng","note":"PMID: 30962570","page":"1160-1172","source":"PubMed","title":"A nonlinear time-series analysis approach to identify thresholds in associations between population antibiotic use and rates of resistance","volume":"4","author":[{"family":"López-Lozano","given":"José-María"},{"family":"Lawes","given":"Timothy"},{"family":"Nebot","given":"César"},{"family":"Beyaert","given":"Arielle"},{"family":"Bertrand","given":"Xavier"},{"family":"Hocquet","given":"Didier"},{"family":"Aldeyab","given":"Mamoon"},{"family":"Scott","given":"Michael"},{"family":"Conlon-Bingham","given":"Geraldine"},{"family":"Farren","given":"David"},{"family":"Kardos","given":"Gábor"},{"family":"Fésűs","given":"Adina"},{"family":"Rodríguez-Baño","given":"Jesús"},{"family":"Retamar","given":"Pilar"},{"family":"Gonzalo-Jiménez","given":"Nieves"},{"family":"Gould","given":"Ian M."},{"literal":"THRESHOLDS study group"}],"issued":{"date-parts":[["2019",7]]}}}],"schema":"https://github.com/citation-style-language/schema/raw/master/csl-citation.json"}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25</w:t>
      </w:r>
      <w:r w:rsidRPr="005D2363">
        <w:rPr>
          <w:rFonts w:cs="Times New Roman"/>
          <w:color w:val="2B579A"/>
          <w:szCs w:val="20"/>
          <w:shd w:val="clear" w:color="auto" w:fill="E6E6E6"/>
        </w:rPr>
        <w:fldChar w:fldCharType="end"/>
      </w:r>
      <w:r w:rsidRPr="005D2363">
        <w:rPr>
          <w:rFonts w:cs="Times New Roman"/>
          <w:szCs w:val="20"/>
        </w:rPr>
        <w:t xml:space="preserve"> while patient-related determinants of antibiotic use must also be taken into account.</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{"citationID":"MuCPOUVp","properties":{"formattedCitation":"\\super 26\\nosupersub{}","plainCitation":"26","noteIndex":0},"citationItems":[{"id":114498,"uris":["http://zotero.org/groups/2154524/items/G92NPTJC"],"itemData":{"id":114498,"type":"article-journal","abstract":"OBJECTIVES: We aimed to assess patient-related determinants potentially influencing antibiotic use.\nMETHODS: Studies published in MEDLINE until 30 September 2015 were searched. We included: qualitative studies describing patients' self-reported determinants of antibiotic use; and quantitative studies on either self-reported or objectively assessed determinants associated with antibiotic use. Whenever possible, reported determinants were categorized as 'barriers' or 'facilitators' of responsible antibiotic use.\nRESULTS: A total of 87 studies from 33 countries were included. Seventy-five (86.2%) were quantitative and described self-reported (45/75, 60.0%), objectively assessed (20/75, 26.7%) or self-reported and objectively assessed (10/75, 13.3%) patient-related determinants. Twelve (12/87, 13.8%) were qualitative studies or had a qualitative and quantitative component. Eighty-six of the studies (98.8%) concerned the outpatient setting. We identified seven broad categories of determinants having an impact on different aspects of antibiotic use (in descending order of frequency): demographic and socio-economic characteristics, patient-doctor interactions (e.g. counselling), treatment characteristics (e.g. administration frequency), attitudes (e.g. expecting antibiotics), access to treatment (e.g. patients' direct costs), characteristics of the condition for which the antibiotic was prescribed (e.g. duration of symptoms), knowledge (e.g. regarding indications for treatment). Most determinants were classified as 'barriers' to responsible antibiotic use.\nCONCLUSION: A large variety of patient-related determinants impact antibiotic use. The most easily 'modifiable' determinants concern patient-doctor interactions, treatment characteristics and knowledge. Data from the inpatient setting and low- and middle-income countries were underrepresented. Further studies should develop and test interventions that take these determinants into account with the ultimate aim of improving responsible use of antibiotics.","container-title":"Clinical Microbiology and Infection: The Official Publication of the European Society of Clinical Microbiology and Infectious Diseases","DOI":"10.1016/j.cmi.2018.04.031","ISSN":"1469-0691","issue":"1","journalAbbreviation":"Clin Microbiol Infect","language":"eng","note":"PMID: 29777927","page":"48-53","source":"PubMed","title":"Patient-related determinants of antibiotic use: a systematic review","title-short":"Patient-related determinants of antibiotic use","volume":"25","author":[{"family":"Zanichelli","given":"V."},{"family":"Tebano","given":"G."},{"family":"Gyssens","given":"I. C."},{"family":"Vlahović-Palčevski","given":"V."},{"family":"Monnier","given":"A. A."},{"family":"Stanic Benic","given":"M."},{"family":"Harbarth","given":"S."},{"family":"Hulscher","given":"M."},{"family":"Pulcini","given":"C."},{"family":"Huttner","given":"B. D."}],"issued":{"date-parts":[["2019",1]]}}}],"schema":"https://github.com/citation-style-language/schema/raw/master/csl-citation.json"}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26</w:t>
      </w:r>
      <w:r w:rsidRPr="005D2363">
        <w:rPr>
          <w:rFonts w:cs="Times New Roman"/>
          <w:color w:val="2B579A"/>
          <w:szCs w:val="20"/>
          <w:shd w:val="clear" w:color="auto" w:fill="E6E6E6"/>
        </w:rPr>
        <w:fldChar w:fldCharType="end"/>
      </w:r>
      <w:r w:rsidRPr="005D2363">
        <w:rPr>
          <w:rFonts w:cs="Times New Roman"/>
          <w:szCs w:val="20"/>
        </w:rPr>
        <w:t xml:space="preserve"> These are some of the reasons why we have decided to pursue separate mortality analyses for different antibiotic groups, prompted also by the recent ECDC/EFSA/EMA report (</w:t>
      </w:r>
      <w:proofErr w:type="spellStart"/>
      <w:r w:rsidRPr="005D2363">
        <w:rPr>
          <w:rFonts w:cs="Times New Roman"/>
          <w:szCs w:val="20"/>
        </w:rPr>
        <w:t>ie</w:t>
      </w:r>
      <w:proofErr w:type="spellEnd"/>
      <w:r w:rsidRPr="005D2363">
        <w:rPr>
          <w:rFonts w:cs="Times New Roman"/>
          <w:szCs w:val="20"/>
        </w:rPr>
        <w:t>, ECDC in collaboration with European Food Safety Authority and European Medicine Agency),</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{"citationID":"UANKhSTE","properties":{"formattedCitation":"\\super 27\\nosupersub{}","plainCitation":"27","noteIndex":0},"citationItems":[{"id":112674,"uris":["http://zotero.org/groups/2154524/items/ERTNXWDM"],"itemData":{"id":112674,"type":"article-journal","abstract":"The third joint inter-agency report on integrated analysis of antimicrobial consumption (AMC) and the occurrence of antimicrobial resistance (AMR) in bacteria from humans and food-producing animals (JIACRA) addressed data obtained by the Agencies' EU-wide surveillance networks for 2016–2018. AMC in both sectors, expressed in mg/kg of estimated biomass, was compared at country and European level. Substantial variations in AMC between countries were observed in human and food animal sectors. In each year over the period 2016–2018, overall AMC was lower in food-producing animals (for example in 2017, 108.3 mg/kg, range 3.1–423.1) than in humans (for example in 2017, 130.0 mg/kg; range 52.8–212.6). This is the first time this situation has been reported since JIACRA analyses were initiated on 2011 data. Univariate and multivariate analyses were applied to study associations between AMC and AMR for selected combinations of bacteria and antimicrobials. In both food-producing animals and humans, associations were generally observed between the consumption of an antimicrobial class and bacterial resistance to the antimicrobials in this class in the same population. The multivariate analysis proved to be a useful approach for assessing the statistical significance and relative strength of associations between the occurrence of AMR in bacteria from humans, AMR in bacteria from food-producing animals and AMC in both food-producing animals and humans. For certain combinations of bacteria and antimicrobials, resistance in bacteria from humans was associated with resistance in bacteria from food-producing animals which, in turn, was related to antimicrobial consumption in animals. The analyses showed that the relative strength of these associations differed markedly depending on antimicrobial class, microorganism and sector. Overall, the findings suggest that further interventions to reduce AMC will have a beneficial impact on AMR, which underlines the need to promote prudent use of antimicrobial agents in conjunction with infection control, prevention of infection and other relevant measures in both humans and foodproducing animals. The high levels of AMC and AMR still being reported in animals and humans from several countries show that these interventions should be reinforced.","container-title":"EFSA Journal","DOI":"10.2903/j.efsa.2021.6712","ISSN":"1831-4732","issue":"6","language":"en","note":"_eprint: https://onlinelibrary.wiley.com/doi/pdf/10.2903/j.efsa.2021.6712","page":"e06712","source":"Wiley Online Library","title":"Third joint inter-agency report on integrated analysis of consumption of antimicrobial agents and occurrence of antimicrobial resistance in bacteria from humans and food-producing animals in the EU/EEA","volume":"19","author":[{"literal":"European Centre for Disease Prevention and Control (ECDC)"},{"family":"Authority (EFSA)","given":"European Food Safety"},{"family":"Agency (EMA)","given":"European Medicines"}],"issued":{"date-parts":[["2021"]]}}}],"schema":"https://github.com/citation-style-language/schema/raw/master/csl-citation.json"}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27</w:t>
      </w:r>
      <w:r w:rsidRPr="005D2363">
        <w:rPr>
          <w:rFonts w:cs="Times New Roman"/>
          <w:color w:val="2B579A"/>
          <w:szCs w:val="20"/>
          <w:shd w:val="clear" w:color="auto" w:fill="E6E6E6"/>
        </w:rPr>
        <w:fldChar w:fldCharType="end"/>
      </w:r>
      <w:r w:rsidRPr="005D2363">
        <w:rPr>
          <w:rFonts w:cs="Times New Roman"/>
          <w:szCs w:val="20"/>
        </w:rPr>
        <w:t xml:space="preserve"> and we expect that our research may influence the development of an optimal metric for future estimations.</w:t>
      </w:r>
    </w:p>
    <w:p w14:paraId="0F1F4121" w14:textId="615AA7A4" w:rsidR="003B2FB7" w:rsidRPr="005D2363" w:rsidRDefault="000F4642" w:rsidP="000F4642">
      <w:pPr>
        <w:rPr>
          <w:rFonts w:cs="Times New Roman"/>
          <w:szCs w:val="20"/>
        </w:rPr>
      </w:pPr>
      <w:r w:rsidRPr="005D2363">
        <w:rPr>
          <w:rFonts w:cs="Times New Roman"/>
          <w:szCs w:val="20"/>
        </w:rPr>
        <w:t>In addition, from 2019, EUCAST has changed the long-held definitions of antimicrobial susceptibility testing (AST) categories susceptible (S), intermediate (I), and resistant (R) to susceptible with standard dosing regimen, susceptible with increased exposure, and resistant, respectively.</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{"citationID":"cZc1sAVK","properties":{"formattedCitation":"\\super 28\\nosupersub{}","plainCitation":"28","noteIndex":0},"citationItems":[{"id":112722,"uris":["http://zotero.org/groups/2154524/items/NQIW6DX9"],"itemData":{"id":112722,"type":"webpage","title":"Breakpoint tables for interpretation of MICs and zone diameters, Version 12.0, 2022","URL":"https://www.eucast.org/clinical_breakpoints","author":[{"literal":"The European Committee on Antimicrobial Susceptibility Testing"}],"accessed":{"date-parts":[["2021",1,3]]}}}],"schema":"https://github.com/citation-style-language/schema/raw/master/csl-citation.json"}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28</w:t>
      </w:r>
      <w:r w:rsidRPr="005D2363">
        <w:rPr>
          <w:rFonts w:cs="Times New Roman"/>
          <w:color w:val="2B579A"/>
          <w:szCs w:val="20"/>
          <w:shd w:val="clear" w:color="auto" w:fill="E6E6E6"/>
        </w:rPr>
        <w:fldChar w:fldCharType="end"/>
      </w:r>
      <w:r w:rsidRPr="005D2363">
        <w:rPr>
          <w:rFonts w:cs="Times New Roman"/>
          <w:szCs w:val="20"/>
        </w:rPr>
        <w:t xml:space="preserve"> This is in contrast with CLSI clinical breakpoints</w:t>
      </w:r>
      <w:r w:rsidRPr="005D2363">
        <w:rPr>
          <w:rFonts w:cs="Times New Roman"/>
          <w:color w:val="2B579A"/>
          <w:szCs w:val="20"/>
          <w:shd w:val="clear" w:color="auto" w:fill="E6E6E6"/>
        </w:rPr>
        <w:fldChar w:fldCharType="begin"/>
      </w:r>
      <w:r w:rsidR="00BE32E5">
        <w:rPr>
          <w:rFonts w:cs="Times New Roman"/>
          <w:szCs w:val="20"/>
        </w:rPr>
        <w:instrText xml:space="preserve"> ADDIN ZOTERO_ITEM CSL_CITATION {"citationID":"DNYKWzHs","properties":{"formattedCitation":"\\super 29\\nosupersub{}","plainCitation":"29","noteIndex":0},"citationItems":[{"id":113122,"uris":["http://zotero.org/groups/2154524/items/TVU4B28X"],"itemData":{"id":113122,"type":"document","title":"Performance standards for antimicrobial susceptibility testing. 31st ed. CLSI supplement M100. Wayne, PA. 2021","URL":"https://clsi.org/media/z2uhcbmv/m100ed31_sample.pdf","author":[{"family":"Clinical and Laboratory Standards Institute.","given":""}],"accessed":{"date-parts":[["2022",9,1]]}}}],"schema":"https://github.com/citation-style-language/schema/raw/master/csl-citation.json"} </w:instrText>
      </w:r>
      <w:r w:rsidRPr="005D2363">
        <w:rPr>
          <w:rFonts w:cs="Times New Roman"/>
          <w:color w:val="2B579A"/>
          <w:szCs w:val="20"/>
          <w:shd w:val="clear" w:color="auto" w:fill="E6E6E6"/>
        </w:rPr>
        <w:fldChar w:fldCharType="separate"/>
      </w:r>
      <w:r w:rsidR="00BE32E5" w:rsidRPr="00BE32E5">
        <w:rPr>
          <w:rFonts w:cs="Times New Roman"/>
          <w:szCs w:val="24"/>
          <w:vertAlign w:val="superscript"/>
        </w:rPr>
        <w:t>29</w:t>
      </w:r>
      <w:r w:rsidRPr="005D2363">
        <w:rPr>
          <w:rFonts w:cs="Times New Roman"/>
          <w:color w:val="2B579A"/>
          <w:szCs w:val="20"/>
          <w:shd w:val="clear" w:color="auto" w:fill="E6E6E6"/>
        </w:rPr>
        <w:fldChar w:fldCharType="end"/>
      </w:r>
      <w:r w:rsidRPr="005D2363">
        <w:rPr>
          <w:rFonts w:cs="Times New Roman"/>
          <w:szCs w:val="20"/>
        </w:rPr>
        <w:t xml:space="preserve"> and methodology, which uses the classic trifecta of AST categories, although they are also changing their approach towards ‘susceptible - dose dependent’ instead of intermediate category for several pathogen-drug combinations.</w:t>
      </w:r>
    </w:p>
    <w:p w14:paraId="260E6038" w14:textId="4EC8E8C0" w:rsidR="000556FD" w:rsidRPr="005D2363" w:rsidRDefault="000556FD">
      <w:r>
        <w:rPr>
          <w:noProof/>
          <w:lang w:val="en-GB" w:eastAsia="en-GB"/>
        </w:rPr>
        <w:br w:type="page"/>
      </w:r>
    </w:p>
    <w:p w14:paraId="0AAE4CC2" w14:textId="4DFF5113" w:rsidR="007C4F19" w:rsidRDefault="04127AEC" w:rsidP="00A94BD8">
      <w:pPr>
        <w:pStyle w:val="Heading1"/>
        <w:spacing w:line="360" w:lineRule="auto"/>
      </w:pPr>
      <w:bookmarkStart w:id="215" w:name="_Toc135992051"/>
      <w:r>
        <w:lastRenderedPageBreak/>
        <w:t xml:space="preserve">Section 4: </w:t>
      </w:r>
      <w:r w:rsidR="3B62B8DA" w:rsidRPr="0081609C">
        <w:t>Supplementary Tables and Figures</w:t>
      </w:r>
      <w:bookmarkEnd w:id="215"/>
    </w:p>
    <w:p w14:paraId="56D62CB4" w14:textId="0C5AACAB" w:rsidR="00303426" w:rsidRPr="00303426" w:rsidRDefault="00303426" w:rsidP="00303426">
      <w:r w:rsidRPr="00810235">
        <w:rPr>
          <w:b/>
          <w:bCs/>
        </w:rPr>
        <w:t>Supplementary Figure 1</w:t>
      </w:r>
      <w:r>
        <w:t>.</w:t>
      </w:r>
      <w:r w:rsidRPr="0081609C">
        <w:t xml:space="preserve"> </w:t>
      </w:r>
      <w:r w:rsidR="00571ABD">
        <w:t>Flowchart of antimicrobial resistance fatal and non-fatal estimation steps</w:t>
      </w:r>
    </w:p>
    <w:p w14:paraId="696D502E" w14:textId="77777777" w:rsidR="00303426" w:rsidRDefault="00303426">
      <w:pPr>
        <w:spacing w:after="0"/>
        <w:ind w:left="-722" w:right="-1266"/>
      </w:pPr>
      <w:r>
        <w:rPr>
          <w:noProof/>
          <w:color w:val="2B579A"/>
          <w:shd w:val="clear" w:color="auto" w:fill="E6E6E6"/>
        </w:rPr>
        <w:drawing>
          <wp:inline distT="0" distB="0" distL="0" distR="0" wp14:anchorId="21A9F630" wp14:editId="7EBF499D">
            <wp:extent cx="5494655" cy="6823495"/>
            <wp:effectExtent l="0" t="0" r="0" b="0"/>
            <wp:docPr id="3744" name="Picture 3744"/>
            <wp:cNvGraphicFramePr/>
            <a:graphic xmlns:a="http://schemas.openxmlformats.org/drawingml/2006/main">
              <a:graphicData uri="http://schemas.openxmlformats.org/drawingml/2006/picture">
                <pic:pic xmlns:pic="http://schemas.openxmlformats.org/drawingml/2006/picture">
                  <pic:nvPicPr>
                    <pic:cNvPr id="3744" name="Picture 3744"/>
                    <pic:cNvPicPr/>
                  </pic:nvPicPr>
                  <pic:blipFill>
                    <a:blip r:embed="rId9"/>
                    <a:stretch>
                      <a:fillRect/>
                    </a:stretch>
                  </pic:blipFill>
                  <pic:spPr>
                    <a:xfrm>
                      <a:off x="0" y="0"/>
                      <a:ext cx="5565705" cy="6911728"/>
                    </a:xfrm>
                    <a:prstGeom prst="rect">
                      <a:avLst/>
                    </a:prstGeom>
                  </pic:spPr>
                </pic:pic>
              </a:graphicData>
            </a:graphic>
          </wp:inline>
        </w:drawing>
      </w:r>
    </w:p>
    <w:p w14:paraId="6DE0763A" w14:textId="5C8B6647" w:rsidR="002E32AC" w:rsidRDefault="002E32AC">
      <w:pPr>
        <w:rPr>
          <w:b/>
          <w:bCs/>
        </w:rPr>
      </w:pPr>
      <w:r>
        <w:rPr>
          <w:b/>
          <w:bCs/>
        </w:rPr>
        <w:br w:type="page"/>
      </w:r>
    </w:p>
    <w:p w14:paraId="36B0F54F" w14:textId="2161402A" w:rsidR="006C6D10" w:rsidRPr="00D30A5A" w:rsidRDefault="00C36426" w:rsidP="00D15703">
      <w:pPr>
        <w:spacing w:line="240" w:lineRule="auto"/>
      </w:pPr>
      <w:r>
        <w:rPr>
          <w:noProof/>
          <w:color w:val="2B579A"/>
          <w:shd w:val="clear" w:color="auto" w:fill="E6E6E6"/>
        </w:rPr>
        <w:lastRenderedPageBreak/>
        <w:drawing>
          <wp:anchor distT="0" distB="0" distL="114300" distR="114300" simplePos="0" relativeHeight="251658241" behindDoc="0" locked="0" layoutInCell="1" allowOverlap="1" wp14:anchorId="7485060B" wp14:editId="340B0858">
            <wp:simplePos x="0" y="0"/>
            <wp:positionH relativeFrom="margin">
              <wp:posOffset>-142240</wp:posOffset>
            </wp:positionH>
            <wp:positionV relativeFrom="paragraph">
              <wp:posOffset>381000</wp:posOffset>
            </wp:positionV>
            <wp:extent cx="6734175" cy="5614670"/>
            <wp:effectExtent l="0" t="0" r="9525" b="5080"/>
            <wp:wrapThrough wrapText="bothSides">
              <wp:wrapPolygon edited="0">
                <wp:start x="0" y="0"/>
                <wp:lineTo x="0" y="21546"/>
                <wp:lineTo x="21569" y="21546"/>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175" cy="561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703" w:rsidRPr="00810235">
        <w:rPr>
          <w:b/>
          <w:bCs/>
        </w:rPr>
        <w:t xml:space="preserve">Supplementary Figure </w:t>
      </w:r>
      <w:r w:rsidR="00571ABD">
        <w:rPr>
          <w:b/>
          <w:bCs/>
        </w:rPr>
        <w:t>2</w:t>
      </w:r>
      <w:r w:rsidR="00D15703">
        <w:t>.</w:t>
      </w:r>
      <w:r w:rsidR="00D15703" w:rsidRPr="0081609C">
        <w:t xml:space="preserve"> </w:t>
      </w:r>
      <w:r w:rsidR="00D30A5A">
        <w:t xml:space="preserve">DALYs (count) </w:t>
      </w:r>
      <w:r w:rsidR="00D30A5A">
        <w:rPr>
          <w:i/>
          <w:iCs/>
        </w:rPr>
        <w:t>attributable to</w:t>
      </w:r>
      <w:r w:rsidR="00D30A5A">
        <w:t xml:space="preserve"> bacterial antimicrobial resistance by pathogen-drug combinations, 2019.</w:t>
      </w:r>
    </w:p>
    <w:p w14:paraId="75705BA7" w14:textId="033FEC22" w:rsidR="004E15A0" w:rsidRDefault="004E15A0"/>
    <w:p w14:paraId="26328CD6" w14:textId="77777777" w:rsidR="004E15A0" w:rsidRPr="004E15A0" w:rsidRDefault="004E15A0" w:rsidP="004E15A0"/>
    <w:p w14:paraId="643520E8" w14:textId="77777777" w:rsidR="004E15A0" w:rsidRPr="004E15A0" w:rsidRDefault="004E15A0" w:rsidP="004E15A0"/>
    <w:p w14:paraId="58A2BDD2" w14:textId="77777777" w:rsidR="004E15A0" w:rsidRPr="004E15A0" w:rsidRDefault="004E15A0" w:rsidP="004E15A0"/>
    <w:p w14:paraId="51E88D28" w14:textId="77777777" w:rsidR="004E15A0" w:rsidRPr="004E15A0" w:rsidRDefault="004E15A0" w:rsidP="004E15A0"/>
    <w:p w14:paraId="6EC1C60B" w14:textId="77777777" w:rsidR="004E15A0" w:rsidRPr="004E15A0" w:rsidRDefault="004E15A0" w:rsidP="004E15A0"/>
    <w:p w14:paraId="058AA134" w14:textId="77777777" w:rsidR="00C36426" w:rsidRDefault="00C36426">
      <w:pPr>
        <w:rPr>
          <w:b/>
          <w:bCs/>
        </w:rPr>
      </w:pPr>
      <w:r>
        <w:rPr>
          <w:b/>
          <w:bCs/>
        </w:rPr>
        <w:br w:type="page"/>
      </w:r>
    </w:p>
    <w:p w14:paraId="6F068EAC" w14:textId="2AE75CA2" w:rsidR="00D34306" w:rsidRPr="00D12746" w:rsidRDefault="00D34306">
      <w:r w:rsidRPr="00810235">
        <w:rPr>
          <w:b/>
          <w:bCs/>
        </w:rPr>
        <w:lastRenderedPageBreak/>
        <w:t xml:space="preserve">Supplementary Figure </w:t>
      </w:r>
      <w:r w:rsidR="00571ABD">
        <w:rPr>
          <w:b/>
          <w:bCs/>
        </w:rPr>
        <w:t>3</w:t>
      </w:r>
      <w:r>
        <w:rPr>
          <w:b/>
          <w:bCs/>
        </w:rPr>
        <w:t xml:space="preserve">. </w:t>
      </w:r>
      <w:r w:rsidR="00C708F9">
        <w:t xml:space="preserve">DALYs (count) </w:t>
      </w:r>
      <w:r w:rsidR="00C708F9">
        <w:rPr>
          <w:i/>
          <w:iCs/>
        </w:rPr>
        <w:t>associated with</w:t>
      </w:r>
      <w:r w:rsidR="00D12746">
        <w:t xml:space="preserve"> bacterial antimicrobial resistan</w:t>
      </w:r>
      <w:r w:rsidR="00E96AB9">
        <w:t>ce by pathogen-drug combinations, 2019.</w:t>
      </w:r>
    </w:p>
    <w:p w14:paraId="68D20A3D" w14:textId="77777777" w:rsidR="00E64871" w:rsidRDefault="00E64871" w:rsidP="000C6A15">
      <w:pPr>
        <w:spacing w:after="0"/>
        <w:ind w:right="-1272"/>
      </w:pPr>
      <w:r>
        <w:rPr>
          <w:noProof/>
          <w:color w:val="2B579A"/>
          <w:shd w:val="clear" w:color="auto" w:fill="E6E6E6"/>
        </w:rPr>
        <w:drawing>
          <wp:inline distT="0" distB="0" distL="0" distR="0" wp14:anchorId="5CDFBBCC" wp14:editId="76166193">
            <wp:extent cx="6334125" cy="5953125"/>
            <wp:effectExtent l="0" t="0" r="9525" b="9525"/>
            <wp:docPr id="9529" name="Picture 9529"/>
            <wp:cNvGraphicFramePr/>
            <a:graphic xmlns:a="http://schemas.openxmlformats.org/drawingml/2006/main">
              <a:graphicData uri="http://schemas.openxmlformats.org/drawingml/2006/picture">
                <pic:pic xmlns:pic="http://schemas.openxmlformats.org/drawingml/2006/picture">
                  <pic:nvPicPr>
                    <pic:cNvPr id="9529" name="Picture 9529"/>
                    <pic:cNvPicPr/>
                  </pic:nvPicPr>
                  <pic:blipFill>
                    <a:blip r:embed="rId11"/>
                    <a:stretch>
                      <a:fillRect/>
                    </a:stretch>
                  </pic:blipFill>
                  <pic:spPr>
                    <a:xfrm>
                      <a:off x="0" y="0"/>
                      <a:ext cx="6357285" cy="5974892"/>
                    </a:xfrm>
                    <a:prstGeom prst="rect">
                      <a:avLst/>
                    </a:prstGeom>
                  </pic:spPr>
                </pic:pic>
              </a:graphicData>
            </a:graphic>
          </wp:inline>
        </w:drawing>
      </w:r>
    </w:p>
    <w:p w14:paraId="22191E2E" w14:textId="49F04DD3" w:rsidR="000E0DE8" w:rsidRDefault="000E0DE8">
      <w:r>
        <w:br w:type="page"/>
      </w:r>
    </w:p>
    <w:p w14:paraId="1931663D" w14:textId="14557874" w:rsidR="009163BA" w:rsidRDefault="00347207">
      <w:pPr>
        <w:rPr>
          <w:noProof/>
        </w:rPr>
      </w:pPr>
      <w:r w:rsidRPr="00810235">
        <w:rPr>
          <w:b/>
          <w:bCs/>
        </w:rPr>
        <w:lastRenderedPageBreak/>
        <w:t xml:space="preserve">Supplementary Figure </w:t>
      </w:r>
      <w:r w:rsidR="00571ABD">
        <w:rPr>
          <w:b/>
          <w:bCs/>
        </w:rPr>
        <w:t>4</w:t>
      </w:r>
      <w:r w:rsidR="009163BA">
        <w:rPr>
          <w:b/>
          <w:bCs/>
        </w:rPr>
        <w:t xml:space="preserve">. </w:t>
      </w:r>
      <w:r w:rsidR="00595B12" w:rsidRPr="00595B12">
        <w:t>Deaths (age−</w:t>
      </w:r>
      <w:proofErr w:type="spellStart"/>
      <w:r w:rsidR="00595B12" w:rsidRPr="00595B12">
        <w:t>standardised</w:t>
      </w:r>
      <w:proofErr w:type="spellEnd"/>
      <w:r w:rsidR="00595B12" w:rsidRPr="00595B12">
        <w:t xml:space="preserve"> rate per 100k) attributable to bacterial antimicrobial resistance by pathogen and country, 2019</w:t>
      </w:r>
    </w:p>
    <w:p w14:paraId="47ECD04A" w14:textId="6BE02AD5" w:rsidR="003A1FC0" w:rsidRDefault="00307650">
      <w:pPr>
        <w:rPr>
          <w:noProof/>
        </w:rPr>
      </w:pPr>
      <w:r>
        <w:rPr>
          <w:noProof/>
        </w:rPr>
        <w:object w:dxaOrig="12240" w:dyaOrig="9360" w14:anchorId="6E417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87.75pt" o:ole="">
            <v:imagedata r:id="rId12" o:title=""/>
          </v:shape>
          <o:OLEObject Type="Embed" ProgID="Acrobat.Document.DC" ShapeID="_x0000_i1025" DrawAspect="Content" ObjectID="_1748952127" r:id="rId13"/>
        </w:object>
      </w:r>
    </w:p>
    <w:p w14:paraId="38431F6B" w14:textId="77777777" w:rsidR="002D7BDB" w:rsidRDefault="002D7BDB"/>
    <w:p w14:paraId="171987B3" w14:textId="77777777" w:rsidR="002D7BDB" w:rsidRPr="002D7BDB" w:rsidRDefault="002D7BDB" w:rsidP="002D7BDB"/>
    <w:p w14:paraId="0EE45EB3" w14:textId="77777777" w:rsidR="002D7BDB" w:rsidRPr="002D7BDB" w:rsidRDefault="002D7BDB" w:rsidP="002D7BDB"/>
    <w:p w14:paraId="45020C4B" w14:textId="77777777" w:rsidR="002D7BDB" w:rsidRDefault="002D7BDB"/>
    <w:p w14:paraId="28E344FF" w14:textId="31DABE7C" w:rsidR="002D7BDB" w:rsidRDefault="002D7BDB" w:rsidP="002D7BDB">
      <w:pPr>
        <w:tabs>
          <w:tab w:val="left" w:pos="2179"/>
        </w:tabs>
      </w:pPr>
      <w:r>
        <w:tab/>
      </w:r>
    </w:p>
    <w:p w14:paraId="7EFDAA95" w14:textId="006C6EC0" w:rsidR="00733A59" w:rsidRDefault="004B5A58">
      <w:r w:rsidRPr="002D7BDB">
        <w:br w:type="page"/>
      </w:r>
      <w:r w:rsidR="00733A59" w:rsidRPr="00810235">
        <w:rPr>
          <w:b/>
          <w:bCs/>
        </w:rPr>
        <w:lastRenderedPageBreak/>
        <w:t xml:space="preserve">Supplementary Figure </w:t>
      </w:r>
      <w:r w:rsidR="00571ABD">
        <w:rPr>
          <w:b/>
          <w:bCs/>
        </w:rPr>
        <w:t>5</w:t>
      </w:r>
      <w:r w:rsidR="00733A59">
        <w:rPr>
          <w:b/>
          <w:bCs/>
        </w:rPr>
        <w:t xml:space="preserve">. </w:t>
      </w:r>
      <w:r w:rsidR="006A0FB5" w:rsidRPr="006A0FB5">
        <w:t>Deaths (age−</w:t>
      </w:r>
      <w:proofErr w:type="spellStart"/>
      <w:r w:rsidR="006A0FB5" w:rsidRPr="006A0FB5">
        <w:t>standardised</w:t>
      </w:r>
      <w:proofErr w:type="spellEnd"/>
      <w:r w:rsidR="006A0FB5" w:rsidRPr="006A0FB5">
        <w:t xml:space="preserve"> rate per 100k) associated with bacterial antimicrobial resistance by pathogen and country, </w:t>
      </w:r>
      <w:proofErr w:type="gramStart"/>
      <w:r w:rsidR="006A0FB5" w:rsidRPr="006A0FB5">
        <w:t>2019</w:t>
      </w:r>
      <w:proofErr w:type="gramEnd"/>
    </w:p>
    <w:p w14:paraId="13763F1E" w14:textId="5895EBC3" w:rsidR="006A0FB5" w:rsidRDefault="002D090B">
      <w:pPr>
        <w:rPr>
          <w:noProof/>
        </w:rPr>
      </w:pPr>
      <w:r>
        <w:rPr>
          <w:noProof/>
        </w:rPr>
        <w:object w:dxaOrig="12240" w:dyaOrig="9360" w14:anchorId="563AB32A">
          <v:shape id="_x0000_i1026" type="#_x0000_t75" style="width:522pt;height:399pt" o:ole="">
            <v:imagedata r:id="rId14" o:title=""/>
          </v:shape>
          <o:OLEObject Type="Embed" ProgID="Acrobat.Document.DC" ShapeID="_x0000_i1026" DrawAspect="Content" ObjectID="_1748952128" r:id="rId15"/>
        </w:object>
      </w:r>
    </w:p>
    <w:p w14:paraId="289C5B33" w14:textId="29E5C2BB" w:rsidR="00733A59" w:rsidRDefault="00733A59">
      <w:r>
        <w:br w:type="page"/>
      </w:r>
    </w:p>
    <w:p w14:paraId="5778C6A1" w14:textId="7BB05A3B" w:rsidR="00B01361" w:rsidRDefault="00EC00D2">
      <w:r w:rsidRPr="00810235">
        <w:rPr>
          <w:b/>
          <w:bCs/>
        </w:rPr>
        <w:lastRenderedPageBreak/>
        <w:t xml:space="preserve">Supplementary Figure </w:t>
      </w:r>
      <w:r w:rsidR="00571ABD">
        <w:rPr>
          <w:b/>
          <w:bCs/>
        </w:rPr>
        <w:t>6</w:t>
      </w:r>
      <w:r>
        <w:rPr>
          <w:b/>
          <w:bCs/>
        </w:rPr>
        <w:t xml:space="preserve">. </w:t>
      </w:r>
      <w:r w:rsidR="000B0D38" w:rsidRPr="000B0D38">
        <w:t>DALYs (age−</w:t>
      </w:r>
      <w:proofErr w:type="spellStart"/>
      <w:r w:rsidR="000B0D38" w:rsidRPr="000B0D38">
        <w:t>standardised</w:t>
      </w:r>
      <w:proofErr w:type="spellEnd"/>
      <w:r w:rsidR="000B0D38" w:rsidRPr="000B0D38">
        <w:t xml:space="preserve"> rate per 100k) attributable to bacterial antimicrobial resistance by pathogen and country, 2019</w:t>
      </w:r>
    </w:p>
    <w:p w14:paraId="760D1D5B" w14:textId="161D3E99" w:rsidR="00B01361" w:rsidRDefault="00C257A4">
      <w:r>
        <w:object w:dxaOrig="12240" w:dyaOrig="9360" w14:anchorId="1C135B12">
          <v:shape id="_x0000_i1027" type="#_x0000_t75" style="width:523.5pt;height:400.5pt" o:ole="">
            <v:imagedata r:id="rId16" o:title=""/>
          </v:shape>
          <o:OLEObject Type="Embed" ProgID="Acrobat.Document.DC" ShapeID="_x0000_i1027" DrawAspect="Content" ObjectID="_1748952129" r:id="rId17"/>
        </w:object>
      </w:r>
      <w:r w:rsidR="00B01361">
        <w:br w:type="page"/>
      </w:r>
    </w:p>
    <w:p w14:paraId="1F159CF1" w14:textId="6A3339D8" w:rsidR="001325D7" w:rsidRDefault="001325D7" w:rsidP="001325D7">
      <w:r w:rsidRPr="00810235">
        <w:rPr>
          <w:b/>
          <w:bCs/>
        </w:rPr>
        <w:lastRenderedPageBreak/>
        <w:t xml:space="preserve">Supplementary Figure </w:t>
      </w:r>
      <w:r w:rsidR="00571ABD" w:rsidRPr="00905D1D">
        <w:rPr>
          <w:b/>
          <w:bCs/>
        </w:rPr>
        <w:t>7</w:t>
      </w:r>
      <w:r w:rsidR="00CB7558" w:rsidRPr="00905D1D">
        <w:rPr>
          <w:b/>
          <w:bCs/>
        </w:rPr>
        <w:t>.</w:t>
      </w:r>
      <w:r w:rsidR="00CB7558">
        <w:rPr>
          <w:b/>
          <w:bCs/>
        </w:rPr>
        <w:t xml:space="preserve"> </w:t>
      </w:r>
      <w:r w:rsidR="00905D1D" w:rsidRPr="00905D1D">
        <w:t>DALYs (age−</w:t>
      </w:r>
      <w:proofErr w:type="spellStart"/>
      <w:r w:rsidR="00905D1D" w:rsidRPr="00905D1D">
        <w:t>standardised</w:t>
      </w:r>
      <w:proofErr w:type="spellEnd"/>
      <w:r w:rsidR="00905D1D" w:rsidRPr="00905D1D">
        <w:t xml:space="preserve"> rate per 100k) associated with bacterial antimicrobial resistance by pathogen and country, </w:t>
      </w:r>
      <w:proofErr w:type="gramStart"/>
      <w:r w:rsidR="00905D1D" w:rsidRPr="00905D1D">
        <w:t>2019</w:t>
      </w:r>
      <w:proofErr w:type="gramEnd"/>
    </w:p>
    <w:p w14:paraId="59062E72" w14:textId="1A0073BB" w:rsidR="00B62C92" w:rsidRDefault="004665EC" w:rsidP="001325D7">
      <w:r>
        <w:object w:dxaOrig="12240" w:dyaOrig="9360" w14:anchorId="701B6C18">
          <v:shape id="_x0000_i1028" type="#_x0000_t75" style="width:511.5pt;height:391.5pt" o:ole="">
            <v:imagedata r:id="rId18" o:title=""/>
          </v:shape>
          <o:OLEObject Type="Embed" ProgID="Acrobat.Document.DC" ShapeID="_x0000_i1028" DrawAspect="Content" ObjectID="_1748952130" r:id="rId19"/>
        </w:object>
      </w:r>
    </w:p>
    <w:p w14:paraId="126864FC" w14:textId="1EAD60E0" w:rsidR="003800FB" w:rsidRDefault="00CD683D">
      <w:r>
        <w:br w:type="page"/>
      </w:r>
      <w:r w:rsidR="003D58F3" w:rsidRPr="00810235">
        <w:rPr>
          <w:b/>
          <w:bCs/>
        </w:rPr>
        <w:lastRenderedPageBreak/>
        <w:t>Supplementary Figure</w:t>
      </w:r>
      <w:r w:rsidR="000E0BA0">
        <w:rPr>
          <w:b/>
          <w:bCs/>
        </w:rPr>
        <w:t xml:space="preserve"> </w:t>
      </w:r>
      <w:r w:rsidR="00571ABD">
        <w:rPr>
          <w:b/>
          <w:bCs/>
        </w:rPr>
        <w:t>8</w:t>
      </w:r>
      <w:r w:rsidR="000E0BA0">
        <w:rPr>
          <w:b/>
          <w:bCs/>
        </w:rPr>
        <w:t xml:space="preserve">. </w:t>
      </w:r>
      <w:r w:rsidR="003800FB" w:rsidRPr="003800FB">
        <w:t>Distribution of deaths (proportion) not associated with, associated with, and attributable to AMR by infectious syndrome.</w:t>
      </w:r>
    </w:p>
    <w:p w14:paraId="7D01978C" w14:textId="77777777" w:rsidR="003800FB" w:rsidRDefault="003800FB">
      <w:r>
        <w:rPr>
          <w:noProof/>
          <w:color w:val="2B579A"/>
          <w:shd w:val="clear" w:color="auto" w:fill="E6E6E6"/>
        </w:rPr>
        <w:drawing>
          <wp:inline distT="0" distB="0" distL="0" distR="0" wp14:anchorId="681BF55B" wp14:editId="523C752A">
            <wp:extent cx="5931535" cy="36817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p>
    <w:p w14:paraId="0F18D285" w14:textId="77777777" w:rsidR="003800FB" w:rsidRDefault="003800FB"/>
    <w:p w14:paraId="28BCDF37" w14:textId="77777777" w:rsidR="003800FB" w:rsidRDefault="003800FB"/>
    <w:p w14:paraId="0E9AE1E1" w14:textId="77777777" w:rsidR="003800FB" w:rsidRDefault="003800FB">
      <w:r>
        <w:br w:type="page"/>
      </w:r>
    </w:p>
    <w:p w14:paraId="560C28DE" w14:textId="2CA457EC" w:rsidR="002B683D" w:rsidRDefault="00AB39A9">
      <w:r w:rsidRPr="00810235">
        <w:rPr>
          <w:b/>
          <w:bCs/>
        </w:rPr>
        <w:lastRenderedPageBreak/>
        <w:t>Supplementary Figure</w:t>
      </w:r>
      <w:r>
        <w:rPr>
          <w:b/>
          <w:bCs/>
        </w:rPr>
        <w:t xml:space="preserve"> </w:t>
      </w:r>
      <w:r w:rsidR="00571ABD">
        <w:rPr>
          <w:b/>
          <w:bCs/>
        </w:rPr>
        <w:t>9</w:t>
      </w:r>
      <w:r>
        <w:rPr>
          <w:b/>
          <w:bCs/>
        </w:rPr>
        <w:t>.</w:t>
      </w:r>
      <w:r w:rsidRPr="00097C2A">
        <w:t xml:space="preserve"> </w:t>
      </w:r>
      <w:r w:rsidR="00097C2A" w:rsidRPr="00097C2A">
        <w:t>Age−</w:t>
      </w:r>
      <w:proofErr w:type="spellStart"/>
      <w:r w:rsidR="00097C2A" w:rsidRPr="00097C2A">
        <w:t>standardi</w:t>
      </w:r>
      <w:r w:rsidR="00097C2A">
        <w:t>s</w:t>
      </w:r>
      <w:r w:rsidR="00097C2A" w:rsidRPr="00097C2A">
        <w:t>ed</w:t>
      </w:r>
      <w:proofErr w:type="spellEnd"/>
      <w:r w:rsidR="00097C2A" w:rsidRPr="00097C2A">
        <w:t xml:space="preserve"> mortality rate associated with AMR by Socio−demographic Index, 2019</w:t>
      </w:r>
    </w:p>
    <w:p w14:paraId="388B0BED" w14:textId="68EEE630" w:rsidR="00CB7558" w:rsidRDefault="001F1AFB">
      <w:r>
        <w:object w:dxaOrig="10080" w:dyaOrig="6480" w14:anchorId="792657D1">
          <v:shape id="_x0000_i1029" type="#_x0000_t75" style="width:486pt;height:324pt" o:ole="">
            <v:imagedata r:id="rId21" o:title=""/>
          </v:shape>
          <o:OLEObject Type="Embed" ProgID="Acrobat.Document.DC" ShapeID="_x0000_i1029" DrawAspect="Content" ObjectID="_1748952131" r:id="rId22"/>
        </w:object>
      </w:r>
      <w:r w:rsidR="00CB7558">
        <w:br w:type="page"/>
      </w:r>
    </w:p>
    <w:p w14:paraId="6E6106C5" w14:textId="02BC48B3" w:rsidR="00B2021E" w:rsidRDefault="00FD4906">
      <w:r w:rsidRPr="00810235">
        <w:rPr>
          <w:b/>
          <w:bCs/>
        </w:rPr>
        <w:lastRenderedPageBreak/>
        <w:t>Supplementary Figure</w:t>
      </w:r>
      <w:r>
        <w:rPr>
          <w:b/>
          <w:bCs/>
        </w:rPr>
        <w:t xml:space="preserve"> </w:t>
      </w:r>
      <w:r w:rsidR="00571ABD">
        <w:rPr>
          <w:b/>
          <w:bCs/>
        </w:rPr>
        <w:t>10</w:t>
      </w:r>
      <w:r>
        <w:rPr>
          <w:b/>
          <w:bCs/>
        </w:rPr>
        <w:t xml:space="preserve">. </w:t>
      </w:r>
      <w:r w:rsidR="004D3A37" w:rsidRPr="004D3A37">
        <w:t>Age−</w:t>
      </w:r>
      <w:proofErr w:type="spellStart"/>
      <w:r w:rsidR="004D3A37" w:rsidRPr="004D3A37">
        <w:t>standardied</w:t>
      </w:r>
      <w:proofErr w:type="spellEnd"/>
      <w:r w:rsidR="004D3A37" w:rsidRPr="004D3A37">
        <w:t xml:space="preserve"> mortality rate attributable to AMR by Socio−demographic Index, 2019</w:t>
      </w:r>
    </w:p>
    <w:p w14:paraId="7DE97F0E" w14:textId="7BA2CB03" w:rsidR="00FD4906" w:rsidRDefault="001F1AFB">
      <w:r>
        <w:object w:dxaOrig="10080" w:dyaOrig="6480" w14:anchorId="1075F694">
          <v:shape id="_x0000_i1030" type="#_x0000_t75" style="width:489.75pt;height:324pt" o:ole="">
            <v:imagedata r:id="rId23" o:title=""/>
          </v:shape>
          <o:OLEObject Type="Embed" ProgID="Acrobat.Document.DC" ShapeID="_x0000_i1030" DrawAspect="Content" ObjectID="_1748952132" r:id="rId24"/>
        </w:object>
      </w:r>
      <w:r w:rsidR="00FD4906">
        <w:br w:type="page"/>
      </w:r>
    </w:p>
    <w:p w14:paraId="748CE82F" w14:textId="1926A27A" w:rsidR="00FB1E87" w:rsidRDefault="00FB1E87" w:rsidP="00FB1E87">
      <w:pPr>
        <w:rPr>
          <w:noProof/>
          <w:lang w:val="en-GB"/>
        </w:rPr>
      </w:pPr>
      <w:r w:rsidRPr="00CA72B0">
        <w:rPr>
          <w:b/>
          <w:bCs/>
          <w:noProof/>
          <w:lang w:val="en-GB"/>
        </w:rPr>
        <w:lastRenderedPageBreak/>
        <w:t xml:space="preserve">Supplementary Figure </w:t>
      </w:r>
      <w:r w:rsidR="00CA72B0" w:rsidRPr="00CA72B0">
        <w:rPr>
          <w:b/>
          <w:bCs/>
          <w:noProof/>
          <w:lang w:val="en-GB"/>
        </w:rPr>
        <w:t>1</w:t>
      </w:r>
      <w:r w:rsidR="00571ABD">
        <w:rPr>
          <w:b/>
          <w:bCs/>
          <w:noProof/>
          <w:lang w:val="en-GB"/>
        </w:rPr>
        <w:t>1</w:t>
      </w:r>
      <w:r w:rsidRPr="00CA72B0">
        <w:rPr>
          <w:b/>
          <w:bCs/>
          <w:noProof/>
          <w:lang w:val="en-GB"/>
        </w:rPr>
        <w:t xml:space="preserve">. </w:t>
      </w:r>
      <w:r w:rsidRPr="00CA72B0">
        <w:rPr>
          <w:noProof/>
          <w:lang w:val="en-GB"/>
        </w:rPr>
        <w:t xml:space="preserve">Prevalence of Methicillin-resistant </w:t>
      </w:r>
      <w:r w:rsidRPr="00CA72B0">
        <w:rPr>
          <w:i/>
          <w:iCs/>
          <w:noProof/>
          <w:lang w:val="en-GB"/>
        </w:rPr>
        <w:t>Staphylococcus aureus</w:t>
      </w:r>
      <w:r w:rsidRPr="00CA72B0">
        <w:rPr>
          <w:noProof/>
          <w:lang w:val="en-GB"/>
        </w:rPr>
        <w:t xml:space="preserve"> in countries of the Americas, 2019.</w:t>
      </w:r>
    </w:p>
    <w:p w14:paraId="5CB43C59" w14:textId="77777777" w:rsidR="00FB1E87" w:rsidRDefault="00FB1E87" w:rsidP="00FB1E87">
      <w:r>
        <w:rPr>
          <w:noProof/>
          <w:color w:val="2B579A"/>
          <w:shd w:val="clear" w:color="auto" w:fill="E6E6E6"/>
        </w:rPr>
        <w:drawing>
          <wp:inline distT="0" distB="0" distL="0" distR="0" wp14:anchorId="75B6A7F2" wp14:editId="28C12ED5">
            <wp:extent cx="5446395" cy="5009322"/>
            <wp:effectExtent l="0" t="0" r="1905" b="1270"/>
            <wp:docPr id="6350516" name="Picture 63505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516" name="Picture 6350516"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2014" cy="5023687"/>
                    </a:xfrm>
                    <a:prstGeom prst="rect">
                      <a:avLst/>
                    </a:prstGeom>
                  </pic:spPr>
                </pic:pic>
              </a:graphicData>
            </a:graphic>
          </wp:inline>
        </w:drawing>
      </w:r>
    </w:p>
    <w:p w14:paraId="13DA1365" w14:textId="2AD4F99B" w:rsidR="00FB1E87" w:rsidRPr="00CA72B0" w:rsidRDefault="00FB1E87">
      <w:r>
        <w:rPr>
          <w:b/>
          <w:bCs/>
        </w:rPr>
        <w:br w:type="page"/>
      </w:r>
    </w:p>
    <w:p w14:paraId="368F2C2E" w14:textId="452CCEE9" w:rsidR="001A48CB" w:rsidRDefault="001A48CB" w:rsidP="001A48CB">
      <w:r w:rsidRPr="00810235">
        <w:rPr>
          <w:b/>
          <w:bCs/>
        </w:rPr>
        <w:lastRenderedPageBreak/>
        <w:t xml:space="preserve">Supplementary Figure </w:t>
      </w:r>
      <w:r>
        <w:rPr>
          <w:b/>
          <w:bCs/>
        </w:rPr>
        <w:t>1</w:t>
      </w:r>
      <w:r w:rsidR="00571ABD">
        <w:rPr>
          <w:b/>
          <w:bCs/>
        </w:rPr>
        <w:t>2</w:t>
      </w:r>
      <w:r>
        <w:rPr>
          <w:b/>
          <w:bCs/>
        </w:rPr>
        <w:t xml:space="preserve">. </w:t>
      </w:r>
      <w:proofErr w:type="spellStart"/>
      <w:r w:rsidRPr="00850918">
        <w:t>Strategi</w:t>
      </w:r>
      <w:r w:rsidR="001F1AFB">
        <w:t>s</w:t>
      </w:r>
      <w:r w:rsidRPr="00850918">
        <w:t>ing</w:t>
      </w:r>
      <w:proofErr w:type="spellEnd"/>
      <w:r w:rsidRPr="00850918">
        <w:t xml:space="preserve"> AMR prevention: Infection control and antimicrobial stewardship</w:t>
      </w:r>
    </w:p>
    <w:p w14:paraId="2D9EBDD9" w14:textId="77777777" w:rsidR="001A48CB" w:rsidRDefault="001A48CB" w:rsidP="001A48CB"/>
    <w:p w14:paraId="0CBD6141" w14:textId="77777777" w:rsidR="001A48CB" w:rsidRDefault="001A48CB" w:rsidP="001A48CB">
      <w:pPr>
        <w:rPr>
          <w:b/>
          <w:bCs/>
        </w:rPr>
      </w:pPr>
      <w:r>
        <w:rPr>
          <w:noProof/>
          <w:color w:val="2B579A"/>
          <w:shd w:val="clear" w:color="auto" w:fill="E6E6E6"/>
        </w:rPr>
        <w:drawing>
          <wp:inline distT="0" distB="0" distL="0" distR="0" wp14:anchorId="3B7C51C5" wp14:editId="2B59D147">
            <wp:extent cx="6487657" cy="4030607"/>
            <wp:effectExtent l="0" t="0" r="8890" b="8255"/>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4129" cy="4053266"/>
                    </a:xfrm>
                    <a:prstGeom prst="rect">
                      <a:avLst/>
                    </a:prstGeom>
                    <a:noFill/>
                    <a:ln>
                      <a:noFill/>
                    </a:ln>
                  </pic:spPr>
                </pic:pic>
              </a:graphicData>
            </a:graphic>
          </wp:inline>
        </w:drawing>
      </w:r>
      <w:r>
        <w:rPr>
          <w:b/>
          <w:bCs/>
        </w:rPr>
        <w:br w:type="page"/>
      </w:r>
    </w:p>
    <w:p w14:paraId="1D74FDAE" w14:textId="77777777" w:rsidR="009D15BD" w:rsidRDefault="009D15BD">
      <w:pPr>
        <w:rPr>
          <w:b/>
          <w:bCs/>
        </w:rPr>
        <w:sectPr w:rsidR="009D15BD" w:rsidSect="00620C59">
          <w:footerReference w:type="default" r:id="rId27"/>
          <w:pgSz w:w="12240" w:h="15840"/>
          <w:pgMar w:top="1440" w:right="1440" w:bottom="1440" w:left="1440" w:header="720" w:footer="720" w:gutter="0"/>
          <w:lnNumType w:countBy="1" w:restart="continuous"/>
          <w:cols w:space="720"/>
          <w:docGrid w:linePitch="360"/>
        </w:sectPr>
      </w:pPr>
    </w:p>
    <w:p w14:paraId="072AAEBB" w14:textId="1AA83EC8" w:rsidR="00DA2415" w:rsidRDefault="00E312C4">
      <w:r>
        <w:rPr>
          <w:b/>
          <w:bCs/>
        </w:rPr>
        <w:lastRenderedPageBreak/>
        <w:t xml:space="preserve">Figure </w:t>
      </w:r>
      <w:r w:rsidR="00E003AC">
        <w:rPr>
          <w:b/>
          <w:bCs/>
        </w:rPr>
        <w:t>13</w:t>
      </w:r>
      <w:r>
        <w:rPr>
          <w:b/>
          <w:bCs/>
        </w:rPr>
        <w:t xml:space="preserve">: </w:t>
      </w:r>
      <w:r w:rsidR="00100163" w:rsidRPr="00100163">
        <w:t xml:space="preserve">Age and sex−specific AMR mortality rates for </w:t>
      </w:r>
      <w:r w:rsidR="00DE3E40">
        <w:t xml:space="preserve">the </w:t>
      </w:r>
      <w:r w:rsidR="00100163" w:rsidRPr="00100163">
        <w:t xml:space="preserve">Region of the Americas and </w:t>
      </w:r>
      <w:r w:rsidR="008A3A73">
        <w:t>six</w:t>
      </w:r>
      <w:r w:rsidR="00100163" w:rsidRPr="00100163">
        <w:t xml:space="preserve"> GBD regions</w:t>
      </w:r>
    </w:p>
    <w:p w14:paraId="2F60CDE4" w14:textId="77777777" w:rsidR="009D15BD" w:rsidRDefault="009D15BD">
      <w:pPr>
        <w:rPr>
          <w:b/>
          <w:bCs/>
        </w:rPr>
      </w:pPr>
    </w:p>
    <w:p w14:paraId="6B7A9F97" w14:textId="3917C7AE" w:rsidR="00E2094E" w:rsidRDefault="00E2094E">
      <w:pPr>
        <w:rPr>
          <w:b/>
          <w:bCs/>
        </w:rPr>
        <w:sectPr w:rsidR="00E2094E" w:rsidSect="009D15BD">
          <w:pgSz w:w="15840" w:h="12240" w:orient="landscape"/>
          <w:pgMar w:top="1440" w:right="1440" w:bottom="1440" w:left="1440" w:header="720" w:footer="720" w:gutter="0"/>
          <w:lnNumType w:countBy="1" w:restart="continuous"/>
          <w:cols w:space="720"/>
          <w:docGrid w:linePitch="360"/>
        </w:sectPr>
      </w:pPr>
      <w:r>
        <w:rPr>
          <w:b/>
          <w:bCs/>
        </w:rPr>
        <w:object w:dxaOrig="11521" w:dyaOrig="6481" w14:anchorId="4B45AB43">
          <v:shape id="_x0000_i1031" type="#_x0000_t75" style="width:8in;height:324pt" o:ole="">
            <v:imagedata r:id="rId28" o:title=""/>
          </v:shape>
          <o:OLEObject Type="Embed" ProgID="Acrobat.Document.DC" ShapeID="_x0000_i1031" DrawAspect="Content" ObjectID="_1748952133" r:id="rId29"/>
        </w:object>
      </w:r>
    </w:p>
    <w:p w14:paraId="2EAB4C7A" w14:textId="3DE5DC85" w:rsidR="00E722F0" w:rsidRDefault="001E1C69">
      <w:r>
        <w:rPr>
          <w:b/>
          <w:bCs/>
        </w:rPr>
        <w:lastRenderedPageBreak/>
        <w:t xml:space="preserve">Figure </w:t>
      </w:r>
      <w:r w:rsidR="00E003AC">
        <w:rPr>
          <w:b/>
          <w:bCs/>
        </w:rPr>
        <w:t>14</w:t>
      </w:r>
      <w:r>
        <w:rPr>
          <w:b/>
          <w:bCs/>
        </w:rPr>
        <w:t xml:space="preserve">: </w:t>
      </w:r>
      <w:r w:rsidR="00E722F0" w:rsidRPr="00E722F0">
        <w:rPr>
          <w:i/>
          <w:iCs/>
        </w:rPr>
        <w:t>S. pneumoniae</w:t>
      </w:r>
      <w:r w:rsidR="00E722F0" w:rsidRPr="00E722F0">
        <w:t xml:space="preserve"> vaccination and AMR mortality</w:t>
      </w:r>
    </w:p>
    <w:p w14:paraId="6510D154" w14:textId="3BEFB161" w:rsidR="00B36FB8" w:rsidRDefault="005A7C4D">
      <w:pPr>
        <w:rPr>
          <w:b/>
          <w:bCs/>
        </w:rPr>
      </w:pPr>
      <w:r>
        <w:rPr>
          <w:b/>
          <w:bCs/>
        </w:rPr>
        <w:object w:dxaOrig="11520" w:dyaOrig="6480" w14:anchorId="75D49C72">
          <v:shape id="_x0000_i1032" type="#_x0000_t75" style="width:510.75pt;height:328.5pt" o:ole="">
            <v:imagedata r:id="rId30" o:title=""/>
          </v:shape>
          <o:OLEObject Type="Embed" ProgID="Acrobat.Document.DC" ShapeID="_x0000_i1032" DrawAspect="Content" ObjectID="_1748952134" r:id="rId31"/>
        </w:object>
      </w:r>
      <w:r w:rsidR="00B36FB8">
        <w:rPr>
          <w:b/>
          <w:bCs/>
        </w:rPr>
        <w:br w:type="page"/>
      </w:r>
    </w:p>
    <w:p w14:paraId="75BD5A2E" w14:textId="2688B191" w:rsidR="00CA72B0" w:rsidRDefault="00CA72B0" w:rsidP="00CA72B0">
      <w:r w:rsidRPr="00CA72B0">
        <w:rPr>
          <w:b/>
          <w:bCs/>
        </w:rPr>
        <w:lastRenderedPageBreak/>
        <w:t>Supplementary Table 1:</w:t>
      </w:r>
      <w:r w:rsidRPr="00CA72B0">
        <w:t xml:space="preserve"> Pathogen-drug combinations with the largest number of deaths and age-</w:t>
      </w:r>
      <w:proofErr w:type="spellStart"/>
      <w:r w:rsidRPr="00CA72B0">
        <w:t>standardised</w:t>
      </w:r>
      <w:proofErr w:type="spellEnd"/>
      <w:r w:rsidRPr="00CA72B0">
        <w:t xml:space="preserve"> mortality rates per 100 000 by counterfactual and country in the Americas, 2019</w:t>
      </w:r>
      <w:r>
        <w:t>.</w:t>
      </w:r>
    </w:p>
    <w:tbl>
      <w:tblPr>
        <w:tblStyle w:val="TableGrid"/>
        <w:tblW w:w="5000" w:type="pct"/>
        <w:tblLook w:val="06A0" w:firstRow="1" w:lastRow="0" w:firstColumn="1" w:lastColumn="0" w:noHBand="1" w:noVBand="1"/>
      </w:tblPr>
      <w:tblGrid>
        <w:gridCol w:w="1624"/>
        <w:gridCol w:w="1078"/>
        <w:gridCol w:w="1890"/>
        <w:gridCol w:w="1907"/>
        <w:gridCol w:w="1535"/>
        <w:gridCol w:w="1306"/>
      </w:tblGrid>
      <w:tr w:rsidR="00CA72B0" w14:paraId="28A2AF9A" w14:textId="77777777" w:rsidTr="00D862F0">
        <w:trPr>
          <w:trHeight w:val="465"/>
        </w:trPr>
        <w:tc>
          <w:tcPr>
            <w:tcW w:w="869" w:type="pct"/>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7C399962"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Country</w:t>
            </w:r>
          </w:p>
        </w:tc>
        <w:tc>
          <w:tcPr>
            <w:tcW w:w="577" w:type="pct"/>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48BE4ACC"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Counterfactual</w:t>
            </w:r>
          </w:p>
        </w:tc>
        <w:tc>
          <w:tcPr>
            <w:tcW w:w="1012" w:type="pct"/>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47485A3D"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Pathogen</w:t>
            </w:r>
          </w:p>
        </w:tc>
        <w:tc>
          <w:tcPr>
            <w:tcW w:w="1021" w:type="pct"/>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DBA9FBD"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Antibiotic class</w:t>
            </w:r>
          </w:p>
        </w:tc>
        <w:tc>
          <w:tcPr>
            <w:tcW w:w="822" w:type="pct"/>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B8EFDBC"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Deaths (count)</w:t>
            </w:r>
          </w:p>
        </w:tc>
        <w:tc>
          <w:tcPr>
            <w:tcW w:w="699" w:type="pct"/>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77A8FA99" w14:textId="77777777" w:rsidR="00CA72B0" w:rsidRDefault="00CA72B0" w:rsidP="00D862F0">
            <w:pPr>
              <w:jc w:val="center"/>
              <w:rPr>
                <w:rFonts w:eastAsia="Times New Roman" w:cs="Times New Roman"/>
                <w:b/>
                <w:bCs/>
                <w:color w:val="000000" w:themeColor="text1"/>
                <w:sz w:val="12"/>
                <w:szCs w:val="12"/>
              </w:rPr>
            </w:pPr>
            <w:r w:rsidRPr="4BFB1015">
              <w:rPr>
                <w:rFonts w:eastAsia="Times New Roman" w:cs="Times New Roman"/>
                <w:b/>
                <w:bCs/>
                <w:color w:val="000000" w:themeColor="text1"/>
                <w:sz w:val="12"/>
                <w:szCs w:val="12"/>
              </w:rPr>
              <w:t>Age standardized rate per 100,000</w:t>
            </w:r>
          </w:p>
        </w:tc>
      </w:tr>
      <w:tr w:rsidR="00CA72B0" w14:paraId="23D3C8A9" w14:textId="77777777" w:rsidTr="00D862F0">
        <w:trPr>
          <w:trHeight w:val="300"/>
        </w:trPr>
        <w:tc>
          <w:tcPr>
            <w:tcW w:w="1624" w:type="dxa"/>
            <w:vMerge w:val="restart"/>
            <w:tcBorders>
              <w:top w:val="single" w:sz="8" w:space="0" w:color="auto"/>
              <w:left w:val="single" w:sz="8" w:space="0" w:color="auto"/>
              <w:right w:val="single" w:sz="8" w:space="0" w:color="auto"/>
            </w:tcBorders>
            <w:tcMar>
              <w:top w:w="15" w:type="dxa"/>
              <w:left w:w="15" w:type="dxa"/>
              <w:right w:w="15" w:type="dxa"/>
            </w:tcMar>
            <w:vAlign w:val="center"/>
          </w:tcPr>
          <w:p w14:paraId="04376FB4"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Antigua and Barbuda</w:t>
            </w:r>
          </w:p>
        </w:tc>
        <w:tc>
          <w:tcPr>
            <w:tcW w:w="577"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5DC50E2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associated</w:t>
            </w:r>
          </w:p>
        </w:tc>
        <w:tc>
          <w:tcPr>
            <w:tcW w:w="1012"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6BBDC09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6993594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Fluoroquinolones</w:t>
            </w:r>
          </w:p>
        </w:tc>
        <w:tc>
          <w:tcPr>
            <w:tcW w:w="822"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54D581A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8.</w:t>
            </w:r>
            <w:r w:rsidRPr="3AD03132">
              <w:rPr>
                <w:rFonts w:eastAsia="Times New Roman" w:cs="Times New Roman"/>
                <w:color w:val="000000" w:themeColor="text1"/>
                <w:sz w:val="12"/>
                <w:szCs w:val="12"/>
              </w:rPr>
              <w:t>60</w:t>
            </w:r>
            <w:r w:rsidRPr="4BFB1015">
              <w:rPr>
                <w:rFonts w:eastAsia="Times New Roman" w:cs="Times New Roman"/>
                <w:color w:val="000000" w:themeColor="text1"/>
                <w:sz w:val="12"/>
                <w:szCs w:val="12"/>
              </w:rPr>
              <w:t xml:space="preserve"> (4.84 - 13.</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w:t>
            </w:r>
          </w:p>
        </w:tc>
        <w:tc>
          <w:tcPr>
            <w:tcW w:w="699"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1DDC346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(5.</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- 15.</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w:t>
            </w:r>
          </w:p>
        </w:tc>
      </w:tr>
      <w:tr w:rsidR="00CA72B0" w14:paraId="45394B57"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EC5C26E"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3C0B0EE" w14:textId="77777777" w:rsidR="00CA72B0" w:rsidRDefault="00CA72B0" w:rsidP="00D862F0">
            <w:pPr>
              <w:spacing w:line="259" w:lineRule="auto"/>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250726E" w14:textId="77777777" w:rsidR="00CA72B0" w:rsidRDefault="00CA72B0" w:rsidP="00D862F0">
            <w:pPr>
              <w:spacing w:line="259" w:lineRule="auto"/>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342A2E2" w14:textId="77777777" w:rsidR="00CA72B0" w:rsidRDefault="00CA72B0" w:rsidP="00D862F0">
            <w:pPr>
              <w:spacing w:line="259" w:lineRule="auto"/>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E6F5F11" w14:textId="77777777" w:rsidR="00CA72B0" w:rsidRDefault="00CA72B0" w:rsidP="00D862F0">
            <w:pPr>
              <w:spacing w:line="259" w:lineRule="auto"/>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1.69 (0.79 - 2.87)</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19ED40B" w14:textId="77777777" w:rsidR="00CA72B0" w:rsidRDefault="00CA72B0" w:rsidP="00D862F0">
            <w:pPr>
              <w:spacing w:line="259" w:lineRule="auto"/>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(0.9 - 3.</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w:t>
            </w:r>
          </w:p>
        </w:tc>
      </w:tr>
      <w:tr w:rsidR="00CA72B0" w14:paraId="2949B4A1"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420C1BED"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Argentina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59837C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BA1921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06EFF7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D4B09B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6,810 (5,480 – 8,450)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2BF8B2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15.</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(12.</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- 18.</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w:t>
            </w:r>
          </w:p>
        </w:tc>
      </w:tr>
      <w:tr w:rsidR="00CA72B0" w14:paraId="3B80844B"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BA34215"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2ADEF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B7B00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5E996C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D4AF32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1,940 (955 – 3,090)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F5F710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4.</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(2.</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- 6.</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w:t>
            </w:r>
          </w:p>
        </w:tc>
      </w:tr>
      <w:tr w:rsidR="00CA72B0" w14:paraId="2832B31A"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4C600E3B"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Barbados</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C0ED73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063DE8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25DCB8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3568B2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60.</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(44.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- 80.</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2568D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20.</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(14.9 - 27.</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w:t>
            </w:r>
          </w:p>
        </w:tc>
      </w:tr>
      <w:tr w:rsidR="00CA72B0" w14:paraId="1ECC080D"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C0DC77C"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7AAAE1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9E6BF70"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44B265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20AE51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15.</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(7.01 - 25.</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702BAF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5.1 (2.</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- 8.</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00A9FCE7"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145D9E8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Belize</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97B00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448061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A1E26C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1C351C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24.</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(17.</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- 33.</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2507D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w:t>
            </w:r>
            <w:r w:rsidRPr="3AD03132">
              <w:rPr>
                <w:rFonts w:eastAsia="Times New Roman" w:cs="Times New Roman"/>
                <w:color w:val="000000" w:themeColor="text1"/>
                <w:sz w:val="12"/>
                <w:szCs w:val="12"/>
              </w:rPr>
              <w:t>6.0</w:t>
            </w:r>
            <w:r w:rsidRPr="4BFB1015">
              <w:rPr>
                <w:rFonts w:eastAsia="Times New Roman" w:cs="Times New Roman"/>
                <w:color w:val="000000" w:themeColor="text1"/>
                <w:sz w:val="12"/>
                <w:szCs w:val="12"/>
              </w:rPr>
              <w:t xml:space="preserve"> (4.</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- 8.</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w:t>
            </w:r>
          </w:p>
        </w:tc>
      </w:tr>
      <w:tr w:rsidR="00CA72B0" w14:paraId="2F273FA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457D5D4"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8B2EA6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2D836B8"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B80E3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F07372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4.</w:t>
            </w:r>
            <w:r w:rsidRPr="3AD03132">
              <w:rPr>
                <w:rFonts w:eastAsia="Times New Roman" w:cs="Times New Roman"/>
                <w:color w:val="000000" w:themeColor="text1"/>
                <w:sz w:val="12"/>
                <w:szCs w:val="12"/>
              </w:rPr>
              <w:t>60</w:t>
            </w:r>
            <w:r w:rsidRPr="4BFB1015">
              <w:rPr>
                <w:rFonts w:eastAsia="Times New Roman" w:cs="Times New Roman"/>
                <w:color w:val="000000" w:themeColor="text1"/>
                <w:sz w:val="12"/>
                <w:szCs w:val="12"/>
              </w:rPr>
              <w:t xml:space="preserve"> (2.11 - 7.77)</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2DB390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- 1.9)</w:t>
            </w:r>
          </w:p>
        </w:tc>
      </w:tr>
      <w:tr w:rsidR="00CA72B0" w14:paraId="43D29CD8"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0FC26E93"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Bolivia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118B3A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BB0D4A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Klebsiella pneumoniae</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9D9D87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Beta Lactam/Beta-lactamase inhibitors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5530F7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1,580 (1,110 – 2,150)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E865E0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13.</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- 17.</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w:t>
            </w:r>
          </w:p>
        </w:tc>
      </w:tr>
      <w:tr w:rsidR="00CA72B0" w14:paraId="618FF170"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1D7E3F0"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2501D0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676107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A61EF2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A1FBFA5"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309 (138 - 526)</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F08040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16089A80"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6A2E2E8D"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Brazil</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8BCC16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C54284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39A8E9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Macrolide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B5D7D1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24,600 (19,400 – 31,410)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C95B33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4 (9.0</w:t>
            </w:r>
            <w:r w:rsidRPr="4BFB1015">
              <w:rPr>
                <w:rFonts w:eastAsia="Times New Roman" w:cs="Times New Roman"/>
                <w:color w:val="000000" w:themeColor="text1"/>
                <w:sz w:val="12"/>
                <w:szCs w:val="12"/>
              </w:rPr>
              <w:t xml:space="preserve"> - 14.5)  </w:t>
            </w:r>
          </w:p>
        </w:tc>
      </w:tr>
      <w:tr w:rsidR="00CA72B0" w14:paraId="31245C96"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31BD46C"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DB12EB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15A0982"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62B90B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5B000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4,410 (2,000 – 7,390)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1C5CE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2.0</w:t>
            </w:r>
            <w:r w:rsidRPr="3AD03132">
              <w:rPr>
                <w:rFonts w:eastAsia="Times New Roman" w:cs="Times New Roman"/>
                <w:color w:val="000000" w:themeColor="text1"/>
                <w:sz w:val="12"/>
                <w:szCs w:val="12"/>
              </w:rPr>
              <w:t xml:space="preserve"> (0.9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44CEE8C8"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B00C473"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Canada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77D677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0F6109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AE7A06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301CC6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2,620 (1,830 – 3,660)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70ACFB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(5.</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 xml:space="preserve"> - 10.</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 xml:space="preserve">)  </w:t>
            </w:r>
          </w:p>
        </w:tc>
      </w:tr>
      <w:tr w:rsidR="00CA72B0" w14:paraId="37476E78"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0C529EE"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6E6712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190531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8CF81D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BB55765"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489 (197 - 871)</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6E6974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- 2.</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121C1F91"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4A65B0FC"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Chile</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A4380A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AAB369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55B553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BE0141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2,130 (1,560 – 2,880)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E6E8CC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(8.</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- 15.</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w:t>
            </w:r>
          </w:p>
        </w:tc>
      </w:tr>
      <w:tr w:rsidR="00CA72B0" w14:paraId="6AF4FBC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BF3ACA8"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E337E9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88C9E0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985D3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3C266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597 (284 - 989)</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99EBB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3.</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- 5.</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4D482CCC"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36C3738"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Colombia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98F3A1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6B4103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4DE1C9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7FC93B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3,540 (2,380 – 5,120)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FBAD34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7.4</w:t>
            </w:r>
            <w:r w:rsidRPr="3AD03132">
              <w:rPr>
                <w:rFonts w:eastAsia="Times New Roman" w:cs="Times New Roman"/>
                <w:color w:val="000000" w:themeColor="text1"/>
                <w:sz w:val="12"/>
                <w:szCs w:val="12"/>
              </w:rPr>
              <w:t xml:space="preserve"> (5.0</w:t>
            </w:r>
            <w:r w:rsidRPr="4BFB1015">
              <w:rPr>
                <w:rFonts w:eastAsia="Times New Roman" w:cs="Times New Roman"/>
                <w:color w:val="000000" w:themeColor="text1"/>
                <w:sz w:val="12"/>
                <w:szCs w:val="12"/>
              </w:rPr>
              <w:t xml:space="preserve"> - 10.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w:t>
            </w:r>
          </w:p>
        </w:tc>
      </w:tr>
      <w:tr w:rsidR="00CA72B0" w14:paraId="2CD5CD51"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4EB7E6D"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95E002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638A8DD"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6B3182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FB353C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777 (350 – 1,330)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DA20CE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- 2.</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r>
      <w:tr w:rsidR="00CA72B0" w14:paraId="3F8F52EF"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21325646"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Costa Rica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24779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0CFCF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50E45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454FDA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415 (268 - 616)</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93C8E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8.8 (5.</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- 13.</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w:t>
            </w:r>
          </w:p>
        </w:tc>
      </w:tr>
      <w:tr w:rsidR="00CA72B0" w14:paraId="4DD9D49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786D6ED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941398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64864E0"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252E31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DF54D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121</w:t>
            </w:r>
            <w:r w:rsidRPr="3AD03132">
              <w:rPr>
                <w:rFonts w:eastAsia="Times New Roman" w:cs="Times New Roman"/>
                <w:color w:val="000000" w:themeColor="text1"/>
                <w:sz w:val="12"/>
                <w:szCs w:val="12"/>
              </w:rPr>
              <w:t xml:space="preserve"> (57.0</w:t>
            </w:r>
            <w:r w:rsidRPr="4BFB1015">
              <w:rPr>
                <w:rFonts w:eastAsia="Times New Roman" w:cs="Times New Roman"/>
                <w:color w:val="000000" w:themeColor="text1"/>
                <w:sz w:val="12"/>
                <w:szCs w:val="12"/>
              </w:rPr>
              <w:t xml:space="preserve"> - 206)</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2C72B6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14D15A0D"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38BD25C1"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Cuba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B5E3DD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977746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6B9E46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Fourth-generation cephalosporins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47BC11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1,120 (627 – 1,870)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AAB9DC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(5.</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- 16.5)  </w:t>
            </w:r>
          </w:p>
        </w:tc>
      </w:tr>
      <w:tr w:rsidR="00CA72B0" w14:paraId="53BD22D1"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E786E6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D2F47E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9E6E38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9B4889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DE9DA8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189 (81.</w:t>
            </w:r>
            <w:r w:rsidRPr="3AD03132">
              <w:rPr>
                <w:rFonts w:eastAsia="Times New Roman" w:cs="Times New Roman"/>
                <w:color w:val="000000" w:themeColor="text1"/>
                <w:sz w:val="12"/>
                <w:szCs w:val="12"/>
              </w:rPr>
              <w:t>2 - 352</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F726C9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- 3.1)</w:t>
            </w:r>
          </w:p>
        </w:tc>
      </w:tr>
      <w:tr w:rsidR="00CA72B0" w14:paraId="45B4A3FA"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19ED81B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Dominica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79648D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B75F1A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C50D7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Third-generation cephalosporins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A2F1EF"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(6.42 - </w:t>
            </w:r>
            <w:r w:rsidRPr="3AD03132">
              <w:rPr>
                <w:rFonts w:eastAsia="Times New Roman" w:cs="Times New Roman"/>
                <w:color w:val="000000" w:themeColor="text1"/>
                <w:sz w:val="12"/>
                <w:szCs w:val="12"/>
              </w:rPr>
              <w:t>18.0</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6285E4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16.</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- 26.</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w:t>
            </w:r>
          </w:p>
        </w:tc>
      </w:tr>
      <w:tr w:rsidR="00CA72B0" w14:paraId="7568DA10"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E0388C9"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8A34E2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BF909ED"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BFE9CF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1D7AD35"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1.93 (0.87 - 3.27)</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A1C940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r>
      <w:tr w:rsidR="00CA72B0" w14:paraId="0A310219"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282971D"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Dominican Republic</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6EC24C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C4AC532"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B7BFB4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63FD7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931 (577 – 1,420)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D0028F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8.</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(5.3 - 13.</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 xml:space="preserve">)  </w:t>
            </w:r>
          </w:p>
        </w:tc>
      </w:tr>
      <w:tr w:rsidR="00CA72B0" w14:paraId="4D2AA4BF"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52A358D"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F552C1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189BF08"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C726AB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C752CB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203 (90.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- 352)</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641962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w:t>
            </w:r>
          </w:p>
        </w:tc>
      </w:tr>
      <w:tr w:rsidR="00CA72B0" w14:paraId="2F3EB5B4"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77FF04FB"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Ecuador</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D6F09F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7DE4170"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481576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Beta Lactam/Beta-lactamase inhibitors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03E69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1,510 (1,000 – 2,200)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DB2CBB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8.6 (5.7 - 12.5)  </w:t>
            </w:r>
          </w:p>
        </w:tc>
      </w:tr>
      <w:tr w:rsidR="00CA72B0" w14:paraId="5ECF001E"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3CD7C08"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D1BF6E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4DAE38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C57074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1BE53A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296 (129 - 508)</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D9D18D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- 2.</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w:t>
            </w:r>
          </w:p>
        </w:tc>
      </w:tr>
      <w:tr w:rsidR="00CA72B0" w14:paraId="297DCBAA"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46445D15"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El Salvador</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7B3D4D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8F8BFED"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9E7CB0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C65976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698 (448 – 1,010)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06E108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2 - 16.2</w:t>
            </w:r>
            <w:r w:rsidRPr="4BFB1015">
              <w:rPr>
                <w:rFonts w:eastAsia="Times New Roman" w:cs="Times New Roman"/>
                <w:color w:val="000000" w:themeColor="text1"/>
                <w:sz w:val="12"/>
                <w:szCs w:val="12"/>
              </w:rPr>
              <w:t xml:space="preserve">)  </w:t>
            </w:r>
          </w:p>
        </w:tc>
      </w:tr>
      <w:tr w:rsidR="00CA72B0" w14:paraId="03692D1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9FAF573"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BA71B9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4D9348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BC141B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002CA1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157 (71.2 - 271)</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60EDE0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w:t>
            </w:r>
          </w:p>
        </w:tc>
      </w:tr>
      <w:tr w:rsidR="00CA72B0" w14:paraId="5C813CC8"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74F435B3"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Grenada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BD136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9EAA8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101529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Anti-pseudomonal penicillin/Beta-Lactamase inhibitors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ACA384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(6.62 - 17.</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ADD07C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w:t>
            </w:r>
            <w:r w:rsidRPr="3AD03132">
              <w:rPr>
                <w:rFonts w:eastAsia="Times New Roman" w:cs="Times New Roman"/>
                <w:color w:val="000000" w:themeColor="text1"/>
                <w:sz w:val="12"/>
                <w:szCs w:val="12"/>
              </w:rPr>
              <w:t>11.0</w:t>
            </w:r>
            <w:r w:rsidRPr="4BFB1015">
              <w:rPr>
                <w:rFonts w:eastAsia="Times New Roman" w:cs="Times New Roman"/>
                <w:color w:val="000000" w:themeColor="text1"/>
                <w:sz w:val="12"/>
                <w:szCs w:val="12"/>
              </w:rPr>
              <w:t xml:space="preserve"> (6.</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- 17.</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w:t>
            </w:r>
          </w:p>
        </w:tc>
      </w:tr>
      <w:tr w:rsidR="00CA72B0" w14:paraId="664AF8AB"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505A16A"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40E5AC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BCE35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A69C3F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909CC5"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2.46 (1.17 - 4.03)</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4DB25E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- 3.9)</w:t>
            </w:r>
          </w:p>
        </w:tc>
      </w:tr>
      <w:tr w:rsidR="00CA72B0" w14:paraId="0D0D5523"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6532B6D3"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Guatemala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59C9C6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429473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Klebsiella pneumoniae</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E9E692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Beta Lactam/Beta-lactamase inhibitors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355C1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1,920 (1,310 – 2,690)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01A53C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10.8 (7.</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- 15.</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w:t>
            </w:r>
          </w:p>
        </w:tc>
      </w:tr>
      <w:tr w:rsidR="00CA72B0" w14:paraId="1C8B07B1"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387D0A5"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C5C234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5C1063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918867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CEC0B5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389</w:t>
            </w:r>
            <w:r w:rsidRPr="4BFB1015">
              <w:rPr>
                <w:rFonts w:eastAsia="Times New Roman" w:cs="Times New Roman"/>
                <w:color w:val="000000" w:themeColor="text1"/>
                <w:sz w:val="12"/>
                <w:szCs w:val="12"/>
              </w:rPr>
              <w:t xml:space="preserve"> (163 - 673)</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67C606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r>
      <w:tr w:rsidR="00CA72B0" w14:paraId="75BC106C"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1CB2D4AA"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Guyana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953C8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F40A8F0"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9DF67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05606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99.</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 xml:space="preserve"> (66.</w:t>
            </w:r>
            <w:r w:rsidRPr="3AD03132">
              <w:rPr>
                <w:rFonts w:eastAsia="Times New Roman" w:cs="Times New Roman"/>
                <w:color w:val="000000" w:themeColor="text1"/>
                <w:sz w:val="12"/>
                <w:szCs w:val="12"/>
              </w:rPr>
              <w:t>1 - 144</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24FAD6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12.</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(8.</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- 18.</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w:t>
            </w:r>
          </w:p>
        </w:tc>
      </w:tr>
      <w:tr w:rsidR="00CA72B0" w14:paraId="3ED99A2F"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4ACEEE8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FA09AA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5A306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1FF54D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6717F2"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25.</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 xml:space="preserve"> (12.</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- 44.</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D0E763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3.</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- 5.</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w:t>
            </w:r>
          </w:p>
        </w:tc>
      </w:tr>
      <w:tr w:rsidR="00CA72B0" w14:paraId="37CA08AE"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3CFCC920"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lastRenderedPageBreak/>
              <w:t>Haiti</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8BCB87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AFDF0B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Streptococcus pneumoniae</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B0898D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Trimethoprim-Sulfamethoxazole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3DD1DD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1,670 (1,200 – 2,230)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4CEACD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13.</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- 18.0)  </w:t>
            </w:r>
          </w:p>
        </w:tc>
      </w:tr>
      <w:tr w:rsidR="00CA72B0" w14:paraId="1CA7B07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CBBBAD3"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8FB12A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307A75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Klebsiella pneumoniae</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7ABE5E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Third-generation cephalosporins</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89F062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178 (48.1 - 388)</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7BC44C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w:t>
            </w:r>
          </w:p>
        </w:tc>
      </w:tr>
      <w:tr w:rsidR="00CA72B0" w14:paraId="2EF9ABD7"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68293F62"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Honduras</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718C5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C2285A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36D540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43D182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1,070 (720 – 1,540)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D5B12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10.</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- 15.</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w:t>
            </w:r>
          </w:p>
        </w:tc>
      </w:tr>
      <w:tr w:rsidR="00CA72B0" w14:paraId="3DC48E5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B4210F3"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911CC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A0B0592"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3E179E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0E277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160</w:t>
            </w:r>
            <w:r w:rsidRPr="4BFB1015">
              <w:rPr>
                <w:rFonts w:eastAsia="Times New Roman" w:cs="Times New Roman"/>
                <w:color w:val="000000" w:themeColor="text1"/>
                <w:sz w:val="12"/>
                <w:szCs w:val="12"/>
              </w:rPr>
              <w:t xml:space="preserve"> (70.</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- 277)</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0C37C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- 2.</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r>
      <w:tr w:rsidR="00CA72B0" w14:paraId="1060CBA7"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38951FD5"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Jamaica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BF2F6C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2F15C26"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068F85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Third-generation cephalosporins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60B257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271 (146 - 441)</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4A8877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9.</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(5.</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- 15.7)  </w:t>
            </w:r>
          </w:p>
        </w:tc>
      </w:tr>
      <w:tr w:rsidR="00CA72B0" w14:paraId="4F2974F0"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C7171B9"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724BEE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7BD08D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A085D1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DE9394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52.</w:t>
            </w:r>
            <w:r w:rsidRPr="3AD03132">
              <w:rPr>
                <w:rFonts w:eastAsia="Times New Roman" w:cs="Times New Roman"/>
                <w:color w:val="000000" w:themeColor="text1"/>
                <w:sz w:val="12"/>
                <w:szCs w:val="12"/>
              </w:rPr>
              <w:t>7 (24.0</w:t>
            </w:r>
            <w:r w:rsidRPr="4BFB1015">
              <w:rPr>
                <w:rFonts w:eastAsia="Times New Roman" w:cs="Times New Roman"/>
                <w:color w:val="000000" w:themeColor="text1"/>
                <w:sz w:val="12"/>
                <w:szCs w:val="12"/>
              </w:rPr>
              <w:t xml:space="preserve"> - 95.4)</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746B8B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r>
      <w:tr w:rsidR="00CA72B0" w14:paraId="4673D33D"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0477EBF7"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Mexico</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7A40ED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BDB0D9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DA5943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335EC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14,800 (10,100 – 20,800)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1C750C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(8.1 - 16.</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w:t>
            </w:r>
          </w:p>
        </w:tc>
      </w:tr>
      <w:tr w:rsidR="00CA72B0" w14:paraId="3111FED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47BB448"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8C0284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ED67B9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54F5E0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D782E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2,470 (1,090 – 4,180)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6C650A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0</w:t>
            </w:r>
            <w:r w:rsidRPr="3AD03132">
              <w:rPr>
                <w:rFonts w:eastAsia="Times New Roman" w:cs="Times New Roman"/>
                <w:color w:val="000000" w:themeColor="text1"/>
                <w:sz w:val="12"/>
                <w:szCs w:val="12"/>
              </w:rPr>
              <w:t xml:space="preserve"> (0.9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w:t>
            </w:r>
          </w:p>
        </w:tc>
      </w:tr>
      <w:tr w:rsidR="00CA72B0" w14:paraId="0D90C8A8"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1A6AAA5E"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Nicaragua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916A25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45E439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F54A25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CE5E32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512</w:t>
            </w:r>
            <w:r w:rsidRPr="3AD03132">
              <w:rPr>
                <w:rFonts w:eastAsia="Times New Roman" w:cs="Times New Roman"/>
                <w:color w:val="000000" w:themeColor="text1"/>
                <w:sz w:val="12"/>
                <w:szCs w:val="12"/>
              </w:rPr>
              <w:t xml:space="preserve"> (333</w:t>
            </w:r>
            <w:r w:rsidRPr="4BFB1015">
              <w:rPr>
                <w:rFonts w:eastAsia="Times New Roman" w:cs="Times New Roman"/>
                <w:color w:val="000000" w:themeColor="text1"/>
                <w:sz w:val="12"/>
                <w:szCs w:val="12"/>
              </w:rPr>
              <w:t xml:space="preserve"> - 743)</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A48953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(5.</w:t>
            </w:r>
            <w:r w:rsidRPr="3AD03132">
              <w:rPr>
                <w:rFonts w:eastAsia="Times New Roman" w:cs="Times New Roman"/>
                <w:color w:val="000000" w:themeColor="text1"/>
                <w:sz w:val="12"/>
                <w:szCs w:val="12"/>
              </w:rPr>
              <w:t xml:space="preserve">1 - </w:t>
            </w:r>
            <w:r w:rsidRPr="4BFB1015">
              <w:rPr>
                <w:rFonts w:eastAsia="Times New Roman" w:cs="Times New Roman"/>
                <w:color w:val="000000" w:themeColor="text1"/>
                <w:sz w:val="12"/>
                <w:szCs w:val="12"/>
              </w:rPr>
              <w:t>11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w:t>
            </w:r>
          </w:p>
        </w:tc>
      </w:tr>
      <w:tr w:rsidR="00CA72B0" w14:paraId="40454687"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66E839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8B9FD6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23C6828"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274C8C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54688A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114 (51.2 - </w:t>
            </w:r>
            <w:r w:rsidRPr="3AD03132">
              <w:rPr>
                <w:rFonts w:eastAsia="Times New Roman" w:cs="Times New Roman"/>
                <w:color w:val="000000" w:themeColor="text1"/>
                <w:sz w:val="12"/>
                <w:szCs w:val="12"/>
              </w:rPr>
              <w:t>195</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DF44D4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8 - 3.0</w:t>
            </w:r>
            <w:r w:rsidRPr="4BFB1015">
              <w:rPr>
                <w:rFonts w:eastAsia="Times New Roman" w:cs="Times New Roman"/>
                <w:color w:val="000000" w:themeColor="text1"/>
                <w:sz w:val="12"/>
                <w:szCs w:val="12"/>
              </w:rPr>
              <w:t>)</w:t>
            </w:r>
          </w:p>
        </w:tc>
      </w:tr>
      <w:tr w:rsidR="00CA72B0" w14:paraId="0335A7F5"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3CAF898D"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Panama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53CBE4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65BFA96"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1A93C1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71F72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302</w:t>
            </w:r>
            <w:r w:rsidRPr="4BFB1015">
              <w:rPr>
                <w:rFonts w:eastAsia="Times New Roman" w:cs="Times New Roman"/>
                <w:color w:val="000000" w:themeColor="text1"/>
                <w:sz w:val="12"/>
                <w:szCs w:val="12"/>
              </w:rPr>
              <w:t xml:space="preserve"> (193 - 442)</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223AC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(4.</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- 10.</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w:t>
            </w:r>
          </w:p>
        </w:tc>
      </w:tr>
      <w:tr w:rsidR="00CA72B0" w14:paraId="59DC5964"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C79166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C5C5FC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D4472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0B9F9B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9AE69F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64.6 (28.</w:t>
            </w:r>
            <w:r w:rsidRPr="3AD03132">
              <w:rPr>
                <w:rFonts w:eastAsia="Times New Roman" w:cs="Times New Roman"/>
                <w:color w:val="000000" w:themeColor="text1"/>
                <w:sz w:val="12"/>
                <w:szCs w:val="12"/>
              </w:rPr>
              <w:t>0 - 112</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247D0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- 2.</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w:t>
            </w:r>
          </w:p>
        </w:tc>
      </w:tr>
      <w:tr w:rsidR="00CA72B0" w14:paraId="5AD202A2"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755E3CD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Paraguay</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B5143C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7A1CEF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8E5B0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14738A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505 (333 - 729)</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455CE2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(4.8 - 10.</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w:t>
            </w:r>
          </w:p>
        </w:tc>
      </w:tr>
      <w:tr w:rsidR="00CA72B0" w14:paraId="2F2F9873"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45BBEC99"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708B1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993CAB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5D4A98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78216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136 (63.0 - 231)</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DA5DD8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0</w:t>
            </w:r>
            <w:r w:rsidRPr="3AD03132">
              <w:rPr>
                <w:rFonts w:eastAsia="Times New Roman" w:cs="Times New Roman"/>
                <w:color w:val="000000" w:themeColor="text1"/>
                <w:sz w:val="12"/>
                <w:szCs w:val="12"/>
              </w:rPr>
              <w:t xml:space="preserve"> (0.9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w:t>
            </w:r>
          </w:p>
        </w:tc>
      </w:tr>
      <w:tr w:rsidR="00CA72B0" w14:paraId="31D40AC6"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4FF82D8C"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Peru</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EF82F6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401AB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04E18F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F210CA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3,920 (2,810 – 5,390)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1EE663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(8.</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- 15.</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w:t>
            </w:r>
          </w:p>
        </w:tc>
      </w:tr>
      <w:tr w:rsidR="00CA72B0" w14:paraId="5AD0E28F"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EAE09A7"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5B50D3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DC967C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9FF55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95058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1,030 (467 – 1,690)</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01882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3.</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 xml:space="preserve"> (1.4</w:t>
            </w:r>
            <w:r w:rsidRPr="3AD03132">
              <w:rPr>
                <w:rFonts w:eastAsia="Times New Roman" w:cs="Times New Roman"/>
                <w:color w:val="000000" w:themeColor="text1"/>
                <w:sz w:val="12"/>
                <w:szCs w:val="12"/>
              </w:rPr>
              <w:t xml:space="preserve"> - 5.0</w:t>
            </w:r>
            <w:r w:rsidRPr="4BFB1015">
              <w:rPr>
                <w:rFonts w:eastAsia="Times New Roman" w:cs="Times New Roman"/>
                <w:color w:val="000000" w:themeColor="text1"/>
                <w:sz w:val="12"/>
                <w:szCs w:val="12"/>
              </w:rPr>
              <w:t>)</w:t>
            </w:r>
          </w:p>
        </w:tc>
      </w:tr>
      <w:tr w:rsidR="00CA72B0" w14:paraId="1C147C5E"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1A90701A"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Kitts and Nevis</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2295B5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7A2779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ED2CB4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Fluoroquinolones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7CD1A2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6.67 (3.82 - 10.</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271A00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11.2 (6.</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- 17.</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w:t>
            </w:r>
          </w:p>
        </w:tc>
      </w:tr>
      <w:tr w:rsidR="00CA72B0" w14:paraId="5F20FED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8F3DD7E"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84FF3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F3FD60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F024D0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6516C25"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1.42 (0.67 - 2.36)</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CAE8B4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1 - 4.0</w:t>
            </w:r>
            <w:r w:rsidRPr="4BFB1015">
              <w:rPr>
                <w:rFonts w:eastAsia="Times New Roman" w:cs="Times New Roman"/>
                <w:color w:val="000000" w:themeColor="text1"/>
                <w:sz w:val="12"/>
                <w:szCs w:val="12"/>
              </w:rPr>
              <w:t>)</w:t>
            </w:r>
          </w:p>
        </w:tc>
      </w:tr>
      <w:tr w:rsidR="00CA72B0" w14:paraId="4F4B0A25"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0FDDBA8E"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Lucia</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84A866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129BF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AF74E2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Third-generation cephalosporins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7E9ADD"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18.</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(10.</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- 29.5)</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0808E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(6.</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- 16.</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w:t>
            </w:r>
          </w:p>
        </w:tc>
      </w:tr>
      <w:tr w:rsidR="00CA72B0" w14:paraId="7B88826D"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CD10111"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229F3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423FF1"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89BE74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00469C2"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4.</w:t>
            </w:r>
            <w:r w:rsidRPr="3AD03132">
              <w:rPr>
                <w:rFonts w:eastAsia="Times New Roman" w:cs="Times New Roman"/>
                <w:color w:val="000000" w:themeColor="text1"/>
                <w:sz w:val="12"/>
                <w:szCs w:val="12"/>
              </w:rPr>
              <w:t>20</w:t>
            </w:r>
            <w:r w:rsidRPr="4BFB1015">
              <w:rPr>
                <w:rFonts w:eastAsia="Times New Roman" w:cs="Times New Roman"/>
                <w:color w:val="000000" w:themeColor="text1"/>
                <w:sz w:val="12"/>
                <w:szCs w:val="12"/>
              </w:rPr>
              <w:t xml:space="preserve"> (1.98 - 7.14)</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59FE9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2.4 (1.</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w:t>
            </w:r>
          </w:p>
        </w:tc>
      </w:tr>
      <w:tr w:rsidR="00CA72B0" w14:paraId="2B22D9D1"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3F0089CE"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Vincent and the Grenadines</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2B38792"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C64967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Acinetobacter </w:t>
            </w:r>
            <w:proofErr w:type="spellStart"/>
            <w:r w:rsidRPr="4BFB1015">
              <w:rPr>
                <w:rFonts w:eastAsia="Times New Roman" w:cs="Times New Roman"/>
                <w:color w:val="000000" w:themeColor="text1"/>
                <w:sz w:val="12"/>
                <w:szCs w:val="12"/>
              </w:rPr>
              <w:t>baumannii</w:t>
            </w:r>
            <w:proofErr w:type="spellEnd"/>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9EC8C4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Anti-pseudomonal penicillin/Beta-Lactamase inhibitors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2CE32B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13.</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(7.46 - 21.</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B7D90A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 xml:space="preserve"> (6.</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- 18.</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w:t>
            </w:r>
          </w:p>
        </w:tc>
      </w:tr>
      <w:tr w:rsidR="00CA72B0" w14:paraId="14F2BE0B"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730AF287"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607097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702438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CE5D8E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8BEF29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2.76 (1.</w:t>
            </w:r>
            <w:r w:rsidRPr="3AD03132">
              <w:rPr>
                <w:rFonts w:eastAsia="Times New Roman" w:cs="Times New Roman"/>
                <w:color w:val="000000" w:themeColor="text1"/>
                <w:sz w:val="12"/>
                <w:szCs w:val="12"/>
              </w:rPr>
              <w:t>30</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70</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06DF23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w:t>
            </w:r>
          </w:p>
        </w:tc>
      </w:tr>
      <w:tr w:rsidR="00CA72B0" w14:paraId="41CC7A4B"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3F71621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Suriname</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BCD1D9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6F58E3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5E863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4FAD7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61.</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(43.</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- 83.</w:t>
            </w:r>
            <w:r w:rsidRPr="3AD03132">
              <w:rPr>
                <w:rFonts w:eastAsia="Times New Roman" w:cs="Times New Roman"/>
                <w:color w:val="000000" w:themeColor="text1"/>
                <w:sz w:val="12"/>
                <w:szCs w:val="12"/>
              </w:rPr>
              <w:t>0</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9BEA4F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10.</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- 14.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w:t>
            </w:r>
          </w:p>
        </w:tc>
      </w:tr>
      <w:tr w:rsidR="00CA72B0" w14:paraId="1A0205B6"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C7C56CD"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1AE23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7655FD4"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1A078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CA0ADA0"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12.</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(5.77 - 20.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31A13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(1.0 - 3.</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w:t>
            </w:r>
          </w:p>
        </w:tc>
      </w:tr>
      <w:tr w:rsidR="00CA72B0" w14:paraId="4C1F0581"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AA1C4F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The Bahamas</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B0E649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235D06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589715D"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4CEC41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38.0 (25.</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- 54.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B4689B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10.</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(6.</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- 14.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w:t>
            </w:r>
          </w:p>
        </w:tc>
      </w:tr>
      <w:tr w:rsidR="00CA72B0" w14:paraId="0AE6AB2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D230AA4"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45C1B2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C8B993C"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28297B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70350AD"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5.67 (2.26 - 9.95)</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53AC6B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(0.6 - 2.</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w:t>
            </w:r>
          </w:p>
        </w:tc>
      </w:tr>
      <w:tr w:rsidR="00CA72B0" w14:paraId="1B151640"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4E40F259"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Trinidad and Tobago</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C9E31DA"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EB32CA"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9084ADF"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Methicillin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2D1E88"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160 (100 - 245)</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3F93939"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6</w:t>
            </w:r>
            <w:r w:rsidRPr="4BFB1015">
              <w:rPr>
                <w:rFonts w:eastAsia="Times New Roman" w:cs="Times New Roman"/>
                <w:color w:val="000000" w:themeColor="text1"/>
                <w:sz w:val="12"/>
                <w:szCs w:val="12"/>
              </w:rPr>
              <w:t xml:space="preserve"> (7.</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- 17.</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w:t>
            </w:r>
          </w:p>
        </w:tc>
      </w:tr>
      <w:tr w:rsidR="00CA72B0" w14:paraId="60DBC146"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303673A"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49BC49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D25269"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B079C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3BEBBB"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41.</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(18.</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- 72.</w:t>
            </w:r>
            <w:r w:rsidRPr="3AD03132">
              <w:rPr>
                <w:rFonts w:eastAsia="Times New Roman" w:cs="Times New Roman"/>
                <w:color w:val="000000" w:themeColor="text1"/>
                <w:sz w:val="12"/>
                <w:szCs w:val="12"/>
              </w:rPr>
              <w:t>8</w:t>
            </w:r>
            <w:r w:rsidRPr="4BFB1015">
              <w:rPr>
                <w:rFonts w:eastAsia="Times New Roman" w:cs="Times New Roman"/>
                <w:color w:val="000000" w:themeColor="text1"/>
                <w:sz w:val="12"/>
                <w:szCs w:val="12"/>
              </w:rPr>
              <w:t>)</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CF402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3.0 (1.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- 5.</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w:t>
            </w:r>
          </w:p>
        </w:tc>
      </w:tr>
      <w:tr w:rsidR="00CA72B0" w14:paraId="5728EF9B"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6992765D"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United States</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2D3C91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1D75CFE"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E172EA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Macrolide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648C5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38,200 (26,900 – 53,800)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69AD4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11.</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(8.2 - 16.</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w:t>
            </w:r>
          </w:p>
        </w:tc>
      </w:tr>
      <w:tr w:rsidR="00CA72B0" w14:paraId="5BDE7D6D"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87CE858"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AEA6C6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4DB5F6"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64A7297"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11AC4A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8,730 (3,710 – 15,400)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AF609B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(1.</w:t>
            </w:r>
            <w:r w:rsidRPr="3AD03132">
              <w:rPr>
                <w:rFonts w:eastAsia="Times New Roman" w:cs="Times New Roman"/>
                <w:color w:val="000000" w:themeColor="text1"/>
                <w:sz w:val="12"/>
                <w:szCs w:val="12"/>
              </w:rPr>
              <w:t>1</w:t>
            </w:r>
            <w:r w:rsidRPr="4BFB1015">
              <w:rPr>
                <w:rFonts w:eastAsia="Times New Roman" w:cs="Times New Roman"/>
                <w:color w:val="000000" w:themeColor="text1"/>
                <w:sz w:val="12"/>
                <w:szCs w:val="12"/>
              </w:rPr>
              <w:t xml:space="preserve"> - 4.</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w:t>
            </w:r>
          </w:p>
        </w:tc>
      </w:tr>
      <w:tr w:rsidR="00CA72B0" w14:paraId="039E136B"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017EAC4C"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Uruguay</w:t>
            </w: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A49016"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3889D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0CC710"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C3D6F0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558 (420 - 734)</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D84A11"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16.</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(12.</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- 21.</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w:t>
            </w:r>
          </w:p>
        </w:tc>
      </w:tr>
      <w:tr w:rsidR="00CA72B0" w14:paraId="55C781D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25BADE9"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22BACC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attributable</w:t>
            </w:r>
          </w:p>
        </w:tc>
        <w:tc>
          <w:tcPr>
            <w:tcW w:w="101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08FD55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8F82113"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19D82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74.0</w:t>
            </w:r>
            <w:r w:rsidRPr="4BFB1015">
              <w:rPr>
                <w:rFonts w:eastAsia="Times New Roman" w:cs="Times New Roman"/>
                <w:color w:val="000000" w:themeColor="text1"/>
                <w:sz w:val="12"/>
                <w:szCs w:val="12"/>
              </w:rPr>
              <w:t xml:space="preserve"> (30.</w:t>
            </w:r>
            <w:r w:rsidRPr="3AD03132">
              <w:rPr>
                <w:rFonts w:eastAsia="Times New Roman" w:cs="Times New Roman"/>
                <w:color w:val="000000" w:themeColor="text1"/>
                <w:sz w:val="12"/>
                <w:szCs w:val="12"/>
              </w:rPr>
              <w:t>3</w:t>
            </w:r>
            <w:r w:rsidRPr="4BFB1015">
              <w:rPr>
                <w:rFonts w:eastAsia="Times New Roman" w:cs="Times New Roman"/>
                <w:color w:val="000000" w:themeColor="text1"/>
                <w:sz w:val="12"/>
                <w:szCs w:val="12"/>
              </w:rPr>
              <w:t xml:space="preserve"> - 128)</w:t>
            </w:r>
          </w:p>
        </w:tc>
        <w:tc>
          <w:tcPr>
            <w:tcW w:w="69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853824"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2.</w:t>
            </w:r>
            <w:r w:rsidRPr="3AD03132">
              <w:rPr>
                <w:rFonts w:eastAsia="Times New Roman" w:cs="Times New Roman"/>
                <w:color w:val="000000" w:themeColor="text1"/>
                <w:sz w:val="12"/>
                <w:szCs w:val="12"/>
              </w:rPr>
              <w:t>2</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9</w:t>
            </w:r>
            <w:r w:rsidRPr="4BFB1015">
              <w:rPr>
                <w:rFonts w:eastAsia="Times New Roman" w:cs="Times New Roman"/>
                <w:color w:val="000000" w:themeColor="text1"/>
                <w:sz w:val="12"/>
                <w:szCs w:val="12"/>
              </w:rPr>
              <w:t xml:space="preserve"> - 3.</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w:t>
            </w:r>
          </w:p>
        </w:tc>
      </w:tr>
      <w:tr w:rsidR="00CA72B0" w14:paraId="2F2D444B" w14:textId="77777777" w:rsidTr="00D862F0">
        <w:trPr>
          <w:trHeight w:val="300"/>
        </w:trPr>
        <w:tc>
          <w:tcPr>
            <w:tcW w:w="1624" w:type="dxa"/>
            <w:vMerge w:val="restart"/>
            <w:tcBorders>
              <w:top w:val="nil"/>
              <w:left w:val="single" w:sz="8" w:space="0" w:color="auto"/>
              <w:bottom w:val="single" w:sz="8" w:space="0" w:color="auto"/>
              <w:right w:val="single" w:sz="8" w:space="0" w:color="auto"/>
            </w:tcBorders>
            <w:tcMar>
              <w:top w:w="15" w:type="dxa"/>
              <w:left w:w="15" w:type="dxa"/>
              <w:right w:w="15" w:type="dxa"/>
            </w:tcMar>
            <w:vAlign w:val="center"/>
          </w:tcPr>
          <w:p w14:paraId="61CDCB62" w14:textId="77777777" w:rsidR="00CA72B0" w:rsidRPr="3AD03132"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Venezuela</w:t>
            </w:r>
          </w:p>
        </w:tc>
        <w:tc>
          <w:tcPr>
            <w:tcW w:w="577"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F004F1C"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associated  </w:t>
            </w:r>
          </w:p>
        </w:tc>
        <w:tc>
          <w:tcPr>
            <w:tcW w:w="101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9E7BD37"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Escherichia coli</w:t>
            </w:r>
          </w:p>
        </w:tc>
        <w:tc>
          <w:tcPr>
            <w:tcW w:w="1021"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A52AAD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Aminopenicillin  </w:t>
            </w:r>
          </w:p>
        </w:tc>
        <w:tc>
          <w:tcPr>
            <w:tcW w:w="822"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071CFD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1,950 (1,230 – 2,940)</w:t>
            </w:r>
          </w:p>
        </w:tc>
        <w:tc>
          <w:tcPr>
            <w:tcW w:w="699" w:type="pct"/>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93FC9CB"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w:t>
            </w:r>
            <w:r w:rsidRPr="3AD03132">
              <w:rPr>
                <w:rFonts w:eastAsia="Times New Roman" w:cs="Times New Roman"/>
                <w:color w:val="000000" w:themeColor="text1"/>
                <w:sz w:val="12"/>
                <w:szCs w:val="12"/>
              </w:rPr>
              <w:t>7.0</w:t>
            </w:r>
            <w:r w:rsidRPr="4BFB1015">
              <w:rPr>
                <w:rFonts w:eastAsia="Times New Roman" w:cs="Times New Roman"/>
                <w:color w:val="000000" w:themeColor="text1"/>
                <w:sz w:val="12"/>
                <w:szCs w:val="12"/>
              </w:rPr>
              <w:t xml:space="preserve"> (4.</w:t>
            </w:r>
            <w:r w:rsidRPr="3AD03132">
              <w:rPr>
                <w:rFonts w:eastAsia="Times New Roman" w:cs="Times New Roman"/>
                <w:color w:val="000000" w:themeColor="text1"/>
                <w:sz w:val="12"/>
                <w:szCs w:val="12"/>
              </w:rPr>
              <w:t>4</w:t>
            </w:r>
            <w:r w:rsidRPr="4BFB1015">
              <w:rPr>
                <w:rFonts w:eastAsia="Times New Roman" w:cs="Times New Roman"/>
                <w:color w:val="000000" w:themeColor="text1"/>
                <w:sz w:val="12"/>
                <w:szCs w:val="12"/>
              </w:rPr>
              <w:t xml:space="preserve"> - 10.</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w:t>
            </w:r>
          </w:p>
        </w:tc>
      </w:tr>
      <w:tr w:rsidR="00CA72B0" w14:paraId="6927AF89" w14:textId="77777777" w:rsidTr="00D862F0">
        <w:trPr>
          <w:trHeight w:val="315"/>
        </w:trPr>
        <w:tc>
          <w:tcPr>
            <w:tcW w:w="1624" w:type="dxa"/>
            <w:vMerge/>
            <w:tcBorders>
              <w:left w:val="single" w:sz="8" w:space="0" w:color="auto"/>
              <w:bottom w:val="single" w:sz="8" w:space="0" w:color="auto"/>
              <w:right w:val="single" w:sz="8" w:space="0" w:color="auto"/>
            </w:tcBorders>
            <w:shd w:val="clear" w:color="auto" w:fill="F2DCDB"/>
            <w:tcMar>
              <w:top w:w="15" w:type="dxa"/>
              <w:left w:w="15" w:type="dxa"/>
              <w:right w:w="15" w:type="dxa"/>
            </w:tcMar>
            <w:vAlign w:val="bottom"/>
          </w:tcPr>
          <w:p w14:paraId="76A1B906" w14:textId="77777777" w:rsidR="00CA72B0" w:rsidRDefault="00CA72B0" w:rsidP="00D862F0">
            <w:pPr>
              <w:rPr>
                <w:rFonts w:eastAsia="Times New Roman" w:cs="Times New Roman"/>
                <w:color w:val="000000" w:themeColor="text1"/>
                <w:sz w:val="12"/>
                <w:szCs w:val="12"/>
              </w:rPr>
            </w:pPr>
          </w:p>
        </w:tc>
        <w:tc>
          <w:tcPr>
            <w:tcW w:w="577" w:type="pct"/>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35441BD5"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 xml:space="preserve">  attributable  </w:t>
            </w:r>
          </w:p>
        </w:tc>
        <w:tc>
          <w:tcPr>
            <w:tcW w:w="1012" w:type="pct"/>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10EC8F93" w14:textId="77777777" w:rsidR="00CA72B0" w:rsidRDefault="00CA72B0" w:rsidP="00D862F0">
            <w:pPr>
              <w:jc w:val="center"/>
              <w:rPr>
                <w:rFonts w:eastAsia="Times New Roman" w:cs="Times New Roman"/>
                <w:color w:val="000000" w:themeColor="text1"/>
                <w:sz w:val="12"/>
                <w:szCs w:val="12"/>
              </w:rPr>
            </w:pPr>
            <w:r w:rsidRPr="4BFB1015">
              <w:rPr>
                <w:rFonts w:eastAsia="Times New Roman" w:cs="Times New Roman"/>
                <w:color w:val="000000" w:themeColor="text1"/>
                <w:sz w:val="12"/>
                <w:szCs w:val="12"/>
              </w:rPr>
              <w:t>Staphylococcus aureus</w:t>
            </w:r>
          </w:p>
        </w:tc>
        <w:tc>
          <w:tcPr>
            <w:tcW w:w="1021" w:type="pct"/>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5E4CC208"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Methicillin</w:t>
            </w:r>
          </w:p>
        </w:tc>
        <w:tc>
          <w:tcPr>
            <w:tcW w:w="822" w:type="pct"/>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41BC9F9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433 (193 - 785)</w:t>
            </w:r>
          </w:p>
        </w:tc>
        <w:tc>
          <w:tcPr>
            <w:tcW w:w="699" w:type="pct"/>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7C44741E" w14:textId="77777777" w:rsidR="00CA72B0" w:rsidRDefault="00CA72B0" w:rsidP="00D862F0">
            <w:pPr>
              <w:jc w:val="right"/>
              <w:rPr>
                <w:rFonts w:eastAsia="Times New Roman" w:cs="Times New Roman"/>
                <w:color w:val="000000" w:themeColor="text1"/>
                <w:sz w:val="12"/>
                <w:szCs w:val="12"/>
              </w:rPr>
            </w:pPr>
            <w:r w:rsidRPr="4BFB1015">
              <w:rPr>
                <w:rFonts w:eastAsia="Times New Roman" w:cs="Times New Roman"/>
                <w:color w:val="000000" w:themeColor="text1"/>
                <w:sz w:val="12"/>
                <w:szCs w:val="12"/>
              </w:rPr>
              <w:t>1.</w:t>
            </w:r>
            <w:r w:rsidRPr="3AD03132">
              <w:rPr>
                <w:rFonts w:eastAsia="Times New Roman" w:cs="Times New Roman"/>
                <w:color w:val="000000" w:themeColor="text1"/>
                <w:sz w:val="12"/>
                <w:szCs w:val="12"/>
              </w:rPr>
              <w:t>5</w:t>
            </w:r>
            <w:r w:rsidRPr="4BFB1015">
              <w:rPr>
                <w:rFonts w:eastAsia="Times New Roman" w:cs="Times New Roman"/>
                <w:color w:val="000000" w:themeColor="text1"/>
                <w:sz w:val="12"/>
                <w:szCs w:val="12"/>
              </w:rPr>
              <w:t xml:space="preserve"> (0.</w:t>
            </w:r>
            <w:r w:rsidRPr="3AD03132">
              <w:rPr>
                <w:rFonts w:eastAsia="Times New Roman" w:cs="Times New Roman"/>
                <w:color w:val="000000" w:themeColor="text1"/>
                <w:sz w:val="12"/>
                <w:szCs w:val="12"/>
              </w:rPr>
              <w:t>7</w:t>
            </w:r>
            <w:r w:rsidRPr="4BFB1015">
              <w:rPr>
                <w:rFonts w:eastAsia="Times New Roman" w:cs="Times New Roman"/>
                <w:color w:val="000000" w:themeColor="text1"/>
                <w:sz w:val="12"/>
                <w:szCs w:val="12"/>
              </w:rPr>
              <w:t xml:space="preserve"> - 2.8)</w:t>
            </w:r>
          </w:p>
        </w:tc>
      </w:tr>
    </w:tbl>
    <w:p w14:paraId="328618BA" w14:textId="77777777" w:rsidR="00CA72B0" w:rsidRDefault="00CA72B0" w:rsidP="00CA72B0"/>
    <w:p w14:paraId="5D6F5802" w14:textId="77777777" w:rsidR="00CA72B0" w:rsidRDefault="00CA72B0" w:rsidP="00CA72B0">
      <w:pPr>
        <w:rPr>
          <w:b/>
          <w:bCs/>
        </w:rPr>
      </w:pPr>
    </w:p>
    <w:p w14:paraId="139026A9" w14:textId="77777777" w:rsidR="00CA72B0" w:rsidRDefault="00CA72B0" w:rsidP="00CA72B0">
      <w:pPr>
        <w:rPr>
          <w:b/>
          <w:bCs/>
        </w:rPr>
      </w:pPr>
    </w:p>
    <w:p w14:paraId="1C27E462" w14:textId="77777777" w:rsidR="00CA72B0" w:rsidRDefault="00CA72B0" w:rsidP="00CA72B0">
      <w:pPr>
        <w:rPr>
          <w:b/>
          <w:bCs/>
        </w:rPr>
      </w:pPr>
    </w:p>
    <w:p w14:paraId="0F268127" w14:textId="77777777" w:rsidR="00CA72B0" w:rsidRDefault="00CA72B0">
      <w:pPr>
        <w:rPr>
          <w:b/>
          <w:bCs/>
        </w:rPr>
      </w:pPr>
      <w:r>
        <w:rPr>
          <w:b/>
          <w:bCs/>
        </w:rPr>
        <w:br w:type="page"/>
      </w:r>
    </w:p>
    <w:p w14:paraId="2408FF6A" w14:textId="0597F68D" w:rsidR="00CA72B0" w:rsidRDefault="00CA72B0" w:rsidP="00CA72B0">
      <w:r w:rsidRPr="00CA72B0">
        <w:rPr>
          <w:b/>
          <w:bCs/>
        </w:rPr>
        <w:lastRenderedPageBreak/>
        <w:t>Supplementary Table 2:</w:t>
      </w:r>
      <w:r w:rsidRPr="00CA72B0">
        <w:t xml:space="preserve"> Pathogen-drug combinations with the largest number of DALYs and age-</w:t>
      </w:r>
      <w:proofErr w:type="spellStart"/>
      <w:r w:rsidRPr="00CA72B0">
        <w:t>standardised</w:t>
      </w:r>
      <w:proofErr w:type="spellEnd"/>
      <w:r w:rsidRPr="00CA72B0">
        <w:t xml:space="preserve"> DALY rates per 100 000 by counterfactual and country in the Americas, 2019</w:t>
      </w:r>
      <w:r>
        <w:t>.</w:t>
      </w:r>
    </w:p>
    <w:tbl>
      <w:tblPr>
        <w:tblStyle w:val="TableGrid"/>
        <w:tblW w:w="0" w:type="auto"/>
        <w:tblLook w:val="06A0" w:firstRow="1" w:lastRow="0" w:firstColumn="1" w:lastColumn="0" w:noHBand="1" w:noVBand="1"/>
      </w:tblPr>
      <w:tblGrid>
        <w:gridCol w:w="1624"/>
        <w:gridCol w:w="1078"/>
        <w:gridCol w:w="1890"/>
        <w:gridCol w:w="1907"/>
        <w:gridCol w:w="1535"/>
        <w:gridCol w:w="1306"/>
      </w:tblGrid>
      <w:tr w:rsidR="00CA72B0" w14:paraId="7E572912" w14:textId="77777777" w:rsidTr="00D862F0">
        <w:trPr>
          <w:trHeight w:val="465"/>
        </w:trPr>
        <w:tc>
          <w:tcPr>
            <w:tcW w:w="1624" w:type="dxa"/>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083B40DB"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Country</w:t>
            </w:r>
          </w:p>
        </w:tc>
        <w:tc>
          <w:tcPr>
            <w:tcW w:w="1078"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6433BFA3"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Counterfactual</w:t>
            </w:r>
          </w:p>
        </w:tc>
        <w:tc>
          <w:tcPr>
            <w:tcW w:w="1890"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04BC541"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Pathogen</w:t>
            </w:r>
          </w:p>
        </w:tc>
        <w:tc>
          <w:tcPr>
            <w:tcW w:w="190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65DB1DCF"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Antibiotic class</w:t>
            </w:r>
          </w:p>
        </w:tc>
        <w:tc>
          <w:tcPr>
            <w:tcW w:w="1535"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22138E2E"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DALYs (count)</w:t>
            </w:r>
          </w:p>
        </w:tc>
        <w:tc>
          <w:tcPr>
            <w:tcW w:w="1306" w:type="dxa"/>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6342377A" w14:textId="77777777" w:rsidR="00CA72B0" w:rsidRDefault="00CA72B0" w:rsidP="00D862F0">
            <w:pPr>
              <w:jc w:val="center"/>
              <w:rPr>
                <w:rFonts w:eastAsia="Times New Roman" w:cs="Times New Roman"/>
                <w:b/>
                <w:bCs/>
                <w:color w:val="000000" w:themeColor="text1"/>
                <w:sz w:val="12"/>
                <w:szCs w:val="12"/>
              </w:rPr>
            </w:pPr>
            <w:r w:rsidRPr="3AD03132">
              <w:rPr>
                <w:rFonts w:eastAsia="Times New Roman" w:cs="Times New Roman"/>
                <w:b/>
                <w:bCs/>
                <w:color w:val="000000" w:themeColor="text1"/>
                <w:sz w:val="12"/>
                <w:szCs w:val="12"/>
              </w:rPr>
              <w:t>Age standardized rate per 100,000</w:t>
            </w:r>
          </w:p>
        </w:tc>
      </w:tr>
      <w:tr w:rsidR="00CA72B0" w14:paraId="2C5B99C4" w14:textId="77777777" w:rsidTr="00D862F0">
        <w:trPr>
          <w:trHeight w:val="300"/>
        </w:trPr>
        <w:tc>
          <w:tcPr>
            <w:tcW w:w="1624" w:type="dxa"/>
            <w:vMerge w:val="restart"/>
            <w:tcBorders>
              <w:top w:val="single" w:sz="8" w:space="0" w:color="auto"/>
              <w:left w:val="single" w:sz="8" w:space="0" w:color="auto"/>
              <w:right w:val="single" w:sz="8" w:space="0" w:color="auto"/>
            </w:tcBorders>
            <w:tcMar>
              <w:top w:w="15" w:type="dxa"/>
              <w:left w:w="15" w:type="dxa"/>
              <w:right w:w="15" w:type="dxa"/>
            </w:tcMar>
            <w:vAlign w:val="center"/>
          </w:tcPr>
          <w:p w14:paraId="70CF8B0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Antigua and Barbuda</w:t>
            </w:r>
          </w:p>
        </w:tc>
        <w:tc>
          <w:tcPr>
            <w:tcW w:w="1078"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65147BC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associated</w:t>
            </w:r>
          </w:p>
        </w:tc>
        <w:tc>
          <w:tcPr>
            <w:tcW w:w="1890"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5DDC859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6FFDA99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Fluoroquinolones</w:t>
            </w:r>
          </w:p>
        </w:tc>
        <w:tc>
          <w:tcPr>
            <w:tcW w:w="1535"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7160582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195 (108 - 313)</w:t>
            </w:r>
          </w:p>
        </w:tc>
        <w:tc>
          <w:tcPr>
            <w:tcW w:w="1306"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1823B17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220.7 (122.5 - 353.3) </w:t>
            </w:r>
          </w:p>
        </w:tc>
      </w:tr>
      <w:tr w:rsidR="00CA72B0" w14:paraId="1AEF2DC6"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126B9E3"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B61075" w14:textId="77777777" w:rsidR="00CA72B0" w:rsidRDefault="00CA72B0" w:rsidP="00D862F0">
            <w:pPr>
              <w:spacing w:line="259" w:lineRule="auto"/>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4A22DE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CC8934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C6A46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38.7 (17.9 - 67.0)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09E7B5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43.7 (20.2 - 75.7)</w:t>
            </w:r>
          </w:p>
        </w:tc>
      </w:tr>
      <w:tr w:rsidR="00CA72B0" w14:paraId="7DCD6B63"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64BBC4F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Argentina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8129B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2A9C2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DB5B7B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F55099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126,000 (99,200 – 163,000)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5E040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280.0 (220.0 - 360.6) </w:t>
            </w:r>
          </w:p>
        </w:tc>
      </w:tr>
      <w:tr w:rsidR="00CA72B0" w14:paraId="44FF2DA3"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4C9DB5EA"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958C31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D408D6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7DE95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6E3DB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35,900 (17,300 – 58,000)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541B66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79.6 (38.4 - 128.6)</w:t>
            </w:r>
          </w:p>
        </w:tc>
      </w:tr>
      <w:tr w:rsidR="00CA72B0" w14:paraId="101CAE3E"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0C86A41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Barbados</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45243C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2FEE3F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77C36D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3500A0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1,120 (798 – 1,530)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09E9DE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375.8 (267.8 - 514.5) </w:t>
            </w:r>
          </w:p>
        </w:tc>
      </w:tr>
      <w:tr w:rsidR="00CA72B0" w14:paraId="5B571FF4"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75535CC"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AFDB29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1B84E4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69EC47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3E3F38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284 (129 - 485)</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B035EC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95.3 (43.3 - 162.7)</w:t>
            </w:r>
          </w:p>
        </w:tc>
      </w:tr>
      <w:tr w:rsidR="00CA72B0" w14:paraId="3BFEFD34"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3871A79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Belize</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B36039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33E41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BC1F72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32B6B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754 (517 - 1050)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98123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183.8 (126.0 - 255.3) </w:t>
            </w:r>
          </w:p>
        </w:tc>
      </w:tr>
      <w:tr w:rsidR="00CA72B0" w14:paraId="06513994"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40448317"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F65E2F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2C1273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0A9B7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CFACAF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147 (66.6 - 248)</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49626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35.8 (16.2 - 60.5)</w:t>
            </w:r>
          </w:p>
        </w:tc>
      </w:tr>
      <w:tr w:rsidR="00CA72B0" w14:paraId="54DF2E9A"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751A97A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Bolivia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83937BE"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61C258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Streptococcus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0D96E8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Trimethoprim-Sulfamethoxazole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0724F3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63,500 (47,800 – 82,000)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C55DBD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528.7 (398.3 - 683.0) </w:t>
            </w:r>
          </w:p>
        </w:tc>
      </w:tr>
      <w:tr w:rsidR="00CA72B0" w14:paraId="1E8246AE"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10BBAF1"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A0F5FB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AD85AE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924452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F7ED9D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10,400 (4,550 – 18,000)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076F42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86.8 (37.9 - 149.8)</w:t>
            </w:r>
          </w:p>
        </w:tc>
      </w:tr>
      <w:tr w:rsidR="00CA72B0" w14:paraId="5AD93EE1"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06DE3D1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Brazil</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6DA072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5502ED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020D9C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Macrolide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74E5BB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598,000 (454,000 – 780,000)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21417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276.1 (209.5 - 359.9) </w:t>
            </w:r>
          </w:p>
        </w:tc>
      </w:tr>
      <w:tr w:rsidR="00CA72B0" w14:paraId="2C76166B"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B4E36F9"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9FC44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38A44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02967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C529A2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107,000 (46,600 – 181,000)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EFFAD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49.3 (21.5 - 83.3)</w:t>
            </w:r>
          </w:p>
        </w:tc>
      </w:tr>
      <w:tr w:rsidR="00CA72B0" w14:paraId="2612B656"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4946CF5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Canada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C8C95C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85B632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4F7201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797CFA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43,500 (29,500 – 62,300)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607033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119.2 (80.8 - 170.6) </w:t>
            </w:r>
          </w:p>
        </w:tc>
      </w:tr>
      <w:tr w:rsidR="00CA72B0" w14:paraId="757FA648"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6E9CFEB"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2DA399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8DF6FA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ECB3CC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5E843D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8,500 (3,330 – 15,400)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A80426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23.3 (9.1 - 42.2)</w:t>
            </w:r>
          </w:p>
        </w:tc>
      </w:tr>
      <w:tr w:rsidR="00CA72B0" w14:paraId="485530D3"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3D1AFB9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Chile</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3284D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1EA2F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5EB16E"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C9785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40,800 (28,000 – 57,400)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198D7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224.3 (153.7 - 315.6) </w:t>
            </w:r>
          </w:p>
        </w:tc>
      </w:tr>
      <w:tr w:rsidR="00CA72B0" w14:paraId="1BF9A938"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73EEEA4"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55B0D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66E08D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655E6B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87FCBD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11,400 (5,250 – 19,400)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9BB27F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62.7 (28.9 - 106.6)</w:t>
            </w:r>
          </w:p>
        </w:tc>
      </w:tr>
      <w:tr w:rsidR="00CA72B0" w14:paraId="4BAC3ADF"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3DD858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Colombia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457C6F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678931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AAF134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9842AD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80,800 (52,700 – 119,000)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E6B767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169.0 (110.4 - 248.4) </w:t>
            </w:r>
          </w:p>
        </w:tc>
      </w:tr>
      <w:tr w:rsidR="00CA72B0" w14:paraId="13744D3E"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95B6B15"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327D7F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945E8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8FAD49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9BB124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19,800 (9,050 – 34,100)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8BA059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41.4 (18.9 - 71.4)</w:t>
            </w:r>
          </w:p>
        </w:tc>
      </w:tr>
      <w:tr w:rsidR="00CA72B0" w14:paraId="4C4FD10A"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6FC3F49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Costa Rica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8B90C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43F3F8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74C7D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023DDA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9,560 (5,950 – 14,600)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AFBE36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202.6 (126.2 - 309.8) </w:t>
            </w:r>
          </w:p>
        </w:tc>
      </w:tr>
      <w:tr w:rsidR="00CA72B0" w14:paraId="19869F9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D1358AE"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A3DE23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1BBA5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C7453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B7F52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3,000 (1,260 – 4,860)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844914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59.3 (26.8 - 103.1)</w:t>
            </w:r>
          </w:p>
        </w:tc>
      </w:tr>
      <w:tr w:rsidR="00CA72B0" w14:paraId="4EAF17A9"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CA570A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Cuba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1DF4F6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EF5AD4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20589F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Fourth-generation cephalosporins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98A5DF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22,300 (12,300 – 36,800)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C42832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196.2 (108.5 - 324.1) </w:t>
            </w:r>
          </w:p>
        </w:tc>
      </w:tr>
      <w:tr w:rsidR="00CA72B0" w14:paraId="0FB982A6"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E2B7ECB"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AC07C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3B2B1C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95A4B3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804AB3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3,580 (1,510 – 6,710)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628365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31.5 (13.3 - 59.1)</w:t>
            </w:r>
          </w:p>
        </w:tc>
      </w:tr>
      <w:tr w:rsidR="00CA72B0" w14:paraId="0F14C888"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AD5C20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Dominica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80F7A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A8D61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B2950A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Third-generation cephalosporins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B08B20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245 (137 - 383)</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7A34ED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356.5 (200.1 - 557.3) </w:t>
            </w:r>
          </w:p>
        </w:tc>
      </w:tr>
      <w:tr w:rsidR="00CA72B0" w14:paraId="0F9E144A"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B5DB9E3"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5B100F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27E28B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CEBF3E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2F8CA7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43.9 (19.5 - 76.5)</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D7B55F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63.9 (28.4 - 111.4)</w:t>
            </w:r>
          </w:p>
        </w:tc>
      </w:tr>
      <w:tr w:rsidR="00CA72B0" w14:paraId="68BC9D69"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3E7D24C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Dominican Republic</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1F82A6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8806C6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Klebsiella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1CC100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Beta Lactam/Beta-lactamase inhibitors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C8F972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34,900 (22,300 – 51,700)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BA5F53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321.0 (205.3 - 474.8) </w:t>
            </w:r>
          </w:p>
        </w:tc>
      </w:tr>
      <w:tr w:rsidR="00CA72B0" w14:paraId="6D428047"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6EFB6F6"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54AD1D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260C9B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628776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979B48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7,160 (3,070 – 12,400)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D0ED65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65.8 (28.2 - 113.5)</w:t>
            </w:r>
          </w:p>
        </w:tc>
      </w:tr>
      <w:tr w:rsidR="00CA72B0" w14:paraId="4FBA7E21"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2B40238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Ecuador</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A0802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61779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Klebsiella pneumoniae</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436B04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Beta Lactam/Beta-lactamase inhibitors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1148EE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42,900 (28,700 – 60,400)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CB9D20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243.7 (163.4 - 343.2) </w:t>
            </w:r>
          </w:p>
        </w:tc>
      </w:tr>
      <w:tr w:rsidR="00CA72B0" w14:paraId="71B1C48B"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40859071"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F03161E"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74594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921DE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93408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8,010 (3,440 – 14,100)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A203C2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45.5 (19.6 - 80.0)</w:t>
            </w:r>
          </w:p>
        </w:tc>
      </w:tr>
      <w:tr w:rsidR="00CA72B0" w14:paraId="4426E074"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4BCDF0C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El Salvador</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69B95F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9D4954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B704E6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E7D0F2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16,500 (10,200 – 25,000)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EBA179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263.8 (163.3 - 398.9) </w:t>
            </w:r>
          </w:p>
        </w:tc>
      </w:tr>
      <w:tr w:rsidR="00CA72B0" w14:paraId="61E649FF"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27DA6C5"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973AB3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57CE43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34B7CB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1FBC8C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3,690 (1,660 – 6,500)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35152E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59.0 (26.5 - 103.9)</w:t>
            </w:r>
          </w:p>
        </w:tc>
      </w:tr>
      <w:tr w:rsidR="00CA72B0" w14:paraId="79C94A57"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AB1B2E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Grenada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29FF2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2F02F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92932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Anti-pseudomonal penicillin/Beta-Lactamase inhibitors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C251B7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276 (162 - 4267)</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9A555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267.8 (157.0 - 413.3) </w:t>
            </w:r>
          </w:p>
        </w:tc>
      </w:tr>
      <w:tr w:rsidR="00CA72B0" w14:paraId="05DF90FF"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A35D3FB"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E121F1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83EDC0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E8C580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91AE48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61.8 (29.0 - 103)</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7BF02E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59.9 (28.1 - 99.3)</w:t>
            </w:r>
          </w:p>
        </w:tc>
      </w:tr>
      <w:tr w:rsidR="00CA72B0" w14:paraId="536DA995"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6CCA2CC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Guatemala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324933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D30F61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Streptococcus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A5E421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Trimethoprim-Sulfamethoxazole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D19ABB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77,100 (55,200 – 106,000)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CDC888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433.6 (310.5 - 594.0) </w:t>
            </w:r>
          </w:p>
        </w:tc>
      </w:tr>
      <w:tr w:rsidR="00CA72B0" w14:paraId="032698A2"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10FA879"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0BF00A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A88C03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B42C4A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B7E862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13,400 (5,580 – 23,600)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FED06B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75.2 (31.4 - 132.5)</w:t>
            </w:r>
          </w:p>
        </w:tc>
      </w:tr>
      <w:tr w:rsidR="00CA72B0" w14:paraId="576BC9E0"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7ABA3AA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Guyana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68A3D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A6215B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FE7160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F458FA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3,148 (2,020 – 4,670)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AA56DA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408.4 (262.3 - 605.9) </w:t>
            </w:r>
          </w:p>
        </w:tc>
      </w:tr>
      <w:tr w:rsidR="00CA72B0" w14:paraId="4ACDEF51"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D2C7109"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CF95E3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A0CFD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52D6E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0B4DA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818 (384 – 1,400)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AAF1BE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106.1 (49.9 - 182.2)</w:t>
            </w:r>
          </w:p>
        </w:tc>
      </w:tr>
      <w:tr w:rsidR="00CA72B0" w14:paraId="6B3C900E"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962C91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lastRenderedPageBreak/>
              <w:t>Haiti</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DC89EC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48090C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Streptococcus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33E597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Trimethoprim-Sulfamethoxazole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9FAEEC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116,000 (82,800 – 154,000)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AA79CF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936.9 (667.9 - 1244.4) </w:t>
            </w:r>
          </w:p>
        </w:tc>
      </w:tr>
      <w:tr w:rsidR="00CA72B0" w14:paraId="6C892A72"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D6F665F"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5B6F29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685B83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Klebsiella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2F9E22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Third-generation cephalosporins</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7653AB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10,200 (2,760 – 21,700)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18A952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82.0 (22.3 - 174.8)</w:t>
            </w:r>
          </w:p>
        </w:tc>
      </w:tr>
      <w:tr w:rsidR="00CA72B0" w14:paraId="384C270C"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652E4E9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Honduras</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8B29A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1CA3AE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643334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11C49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32,500 (21,100 – 46,900)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3B094E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331.2 (215.5 - 478.1) </w:t>
            </w:r>
          </w:p>
        </w:tc>
      </w:tr>
      <w:tr w:rsidR="00CA72B0" w14:paraId="6F95654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C82D0BF"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18F23F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63F99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6A486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67921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5,210 (2,300 – 9,220)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55D83C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53.1 (23.4 - 93.9)</w:t>
            </w:r>
          </w:p>
        </w:tc>
      </w:tr>
      <w:tr w:rsidR="00CA72B0" w14:paraId="46E521D5"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15C060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Jamaica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260FAD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D84B77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77F3F8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Third-generation cephalosporins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7B3E14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6,140 (3,390 – 9,920)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D70B9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218.3 (120.5 - 353.0) </w:t>
            </w:r>
          </w:p>
        </w:tc>
      </w:tr>
      <w:tr w:rsidR="00CA72B0" w14:paraId="7CA3DE73"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F4FD121"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416B64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65BB31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6F21F0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19DD0D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1,260 (570 – 2,300)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E61E53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45.0 (20.3 - 81.8)</w:t>
            </w:r>
          </w:p>
        </w:tc>
      </w:tr>
      <w:tr w:rsidR="00CA72B0" w14:paraId="41C290DE"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3599CFB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Mexico</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8C1CB7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DA83C7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A25B5E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C0D3D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380,000 (254,000 – 541,000)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8C707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304.1 (203.5 - 432.7) </w:t>
            </w:r>
          </w:p>
        </w:tc>
      </w:tr>
      <w:tr w:rsidR="00CA72B0" w14:paraId="0D8267B8"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603C6B1D"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8E628E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BBF8F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649F2E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F8F22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68,200 (30,100 – 116,000)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26E536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54.6 (24.1 - 93.1)</w:t>
            </w:r>
          </w:p>
        </w:tc>
      </w:tr>
      <w:tr w:rsidR="00CA72B0" w14:paraId="77617FBD"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ED1B47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Nicaragua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E05230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61DAFA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BE8EAB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181662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15,000 (9,880 – 21,500)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C384FF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230.0 (151.7 - 330.2) </w:t>
            </w:r>
          </w:p>
        </w:tc>
      </w:tr>
      <w:tr w:rsidR="00CA72B0" w14:paraId="665B2BD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726E715D"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1FFF8C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3F84EE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7F7AE8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3EEB314"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3,710 (1,670 – 6,330)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758D7C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57.0 (25.6 - 97.3)</w:t>
            </w:r>
          </w:p>
        </w:tc>
      </w:tr>
      <w:tr w:rsidR="00CA72B0" w14:paraId="5821D9D8"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2AD873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Panama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28ED9E"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30BFC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83A3F6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D9E89B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7,520 (4,780 – 11,300)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16EA2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180.7 (115.0 - 270.5) </w:t>
            </w:r>
          </w:p>
        </w:tc>
      </w:tr>
      <w:tr w:rsidR="00CA72B0" w14:paraId="602CADB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5AF2117"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A953F3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AA7860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CDEBA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1D70E9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1,740 (754 – 3,050)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584A7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41.8 (18.1 - 73.3)</w:t>
            </w:r>
          </w:p>
        </w:tc>
      </w:tr>
      <w:tr w:rsidR="00CA72B0" w14:paraId="20AA3944"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2D11F99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Paraguay</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5A0C5B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3CE99C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7ED86D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E5B888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13,700 (8,970 – 20,100)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8917E6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198.2 (129.5 - 290.7) </w:t>
            </w:r>
          </w:p>
        </w:tc>
      </w:tr>
      <w:tr w:rsidR="00CA72B0" w14:paraId="0C13095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D639A01"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117E9F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D7754C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5FC9BB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6EF206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3,750 (1,700 – 6,490)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EBA4C6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54.0 (24.7 - 93.6)</w:t>
            </w:r>
          </w:p>
        </w:tc>
      </w:tr>
      <w:tr w:rsidR="00CA72B0" w14:paraId="036F007C"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159AE8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Peru</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889A17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3057C4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Streptococcus pneumoniae</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7D5C14"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Trimethoprim-Sulfamethoxazole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8422C2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98,800 (68,200 – 138,000)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DA4B98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290.5 (200.6 - 406.0) </w:t>
            </w:r>
          </w:p>
        </w:tc>
      </w:tr>
      <w:tr w:rsidR="00CA72B0" w14:paraId="5A02208C"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5472599B"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1E470DE"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CABB2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7AC47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CF3E3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24,200 (11,200 – 40,900)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49317B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71.1 (32.8 - 120.4)</w:t>
            </w:r>
          </w:p>
        </w:tc>
      </w:tr>
      <w:tr w:rsidR="00CA72B0" w14:paraId="65D3AE8F"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1EA77CD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Kitts and Nevis</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A6E1A9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CFF6A8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DA5813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Fluoroquinolones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15A4D0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172 (97.3 - 271)</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04AEF8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288.3 (163.5 - 455.0) </w:t>
            </w:r>
          </w:p>
        </w:tc>
      </w:tr>
      <w:tr w:rsidR="00CA72B0" w14:paraId="6E0932C5"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04DC9DB6"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E9B08F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CB3A7E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33CF6E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4D9A9C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36.8 (16.9 - 62.2)</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D54172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61.8 (28.5 - 104.6)</w:t>
            </w:r>
          </w:p>
        </w:tc>
      </w:tr>
      <w:tr w:rsidR="00CA72B0" w14:paraId="5CFBAAFF"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71ED963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Lucia</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2A8B67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D6DB2A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46B70F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Third-generation cephalosporins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8D93B0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418 (235 - 668)</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B93A3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239.1 (134.3 - 382.6) </w:t>
            </w:r>
          </w:p>
        </w:tc>
      </w:tr>
      <w:tr w:rsidR="00CA72B0" w14:paraId="4A23CD9E"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DDBD001"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C793B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7B067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5B49A8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C9A662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97.4 (45.7 - 168)</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A4D7F9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55.8 (26.2 - 96.3)</w:t>
            </w:r>
          </w:p>
        </w:tc>
      </w:tr>
      <w:tr w:rsidR="00CA72B0" w14:paraId="4B22F5A4"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5A940E7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Saint Vincent and the Grenadines</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CFC1D4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EFB5CF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Acinetobacter </w:t>
            </w:r>
            <w:proofErr w:type="spellStart"/>
            <w:r w:rsidRPr="3AD03132">
              <w:rPr>
                <w:rFonts w:eastAsia="Times New Roman" w:cs="Times New Roman"/>
                <w:color w:val="000000" w:themeColor="text1"/>
                <w:sz w:val="12"/>
                <w:szCs w:val="12"/>
              </w:rPr>
              <w:t>baumannii</w:t>
            </w:r>
            <w:proofErr w:type="spellEnd"/>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C2B6B6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Anti-pseudomonal penicillin/Beta-Lactamase inhibitors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8C3C38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309 (174 - 486)</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931EB7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272.7 (153.5 - 429.3) </w:t>
            </w:r>
          </w:p>
        </w:tc>
      </w:tr>
      <w:tr w:rsidR="00CA72B0" w14:paraId="187817D8"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7368460"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1810AA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E826FD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D09C71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B28003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67.5 (31.4 - 117)</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89E358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59.7 (27.7 - 103.5)</w:t>
            </w:r>
          </w:p>
        </w:tc>
      </w:tr>
      <w:tr w:rsidR="00CA72B0" w14:paraId="5AA26A6E"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2377BD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Suriname</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59757D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A121121"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227C4A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AB108B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1,670 (1,130 – 2,340)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4A78B9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289.7 (196.4 - 405.5) </w:t>
            </w:r>
          </w:p>
        </w:tc>
      </w:tr>
      <w:tr w:rsidR="00CA72B0" w14:paraId="50AA2264"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3D9EAAF"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A0D048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749247"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1C8DC6"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77D8E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362 (167 - 631)</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5C9901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62.9 (29.0 - 109.5)</w:t>
            </w:r>
          </w:p>
        </w:tc>
      </w:tr>
      <w:tr w:rsidR="00CA72B0" w14:paraId="02E494F8"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29F6345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The Bahamas</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543AC0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02C478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DC04FCB"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5C20B79"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966 (642 – 1,410)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03EC3A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256.2 (170.3 - 374.5) </w:t>
            </w:r>
          </w:p>
        </w:tc>
      </w:tr>
      <w:tr w:rsidR="00CA72B0" w14:paraId="42E429B7"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1633A386"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614FAB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DE367D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8141A3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63EB24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147 (57.5 - 264)</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E4A4920"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39.0 (15.3 - 70.1)</w:t>
            </w:r>
          </w:p>
        </w:tc>
      </w:tr>
      <w:tr w:rsidR="00CA72B0" w14:paraId="03BDCA15"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46212A32"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Trinidad and Tobago</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15C9C6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8E8E5E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9C87128"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Methicillin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9AA179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3,810 (2,300 – 6,020)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57289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274.5 (165.9 - 433.7) </w:t>
            </w:r>
          </w:p>
        </w:tc>
      </w:tr>
      <w:tr w:rsidR="00CA72B0" w14:paraId="1139A842"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22FE4034"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EF1C3B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BED04A3"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ED7C8E9"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743A1D5"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989 (437 – 1,750)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8A446B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71.3 (31.5 - 125.9)</w:t>
            </w:r>
          </w:p>
        </w:tc>
      </w:tr>
      <w:tr w:rsidR="00CA72B0" w14:paraId="28758584" w14:textId="77777777" w:rsidTr="00D862F0">
        <w:trPr>
          <w:trHeight w:val="300"/>
        </w:trPr>
        <w:tc>
          <w:tcPr>
            <w:tcW w:w="1624" w:type="dxa"/>
            <w:vMerge w:val="restart"/>
            <w:tcBorders>
              <w:top w:val="nil"/>
              <w:left w:val="single" w:sz="8" w:space="0" w:color="auto"/>
              <w:right w:val="single" w:sz="8" w:space="0" w:color="auto"/>
            </w:tcBorders>
            <w:tcMar>
              <w:top w:w="15" w:type="dxa"/>
              <w:left w:w="15" w:type="dxa"/>
              <w:right w:w="15" w:type="dxa"/>
            </w:tcMar>
            <w:vAlign w:val="center"/>
          </w:tcPr>
          <w:p w14:paraId="6BF8B44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United States</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F2912DC"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5C5608F"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016113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Macrolide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9A008FC"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734,000 (496,000 – 1,060,000)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B856B6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223.9 (151.2 - 323.7) </w:t>
            </w:r>
          </w:p>
        </w:tc>
      </w:tr>
      <w:tr w:rsidR="00CA72B0" w14:paraId="7C0EB3E9"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F8FD68B" w14:textId="77777777" w:rsidR="00CA72B0" w:rsidRDefault="00CA72B0" w:rsidP="00D862F0"/>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0C26782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3ADD1C7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F9A751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738C095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167,000 (70,700 – 300,000)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5E4E473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51.0 (21.6 - 91.4)</w:t>
            </w:r>
          </w:p>
        </w:tc>
      </w:tr>
      <w:tr w:rsidR="00CA72B0" w14:paraId="1DD2BCC6" w14:textId="77777777" w:rsidTr="00D862F0">
        <w:trPr>
          <w:trHeight w:val="300"/>
        </w:trPr>
        <w:tc>
          <w:tcPr>
            <w:tcW w:w="1624" w:type="dxa"/>
            <w:vMerge w:val="restart"/>
            <w:tcBorders>
              <w:top w:val="nil"/>
              <w:left w:val="single" w:sz="8" w:space="0" w:color="auto"/>
              <w:right w:val="single" w:sz="8" w:space="0" w:color="auto"/>
            </w:tcBorders>
            <w:shd w:val="clear" w:color="auto" w:fill="F2DCDB"/>
            <w:tcMar>
              <w:top w:w="15" w:type="dxa"/>
              <w:left w:w="15" w:type="dxa"/>
              <w:right w:w="15" w:type="dxa"/>
            </w:tcMar>
            <w:vAlign w:val="center"/>
          </w:tcPr>
          <w:p w14:paraId="5B18F4EB"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Uruguay</w:t>
            </w:r>
          </w:p>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78BE3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E259AC6"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Escherichia coli</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AF552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Aminopenicillin </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8628DF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8,860 (6,520 – 12,000)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7EDEE1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257.8 (189.8 - 348.2) </w:t>
            </w:r>
          </w:p>
        </w:tc>
      </w:tr>
      <w:tr w:rsidR="00CA72B0" w14:paraId="3F98C8CD" w14:textId="77777777" w:rsidTr="00D862F0">
        <w:trPr>
          <w:trHeight w:val="300"/>
        </w:trPr>
        <w:tc>
          <w:tcPr>
            <w:tcW w:w="1624" w:type="dxa"/>
            <w:vMerge/>
            <w:tcBorders>
              <w:left w:val="single" w:sz="8" w:space="0" w:color="auto"/>
              <w:bottom w:val="nil"/>
              <w:right w:val="single" w:sz="8" w:space="0" w:color="auto"/>
            </w:tcBorders>
            <w:shd w:val="clear" w:color="auto" w:fill="F2DCDB"/>
            <w:tcMar>
              <w:top w:w="15" w:type="dxa"/>
              <w:left w:w="15" w:type="dxa"/>
              <w:right w:w="15" w:type="dxa"/>
            </w:tcMar>
            <w:vAlign w:val="bottom"/>
          </w:tcPr>
          <w:p w14:paraId="38A0AD0E" w14:textId="77777777" w:rsidR="00CA72B0" w:rsidRDefault="00CA72B0" w:rsidP="00D862F0"/>
        </w:tc>
        <w:tc>
          <w:tcPr>
            <w:tcW w:w="1078"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71BC39D"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attributable</w:t>
            </w:r>
          </w:p>
        </w:tc>
        <w:tc>
          <w:tcPr>
            <w:tcW w:w="189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2C0320"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680B917"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34998B8"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1,240 (506 – 2,210)</w:t>
            </w:r>
          </w:p>
        </w:tc>
        <w:tc>
          <w:tcPr>
            <w:tcW w:w="1306"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974C43A"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36.0 (14.7 - 64.3)</w:t>
            </w:r>
          </w:p>
        </w:tc>
      </w:tr>
      <w:tr w:rsidR="00CA72B0" w14:paraId="2DF6E75F" w14:textId="77777777" w:rsidTr="00D862F0">
        <w:trPr>
          <w:trHeight w:val="300"/>
        </w:trPr>
        <w:tc>
          <w:tcPr>
            <w:tcW w:w="1624" w:type="dxa"/>
            <w:vMerge w:val="restart"/>
            <w:tcBorders>
              <w:top w:val="nil"/>
              <w:left w:val="single" w:sz="8" w:space="0" w:color="auto"/>
              <w:bottom w:val="single" w:sz="8" w:space="0" w:color="auto"/>
              <w:right w:val="single" w:sz="8" w:space="0" w:color="auto"/>
            </w:tcBorders>
            <w:tcMar>
              <w:top w:w="15" w:type="dxa"/>
              <w:left w:w="15" w:type="dxa"/>
              <w:right w:w="15" w:type="dxa"/>
            </w:tcMar>
            <w:vAlign w:val="center"/>
          </w:tcPr>
          <w:p w14:paraId="635C313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Venezuela</w:t>
            </w:r>
          </w:p>
        </w:tc>
        <w:tc>
          <w:tcPr>
            <w:tcW w:w="1078"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2DA1062"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associated  </w:t>
            </w:r>
          </w:p>
        </w:tc>
        <w:tc>
          <w:tcPr>
            <w:tcW w:w="1890"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62B358EA"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Streptococcus pneumoniae</w:t>
            </w:r>
          </w:p>
        </w:tc>
        <w:tc>
          <w:tcPr>
            <w:tcW w:w="1907"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1566F6A1"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Macrolide </w:t>
            </w:r>
          </w:p>
        </w:tc>
        <w:tc>
          <w:tcPr>
            <w:tcW w:w="1535"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2A104E5D"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53,400 (35,600 – 76,700)</w:t>
            </w:r>
          </w:p>
        </w:tc>
        <w:tc>
          <w:tcPr>
            <w:tcW w:w="1306" w:type="dxa"/>
            <w:tcBorders>
              <w:top w:val="nil"/>
              <w:left w:val="single" w:sz="8" w:space="0" w:color="auto"/>
              <w:bottom w:val="nil"/>
              <w:right w:val="single" w:sz="8" w:space="0" w:color="auto"/>
            </w:tcBorders>
            <w:shd w:val="clear" w:color="auto" w:fill="FFFFFF" w:themeFill="background1"/>
            <w:tcMar>
              <w:top w:w="15" w:type="dxa"/>
              <w:left w:w="15" w:type="dxa"/>
              <w:right w:w="15" w:type="dxa"/>
            </w:tcMar>
            <w:vAlign w:val="center"/>
          </w:tcPr>
          <w:p w14:paraId="4E9B116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190.3 (126.8 - 273.2) </w:t>
            </w:r>
          </w:p>
        </w:tc>
      </w:tr>
      <w:tr w:rsidR="00CA72B0" w14:paraId="173AA913" w14:textId="77777777" w:rsidTr="00D862F0">
        <w:trPr>
          <w:trHeight w:val="315"/>
        </w:trPr>
        <w:tc>
          <w:tcPr>
            <w:tcW w:w="1624" w:type="dxa"/>
            <w:vMerge/>
            <w:tcBorders>
              <w:left w:val="single" w:sz="8" w:space="0" w:color="auto"/>
              <w:bottom w:val="single" w:sz="8" w:space="0" w:color="auto"/>
              <w:right w:val="single" w:sz="8" w:space="0" w:color="auto"/>
            </w:tcBorders>
            <w:shd w:val="clear" w:color="auto" w:fill="F2DCDB"/>
            <w:tcMar>
              <w:top w:w="15" w:type="dxa"/>
              <w:left w:w="15" w:type="dxa"/>
              <w:right w:w="15" w:type="dxa"/>
            </w:tcMar>
            <w:vAlign w:val="bottom"/>
          </w:tcPr>
          <w:p w14:paraId="7416EA45" w14:textId="77777777" w:rsidR="00CA72B0" w:rsidRDefault="00CA72B0" w:rsidP="00D862F0"/>
        </w:tc>
        <w:tc>
          <w:tcPr>
            <w:tcW w:w="1078" w:type="dxa"/>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2E265333"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 xml:space="preserve">  attributable  </w:t>
            </w:r>
          </w:p>
        </w:tc>
        <w:tc>
          <w:tcPr>
            <w:tcW w:w="1890" w:type="dxa"/>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0F52A85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Staphylococcus aureus</w:t>
            </w:r>
          </w:p>
        </w:tc>
        <w:tc>
          <w:tcPr>
            <w:tcW w:w="1907" w:type="dxa"/>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7111D3A5"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Methicillin</w:t>
            </w:r>
          </w:p>
        </w:tc>
        <w:tc>
          <w:tcPr>
            <w:tcW w:w="1535" w:type="dxa"/>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53F1554E" w14:textId="77777777" w:rsidR="00CA72B0" w:rsidRDefault="00CA72B0" w:rsidP="00D862F0">
            <w:pPr>
              <w:jc w:val="center"/>
              <w:rPr>
                <w:rFonts w:eastAsia="Times New Roman" w:cs="Times New Roman"/>
                <w:color w:val="000000" w:themeColor="text1"/>
                <w:sz w:val="12"/>
                <w:szCs w:val="12"/>
              </w:rPr>
            </w:pPr>
            <w:r w:rsidRPr="3AD03132">
              <w:rPr>
                <w:rFonts w:eastAsia="Times New Roman" w:cs="Times New Roman"/>
                <w:color w:val="000000" w:themeColor="text1"/>
                <w:sz w:val="12"/>
                <w:szCs w:val="12"/>
              </w:rPr>
              <w:t>12,200 (5,410 – 22,200)</w:t>
            </w:r>
          </w:p>
        </w:tc>
        <w:tc>
          <w:tcPr>
            <w:tcW w:w="1306" w:type="dxa"/>
            <w:tcBorders>
              <w:top w:val="nil"/>
              <w:left w:val="single" w:sz="8"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6C626E9F" w14:textId="77777777" w:rsidR="00CA72B0" w:rsidRDefault="00CA72B0" w:rsidP="00D862F0">
            <w:pPr>
              <w:jc w:val="right"/>
              <w:rPr>
                <w:rFonts w:eastAsia="Times New Roman" w:cs="Times New Roman"/>
                <w:color w:val="000000" w:themeColor="text1"/>
                <w:sz w:val="12"/>
                <w:szCs w:val="12"/>
              </w:rPr>
            </w:pPr>
            <w:r w:rsidRPr="3AD03132">
              <w:rPr>
                <w:rFonts w:eastAsia="Times New Roman" w:cs="Times New Roman"/>
                <w:color w:val="000000" w:themeColor="text1"/>
                <w:sz w:val="12"/>
                <w:szCs w:val="12"/>
              </w:rPr>
              <w:t>43.6 (19.3 - 79.1)</w:t>
            </w:r>
          </w:p>
        </w:tc>
      </w:tr>
    </w:tbl>
    <w:p w14:paraId="4074F32D" w14:textId="77777777" w:rsidR="00CA72B0" w:rsidRDefault="00CA72B0" w:rsidP="00CA72B0">
      <w:pPr>
        <w:sectPr w:rsidR="00CA72B0" w:rsidSect="00620C59">
          <w:pgSz w:w="12240" w:h="15840"/>
          <w:pgMar w:top="1440" w:right="1440" w:bottom="1440" w:left="1440" w:header="720" w:footer="720" w:gutter="0"/>
          <w:lnNumType w:countBy="1" w:restart="continuous"/>
          <w:cols w:space="720"/>
          <w:docGrid w:linePitch="360"/>
        </w:sectPr>
      </w:pPr>
    </w:p>
    <w:p w14:paraId="0A15F342" w14:textId="35C1E6BC" w:rsidR="00E34934" w:rsidRDefault="00E34934" w:rsidP="00E34934">
      <w:pPr>
        <w:spacing w:line="240" w:lineRule="auto"/>
      </w:pPr>
      <w:r w:rsidRPr="00E34934">
        <w:rPr>
          <w:b/>
          <w:bCs/>
        </w:rPr>
        <w:lastRenderedPageBreak/>
        <w:t xml:space="preserve">Supplementary Table 3: </w:t>
      </w:r>
      <w:r w:rsidRPr="00D155E8">
        <w:t xml:space="preserve">Deaths and DALYs </w:t>
      </w:r>
      <w:r w:rsidR="00DD3656">
        <w:t>a</w:t>
      </w:r>
      <w:r w:rsidRPr="00D155E8">
        <w:t xml:space="preserve">ttributable to and </w:t>
      </w:r>
      <w:r w:rsidR="00DD3656">
        <w:t>a</w:t>
      </w:r>
      <w:r w:rsidRPr="00D155E8">
        <w:t>ssociated with AMR by GBD Region</w:t>
      </w:r>
      <w:r>
        <w:t>.</w:t>
      </w:r>
    </w:p>
    <w:tbl>
      <w:tblPr>
        <w:tblW w:w="0" w:type="auto"/>
        <w:tblLook w:val="04A0" w:firstRow="1" w:lastRow="0" w:firstColumn="1" w:lastColumn="0" w:noHBand="0" w:noVBand="1"/>
      </w:tblPr>
      <w:tblGrid>
        <w:gridCol w:w="1176"/>
        <w:gridCol w:w="1129"/>
        <w:gridCol w:w="756"/>
        <w:gridCol w:w="1316"/>
        <w:gridCol w:w="1088"/>
        <w:gridCol w:w="1026"/>
        <w:gridCol w:w="777"/>
        <w:gridCol w:w="1212"/>
        <w:gridCol w:w="880"/>
      </w:tblGrid>
      <w:tr w:rsidR="00E34934" w:rsidRPr="00D155E8" w14:paraId="298F6CBB" w14:textId="77777777" w:rsidTr="00D862F0">
        <w:trPr>
          <w:trHeight w:val="290"/>
        </w:trPr>
        <w:tc>
          <w:tcPr>
            <w:tcW w:w="0" w:type="auto"/>
            <w:gridSpan w:val="9"/>
            <w:tcBorders>
              <w:top w:val="nil"/>
              <w:left w:val="nil"/>
              <w:bottom w:val="nil"/>
              <w:right w:val="nil"/>
            </w:tcBorders>
            <w:shd w:val="clear" w:color="000000" w:fill="000000"/>
            <w:noWrap/>
            <w:vAlign w:val="center"/>
            <w:hideMark/>
          </w:tcPr>
          <w:p w14:paraId="1E186961" w14:textId="392E22D1" w:rsidR="00E34934" w:rsidRPr="00D155E8" w:rsidRDefault="00E34934" w:rsidP="00D862F0">
            <w:pPr>
              <w:spacing w:after="0" w:line="240" w:lineRule="auto"/>
              <w:jc w:val="center"/>
              <w:rPr>
                <w:rFonts w:eastAsia="Times New Roman" w:cs="Times New Roman"/>
                <w:b/>
                <w:bCs/>
                <w:color w:val="FFFFFF"/>
                <w:sz w:val="16"/>
                <w:szCs w:val="16"/>
              </w:rPr>
            </w:pPr>
          </w:p>
        </w:tc>
      </w:tr>
      <w:tr w:rsidR="00E34934" w:rsidRPr="00D155E8" w14:paraId="476F6158" w14:textId="77777777" w:rsidTr="00D862F0">
        <w:trPr>
          <w:trHeight w:val="290"/>
        </w:trPr>
        <w:tc>
          <w:tcPr>
            <w:tcW w:w="0" w:type="auto"/>
            <w:vMerge w:val="restart"/>
            <w:tcBorders>
              <w:top w:val="single" w:sz="8" w:space="0" w:color="000000"/>
              <w:left w:val="single" w:sz="8" w:space="0" w:color="000000"/>
              <w:bottom w:val="single" w:sz="8" w:space="0" w:color="000000"/>
              <w:right w:val="single" w:sz="8" w:space="0" w:color="auto"/>
            </w:tcBorders>
            <w:shd w:val="clear" w:color="000000" w:fill="F2DCDB"/>
            <w:vAlign w:val="center"/>
            <w:hideMark/>
          </w:tcPr>
          <w:p w14:paraId="7E4B0823"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GBD Region</w:t>
            </w:r>
          </w:p>
        </w:tc>
        <w:tc>
          <w:tcPr>
            <w:tcW w:w="0" w:type="auto"/>
            <w:gridSpan w:val="4"/>
            <w:tcBorders>
              <w:top w:val="single" w:sz="8" w:space="0" w:color="000000"/>
              <w:left w:val="nil"/>
              <w:bottom w:val="single" w:sz="8" w:space="0" w:color="auto"/>
              <w:right w:val="single" w:sz="8" w:space="0" w:color="000000"/>
            </w:tcBorders>
            <w:shd w:val="clear" w:color="000000" w:fill="F2DCDB"/>
            <w:vAlign w:val="center"/>
            <w:hideMark/>
          </w:tcPr>
          <w:p w14:paraId="1F842E7D"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Associated with AMR</w:t>
            </w:r>
          </w:p>
        </w:tc>
        <w:tc>
          <w:tcPr>
            <w:tcW w:w="0" w:type="auto"/>
            <w:gridSpan w:val="4"/>
            <w:tcBorders>
              <w:top w:val="single" w:sz="8" w:space="0" w:color="000000"/>
              <w:left w:val="nil"/>
              <w:bottom w:val="single" w:sz="8" w:space="0" w:color="auto"/>
              <w:right w:val="single" w:sz="8" w:space="0" w:color="000000"/>
            </w:tcBorders>
            <w:shd w:val="clear" w:color="000000" w:fill="F2DCDB"/>
            <w:vAlign w:val="center"/>
            <w:hideMark/>
          </w:tcPr>
          <w:p w14:paraId="2CF829FC"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Attributable to AMR</w:t>
            </w:r>
          </w:p>
        </w:tc>
      </w:tr>
      <w:tr w:rsidR="00E34934" w:rsidRPr="00D862F0" w14:paraId="489D99B0" w14:textId="77777777" w:rsidTr="00D862F0">
        <w:trPr>
          <w:trHeight w:val="290"/>
        </w:trPr>
        <w:tc>
          <w:tcPr>
            <w:tcW w:w="0" w:type="auto"/>
            <w:vMerge/>
            <w:tcBorders>
              <w:top w:val="single" w:sz="8" w:space="0" w:color="000000"/>
              <w:left w:val="single" w:sz="8" w:space="0" w:color="000000"/>
              <w:bottom w:val="single" w:sz="8" w:space="0" w:color="000000"/>
              <w:right w:val="single" w:sz="8" w:space="0" w:color="auto"/>
            </w:tcBorders>
            <w:vAlign w:val="center"/>
            <w:hideMark/>
          </w:tcPr>
          <w:p w14:paraId="16F63AAC" w14:textId="77777777" w:rsidR="00E34934" w:rsidRPr="00D155E8" w:rsidRDefault="00E34934" w:rsidP="00D862F0">
            <w:pPr>
              <w:spacing w:after="0" w:line="240" w:lineRule="auto"/>
              <w:rPr>
                <w:rFonts w:eastAsia="Times New Roman" w:cs="Times New Roman"/>
                <w:b/>
                <w:bCs/>
                <w:color w:val="000000"/>
                <w:sz w:val="16"/>
                <w:szCs w:val="16"/>
              </w:rPr>
            </w:pPr>
          </w:p>
        </w:tc>
        <w:tc>
          <w:tcPr>
            <w:tcW w:w="0" w:type="auto"/>
            <w:gridSpan w:val="2"/>
            <w:tcBorders>
              <w:top w:val="single" w:sz="8" w:space="0" w:color="auto"/>
              <w:left w:val="nil"/>
              <w:bottom w:val="single" w:sz="8" w:space="0" w:color="auto"/>
              <w:right w:val="single" w:sz="8" w:space="0" w:color="000000"/>
            </w:tcBorders>
            <w:shd w:val="clear" w:color="000000" w:fill="F2DCDB"/>
            <w:vAlign w:val="center"/>
            <w:hideMark/>
          </w:tcPr>
          <w:p w14:paraId="7F3599D1"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Deaths</w:t>
            </w:r>
          </w:p>
        </w:tc>
        <w:tc>
          <w:tcPr>
            <w:tcW w:w="0" w:type="auto"/>
            <w:gridSpan w:val="2"/>
            <w:tcBorders>
              <w:top w:val="single" w:sz="8" w:space="0" w:color="auto"/>
              <w:left w:val="nil"/>
              <w:bottom w:val="single" w:sz="8" w:space="0" w:color="auto"/>
              <w:right w:val="single" w:sz="8" w:space="0" w:color="000000"/>
            </w:tcBorders>
            <w:shd w:val="clear" w:color="000000" w:fill="F2DCDB"/>
            <w:vAlign w:val="center"/>
            <w:hideMark/>
          </w:tcPr>
          <w:p w14:paraId="465AF61D"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DALYs</w:t>
            </w:r>
          </w:p>
        </w:tc>
        <w:tc>
          <w:tcPr>
            <w:tcW w:w="0" w:type="auto"/>
            <w:gridSpan w:val="2"/>
            <w:tcBorders>
              <w:top w:val="single" w:sz="8" w:space="0" w:color="auto"/>
              <w:left w:val="nil"/>
              <w:bottom w:val="single" w:sz="8" w:space="0" w:color="auto"/>
              <w:right w:val="single" w:sz="8" w:space="0" w:color="000000"/>
            </w:tcBorders>
            <w:shd w:val="clear" w:color="000000" w:fill="F2DCDB"/>
            <w:vAlign w:val="center"/>
            <w:hideMark/>
          </w:tcPr>
          <w:p w14:paraId="2AA094DF"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Deaths</w:t>
            </w:r>
          </w:p>
        </w:tc>
        <w:tc>
          <w:tcPr>
            <w:tcW w:w="0" w:type="auto"/>
            <w:gridSpan w:val="2"/>
            <w:tcBorders>
              <w:top w:val="single" w:sz="8" w:space="0" w:color="auto"/>
              <w:left w:val="nil"/>
              <w:bottom w:val="single" w:sz="8" w:space="0" w:color="auto"/>
              <w:right w:val="single" w:sz="8" w:space="0" w:color="000000"/>
            </w:tcBorders>
            <w:shd w:val="clear" w:color="000000" w:fill="F2DCDB"/>
            <w:vAlign w:val="center"/>
            <w:hideMark/>
          </w:tcPr>
          <w:p w14:paraId="6D7BFCC9"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DALYs</w:t>
            </w:r>
          </w:p>
        </w:tc>
      </w:tr>
      <w:tr w:rsidR="00E34934" w:rsidRPr="00D862F0" w14:paraId="069A1142" w14:textId="77777777" w:rsidTr="00D862F0">
        <w:trPr>
          <w:trHeight w:val="290"/>
        </w:trPr>
        <w:tc>
          <w:tcPr>
            <w:tcW w:w="0" w:type="auto"/>
            <w:vMerge/>
            <w:tcBorders>
              <w:top w:val="single" w:sz="8" w:space="0" w:color="000000"/>
              <w:left w:val="single" w:sz="8" w:space="0" w:color="000000"/>
              <w:bottom w:val="single" w:sz="8" w:space="0" w:color="000000"/>
              <w:right w:val="single" w:sz="8" w:space="0" w:color="auto"/>
            </w:tcBorders>
            <w:vAlign w:val="center"/>
            <w:hideMark/>
          </w:tcPr>
          <w:p w14:paraId="611DD9B7" w14:textId="77777777" w:rsidR="00E34934" w:rsidRPr="00D155E8" w:rsidRDefault="00E34934" w:rsidP="00D862F0">
            <w:pPr>
              <w:spacing w:after="0" w:line="240" w:lineRule="auto"/>
              <w:rPr>
                <w:rFonts w:eastAsia="Times New Roman" w:cs="Times New Roman"/>
                <w:b/>
                <w:bCs/>
                <w:color w:val="000000"/>
                <w:sz w:val="16"/>
                <w:szCs w:val="16"/>
              </w:rPr>
            </w:pPr>
          </w:p>
        </w:tc>
        <w:tc>
          <w:tcPr>
            <w:tcW w:w="0" w:type="auto"/>
            <w:tcBorders>
              <w:top w:val="nil"/>
              <w:left w:val="nil"/>
              <w:bottom w:val="single" w:sz="8" w:space="0" w:color="auto"/>
              <w:right w:val="single" w:sz="8" w:space="0" w:color="auto"/>
            </w:tcBorders>
            <w:shd w:val="clear" w:color="000000" w:fill="F2DCDB"/>
            <w:vAlign w:val="center"/>
            <w:hideMark/>
          </w:tcPr>
          <w:p w14:paraId="51362715"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Counts</w:t>
            </w:r>
          </w:p>
        </w:tc>
        <w:tc>
          <w:tcPr>
            <w:tcW w:w="0" w:type="auto"/>
            <w:tcBorders>
              <w:top w:val="nil"/>
              <w:left w:val="nil"/>
              <w:bottom w:val="single" w:sz="8" w:space="0" w:color="auto"/>
              <w:right w:val="single" w:sz="8" w:space="0" w:color="auto"/>
            </w:tcBorders>
            <w:shd w:val="clear" w:color="000000" w:fill="F2DCDB"/>
            <w:vAlign w:val="center"/>
            <w:hideMark/>
          </w:tcPr>
          <w:p w14:paraId="25863629"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Rate per 100k</w:t>
            </w:r>
          </w:p>
        </w:tc>
        <w:tc>
          <w:tcPr>
            <w:tcW w:w="0" w:type="auto"/>
            <w:tcBorders>
              <w:top w:val="nil"/>
              <w:left w:val="nil"/>
              <w:bottom w:val="single" w:sz="8" w:space="0" w:color="auto"/>
              <w:right w:val="single" w:sz="8" w:space="0" w:color="auto"/>
            </w:tcBorders>
            <w:shd w:val="clear" w:color="000000" w:fill="F2DCDB"/>
            <w:vAlign w:val="center"/>
            <w:hideMark/>
          </w:tcPr>
          <w:p w14:paraId="28D87B18"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Counts</w:t>
            </w:r>
          </w:p>
        </w:tc>
        <w:tc>
          <w:tcPr>
            <w:tcW w:w="0" w:type="auto"/>
            <w:tcBorders>
              <w:top w:val="nil"/>
              <w:left w:val="nil"/>
              <w:bottom w:val="single" w:sz="8" w:space="0" w:color="auto"/>
              <w:right w:val="single" w:sz="8" w:space="0" w:color="auto"/>
            </w:tcBorders>
            <w:shd w:val="clear" w:color="000000" w:fill="F2DCDB"/>
            <w:vAlign w:val="center"/>
            <w:hideMark/>
          </w:tcPr>
          <w:p w14:paraId="13F7040A"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Rate per 100k</w:t>
            </w:r>
          </w:p>
        </w:tc>
        <w:tc>
          <w:tcPr>
            <w:tcW w:w="0" w:type="auto"/>
            <w:tcBorders>
              <w:top w:val="nil"/>
              <w:left w:val="nil"/>
              <w:bottom w:val="single" w:sz="8" w:space="0" w:color="auto"/>
              <w:right w:val="single" w:sz="8" w:space="0" w:color="auto"/>
            </w:tcBorders>
            <w:shd w:val="clear" w:color="000000" w:fill="F2DCDB"/>
            <w:vAlign w:val="center"/>
            <w:hideMark/>
          </w:tcPr>
          <w:p w14:paraId="0662AF94"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Counts</w:t>
            </w:r>
          </w:p>
        </w:tc>
        <w:tc>
          <w:tcPr>
            <w:tcW w:w="0" w:type="auto"/>
            <w:tcBorders>
              <w:top w:val="nil"/>
              <w:left w:val="nil"/>
              <w:bottom w:val="single" w:sz="8" w:space="0" w:color="auto"/>
              <w:right w:val="single" w:sz="8" w:space="0" w:color="auto"/>
            </w:tcBorders>
            <w:shd w:val="clear" w:color="000000" w:fill="F2DCDB"/>
            <w:vAlign w:val="center"/>
            <w:hideMark/>
          </w:tcPr>
          <w:p w14:paraId="12F6803C"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Rate per 100k</w:t>
            </w:r>
          </w:p>
        </w:tc>
        <w:tc>
          <w:tcPr>
            <w:tcW w:w="0" w:type="auto"/>
            <w:tcBorders>
              <w:top w:val="nil"/>
              <w:left w:val="nil"/>
              <w:bottom w:val="single" w:sz="8" w:space="0" w:color="auto"/>
              <w:right w:val="single" w:sz="8" w:space="0" w:color="auto"/>
            </w:tcBorders>
            <w:shd w:val="clear" w:color="000000" w:fill="F2DCDB"/>
            <w:vAlign w:val="center"/>
            <w:hideMark/>
          </w:tcPr>
          <w:p w14:paraId="15A22B82"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Counts</w:t>
            </w:r>
          </w:p>
        </w:tc>
        <w:tc>
          <w:tcPr>
            <w:tcW w:w="0" w:type="auto"/>
            <w:tcBorders>
              <w:top w:val="nil"/>
              <w:left w:val="nil"/>
              <w:bottom w:val="single" w:sz="8" w:space="0" w:color="auto"/>
              <w:right w:val="single" w:sz="8" w:space="0" w:color="000000"/>
            </w:tcBorders>
            <w:shd w:val="clear" w:color="000000" w:fill="F2DCDB"/>
            <w:vAlign w:val="center"/>
            <w:hideMark/>
          </w:tcPr>
          <w:p w14:paraId="096BC610" w14:textId="77777777" w:rsidR="00E34934" w:rsidRPr="00D155E8" w:rsidRDefault="00E34934" w:rsidP="00D862F0">
            <w:pPr>
              <w:spacing w:after="0" w:line="240" w:lineRule="auto"/>
              <w:jc w:val="center"/>
              <w:rPr>
                <w:rFonts w:eastAsia="Times New Roman" w:cs="Times New Roman"/>
                <w:b/>
                <w:bCs/>
                <w:color w:val="000000"/>
                <w:sz w:val="16"/>
                <w:szCs w:val="16"/>
              </w:rPr>
            </w:pPr>
            <w:r w:rsidRPr="00D155E8">
              <w:rPr>
                <w:rFonts w:eastAsia="Times New Roman" w:cs="Times New Roman"/>
                <w:b/>
                <w:bCs/>
                <w:color w:val="000000"/>
                <w:sz w:val="16"/>
                <w:szCs w:val="16"/>
              </w:rPr>
              <w:t>Rate per 100k</w:t>
            </w:r>
          </w:p>
        </w:tc>
      </w:tr>
      <w:tr w:rsidR="00E34934" w:rsidRPr="00D862F0" w14:paraId="684BAB51" w14:textId="77777777" w:rsidTr="00D862F0">
        <w:trPr>
          <w:trHeight w:val="300"/>
        </w:trPr>
        <w:tc>
          <w:tcPr>
            <w:tcW w:w="0" w:type="auto"/>
            <w:tcBorders>
              <w:top w:val="nil"/>
              <w:left w:val="single" w:sz="8" w:space="0" w:color="000000"/>
              <w:bottom w:val="nil"/>
              <w:right w:val="single" w:sz="8" w:space="0" w:color="auto"/>
            </w:tcBorders>
            <w:shd w:val="clear" w:color="auto" w:fill="auto"/>
            <w:vAlign w:val="center"/>
            <w:hideMark/>
          </w:tcPr>
          <w:p w14:paraId="5F94C25A"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Andean Latin America</w:t>
            </w:r>
          </w:p>
        </w:tc>
        <w:tc>
          <w:tcPr>
            <w:tcW w:w="0" w:type="auto"/>
            <w:tcBorders>
              <w:top w:val="nil"/>
              <w:left w:val="nil"/>
              <w:bottom w:val="nil"/>
              <w:right w:val="single" w:sz="8" w:space="0" w:color="auto"/>
            </w:tcBorders>
            <w:shd w:val="clear" w:color="auto" w:fill="auto"/>
            <w:vAlign w:val="center"/>
            <w:hideMark/>
          </w:tcPr>
          <w:p w14:paraId="68F0EB6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40,200 (28,900-54,300)</w:t>
            </w:r>
          </w:p>
        </w:tc>
        <w:tc>
          <w:tcPr>
            <w:tcW w:w="0" w:type="auto"/>
            <w:tcBorders>
              <w:top w:val="nil"/>
              <w:left w:val="nil"/>
              <w:bottom w:val="nil"/>
              <w:right w:val="single" w:sz="8" w:space="0" w:color="auto"/>
            </w:tcBorders>
            <w:shd w:val="clear" w:color="auto" w:fill="auto"/>
            <w:vAlign w:val="center"/>
            <w:hideMark/>
          </w:tcPr>
          <w:p w14:paraId="7D84DB0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63.2 (45.4-85.4)</w:t>
            </w:r>
          </w:p>
        </w:tc>
        <w:tc>
          <w:tcPr>
            <w:tcW w:w="0" w:type="auto"/>
            <w:tcBorders>
              <w:top w:val="nil"/>
              <w:left w:val="nil"/>
              <w:bottom w:val="nil"/>
              <w:right w:val="single" w:sz="8" w:space="0" w:color="auto"/>
            </w:tcBorders>
            <w:shd w:val="clear" w:color="auto" w:fill="auto"/>
            <w:vAlign w:val="center"/>
            <w:hideMark/>
          </w:tcPr>
          <w:p w14:paraId="6CD2EC30"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1,210,000 (853,000-1,680,000)</w:t>
            </w:r>
          </w:p>
        </w:tc>
        <w:tc>
          <w:tcPr>
            <w:tcW w:w="0" w:type="auto"/>
            <w:tcBorders>
              <w:top w:val="nil"/>
              <w:left w:val="nil"/>
              <w:bottom w:val="nil"/>
              <w:right w:val="single" w:sz="8" w:space="0" w:color="auto"/>
            </w:tcBorders>
            <w:shd w:val="clear" w:color="auto" w:fill="auto"/>
            <w:vAlign w:val="center"/>
            <w:hideMark/>
          </w:tcPr>
          <w:p w14:paraId="72BBCF11"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1,906.4 (1,341.3-2,640.4)</w:t>
            </w:r>
          </w:p>
        </w:tc>
        <w:tc>
          <w:tcPr>
            <w:tcW w:w="0" w:type="auto"/>
            <w:tcBorders>
              <w:top w:val="nil"/>
              <w:left w:val="nil"/>
              <w:bottom w:val="nil"/>
              <w:right w:val="single" w:sz="8" w:space="0" w:color="auto"/>
            </w:tcBorders>
            <w:shd w:val="clear" w:color="auto" w:fill="auto"/>
            <w:vAlign w:val="center"/>
            <w:hideMark/>
          </w:tcPr>
          <w:p w14:paraId="2A03B317"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10,100 (7,050-13,900)</w:t>
            </w:r>
          </w:p>
        </w:tc>
        <w:tc>
          <w:tcPr>
            <w:tcW w:w="0" w:type="auto"/>
            <w:tcBorders>
              <w:top w:val="nil"/>
              <w:left w:val="nil"/>
              <w:bottom w:val="nil"/>
              <w:right w:val="single" w:sz="8" w:space="0" w:color="auto"/>
            </w:tcBorders>
            <w:shd w:val="clear" w:color="auto" w:fill="auto"/>
            <w:vAlign w:val="center"/>
            <w:hideMark/>
          </w:tcPr>
          <w:p w14:paraId="6AFA5331"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15.9 (11.1-21.9)</w:t>
            </w:r>
          </w:p>
        </w:tc>
        <w:tc>
          <w:tcPr>
            <w:tcW w:w="0" w:type="auto"/>
            <w:tcBorders>
              <w:top w:val="nil"/>
              <w:left w:val="nil"/>
              <w:bottom w:val="nil"/>
              <w:right w:val="single" w:sz="8" w:space="0" w:color="auto"/>
            </w:tcBorders>
            <w:shd w:val="clear" w:color="auto" w:fill="auto"/>
            <w:vAlign w:val="center"/>
            <w:hideMark/>
          </w:tcPr>
          <w:p w14:paraId="205676D7"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301,000 (207,000-421,000)</w:t>
            </w:r>
          </w:p>
        </w:tc>
        <w:tc>
          <w:tcPr>
            <w:tcW w:w="0" w:type="auto"/>
            <w:tcBorders>
              <w:top w:val="nil"/>
              <w:left w:val="nil"/>
              <w:bottom w:val="nil"/>
              <w:right w:val="single" w:sz="8" w:space="0" w:color="000000"/>
            </w:tcBorders>
            <w:shd w:val="clear" w:color="auto" w:fill="auto"/>
            <w:vAlign w:val="center"/>
            <w:hideMark/>
          </w:tcPr>
          <w:p w14:paraId="3019C94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472.9 (326.2-661.6)</w:t>
            </w:r>
          </w:p>
        </w:tc>
      </w:tr>
      <w:tr w:rsidR="00E34934" w:rsidRPr="00D862F0" w14:paraId="7C6065A7" w14:textId="77777777" w:rsidTr="00D862F0">
        <w:trPr>
          <w:trHeight w:val="300"/>
        </w:trPr>
        <w:tc>
          <w:tcPr>
            <w:tcW w:w="0" w:type="auto"/>
            <w:tcBorders>
              <w:top w:val="nil"/>
              <w:left w:val="single" w:sz="8" w:space="0" w:color="000000"/>
              <w:bottom w:val="nil"/>
              <w:right w:val="single" w:sz="8" w:space="0" w:color="auto"/>
            </w:tcBorders>
            <w:shd w:val="clear" w:color="000000" w:fill="F2DCDB"/>
            <w:noWrap/>
            <w:vAlign w:val="bottom"/>
            <w:hideMark/>
          </w:tcPr>
          <w:p w14:paraId="39F82C4D"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Caribbean</w:t>
            </w:r>
          </w:p>
        </w:tc>
        <w:tc>
          <w:tcPr>
            <w:tcW w:w="0" w:type="auto"/>
            <w:tcBorders>
              <w:top w:val="nil"/>
              <w:left w:val="nil"/>
              <w:bottom w:val="nil"/>
              <w:right w:val="single" w:sz="8" w:space="0" w:color="auto"/>
            </w:tcBorders>
            <w:shd w:val="clear" w:color="000000" w:fill="F2DCDB"/>
            <w:noWrap/>
            <w:vAlign w:val="center"/>
            <w:hideMark/>
          </w:tcPr>
          <w:p w14:paraId="00C852B4"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26,900 (19,000-37,200)</w:t>
            </w:r>
          </w:p>
        </w:tc>
        <w:tc>
          <w:tcPr>
            <w:tcW w:w="0" w:type="auto"/>
            <w:tcBorders>
              <w:top w:val="nil"/>
              <w:left w:val="nil"/>
              <w:bottom w:val="nil"/>
              <w:right w:val="single" w:sz="8" w:space="0" w:color="auto"/>
            </w:tcBorders>
            <w:shd w:val="clear" w:color="000000" w:fill="F2DCDB"/>
            <w:noWrap/>
            <w:vAlign w:val="center"/>
            <w:hideMark/>
          </w:tcPr>
          <w:p w14:paraId="201976D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64.2 (45.3-88.7)</w:t>
            </w:r>
          </w:p>
        </w:tc>
        <w:tc>
          <w:tcPr>
            <w:tcW w:w="0" w:type="auto"/>
            <w:tcBorders>
              <w:top w:val="nil"/>
              <w:left w:val="nil"/>
              <w:bottom w:val="nil"/>
              <w:right w:val="single" w:sz="8" w:space="0" w:color="auto"/>
            </w:tcBorders>
            <w:shd w:val="clear" w:color="000000" w:fill="F2DCDB"/>
            <w:noWrap/>
            <w:vAlign w:val="center"/>
            <w:hideMark/>
          </w:tcPr>
          <w:p w14:paraId="0BF1F45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1,020,000 (733,000-1,410,000)</w:t>
            </w:r>
          </w:p>
        </w:tc>
        <w:tc>
          <w:tcPr>
            <w:tcW w:w="0" w:type="auto"/>
            <w:tcBorders>
              <w:top w:val="nil"/>
              <w:left w:val="nil"/>
              <w:bottom w:val="nil"/>
              <w:right w:val="single" w:sz="8" w:space="0" w:color="auto"/>
            </w:tcBorders>
            <w:shd w:val="clear" w:color="000000" w:fill="F2DCDB"/>
            <w:noWrap/>
            <w:vAlign w:val="center"/>
            <w:hideMark/>
          </w:tcPr>
          <w:p w14:paraId="5C36D2A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2,444.4 (1,750.9-3,365.6) </w:t>
            </w:r>
          </w:p>
        </w:tc>
        <w:tc>
          <w:tcPr>
            <w:tcW w:w="0" w:type="auto"/>
            <w:tcBorders>
              <w:top w:val="nil"/>
              <w:left w:val="nil"/>
              <w:bottom w:val="nil"/>
              <w:right w:val="single" w:sz="8" w:space="0" w:color="auto"/>
            </w:tcBorders>
            <w:shd w:val="clear" w:color="000000" w:fill="F2DCDB"/>
            <w:noWrap/>
            <w:vAlign w:val="center"/>
            <w:hideMark/>
          </w:tcPr>
          <w:p w14:paraId="3E3D3A16"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6,670 (4,590-9,460) </w:t>
            </w:r>
          </w:p>
        </w:tc>
        <w:tc>
          <w:tcPr>
            <w:tcW w:w="0" w:type="auto"/>
            <w:tcBorders>
              <w:top w:val="nil"/>
              <w:left w:val="nil"/>
              <w:bottom w:val="nil"/>
              <w:right w:val="single" w:sz="8" w:space="0" w:color="auto"/>
            </w:tcBorders>
            <w:shd w:val="clear" w:color="000000" w:fill="F2DCDB"/>
            <w:noWrap/>
            <w:vAlign w:val="center"/>
            <w:hideMark/>
          </w:tcPr>
          <w:p w14:paraId="4DEA2A1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15.9 (11-22.6) </w:t>
            </w:r>
          </w:p>
        </w:tc>
        <w:tc>
          <w:tcPr>
            <w:tcW w:w="0" w:type="auto"/>
            <w:tcBorders>
              <w:top w:val="nil"/>
              <w:left w:val="nil"/>
              <w:bottom w:val="nil"/>
              <w:right w:val="single" w:sz="8" w:space="0" w:color="auto"/>
            </w:tcBorders>
            <w:shd w:val="clear" w:color="000000" w:fill="F2DCDB"/>
            <w:noWrap/>
            <w:vAlign w:val="center"/>
            <w:hideMark/>
          </w:tcPr>
          <w:p w14:paraId="2B5EAFB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249,000 (174,000-344,000) </w:t>
            </w:r>
          </w:p>
        </w:tc>
        <w:tc>
          <w:tcPr>
            <w:tcW w:w="0" w:type="auto"/>
            <w:tcBorders>
              <w:top w:val="nil"/>
              <w:left w:val="nil"/>
              <w:bottom w:val="nil"/>
              <w:right w:val="single" w:sz="8" w:space="0" w:color="000000"/>
            </w:tcBorders>
            <w:shd w:val="clear" w:color="000000" w:fill="F2DCDB"/>
            <w:noWrap/>
            <w:vAlign w:val="center"/>
            <w:hideMark/>
          </w:tcPr>
          <w:p w14:paraId="6A87F21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594.4 (414.7-820.9)</w:t>
            </w:r>
          </w:p>
        </w:tc>
      </w:tr>
      <w:tr w:rsidR="00E34934" w:rsidRPr="00D862F0" w14:paraId="56281638" w14:textId="77777777" w:rsidTr="00D862F0">
        <w:trPr>
          <w:trHeight w:val="300"/>
        </w:trPr>
        <w:tc>
          <w:tcPr>
            <w:tcW w:w="0" w:type="auto"/>
            <w:tcBorders>
              <w:top w:val="nil"/>
              <w:left w:val="single" w:sz="8" w:space="0" w:color="000000"/>
              <w:bottom w:val="nil"/>
              <w:right w:val="single" w:sz="8" w:space="0" w:color="auto"/>
            </w:tcBorders>
            <w:shd w:val="clear" w:color="auto" w:fill="auto"/>
            <w:vAlign w:val="center"/>
            <w:hideMark/>
          </w:tcPr>
          <w:p w14:paraId="1928A212"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Central Latin America</w:t>
            </w:r>
          </w:p>
        </w:tc>
        <w:tc>
          <w:tcPr>
            <w:tcW w:w="0" w:type="auto"/>
            <w:tcBorders>
              <w:top w:val="nil"/>
              <w:left w:val="nil"/>
              <w:bottom w:val="nil"/>
              <w:right w:val="single" w:sz="8" w:space="0" w:color="auto"/>
            </w:tcBorders>
            <w:shd w:val="clear" w:color="auto" w:fill="auto"/>
            <w:vAlign w:val="center"/>
            <w:hideMark/>
          </w:tcPr>
          <w:p w14:paraId="46DE3D51"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127,000 (86,700-177,000)</w:t>
            </w:r>
          </w:p>
        </w:tc>
        <w:tc>
          <w:tcPr>
            <w:tcW w:w="0" w:type="auto"/>
            <w:tcBorders>
              <w:top w:val="nil"/>
              <w:left w:val="nil"/>
              <w:bottom w:val="nil"/>
              <w:right w:val="single" w:sz="8" w:space="0" w:color="auto"/>
            </w:tcBorders>
            <w:shd w:val="clear" w:color="auto" w:fill="auto"/>
            <w:vAlign w:val="center"/>
            <w:hideMark/>
          </w:tcPr>
          <w:p w14:paraId="56E32FC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50.6 (34.7-70.9)</w:t>
            </w:r>
          </w:p>
        </w:tc>
        <w:tc>
          <w:tcPr>
            <w:tcW w:w="0" w:type="auto"/>
            <w:tcBorders>
              <w:top w:val="nil"/>
              <w:left w:val="nil"/>
              <w:bottom w:val="nil"/>
              <w:right w:val="single" w:sz="8" w:space="0" w:color="auto"/>
            </w:tcBorders>
            <w:shd w:val="clear" w:color="auto" w:fill="auto"/>
            <w:vAlign w:val="center"/>
            <w:hideMark/>
          </w:tcPr>
          <w:p w14:paraId="64ACDFF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3,670,000 (2,500,000-5,180,000)</w:t>
            </w:r>
          </w:p>
        </w:tc>
        <w:tc>
          <w:tcPr>
            <w:tcW w:w="0" w:type="auto"/>
            <w:tcBorders>
              <w:top w:val="nil"/>
              <w:left w:val="nil"/>
              <w:bottom w:val="nil"/>
              <w:right w:val="single" w:sz="8" w:space="0" w:color="auto"/>
            </w:tcBorders>
            <w:shd w:val="clear" w:color="auto" w:fill="auto"/>
            <w:vAlign w:val="center"/>
            <w:hideMark/>
          </w:tcPr>
          <w:p w14:paraId="57185461"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1,467.4 (1,000.3-2,070.1)</w:t>
            </w:r>
          </w:p>
        </w:tc>
        <w:tc>
          <w:tcPr>
            <w:tcW w:w="0" w:type="auto"/>
            <w:tcBorders>
              <w:top w:val="nil"/>
              <w:left w:val="nil"/>
              <w:bottom w:val="nil"/>
              <w:right w:val="single" w:sz="8" w:space="0" w:color="auto"/>
            </w:tcBorders>
            <w:shd w:val="clear" w:color="auto" w:fill="auto"/>
            <w:vAlign w:val="center"/>
            <w:hideMark/>
          </w:tcPr>
          <w:p w14:paraId="5B69E4A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32,600 (22,000-46,200)</w:t>
            </w:r>
          </w:p>
        </w:tc>
        <w:tc>
          <w:tcPr>
            <w:tcW w:w="0" w:type="auto"/>
            <w:tcBorders>
              <w:top w:val="nil"/>
              <w:left w:val="nil"/>
              <w:bottom w:val="nil"/>
              <w:right w:val="single" w:sz="8" w:space="0" w:color="auto"/>
            </w:tcBorders>
            <w:shd w:val="clear" w:color="auto" w:fill="auto"/>
            <w:vAlign w:val="center"/>
            <w:hideMark/>
          </w:tcPr>
          <w:p w14:paraId="0876C014"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13 (8.8-18.5)</w:t>
            </w:r>
          </w:p>
        </w:tc>
        <w:tc>
          <w:tcPr>
            <w:tcW w:w="0" w:type="auto"/>
            <w:tcBorders>
              <w:top w:val="nil"/>
              <w:left w:val="nil"/>
              <w:bottom w:val="nil"/>
              <w:right w:val="single" w:sz="8" w:space="0" w:color="auto"/>
            </w:tcBorders>
            <w:shd w:val="clear" w:color="auto" w:fill="auto"/>
            <w:vAlign w:val="center"/>
            <w:hideMark/>
          </w:tcPr>
          <w:p w14:paraId="4EB3831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933,000 (632,000-1,330,000)</w:t>
            </w:r>
          </w:p>
        </w:tc>
        <w:tc>
          <w:tcPr>
            <w:tcW w:w="0" w:type="auto"/>
            <w:tcBorders>
              <w:top w:val="nil"/>
              <w:left w:val="nil"/>
              <w:bottom w:val="nil"/>
              <w:right w:val="single" w:sz="8" w:space="0" w:color="000000"/>
            </w:tcBorders>
            <w:shd w:val="clear" w:color="auto" w:fill="auto"/>
            <w:vAlign w:val="center"/>
            <w:hideMark/>
          </w:tcPr>
          <w:p w14:paraId="57B85880"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373.3 (252.9-532.9)</w:t>
            </w:r>
          </w:p>
        </w:tc>
      </w:tr>
      <w:tr w:rsidR="00E34934" w:rsidRPr="00D862F0" w14:paraId="3068EBB4" w14:textId="77777777" w:rsidTr="00D862F0">
        <w:trPr>
          <w:trHeight w:val="300"/>
        </w:trPr>
        <w:tc>
          <w:tcPr>
            <w:tcW w:w="0" w:type="auto"/>
            <w:tcBorders>
              <w:top w:val="nil"/>
              <w:left w:val="single" w:sz="8" w:space="0" w:color="000000"/>
              <w:bottom w:val="nil"/>
              <w:right w:val="single" w:sz="8" w:space="0" w:color="auto"/>
            </w:tcBorders>
            <w:shd w:val="clear" w:color="000000" w:fill="F2DCDB"/>
            <w:noWrap/>
            <w:vAlign w:val="bottom"/>
            <w:hideMark/>
          </w:tcPr>
          <w:p w14:paraId="5AE93583"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High-income North America</w:t>
            </w:r>
          </w:p>
        </w:tc>
        <w:tc>
          <w:tcPr>
            <w:tcW w:w="0" w:type="auto"/>
            <w:tcBorders>
              <w:top w:val="nil"/>
              <w:left w:val="nil"/>
              <w:bottom w:val="nil"/>
              <w:right w:val="single" w:sz="8" w:space="0" w:color="auto"/>
            </w:tcBorders>
            <w:shd w:val="clear" w:color="000000" w:fill="F2DCDB"/>
            <w:noWrap/>
            <w:vAlign w:val="center"/>
            <w:hideMark/>
          </w:tcPr>
          <w:p w14:paraId="3FB6D442"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186,000 (129,000-260,000)</w:t>
            </w:r>
          </w:p>
        </w:tc>
        <w:tc>
          <w:tcPr>
            <w:tcW w:w="0" w:type="auto"/>
            <w:tcBorders>
              <w:top w:val="nil"/>
              <w:left w:val="nil"/>
              <w:bottom w:val="nil"/>
              <w:right w:val="single" w:sz="8" w:space="0" w:color="auto"/>
            </w:tcBorders>
            <w:shd w:val="clear" w:color="000000" w:fill="F2DCDB"/>
            <w:noWrap/>
            <w:vAlign w:val="center"/>
            <w:hideMark/>
          </w:tcPr>
          <w:p w14:paraId="63F9B081"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51 (35.4-71.5)</w:t>
            </w:r>
          </w:p>
        </w:tc>
        <w:tc>
          <w:tcPr>
            <w:tcW w:w="0" w:type="auto"/>
            <w:tcBorders>
              <w:top w:val="nil"/>
              <w:left w:val="nil"/>
              <w:bottom w:val="nil"/>
              <w:right w:val="single" w:sz="8" w:space="0" w:color="auto"/>
            </w:tcBorders>
            <w:shd w:val="clear" w:color="000000" w:fill="F2DCDB"/>
            <w:noWrap/>
            <w:vAlign w:val="center"/>
            <w:hideMark/>
          </w:tcPr>
          <w:p w14:paraId="7CF53E7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3,620,000 (2,410,000-5,190,000)</w:t>
            </w:r>
          </w:p>
        </w:tc>
        <w:tc>
          <w:tcPr>
            <w:tcW w:w="0" w:type="auto"/>
            <w:tcBorders>
              <w:top w:val="nil"/>
              <w:left w:val="nil"/>
              <w:bottom w:val="nil"/>
              <w:right w:val="single" w:sz="8" w:space="0" w:color="auto"/>
            </w:tcBorders>
            <w:shd w:val="clear" w:color="000000" w:fill="F2DCDB"/>
            <w:noWrap/>
            <w:vAlign w:val="center"/>
            <w:hideMark/>
          </w:tcPr>
          <w:p w14:paraId="676A7A3A"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992.7 (662.5-1,424.9) </w:t>
            </w:r>
          </w:p>
        </w:tc>
        <w:tc>
          <w:tcPr>
            <w:tcW w:w="0" w:type="auto"/>
            <w:tcBorders>
              <w:top w:val="nil"/>
              <w:left w:val="nil"/>
              <w:bottom w:val="nil"/>
              <w:right w:val="single" w:sz="8" w:space="0" w:color="auto"/>
            </w:tcBorders>
            <w:shd w:val="clear" w:color="000000" w:fill="F2DCDB"/>
            <w:noWrap/>
            <w:vAlign w:val="center"/>
            <w:hideMark/>
          </w:tcPr>
          <w:p w14:paraId="7ADFEDFD"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44,800 (30,300-63,900) </w:t>
            </w:r>
          </w:p>
        </w:tc>
        <w:tc>
          <w:tcPr>
            <w:tcW w:w="0" w:type="auto"/>
            <w:tcBorders>
              <w:top w:val="nil"/>
              <w:left w:val="nil"/>
              <w:bottom w:val="nil"/>
              <w:right w:val="single" w:sz="8" w:space="0" w:color="auto"/>
            </w:tcBorders>
            <w:shd w:val="clear" w:color="000000" w:fill="F2DCDB"/>
            <w:noWrap/>
            <w:vAlign w:val="center"/>
            <w:hideMark/>
          </w:tcPr>
          <w:p w14:paraId="7BBA0AD4"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12.3 (8.3-17.5) </w:t>
            </w:r>
          </w:p>
        </w:tc>
        <w:tc>
          <w:tcPr>
            <w:tcW w:w="0" w:type="auto"/>
            <w:tcBorders>
              <w:top w:val="nil"/>
              <w:left w:val="nil"/>
              <w:bottom w:val="nil"/>
              <w:right w:val="single" w:sz="8" w:space="0" w:color="auto"/>
            </w:tcBorders>
            <w:shd w:val="clear" w:color="000000" w:fill="F2DCDB"/>
            <w:noWrap/>
            <w:vAlign w:val="center"/>
            <w:hideMark/>
          </w:tcPr>
          <w:p w14:paraId="2B3E540A"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872,000 (567,000-1,270,000) </w:t>
            </w:r>
          </w:p>
        </w:tc>
        <w:tc>
          <w:tcPr>
            <w:tcW w:w="0" w:type="auto"/>
            <w:tcBorders>
              <w:top w:val="nil"/>
              <w:left w:val="nil"/>
              <w:bottom w:val="nil"/>
              <w:right w:val="single" w:sz="8" w:space="0" w:color="000000"/>
            </w:tcBorders>
            <w:shd w:val="clear" w:color="000000" w:fill="F2DCDB"/>
            <w:noWrap/>
            <w:vAlign w:val="center"/>
            <w:hideMark/>
          </w:tcPr>
          <w:p w14:paraId="112AC23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239.4 (155.6-348.3)</w:t>
            </w:r>
          </w:p>
        </w:tc>
      </w:tr>
      <w:tr w:rsidR="00E34934" w:rsidRPr="00D862F0" w14:paraId="245CA15B" w14:textId="77777777" w:rsidTr="00D862F0">
        <w:trPr>
          <w:trHeight w:val="300"/>
        </w:trPr>
        <w:tc>
          <w:tcPr>
            <w:tcW w:w="0" w:type="auto"/>
            <w:tcBorders>
              <w:top w:val="nil"/>
              <w:left w:val="single" w:sz="8" w:space="0" w:color="000000"/>
              <w:bottom w:val="nil"/>
              <w:right w:val="single" w:sz="8" w:space="0" w:color="auto"/>
            </w:tcBorders>
            <w:shd w:val="clear" w:color="auto" w:fill="auto"/>
            <w:vAlign w:val="center"/>
            <w:hideMark/>
          </w:tcPr>
          <w:p w14:paraId="442735AD"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Southern Latin America</w:t>
            </w:r>
          </w:p>
        </w:tc>
        <w:tc>
          <w:tcPr>
            <w:tcW w:w="0" w:type="auto"/>
            <w:tcBorders>
              <w:top w:val="nil"/>
              <w:left w:val="nil"/>
              <w:bottom w:val="nil"/>
              <w:right w:val="single" w:sz="8" w:space="0" w:color="auto"/>
            </w:tcBorders>
            <w:shd w:val="clear" w:color="auto" w:fill="auto"/>
            <w:vAlign w:val="center"/>
            <w:hideMark/>
          </w:tcPr>
          <w:p w14:paraId="2F430D2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48,200 (36,800-62,300)</w:t>
            </w:r>
          </w:p>
        </w:tc>
        <w:tc>
          <w:tcPr>
            <w:tcW w:w="0" w:type="auto"/>
            <w:tcBorders>
              <w:top w:val="nil"/>
              <w:left w:val="nil"/>
              <w:bottom w:val="nil"/>
              <w:right w:val="single" w:sz="8" w:space="0" w:color="auto"/>
            </w:tcBorders>
            <w:shd w:val="clear" w:color="auto" w:fill="auto"/>
            <w:vAlign w:val="center"/>
            <w:hideMark/>
          </w:tcPr>
          <w:p w14:paraId="3A5C932B"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72.3 (55.1-93.4)</w:t>
            </w:r>
          </w:p>
        </w:tc>
        <w:tc>
          <w:tcPr>
            <w:tcW w:w="0" w:type="auto"/>
            <w:tcBorders>
              <w:top w:val="nil"/>
              <w:left w:val="nil"/>
              <w:bottom w:val="nil"/>
              <w:right w:val="single" w:sz="8" w:space="0" w:color="auto"/>
            </w:tcBorders>
            <w:shd w:val="clear" w:color="auto" w:fill="auto"/>
            <w:vAlign w:val="center"/>
            <w:hideMark/>
          </w:tcPr>
          <w:p w14:paraId="0C86B815"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950,000 (699,000-1,260,000)</w:t>
            </w:r>
          </w:p>
        </w:tc>
        <w:tc>
          <w:tcPr>
            <w:tcW w:w="0" w:type="auto"/>
            <w:tcBorders>
              <w:top w:val="nil"/>
              <w:left w:val="nil"/>
              <w:bottom w:val="nil"/>
              <w:right w:val="single" w:sz="8" w:space="0" w:color="auto"/>
            </w:tcBorders>
            <w:shd w:val="clear" w:color="auto" w:fill="auto"/>
            <w:vAlign w:val="center"/>
            <w:hideMark/>
          </w:tcPr>
          <w:p w14:paraId="2750C0D7"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1,423.9 (1,047.3-1,890.5)</w:t>
            </w:r>
          </w:p>
        </w:tc>
        <w:tc>
          <w:tcPr>
            <w:tcW w:w="0" w:type="auto"/>
            <w:tcBorders>
              <w:top w:val="nil"/>
              <w:left w:val="nil"/>
              <w:bottom w:val="nil"/>
              <w:right w:val="single" w:sz="8" w:space="0" w:color="auto"/>
            </w:tcBorders>
            <w:shd w:val="clear" w:color="auto" w:fill="auto"/>
            <w:vAlign w:val="center"/>
            <w:hideMark/>
          </w:tcPr>
          <w:p w14:paraId="6002CF52"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12,400 (9,280-16,500)</w:t>
            </w:r>
          </w:p>
        </w:tc>
        <w:tc>
          <w:tcPr>
            <w:tcW w:w="0" w:type="auto"/>
            <w:tcBorders>
              <w:top w:val="nil"/>
              <w:left w:val="nil"/>
              <w:bottom w:val="nil"/>
              <w:right w:val="single" w:sz="8" w:space="0" w:color="auto"/>
            </w:tcBorders>
            <w:shd w:val="clear" w:color="auto" w:fill="auto"/>
            <w:vAlign w:val="center"/>
            <w:hideMark/>
          </w:tcPr>
          <w:p w14:paraId="66D8671C"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18.6 (13.9-24.7)</w:t>
            </w:r>
          </w:p>
        </w:tc>
        <w:tc>
          <w:tcPr>
            <w:tcW w:w="0" w:type="auto"/>
            <w:tcBorders>
              <w:top w:val="nil"/>
              <w:left w:val="nil"/>
              <w:bottom w:val="nil"/>
              <w:right w:val="single" w:sz="8" w:space="0" w:color="auto"/>
            </w:tcBorders>
            <w:shd w:val="clear" w:color="auto" w:fill="auto"/>
            <w:vAlign w:val="center"/>
            <w:hideMark/>
          </w:tcPr>
          <w:p w14:paraId="16F893B6"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244,000 (176,000-334,000)</w:t>
            </w:r>
          </w:p>
        </w:tc>
        <w:tc>
          <w:tcPr>
            <w:tcW w:w="0" w:type="auto"/>
            <w:tcBorders>
              <w:top w:val="nil"/>
              <w:left w:val="nil"/>
              <w:bottom w:val="nil"/>
              <w:right w:val="single" w:sz="8" w:space="0" w:color="000000"/>
            </w:tcBorders>
            <w:shd w:val="clear" w:color="auto" w:fill="auto"/>
            <w:vAlign w:val="center"/>
            <w:hideMark/>
          </w:tcPr>
          <w:p w14:paraId="59476E3B"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365.3 (264.3-501.1)</w:t>
            </w:r>
          </w:p>
        </w:tc>
      </w:tr>
      <w:tr w:rsidR="00E34934" w:rsidRPr="00D862F0" w14:paraId="7737A137" w14:textId="77777777" w:rsidTr="00D862F0">
        <w:trPr>
          <w:trHeight w:val="300"/>
        </w:trPr>
        <w:tc>
          <w:tcPr>
            <w:tcW w:w="0" w:type="auto"/>
            <w:tcBorders>
              <w:top w:val="nil"/>
              <w:left w:val="single" w:sz="8" w:space="0" w:color="000000"/>
              <w:bottom w:val="single" w:sz="8" w:space="0" w:color="000000"/>
              <w:right w:val="single" w:sz="8" w:space="0" w:color="auto"/>
            </w:tcBorders>
            <w:shd w:val="clear" w:color="000000" w:fill="F2DCDB"/>
            <w:noWrap/>
            <w:vAlign w:val="bottom"/>
            <w:hideMark/>
          </w:tcPr>
          <w:p w14:paraId="10A6E452" w14:textId="77777777" w:rsidR="00E34934" w:rsidRPr="00D155E8" w:rsidRDefault="00E34934" w:rsidP="00D862F0">
            <w:pPr>
              <w:spacing w:after="0" w:line="240" w:lineRule="auto"/>
              <w:rPr>
                <w:rFonts w:eastAsia="Times New Roman" w:cs="Times New Roman"/>
                <w:color w:val="000000"/>
                <w:sz w:val="16"/>
                <w:szCs w:val="16"/>
              </w:rPr>
            </w:pPr>
            <w:r w:rsidRPr="00D155E8">
              <w:rPr>
                <w:rFonts w:eastAsia="Times New Roman" w:cs="Times New Roman"/>
                <w:color w:val="000000"/>
                <w:sz w:val="16"/>
                <w:szCs w:val="16"/>
              </w:rPr>
              <w:t>Tropical Latin America</w:t>
            </w:r>
          </w:p>
        </w:tc>
        <w:tc>
          <w:tcPr>
            <w:tcW w:w="0" w:type="auto"/>
            <w:tcBorders>
              <w:top w:val="nil"/>
              <w:left w:val="nil"/>
              <w:bottom w:val="single" w:sz="8" w:space="0" w:color="000000"/>
              <w:right w:val="single" w:sz="8" w:space="0" w:color="auto"/>
            </w:tcBorders>
            <w:shd w:val="clear" w:color="000000" w:fill="F2DCDB"/>
            <w:noWrap/>
            <w:vAlign w:val="center"/>
            <w:hideMark/>
          </w:tcPr>
          <w:p w14:paraId="6D91E378"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141,000 (105,000-186,000)</w:t>
            </w:r>
          </w:p>
        </w:tc>
        <w:tc>
          <w:tcPr>
            <w:tcW w:w="0" w:type="auto"/>
            <w:tcBorders>
              <w:top w:val="nil"/>
              <w:left w:val="nil"/>
              <w:bottom w:val="single" w:sz="8" w:space="0" w:color="000000"/>
              <w:right w:val="single" w:sz="8" w:space="0" w:color="auto"/>
            </w:tcBorders>
            <w:shd w:val="clear" w:color="000000" w:fill="F2DCDB"/>
            <w:noWrap/>
            <w:vAlign w:val="center"/>
            <w:hideMark/>
          </w:tcPr>
          <w:p w14:paraId="10D06FF4"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63 (47.1-83.1)</w:t>
            </w:r>
          </w:p>
        </w:tc>
        <w:tc>
          <w:tcPr>
            <w:tcW w:w="0" w:type="auto"/>
            <w:tcBorders>
              <w:top w:val="nil"/>
              <w:left w:val="nil"/>
              <w:bottom w:val="single" w:sz="8" w:space="0" w:color="000000"/>
              <w:right w:val="single" w:sz="8" w:space="0" w:color="auto"/>
            </w:tcBorders>
            <w:shd w:val="clear" w:color="000000" w:fill="F2DCDB"/>
            <w:noWrap/>
            <w:vAlign w:val="center"/>
            <w:hideMark/>
          </w:tcPr>
          <w:p w14:paraId="276392C6"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3,660,000 (2,690,000-4,930,000)</w:t>
            </w:r>
          </w:p>
        </w:tc>
        <w:tc>
          <w:tcPr>
            <w:tcW w:w="0" w:type="auto"/>
            <w:tcBorders>
              <w:top w:val="nil"/>
              <w:left w:val="nil"/>
              <w:bottom w:val="single" w:sz="8" w:space="0" w:color="000000"/>
              <w:right w:val="single" w:sz="8" w:space="0" w:color="auto"/>
            </w:tcBorders>
            <w:shd w:val="clear" w:color="000000" w:fill="F2DCDB"/>
            <w:noWrap/>
            <w:vAlign w:val="center"/>
            <w:hideMark/>
          </w:tcPr>
          <w:p w14:paraId="32027313"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1,637.5 (1,201.4-2,204.3) </w:t>
            </w:r>
          </w:p>
        </w:tc>
        <w:tc>
          <w:tcPr>
            <w:tcW w:w="0" w:type="auto"/>
            <w:tcBorders>
              <w:top w:val="nil"/>
              <w:left w:val="nil"/>
              <w:bottom w:val="single" w:sz="8" w:space="0" w:color="000000"/>
              <w:right w:val="single" w:sz="8" w:space="0" w:color="auto"/>
            </w:tcBorders>
            <w:shd w:val="clear" w:color="000000" w:fill="F2DCDB"/>
            <w:noWrap/>
            <w:vAlign w:val="center"/>
            <w:hideMark/>
          </w:tcPr>
          <w:p w14:paraId="23055BC6"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34,000 (24,800-46,000) </w:t>
            </w:r>
          </w:p>
        </w:tc>
        <w:tc>
          <w:tcPr>
            <w:tcW w:w="0" w:type="auto"/>
            <w:tcBorders>
              <w:top w:val="nil"/>
              <w:left w:val="nil"/>
              <w:bottom w:val="single" w:sz="8" w:space="0" w:color="000000"/>
              <w:right w:val="single" w:sz="8" w:space="0" w:color="auto"/>
            </w:tcBorders>
            <w:shd w:val="clear" w:color="000000" w:fill="F2DCDB"/>
            <w:noWrap/>
            <w:vAlign w:val="center"/>
            <w:hideMark/>
          </w:tcPr>
          <w:p w14:paraId="1F9E736E"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15.2 (11.1-20.6) </w:t>
            </w:r>
          </w:p>
        </w:tc>
        <w:tc>
          <w:tcPr>
            <w:tcW w:w="0" w:type="auto"/>
            <w:tcBorders>
              <w:top w:val="nil"/>
              <w:left w:val="nil"/>
              <w:bottom w:val="single" w:sz="8" w:space="0" w:color="000000"/>
              <w:right w:val="single" w:sz="8" w:space="0" w:color="auto"/>
            </w:tcBorders>
            <w:shd w:val="clear" w:color="000000" w:fill="F2DCDB"/>
            <w:noWrap/>
            <w:vAlign w:val="center"/>
            <w:hideMark/>
          </w:tcPr>
          <w:p w14:paraId="1CBEF4CA"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 xml:space="preserve"> 882,000 (638,000-1,210,000) </w:t>
            </w:r>
          </w:p>
        </w:tc>
        <w:tc>
          <w:tcPr>
            <w:tcW w:w="0" w:type="auto"/>
            <w:tcBorders>
              <w:top w:val="nil"/>
              <w:left w:val="nil"/>
              <w:bottom w:val="single" w:sz="8" w:space="0" w:color="000000"/>
              <w:right w:val="single" w:sz="8" w:space="0" w:color="000000"/>
            </w:tcBorders>
            <w:shd w:val="clear" w:color="000000" w:fill="F2DCDB"/>
            <w:noWrap/>
            <w:vAlign w:val="center"/>
            <w:hideMark/>
          </w:tcPr>
          <w:p w14:paraId="64C1BB34" w14:textId="77777777" w:rsidR="00E34934" w:rsidRPr="00D155E8" w:rsidRDefault="00E34934" w:rsidP="00D862F0">
            <w:pPr>
              <w:spacing w:after="0" w:line="240" w:lineRule="auto"/>
              <w:jc w:val="center"/>
              <w:rPr>
                <w:rFonts w:eastAsia="Times New Roman" w:cs="Times New Roman"/>
                <w:color w:val="000000"/>
                <w:sz w:val="16"/>
                <w:szCs w:val="16"/>
              </w:rPr>
            </w:pPr>
            <w:r w:rsidRPr="00D155E8">
              <w:rPr>
                <w:rFonts w:eastAsia="Times New Roman" w:cs="Times New Roman"/>
                <w:color w:val="000000"/>
                <w:sz w:val="16"/>
                <w:szCs w:val="16"/>
              </w:rPr>
              <w:t>394.4 (285.4-541.9)</w:t>
            </w:r>
          </w:p>
        </w:tc>
      </w:tr>
    </w:tbl>
    <w:p w14:paraId="2C30A754" w14:textId="77777777" w:rsidR="00E34934" w:rsidRPr="00D155E8" w:rsidRDefault="00E34934" w:rsidP="00E34934"/>
    <w:p w14:paraId="609C09E4" w14:textId="77777777" w:rsidR="00134E64" w:rsidRDefault="00134E64">
      <w:r>
        <w:br/>
      </w:r>
    </w:p>
    <w:p w14:paraId="7113F674" w14:textId="77777777" w:rsidR="00CA72B0" w:rsidRDefault="00CA72B0">
      <w:r>
        <w:br w:type="page"/>
      </w:r>
    </w:p>
    <w:p w14:paraId="523DBFD5" w14:textId="0DC27485" w:rsidR="00CA72B0" w:rsidRDefault="00CA72B0" w:rsidP="00CA72B0">
      <w:pPr>
        <w:rPr>
          <w:rFonts w:eastAsia="Times New Roman" w:cs="Times New Roman"/>
          <w:color w:val="FFFFFF" w:themeColor="background1"/>
        </w:rPr>
      </w:pPr>
      <w:r w:rsidRPr="00CA72B0">
        <w:rPr>
          <w:b/>
          <w:bCs/>
        </w:rPr>
        <w:lastRenderedPageBreak/>
        <w:t xml:space="preserve">Supplementary Table </w:t>
      </w:r>
      <w:r w:rsidRPr="00CA72B0">
        <w:rPr>
          <w:b/>
        </w:rPr>
        <w:t>4</w:t>
      </w:r>
      <w:r w:rsidRPr="00CA72B0">
        <w:rPr>
          <w:b/>
          <w:bCs/>
        </w:rPr>
        <w:t>.</w:t>
      </w:r>
      <w:r w:rsidRPr="00CA72B0">
        <w:t xml:space="preserve"> Relative risk estimates for sterile sources of specimen across 88 pathogen-drug combinations</w:t>
      </w:r>
      <w:r>
        <w:t>.</w:t>
      </w:r>
    </w:p>
    <w:tbl>
      <w:tblPr>
        <w:tblStyle w:val="TableGrid"/>
        <w:tblW w:w="0" w:type="auto"/>
        <w:tblLayout w:type="fixed"/>
        <w:tblLook w:val="06A0" w:firstRow="1" w:lastRow="0" w:firstColumn="1" w:lastColumn="0" w:noHBand="1" w:noVBand="1"/>
      </w:tblPr>
      <w:tblGrid>
        <w:gridCol w:w="2278"/>
        <w:gridCol w:w="4030"/>
        <w:gridCol w:w="803"/>
        <w:gridCol w:w="920"/>
        <w:gridCol w:w="686"/>
        <w:gridCol w:w="765"/>
      </w:tblGrid>
      <w:tr w:rsidR="00CA72B0" w14:paraId="3A796CDB" w14:textId="77777777" w:rsidTr="00D862F0">
        <w:trPr>
          <w:trHeight w:val="615"/>
        </w:trPr>
        <w:tc>
          <w:tcPr>
            <w:tcW w:w="2278" w:type="dxa"/>
            <w:tcBorders>
              <w:top w:val="single" w:sz="4" w:space="0" w:color="auto"/>
              <w:left w:val="nil"/>
              <w:bottom w:val="single" w:sz="4" w:space="0" w:color="auto"/>
              <w:right w:val="nil"/>
            </w:tcBorders>
            <w:shd w:val="clear" w:color="auto" w:fill="F2DCDB"/>
            <w:vAlign w:val="center"/>
          </w:tcPr>
          <w:p w14:paraId="25F542F8"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Pathogen</w:t>
            </w:r>
          </w:p>
        </w:tc>
        <w:tc>
          <w:tcPr>
            <w:tcW w:w="4030" w:type="dxa"/>
            <w:tcBorders>
              <w:top w:val="single" w:sz="4" w:space="0" w:color="auto"/>
              <w:left w:val="nil"/>
              <w:bottom w:val="single" w:sz="4" w:space="0" w:color="auto"/>
              <w:right w:val="nil"/>
            </w:tcBorders>
            <w:shd w:val="clear" w:color="auto" w:fill="F2DCDB"/>
            <w:vAlign w:val="center"/>
          </w:tcPr>
          <w:p w14:paraId="4D16EFD9"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Drug</w:t>
            </w:r>
          </w:p>
        </w:tc>
        <w:tc>
          <w:tcPr>
            <w:tcW w:w="803" w:type="dxa"/>
            <w:tcBorders>
              <w:top w:val="single" w:sz="4" w:space="0" w:color="auto"/>
              <w:left w:val="nil"/>
              <w:bottom w:val="single" w:sz="4" w:space="0" w:color="auto"/>
              <w:right w:val="nil"/>
            </w:tcBorders>
            <w:shd w:val="clear" w:color="auto" w:fill="F2DCDB"/>
            <w:vAlign w:val="center"/>
          </w:tcPr>
          <w:p w14:paraId="03FC23D0"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Sample size</w:t>
            </w:r>
          </w:p>
        </w:tc>
        <w:tc>
          <w:tcPr>
            <w:tcW w:w="920" w:type="dxa"/>
            <w:tcBorders>
              <w:top w:val="single" w:sz="4" w:space="0" w:color="auto"/>
              <w:left w:val="nil"/>
              <w:bottom w:val="single" w:sz="4" w:space="0" w:color="auto"/>
              <w:right w:val="nil"/>
            </w:tcBorders>
            <w:shd w:val="clear" w:color="auto" w:fill="F2DCDB"/>
            <w:vAlign w:val="center"/>
          </w:tcPr>
          <w:p w14:paraId="7AF69D14"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Mean relative risk</w:t>
            </w:r>
          </w:p>
        </w:tc>
        <w:tc>
          <w:tcPr>
            <w:tcW w:w="686" w:type="dxa"/>
            <w:tcBorders>
              <w:top w:val="single" w:sz="4" w:space="0" w:color="auto"/>
              <w:left w:val="nil"/>
              <w:bottom w:val="single" w:sz="4" w:space="0" w:color="auto"/>
              <w:right w:val="nil"/>
            </w:tcBorders>
            <w:shd w:val="clear" w:color="auto" w:fill="F2DCDB"/>
            <w:vAlign w:val="center"/>
          </w:tcPr>
          <w:p w14:paraId="61F50325"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Lower bound</w:t>
            </w:r>
          </w:p>
        </w:tc>
        <w:tc>
          <w:tcPr>
            <w:tcW w:w="765" w:type="dxa"/>
            <w:tcBorders>
              <w:top w:val="single" w:sz="4" w:space="0" w:color="auto"/>
              <w:left w:val="nil"/>
              <w:bottom w:val="single" w:sz="4" w:space="0" w:color="auto"/>
              <w:right w:val="nil"/>
            </w:tcBorders>
            <w:shd w:val="clear" w:color="auto" w:fill="F2DCDB"/>
            <w:vAlign w:val="center"/>
          </w:tcPr>
          <w:p w14:paraId="0F869E73" w14:textId="77777777" w:rsidR="00CA72B0" w:rsidRDefault="00CA72B0" w:rsidP="00D862F0">
            <w:pPr>
              <w:jc w:val="center"/>
              <w:rPr>
                <w:rFonts w:eastAsia="Times New Roman" w:cs="Times New Roman"/>
                <w:b/>
                <w:bCs/>
                <w:color w:val="000000" w:themeColor="text1"/>
                <w:sz w:val="16"/>
                <w:szCs w:val="16"/>
              </w:rPr>
            </w:pPr>
            <w:r w:rsidRPr="112F4D6F">
              <w:rPr>
                <w:rFonts w:eastAsia="Times New Roman" w:cs="Times New Roman"/>
                <w:b/>
                <w:bCs/>
                <w:color w:val="000000" w:themeColor="text1"/>
                <w:sz w:val="16"/>
                <w:szCs w:val="16"/>
              </w:rPr>
              <w:t>Upper bound</w:t>
            </w:r>
          </w:p>
        </w:tc>
      </w:tr>
      <w:tr w:rsidR="00CA72B0" w14:paraId="7CFD0183" w14:textId="77777777" w:rsidTr="00D862F0">
        <w:trPr>
          <w:trHeight w:val="225"/>
        </w:trPr>
        <w:tc>
          <w:tcPr>
            <w:tcW w:w="2278" w:type="dxa"/>
            <w:tcBorders>
              <w:top w:val="single" w:sz="4" w:space="0" w:color="auto"/>
              <w:left w:val="nil"/>
              <w:bottom w:val="nil"/>
              <w:right w:val="nil"/>
            </w:tcBorders>
            <w:vAlign w:val="bottom"/>
          </w:tcPr>
          <w:p w14:paraId="5F51E78C"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single" w:sz="4" w:space="0" w:color="auto"/>
              <w:left w:val="nil"/>
              <w:bottom w:val="nil"/>
              <w:right w:val="nil"/>
            </w:tcBorders>
            <w:vAlign w:val="bottom"/>
          </w:tcPr>
          <w:p w14:paraId="642CC577" w14:textId="77777777" w:rsidR="00CA72B0" w:rsidRDefault="00CA72B0" w:rsidP="00D862F0">
            <w:r w:rsidRPr="112F4D6F">
              <w:rPr>
                <w:rFonts w:eastAsia="Times New Roman" w:cs="Times New Roman"/>
                <w:color w:val="000000" w:themeColor="text1"/>
                <w:sz w:val="16"/>
                <w:szCs w:val="16"/>
              </w:rPr>
              <w:t>Anti-pseudomonal penicillin/Beta-lactamase inhibitors</w:t>
            </w:r>
          </w:p>
        </w:tc>
        <w:tc>
          <w:tcPr>
            <w:tcW w:w="803" w:type="dxa"/>
            <w:tcBorders>
              <w:top w:val="single" w:sz="4" w:space="0" w:color="auto"/>
              <w:left w:val="nil"/>
              <w:bottom w:val="nil"/>
              <w:right w:val="nil"/>
            </w:tcBorders>
            <w:vAlign w:val="bottom"/>
          </w:tcPr>
          <w:p w14:paraId="24A05DBE" w14:textId="77777777" w:rsidR="00CA72B0" w:rsidRDefault="00CA72B0" w:rsidP="00D862F0">
            <w:r w:rsidRPr="112F4D6F">
              <w:rPr>
                <w:rFonts w:eastAsia="Times New Roman" w:cs="Times New Roman"/>
                <w:color w:val="000000" w:themeColor="text1"/>
                <w:sz w:val="16"/>
                <w:szCs w:val="16"/>
              </w:rPr>
              <w:t>948</w:t>
            </w:r>
          </w:p>
        </w:tc>
        <w:tc>
          <w:tcPr>
            <w:tcW w:w="920" w:type="dxa"/>
            <w:tcBorders>
              <w:top w:val="single" w:sz="4" w:space="0" w:color="auto"/>
              <w:left w:val="nil"/>
              <w:bottom w:val="nil"/>
              <w:right w:val="nil"/>
            </w:tcBorders>
            <w:vAlign w:val="bottom"/>
          </w:tcPr>
          <w:p w14:paraId="37391100" w14:textId="77777777" w:rsidR="00CA72B0" w:rsidRDefault="00CA72B0" w:rsidP="00D862F0">
            <w:r w:rsidRPr="112F4D6F">
              <w:rPr>
                <w:rFonts w:eastAsia="Times New Roman" w:cs="Times New Roman"/>
                <w:color w:val="000000" w:themeColor="text1"/>
                <w:sz w:val="16"/>
                <w:szCs w:val="16"/>
              </w:rPr>
              <w:t>1.31</w:t>
            </w:r>
          </w:p>
        </w:tc>
        <w:tc>
          <w:tcPr>
            <w:tcW w:w="686" w:type="dxa"/>
            <w:tcBorders>
              <w:top w:val="single" w:sz="4" w:space="0" w:color="auto"/>
              <w:left w:val="nil"/>
              <w:bottom w:val="nil"/>
              <w:right w:val="nil"/>
            </w:tcBorders>
            <w:vAlign w:val="bottom"/>
          </w:tcPr>
          <w:p w14:paraId="234DF1B6" w14:textId="77777777" w:rsidR="00CA72B0" w:rsidRDefault="00CA72B0" w:rsidP="00D862F0">
            <w:r w:rsidRPr="112F4D6F">
              <w:rPr>
                <w:rFonts w:eastAsia="Times New Roman" w:cs="Times New Roman"/>
                <w:color w:val="000000" w:themeColor="text1"/>
                <w:sz w:val="16"/>
                <w:szCs w:val="16"/>
              </w:rPr>
              <w:t>1.12</w:t>
            </w:r>
          </w:p>
        </w:tc>
        <w:tc>
          <w:tcPr>
            <w:tcW w:w="765" w:type="dxa"/>
            <w:tcBorders>
              <w:top w:val="single" w:sz="4" w:space="0" w:color="auto"/>
              <w:left w:val="nil"/>
              <w:bottom w:val="nil"/>
              <w:right w:val="nil"/>
            </w:tcBorders>
            <w:vAlign w:val="bottom"/>
          </w:tcPr>
          <w:p w14:paraId="003E9C40" w14:textId="77777777" w:rsidR="00CA72B0" w:rsidRDefault="00CA72B0" w:rsidP="00D862F0">
            <w:r w:rsidRPr="112F4D6F">
              <w:rPr>
                <w:rFonts w:eastAsia="Times New Roman" w:cs="Times New Roman"/>
                <w:color w:val="000000" w:themeColor="text1"/>
                <w:sz w:val="16"/>
                <w:szCs w:val="16"/>
              </w:rPr>
              <w:t>1.52</w:t>
            </w:r>
          </w:p>
        </w:tc>
      </w:tr>
      <w:tr w:rsidR="00CA72B0" w14:paraId="575743B3" w14:textId="77777777" w:rsidTr="00D862F0">
        <w:trPr>
          <w:trHeight w:val="225"/>
        </w:trPr>
        <w:tc>
          <w:tcPr>
            <w:tcW w:w="2278" w:type="dxa"/>
            <w:tcBorders>
              <w:top w:val="nil"/>
              <w:left w:val="nil"/>
              <w:bottom w:val="nil"/>
              <w:right w:val="nil"/>
            </w:tcBorders>
            <w:shd w:val="clear" w:color="auto" w:fill="F2DCDB"/>
            <w:vAlign w:val="bottom"/>
          </w:tcPr>
          <w:p w14:paraId="112FFCA0"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shd w:val="clear" w:color="auto" w:fill="F2DCDB"/>
            <w:vAlign w:val="bottom"/>
          </w:tcPr>
          <w:p w14:paraId="78FB358D" w14:textId="77777777" w:rsidR="00CA72B0" w:rsidRDefault="00CA72B0" w:rsidP="00D862F0">
            <w:r w:rsidRPr="112F4D6F">
              <w:rPr>
                <w:rFonts w:eastAsia="Times New Roman" w:cs="Times New Roman"/>
                <w:color w:val="000000" w:themeColor="text1"/>
                <w:sz w:val="16"/>
                <w:szCs w:val="16"/>
              </w:rPr>
              <w:t>Beta-lactam/Beta-lactamase inhibitors</w:t>
            </w:r>
          </w:p>
        </w:tc>
        <w:tc>
          <w:tcPr>
            <w:tcW w:w="803" w:type="dxa"/>
            <w:tcBorders>
              <w:top w:val="nil"/>
              <w:left w:val="nil"/>
              <w:bottom w:val="nil"/>
              <w:right w:val="nil"/>
            </w:tcBorders>
            <w:shd w:val="clear" w:color="auto" w:fill="F2DCDB"/>
            <w:vAlign w:val="bottom"/>
          </w:tcPr>
          <w:p w14:paraId="58426199" w14:textId="77777777" w:rsidR="00CA72B0" w:rsidRDefault="00CA72B0" w:rsidP="00D862F0">
            <w:r w:rsidRPr="112F4D6F">
              <w:rPr>
                <w:rFonts w:eastAsia="Times New Roman" w:cs="Times New Roman"/>
                <w:color w:val="000000" w:themeColor="text1"/>
                <w:sz w:val="16"/>
                <w:szCs w:val="16"/>
              </w:rPr>
              <w:t>1555</w:t>
            </w:r>
          </w:p>
        </w:tc>
        <w:tc>
          <w:tcPr>
            <w:tcW w:w="920" w:type="dxa"/>
            <w:tcBorders>
              <w:top w:val="nil"/>
              <w:left w:val="nil"/>
              <w:bottom w:val="nil"/>
              <w:right w:val="nil"/>
            </w:tcBorders>
            <w:shd w:val="clear" w:color="auto" w:fill="F2DCDB"/>
            <w:vAlign w:val="bottom"/>
          </w:tcPr>
          <w:p w14:paraId="05A722B2" w14:textId="77777777" w:rsidR="00CA72B0" w:rsidRDefault="00CA72B0" w:rsidP="00D862F0">
            <w:r w:rsidRPr="112F4D6F">
              <w:rPr>
                <w:rFonts w:eastAsia="Times New Roman" w:cs="Times New Roman"/>
                <w:color w:val="000000" w:themeColor="text1"/>
                <w:sz w:val="16"/>
                <w:szCs w:val="16"/>
              </w:rPr>
              <w:t>1.27</w:t>
            </w:r>
          </w:p>
        </w:tc>
        <w:tc>
          <w:tcPr>
            <w:tcW w:w="686" w:type="dxa"/>
            <w:tcBorders>
              <w:top w:val="nil"/>
              <w:left w:val="nil"/>
              <w:bottom w:val="nil"/>
              <w:right w:val="nil"/>
            </w:tcBorders>
            <w:shd w:val="clear" w:color="auto" w:fill="F2DCDB"/>
            <w:vAlign w:val="bottom"/>
          </w:tcPr>
          <w:p w14:paraId="77EAC0A8" w14:textId="77777777" w:rsidR="00CA72B0" w:rsidRDefault="00CA72B0" w:rsidP="00D862F0">
            <w:r w:rsidRPr="112F4D6F">
              <w:rPr>
                <w:rFonts w:eastAsia="Times New Roman" w:cs="Times New Roman"/>
                <w:color w:val="000000" w:themeColor="text1"/>
                <w:sz w:val="16"/>
                <w:szCs w:val="16"/>
              </w:rPr>
              <w:t>1.11</w:t>
            </w:r>
          </w:p>
        </w:tc>
        <w:tc>
          <w:tcPr>
            <w:tcW w:w="765" w:type="dxa"/>
            <w:tcBorders>
              <w:top w:val="nil"/>
              <w:left w:val="nil"/>
              <w:bottom w:val="nil"/>
              <w:right w:val="nil"/>
            </w:tcBorders>
            <w:shd w:val="clear" w:color="auto" w:fill="F2DCDB"/>
            <w:vAlign w:val="bottom"/>
          </w:tcPr>
          <w:p w14:paraId="03EDDD81" w14:textId="77777777" w:rsidR="00CA72B0" w:rsidRDefault="00CA72B0" w:rsidP="00D862F0">
            <w:r w:rsidRPr="112F4D6F">
              <w:rPr>
                <w:rFonts w:eastAsia="Times New Roman" w:cs="Times New Roman"/>
                <w:color w:val="000000" w:themeColor="text1"/>
                <w:sz w:val="16"/>
                <w:szCs w:val="16"/>
              </w:rPr>
              <w:t>1.44</w:t>
            </w:r>
          </w:p>
        </w:tc>
      </w:tr>
      <w:tr w:rsidR="00CA72B0" w14:paraId="338EC28A" w14:textId="77777777" w:rsidTr="00D862F0">
        <w:trPr>
          <w:trHeight w:val="225"/>
        </w:trPr>
        <w:tc>
          <w:tcPr>
            <w:tcW w:w="2278" w:type="dxa"/>
            <w:tcBorders>
              <w:top w:val="nil"/>
              <w:left w:val="nil"/>
              <w:bottom w:val="nil"/>
              <w:right w:val="nil"/>
            </w:tcBorders>
            <w:vAlign w:val="bottom"/>
          </w:tcPr>
          <w:p w14:paraId="49CD1FD0"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vAlign w:val="bottom"/>
          </w:tcPr>
          <w:p w14:paraId="5D4A5D15"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vAlign w:val="bottom"/>
          </w:tcPr>
          <w:p w14:paraId="08E1C566" w14:textId="77777777" w:rsidR="00CA72B0" w:rsidRDefault="00CA72B0" w:rsidP="00D862F0">
            <w:r w:rsidRPr="112F4D6F">
              <w:rPr>
                <w:rFonts w:eastAsia="Times New Roman" w:cs="Times New Roman"/>
                <w:color w:val="000000" w:themeColor="text1"/>
                <w:sz w:val="16"/>
                <w:szCs w:val="16"/>
              </w:rPr>
              <w:t>3232</w:t>
            </w:r>
          </w:p>
        </w:tc>
        <w:tc>
          <w:tcPr>
            <w:tcW w:w="920" w:type="dxa"/>
            <w:tcBorders>
              <w:top w:val="nil"/>
              <w:left w:val="nil"/>
              <w:bottom w:val="nil"/>
              <w:right w:val="nil"/>
            </w:tcBorders>
            <w:vAlign w:val="bottom"/>
          </w:tcPr>
          <w:p w14:paraId="585E9A91" w14:textId="77777777" w:rsidR="00CA72B0" w:rsidRDefault="00CA72B0" w:rsidP="00D862F0">
            <w:r w:rsidRPr="112F4D6F">
              <w:rPr>
                <w:rFonts w:eastAsia="Times New Roman" w:cs="Times New Roman"/>
                <w:color w:val="000000" w:themeColor="text1"/>
                <w:sz w:val="16"/>
                <w:szCs w:val="16"/>
              </w:rPr>
              <w:t>1.42</w:t>
            </w:r>
          </w:p>
        </w:tc>
        <w:tc>
          <w:tcPr>
            <w:tcW w:w="686" w:type="dxa"/>
            <w:tcBorders>
              <w:top w:val="nil"/>
              <w:left w:val="nil"/>
              <w:bottom w:val="nil"/>
              <w:right w:val="nil"/>
            </w:tcBorders>
            <w:vAlign w:val="bottom"/>
          </w:tcPr>
          <w:p w14:paraId="405C9593" w14:textId="77777777" w:rsidR="00CA72B0" w:rsidRDefault="00CA72B0" w:rsidP="00D862F0">
            <w:r w:rsidRPr="112F4D6F">
              <w:rPr>
                <w:rFonts w:eastAsia="Times New Roman" w:cs="Times New Roman"/>
                <w:color w:val="000000" w:themeColor="text1"/>
                <w:sz w:val="16"/>
                <w:szCs w:val="16"/>
              </w:rPr>
              <w:t>1.27</w:t>
            </w:r>
          </w:p>
        </w:tc>
        <w:tc>
          <w:tcPr>
            <w:tcW w:w="765" w:type="dxa"/>
            <w:tcBorders>
              <w:top w:val="nil"/>
              <w:left w:val="nil"/>
              <w:bottom w:val="nil"/>
              <w:right w:val="nil"/>
            </w:tcBorders>
            <w:vAlign w:val="bottom"/>
          </w:tcPr>
          <w:p w14:paraId="3AE30DA2" w14:textId="77777777" w:rsidR="00CA72B0" w:rsidRDefault="00CA72B0" w:rsidP="00D862F0">
            <w:r w:rsidRPr="112F4D6F">
              <w:rPr>
                <w:rFonts w:eastAsia="Times New Roman" w:cs="Times New Roman"/>
                <w:color w:val="000000" w:themeColor="text1"/>
                <w:sz w:val="16"/>
                <w:szCs w:val="16"/>
              </w:rPr>
              <w:t>1.58</w:t>
            </w:r>
          </w:p>
        </w:tc>
      </w:tr>
      <w:tr w:rsidR="00CA72B0" w14:paraId="4169EEB0" w14:textId="77777777" w:rsidTr="00D862F0">
        <w:trPr>
          <w:trHeight w:val="225"/>
        </w:trPr>
        <w:tc>
          <w:tcPr>
            <w:tcW w:w="2278" w:type="dxa"/>
            <w:tcBorders>
              <w:top w:val="nil"/>
              <w:left w:val="nil"/>
              <w:bottom w:val="nil"/>
              <w:right w:val="nil"/>
            </w:tcBorders>
            <w:shd w:val="clear" w:color="auto" w:fill="F2DCDB"/>
            <w:vAlign w:val="bottom"/>
          </w:tcPr>
          <w:p w14:paraId="06C9F4F0"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shd w:val="clear" w:color="auto" w:fill="F2DCDB"/>
            <w:vAlign w:val="bottom"/>
          </w:tcPr>
          <w:p w14:paraId="0CC655A3"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shd w:val="clear" w:color="auto" w:fill="F2DCDB"/>
            <w:vAlign w:val="bottom"/>
          </w:tcPr>
          <w:p w14:paraId="2FCFF567" w14:textId="77777777" w:rsidR="00CA72B0" w:rsidRDefault="00CA72B0" w:rsidP="00D862F0">
            <w:r w:rsidRPr="112F4D6F">
              <w:rPr>
                <w:rFonts w:eastAsia="Times New Roman" w:cs="Times New Roman"/>
                <w:color w:val="000000" w:themeColor="text1"/>
                <w:sz w:val="16"/>
                <w:szCs w:val="16"/>
              </w:rPr>
              <w:t>1439</w:t>
            </w:r>
          </w:p>
        </w:tc>
        <w:tc>
          <w:tcPr>
            <w:tcW w:w="920" w:type="dxa"/>
            <w:tcBorders>
              <w:top w:val="nil"/>
              <w:left w:val="nil"/>
              <w:bottom w:val="nil"/>
              <w:right w:val="nil"/>
            </w:tcBorders>
            <w:shd w:val="clear" w:color="auto" w:fill="F2DCDB"/>
            <w:vAlign w:val="bottom"/>
          </w:tcPr>
          <w:p w14:paraId="58064A2E" w14:textId="77777777" w:rsidR="00CA72B0" w:rsidRDefault="00CA72B0" w:rsidP="00D862F0">
            <w:r w:rsidRPr="112F4D6F">
              <w:rPr>
                <w:rFonts w:eastAsia="Times New Roman" w:cs="Times New Roman"/>
                <w:color w:val="000000" w:themeColor="text1"/>
                <w:sz w:val="16"/>
                <w:szCs w:val="16"/>
              </w:rPr>
              <w:t>1.31</w:t>
            </w:r>
          </w:p>
        </w:tc>
        <w:tc>
          <w:tcPr>
            <w:tcW w:w="686" w:type="dxa"/>
            <w:tcBorders>
              <w:top w:val="nil"/>
              <w:left w:val="nil"/>
              <w:bottom w:val="nil"/>
              <w:right w:val="nil"/>
            </w:tcBorders>
            <w:shd w:val="clear" w:color="auto" w:fill="F2DCDB"/>
            <w:vAlign w:val="bottom"/>
          </w:tcPr>
          <w:p w14:paraId="0458B7C8" w14:textId="77777777" w:rsidR="00CA72B0" w:rsidRDefault="00CA72B0" w:rsidP="00D862F0">
            <w:r w:rsidRPr="112F4D6F">
              <w:rPr>
                <w:rFonts w:eastAsia="Times New Roman" w:cs="Times New Roman"/>
                <w:color w:val="000000" w:themeColor="text1"/>
                <w:sz w:val="16"/>
                <w:szCs w:val="16"/>
              </w:rPr>
              <w:t>1.14</w:t>
            </w:r>
          </w:p>
        </w:tc>
        <w:tc>
          <w:tcPr>
            <w:tcW w:w="765" w:type="dxa"/>
            <w:tcBorders>
              <w:top w:val="nil"/>
              <w:left w:val="nil"/>
              <w:bottom w:val="nil"/>
              <w:right w:val="nil"/>
            </w:tcBorders>
            <w:shd w:val="clear" w:color="auto" w:fill="F2DCDB"/>
            <w:vAlign w:val="bottom"/>
          </w:tcPr>
          <w:p w14:paraId="5A8F2ACD" w14:textId="77777777" w:rsidR="00CA72B0" w:rsidRDefault="00CA72B0" w:rsidP="00D862F0">
            <w:r w:rsidRPr="112F4D6F">
              <w:rPr>
                <w:rFonts w:eastAsia="Times New Roman" w:cs="Times New Roman"/>
                <w:color w:val="000000" w:themeColor="text1"/>
                <w:sz w:val="16"/>
                <w:szCs w:val="16"/>
              </w:rPr>
              <w:t>1.51</w:t>
            </w:r>
          </w:p>
        </w:tc>
      </w:tr>
      <w:tr w:rsidR="00CA72B0" w14:paraId="0DB6CCA5" w14:textId="77777777" w:rsidTr="00D862F0">
        <w:trPr>
          <w:trHeight w:val="225"/>
        </w:trPr>
        <w:tc>
          <w:tcPr>
            <w:tcW w:w="2278" w:type="dxa"/>
            <w:tcBorders>
              <w:top w:val="nil"/>
              <w:left w:val="nil"/>
              <w:bottom w:val="nil"/>
              <w:right w:val="nil"/>
            </w:tcBorders>
            <w:vAlign w:val="bottom"/>
          </w:tcPr>
          <w:p w14:paraId="17F6A537"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vAlign w:val="bottom"/>
          </w:tcPr>
          <w:p w14:paraId="6C2CE933"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11FB288A" w14:textId="77777777" w:rsidR="00CA72B0" w:rsidRDefault="00CA72B0" w:rsidP="00D862F0">
            <w:r w:rsidRPr="112F4D6F">
              <w:rPr>
                <w:rFonts w:eastAsia="Times New Roman" w:cs="Times New Roman"/>
                <w:color w:val="000000" w:themeColor="text1"/>
                <w:sz w:val="16"/>
                <w:szCs w:val="16"/>
              </w:rPr>
              <w:t>2055</w:t>
            </w:r>
          </w:p>
        </w:tc>
        <w:tc>
          <w:tcPr>
            <w:tcW w:w="920" w:type="dxa"/>
            <w:tcBorders>
              <w:top w:val="nil"/>
              <w:left w:val="nil"/>
              <w:bottom w:val="nil"/>
              <w:right w:val="nil"/>
            </w:tcBorders>
            <w:vAlign w:val="bottom"/>
          </w:tcPr>
          <w:p w14:paraId="6B4EF5E5" w14:textId="77777777" w:rsidR="00CA72B0" w:rsidRDefault="00CA72B0" w:rsidP="00D862F0">
            <w:r w:rsidRPr="112F4D6F">
              <w:rPr>
                <w:rFonts w:eastAsia="Times New Roman" w:cs="Times New Roman"/>
                <w:color w:val="000000" w:themeColor="text1"/>
                <w:sz w:val="16"/>
                <w:szCs w:val="16"/>
              </w:rPr>
              <w:t>1.35</w:t>
            </w:r>
          </w:p>
        </w:tc>
        <w:tc>
          <w:tcPr>
            <w:tcW w:w="686" w:type="dxa"/>
            <w:tcBorders>
              <w:top w:val="nil"/>
              <w:left w:val="nil"/>
              <w:bottom w:val="nil"/>
              <w:right w:val="nil"/>
            </w:tcBorders>
            <w:vAlign w:val="bottom"/>
          </w:tcPr>
          <w:p w14:paraId="4F3C4222" w14:textId="77777777" w:rsidR="00CA72B0" w:rsidRDefault="00CA72B0" w:rsidP="00D862F0">
            <w:r w:rsidRPr="112F4D6F">
              <w:rPr>
                <w:rFonts w:eastAsia="Times New Roman" w:cs="Times New Roman"/>
                <w:color w:val="000000" w:themeColor="text1"/>
                <w:sz w:val="16"/>
                <w:szCs w:val="16"/>
              </w:rPr>
              <w:t>1.13</w:t>
            </w:r>
          </w:p>
        </w:tc>
        <w:tc>
          <w:tcPr>
            <w:tcW w:w="765" w:type="dxa"/>
            <w:tcBorders>
              <w:top w:val="nil"/>
              <w:left w:val="nil"/>
              <w:bottom w:val="nil"/>
              <w:right w:val="nil"/>
            </w:tcBorders>
            <w:vAlign w:val="bottom"/>
          </w:tcPr>
          <w:p w14:paraId="55C1FA93" w14:textId="77777777" w:rsidR="00CA72B0" w:rsidRDefault="00CA72B0" w:rsidP="00D862F0">
            <w:r w:rsidRPr="112F4D6F">
              <w:rPr>
                <w:rFonts w:eastAsia="Times New Roman" w:cs="Times New Roman"/>
                <w:color w:val="000000" w:themeColor="text1"/>
                <w:sz w:val="16"/>
                <w:szCs w:val="16"/>
              </w:rPr>
              <w:t>1.62</w:t>
            </w:r>
          </w:p>
        </w:tc>
      </w:tr>
      <w:tr w:rsidR="00CA72B0" w14:paraId="5151105E" w14:textId="77777777" w:rsidTr="00D862F0">
        <w:trPr>
          <w:trHeight w:val="225"/>
        </w:trPr>
        <w:tc>
          <w:tcPr>
            <w:tcW w:w="2278" w:type="dxa"/>
            <w:tcBorders>
              <w:top w:val="nil"/>
              <w:left w:val="nil"/>
              <w:bottom w:val="nil"/>
              <w:right w:val="nil"/>
            </w:tcBorders>
            <w:shd w:val="clear" w:color="auto" w:fill="F2DCDB"/>
            <w:vAlign w:val="bottom"/>
          </w:tcPr>
          <w:p w14:paraId="38D5975B"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shd w:val="clear" w:color="auto" w:fill="F2DCDB"/>
            <w:vAlign w:val="bottom"/>
          </w:tcPr>
          <w:p w14:paraId="751C477C"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shd w:val="clear" w:color="auto" w:fill="F2DCDB"/>
            <w:vAlign w:val="bottom"/>
          </w:tcPr>
          <w:p w14:paraId="58EF608C" w14:textId="77777777" w:rsidR="00CA72B0" w:rsidRDefault="00CA72B0" w:rsidP="00D862F0">
            <w:r w:rsidRPr="112F4D6F">
              <w:rPr>
                <w:rFonts w:eastAsia="Times New Roman" w:cs="Times New Roman"/>
                <w:color w:val="000000" w:themeColor="text1"/>
                <w:sz w:val="16"/>
                <w:szCs w:val="16"/>
              </w:rPr>
              <w:t>2066</w:t>
            </w:r>
          </w:p>
        </w:tc>
        <w:tc>
          <w:tcPr>
            <w:tcW w:w="920" w:type="dxa"/>
            <w:tcBorders>
              <w:top w:val="nil"/>
              <w:left w:val="nil"/>
              <w:bottom w:val="nil"/>
              <w:right w:val="nil"/>
            </w:tcBorders>
            <w:shd w:val="clear" w:color="auto" w:fill="F2DCDB"/>
            <w:vAlign w:val="bottom"/>
          </w:tcPr>
          <w:p w14:paraId="7257C87A" w14:textId="77777777" w:rsidR="00CA72B0" w:rsidRDefault="00CA72B0" w:rsidP="00D862F0">
            <w:r w:rsidRPr="112F4D6F">
              <w:rPr>
                <w:rFonts w:eastAsia="Times New Roman" w:cs="Times New Roman"/>
                <w:color w:val="000000" w:themeColor="text1"/>
                <w:sz w:val="16"/>
                <w:szCs w:val="16"/>
              </w:rPr>
              <w:t>1.1</w:t>
            </w:r>
          </w:p>
        </w:tc>
        <w:tc>
          <w:tcPr>
            <w:tcW w:w="686" w:type="dxa"/>
            <w:tcBorders>
              <w:top w:val="nil"/>
              <w:left w:val="nil"/>
              <w:bottom w:val="nil"/>
              <w:right w:val="nil"/>
            </w:tcBorders>
            <w:shd w:val="clear" w:color="auto" w:fill="F2DCDB"/>
            <w:vAlign w:val="bottom"/>
          </w:tcPr>
          <w:p w14:paraId="2CB2E68F" w14:textId="77777777" w:rsidR="00CA72B0" w:rsidRDefault="00CA72B0" w:rsidP="00D862F0">
            <w:r w:rsidRPr="112F4D6F">
              <w:rPr>
                <w:rFonts w:eastAsia="Times New Roman" w:cs="Times New Roman"/>
                <w:color w:val="000000" w:themeColor="text1"/>
                <w:sz w:val="16"/>
                <w:szCs w:val="16"/>
              </w:rPr>
              <w:t>0.97</w:t>
            </w:r>
          </w:p>
        </w:tc>
        <w:tc>
          <w:tcPr>
            <w:tcW w:w="765" w:type="dxa"/>
            <w:tcBorders>
              <w:top w:val="nil"/>
              <w:left w:val="nil"/>
              <w:bottom w:val="nil"/>
              <w:right w:val="nil"/>
            </w:tcBorders>
            <w:shd w:val="clear" w:color="auto" w:fill="F2DCDB"/>
            <w:vAlign w:val="bottom"/>
          </w:tcPr>
          <w:p w14:paraId="6643C7B3" w14:textId="77777777" w:rsidR="00CA72B0" w:rsidRDefault="00CA72B0" w:rsidP="00D862F0">
            <w:r w:rsidRPr="112F4D6F">
              <w:rPr>
                <w:rFonts w:eastAsia="Times New Roman" w:cs="Times New Roman"/>
                <w:color w:val="000000" w:themeColor="text1"/>
                <w:sz w:val="16"/>
                <w:szCs w:val="16"/>
              </w:rPr>
              <w:t>1.25</w:t>
            </w:r>
          </w:p>
        </w:tc>
      </w:tr>
      <w:tr w:rsidR="00CA72B0" w14:paraId="6017E678" w14:textId="77777777" w:rsidTr="00D862F0">
        <w:trPr>
          <w:trHeight w:val="225"/>
        </w:trPr>
        <w:tc>
          <w:tcPr>
            <w:tcW w:w="2278" w:type="dxa"/>
            <w:tcBorders>
              <w:top w:val="nil"/>
              <w:left w:val="nil"/>
              <w:bottom w:val="nil"/>
              <w:right w:val="nil"/>
            </w:tcBorders>
            <w:vAlign w:val="bottom"/>
          </w:tcPr>
          <w:p w14:paraId="2DEDC708" w14:textId="77777777" w:rsidR="00CA72B0" w:rsidRDefault="00CA72B0" w:rsidP="00D862F0">
            <w:r w:rsidRPr="112F4D6F">
              <w:rPr>
                <w:rFonts w:eastAsia="Times New Roman" w:cs="Times New Roman"/>
                <w:i/>
                <w:iCs/>
                <w:color w:val="000000" w:themeColor="text1"/>
                <w:sz w:val="16"/>
                <w:szCs w:val="16"/>
              </w:rPr>
              <w:t xml:space="preserve">Acinetobacter </w:t>
            </w:r>
            <w:proofErr w:type="spellStart"/>
            <w:r w:rsidRPr="112F4D6F">
              <w:rPr>
                <w:rFonts w:eastAsia="Times New Roman" w:cs="Times New Roman"/>
                <w:i/>
                <w:iCs/>
                <w:color w:val="000000" w:themeColor="text1"/>
                <w:sz w:val="16"/>
                <w:szCs w:val="16"/>
              </w:rPr>
              <w:t>baumannii</w:t>
            </w:r>
            <w:proofErr w:type="spellEnd"/>
          </w:p>
        </w:tc>
        <w:tc>
          <w:tcPr>
            <w:tcW w:w="4030" w:type="dxa"/>
            <w:tcBorders>
              <w:top w:val="nil"/>
              <w:left w:val="nil"/>
              <w:bottom w:val="nil"/>
              <w:right w:val="nil"/>
            </w:tcBorders>
            <w:vAlign w:val="bottom"/>
          </w:tcPr>
          <w:p w14:paraId="15F9526E"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18DBF53E" w14:textId="77777777" w:rsidR="00CA72B0" w:rsidRDefault="00CA72B0" w:rsidP="00D862F0">
            <w:r w:rsidRPr="112F4D6F">
              <w:rPr>
                <w:rFonts w:eastAsia="Times New Roman" w:cs="Times New Roman"/>
                <w:color w:val="000000" w:themeColor="text1"/>
                <w:sz w:val="16"/>
                <w:szCs w:val="16"/>
              </w:rPr>
              <w:t>3020</w:t>
            </w:r>
          </w:p>
        </w:tc>
        <w:tc>
          <w:tcPr>
            <w:tcW w:w="920" w:type="dxa"/>
            <w:tcBorders>
              <w:top w:val="nil"/>
              <w:left w:val="nil"/>
              <w:bottom w:val="nil"/>
              <w:right w:val="nil"/>
            </w:tcBorders>
            <w:vAlign w:val="bottom"/>
          </w:tcPr>
          <w:p w14:paraId="495C169A" w14:textId="77777777" w:rsidR="00CA72B0" w:rsidRDefault="00CA72B0" w:rsidP="00D862F0">
            <w:r w:rsidRPr="112F4D6F">
              <w:rPr>
                <w:rFonts w:eastAsia="Times New Roman" w:cs="Times New Roman"/>
                <w:color w:val="000000" w:themeColor="text1"/>
                <w:sz w:val="16"/>
                <w:szCs w:val="16"/>
              </w:rPr>
              <w:t>1.38</w:t>
            </w:r>
          </w:p>
        </w:tc>
        <w:tc>
          <w:tcPr>
            <w:tcW w:w="686" w:type="dxa"/>
            <w:tcBorders>
              <w:top w:val="nil"/>
              <w:left w:val="nil"/>
              <w:bottom w:val="nil"/>
              <w:right w:val="nil"/>
            </w:tcBorders>
            <w:vAlign w:val="bottom"/>
          </w:tcPr>
          <w:p w14:paraId="6CDBEBEF" w14:textId="77777777" w:rsidR="00CA72B0" w:rsidRDefault="00CA72B0" w:rsidP="00D862F0">
            <w:r w:rsidRPr="112F4D6F">
              <w:rPr>
                <w:rFonts w:eastAsia="Times New Roman" w:cs="Times New Roman"/>
                <w:color w:val="000000" w:themeColor="text1"/>
                <w:sz w:val="16"/>
                <w:szCs w:val="16"/>
              </w:rPr>
              <w:t>1.21</w:t>
            </w:r>
          </w:p>
        </w:tc>
        <w:tc>
          <w:tcPr>
            <w:tcW w:w="765" w:type="dxa"/>
            <w:tcBorders>
              <w:top w:val="nil"/>
              <w:left w:val="nil"/>
              <w:bottom w:val="nil"/>
              <w:right w:val="nil"/>
            </w:tcBorders>
            <w:vAlign w:val="bottom"/>
          </w:tcPr>
          <w:p w14:paraId="4BF70F6F" w14:textId="77777777" w:rsidR="00CA72B0" w:rsidRDefault="00CA72B0" w:rsidP="00D862F0">
            <w:r w:rsidRPr="112F4D6F">
              <w:rPr>
                <w:rFonts w:eastAsia="Times New Roman" w:cs="Times New Roman"/>
                <w:color w:val="000000" w:themeColor="text1"/>
                <w:sz w:val="16"/>
                <w:szCs w:val="16"/>
              </w:rPr>
              <w:t>1.56</w:t>
            </w:r>
          </w:p>
        </w:tc>
      </w:tr>
      <w:tr w:rsidR="00CA72B0" w14:paraId="6E0CDF11" w14:textId="77777777" w:rsidTr="00D862F0">
        <w:trPr>
          <w:trHeight w:val="225"/>
        </w:trPr>
        <w:tc>
          <w:tcPr>
            <w:tcW w:w="2278" w:type="dxa"/>
            <w:tcBorders>
              <w:top w:val="nil"/>
              <w:left w:val="nil"/>
              <w:bottom w:val="nil"/>
              <w:right w:val="nil"/>
            </w:tcBorders>
            <w:shd w:val="clear" w:color="auto" w:fill="F2DCDB"/>
            <w:vAlign w:val="bottom"/>
          </w:tcPr>
          <w:p w14:paraId="0FF17EEF" w14:textId="77777777" w:rsidR="00CA72B0" w:rsidRDefault="00CA72B0" w:rsidP="00D862F0">
            <w:r w:rsidRPr="175F72D8">
              <w:rPr>
                <w:rFonts w:eastAsia="Times New Roman" w:cs="Times New Roman"/>
                <w:i/>
                <w:color w:val="000000" w:themeColor="text1"/>
                <w:sz w:val="16"/>
                <w:szCs w:val="16"/>
              </w:rPr>
              <w:t xml:space="preserve">Citrobacter </w:t>
            </w:r>
            <w:r w:rsidRPr="112F4D6F">
              <w:rPr>
                <w:rFonts w:eastAsia="Times New Roman" w:cs="Times New Roman"/>
                <w:color w:val="000000" w:themeColor="text1"/>
                <w:sz w:val="16"/>
                <w:szCs w:val="16"/>
              </w:rPr>
              <w:t>spp.</w:t>
            </w:r>
          </w:p>
        </w:tc>
        <w:tc>
          <w:tcPr>
            <w:tcW w:w="4030" w:type="dxa"/>
            <w:tcBorders>
              <w:top w:val="nil"/>
              <w:left w:val="nil"/>
              <w:bottom w:val="nil"/>
              <w:right w:val="nil"/>
            </w:tcBorders>
            <w:shd w:val="clear" w:color="auto" w:fill="F2DCDB"/>
            <w:vAlign w:val="bottom"/>
          </w:tcPr>
          <w:p w14:paraId="3E9F5B89"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shd w:val="clear" w:color="auto" w:fill="F2DCDB"/>
            <w:vAlign w:val="bottom"/>
          </w:tcPr>
          <w:p w14:paraId="02875FE7" w14:textId="77777777" w:rsidR="00CA72B0" w:rsidRDefault="00CA72B0" w:rsidP="00D862F0">
            <w:r w:rsidRPr="112F4D6F">
              <w:rPr>
                <w:rFonts w:eastAsia="Times New Roman" w:cs="Times New Roman"/>
                <w:color w:val="000000" w:themeColor="text1"/>
                <w:sz w:val="16"/>
                <w:szCs w:val="16"/>
              </w:rPr>
              <w:t>4069</w:t>
            </w:r>
          </w:p>
        </w:tc>
        <w:tc>
          <w:tcPr>
            <w:tcW w:w="920" w:type="dxa"/>
            <w:tcBorders>
              <w:top w:val="nil"/>
              <w:left w:val="nil"/>
              <w:bottom w:val="nil"/>
              <w:right w:val="nil"/>
            </w:tcBorders>
            <w:shd w:val="clear" w:color="auto" w:fill="F2DCDB"/>
            <w:vAlign w:val="bottom"/>
          </w:tcPr>
          <w:p w14:paraId="1E76DF30" w14:textId="77777777" w:rsidR="00CA72B0" w:rsidRDefault="00CA72B0" w:rsidP="00D862F0">
            <w:r w:rsidRPr="112F4D6F">
              <w:rPr>
                <w:rFonts w:eastAsia="Times New Roman" w:cs="Times New Roman"/>
                <w:color w:val="000000" w:themeColor="text1"/>
                <w:sz w:val="16"/>
                <w:szCs w:val="16"/>
              </w:rPr>
              <w:t>1.09</w:t>
            </w:r>
          </w:p>
        </w:tc>
        <w:tc>
          <w:tcPr>
            <w:tcW w:w="686" w:type="dxa"/>
            <w:tcBorders>
              <w:top w:val="nil"/>
              <w:left w:val="nil"/>
              <w:bottom w:val="nil"/>
              <w:right w:val="nil"/>
            </w:tcBorders>
            <w:shd w:val="clear" w:color="auto" w:fill="F2DCDB"/>
            <w:vAlign w:val="bottom"/>
          </w:tcPr>
          <w:p w14:paraId="515CE5BE" w14:textId="77777777" w:rsidR="00CA72B0" w:rsidRDefault="00CA72B0" w:rsidP="00D862F0">
            <w:r w:rsidRPr="112F4D6F">
              <w:rPr>
                <w:rFonts w:eastAsia="Times New Roman" w:cs="Times New Roman"/>
                <w:color w:val="000000" w:themeColor="text1"/>
                <w:sz w:val="16"/>
                <w:szCs w:val="16"/>
              </w:rPr>
              <w:t>0.94</w:t>
            </w:r>
          </w:p>
        </w:tc>
        <w:tc>
          <w:tcPr>
            <w:tcW w:w="765" w:type="dxa"/>
            <w:tcBorders>
              <w:top w:val="nil"/>
              <w:left w:val="nil"/>
              <w:bottom w:val="nil"/>
              <w:right w:val="nil"/>
            </w:tcBorders>
            <w:shd w:val="clear" w:color="auto" w:fill="F2DCDB"/>
            <w:vAlign w:val="bottom"/>
          </w:tcPr>
          <w:p w14:paraId="73E6886E" w14:textId="77777777" w:rsidR="00CA72B0" w:rsidRDefault="00CA72B0" w:rsidP="00D862F0">
            <w:r w:rsidRPr="112F4D6F">
              <w:rPr>
                <w:rFonts w:eastAsia="Times New Roman" w:cs="Times New Roman"/>
                <w:color w:val="000000" w:themeColor="text1"/>
                <w:sz w:val="16"/>
                <w:szCs w:val="16"/>
              </w:rPr>
              <w:t>1.28</w:t>
            </w:r>
          </w:p>
        </w:tc>
      </w:tr>
      <w:tr w:rsidR="00CA72B0" w14:paraId="0459C684" w14:textId="77777777" w:rsidTr="00D862F0">
        <w:trPr>
          <w:trHeight w:val="225"/>
        </w:trPr>
        <w:tc>
          <w:tcPr>
            <w:tcW w:w="2278" w:type="dxa"/>
            <w:tcBorders>
              <w:top w:val="nil"/>
              <w:left w:val="nil"/>
              <w:bottom w:val="nil"/>
              <w:right w:val="nil"/>
            </w:tcBorders>
            <w:vAlign w:val="bottom"/>
          </w:tcPr>
          <w:p w14:paraId="7ED679CC" w14:textId="77777777" w:rsidR="00CA72B0" w:rsidRDefault="00CA72B0" w:rsidP="00D862F0">
            <w:r w:rsidRPr="112F4D6F">
              <w:rPr>
                <w:rFonts w:eastAsia="Times New Roman" w:cs="Times New Roman"/>
                <w:i/>
                <w:iCs/>
                <w:color w:val="000000" w:themeColor="text1"/>
                <w:sz w:val="16"/>
                <w:szCs w:val="16"/>
              </w:rPr>
              <w:t>Citrobacter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050B733C" w14:textId="77777777" w:rsidR="00CA72B0" w:rsidRDefault="00CA72B0" w:rsidP="00D862F0">
            <w:r w:rsidRPr="112F4D6F">
              <w:rPr>
                <w:rFonts w:eastAsia="Times New Roman" w:cs="Times New Roman"/>
                <w:color w:val="000000" w:themeColor="text1"/>
                <w:sz w:val="16"/>
                <w:szCs w:val="16"/>
              </w:rPr>
              <w:t>Anti-pseudomonal penicillin/Beta-lactamase inhibitors</w:t>
            </w:r>
          </w:p>
        </w:tc>
        <w:tc>
          <w:tcPr>
            <w:tcW w:w="803" w:type="dxa"/>
            <w:tcBorders>
              <w:top w:val="nil"/>
              <w:left w:val="nil"/>
              <w:bottom w:val="nil"/>
              <w:right w:val="nil"/>
            </w:tcBorders>
            <w:vAlign w:val="bottom"/>
          </w:tcPr>
          <w:p w14:paraId="23507C78" w14:textId="77777777" w:rsidR="00CA72B0" w:rsidRDefault="00CA72B0" w:rsidP="00D862F0">
            <w:r w:rsidRPr="112F4D6F">
              <w:rPr>
                <w:rFonts w:eastAsia="Times New Roman" w:cs="Times New Roman"/>
                <w:color w:val="000000" w:themeColor="text1"/>
                <w:sz w:val="16"/>
                <w:szCs w:val="16"/>
              </w:rPr>
              <w:t>3127</w:t>
            </w:r>
          </w:p>
        </w:tc>
        <w:tc>
          <w:tcPr>
            <w:tcW w:w="920" w:type="dxa"/>
            <w:tcBorders>
              <w:top w:val="nil"/>
              <w:left w:val="nil"/>
              <w:bottom w:val="nil"/>
              <w:right w:val="nil"/>
            </w:tcBorders>
            <w:vAlign w:val="bottom"/>
          </w:tcPr>
          <w:p w14:paraId="61C3DFDC" w14:textId="77777777" w:rsidR="00CA72B0" w:rsidRDefault="00CA72B0" w:rsidP="00D862F0">
            <w:r w:rsidRPr="112F4D6F">
              <w:rPr>
                <w:rFonts w:eastAsia="Times New Roman" w:cs="Times New Roman"/>
                <w:color w:val="000000" w:themeColor="text1"/>
                <w:sz w:val="16"/>
                <w:szCs w:val="16"/>
              </w:rPr>
              <w:t>1.32</w:t>
            </w:r>
          </w:p>
        </w:tc>
        <w:tc>
          <w:tcPr>
            <w:tcW w:w="686" w:type="dxa"/>
            <w:tcBorders>
              <w:top w:val="nil"/>
              <w:left w:val="nil"/>
              <w:bottom w:val="nil"/>
              <w:right w:val="nil"/>
            </w:tcBorders>
            <w:vAlign w:val="bottom"/>
          </w:tcPr>
          <w:p w14:paraId="326FD3B7" w14:textId="77777777" w:rsidR="00CA72B0" w:rsidRDefault="00CA72B0" w:rsidP="00D862F0">
            <w:r w:rsidRPr="112F4D6F">
              <w:rPr>
                <w:rFonts w:eastAsia="Times New Roman" w:cs="Times New Roman"/>
                <w:color w:val="000000" w:themeColor="text1"/>
                <w:sz w:val="16"/>
                <w:szCs w:val="16"/>
              </w:rPr>
              <w:t>1.14</w:t>
            </w:r>
          </w:p>
        </w:tc>
        <w:tc>
          <w:tcPr>
            <w:tcW w:w="765" w:type="dxa"/>
            <w:tcBorders>
              <w:top w:val="nil"/>
              <w:left w:val="nil"/>
              <w:bottom w:val="nil"/>
              <w:right w:val="nil"/>
            </w:tcBorders>
            <w:vAlign w:val="bottom"/>
          </w:tcPr>
          <w:p w14:paraId="0719D053" w14:textId="77777777" w:rsidR="00CA72B0" w:rsidRDefault="00CA72B0" w:rsidP="00D862F0">
            <w:r w:rsidRPr="112F4D6F">
              <w:rPr>
                <w:rFonts w:eastAsia="Times New Roman" w:cs="Times New Roman"/>
                <w:color w:val="000000" w:themeColor="text1"/>
                <w:sz w:val="16"/>
                <w:szCs w:val="16"/>
              </w:rPr>
              <w:t>1.53</w:t>
            </w:r>
          </w:p>
        </w:tc>
      </w:tr>
      <w:tr w:rsidR="00CA72B0" w14:paraId="552CFF7C" w14:textId="77777777" w:rsidTr="00D862F0">
        <w:trPr>
          <w:trHeight w:val="225"/>
        </w:trPr>
        <w:tc>
          <w:tcPr>
            <w:tcW w:w="2278" w:type="dxa"/>
            <w:tcBorders>
              <w:top w:val="nil"/>
              <w:left w:val="nil"/>
              <w:bottom w:val="nil"/>
              <w:right w:val="nil"/>
            </w:tcBorders>
            <w:shd w:val="clear" w:color="auto" w:fill="F2DCDB"/>
            <w:vAlign w:val="bottom"/>
          </w:tcPr>
          <w:p w14:paraId="03215893" w14:textId="77777777" w:rsidR="00CA72B0" w:rsidRDefault="00CA72B0" w:rsidP="00D862F0">
            <w:r w:rsidRPr="112F4D6F">
              <w:rPr>
                <w:rFonts w:eastAsia="Times New Roman" w:cs="Times New Roman"/>
                <w:i/>
                <w:iCs/>
                <w:color w:val="000000" w:themeColor="text1"/>
                <w:sz w:val="16"/>
                <w:szCs w:val="16"/>
              </w:rPr>
              <w:t>Citrobacter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314FAFBB"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shd w:val="clear" w:color="auto" w:fill="F2DCDB"/>
            <w:vAlign w:val="bottom"/>
          </w:tcPr>
          <w:p w14:paraId="591578D8" w14:textId="77777777" w:rsidR="00CA72B0" w:rsidRDefault="00CA72B0" w:rsidP="00D862F0">
            <w:r w:rsidRPr="112F4D6F">
              <w:rPr>
                <w:rFonts w:eastAsia="Times New Roman" w:cs="Times New Roman"/>
                <w:color w:val="000000" w:themeColor="text1"/>
                <w:sz w:val="16"/>
                <w:szCs w:val="16"/>
              </w:rPr>
              <w:t>3097</w:t>
            </w:r>
          </w:p>
        </w:tc>
        <w:tc>
          <w:tcPr>
            <w:tcW w:w="920" w:type="dxa"/>
            <w:tcBorders>
              <w:top w:val="nil"/>
              <w:left w:val="nil"/>
              <w:bottom w:val="nil"/>
              <w:right w:val="nil"/>
            </w:tcBorders>
            <w:shd w:val="clear" w:color="auto" w:fill="F2DCDB"/>
            <w:vAlign w:val="bottom"/>
          </w:tcPr>
          <w:p w14:paraId="27C9D422" w14:textId="77777777" w:rsidR="00CA72B0" w:rsidRDefault="00CA72B0" w:rsidP="00D862F0">
            <w:r w:rsidRPr="112F4D6F">
              <w:rPr>
                <w:rFonts w:eastAsia="Times New Roman" w:cs="Times New Roman"/>
                <w:color w:val="000000" w:themeColor="text1"/>
                <w:sz w:val="16"/>
                <w:szCs w:val="16"/>
              </w:rPr>
              <w:t>1.48</w:t>
            </w:r>
          </w:p>
        </w:tc>
        <w:tc>
          <w:tcPr>
            <w:tcW w:w="686" w:type="dxa"/>
            <w:tcBorders>
              <w:top w:val="nil"/>
              <w:left w:val="nil"/>
              <w:bottom w:val="nil"/>
              <w:right w:val="nil"/>
            </w:tcBorders>
            <w:shd w:val="clear" w:color="auto" w:fill="F2DCDB"/>
            <w:vAlign w:val="bottom"/>
          </w:tcPr>
          <w:p w14:paraId="04DBD1C8" w14:textId="77777777" w:rsidR="00CA72B0" w:rsidRDefault="00CA72B0" w:rsidP="00D862F0">
            <w:r w:rsidRPr="112F4D6F">
              <w:rPr>
                <w:rFonts w:eastAsia="Times New Roman" w:cs="Times New Roman"/>
                <w:color w:val="000000" w:themeColor="text1"/>
                <w:sz w:val="16"/>
                <w:szCs w:val="16"/>
              </w:rPr>
              <w:t>1.25</w:t>
            </w:r>
          </w:p>
        </w:tc>
        <w:tc>
          <w:tcPr>
            <w:tcW w:w="765" w:type="dxa"/>
            <w:tcBorders>
              <w:top w:val="nil"/>
              <w:left w:val="nil"/>
              <w:bottom w:val="nil"/>
              <w:right w:val="nil"/>
            </w:tcBorders>
            <w:shd w:val="clear" w:color="auto" w:fill="F2DCDB"/>
            <w:vAlign w:val="bottom"/>
          </w:tcPr>
          <w:p w14:paraId="000B8654" w14:textId="77777777" w:rsidR="00CA72B0" w:rsidRDefault="00CA72B0" w:rsidP="00D862F0">
            <w:r w:rsidRPr="112F4D6F">
              <w:rPr>
                <w:rFonts w:eastAsia="Times New Roman" w:cs="Times New Roman"/>
                <w:color w:val="000000" w:themeColor="text1"/>
                <w:sz w:val="16"/>
                <w:szCs w:val="16"/>
              </w:rPr>
              <w:t>1.76</w:t>
            </w:r>
          </w:p>
        </w:tc>
      </w:tr>
      <w:tr w:rsidR="00CA72B0" w14:paraId="3593A501" w14:textId="77777777" w:rsidTr="00D862F0">
        <w:trPr>
          <w:trHeight w:val="225"/>
        </w:trPr>
        <w:tc>
          <w:tcPr>
            <w:tcW w:w="2278" w:type="dxa"/>
            <w:tcBorders>
              <w:top w:val="nil"/>
              <w:left w:val="nil"/>
              <w:bottom w:val="nil"/>
              <w:right w:val="nil"/>
            </w:tcBorders>
            <w:vAlign w:val="bottom"/>
          </w:tcPr>
          <w:p w14:paraId="3A521004" w14:textId="77777777" w:rsidR="00CA72B0" w:rsidRDefault="00CA72B0" w:rsidP="00D862F0">
            <w:r w:rsidRPr="112F4D6F">
              <w:rPr>
                <w:rFonts w:eastAsia="Times New Roman" w:cs="Times New Roman"/>
                <w:i/>
                <w:iCs/>
                <w:color w:val="000000" w:themeColor="text1"/>
                <w:sz w:val="16"/>
                <w:szCs w:val="16"/>
              </w:rPr>
              <w:t>Citrobacter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793D3401"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3C01004D" w14:textId="77777777" w:rsidR="00CA72B0" w:rsidRDefault="00CA72B0" w:rsidP="00D862F0">
            <w:r w:rsidRPr="112F4D6F">
              <w:rPr>
                <w:rFonts w:eastAsia="Times New Roman" w:cs="Times New Roman"/>
                <w:color w:val="000000" w:themeColor="text1"/>
                <w:sz w:val="16"/>
                <w:szCs w:val="16"/>
              </w:rPr>
              <w:t>4387</w:t>
            </w:r>
          </w:p>
        </w:tc>
        <w:tc>
          <w:tcPr>
            <w:tcW w:w="920" w:type="dxa"/>
            <w:tcBorders>
              <w:top w:val="nil"/>
              <w:left w:val="nil"/>
              <w:bottom w:val="nil"/>
              <w:right w:val="nil"/>
            </w:tcBorders>
            <w:vAlign w:val="bottom"/>
          </w:tcPr>
          <w:p w14:paraId="0D756038" w14:textId="77777777" w:rsidR="00CA72B0" w:rsidRDefault="00CA72B0" w:rsidP="00D862F0">
            <w:r w:rsidRPr="112F4D6F">
              <w:rPr>
                <w:rFonts w:eastAsia="Times New Roman" w:cs="Times New Roman"/>
                <w:color w:val="000000" w:themeColor="text1"/>
                <w:sz w:val="16"/>
                <w:szCs w:val="16"/>
              </w:rPr>
              <w:t>1.36</w:t>
            </w:r>
          </w:p>
        </w:tc>
        <w:tc>
          <w:tcPr>
            <w:tcW w:w="686" w:type="dxa"/>
            <w:tcBorders>
              <w:top w:val="nil"/>
              <w:left w:val="nil"/>
              <w:bottom w:val="nil"/>
              <w:right w:val="nil"/>
            </w:tcBorders>
            <w:vAlign w:val="bottom"/>
          </w:tcPr>
          <w:p w14:paraId="6AF8FA71" w14:textId="77777777" w:rsidR="00CA72B0" w:rsidRDefault="00CA72B0" w:rsidP="00D862F0">
            <w:r w:rsidRPr="112F4D6F">
              <w:rPr>
                <w:rFonts w:eastAsia="Times New Roman" w:cs="Times New Roman"/>
                <w:color w:val="000000" w:themeColor="text1"/>
                <w:sz w:val="16"/>
                <w:szCs w:val="16"/>
              </w:rPr>
              <w:t>1.18</w:t>
            </w:r>
          </w:p>
        </w:tc>
        <w:tc>
          <w:tcPr>
            <w:tcW w:w="765" w:type="dxa"/>
            <w:tcBorders>
              <w:top w:val="nil"/>
              <w:left w:val="nil"/>
              <w:bottom w:val="nil"/>
              <w:right w:val="nil"/>
            </w:tcBorders>
            <w:vAlign w:val="bottom"/>
          </w:tcPr>
          <w:p w14:paraId="6CACA06F" w14:textId="77777777" w:rsidR="00CA72B0" w:rsidRDefault="00CA72B0" w:rsidP="00D862F0">
            <w:r w:rsidRPr="112F4D6F">
              <w:rPr>
                <w:rFonts w:eastAsia="Times New Roman" w:cs="Times New Roman"/>
                <w:color w:val="000000" w:themeColor="text1"/>
                <w:sz w:val="16"/>
                <w:szCs w:val="16"/>
              </w:rPr>
              <w:t>1.57</w:t>
            </w:r>
          </w:p>
        </w:tc>
      </w:tr>
      <w:tr w:rsidR="00CA72B0" w14:paraId="2F8B67EF" w14:textId="77777777" w:rsidTr="00D862F0">
        <w:trPr>
          <w:trHeight w:val="225"/>
        </w:trPr>
        <w:tc>
          <w:tcPr>
            <w:tcW w:w="2278" w:type="dxa"/>
            <w:tcBorders>
              <w:top w:val="nil"/>
              <w:left w:val="nil"/>
              <w:bottom w:val="nil"/>
              <w:right w:val="nil"/>
            </w:tcBorders>
            <w:shd w:val="clear" w:color="auto" w:fill="F2DCDB"/>
            <w:vAlign w:val="bottom"/>
          </w:tcPr>
          <w:p w14:paraId="7C2DF9BE" w14:textId="77777777" w:rsidR="00CA72B0" w:rsidRDefault="00CA72B0" w:rsidP="00D862F0">
            <w:r w:rsidRPr="112F4D6F">
              <w:rPr>
                <w:rFonts w:eastAsia="Times New Roman" w:cs="Times New Roman"/>
                <w:i/>
                <w:iCs/>
                <w:color w:val="000000" w:themeColor="text1"/>
                <w:sz w:val="16"/>
                <w:szCs w:val="16"/>
              </w:rPr>
              <w:t>Citrobacter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0AD2DAD3"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shd w:val="clear" w:color="auto" w:fill="F2DCDB"/>
            <w:vAlign w:val="bottom"/>
          </w:tcPr>
          <w:p w14:paraId="56217A3D" w14:textId="77777777" w:rsidR="00CA72B0" w:rsidRDefault="00CA72B0" w:rsidP="00D862F0">
            <w:r w:rsidRPr="112F4D6F">
              <w:rPr>
                <w:rFonts w:eastAsia="Times New Roman" w:cs="Times New Roman"/>
                <w:color w:val="000000" w:themeColor="text1"/>
                <w:sz w:val="16"/>
                <w:szCs w:val="16"/>
              </w:rPr>
              <w:t>2718</w:t>
            </w:r>
          </w:p>
        </w:tc>
        <w:tc>
          <w:tcPr>
            <w:tcW w:w="920" w:type="dxa"/>
            <w:tcBorders>
              <w:top w:val="nil"/>
              <w:left w:val="nil"/>
              <w:bottom w:val="nil"/>
              <w:right w:val="nil"/>
            </w:tcBorders>
            <w:shd w:val="clear" w:color="auto" w:fill="F2DCDB"/>
            <w:vAlign w:val="bottom"/>
          </w:tcPr>
          <w:p w14:paraId="5D5B48BB" w14:textId="77777777" w:rsidR="00CA72B0" w:rsidRDefault="00CA72B0" w:rsidP="00D862F0">
            <w:r w:rsidRPr="112F4D6F">
              <w:rPr>
                <w:rFonts w:eastAsia="Times New Roman" w:cs="Times New Roman"/>
                <w:color w:val="000000" w:themeColor="text1"/>
                <w:sz w:val="16"/>
                <w:szCs w:val="16"/>
              </w:rPr>
              <w:t>1.31</w:t>
            </w:r>
          </w:p>
        </w:tc>
        <w:tc>
          <w:tcPr>
            <w:tcW w:w="686" w:type="dxa"/>
            <w:tcBorders>
              <w:top w:val="nil"/>
              <w:left w:val="nil"/>
              <w:bottom w:val="nil"/>
              <w:right w:val="nil"/>
            </w:tcBorders>
            <w:shd w:val="clear" w:color="auto" w:fill="F2DCDB"/>
            <w:vAlign w:val="bottom"/>
          </w:tcPr>
          <w:p w14:paraId="12020E38" w14:textId="77777777" w:rsidR="00CA72B0" w:rsidRDefault="00CA72B0" w:rsidP="00D862F0">
            <w:r w:rsidRPr="112F4D6F">
              <w:rPr>
                <w:rFonts w:eastAsia="Times New Roman" w:cs="Times New Roman"/>
                <w:color w:val="000000" w:themeColor="text1"/>
                <w:sz w:val="16"/>
                <w:szCs w:val="16"/>
              </w:rPr>
              <w:t>1.1</w:t>
            </w:r>
          </w:p>
        </w:tc>
        <w:tc>
          <w:tcPr>
            <w:tcW w:w="765" w:type="dxa"/>
            <w:tcBorders>
              <w:top w:val="nil"/>
              <w:left w:val="nil"/>
              <w:bottom w:val="nil"/>
              <w:right w:val="nil"/>
            </w:tcBorders>
            <w:shd w:val="clear" w:color="auto" w:fill="F2DCDB"/>
            <w:vAlign w:val="bottom"/>
          </w:tcPr>
          <w:p w14:paraId="73E83D7A" w14:textId="77777777" w:rsidR="00CA72B0" w:rsidRDefault="00CA72B0" w:rsidP="00D862F0">
            <w:r w:rsidRPr="112F4D6F">
              <w:rPr>
                <w:rFonts w:eastAsia="Times New Roman" w:cs="Times New Roman"/>
                <w:color w:val="000000" w:themeColor="text1"/>
                <w:sz w:val="16"/>
                <w:szCs w:val="16"/>
              </w:rPr>
              <w:t>1.56</w:t>
            </w:r>
          </w:p>
        </w:tc>
      </w:tr>
      <w:tr w:rsidR="00CA72B0" w14:paraId="74A72164" w14:textId="77777777" w:rsidTr="00D862F0">
        <w:trPr>
          <w:trHeight w:val="225"/>
        </w:trPr>
        <w:tc>
          <w:tcPr>
            <w:tcW w:w="2278" w:type="dxa"/>
            <w:tcBorders>
              <w:top w:val="nil"/>
              <w:left w:val="nil"/>
              <w:bottom w:val="nil"/>
              <w:right w:val="nil"/>
            </w:tcBorders>
            <w:vAlign w:val="bottom"/>
          </w:tcPr>
          <w:p w14:paraId="121F03FC" w14:textId="77777777" w:rsidR="00CA72B0" w:rsidRDefault="00CA72B0" w:rsidP="00D862F0">
            <w:r w:rsidRPr="112F4D6F">
              <w:rPr>
                <w:rFonts w:eastAsia="Times New Roman" w:cs="Times New Roman"/>
                <w:i/>
                <w:iCs/>
                <w:color w:val="000000" w:themeColor="text1"/>
                <w:sz w:val="16"/>
                <w:szCs w:val="16"/>
              </w:rPr>
              <w:t>Citrobacter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4AE88AF3"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56277327" w14:textId="77777777" w:rsidR="00CA72B0" w:rsidRDefault="00CA72B0" w:rsidP="00D862F0">
            <w:r w:rsidRPr="112F4D6F">
              <w:rPr>
                <w:rFonts w:eastAsia="Times New Roman" w:cs="Times New Roman"/>
                <w:color w:val="000000" w:themeColor="text1"/>
                <w:sz w:val="16"/>
                <w:szCs w:val="16"/>
              </w:rPr>
              <w:t>3984</w:t>
            </w:r>
          </w:p>
        </w:tc>
        <w:tc>
          <w:tcPr>
            <w:tcW w:w="920" w:type="dxa"/>
            <w:tcBorders>
              <w:top w:val="nil"/>
              <w:left w:val="nil"/>
              <w:bottom w:val="nil"/>
              <w:right w:val="nil"/>
            </w:tcBorders>
            <w:vAlign w:val="bottom"/>
          </w:tcPr>
          <w:p w14:paraId="42798811" w14:textId="77777777" w:rsidR="00CA72B0" w:rsidRDefault="00CA72B0" w:rsidP="00D862F0">
            <w:r w:rsidRPr="112F4D6F">
              <w:rPr>
                <w:rFonts w:eastAsia="Times New Roman" w:cs="Times New Roman"/>
                <w:color w:val="000000" w:themeColor="text1"/>
                <w:sz w:val="16"/>
                <w:szCs w:val="16"/>
              </w:rPr>
              <w:t>1.38</w:t>
            </w:r>
          </w:p>
        </w:tc>
        <w:tc>
          <w:tcPr>
            <w:tcW w:w="686" w:type="dxa"/>
            <w:tcBorders>
              <w:top w:val="nil"/>
              <w:left w:val="nil"/>
              <w:bottom w:val="nil"/>
              <w:right w:val="nil"/>
            </w:tcBorders>
            <w:vAlign w:val="bottom"/>
          </w:tcPr>
          <w:p w14:paraId="4B65D967" w14:textId="77777777" w:rsidR="00CA72B0" w:rsidRDefault="00CA72B0" w:rsidP="00D862F0">
            <w:r w:rsidRPr="112F4D6F">
              <w:rPr>
                <w:rFonts w:eastAsia="Times New Roman" w:cs="Times New Roman"/>
                <w:color w:val="000000" w:themeColor="text1"/>
                <w:sz w:val="16"/>
                <w:szCs w:val="16"/>
              </w:rPr>
              <w:t>1.16</w:t>
            </w:r>
          </w:p>
        </w:tc>
        <w:tc>
          <w:tcPr>
            <w:tcW w:w="765" w:type="dxa"/>
            <w:tcBorders>
              <w:top w:val="nil"/>
              <w:left w:val="nil"/>
              <w:bottom w:val="nil"/>
              <w:right w:val="nil"/>
            </w:tcBorders>
            <w:vAlign w:val="bottom"/>
          </w:tcPr>
          <w:p w14:paraId="1D522D78" w14:textId="77777777" w:rsidR="00CA72B0" w:rsidRDefault="00CA72B0" w:rsidP="00D862F0">
            <w:r w:rsidRPr="112F4D6F">
              <w:rPr>
                <w:rFonts w:eastAsia="Times New Roman" w:cs="Times New Roman"/>
                <w:color w:val="000000" w:themeColor="text1"/>
                <w:sz w:val="16"/>
                <w:szCs w:val="16"/>
              </w:rPr>
              <w:t>1.64</w:t>
            </w:r>
          </w:p>
        </w:tc>
      </w:tr>
      <w:tr w:rsidR="00CA72B0" w14:paraId="6B1A1EC8" w14:textId="77777777" w:rsidTr="00D862F0">
        <w:trPr>
          <w:trHeight w:val="225"/>
        </w:trPr>
        <w:tc>
          <w:tcPr>
            <w:tcW w:w="2278" w:type="dxa"/>
            <w:tcBorders>
              <w:top w:val="nil"/>
              <w:left w:val="nil"/>
              <w:bottom w:val="nil"/>
              <w:right w:val="nil"/>
            </w:tcBorders>
            <w:shd w:val="clear" w:color="auto" w:fill="F2DCDB"/>
            <w:vAlign w:val="bottom"/>
          </w:tcPr>
          <w:p w14:paraId="4AB90080"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3654FC0D"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shd w:val="clear" w:color="auto" w:fill="F2DCDB"/>
            <w:vAlign w:val="bottom"/>
          </w:tcPr>
          <w:p w14:paraId="7556587C" w14:textId="77777777" w:rsidR="00CA72B0" w:rsidRDefault="00CA72B0" w:rsidP="00D862F0">
            <w:r w:rsidRPr="112F4D6F">
              <w:rPr>
                <w:rFonts w:eastAsia="Times New Roman" w:cs="Times New Roman"/>
                <w:color w:val="000000" w:themeColor="text1"/>
                <w:sz w:val="16"/>
                <w:szCs w:val="16"/>
              </w:rPr>
              <w:t>15211</w:t>
            </w:r>
          </w:p>
        </w:tc>
        <w:tc>
          <w:tcPr>
            <w:tcW w:w="920" w:type="dxa"/>
            <w:tcBorders>
              <w:top w:val="nil"/>
              <w:left w:val="nil"/>
              <w:bottom w:val="nil"/>
              <w:right w:val="nil"/>
            </w:tcBorders>
            <w:shd w:val="clear" w:color="auto" w:fill="F2DCDB"/>
            <w:vAlign w:val="bottom"/>
          </w:tcPr>
          <w:p w14:paraId="0C8D7E1E" w14:textId="77777777" w:rsidR="00CA72B0" w:rsidRDefault="00CA72B0" w:rsidP="00D862F0">
            <w:r w:rsidRPr="112F4D6F">
              <w:rPr>
                <w:rFonts w:eastAsia="Times New Roman" w:cs="Times New Roman"/>
                <w:color w:val="000000" w:themeColor="text1"/>
                <w:sz w:val="16"/>
                <w:szCs w:val="16"/>
              </w:rPr>
              <w:t>1.19</w:t>
            </w:r>
          </w:p>
        </w:tc>
        <w:tc>
          <w:tcPr>
            <w:tcW w:w="686" w:type="dxa"/>
            <w:tcBorders>
              <w:top w:val="nil"/>
              <w:left w:val="nil"/>
              <w:bottom w:val="nil"/>
              <w:right w:val="nil"/>
            </w:tcBorders>
            <w:shd w:val="clear" w:color="auto" w:fill="F2DCDB"/>
            <w:vAlign w:val="bottom"/>
          </w:tcPr>
          <w:p w14:paraId="2B2BFC1F" w14:textId="77777777" w:rsidR="00CA72B0" w:rsidRDefault="00CA72B0" w:rsidP="00D862F0">
            <w:r w:rsidRPr="112F4D6F">
              <w:rPr>
                <w:rFonts w:eastAsia="Times New Roman" w:cs="Times New Roman"/>
                <w:color w:val="000000" w:themeColor="text1"/>
                <w:sz w:val="16"/>
                <w:szCs w:val="16"/>
              </w:rPr>
              <w:t>1.06</w:t>
            </w:r>
          </w:p>
        </w:tc>
        <w:tc>
          <w:tcPr>
            <w:tcW w:w="765" w:type="dxa"/>
            <w:tcBorders>
              <w:top w:val="nil"/>
              <w:left w:val="nil"/>
              <w:bottom w:val="nil"/>
              <w:right w:val="nil"/>
            </w:tcBorders>
            <w:shd w:val="clear" w:color="auto" w:fill="F2DCDB"/>
            <w:vAlign w:val="bottom"/>
          </w:tcPr>
          <w:p w14:paraId="51740614" w14:textId="77777777" w:rsidR="00CA72B0" w:rsidRDefault="00CA72B0" w:rsidP="00D862F0">
            <w:r w:rsidRPr="112F4D6F">
              <w:rPr>
                <w:rFonts w:eastAsia="Times New Roman" w:cs="Times New Roman"/>
                <w:color w:val="000000" w:themeColor="text1"/>
                <w:sz w:val="16"/>
                <w:szCs w:val="16"/>
              </w:rPr>
              <w:t>1.34</w:t>
            </w:r>
          </w:p>
        </w:tc>
      </w:tr>
      <w:tr w:rsidR="00CA72B0" w14:paraId="32307B07" w14:textId="77777777" w:rsidTr="00D862F0">
        <w:trPr>
          <w:trHeight w:val="225"/>
        </w:trPr>
        <w:tc>
          <w:tcPr>
            <w:tcW w:w="2278" w:type="dxa"/>
            <w:tcBorders>
              <w:top w:val="nil"/>
              <w:left w:val="nil"/>
              <w:bottom w:val="nil"/>
              <w:right w:val="nil"/>
            </w:tcBorders>
            <w:vAlign w:val="bottom"/>
          </w:tcPr>
          <w:p w14:paraId="641BBF9D"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1792C5AD" w14:textId="77777777" w:rsidR="00CA72B0" w:rsidRDefault="00CA72B0" w:rsidP="00D862F0">
            <w:r w:rsidRPr="112F4D6F">
              <w:rPr>
                <w:rFonts w:eastAsia="Times New Roman" w:cs="Times New Roman"/>
                <w:color w:val="000000" w:themeColor="text1"/>
                <w:sz w:val="16"/>
                <w:szCs w:val="16"/>
              </w:rPr>
              <w:t>Anti-pseudomonal penicillin/Beta-lactamase inhibitors</w:t>
            </w:r>
          </w:p>
        </w:tc>
        <w:tc>
          <w:tcPr>
            <w:tcW w:w="803" w:type="dxa"/>
            <w:tcBorders>
              <w:top w:val="nil"/>
              <w:left w:val="nil"/>
              <w:bottom w:val="nil"/>
              <w:right w:val="nil"/>
            </w:tcBorders>
            <w:vAlign w:val="bottom"/>
          </w:tcPr>
          <w:p w14:paraId="74B636F1" w14:textId="77777777" w:rsidR="00CA72B0" w:rsidRDefault="00CA72B0" w:rsidP="00D862F0">
            <w:r w:rsidRPr="112F4D6F">
              <w:rPr>
                <w:rFonts w:eastAsia="Times New Roman" w:cs="Times New Roman"/>
                <w:color w:val="000000" w:themeColor="text1"/>
                <w:sz w:val="16"/>
                <w:szCs w:val="16"/>
              </w:rPr>
              <w:t>11857</w:t>
            </w:r>
          </w:p>
        </w:tc>
        <w:tc>
          <w:tcPr>
            <w:tcW w:w="920" w:type="dxa"/>
            <w:tcBorders>
              <w:top w:val="nil"/>
              <w:left w:val="nil"/>
              <w:bottom w:val="nil"/>
              <w:right w:val="nil"/>
            </w:tcBorders>
            <w:vAlign w:val="bottom"/>
          </w:tcPr>
          <w:p w14:paraId="0D66A521" w14:textId="77777777" w:rsidR="00CA72B0" w:rsidRDefault="00CA72B0" w:rsidP="00D862F0">
            <w:r w:rsidRPr="112F4D6F">
              <w:rPr>
                <w:rFonts w:eastAsia="Times New Roman" w:cs="Times New Roman"/>
                <w:color w:val="000000" w:themeColor="text1"/>
                <w:sz w:val="16"/>
                <w:szCs w:val="16"/>
              </w:rPr>
              <w:t>1.23</w:t>
            </w:r>
          </w:p>
        </w:tc>
        <w:tc>
          <w:tcPr>
            <w:tcW w:w="686" w:type="dxa"/>
            <w:tcBorders>
              <w:top w:val="nil"/>
              <w:left w:val="nil"/>
              <w:bottom w:val="nil"/>
              <w:right w:val="nil"/>
            </w:tcBorders>
            <w:vAlign w:val="bottom"/>
          </w:tcPr>
          <w:p w14:paraId="35D993EB" w14:textId="77777777" w:rsidR="00CA72B0" w:rsidRDefault="00CA72B0" w:rsidP="00D862F0">
            <w:r w:rsidRPr="112F4D6F">
              <w:rPr>
                <w:rFonts w:eastAsia="Times New Roman" w:cs="Times New Roman"/>
                <w:color w:val="000000" w:themeColor="text1"/>
                <w:sz w:val="16"/>
                <w:szCs w:val="16"/>
              </w:rPr>
              <w:t>1.13</w:t>
            </w:r>
          </w:p>
        </w:tc>
        <w:tc>
          <w:tcPr>
            <w:tcW w:w="765" w:type="dxa"/>
            <w:tcBorders>
              <w:top w:val="nil"/>
              <w:left w:val="nil"/>
              <w:bottom w:val="nil"/>
              <w:right w:val="nil"/>
            </w:tcBorders>
            <w:vAlign w:val="bottom"/>
          </w:tcPr>
          <w:p w14:paraId="770C694C" w14:textId="77777777" w:rsidR="00CA72B0" w:rsidRDefault="00CA72B0" w:rsidP="00D862F0">
            <w:r w:rsidRPr="112F4D6F">
              <w:rPr>
                <w:rFonts w:eastAsia="Times New Roman" w:cs="Times New Roman"/>
                <w:color w:val="000000" w:themeColor="text1"/>
                <w:sz w:val="16"/>
                <w:szCs w:val="16"/>
              </w:rPr>
              <w:t>1.34</w:t>
            </w:r>
          </w:p>
        </w:tc>
      </w:tr>
      <w:tr w:rsidR="00CA72B0" w14:paraId="35405CFA" w14:textId="77777777" w:rsidTr="00D862F0">
        <w:trPr>
          <w:trHeight w:val="225"/>
        </w:trPr>
        <w:tc>
          <w:tcPr>
            <w:tcW w:w="2278" w:type="dxa"/>
            <w:tcBorders>
              <w:top w:val="nil"/>
              <w:left w:val="nil"/>
              <w:bottom w:val="nil"/>
              <w:right w:val="nil"/>
            </w:tcBorders>
            <w:shd w:val="clear" w:color="auto" w:fill="F2DCDB"/>
            <w:vAlign w:val="bottom"/>
          </w:tcPr>
          <w:p w14:paraId="08EC7D1C"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73884C2C"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shd w:val="clear" w:color="auto" w:fill="F2DCDB"/>
            <w:vAlign w:val="bottom"/>
          </w:tcPr>
          <w:p w14:paraId="4EDF2C3E" w14:textId="77777777" w:rsidR="00CA72B0" w:rsidRDefault="00CA72B0" w:rsidP="00D862F0">
            <w:r w:rsidRPr="112F4D6F">
              <w:rPr>
                <w:rFonts w:eastAsia="Times New Roman" w:cs="Times New Roman"/>
                <w:color w:val="000000" w:themeColor="text1"/>
                <w:sz w:val="16"/>
                <w:szCs w:val="16"/>
              </w:rPr>
              <w:t>13299</w:t>
            </w:r>
          </w:p>
        </w:tc>
        <w:tc>
          <w:tcPr>
            <w:tcW w:w="920" w:type="dxa"/>
            <w:tcBorders>
              <w:top w:val="nil"/>
              <w:left w:val="nil"/>
              <w:bottom w:val="nil"/>
              <w:right w:val="nil"/>
            </w:tcBorders>
            <w:shd w:val="clear" w:color="auto" w:fill="F2DCDB"/>
            <w:vAlign w:val="bottom"/>
          </w:tcPr>
          <w:p w14:paraId="62B134E4" w14:textId="77777777" w:rsidR="00CA72B0" w:rsidRDefault="00CA72B0" w:rsidP="00D862F0">
            <w:r w:rsidRPr="112F4D6F">
              <w:rPr>
                <w:rFonts w:eastAsia="Times New Roman" w:cs="Times New Roman"/>
                <w:color w:val="000000" w:themeColor="text1"/>
                <w:sz w:val="16"/>
                <w:szCs w:val="16"/>
              </w:rPr>
              <w:t>1.53</w:t>
            </w:r>
          </w:p>
        </w:tc>
        <w:tc>
          <w:tcPr>
            <w:tcW w:w="686" w:type="dxa"/>
            <w:tcBorders>
              <w:top w:val="nil"/>
              <w:left w:val="nil"/>
              <w:bottom w:val="nil"/>
              <w:right w:val="nil"/>
            </w:tcBorders>
            <w:shd w:val="clear" w:color="auto" w:fill="F2DCDB"/>
            <w:vAlign w:val="bottom"/>
          </w:tcPr>
          <w:p w14:paraId="4346FE06" w14:textId="77777777" w:rsidR="00CA72B0" w:rsidRDefault="00CA72B0" w:rsidP="00D862F0">
            <w:r w:rsidRPr="112F4D6F">
              <w:rPr>
                <w:rFonts w:eastAsia="Times New Roman" w:cs="Times New Roman"/>
                <w:color w:val="000000" w:themeColor="text1"/>
                <w:sz w:val="16"/>
                <w:szCs w:val="16"/>
              </w:rPr>
              <w:t>1.4</w:t>
            </w:r>
          </w:p>
        </w:tc>
        <w:tc>
          <w:tcPr>
            <w:tcW w:w="765" w:type="dxa"/>
            <w:tcBorders>
              <w:top w:val="nil"/>
              <w:left w:val="nil"/>
              <w:bottom w:val="nil"/>
              <w:right w:val="nil"/>
            </w:tcBorders>
            <w:shd w:val="clear" w:color="auto" w:fill="F2DCDB"/>
            <w:vAlign w:val="bottom"/>
          </w:tcPr>
          <w:p w14:paraId="158BF4F0" w14:textId="77777777" w:rsidR="00CA72B0" w:rsidRDefault="00CA72B0" w:rsidP="00D862F0">
            <w:r w:rsidRPr="112F4D6F">
              <w:rPr>
                <w:rFonts w:eastAsia="Times New Roman" w:cs="Times New Roman"/>
                <w:color w:val="000000" w:themeColor="text1"/>
                <w:sz w:val="16"/>
                <w:szCs w:val="16"/>
              </w:rPr>
              <w:t>1.67</w:t>
            </w:r>
          </w:p>
        </w:tc>
      </w:tr>
      <w:tr w:rsidR="00CA72B0" w14:paraId="18CB0AB1" w14:textId="77777777" w:rsidTr="00D862F0">
        <w:trPr>
          <w:trHeight w:val="225"/>
        </w:trPr>
        <w:tc>
          <w:tcPr>
            <w:tcW w:w="2278" w:type="dxa"/>
            <w:tcBorders>
              <w:top w:val="nil"/>
              <w:left w:val="nil"/>
              <w:bottom w:val="nil"/>
              <w:right w:val="nil"/>
            </w:tcBorders>
            <w:vAlign w:val="bottom"/>
          </w:tcPr>
          <w:p w14:paraId="013BA8BC"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68C4D377"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61F16BA6" w14:textId="77777777" w:rsidR="00CA72B0" w:rsidRDefault="00CA72B0" w:rsidP="00D862F0">
            <w:r w:rsidRPr="112F4D6F">
              <w:rPr>
                <w:rFonts w:eastAsia="Times New Roman" w:cs="Times New Roman"/>
                <w:color w:val="000000" w:themeColor="text1"/>
                <w:sz w:val="16"/>
                <w:szCs w:val="16"/>
              </w:rPr>
              <w:t>17552</w:t>
            </w:r>
          </w:p>
        </w:tc>
        <w:tc>
          <w:tcPr>
            <w:tcW w:w="920" w:type="dxa"/>
            <w:tcBorders>
              <w:top w:val="nil"/>
              <w:left w:val="nil"/>
              <w:bottom w:val="nil"/>
              <w:right w:val="nil"/>
            </w:tcBorders>
            <w:vAlign w:val="bottom"/>
          </w:tcPr>
          <w:p w14:paraId="05BBA86F" w14:textId="77777777" w:rsidR="00CA72B0" w:rsidRDefault="00CA72B0" w:rsidP="00D862F0">
            <w:r w:rsidRPr="112F4D6F">
              <w:rPr>
                <w:rFonts w:eastAsia="Times New Roman" w:cs="Times New Roman"/>
                <w:color w:val="000000" w:themeColor="text1"/>
                <w:sz w:val="16"/>
                <w:szCs w:val="16"/>
              </w:rPr>
              <w:t>1.28</w:t>
            </w:r>
          </w:p>
        </w:tc>
        <w:tc>
          <w:tcPr>
            <w:tcW w:w="686" w:type="dxa"/>
            <w:tcBorders>
              <w:top w:val="nil"/>
              <w:left w:val="nil"/>
              <w:bottom w:val="nil"/>
              <w:right w:val="nil"/>
            </w:tcBorders>
            <w:vAlign w:val="bottom"/>
          </w:tcPr>
          <w:p w14:paraId="0B3957BC"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vAlign w:val="bottom"/>
          </w:tcPr>
          <w:p w14:paraId="31E77D9F" w14:textId="77777777" w:rsidR="00CA72B0" w:rsidRDefault="00CA72B0" w:rsidP="00D862F0">
            <w:r w:rsidRPr="112F4D6F">
              <w:rPr>
                <w:rFonts w:eastAsia="Times New Roman" w:cs="Times New Roman"/>
                <w:color w:val="000000" w:themeColor="text1"/>
                <w:sz w:val="16"/>
                <w:szCs w:val="16"/>
              </w:rPr>
              <w:t>1.4</w:t>
            </w:r>
          </w:p>
        </w:tc>
      </w:tr>
      <w:tr w:rsidR="00CA72B0" w14:paraId="66D6276A" w14:textId="77777777" w:rsidTr="00D862F0">
        <w:trPr>
          <w:trHeight w:val="225"/>
        </w:trPr>
        <w:tc>
          <w:tcPr>
            <w:tcW w:w="2278" w:type="dxa"/>
            <w:tcBorders>
              <w:top w:val="nil"/>
              <w:left w:val="nil"/>
              <w:bottom w:val="nil"/>
              <w:right w:val="nil"/>
            </w:tcBorders>
            <w:shd w:val="clear" w:color="auto" w:fill="F2DCDB"/>
            <w:vAlign w:val="bottom"/>
          </w:tcPr>
          <w:p w14:paraId="4065D82E"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1E23392D"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shd w:val="clear" w:color="auto" w:fill="F2DCDB"/>
            <w:vAlign w:val="bottom"/>
          </w:tcPr>
          <w:p w14:paraId="48552C5E" w14:textId="77777777" w:rsidR="00CA72B0" w:rsidRDefault="00CA72B0" w:rsidP="00D862F0">
            <w:r w:rsidRPr="112F4D6F">
              <w:rPr>
                <w:rFonts w:eastAsia="Times New Roman" w:cs="Times New Roman"/>
                <w:color w:val="000000" w:themeColor="text1"/>
                <w:sz w:val="16"/>
                <w:szCs w:val="16"/>
              </w:rPr>
              <w:t>11482</w:t>
            </w:r>
          </w:p>
        </w:tc>
        <w:tc>
          <w:tcPr>
            <w:tcW w:w="920" w:type="dxa"/>
            <w:tcBorders>
              <w:top w:val="nil"/>
              <w:left w:val="nil"/>
              <w:bottom w:val="nil"/>
              <w:right w:val="nil"/>
            </w:tcBorders>
            <w:shd w:val="clear" w:color="auto" w:fill="F2DCDB"/>
            <w:vAlign w:val="bottom"/>
          </w:tcPr>
          <w:p w14:paraId="0693F4C2" w14:textId="77777777" w:rsidR="00CA72B0" w:rsidRDefault="00CA72B0" w:rsidP="00D862F0">
            <w:r w:rsidRPr="112F4D6F">
              <w:rPr>
                <w:rFonts w:eastAsia="Times New Roman" w:cs="Times New Roman"/>
                <w:color w:val="000000" w:themeColor="text1"/>
                <w:sz w:val="16"/>
                <w:szCs w:val="16"/>
              </w:rPr>
              <w:t>1.31</w:t>
            </w:r>
          </w:p>
        </w:tc>
        <w:tc>
          <w:tcPr>
            <w:tcW w:w="686" w:type="dxa"/>
            <w:tcBorders>
              <w:top w:val="nil"/>
              <w:left w:val="nil"/>
              <w:bottom w:val="nil"/>
              <w:right w:val="nil"/>
            </w:tcBorders>
            <w:shd w:val="clear" w:color="auto" w:fill="F2DCDB"/>
            <w:vAlign w:val="bottom"/>
          </w:tcPr>
          <w:p w14:paraId="75216B73" w14:textId="77777777" w:rsidR="00CA72B0" w:rsidRDefault="00CA72B0" w:rsidP="00D862F0">
            <w:r w:rsidRPr="112F4D6F">
              <w:rPr>
                <w:rFonts w:eastAsia="Times New Roman" w:cs="Times New Roman"/>
                <w:color w:val="000000" w:themeColor="text1"/>
                <w:sz w:val="16"/>
                <w:szCs w:val="16"/>
              </w:rPr>
              <w:t>1.18</w:t>
            </w:r>
          </w:p>
        </w:tc>
        <w:tc>
          <w:tcPr>
            <w:tcW w:w="765" w:type="dxa"/>
            <w:tcBorders>
              <w:top w:val="nil"/>
              <w:left w:val="nil"/>
              <w:bottom w:val="nil"/>
              <w:right w:val="nil"/>
            </w:tcBorders>
            <w:shd w:val="clear" w:color="auto" w:fill="F2DCDB"/>
            <w:vAlign w:val="bottom"/>
          </w:tcPr>
          <w:p w14:paraId="1E2404BA" w14:textId="77777777" w:rsidR="00CA72B0" w:rsidRDefault="00CA72B0" w:rsidP="00D862F0">
            <w:r w:rsidRPr="112F4D6F">
              <w:rPr>
                <w:rFonts w:eastAsia="Times New Roman" w:cs="Times New Roman"/>
                <w:color w:val="000000" w:themeColor="text1"/>
                <w:sz w:val="16"/>
                <w:szCs w:val="16"/>
              </w:rPr>
              <w:t>1.45</w:t>
            </w:r>
          </w:p>
        </w:tc>
      </w:tr>
      <w:tr w:rsidR="00CA72B0" w14:paraId="6065AE0F" w14:textId="77777777" w:rsidTr="00D862F0">
        <w:trPr>
          <w:trHeight w:val="225"/>
        </w:trPr>
        <w:tc>
          <w:tcPr>
            <w:tcW w:w="2278" w:type="dxa"/>
            <w:tcBorders>
              <w:top w:val="nil"/>
              <w:left w:val="nil"/>
              <w:bottom w:val="nil"/>
              <w:right w:val="nil"/>
            </w:tcBorders>
            <w:vAlign w:val="bottom"/>
          </w:tcPr>
          <w:p w14:paraId="40B2F12A" w14:textId="77777777" w:rsidR="00CA72B0" w:rsidRDefault="00CA72B0" w:rsidP="00D862F0">
            <w:r w:rsidRPr="112F4D6F">
              <w:rPr>
                <w:rFonts w:eastAsia="Times New Roman" w:cs="Times New Roman"/>
                <w:i/>
                <w:iCs/>
                <w:color w:val="000000" w:themeColor="text1"/>
                <w:sz w:val="16"/>
                <w:szCs w:val="16"/>
              </w:rPr>
              <w:t>Enterobacter</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2BDAA210"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vAlign w:val="bottom"/>
          </w:tcPr>
          <w:p w14:paraId="7D88166D" w14:textId="77777777" w:rsidR="00CA72B0" w:rsidRDefault="00CA72B0" w:rsidP="00D862F0">
            <w:r w:rsidRPr="112F4D6F">
              <w:rPr>
                <w:rFonts w:eastAsia="Times New Roman" w:cs="Times New Roman"/>
                <w:color w:val="000000" w:themeColor="text1"/>
                <w:sz w:val="16"/>
                <w:szCs w:val="16"/>
              </w:rPr>
              <w:t>14798</w:t>
            </w:r>
          </w:p>
        </w:tc>
        <w:tc>
          <w:tcPr>
            <w:tcW w:w="920" w:type="dxa"/>
            <w:tcBorders>
              <w:top w:val="nil"/>
              <w:left w:val="nil"/>
              <w:bottom w:val="nil"/>
              <w:right w:val="nil"/>
            </w:tcBorders>
            <w:vAlign w:val="bottom"/>
          </w:tcPr>
          <w:p w14:paraId="68D152E6" w14:textId="77777777" w:rsidR="00CA72B0" w:rsidRDefault="00CA72B0" w:rsidP="00D862F0">
            <w:r w:rsidRPr="112F4D6F">
              <w:rPr>
                <w:rFonts w:eastAsia="Times New Roman" w:cs="Times New Roman"/>
                <w:color w:val="000000" w:themeColor="text1"/>
                <w:sz w:val="16"/>
                <w:szCs w:val="16"/>
              </w:rPr>
              <w:t>1.09</w:t>
            </w:r>
          </w:p>
        </w:tc>
        <w:tc>
          <w:tcPr>
            <w:tcW w:w="686" w:type="dxa"/>
            <w:tcBorders>
              <w:top w:val="nil"/>
              <w:left w:val="nil"/>
              <w:bottom w:val="nil"/>
              <w:right w:val="nil"/>
            </w:tcBorders>
            <w:vAlign w:val="bottom"/>
          </w:tcPr>
          <w:p w14:paraId="416632C6" w14:textId="77777777" w:rsidR="00CA72B0" w:rsidRDefault="00CA72B0" w:rsidP="00D862F0">
            <w:r w:rsidRPr="112F4D6F">
              <w:rPr>
                <w:rFonts w:eastAsia="Times New Roman" w:cs="Times New Roman"/>
                <w:color w:val="000000" w:themeColor="text1"/>
                <w:sz w:val="16"/>
                <w:szCs w:val="16"/>
              </w:rPr>
              <w:t>0.98</w:t>
            </w:r>
          </w:p>
        </w:tc>
        <w:tc>
          <w:tcPr>
            <w:tcW w:w="765" w:type="dxa"/>
            <w:tcBorders>
              <w:top w:val="nil"/>
              <w:left w:val="nil"/>
              <w:bottom w:val="nil"/>
              <w:right w:val="nil"/>
            </w:tcBorders>
            <w:vAlign w:val="bottom"/>
          </w:tcPr>
          <w:p w14:paraId="08B69B04" w14:textId="77777777" w:rsidR="00CA72B0" w:rsidRDefault="00CA72B0" w:rsidP="00D862F0">
            <w:r w:rsidRPr="112F4D6F">
              <w:rPr>
                <w:rFonts w:eastAsia="Times New Roman" w:cs="Times New Roman"/>
                <w:color w:val="000000" w:themeColor="text1"/>
                <w:sz w:val="16"/>
                <w:szCs w:val="16"/>
              </w:rPr>
              <w:t>1.21</w:t>
            </w:r>
          </w:p>
        </w:tc>
      </w:tr>
      <w:tr w:rsidR="00CA72B0" w14:paraId="2735E152" w14:textId="77777777" w:rsidTr="00D862F0">
        <w:trPr>
          <w:trHeight w:val="225"/>
        </w:trPr>
        <w:tc>
          <w:tcPr>
            <w:tcW w:w="2278" w:type="dxa"/>
            <w:tcBorders>
              <w:top w:val="nil"/>
              <w:left w:val="nil"/>
              <w:bottom w:val="nil"/>
              <w:right w:val="nil"/>
            </w:tcBorders>
            <w:shd w:val="clear" w:color="auto" w:fill="F2DCDB"/>
            <w:vAlign w:val="bottom"/>
          </w:tcPr>
          <w:p w14:paraId="37D36BD6" w14:textId="77777777" w:rsidR="00CA72B0" w:rsidRDefault="00CA72B0" w:rsidP="00D862F0">
            <w:r w:rsidRPr="112F4D6F">
              <w:rPr>
                <w:rFonts w:eastAsia="Times New Roman" w:cs="Times New Roman"/>
                <w:i/>
                <w:iCs/>
                <w:color w:val="000000" w:themeColor="text1"/>
                <w:sz w:val="16"/>
                <w:szCs w:val="16"/>
              </w:rPr>
              <w:t>Enterococcus faecalis</w:t>
            </w:r>
          </w:p>
        </w:tc>
        <w:tc>
          <w:tcPr>
            <w:tcW w:w="4030" w:type="dxa"/>
            <w:tcBorders>
              <w:top w:val="nil"/>
              <w:left w:val="nil"/>
              <w:bottom w:val="nil"/>
              <w:right w:val="nil"/>
            </w:tcBorders>
            <w:shd w:val="clear" w:color="auto" w:fill="F2DCDB"/>
            <w:vAlign w:val="bottom"/>
          </w:tcPr>
          <w:p w14:paraId="44DCCA48"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65490851" w14:textId="77777777" w:rsidR="00CA72B0" w:rsidRDefault="00CA72B0" w:rsidP="00D862F0">
            <w:r w:rsidRPr="112F4D6F">
              <w:rPr>
                <w:rFonts w:eastAsia="Times New Roman" w:cs="Times New Roman"/>
                <w:color w:val="000000" w:themeColor="text1"/>
                <w:sz w:val="16"/>
                <w:szCs w:val="16"/>
              </w:rPr>
              <w:t>1126</w:t>
            </w:r>
          </w:p>
        </w:tc>
        <w:tc>
          <w:tcPr>
            <w:tcW w:w="920" w:type="dxa"/>
            <w:tcBorders>
              <w:top w:val="nil"/>
              <w:left w:val="nil"/>
              <w:bottom w:val="nil"/>
              <w:right w:val="nil"/>
            </w:tcBorders>
            <w:shd w:val="clear" w:color="auto" w:fill="F2DCDB"/>
            <w:vAlign w:val="bottom"/>
          </w:tcPr>
          <w:p w14:paraId="3DD0F54D" w14:textId="77777777" w:rsidR="00CA72B0" w:rsidRDefault="00CA72B0" w:rsidP="00D862F0">
            <w:r w:rsidRPr="112F4D6F">
              <w:rPr>
                <w:rFonts w:eastAsia="Times New Roman" w:cs="Times New Roman"/>
                <w:color w:val="000000" w:themeColor="text1"/>
                <w:sz w:val="16"/>
                <w:szCs w:val="16"/>
              </w:rPr>
              <w:t>1.43</w:t>
            </w:r>
          </w:p>
        </w:tc>
        <w:tc>
          <w:tcPr>
            <w:tcW w:w="686" w:type="dxa"/>
            <w:tcBorders>
              <w:top w:val="nil"/>
              <w:left w:val="nil"/>
              <w:bottom w:val="nil"/>
              <w:right w:val="nil"/>
            </w:tcBorders>
            <w:shd w:val="clear" w:color="auto" w:fill="F2DCDB"/>
            <w:vAlign w:val="bottom"/>
          </w:tcPr>
          <w:p w14:paraId="145F57B4" w14:textId="77777777" w:rsidR="00CA72B0" w:rsidRDefault="00CA72B0" w:rsidP="00D862F0">
            <w:r w:rsidRPr="112F4D6F">
              <w:rPr>
                <w:rFonts w:eastAsia="Times New Roman" w:cs="Times New Roman"/>
                <w:color w:val="000000" w:themeColor="text1"/>
                <w:sz w:val="16"/>
                <w:szCs w:val="16"/>
              </w:rPr>
              <w:t>1.24</w:t>
            </w:r>
          </w:p>
        </w:tc>
        <w:tc>
          <w:tcPr>
            <w:tcW w:w="765" w:type="dxa"/>
            <w:tcBorders>
              <w:top w:val="nil"/>
              <w:left w:val="nil"/>
              <w:bottom w:val="nil"/>
              <w:right w:val="nil"/>
            </w:tcBorders>
            <w:shd w:val="clear" w:color="auto" w:fill="F2DCDB"/>
            <w:vAlign w:val="bottom"/>
          </w:tcPr>
          <w:p w14:paraId="28B447DE" w14:textId="77777777" w:rsidR="00CA72B0" w:rsidRDefault="00CA72B0" w:rsidP="00D862F0">
            <w:r w:rsidRPr="112F4D6F">
              <w:rPr>
                <w:rFonts w:eastAsia="Times New Roman" w:cs="Times New Roman"/>
                <w:color w:val="000000" w:themeColor="text1"/>
                <w:sz w:val="16"/>
                <w:szCs w:val="16"/>
              </w:rPr>
              <w:t>1.64</w:t>
            </w:r>
          </w:p>
        </w:tc>
      </w:tr>
      <w:tr w:rsidR="00CA72B0" w14:paraId="023D470C" w14:textId="77777777" w:rsidTr="00D862F0">
        <w:trPr>
          <w:trHeight w:val="225"/>
        </w:trPr>
        <w:tc>
          <w:tcPr>
            <w:tcW w:w="2278" w:type="dxa"/>
            <w:tcBorders>
              <w:top w:val="nil"/>
              <w:left w:val="nil"/>
              <w:bottom w:val="nil"/>
              <w:right w:val="nil"/>
            </w:tcBorders>
            <w:vAlign w:val="bottom"/>
          </w:tcPr>
          <w:p w14:paraId="5911E02D" w14:textId="77777777" w:rsidR="00CA72B0" w:rsidRDefault="00CA72B0" w:rsidP="00D862F0">
            <w:r w:rsidRPr="112F4D6F">
              <w:rPr>
                <w:rFonts w:eastAsia="Times New Roman" w:cs="Times New Roman"/>
                <w:i/>
                <w:iCs/>
                <w:color w:val="000000" w:themeColor="text1"/>
                <w:sz w:val="16"/>
                <w:szCs w:val="16"/>
              </w:rPr>
              <w:t>Enterococcus faecalis</w:t>
            </w:r>
          </w:p>
        </w:tc>
        <w:tc>
          <w:tcPr>
            <w:tcW w:w="4030" w:type="dxa"/>
            <w:tcBorders>
              <w:top w:val="nil"/>
              <w:left w:val="nil"/>
              <w:bottom w:val="nil"/>
              <w:right w:val="nil"/>
            </w:tcBorders>
            <w:vAlign w:val="bottom"/>
          </w:tcPr>
          <w:p w14:paraId="1DD212F0" w14:textId="77777777" w:rsidR="00CA72B0" w:rsidRDefault="00CA72B0" w:rsidP="00D862F0">
            <w:r w:rsidRPr="112F4D6F">
              <w:rPr>
                <w:rFonts w:eastAsia="Times New Roman" w:cs="Times New Roman"/>
                <w:color w:val="000000" w:themeColor="text1"/>
                <w:sz w:val="16"/>
                <w:szCs w:val="16"/>
              </w:rPr>
              <w:t>Vancomycin</w:t>
            </w:r>
          </w:p>
        </w:tc>
        <w:tc>
          <w:tcPr>
            <w:tcW w:w="803" w:type="dxa"/>
            <w:tcBorders>
              <w:top w:val="nil"/>
              <w:left w:val="nil"/>
              <w:bottom w:val="nil"/>
              <w:right w:val="nil"/>
            </w:tcBorders>
            <w:vAlign w:val="bottom"/>
          </w:tcPr>
          <w:p w14:paraId="1F2D4CF1" w14:textId="77777777" w:rsidR="00CA72B0" w:rsidRDefault="00CA72B0" w:rsidP="00D862F0">
            <w:r w:rsidRPr="112F4D6F">
              <w:rPr>
                <w:rFonts w:eastAsia="Times New Roman" w:cs="Times New Roman"/>
                <w:color w:val="000000" w:themeColor="text1"/>
                <w:sz w:val="16"/>
                <w:szCs w:val="16"/>
              </w:rPr>
              <w:t>36</w:t>
            </w:r>
          </w:p>
        </w:tc>
        <w:tc>
          <w:tcPr>
            <w:tcW w:w="920" w:type="dxa"/>
            <w:tcBorders>
              <w:top w:val="nil"/>
              <w:left w:val="nil"/>
              <w:bottom w:val="nil"/>
              <w:right w:val="nil"/>
            </w:tcBorders>
            <w:vAlign w:val="bottom"/>
          </w:tcPr>
          <w:p w14:paraId="27ED8588" w14:textId="77777777" w:rsidR="00CA72B0" w:rsidRDefault="00CA72B0" w:rsidP="00D862F0">
            <w:r w:rsidRPr="112F4D6F">
              <w:rPr>
                <w:rFonts w:eastAsia="Times New Roman" w:cs="Times New Roman"/>
                <w:color w:val="000000" w:themeColor="text1"/>
                <w:sz w:val="16"/>
                <w:szCs w:val="16"/>
              </w:rPr>
              <w:t>1.7</w:t>
            </w:r>
          </w:p>
        </w:tc>
        <w:tc>
          <w:tcPr>
            <w:tcW w:w="686" w:type="dxa"/>
            <w:tcBorders>
              <w:top w:val="nil"/>
              <w:left w:val="nil"/>
              <w:bottom w:val="nil"/>
              <w:right w:val="nil"/>
            </w:tcBorders>
            <w:vAlign w:val="bottom"/>
          </w:tcPr>
          <w:p w14:paraId="5E286CEC" w14:textId="77777777" w:rsidR="00CA72B0" w:rsidRDefault="00CA72B0" w:rsidP="00D862F0">
            <w:r w:rsidRPr="112F4D6F">
              <w:rPr>
                <w:rFonts w:eastAsia="Times New Roman" w:cs="Times New Roman"/>
                <w:color w:val="000000" w:themeColor="text1"/>
                <w:sz w:val="16"/>
                <w:szCs w:val="16"/>
              </w:rPr>
              <w:t>1.39</w:t>
            </w:r>
          </w:p>
        </w:tc>
        <w:tc>
          <w:tcPr>
            <w:tcW w:w="765" w:type="dxa"/>
            <w:tcBorders>
              <w:top w:val="nil"/>
              <w:left w:val="nil"/>
              <w:bottom w:val="nil"/>
              <w:right w:val="nil"/>
            </w:tcBorders>
            <w:vAlign w:val="bottom"/>
          </w:tcPr>
          <w:p w14:paraId="4FE7949E" w14:textId="77777777" w:rsidR="00CA72B0" w:rsidRDefault="00CA72B0" w:rsidP="00D862F0">
            <w:r w:rsidRPr="112F4D6F">
              <w:rPr>
                <w:rFonts w:eastAsia="Times New Roman" w:cs="Times New Roman"/>
                <w:color w:val="000000" w:themeColor="text1"/>
                <w:sz w:val="16"/>
                <w:szCs w:val="16"/>
              </w:rPr>
              <w:t>2.07</w:t>
            </w:r>
          </w:p>
        </w:tc>
      </w:tr>
      <w:tr w:rsidR="00CA72B0" w14:paraId="0B185164" w14:textId="77777777" w:rsidTr="00D862F0">
        <w:trPr>
          <w:trHeight w:val="225"/>
        </w:trPr>
        <w:tc>
          <w:tcPr>
            <w:tcW w:w="2278" w:type="dxa"/>
            <w:tcBorders>
              <w:top w:val="nil"/>
              <w:left w:val="nil"/>
              <w:bottom w:val="nil"/>
              <w:right w:val="nil"/>
            </w:tcBorders>
            <w:shd w:val="clear" w:color="auto" w:fill="F2DCDB"/>
            <w:vAlign w:val="bottom"/>
          </w:tcPr>
          <w:p w14:paraId="03DB3C14" w14:textId="77777777" w:rsidR="00CA72B0" w:rsidRDefault="00CA72B0" w:rsidP="00D862F0">
            <w:r w:rsidRPr="112F4D6F">
              <w:rPr>
                <w:rFonts w:eastAsia="Times New Roman" w:cs="Times New Roman"/>
                <w:i/>
                <w:iCs/>
                <w:color w:val="000000" w:themeColor="text1"/>
                <w:sz w:val="16"/>
                <w:szCs w:val="16"/>
              </w:rPr>
              <w:t>Enterococcus faecium</w:t>
            </w:r>
          </w:p>
        </w:tc>
        <w:tc>
          <w:tcPr>
            <w:tcW w:w="4030" w:type="dxa"/>
            <w:tcBorders>
              <w:top w:val="nil"/>
              <w:left w:val="nil"/>
              <w:bottom w:val="nil"/>
              <w:right w:val="nil"/>
            </w:tcBorders>
            <w:shd w:val="clear" w:color="auto" w:fill="F2DCDB"/>
            <w:vAlign w:val="bottom"/>
          </w:tcPr>
          <w:p w14:paraId="0C9C7EE6"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6ABCE76E" w14:textId="77777777" w:rsidR="00CA72B0" w:rsidRDefault="00CA72B0" w:rsidP="00D862F0">
            <w:r w:rsidRPr="112F4D6F">
              <w:rPr>
                <w:rFonts w:eastAsia="Times New Roman" w:cs="Times New Roman"/>
                <w:color w:val="000000" w:themeColor="text1"/>
                <w:sz w:val="16"/>
                <w:szCs w:val="16"/>
              </w:rPr>
              <w:t>4082</w:t>
            </w:r>
          </w:p>
        </w:tc>
        <w:tc>
          <w:tcPr>
            <w:tcW w:w="920" w:type="dxa"/>
            <w:tcBorders>
              <w:top w:val="nil"/>
              <w:left w:val="nil"/>
              <w:bottom w:val="nil"/>
              <w:right w:val="nil"/>
            </w:tcBorders>
            <w:shd w:val="clear" w:color="auto" w:fill="F2DCDB"/>
            <w:vAlign w:val="bottom"/>
          </w:tcPr>
          <w:p w14:paraId="6C074625" w14:textId="77777777" w:rsidR="00CA72B0" w:rsidRDefault="00CA72B0" w:rsidP="00D862F0">
            <w:r w:rsidRPr="112F4D6F">
              <w:rPr>
                <w:rFonts w:eastAsia="Times New Roman" w:cs="Times New Roman"/>
                <w:color w:val="000000" w:themeColor="text1"/>
                <w:sz w:val="16"/>
                <w:szCs w:val="16"/>
              </w:rPr>
              <w:t>1.37</w:t>
            </w:r>
          </w:p>
        </w:tc>
        <w:tc>
          <w:tcPr>
            <w:tcW w:w="686" w:type="dxa"/>
            <w:tcBorders>
              <w:top w:val="nil"/>
              <w:left w:val="nil"/>
              <w:bottom w:val="nil"/>
              <w:right w:val="nil"/>
            </w:tcBorders>
            <w:shd w:val="clear" w:color="auto" w:fill="F2DCDB"/>
            <w:vAlign w:val="bottom"/>
          </w:tcPr>
          <w:p w14:paraId="6E1AF4EC" w14:textId="77777777" w:rsidR="00CA72B0" w:rsidRDefault="00CA72B0" w:rsidP="00D862F0">
            <w:r w:rsidRPr="112F4D6F">
              <w:rPr>
                <w:rFonts w:eastAsia="Times New Roman" w:cs="Times New Roman"/>
                <w:color w:val="000000" w:themeColor="text1"/>
                <w:sz w:val="16"/>
                <w:szCs w:val="16"/>
              </w:rPr>
              <w:t>1.14</w:t>
            </w:r>
          </w:p>
        </w:tc>
        <w:tc>
          <w:tcPr>
            <w:tcW w:w="765" w:type="dxa"/>
            <w:tcBorders>
              <w:top w:val="nil"/>
              <w:left w:val="nil"/>
              <w:bottom w:val="nil"/>
              <w:right w:val="nil"/>
            </w:tcBorders>
            <w:shd w:val="clear" w:color="auto" w:fill="F2DCDB"/>
            <w:vAlign w:val="bottom"/>
          </w:tcPr>
          <w:p w14:paraId="1B32E8C3" w14:textId="77777777" w:rsidR="00CA72B0" w:rsidRDefault="00CA72B0" w:rsidP="00D862F0">
            <w:r w:rsidRPr="112F4D6F">
              <w:rPr>
                <w:rFonts w:eastAsia="Times New Roman" w:cs="Times New Roman"/>
                <w:color w:val="000000" w:themeColor="text1"/>
                <w:sz w:val="16"/>
                <w:szCs w:val="16"/>
              </w:rPr>
              <w:t>1.64</w:t>
            </w:r>
          </w:p>
        </w:tc>
      </w:tr>
      <w:tr w:rsidR="00CA72B0" w14:paraId="20538D37" w14:textId="77777777" w:rsidTr="00D862F0">
        <w:trPr>
          <w:trHeight w:val="225"/>
        </w:trPr>
        <w:tc>
          <w:tcPr>
            <w:tcW w:w="2278" w:type="dxa"/>
            <w:tcBorders>
              <w:top w:val="nil"/>
              <w:left w:val="nil"/>
              <w:bottom w:val="nil"/>
              <w:right w:val="nil"/>
            </w:tcBorders>
            <w:vAlign w:val="bottom"/>
          </w:tcPr>
          <w:p w14:paraId="3EF726EB" w14:textId="77777777" w:rsidR="00CA72B0" w:rsidRDefault="00CA72B0" w:rsidP="00D862F0">
            <w:r w:rsidRPr="112F4D6F">
              <w:rPr>
                <w:rFonts w:eastAsia="Times New Roman" w:cs="Times New Roman"/>
                <w:i/>
                <w:iCs/>
                <w:color w:val="000000" w:themeColor="text1"/>
                <w:sz w:val="16"/>
                <w:szCs w:val="16"/>
              </w:rPr>
              <w:t>Enterococcus faecium</w:t>
            </w:r>
          </w:p>
        </w:tc>
        <w:tc>
          <w:tcPr>
            <w:tcW w:w="4030" w:type="dxa"/>
            <w:tcBorders>
              <w:top w:val="nil"/>
              <w:left w:val="nil"/>
              <w:bottom w:val="nil"/>
              <w:right w:val="nil"/>
            </w:tcBorders>
            <w:vAlign w:val="bottom"/>
          </w:tcPr>
          <w:p w14:paraId="2A9CEB0D" w14:textId="77777777" w:rsidR="00CA72B0" w:rsidRDefault="00CA72B0" w:rsidP="00D862F0">
            <w:r w:rsidRPr="112F4D6F">
              <w:rPr>
                <w:rFonts w:eastAsia="Times New Roman" w:cs="Times New Roman"/>
                <w:color w:val="000000" w:themeColor="text1"/>
                <w:sz w:val="16"/>
                <w:szCs w:val="16"/>
              </w:rPr>
              <w:t>Vancomycin</w:t>
            </w:r>
          </w:p>
        </w:tc>
        <w:tc>
          <w:tcPr>
            <w:tcW w:w="803" w:type="dxa"/>
            <w:tcBorders>
              <w:top w:val="nil"/>
              <w:left w:val="nil"/>
              <w:bottom w:val="nil"/>
              <w:right w:val="nil"/>
            </w:tcBorders>
            <w:vAlign w:val="bottom"/>
          </w:tcPr>
          <w:p w14:paraId="60F217DB" w14:textId="77777777" w:rsidR="00CA72B0" w:rsidRDefault="00CA72B0" w:rsidP="00D862F0">
            <w:r w:rsidRPr="112F4D6F">
              <w:rPr>
                <w:rFonts w:eastAsia="Times New Roman" w:cs="Times New Roman"/>
                <w:color w:val="000000" w:themeColor="text1"/>
                <w:sz w:val="16"/>
                <w:szCs w:val="16"/>
              </w:rPr>
              <w:t>9242</w:t>
            </w:r>
          </w:p>
        </w:tc>
        <w:tc>
          <w:tcPr>
            <w:tcW w:w="920" w:type="dxa"/>
            <w:tcBorders>
              <w:top w:val="nil"/>
              <w:left w:val="nil"/>
              <w:bottom w:val="nil"/>
              <w:right w:val="nil"/>
            </w:tcBorders>
            <w:vAlign w:val="bottom"/>
          </w:tcPr>
          <w:p w14:paraId="428A06FF" w14:textId="77777777" w:rsidR="00CA72B0" w:rsidRDefault="00CA72B0" w:rsidP="00D862F0">
            <w:r w:rsidRPr="112F4D6F">
              <w:rPr>
                <w:rFonts w:eastAsia="Times New Roman" w:cs="Times New Roman"/>
                <w:color w:val="000000" w:themeColor="text1"/>
                <w:sz w:val="16"/>
                <w:szCs w:val="16"/>
              </w:rPr>
              <w:t>1.54</w:t>
            </w:r>
          </w:p>
        </w:tc>
        <w:tc>
          <w:tcPr>
            <w:tcW w:w="686" w:type="dxa"/>
            <w:tcBorders>
              <w:top w:val="nil"/>
              <w:left w:val="nil"/>
              <w:bottom w:val="nil"/>
              <w:right w:val="nil"/>
            </w:tcBorders>
            <w:vAlign w:val="bottom"/>
          </w:tcPr>
          <w:p w14:paraId="443B47B1" w14:textId="77777777" w:rsidR="00CA72B0" w:rsidRDefault="00CA72B0" w:rsidP="00D862F0">
            <w:r w:rsidRPr="112F4D6F">
              <w:rPr>
                <w:rFonts w:eastAsia="Times New Roman" w:cs="Times New Roman"/>
                <w:color w:val="000000" w:themeColor="text1"/>
                <w:sz w:val="16"/>
                <w:szCs w:val="16"/>
              </w:rPr>
              <w:t>1.39</w:t>
            </w:r>
          </w:p>
        </w:tc>
        <w:tc>
          <w:tcPr>
            <w:tcW w:w="765" w:type="dxa"/>
            <w:tcBorders>
              <w:top w:val="nil"/>
              <w:left w:val="nil"/>
              <w:bottom w:val="nil"/>
              <w:right w:val="nil"/>
            </w:tcBorders>
            <w:vAlign w:val="bottom"/>
          </w:tcPr>
          <w:p w14:paraId="313A3016" w14:textId="77777777" w:rsidR="00CA72B0" w:rsidRDefault="00CA72B0" w:rsidP="00D862F0">
            <w:r w:rsidRPr="112F4D6F">
              <w:rPr>
                <w:rFonts w:eastAsia="Times New Roman" w:cs="Times New Roman"/>
                <w:color w:val="000000" w:themeColor="text1"/>
                <w:sz w:val="16"/>
                <w:szCs w:val="16"/>
              </w:rPr>
              <w:t>1.7</w:t>
            </w:r>
          </w:p>
        </w:tc>
      </w:tr>
      <w:tr w:rsidR="00CA72B0" w14:paraId="1B7D84B9" w14:textId="77777777" w:rsidTr="00D862F0">
        <w:trPr>
          <w:trHeight w:val="225"/>
        </w:trPr>
        <w:tc>
          <w:tcPr>
            <w:tcW w:w="2278" w:type="dxa"/>
            <w:tcBorders>
              <w:top w:val="nil"/>
              <w:left w:val="nil"/>
              <w:bottom w:val="nil"/>
              <w:right w:val="nil"/>
            </w:tcBorders>
            <w:shd w:val="clear" w:color="auto" w:fill="F2DCDB"/>
            <w:vAlign w:val="bottom"/>
          </w:tcPr>
          <w:p w14:paraId="405D4CEC" w14:textId="77777777" w:rsidR="00CA72B0" w:rsidRDefault="00CA72B0" w:rsidP="00D862F0">
            <w:r w:rsidRPr="112F4D6F">
              <w:rPr>
                <w:rFonts w:eastAsia="Times New Roman" w:cs="Times New Roman"/>
                <w:color w:val="000000" w:themeColor="text1"/>
                <w:sz w:val="16"/>
                <w:szCs w:val="16"/>
              </w:rPr>
              <w:t xml:space="preserve">Other </w:t>
            </w:r>
            <w:r w:rsidRPr="175F72D8">
              <w:rPr>
                <w:rFonts w:eastAsia="Times New Roman" w:cs="Times New Roman"/>
                <w:i/>
                <w:color w:val="000000" w:themeColor="text1"/>
                <w:sz w:val="16"/>
                <w:szCs w:val="16"/>
              </w:rPr>
              <w:t>Enterococci</w:t>
            </w:r>
          </w:p>
        </w:tc>
        <w:tc>
          <w:tcPr>
            <w:tcW w:w="4030" w:type="dxa"/>
            <w:tcBorders>
              <w:top w:val="nil"/>
              <w:left w:val="nil"/>
              <w:bottom w:val="nil"/>
              <w:right w:val="nil"/>
            </w:tcBorders>
            <w:shd w:val="clear" w:color="auto" w:fill="F2DCDB"/>
            <w:vAlign w:val="bottom"/>
          </w:tcPr>
          <w:p w14:paraId="565CE0AF"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44248971" w14:textId="77777777" w:rsidR="00CA72B0" w:rsidRDefault="00CA72B0" w:rsidP="00D862F0">
            <w:r w:rsidRPr="112F4D6F">
              <w:rPr>
                <w:rFonts w:eastAsia="Times New Roman" w:cs="Times New Roman"/>
                <w:color w:val="000000" w:themeColor="text1"/>
                <w:sz w:val="16"/>
                <w:szCs w:val="16"/>
              </w:rPr>
              <w:t>107</w:t>
            </w:r>
          </w:p>
        </w:tc>
        <w:tc>
          <w:tcPr>
            <w:tcW w:w="920" w:type="dxa"/>
            <w:tcBorders>
              <w:top w:val="nil"/>
              <w:left w:val="nil"/>
              <w:bottom w:val="nil"/>
              <w:right w:val="nil"/>
            </w:tcBorders>
            <w:shd w:val="clear" w:color="auto" w:fill="F2DCDB"/>
            <w:vAlign w:val="bottom"/>
          </w:tcPr>
          <w:p w14:paraId="48B99528" w14:textId="77777777" w:rsidR="00CA72B0" w:rsidRDefault="00CA72B0" w:rsidP="00D862F0">
            <w:r w:rsidRPr="112F4D6F">
              <w:rPr>
                <w:rFonts w:eastAsia="Times New Roman" w:cs="Times New Roman"/>
                <w:color w:val="000000" w:themeColor="text1"/>
                <w:sz w:val="16"/>
                <w:szCs w:val="16"/>
              </w:rPr>
              <w:t>1.28</w:t>
            </w:r>
          </w:p>
        </w:tc>
        <w:tc>
          <w:tcPr>
            <w:tcW w:w="686" w:type="dxa"/>
            <w:tcBorders>
              <w:top w:val="nil"/>
              <w:left w:val="nil"/>
              <w:bottom w:val="nil"/>
              <w:right w:val="nil"/>
            </w:tcBorders>
            <w:shd w:val="clear" w:color="auto" w:fill="F2DCDB"/>
            <w:vAlign w:val="bottom"/>
          </w:tcPr>
          <w:p w14:paraId="129C08F5" w14:textId="77777777" w:rsidR="00CA72B0" w:rsidRDefault="00CA72B0" w:rsidP="00D862F0">
            <w:r w:rsidRPr="112F4D6F">
              <w:rPr>
                <w:rFonts w:eastAsia="Times New Roman" w:cs="Times New Roman"/>
                <w:color w:val="000000" w:themeColor="text1"/>
                <w:sz w:val="16"/>
                <w:szCs w:val="16"/>
              </w:rPr>
              <w:t>1.07</w:t>
            </w:r>
          </w:p>
        </w:tc>
        <w:tc>
          <w:tcPr>
            <w:tcW w:w="765" w:type="dxa"/>
            <w:tcBorders>
              <w:top w:val="nil"/>
              <w:left w:val="nil"/>
              <w:bottom w:val="nil"/>
              <w:right w:val="nil"/>
            </w:tcBorders>
            <w:shd w:val="clear" w:color="auto" w:fill="F2DCDB"/>
            <w:vAlign w:val="bottom"/>
          </w:tcPr>
          <w:p w14:paraId="0710684A" w14:textId="77777777" w:rsidR="00CA72B0" w:rsidRDefault="00CA72B0" w:rsidP="00D862F0">
            <w:r w:rsidRPr="112F4D6F">
              <w:rPr>
                <w:rFonts w:eastAsia="Times New Roman" w:cs="Times New Roman"/>
                <w:color w:val="000000" w:themeColor="text1"/>
                <w:sz w:val="16"/>
                <w:szCs w:val="16"/>
              </w:rPr>
              <w:t>1.55</w:t>
            </w:r>
          </w:p>
        </w:tc>
      </w:tr>
      <w:tr w:rsidR="00CA72B0" w14:paraId="6842A2F2" w14:textId="77777777" w:rsidTr="00D862F0">
        <w:trPr>
          <w:trHeight w:val="225"/>
        </w:trPr>
        <w:tc>
          <w:tcPr>
            <w:tcW w:w="2278" w:type="dxa"/>
            <w:tcBorders>
              <w:top w:val="nil"/>
              <w:left w:val="nil"/>
              <w:bottom w:val="nil"/>
              <w:right w:val="nil"/>
            </w:tcBorders>
            <w:vAlign w:val="bottom"/>
          </w:tcPr>
          <w:p w14:paraId="39597CA2" w14:textId="77777777" w:rsidR="00CA72B0" w:rsidRDefault="00CA72B0" w:rsidP="00D862F0">
            <w:r w:rsidRPr="112F4D6F">
              <w:rPr>
                <w:rFonts w:eastAsia="Times New Roman" w:cs="Times New Roman"/>
                <w:color w:val="000000" w:themeColor="text1"/>
                <w:sz w:val="16"/>
                <w:szCs w:val="16"/>
              </w:rPr>
              <w:t xml:space="preserve">Other </w:t>
            </w:r>
            <w:r w:rsidRPr="175F72D8">
              <w:rPr>
                <w:rFonts w:eastAsia="Times New Roman" w:cs="Times New Roman"/>
                <w:i/>
                <w:color w:val="000000" w:themeColor="text1"/>
                <w:sz w:val="16"/>
                <w:szCs w:val="16"/>
              </w:rPr>
              <w:t>Enterococci</w:t>
            </w:r>
          </w:p>
        </w:tc>
        <w:tc>
          <w:tcPr>
            <w:tcW w:w="4030" w:type="dxa"/>
            <w:tcBorders>
              <w:top w:val="nil"/>
              <w:left w:val="nil"/>
              <w:bottom w:val="nil"/>
              <w:right w:val="nil"/>
            </w:tcBorders>
            <w:vAlign w:val="bottom"/>
          </w:tcPr>
          <w:p w14:paraId="390F1B02" w14:textId="77777777" w:rsidR="00CA72B0" w:rsidRDefault="00CA72B0" w:rsidP="00D862F0">
            <w:r w:rsidRPr="112F4D6F">
              <w:rPr>
                <w:rFonts w:eastAsia="Times New Roman" w:cs="Times New Roman"/>
                <w:color w:val="000000" w:themeColor="text1"/>
                <w:sz w:val="16"/>
                <w:szCs w:val="16"/>
              </w:rPr>
              <w:t>Vancomycin</w:t>
            </w:r>
          </w:p>
        </w:tc>
        <w:tc>
          <w:tcPr>
            <w:tcW w:w="803" w:type="dxa"/>
            <w:tcBorders>
              <w:top w:val="nil"/>
              <w:left w:val="nil"/>
              <w:bottom w:val="nil"/>
              <w:right w:val="nil"/>
            </w:tcBorders>
            <w:vAlign w:val="bottom"/>
          </w:tcPr>
          <w:p w14:paraId="138BF27F" w14:textId="77777777" w:rsidR="00CA72B0" w:rsidRDefault="00CA72B0" w:rsidP="00D862F0">
            <w:r w:rsidRPr="112F4D6F">
              <w:rPr>
                <w:rFonts w:eastAsia="Times New Roman" w:cs="Times New Roman"/>
                <w:color w:val="000000" w:themeColor="text1"/>
                <w:sz w:val="16"/>
                <w:szCs w:val="16"/>
              </w:rPr>
              <w:t>7730</w:t>
            </w:r>
          </w:p>
        </w:tc>
        <w:tc>
          <w:tcPr>
            <w:tcW w:w="920" w:type="dxa"/>
            <w:tcBorders>
              <w:top w:val="nil"/>
              <w:left w:val="nil"/>
              <w:bottom w:val="nil"/>
              <w:right w:val="nil"/>
            </w:tcBorders>
            <w:vAlign w:val="bottom"/>
          </w:tcPr>
          <w:p w14:paraId="7AE2B2A6" w14:textId="77777777" w:rsidR="00CA72B0" w:rsidRDefault="00CA72B0" w:rsidP="00D862F0">
            <w:r w:rsidRPr="112F4D6F">
              <w:rPr>
                <w:rFonts w:eastAsia="Times New Roman" w:cs="Times New Roman"/>
                <w:color w:val="000000" w:themeColor="text1"/>
                <w:sz w:val="16"/>
                <w:szCs w:val="16"/>
              </w:rPr>
              <w:t>1.37</w:t>
            </w:r>
          </w:p>
        </w:tc>
        <w:tc>
          <w:tcPr>
            <w:tcW w:w="686" w:type="dxa"/>
            <w:tcBorders>
              <w:top w:val="nil"/>
              <w:left w:val="nil"/>
              <w:bottom w:val="nil"/>
              <w:right w:val="nil"/>
            </w:tcBorders>
            <w:vAlign w:val="bottom"/>
          </w:tcPr>
          <w:p w14:paraId="65EC7334" w14:textId="77777777" w:rsidR="00CA72B0" w:rsidRDefault="00CA72B0" w:rsidP="00D862F0">
            <w:r w:rsidRPr="112F4D6F">
              <w:rPr>
                <w:rFonts w:eastAsia="Times New Roman" w:cs="Times New Roman"/>
                <w:color w:val="000000" w:themeColor="text1"/>
                <w:sz w:val="16"/>
                <w:szCs w:val="16"/>
              </w:rPr>
              <w:t>1.29</w:t>
            </w:r>
          </w:p>
        </w:tc>
        <w:tc>
          <w:tcPr>
            <w:tcW w:w="765" w:type="dxa"/>
            <w:tcBorders>
              <w:top w:val="nil"/>
              <w:left w:val="nil"/>
              <w:bottom w:val="nil"/>
              <w:right w:val="nil"/>
            </w:tcBorders>
            <w:vAlign w:val="bottom"/>
          </w:tcPr>
          <w:p w14:paraId="3B0C771F" w14:textId="77777777" w:rsidR="00CA72B0" w:rsidRDefault="00CA72B0" w:rsidP="00D862F0">
            <w:r w:rsidRPr="112F4D6F">
              <w:rPr>
                <w:rFonts w:eastAsia="Times New Roman" w:cs="Times New Roman"/>
                <w:color w:val="000000" w:themeColor="text1"/>
                <w:sz w:val="16"/>
                <w:szCs w:val="16"/>
              </w:rPr>
              <w:t>1.46</w:t>
            </w:r>
          </w:p>
        </w:tc>
      </w:tr>
      <w:tr w:rsidR="00CA72B0" w14:paraId="1BEBBE4D" w14:textId="77777777" w:rsidTr="00D862F0">
        <w:trPr>
          <w:trHeight w:val="225"/>
        </w:trPr>
        <w:tc>
          <w:tcPr>
            <w:tcW w:w="2278" w:type="dxa"/>
            <w:tcBorders>
              <w:top w:val="nil"/>
              <w:left w:val="nil"/>
              <w:bottom w:val="nil"/>
              <w:right w:val="nil"/>
            </w:tcBorders>
            <w:shd w:val="clear" w:color="auto" w:fill="F2DCDB"/>
            <w:vAlign w:val="bottom"/>
          </w:tcPr>
          <w:p w14:paraId="5F721114"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shd w:val="clear" w:color="auto" w:fill="F2DCDB"/>
            <w:vAlign w:val="bottom"/>
          </w:tcPr>
          <w:p w14:paraId="36060D13"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shd w:val="clear" w:color="auto" w:fill="F2DCDB"/>
            <w:vAlign w:val="bottom"/>
          </w:tcPr>
          <w:p w14:paraId="21305F75" w14:textId="77777777" w:rsidR="00CA72B0" w:rsidRDefault="00CA72B0" w:rsidP="00D862F0">
            <w:r w:rsidRPr="112F4D6F">
              <w:rPr>
                <w:rFonts w:eastAsia="Times New Roman" w:cs="Times New Roman"/>
                <w:color w:val="000000" w:themeColor="text1"/>
                <w:sz w:val="16"/>
                <w:szCs w:val="16"/>
              </w:rPr>
              <w:t>164196</w:t>
            </w:r>
          </w:p>
        </w:tc>
        <w:tc>
          <w:tcPr>
            <w:tcW w:w="920" w:type="dxa"/>
            <w:tcBorders>
              <w:top w:val="nil"/>
              <w:left w:val="nil"/>
              <w:bottom w:val="nil"/>
              <w:right w:val="nil"/>
            </w:tcBorders>
            <w:shd w:val="clear" w:color="auto" w:fill="F2DCDB"/>
            <w:vAlign w:val="bottom"/>
          </w:tcPr>
          <w:p w14:paraId="57CABEE7" w14:textId="77777777" w:rsidR="00CA72B0" w:rsidRDefault="00CA72B0" w:rsidP="00D862F0">
            <w:r w:rsidRPr="112F4D6F">
              <w:rPr>
                <w:rFonts w:eastAsia="Times New Roman" w:cs="Times New Roman"/>
                <w:color w:val="000000" w:themeColor="text1"/>
                <w:sz w:val="16"/>
                <w:szCs w:val="16"/>
              </w:rPr>
              <w:t>1.2</w:t>
            </w:r>
          </w:p>
        </w:tc>
        <w:tc>
          <w:tcPr>
            <w:tcW w:w="686" w:type="dxa"/>
            <w:tcBorders>
              <w:top w:val="nil"/>
              <w:left w:val="nil"/>
              <w:bottom w:val="nil"/>
              <w:right w:val="nil"/>
            </w:tcBorders>
            <w:shd w:val="clear" w:color="auto" w:fill="F2DCDB"/>
            <w:vAlign w:val="bottom"/>
          </w:tcPr>
          <w:p w14:paraId="180A94FD" w14:textId="77777777" w:rsidR="00CA72B0" w:rsidRDefault="00CA72B0" w:rsidP="00D862F0">
            <w:r w:rsidRPr="112F4D6F">
              <w:rPr>
                <w:rFonts w:eastAsia="Times New Roman" w:cs="Times New Roman"/>
                <w:color w:val="000000" w:themeColor="text1"/>
                <w:sz w:val="16"/>
                <w:szCs w:val="16"/>
              </w:rPr>
              <w:t>1.16</w:t>
            </w:r>
          </w:p>
        </w:tc>
        <w:tc>
          <w:tcPr>
            <w:tcW w:w="765" w:type="dxa"/>
            <w:tcBorders>
              <w:top w:val="nil"/>
              <w:left w:val="nil"/>
              <w:bottom w:val="nil"/>
              <w:right w:val="nil"/>
            </w:tcBorders>
            <w:shd w:val="clear" w:color="auto" w:fill="F2DCDB"/>
            <w:vAlign w:val="bottom"/>
          </w:tcPr>
          <w:p w14:paraId="6902650E" w14:textId="77777777" w:rsidR="00CA72B0" w:rsidRDefault="00CA72B0" w:rsidP="00D862F0">
            <w:r w:rsidRPr="112F4D6F">
              <w:rPr>
                <w:rFonts w:eastAsia="Times New Roman" w:cs="Times New Roman"/>
                <w:color w:val="000000" w:themeColor="text1"/>
                <w:sz w:val="16"/>
                <w:szCs w:val="16"/>
              </w:rPr>
              <w:t>1.25</w:t>
            </w:r>
          </w:p>
        </w:tc>
      </w:tr>
      <w:tr w:rsidR="00CA72B0" w14:paraId="7CE887C7" w14:textId="77777777" w:rsidTr="00D862F0">
        <w:trPr>
          <w:trHeight w:val="225"/>
        </w:trPr>
        <w:tc>
          <w:tcPr>
            <w:tcW w:w="2278" w:type="dxa"/>
            <w:tcBorders>
              <w:top w:val="nil"/>
              <w:left w:val="nil"/>
              <w:bottom w:val="nil"/>
              <w:right w:val="nil"/>
            </w:tcBorders>
            <w:vAlign w:val="bottom"/>
          </w:tcPr>
          <w:p w14:paraId="3DF05F3F"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vAlign w:val="bottom"/>
          </w:tcPr>
          <w:p w14:paraId="4982D478" w14:textId="77777777" w:rsidR="00CA72B0" w:rsidRDefault="00CA72B0" w:rsidP="00D862F0">
            <w:r w:rsidRPr="112F4D6F">
              <w:rPr>
                <w:rFonts w:eastAsia="Times New Roman" w:cs="Times New Roman"/>
                <w:color w:val="000000" w:themeColor="text1"/>
                <w:sz w:val="16"/>
                <w:szCs w:val="16"/>
              </w:rPr>
              <w:t>Aminopenicillin</w:t>
            </w:r>
          </w:p>
        </w:tc>
        <w:tc>
          <w:tcPr>
            <w:tcW w:w="803" w:type="dxa"/>
            <w:tcBorders>
              <w:top w:val="nil"/>
              <w:left w:val="nil"/>
              <w:bottom w:val="nil"/>
              <w:right w:val="nil"/>
            </w:tcBorders>
            <w:vAlign w:val="bottom"/>
          </w:tcPr>
          <w:p w14:paraId="3B1DDE9A" w14:textId="77777777" w:rsidR="00CA72B0" w:rsidRDefault="00CA72B0" w:rsidP="00D862F0">
            <w:r w:rsidRPr="112F4D6F">
              <w:rPr>
                <w:rFonts w:eastAsia="Times New Roman" w:cs="Times New Roman"/>
                <w:color w:val="000000" w:themeColor="text1"/>
                <w:sz w:val="16"/>
                <w:szCs w:val="16"/>
              </w:rPr>
              <w:t>157276</w:t>
            </w:r>
          </w:p>
        </w:tc>
        <w:tc>
          <w:tcPr>
            <w:tcW w:w="920" w:type="dxa"/>
            <w:tcBorders>
              <w:top w:val="nil"/>
              <w:left w:val="nil"/>
              <w:bottom w:val="nil"/>
              <w:right w:val="nil"/>
            </w:tcBorders>
            <w:vAlign w:val="bottom"/>
          </w:tcPr>
          <w:p w14:paraId="03F1A014" w14:textId="77777777" w:rsidR="00CA72B0" w:rsidRDefault="00CA72B0" w:rsidP="00D862F0">
            <w:r w:rsidRPr="112F4D6F">
              <w:rPr>
                <w:rFonts w:eastAsia="Times New Roman" w:cs="Times New Roman"/>
                <w:color w:val="000000" w:themeColor="text1"/>
                <w:sz w:val="16"/>
                <w:szCs w:val="16"/>
              </w:rPr>
              <w:t>1.21</w:t>
            </w:r>
          </w:p>
        </w:tc>
        <w:tc>
          <w:tcPr>
            <w:tcW w:w="686" w:type="dxa"/>
            <w:tcBorders>
              <w:top w:val="nil"/>
              <w:left w:val="nil"/>
              <w:bottom w:val="nil"/>
              <w:right w:val="nil"/>
            </w:tcBorders>
            <w:vAlign w:val="bottom"/>
          </w:tcPr>
          <w:p w14:paraId="6796C27B"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vAlign w:val="bottom"/>
          </w:tcPr>
          <w:p w14:paraId="1DAFD0C3" w14:textId="77777777" w:rsidR="00CA72B0" w:rsidRDefault="00CA72B0" w:rsidP="00D862F0">
            <w:r w:rsidRPr="112F4D6F">
              <w:rPr>
                <w:rFonts w:eastAsia="Times New Roman" w:cs="Times New Roman"/>
                <w:color w:val="000000" w:themeColor="text1"/>
                <w:sz w:val="16"/>
                <w:szCs w:val="16"/>
              </w:rPr>
              <w:t>1.25</w:t>
            </w:r>
          </w:p>
        </w:tc>
      </w:tr>
      <w:tr w:rsidR="00CA72B0" w14:paraId="2444D291" w14:textId="77777777" w:rsidTr="00D862F0">
        <w:trPr>
          <w:trHeight w:val="225"/>
        </w:trPr>
        <w:tc>
          <w:tcPr>
            <w:tcW w:w="2278" w:type="dxa"/>
            <w:tcBorders>
              <w:top w:val="nil"/>
              <w:left w:val="nil"/>
              <w:bottom w:val="nil"/>
              <w:right w:val="nil"/>
            </w:tcBorders>
            <w:shd w:val="clear" w:color="auto" w:fill="F2DCDB"/>
            <w:vAlign w:val="bottom"/>
          </w:tcPr>
          <w:p w14:paraId="7FADCD4F"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shd w:val="clear" w:color="auto" w:fill="F2DCDB"/>
            <w:vAlign w:val="bottom"/>
          </w:tcPr>
          <w:p w14:paraId="49AA3ED1" w14:textId="77777777" w:rsidR="00CA72B0" w:rsidRDefault="00CA72B0" w:rsidP="00D862F0">
            <w:r w:rsidRPr="112F4D6F">
              <w:rPr>
                <w:rFonts w:eastAsia="Times New Roman" w:cs="Times New Roman"/>
                <w:color w:val="000000" w:themeColor="text1"/>
                <w:sz w:val="16"/>
                <w:szCs w:val="16"/>
              </w:rPr>
              <w:t>Beta-lactam/Beta-lactamase inhibitors</w:t>
            </w:r>
          </w:p>
        </w:tc>
        <w:tc>
          <w:tcPr>
            <w:tcW w:w="803" w:type="dxa"/>
            <w:tcBorders>
              <w:top w:val="nil"/>
              <w:left w:val="nil"/>
              <w:bottom w:val="nil"/>
              <w:right w:val="nil"/>
            </w:tcBorders>
            <w:shd w:val="clear" w:color="auto" w:fill="F2DCDB"/>
            <w:vAlign w:val="bottom"/>
          </w:tcPr>
          <w:p w14:paraId="2338C027" w14:textId="77777777" w:rsidR="00CA72B0" w:rsidRDefault="00CA72B0" w:rsidP="00D862F0">
            <w:r w:rsidRPr="112F4D6F">
              <w:rPr>
                <w:rFonts w:eastAsia="Times New Roman" w:cs="Times New Roman"/>
                <w:color w:val="000000" w:themeColor="text1"/>
                <w:sz w:val="16"/>
                <w:szCs w:val="16"/>
              </w:rPr>
              <w:t>143458</w:t>
            </w:r>
          </w:p>
        </w:tc>
        <w:tc>
          <w:tcPr>
            <w:tcW w:w="920" w:type="dxa"/>
            <w:tcBorders>
              <w:top w:val="nil"/>
              <w:left w:val="nil"/>
              <w:bottom w:val="nil"/>
              <w:right w:val="nil"/>
            </w:tcBorders>
            <w:shd w:val="clear" w:color="auto" w:fill="F2DCDB"/>
            <w:vAlign w:val="bottom"/>
          </w:tcPr>
          <w:p w14:paraId="5330650B" w14:textId="77777777" w:rsidR="00CA72B0" w:rsidRDefault="00CA72B0" w:rsidP="00D862F0">
            <w:r w:rsidRPr="112F4D6F">
              <w:rPr>
                <w:rFonts w:eastAsia="Times New Roman" w:cs="Times New Roman"/>
                <w:color w:val="000000" w:themeColor="text1"/>
                <w:sz w:val="16"/>
                <w:szCs w:val="16"/>
              </w:rPr>
              <w:t>1.15</w:t>
            </w:r>
          </w:p>
        </w:tc>
        <w:tc>
          <w:tcPr>
            <w:tcW w:w="686" w:type="dxa"/>
            <w:tcBorders>
              <w:top w:val="nil"/>
              <w:left w:val="nil"/>
              <w:bottom w:val="nil"/>
              <w:right w:val="nil"/>
            </w:tcBorders>
            <w:shd w:val="clear" w:color="auto" w:fill="F2DCDB"/>
            <w:vAlign w:val="bottom"/>
          </w:tcPr>
          <w:p w14:paraId="02A13EC7" w14:textId="77777777" w:rsidR="00CA72B0" w:rsidRDefault="00CA72B0" w:rsidP="00D862F0">
            <w:r w:rsidRPr="112F4D6F">
              <w:rPr>
                <w:rFonts w:eastAsia="Times New Roman" w:cs="Times New Roman"/>
                <w:color w:val="000000" w:themeColor="text1"/>
                <w:sz w:val="16"/>
                <w:szCs w:val="16"/>
              </w:rPr>
              <w:t>1.11</w:t>
            </w:r>
          </w:p>
        </w:tc>
        <w:tc>
          <w:tcPr>
            <w:tcW w:w="765" w:type="dxa"/>
            <w:tcBorders>
              <w:top w:val="nil"/>
              <w:left w:val="nil"/>
              <w:bottom w:val="nil"/>
              <w:right w:val="nil"/>
            </w:tcBorders>
            <w:shd w:val="clear" w:color="auto" w:fill="F2DCDB"/>
            <w:vAlign w:val="bottom"/>
          </w:tcPr>
          <w:p w14:paraId="7EF1FB5B" w14:textId="77777777" w:rsidR="00CA72B0" w:rsidRDefault="00CA72B0" w:rsidP="00D862F0">
            <w:r w:rsidRPr="112F4D6F">
              <w:rPr>
                <w:rFonts w:eastAsia="Times New Roman" w:cs="Times New Roman"/>
                <w:color w:val="000000" w:themeColor="text1"/>
                <w:sz w:val="16"/>
                <w:szCs w:val="16"/>
              </w:rPr>
              <w:t>1.18</w:t>
            </w:r>
          </w:p>
        </w:tc>
      </w:tr>
      <w:tr w:rsidR="00CA72B0" w14:paraId="33193D04" w14:textId="77777777" w:rsidTr="00D862F0">
        <w:trPr>
          <w:trHeight w:val="225"/>
        </w:trPr>
        <w:tc>
          <w:tcPr>
            <w:tcW w:w="2278" w:type="dxa"/>
            <w:tcBorders>
              <w:top w:val="nil"/>
              <w:left w:val="nil"/>
              <w:bottom w:val="nil"/>
              <w:right w:val="nil"/>
            </w:tcBorders>
            <w:vAlign w:val="bottom"/>
          </w:tcPr>
          <w:p w14:paraId="7F4EBC7E"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vAlign w:val="bottom"/>
          </w:tcPr>
          <w:p w14:paraId="0AA23A58"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vAlign w:val="bottom"/>
          </w:tcPr>
          <w:p w14:paraId="0CA4EC28" w14:textId="77777777" w:rsidR="00CA72B0" w:rsidRDefault="00CA72B0" w:rsidP="00D862F0">
            <w:r w:rsidRPr="112F4D6F">
              <w:rPr>
                <w:rFonts w:eastAsia="Times New Roman" w:cs="Times New Roman"/>
                <w:color w:val="000000" w:themeColor="text1"/>
                <w:sz w:val="16"/>
                <w:szCs w:val="16"/>
              </w:rPr>
              <w:t>131382</w:t>
            </w:r>
          </w:p>
        </w:tc>
        <w:tc>
          <w:tcPr>
            <w:tcW w:w="920" w:type="dxa"/>
            <w:tcBorders>
              <w:top w:val="nil"/>
              <w:left w:val="nil"/>
              <w:bottom w:val="nil"/>
              <w:right w:val="nil"/>
            </w:tcBorders>
            <w:vAlign w:val="bottom"/>
          </w:tcPr>
          <w:p w14:paraId="2E047820" w14:textId="77777777" w:rsidR="00CA72B0" w:rsidRDefault="00CA72B0" w:rsidP="00D862F0">
            <w:r w:rsidRPr="112F4D6F">
              <w:rPr>
                <w:rFonts w:eastAsia="Times New Roman" w:cs="Times New Roman"/>
                <w:color w:val="000000" w:themeColor="text1"/>
                <w:sz w:val="16"/>
                <w:szCs w:val="16"/>
              </w:rPr>
              <w:t>1.7</w:t>
            </w:r>
          </w:p>
        </w:tc>
        <w:tc>
          <w:tcPr>
            <w:tcW w:w="686" w:type="dxa"/>
            <w:tcBorders>
              <w:top w:val="nil"/>
              <w:left w:val="nil"/>
              <w:bottom w:val="nil"/>
              <w:right w:val="nil"/>
            </w:tcBorders>
            <w:vAlign w:val="bottom"/>
          </w:tcPr>
          <w:p w14:paraId="7C8122F0" w14:textId="77777777" w:rsidR="00CA72B0" w:rsidRDefault="00CA72B0" w:rsidP="00D862F0">
            <w:r w:rsidRPr="112F4D6F">
              <w:rPr>
                <w:rFonts w:eastAsia="Times New Roman" w:cs="Times New Roman"/>
                <w:color w:val="000000" w:themeColor="text1"/>
                <w:sz w:val="16"/>
                <w:szCs w:val="16"/>
              </w:rPr>
              <w:t>1.5</w:t>
            </w:r>
          </w:p>
        </w:tc>
        <w:tc>
          <w:tcPr>
            <w:tcW w:w="765" w:type="dxa"/>
            <w:tcBorders>
              <w:top w:val="nil"/>
              <w:left w:val="nil"/>
              <w:bottom w:val="nil"/>
              <w:right w:val="nil"/>
            </w:tcBorders>
            <w:vAlign w:val="bottom"/>
          </w:tcPr>
          <w:p w14:paraId="01263DB0" w14:textId="77777777" w:rsidR="00CA72B0" w:rsidRDefault="00CA72B0" w:rsidP="00D862F0">
            <w:r w:rsidRPr="112F4D6F">
              <w:rPr>
                <w:rFonts w:eastAsia="Times New Roman" w:cs="Times New Roman"/>
                <w:color w:val="000000" w:themeColor="text1"/>
                <w:sz w:val="16"/>
                <w:szCs w:val="16"/>
              </w:rPr>
              <w:t>1.93</w:t>
            </w:r>
          </w:p>
        </w:tc>
      </w:tr>
      <w:tr w:rsidR="00CA72B0" w14:paraId="370C3333" w14:textId="77777777" w:rsidTr="00D862F0">
        <w:trPr>
          <w:trHeight w:val="225"/>
        </w:trPr>
        <w:tc>
          <w:tcPr>
            <w:tcW w:w="2278" w:type="dxa"/>
            <w:tcBorders>
              <w:top w:val="nil"/>
              <w:left w:val="nil"/>
              <w:bottom w:val="nil"/>
              <w:right w:val="nil"/>
            </w:tcBorders>
            <w:shd w:val="clear" w:color="auto" w:fill="F2DCDB"/>
            <w:vAlign w:val="bottom"/>
          </w:tcPr>
          <w:p w14:paraId="6A467F25"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shd w:val="clear" w:color="auto" w:fill="F2DCDB"/>
            <w:vAlign w:val="bottom"/>
          </w:tcPr>
          <w:p w14:paraId="2D8898BB"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shd w:val="clear" w:color="auto" w:fill="F2DCDB"/>
            <w:vAlign w:val="bottom"/>
          </w:tcPr>
          <w:p w14:paraId="6C57F77A" w14:textId="77777777" w:rsidR="00CA72B0" w:rsidRDefault="00CA72B0" w:rsidP="00D862F0">
            <w:r w:rsidRPr="112F4D6F">
              <w:rPr>
                <w:rFonts w:eastAsia="Times New Roman" w:cs="Times New Roman"/>
                <w:color w:val="000000" w:themeColor="text1"/>
                <w:sz w:val="16"/>
                <w:szCs w:val="16"/>
              </w:rPr>
              <w:t>164240</w:t>
            </w:r>
          </w:p>
        </w:tc>
        <w:tc>
          <w:tcPr>
            <w:tcW w:w="920" w:type="dxa"/>
            <w:tcBorders>
              <w:top w:val="nil"/>
              <w:left w:val="nil"/>
              <w:bottom w:val="nil"/>
              <w:right w:val="nil"/>
            </w:tcBorders>
            <w:shd w:val="clear" w:color="auto" w:fill="F2DCDB"/>
            <w:vAlign w:val="bottom"/>
          </w:tcPr>
          <w:p w14:paraId="05BDF058" w14:textId="77777777" w:rsidR="00CA72B0" w:rsidRDefault="00CA72B0" w:rsidP="00D862F0">
            <w:r w:rsidRPr="112F4D6F">
              <w:rPr>
                <w:rFonts w:eastAsia="Times New Roman" w:cs="Times New Roman"/>
                <w:color w:val="000000" w:themeColor="text1"/>
                <w:sz w:val="16"/>
                <w:szCs w:val="16"/>
              </w:rPr>
              <w:t>1.14</w:t>
            </w:r>
          </w:p>
        </w:tc>
        <w:tc>
          <w:tcPr>
            <w:tcW w:w="686" w:type="dxa"/>
            <w:tcBorders>
              <w:top w:val="nil"/>
              <w:left w:val="nil"/>
              <w:bottom w:val="nil"/>
              <w:right w:val="nil"/>
            </w:tcBorders>
            <w:shd w:val="clear" w:color="auto" w:fill="F2DCDB"/>
            <w:vAlign w:val="bottom"/>
          </w:tcPr>
          <w:p w14:paraId="62BA1E88" w14:textId="77777777" w:rsidR="00CA72B0" w:rsidRDefault="00CA72B0" w:rsidP="00D862F0">
            <w:r w:rsidRPr="112F4D6F">
              <w:rPr>
                <w:rFonts w:eastAsia="Times New Roman" w:cs="Times New Roman"/>
                <w:color w:val="000000" w:themeColor="text1"/>
                <w:sz w:val="16"/>
                <w:szCs w:val="16"/>
              </w:rPr>
              <w:t>1.11</w:t>
            </w:r>
          </w:p>
        </w:tc>
        <w:tc>
          <w:tcPr>
            <w:tcW w:w="765" w:type="dxa"/>
            <w:tcBorders>
              <w:top w:val="nil"/>
              <w:left w:val="nil"/>
              <w:bottom w:val="nil"/>
              <w:right w:val="nil"/>
            </w:tcBorders>
            <w:shd w:val="clear" w:color="auto" w:fill="F2DCDB"/>
            <w:vAlign w:val="bottom"/>
          </w:tcPr>
          <w:p w14:paraId="19323AF3" w14:textId="77777777" w:rsidR="00CA72B0" w:rsidRDefault="00CA72B0" w:rsidP="00D862F0">
            <w:r w:rsidRPr="112F4D6F">
              <w:rPr>
                <w:rFonts w:eastAsia="Times New Roman" w:cs="Times New Roman"/>
                <w:color w:val="000000" w:themeColor="text1"/>
                <w:sz w:val="16"/>
                <w:szCs w:val="16"/>
              </w:rPr>
              <w:t>1.18</w:t>
            </w:r>
          </w:p>
        </w:tc>
      </w:tr>
      <w:tr w:rsidR="00CA72B0" w14:paraId="55442397" w14:textId="77777777" w:rsidTr="00D862F0">
        <w:trPr>
          <w:trHeight w:val="225"/>
        </w:trPr>
        <w:tc>
          <w:tcPr>
            <w:tcW w:w="2278" w:type="dxa"/>
            <w:tcBorders>
              <w:top w:val="nil"/>
              <w:left w:val="nil"/>
              <w:bottom w:val="nil"/>
              <w:right w:val="nil"/>
            </w:tcBorders>
            <w:vAlign w:val="bottom"/>
          </w:tcPr>
          <w:p w14:paraId="6A150AD5" w14:textId="77777777" w:rsidR="00CA72B0" w:rsidRDefault="00CA72B0" w:rsidP="00D862F0">
            <w:r w:rsidRPr="112F4D6F">
              <w:rPr>
                <w:rFonts w:eastAsia="Times New Roman" w:cs="Times New Roman"/>
                <w:color w:val="000000" w:themeColor="text1"/>
                <w:sz w:val="16"/>
                <w:szCs w:val="16"/>
              </w:rPr>
              <w:t xml:space="preserve">Group A </w:t>
            </w:r>
            <w:r w:rsidRPr="112F4D6F">
              <w:rPr>
                <w:rFonts w:eastAsia="Times New Roman" w:cs="Times New Roman"/>
                <w:i/>
                <w:iCs/>
                <w:color w:val="000000" w:themeColor="text1"/>
                <w:sz w:val="16"/>
                <w:szCs w:val="16"/>
              </w:rPr>
              <w:t>Streptococcus</w:t>
            </w:r>
          </w:p>
        </w:tc>
        <w:tc>
          <w:tcPr>
            <w:tcW w:w="4030" w:type="dxa"/>
            <w:tcBorders>
              <w:top w:val="nil"/>
              <w:left w:val="nil"/>
              <w:bottom w:val="nil"/>
              <w:right w:val="nil"/>
            </w:tcBorders>
            <w:vAlign w:val="bottom"/>
          </w:tcPr>
          <w:p w14:paraId="444D8F61" w14:textId="77777777" w:rsidR="00CA72B0" w:rsidRDefault="00CA72B0" w:rsidP="00D862F0">
            <w:r w:rsidRPr="112F4D6F">
              <w:rPr>
                <w:rFonts w:eastAsia="Times New Roman" w:cs="Times New Roman"/>
                <w:color w:val="000000" w:themeColor="text1"/>
                <w:sz w:val="16"/>
                <w:szCs w:val="16"/>
              </w:rPr>
              <w:t>Macrolide</w:t>
            </w:r>
          </w:p>
        </w:tc>
        <w:tc>
          <w:tcPr>
            <w:tcW w:w="803" w:type="dxa"/>
            <w:tcBorders>
              <w:top w:val="nil"/>
              <w:left w:val="nil"/>
              <w:bottom w:val="nil"/>
              <w:right w:val="nil"/>
            </w:tcBorders>
            <w:vAlign w:val="bottom"/>
          </w:tcPr>
          <w:p w14:paraId="6E825BB2" w14:textId="77777777" w:rsidR="00CA72B0" w:rsidRDefault="00CA72B0" w:rsidP="00D862F0">
            <w:r w:rsidRPr="112F4D6F">
              <w:rPr>
                <w:rFonts w:eastAsia="Times New Roman" w:cs="Times New Roman"/>
                <w:color w:val="000000" w:themeColor="text1"/>
                <w:sz w:val="16"/>
                <w:szCs w:val="16"/>
              </w:rPr>
              <w:t>130</w:t>
            </w:r>
          </w:p>
        </w:tc>
        <w:tc>
          <w:tcPr>
            <w:tcW w:w="920" w:type="dxa"/>
            <w:tcBorders>
              <w:top w:val="nil"/>
              <w:left w:val="nil"/>
              <w:bottom w:val="nil"/>
              <w:right w:val="nil"/>
            </w:tcBorders>
            <w:vAlign w:val="bottom"/>
          </w:tcPr>
          <w:p w14:paraId="1A04A53E" w14:textId="77777777" w:rsidR="00CA72B0" w:rsidRDefault="00CA72B0" w:rsidP="00D862F0">
            <w:r w:rsidRPr="112F4D6F">
              <w:rPr>
                <w:rFonts w:eastAsia="Times New Roman" w:cs="Times New Roman"/>
                <w:color w:val="000000" w:themeColor="text1"/>
                <w:sz w:val="16"/>
                <w:szCs w:val="16"/>
              </w:rPr>
              <w:t>1.07</w:t>
            </w:r>
          </w:p>
        </w:tc>
        <w:tc>
          <w:tcPr>
            <w:tcW w:w="686" w:type="dxa"/>
            <w:tcBorders>
              <w:top w:val="nil"/>
              <w:left w:val="nil"/>
              <w:bottom w:val="nil"/>
              <w:right w:val="nil"/>
            </w:tcBorders>
            <w:vAlign w:val="bottom"/>
          </w:tcPr>
          <w:p w14:paraId="3F43EC74" w14:textId="77777777" w:rsidR="00CA72B0" w:rsidRDefault="00CA72B0" w:rsidP="00D862F0">
            <w:r w:rsidRPr="112F4D6F">
              <w:rPr>
                <w:rFonts w:eastAsia="Times New Roman" w:cs="Times New Roman"/>
                <w:color w:val="000000" w:themeColor="text1"/>
                <w:sz w:val="16"/>
                <w:szCs w:val="16"/>
              </w:rPr>
              <w:t>0.89</w:t>
            </w:r>
          </w:p>
        </w:tc>
        <w:tc>
          <w:tcPr>
            <w:tcW w:w="765" w:type="dxa"/>
            <w:tcBorders>
              <w:top w:val="nil"/>
              <w:left w:val="nil"/>
              <w:bottom w:val="nil"/>
              <w:right w:val="nil"/>
            </w:tcBorders>
            <w:vAlign w:val="bottom"/>
          </w:tcPr>
          <w:p w14:paraId="2BD2E912" w14:textId="77777777" w:rsidR="00CA72B0" w:rsidRDefault="00CA72B0" w:rsidP="00D862F0">
            <w:r w:rsidRPr="112F4D6F">
              <w:rPr>
                <w:rFonts w:eastAsia="Times New Roman" w:cs="Times New Roman"/>
                <w:color w:val="000000" w:themeColor="text1"/>
                <w:sz w:val="16"/>
                <w:szCs w:val="16"/>
              </w:rPr>
              <w:t>1.29</w:t>
            </w:r>
          </w:p>
        </w:tc>
      </w:tr>
      <w:tr w:rsidR="00CA72B0" w14:paraId="2A00DF83" w14:textId="77777777" w:rsidTr="00D862F0">
        <w:trPr>
          <w:trHeight w:val="225"/>
        </w:trPr>
        <w:tc>
          <w:tcPr>
            <w:tcW w:w="2278" w:type="dxa"/>
            <w:tcBorders>
              <w:top w:val="nil"/>
              <w:left w:val="nil"/>
              <w:bottom w:val="nil"/>
              <w:right w:val="nil"/>
            </w:tcBorders>
            <w:shd w:val="clear" w:color="auto" w:fill="F2DCDB"/>
            <w:vAlign w:val="bottom"/>
          </w:tcPr>
          <w:p w14:paraId="32163FB5" w14:textId="77777777" w:rsidR="00CA72B0" w:rsidRDefault="00CA72B0" w:rsidP="00D862F0">
            <w:r w:rsidRPr="112F4D6F">
              <w:rPr>
                <w:rFonts w:eastAsia="Times New Roman" w:cs="Times New Roman"/>
                <w:color w:val="000000" w:themeColor="text1"/>
                <w:sz w:val="16"/>
                <w:szCs w:val="16"/>
              </w:rPr>
              <w:t>Group B</w:t>
            </w:r>
            <w:r w:rsidRPr="112F4D6F">
              <w:rPr>
                <w:rFonts w:eastAsia="Times New Roman" w:cs="Times New Roman"/>
                <w:i/>
                <w:iCs/>
                <w:color w:val="000000" w:themeColor="text1"/>
                <w:sz w:val="16"/>
                <w:szCs w:val="16"/>
              </w:rPr>
              <w:t xml:space="preserve"> Streptococcus</w:t>
            </w:r>
          </w:p>
        </w:tc>
        <w:tc>
          <w:tcPr>
            <w:tcW w:w="4030" w:type="dxa"/>
            <w:tcBorders>
              <w:top w:val="nil"/>
              <w:left w:val="nil"/>
              <w:bottom w:val="nil"/>
              <w:right w:val="nil"/>
            </w:tcBorders>
            <w:shd w:val="clear" w:color="auto" w:fill="F2DCDB"/>
            <w:vAlign w:val="bottom"/>
          </w:tcPr>
          <w:p w14:paraId="1A96D328"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272F5530" w14:textId="77777777" w:rsidR="00CA72B0" w:rsidRDefault="00CA72B0" w:rsidP="00D862F0">
            <w:r w:rsidRPr="112F4D6F">
              <w:rPr>
                <w:rFonts w:eastAsia="Times New Roman" w:cs="Times New Roman"/>
                <w:color w:val="000000" w:themeColor="text1"/>
                <w:sz w:val="16"/>
                <w:szCs w:val="16"/>
              </w:rPr>
              <w:t>44</w:t>
            </w:r>
          </w:p>
        </w:tc>
        <w:tc>
          <w:tcPr>
            <w:tcW w:w="920" w:type="dxa"/>
            <w:tcBorders>
              <w:top w:val="nil"/>
              <w:left w:val="nil"/>
              <w:bottom w:val="nil"/>
              <w:right w:val="nil"/>
            </w:tcBorders>
            <w:shd w:val="clear" w:color="auto" w:fill="F2DCDB"/>
            <w:vAlign w:val="bottom"/>
          </w:tcPr>
          <w:p w14:paraId="5DE3D9FE" w14:textId="77777777" w:rsidR="00CA72B0" w:rsidRDefault="00CA72B0" w:rsidP="00D862F0">
            <w:r w:rsidRPr="112F4D6F">
              <w:rPr>
                <w:rFonts w:eastAsia="Times New Roman" w:cs="Times New Roman"/>
                <w:color w:val="000000" w:themeColor="text1"/>
                <w:sz w:val="16"/>
                <w:szCs w:val="16"/>
              </w:rPr>
              <w:t>1.26</w:t>
            </w:r>
          </w:p>
        </w:tc>
        <w:tc>
          <w:tcPr>
            <w:tcW w:w="686" w:type="dxa"/>
            <w:tcBorders>
              <w:top w:val="nil"/>
              <w:left w:val="nil"/>
              <w:bottom w:val="nil"/>
              <w:right w:val="nil"/>
            </w:tcBorders>
            <w:shd w:val="clear" w:color="auto" w:fill="F2DCDB"/>
            <w:vAlign w:val="bottom"/>
          </w:tcPr>
          <w:p w14:paraId="092ED106" w14:textId="77777777" w:rsidR="00CA72B0" w:rsidRDefault="00CA72B0" w:rsidP="00D862F0">
            <w:r w:rsidRPr="112F4D6F">
              <w:rPr>
                <w:rFonts w:eastAsia="Times New Roman" w:cs="Times New Roman"/>
                <w:color w:val="000000" w:themeColor="text1"/>
                <w:sz w:val="16"/>
                <w:szCs w:val="16"/>
              </w:rPr>
              <w:t>1.04</w:t>
            </w:r>
          </w:p>
        </w:tc>
        <w:tc>
          <w:tcPr>
            <w:tcW w:w="765" w:type="dxa"/>
            <w:tcBorders>
              <w:top w:val="nil"/>
              <w:left w:val="nil"/>
              <w:bottom w:val="nil"/>
              <w:right w:val="nil"/>
            </w:tcBorders>
            <w:shd w:val="clear" w:color="auto" w:fill="F2DCDB"/>
            <w:vAlign w:val="bottom"/>
          </w:tcPr>
          <w:p w14:paraId="64158E4C" w14:textId="77777777" w:rsidR="00CA72B0" w:rsidRDefault="00CA72B0" w:rsidP="00D862F0">
            <w:r w:rsidRPr="112F4D6F">
              <w:rPr>
                <w:rFonts w:eastAsia="Times New Roman" w:cs="Times New Roman"/>
                <w:color w:val="000000" w:themeColor="text1"/>
                <w:sz w:val="16"/>
                <w:szCs w:val="16"/>
              </w:rPr>
              <w:t>1.53</w:t>
            </w:r>
          </w:p>
        </w:tc>
      </w:tr>
      <w:tr w:rsidR="00CA72B0" w14:paraId="73DF7232" w14:textId="77777777" w:rsidTr="00D862F0">
        <w:trPr>
          <w:trHeight w:val="225"/>
        </w:trPr>
        <w:tc>
          <w:tcPr>
            <w:tcW w:w="2278" w:type="dxa"/>
            <w:tcBorders>
              <w:top w:val="nil"/>
              <w:left w:val="nil"/>
              <w:bottom w:val="nil"/>
              <w:right w:val="nil"/>
            </w:tcBorders>
            <w:vAlign w:val="bottom"/>
          </w:tcPr>
          <w:p w14:paraId="7E8B7FA0" w14:textId="77777777" w:rsidR="00CA72B0" w:rsidRDefault="00CA72B0" w:rsidP="00D862F0">
            <w:r w:rsidRPr="112F4D6F">
              <w:rPr>
                <w:rFonts w:eastAsia="Times New Roman" w:cs="Times New Roman"/>
                <w:color w:val="000000" w:themeColor="text1"/>
                <w:sz w:val="16"/>
                <w:szCs w:val="16"/>
              </w:rPr>
              <w:t xml:space="preserve">Group B </w:t>
            </w:r>
            <w:r w:rsidRPr="112F4D6F">
              <w:rPr>
                <w:rFonts w:eastAsia="Times New Roman" w:cs="Times New Roman"/>
                <w:i/>
                <w:iCs/>
                <w:color w:val="000000" w:themeColor="text1"/>
                <w:sz w:val="16"/>
                <w:szCs w:val="16"/>
              </w:rPr>
              <w:t>Streptococcus</w:t>
            </w:r>
          </w:p>
        </w:tc>
        <w:tc>
          <w:tcPr>
            <w:tcW w:w="4030" w:type="dxa"/>
            <w:tcBorders>
              <w:top w:val="nil"/>
              <w:left w:val="nil"/>
              <w:bottom w:val="nil"/>
              <w:right w:val="nil"/>
            </w:tcBorders>
            <w:vAlign w:val="bottom"/>
          </w:tcPr>
          <w:p w14:paraId="48AC1190" w14:textId="77777777" w:rsidR="00CA72B0" w:rsidRDefault="00CA72B0" w:rsidP="00D862F0">
            <w:r w:rsidRPr="112F4D6F">
              <w:rPr>
                <w:rFonts w:eastAsia="Times New Roman" w:cs="Times New Roman"/>
                <w:color w:val="000000" w:themeColor="text1"/>
                <w:sz w:val="16"/>
                <w:szCs w:val="16"/>
              </w:rPr>
              <w:t>Macrolide</w:t>
            </w:r>
          </w:p>
        </w:tc>
        <w:tc>
          <w:tcPr>
            <w:tcW w:w="803" w:type="dxa"/>
            <w:tcBorders>
              <w:top w:val="nil"/>
              <w:left w:val="nil"/>
              <w:bottom w:val="nil"/>
              <w:right w:val="nil"/>
            </w:tcBorders>
            <w:vAlign w:val="bottom"/>
          </w:tcPr>
          <w:p w14:paraId="0C2AA5A5" w14:textId="77777777" w:rsidR="00CA72B0" w:rsidRDefault="00CA72B0" w:rsidP="00D862F0">
            <w:r w:rsidRPr="112F4D6F">
              <w:rPr>
                <w:rFonts w:eastAsia="Times New Roman" w:cs="Times New Roman"/>
                <w:color w:val="000000" w:themeColor="text1"/>
                <w:sz w:val="16"/>
                <w:szCs w:val="16"/>
              </w:rPr>
              <w:t>465</w:t>
            </w:r>
          </w:p>
        </w:tc>
        <w:tc>
          <w:tcPr>
            <w:tcW w:w="920" w:type="dxa"/>
            <w:tcBorders>
              <w:top w:val="nil"/>
              <w:left w:val="nil"/>
              <w:bottom w:val="nil"/>
              <w:right w:val="nil"/>
            </w:tcBorders>
            <w:vAlign w:val="bottom"/>
          </w:tcPr>
          <w:p w14:paraId="5B2166BC" w14:textId="77777777" w:rsidR="00CA72B0" w:rsidRDefault="00CA72B0" w:rsidP="00D862F0">
            <w:r w:rsidRPr="112F4D6F">
              <w:rPr>
                <w:rFonts w:eastAsia="Times New Roman" w:cs="Times New Roman"/>
                <w:color w:val="000000" w:themeColor="text1"/>
                <w:sz w:val="16"/>
                <w:szCs w:val="16"/>
              </w:rPr>
              <w:t>1.18</w:t>
            </w:r>
          </w:p>
        </w:tc>
        <w:tc>
          <w:tcPr>
            <w:tcW w:w="686" w:type="dxa"/>
            <w:tcBorders>
              <w:top w:val="nil"/>
              <w:left w:val="nil"/>
              <w:bottom w:val="nil"/>
              <w:right w:val="nil"/>
            </w:tcBorders>
            <w:vAlign w:val="bottom"/>
          </w:tcPr>
          <w:p w14:paraId="2B6F1230" w14:textId="77777777" w:rsidR="00CA72B0" w:rsidRDefault="00CA72B0" w:rsidP="00D862F0">
            <w:r w:rsidRPr="112F4D6F">
              <w:rPr>
                <w:rFonts w:eastAsia="Times New Roman" w:cs="Times New Roman"/>
                <w:color w:val="000000" w:themeColor="text1"/>
                <w:sz w:val="16"/>
                <w:szCs w:val="16"/>
              </w:rPr>
              <w:t>0.99</w:t>
            </w:r>
          </w:p>
        </w:tc>
        <w:tc>
          <w:tcPr>
            <w:tcW w:w="765" w:type="dxa"/>
            <w:tcBorders>
              <w:top w:val="nil"/>
              <w:left w:val="nil"/>
              <w:bottom w:val="nil"/>
              <w:right w:val="nil"/>
            </w:tcBorders>
            <w:vAlign w:val="bottom"/>
          </w:tcPr>
          <w:p w14:paraId="5F1997BF" w14:textId="77777777" w:rsidR="00CA72B0" w:rsidRDefault="00CA72B0" w:rsidP="00D862F0">
            <w:r w:rsidRPr="112F4D6F">
              <w:rPr>
                <w:rFonts w:eastAsia="Times New Roman" w:cs="Times New Roman"/>
                <w:color w:val="000000" w:themeColor="text1"/>
                <w:sz w:val="16"/>
                <w:szCs w:val="16"/>
              </w:rPr>
              <w:t>1.41</w:t>
            </w:r>
          </w:p>
        </w:tc>
      </w:tr>
      <w:tr w:rsidR="00CA72B0" w14:paraId="0D2353A0" w14:textId="77777777" w:rsidTr="00D862F0">
        <w:trPr>
          <w:trHeight w:val="225"/>
        </w:trPr>
        <w:tc>
          <w:tcPr>
            <w:tcW w:w="2278" w:type="dxa"/>
            <w:tcBorders>
              <w:top w:val="nil"/>
              <w:left w:val="nil"/>
              <w:bottom w:val="nil"/>
              <w:right w:val="nil"/>
            </w:tcBorders>
            <w:shd w:val="clear" w:color="auto" w:fill="F2DCDB"/>
            <w:vAlign w:val="bottom"/>
          </w:tcPr>
          <w:p w14:paraId="5E2CD303" w14:textId="77777777" w:rsidR="00CA72B0" w:rsidRDefault="00CA72B0" w:rsidP="00D862F0">
            <w:r w:rsidRPr="112F4D6F">
              <w:rPr>
                <w:rFonts w:eastAsia="Times New Roman" w:cs="Times New Roman"/>
                <w:color w:val="000000" w:themeColor="text1"/>
                <w:sz w:val="16"/>
                <w:szCs w:val="16"/>
              </w:rPr>
              <w:t xml:space="preserve">Group B </w:t>
            </w:r>
            <w:r w:rsidRPr="112F4D6F">
              <w:rPr>
                <w:rFonts w:eastAsia="Times New Roman" w:cs="Times New Roman"/>
                <w:i/>
                <w:iCs/>
                <w:color w:val="000000" w:themeColor="text1"/>
                <w:sz w:val="16"/>
                <w:szCs w:val="16"/>
              </w:rPr>
              <w:t>Streptococcus</w:t>
            </w:r>
          </w:p>
        </w:tc>
        <w:tc>
          <w:tcPr>
            <w:tcW w:w="4030" w:type="dxa"/>
            <w:tcBorders>
              <w:top w:val="nil"/>
              <w:left w:val="nil"/>
              <w:bottom w:val="nil"/>
              <w:right w:val="nil"/>
            </w:tcBorders>
            <w:shd w:val="clear" w:color="auto" w:fill="F2DCDB"/>
            <w:vAlign w:val="bottom"/>
          </w:tcPr>
          <w:p w14:paraId="78A7F4D3" w14:textId="77777777" w:rsidR="00CA72B0" w:rsidRDefault="00CA72B0" w:rsidP="00D862F0">
            <w:r w:rsidRPr="112F4D6F">
              <w:rPr>
                <w:rFonts w:eastAsia="Times New Roman" w:cs="Times New Roman"/>
                <w:color w:val="000000" w:themeColor="text1"/>
                <w:sz w:val="16"/>
                <w:szCs w:val="16"/>
              </w:rPr>
              <w:t>Penicillin</w:t>
            </w:r>
          </w:p>
        </w:tc>
        <w:tc>
          <w:tcPr>
            <w:tcW w:w="803" w:type="dxa"/>
            <w:tcBorders>
              <w:top w:val="nil"/>
              <w:left w:val="nil"/>
              <w:bottom w:val="nil"/>
              <w:right w:val="nil"/>
            </w:tcBorders>
            <w:shd w:val="clear" w:color="auto" w:fill="F2DCDB"/>
            <w:vAlign w:val="bottom"/>
          </w:tcPr>
          <w:p w14:paraId="5E684194" w14:textId="77777777" w:rsidR="00CA72B0" w:rsidRDefault="00CA72B0" w:rsidP="00D862F0">
            <w:r w:rsidRPr="112F4D6F">
              <w:rPr>
                <w:rFonts w:eastAsia="Times New Roman" w:cs="Times New Roman"/>
                <w:color w:val="000000" w:themeColor="text1"/>
                <w:sz w:val="16"/>
                <w:szCs w:val="16"/>
              </w:rPr>
              <w:t>15</w:t>
            </w:r>
          </w:p>
        </w:tc>
        <w:tc>
          <w:tcPr>
            <w:tcW w:w="920" w:type="dxa"/>
            <w:tcBorders>
              <w:top w:val="nil"/>
              <w:left w:val="nil"/>
              <w:bottom w:val="nil"/>
              <w:right w:val="nil"/>
            </w:tcBorders>
            <w:shd w:val="clear" w:color="auto" w:fill="F2DCDB"/>
            <w:vAlign w:val="bottom"/>
          </w:tcPr>
          <w:p w14:paraId="60A8BF94" w14:textId="77777777" w:rsidR="00CA72B0" w:rsidRDefault="00CA72B0" w:rsidP="00D862F0">
            <w:r w:rsidRPr="112F4D6F">
              <w:rPr>
                <w:rFonts w:eastAsia="Times New Roman" w:cs="Times New Roman"/>
                <w:color w:val="000000" w:themeColor="text1"/>
                <w:sz w:val="16"/>
                <w:szCs w:val="16"/>
              </w:rPr>
              <w:t>1.29</w:t>
            </w:r>
          </w:p>
        </w:tc>
        <w:tc>
          <w:tcPr>
            <w:tcW w:w="686" w:type="dxa"/>
            <w:tcBorders>
              <w:top w:val="nil"/>
              <w:left w:val="nil"/>
              <w:bottom w:val="nil"/>
              <w:right w:val="nil"/>
            </w:tcBorders>
            <w:shd w:val="clear" w:color="auto" w:fill="F2DCDB"/>
            <w:vAlign w:val="bottom"/>
          </w:tcPr>
          <w:p w14:paraId="44CA716C" w14:textId="77777777" w:rsidR="00CA72B0" w:rsidRDefault="00CA72B0" w:rsidP="00D862F0">
            <w:r w:rsidRPr="112F4D6F">
              <w:rPr>
                <w:rFonts w:eastAsia="Times New Roman" w:cs="Times New Roman"/>
                <w:color w:val="000000" w:themeColor="text1"/>
                <w:sz w:val="16"/>
                <w:szCs w:val="16"/>
              </w:rPr>
              <w:t>1.06</w:t>
            </w:r>
          </w:p>
        </w:tc>
        <w:tc>
          <w:tcPr>
            <w:tcW w:w="765" w:type="dxa"/>
            <w:tcBorders>
              <w:top w:val="nil"/>
              <w:left w:val="nil"/>
              <w:bottom w:val="nil"/>
              <w:right w:val="nil"/>
            </w:tcBorders>
            <w:shd w:val="clear" w:color="auto" w:fill="F2DCDB"/>
            <w:vAlign w:val="bottom"/>
          </w:tcPr>
          <w:p w14:paraId="256E2237" w14:textId="77777777" w:rsidR="00CA72B0" w:rsidRDefault="00CA72B0" w:rsidP="00D862F0">
            <w:r w:rsidRPr="112F4D6F">
              <w:rPr>
                <w:rFonts w:eastAsia="Times New Roman" w:cs="Times New Roman"/>
                <w:color w:val="000000" w:themeColor="text1"/>
                <w:sz w:val="16"/>
                <w:szCs w:val="16"/>
              </w:rPr>
              <w:t>1.57</w:t>
            </w:r>
          </w:p>
        </w:tc>
      </w:tr>
      <w:tr w:rsidR="00CA72B0" w14:paraId="3F4B2516" w14:textId="77777777" w:rsidTr="00D862F0">
        <w:trPr>
          <w:trHeight w:val="225"/>
        </w:trPr>
        <w:tc>
          <w:tcPr>
            <w:tcW w:w="2278" w:type="dxa"/>
            <w:tcBorders>
              <w:top w:val="nil"/>
              <w:left w:val="nil"/>
              <w:bottom w:val="nil"/>
              <w:right w:val="nil"/>
            </w:tcBorders>
            <w:vAlign w:val="bottom"/>
          </w:tcPr>
          <w:p w14:paraId="1F4BEB15" w14:textId="77777777" w:rsidR="00CA72B0" w:rsidRDefault="00CA72B0" w:rsidP="00D862F0">
            <w:proofErr w:type="spellStart"/>
            <w:r w:rsidRPr="112F4D6F">
              <w:rPr>
                <w:rFonts w:eastAsia="Times New Roman" w:cs="Times New Roman"/>
                <w:i/>
                <w:iCs/>
                <w:color w:val="000000" w:themeColor="text1"/>
                <w:sz w:val="16"/>
                <w:szCs w:val="16"/>
              </w:rPr>
              <w:t>Haemophilus</w:t>
            </w:r>
            <w:proofErr w:type="spellEnd"/>
            <w:r w:rsidRPr="112F4D6F">
              <w:rPr>
                <w:rFonts w:eastAsia="Times New Roman" w:cs="Times New Roman"/>
                <w:i/>
                <w:iCs/>
                <w:color w:val="000000" w:themeColor="text1"/>
                <w:sz w:val="16"/>
                <w:szCs w:val="16"/>
              </w:rPr>
              <w:t xml:space="preserve"> influenzae</w:t>
            </w:r>
          </w:p>
        </w:tc>
        <w:tc>
          <w:tcPr>
            <w:tcW w:w="4030" w:type="dxa"/>
            <w:tcBorders>
              <w:top w:val="nil"/>
              <w:left w:val="nil"/>
              <w:bottom w:val="nil"/>
              <w:right w:val="nil"/>
            </w:tcBorders>
            <w:vAlign w:val="bottom"/>
          </w:tcPr>
          <w:p w14:paraId="3E8642D2" w14:textId="77777777" w:rsidR="00CA72B0" w:rsidRDefault="00CA72B0" w:rsidP="00D862F0">
            <w:r w:rsidRPr="112F4D6F">
              <w:rPr>
                <w:rFonts w:eastAsia="Times New Roman" w:cs="Times New Roman"/>
                <w:color w:val="000000" w:themeColor="text1"/>
                <w:sz w:val="16"/>
                <w:szCs w:val="16"/>
              </w:rPr>
              <w:t>Aminopenicillin</w:t>
            </w:r>
          </w:p>
        </w:tc>
        <w:tc>
          <w:tcPr>
            <w:tcW w:w="803" w:type="dxa"/>
            <w:tcBorders>
              <w:top w:val="nil"/>
              <w:left w:val="nil"/>
              <w:bottom w:val="nil"/>
              <w:right w:val="nil"/>
            </w:tcBorders>
            <w:vAlign w:val="bottom"/>
          </w:tcPr>
          <w:p w14:paraId="3FBE42FD" w14:textId="77777777" w:rsidR="00CA72B0" w:rsidRDefault="00CA72B0" w:rsidP="00D862F0">
            <w:r w:rsidRPr="112F4D6F">
              <w:rPr>
                <w:rFonts w:eastAsia="Times New Roman" w:cs="Times New Roman"/>
                <w:color w:val="000000" w:themeColor="text1"/>
                <w:sz w:val="16"/>
                <w:szCs w:val="16"/>
              </w:rPr>
              <w:t>1438</w:t>
            </w:r>
          </w:p>
        </w:tc>
        <w:tc>
          <w:tcPr>
            <w:tcW w:w="920" w:type="dxa"/>
            <w:tcBorders>
              <w:top w:val="nil"/>
              <w:left w:val="nil"/>
              <w:bottom w:val="nil"/>
              <w:right w:val="nil"/>
            </w:tcBorders>
            <w:vAlign w:val="bottom"/>
          </w:tcPr>
          <w:p w14:paraId="011CAF71" w14:textId="77777777" w:rsidR="00CA72B0" w:rsidRDefault="00CA72B0" w:rsidP="00D862F0">
            <w:r w:rsidRPr="112F4D6F">
              <w:rPr>
                <w:rFonts w:eastAsia="Times New Roman" w:cs="Times New Roman"/>
                <w:color w:val="000000" w:themeColor="text1"/>
                <w:sz w:val="16"/>
                <w:szCs w:val="16"/>
              </w:rPr>
              <w:t>1.27</w:t>
            </w:r>
          </w:p>
        </w:tc>
        <w:tc>
          <w:tcPr>
            <w:tcW w:w="686" w:type="dxa"/>
            <w:tcBorders>
              <w:top w:val="nil"/>
              <w:left w:val="nil"/>
              <w:bottom w:val="nil"/>
              <w:right w:val="nil"/>
            </w:tcBorders>
            <w:vAlign w:val="bottom"/>
          </w:tcPr>
          <w:p w14:paraId="44833920" w14:textId="77777777" w:rsidR="00CA72B0" w:rsidRDefault="00CA72B0" w:rsidP="00D862F0">
            <w:r w:rsidRPr="112F4D6F">
              <w:rPr>
                <w:rFonts w:eastAsia="Times New Roman" w:cs="Times New Roman"/>
                <w:color w:val="000000" w:themeColor="text1"/>
                <w:sz w:val="16"/>
                <w:szCs w:val="16"/>
              </w:rPr>
              <w:t>1.06</w:t>
            </w:r>
          </w:p>
        </w:tc>
        <w:tc>
          <w:tcPr>
            <w:tcW w:w="765" w:type="dxa"/>
            <w:tcBorders>
              <w:top w:val="nil"/>
              <w:left w:val="nil"/>
              <w:bottom w:val="nil"/>
              <w:right w:val="nil"/>
            </w:tcBorders>
            <w:vAlign w:val="bottom"/>
          </w:tcPr>
          <w:p w14:paraId="79334781" w14:textId="77777777" w:rsidR="00CA72B0" w:rsidRDefault="00CA72B0" w:rsidP="00D862F0">
            <w:r w:rsidRPr="112F4D6F">
              <w:rPr>
                <w:rFonts w:eastAsia="Times New Roman" w:cs="Times New Roman"/>
                <w:color w:val="000000" w:themeColor="text1"/>
                <w:sz w:val="16"/>
                <w:szCs w:val="16"/>
              </w:rPr>
              <w:t>1.51</w:t>
            </w:r>
          </w:p>
        </w:tc>
      </w:tr>
      <w:tr w:rsidR="00CA72B0" w14:paraId="16C5AFD5" w14:textId="77777777" w:rsidTr="00D862F0">
        <w:trPr>
          <w:trHeight w:val="225"/>
        </w:trPr>
        <w:tc>
          <w:tcPr>
            <w:tcW w:w="2278" w:type="dxa"/>
            <w:tcBorders>
              <w:top w:val="nil"/>
              <w:left w:val="nil"/>
              <w:bottom w:val="nil"/>
              <w:right w:val="nil"/>
            </w:tcBorders>
            <w:shd w:val="clear" w:color="auto" w:fill="F2DCDB"/>
            <w:vAlign w:val="bottom"/>
          </w:tcPr>
          <w:p w14:paraId="40DA9555" w14:textId="77777777" w:rsidR="00CA72B0" w:rsidRDefault="00CA72B0" w:rsidP="00D862F0">
            <w:proofErr w:type="spellStart"/>
            <w:r w:rsidRPr="112F4D6F">
              <w:rPr>
                <w:rFonts w:eastAsia="Times New Roman" w:cs="Times New Roman"/>
                <w:i/>
                <w:iCs/>
                <w:color w:val="000000" w:themeColor="text1"/>
                <w:sz w:val="16"/>
                <w:szCs w:val="16"/>
              </w:rPr>
              <w:t>Haemophilus</w:t>
            </w:r>
            <w:proofErr w:type="spellEnd"/>
            <w:r w:rsidRPr="112F4D6F">
              <w:rPr>
                <w:rFonts w:eastAsia="Times New Roman" w:cs="Times New Roman"/>
                <w:i/>
                <w:iCs/>
                <w:color w:val="000000" w:themeColor="text1"/>
                <w:sz w:val="16"/>
                <w:szCs w:val="16"/>
              </w:rPr>
              <w:t xml:space="preserve"> influenzae</w:t>
            </w:r>
          </w:p>
        </w:tc>
        <w:tc>
          <w:tcPr>
            <w:tcW w:w="4030" w:type="dxa"/>
            <w:tcBorders>
              <w:top w:val="nil"/>
              <w:left w:val="nil"/>
              <w:bottom w:val="nil"/>
              <w:right w:val="nil"/>
            </w:tcBorders>
            <w:shd w:val="clear" w:color="auto" w:fill="F2DCDB"/>
            <w:vAlign w:val="bottom"/>
          </w:tcPr>
          <w:p w14:paraId="1C9FBDA4"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shd w:val="clear" w:color="auto" w:fill="F2DCDB"/>
            <w:vAlign w:val="bottom"/>
          </w:tcPr>
          <w:p w14:paraId="373AF54D" w14:textId="77777777" w:rsidR="00CA72B0" w:rsidRDefault="00CA72B0" w:rsidP="00D862F0">
            <w:r w:rsidRPr="112F4D6F">
              <w:rPr>
                <w:rFonts w:eastAsia="Times New Roman" w:cs="Times New Roman"/>
                <w:color w:val="000000" w:themeColor="text1"/>
                <w:sz w:val="16"/>
                <w:szCs w:val="16"/>
              </w:rPr>
              <w:t>308</w:t>
            </w:r>
          </w:p>
        </w:tc>
        <w:tc>
          <w:tcPr>
            <w:tcW w:w="920" w:type="dxa"/>
            <w:tcBorders>
              <w:top w:val="nil"/>
              <w:left w:val="nil"/>
              <w:bottom w:val="nil"/>
              <w:right w:val="nil"/>
            </w:tcBorders>
            <w:shd w:val="clear" w:color="auto" w:fill="F2DCDB"/>
            <w:vAlign w:val="bottom"/>
          </w:tcPr>
          <w:p w14:paraId="6BE151B4" w14:textId="77777777" w:rsidR="00CA72B0" w:rsidRDefault="00CA72B0" w:rsidP="00D862F0">
            <w:r w:rsidRPr="112F4D6F">
              <w:rPr>
                <w:rFonts w:eastAsia="Times New Roman" w:cs="Times New Roman"/>
                <w:color w:val="000000" w:themeColor="text1"/>
                <w:sz w:val="16"/>
                <w:szCs w:val="16"/>
              </w:rPr>
              <w:t>1.48</w:t>
            </w:r>
          </w:p>
        </w:tc>
        <w:tc>
          <w:tcPr>
            <w:tcW w:w="686" w:type="dxa"/>
            <w:tcBorders>
              <w:top w:val="nil"/>
              <w:left w:val="nil"/>
              <w:bottom w:val="nil"/>
              <w:right w:val="nil"/>
            </w:tcBorders>
            <w:shd w:val="clear" w:color="auto" w:fill="F2DCDB"/>
            <w:vAlign w:val="bottom"/>
          </w:tcPr>
          <w:p w14:paraId="3E085236" w14:textId="77777777" w:rsidR="00CA72B0" w:rsidRDefault="00CA72B0" w:rsidP="00D862F0">
            <w:r w:rsidRPr="112F4D6F">
              <w:rPr>
                <w:rFonts w:eastAsia="Times New Roman" w:cs="Times New Roman"/>
                <w:color w:val="000000" w:themeColor="text1"/>
                <w:sz w:val="16"/>
                <w:szCs w:val="16"/>
              </w:rPr>
              <w:t>1.23</w:t>
            </w:r>
          </w:p>
        </w:tc>
        <w:tc>
          <w:tcPr>
            <w:tcW w:w="765" w:type="dxa"/>
            <w:tcBorders>
              <w:top w:val="nil"/>
              <w:left w:val="nil"/>
              <w:bottom w:val="nil"/>
              <w:right w:val="nil"/>
            </w:tcBorders>
            <w:shd w:val="clear" w:color="auto" w:fill="F2DCDB"/>
            <w:vAlign w:val="bottom"/>
          </w:tcPr>
          <w:p w14:paraId="6046CA24" w14:textId="77777777" w:rsidR="00CA72B0" w:rsidRDefault="00CA72B0" w:rsidP="00D862F0">
            <w:r w:rsidRPr="112F4D6F">
              <w:rPr>
                <w:rFonts w:eastAsia="Times New Roman" w:cs="Times New Roman"/>
                <w:color w:val="000000" w:themeColor="text1"/>
                <w:sz w:val="16"/>
                <w:szCs w:val="16"/>
              </w:rPr>
              <w:t>1.79</w:t>
            </w:r>
          </w:p>
        </w:tc>
      </w:tr>
      <w:tr w:rsidR="00CA72B0" w14:paraId="29D06154" w14:textId="77777777" w:rsidTr="00D862F0">
        <w:trPr>
          <w:trHeight w:val="225"/>
        </w:trPr>
        <w:tc>
          <w:tcPr>
            <w:tcW w:w="2278" w:type="dxa"/>
            <w:tcBorders>
              <w:top w:val="nil"/>
              <w:left w:val="nil"/>
              <w:bottom w:val="nil"/>
              <w:right w:val="nil"/>
            </w:tcBorders>
            <w:vAlign w:val="bottom"/>
          </w:tcPr>
          <w:p w14:paraId="38F72F4F"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vAlign w:val="bottom"/>
          </w:tcPr>
          <w:p w14:paraId="7DDEB4A0"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vAlign w:val="bottom"/>
          </w:tcPr>
          <w:p w14:paraId="63C4508A" w14:textId="77777777" w:rsidR="00CA72B0" w:rsidRDefault="00CA72B0" w:rsidP="00D862F0">
            <w:r w:rsidRPr="112F4D6F">
              <w:rPr>
                <w:rFonts w:eastAsia="Times New Roman" w:cs="Times New Roman"/>
                <w:color w:val="000000" w:themeColor="text1"/>
                <w:sz w:val="16"/>
                <w:szCs w:val="16"/>
              </w:rPr>
              <w:t>51811</w:t>
            </w:r>
          </w:p>
        </w:tc>
        <w:tc>
          <w:tcPr>
            <w:tcW w:w="920" w:type="dxa"/>
            <w:tcBorders>
              <w:top w:val="nil"/>
              <w:left w:val="nil"/>
              <w:bottom w:val="nil"/>
              <w:right w:val="nil"/>
            </w:tcBorders>
            <w:vAlign w:val="bottom"/>
          </w:tcPr>
          <w:p w14:paraId="7D52A60E"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vAlign w:val="bottom"/>
          </w:tcPr>
          <w:p w14:paraId="66B964D0"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vAlign w:val="bottom"/>
          </w:tcPr>
          <w:p w14:paraId="715D77F8" w14:textId="77777777" w:rsidR="00CA72B0" w:rsidRDefault="00CA72B0" w:rsidP="00D862F0">
            <w:r w:rsidRPr="112F4D6F">
              <w:rPr>
                <w:rFonts w:eastAsia="Times New Roman" w:cs="Times New Roman"/>
                <w:color w:val="000000" w:themeColor="text1"/>
                <w:sz w:val="16"/>
                <w:szCs w:val="16"/>
              </w:rPr>
              <w:t>1.32</w:t>
            </w:r>
          </w:p>
        </w:tc>
      </w:tr>
      <w:tr w:rsidR="00CA72B0" w14:paraId="5535A406" w14:textId="77777777" w:rsidTr="00D862F0">
        <w:trPr>
          <w:trHeight w:val="225"/>
        </w:trPr>
        <w:tc>
          <w:tcPr>
            <w:tcW w:w="2278" w:type="dxa"/>
            <w:tcBorders>
              <w:top w:val="nil"/>
              <w:left w:val="nil"/>
              <w:bottom w:val="nil"/>
              <w:right w:val="nil"/>
            </w:tcBorders>
            <w:shd w:val="clear" w:color="auto" w:fill="F2DCDB"/>
            <w:vAlign w:val="bottom"/>
          </w:tcPr>
          <w:p w14:paraId="3A328D49"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shd w:val="clear" w:color="auto" w:fill="F2DCDB"/>
            <w:vAlign w:val="bottom"/>
          </w:tcPr>
          <w:p w14:paraId="40630515" w14:textId="77777777" w:rsidR="00CA72B0" w:rsidRDefault="00CA72B0" w:rsidP="00D862F0">
            <w:r w:rsidRPr="112F4D6F">
              <w:rPr>
                <w:rFonts w:eastAsia="Times New Roman" w:cs="Times New Roman"/>
                <w:color w:val="000000" w:themeColor="text1"/>
                <w:sz w:val="16"/>
                <w:szCs w:val="16"/>
              </w:rPr>
              <w:t>Beta-lactam/Beta-lactamase inhibitors</w:t>
            </w:r>
          </w:p>
        </w:tc>
        <w:tc>
          <w:tcPr>
            <w:tcW w:w="803" w:type="dxa"/>
            <w:tcBorders>
              <w:top w:val="nil"/>
              <w:left w:val="nil"/>
              <w:bottom w:val="nil"/>
              <w:right w:val="nil"/>
            </w:tcBorders>
            <w:shd w:val="clear" w:color="auto" w:fill="F2DCDB"/>
            <w:vAlign w:val="bottom"/>
          </w:tcPr>
          <w:p w14:paraId="31C6CF1F" w14:textId="77777777" w:rsidR="00CA72B0" w:rsidRDefault="00CA72B0" w:rsidP="00D862F0">
            <w:r w:rsidRPr="112F4D6F">
              <w:rPr>
                <w:rFonts w:eastAsia="Times New Roman" w:cs="Times New Roman"/>
                <w:color w:val="000000" w:themeColor="text1"/>
                <w:sz w:val="16"/>
                <w:szCs w:val="16"/>
              </w:rPr>
              <w:t>46753</w:t>
            </w:r>
          </w:p>
        </w:tc>
        <w:tc>
          <w:tcPr>
            <w:tcW w:w="920" w:type="dxa"/>
            <w:tcBorders>
              <w:top w:val="nil"/>
              <w:left w:val="nil"/>
              <w:bottom w:val="nil"/>
              <w:right w:val="nil"/>
            </w:tcBorders>
            <w:shd w:val="clear" w:color="auto" w:fill="F2DCDB"/>
            <w:vAlign w:val="bottom"/>
          </w:tcPr>
          <w:p w14:paraId="33049F98" w14:textId="77777777" w:rsidR="00CA72B0" w:rsidRDefault="00CA72B0" w:rsidP="00D862F0">
            <w:r w:rsidRPr="112F4D6F">
              <w:rPr>
                <w:rFonts w:eastAsia="Times New Roman" w:cs="Times New Roman"/>
                <w:color w:val="000000" w:themeColor="text1"/>
                <w:sz w:val="16"/>
                <w:szCs w:val="16"/>
              </w:rPr>
              <w:t>1.19</w:t>
            </w:r>
          </w:p>
        </w:tc>
        <w:tc>
          <w:tcPr>
            <w:tcW w:w="686" w:type="dxa"/>
            <w:tcBorders>
              <w:top w:val="nil"/>
              <w:left w:val="nil"/>
              <w:bottom w:val="nil"/>
              <w:right w:val="nil"/>
            </w:tcBorders>
            <w:shd w:val="clear" w:color="auto" w:fill="F2DCDB"/>
            <w:vAlign w:val="bottom"/>
          </w:tcPr>
          <w:p w14:paraId="536B610F" w14:textId="77777777" w:rsidR="00CA72B0" w:rsidRDefault="00CA72B0" w:rsidP="00D862F0">
            <w:r w:rsidRPr="112F4D6F">
              <w:rPr>
                <w:rFonts w:eastAsia="Times New Roman" w:cs="Times New Roman"/>
                <w:color w:val="000000" w:themeColor="text1"/>
                <w:sz w:val="16"/>
                <w:szCs w:val="16"/>
              </w:rPr>
              <w:t>1.13</w:t>
            </w:r>
          </w:p>
        </w:tc>
        <w:tc>
          <w:tcPr>
            <w:tcW w:w="765" w:type="dxa"/>
            <w:tcBorders>
              <w:top w:val="nil"/>
              <w:left w:val="nil"/>
              <w:bottom w:val="nil"/>
              <w:right w:val="nil"/>
            </w:tcBorders>
            <w:shd w:val="clear" w:color="auto" w:fill="F2DCDB"/>
            <w:vAlign w:val="bottom"/>
          </w:tcPr>
          <w:p w14:paraId="59776A4B" w14:textId="77777777" w:rsidR="00CA72B0" w:rsidRDefault="00CA72B0" w:rsidP="00D862F0">
            <w:r w:rsidRPr="112F4D6F">
              <w:rPr>
                <w:rFonts w:eastAsia="Times New Roman" w:cs="Times New Roman"/>
                <w:color w:val="000000" w:themeColor="text1"/>
                <w:sz w:val="16"/>
                <w:szCs w:val="16"/>
              </w:rPr>
              <w:t>1.25</w:t>
            </w:r>
          </w:p>
        </w:tc>
      </w:tr>
      <w:tr w:rsidR="00CA72B0" w14:paraId="2FCA8EE0" w14:textId="77777777" w:rsidTr="00D862F0">
        <w:trPr>
          <w:trHeight w:val="225"/>
        </w:trPr>
        <w:tc>
          <w:tcPr>
            <w:tcW w:w="2278" w:type="dxa"/>
            <w:tcBorders>
              <w:top w:val="nil"/>
              <w:left w:val="nil"/>
              <w:bottom w:val="nil"/>
              <w:right w:val="nil"/>
            </w:tcBorders>
            <w:vAlign w:val="bottom"/>
          </w:tcPr>
          <w:p w14:paraId="05E25FC9"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vAlign w:val="bottom"/>
          </w:tcPr>
          <w:p w14:paraId="5881612F"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767A26A1" w14:textId="77777777" w:rsidR="00CA72B0" w:rsidRDefault="00CA72B0" w:rsidP="00D862F0">
            <w:r w:rsidRPr="112F4D6F">
              <w:rPr>
                <w:rFonts w:eastAsia="Times New Roman" w:cs="Times New Roman"/>
                <w:color w:val="000000" w:themeColor="text1"/>
                <w:sz w:val="16"/>
                <w:szCs w:val="16"/>
              </w:rPr>
              <w:t>53414</w:t>
            </w:r>
          </w:p>
        </w:tc>
        <w:tc>
          <w:tcPr>
            <w:tcW w:w="920" w:type="dxa"/>
            <w:tcBorders>
              <w:top w:val="nil"/>
              <w:left w:val="nil"/>
              <w:bottom w:val="nil"/>
              <w:right w:val="nil"/>
            </w:tcBorders>
            <w:vAlign w:val="bottom"/>
          </w:tcPr>
          <w:p w14:paraId="4728F788" w14:textId="77777777" w:rsidR="00CA72B0" w:rsidRDefault="00CA72B0" w:rsidP="00D862F0">
            <w:r w:rsidRPr="112F4D6F">
              <w:rPr>
                <w:rFonts w:eastAsia="Times New Roman" w:cs="Times New Roman"/>
                <w:color w:val="000000" w:themeColor="text1"/>
                <w:sz w:val="16"/>
                <w:szCs w:val="16"/>
              </w:rPr>
              <w:t>1.19</w:t>
            </w:r>
          </w:p>
        </w:tc>
        <w:tc>
          <w:tcPr>
            <w:tcW w:w="686" w:type="dxa"/>
            <w:tcBorders>
              <w:top w:val="nil"/>
              <w:left w:val="nil"/>
              <w:bottom w:val="nil"/>
              <w:right w:val="nil"/>
            </w:tcBorders>
            <w:vAlign w:val="bottom"/>
          </w:tcPr>
          <w:p w14:paraId="09ACFECA" w14:textId="77777777" w:rsidR="00CA72B0" w:rsidRDefault="00CA72B0" w:rsidP="00D862F0">
            <w:r w:rsidRPr="112F4D6F">
              <w:rPr>
                <w:rFonts w:eastAsia="Times New Roman" w:cs="Times New Roman"/>
                <w:color w:val="000000" w:themeColor="text1"/>
                <w:sz w:val="16"/>
                <w:szCs w:val="16"/>
              </w:rPr>
              <w:t>1.12</w:t>
            </w:r>
          </w:p>
        </w:tc>
        <w:tc>
          <w:tcPr>
            <w:tcW w:w="765" w:type="dxa"/>
            <w:tcBorders>
              <w:top w:val="nil"/>
              <w:left w:val="nil"/>
              <w:bottom w:val="nil"/>
              <w:right w:val="nil"/>
            </w:tcBorders>
            <w:vAlign w:val="bottom"/>
          </w:tcPr>
          <w:p w14:paraId="4CB751D1" w14:textId="77777777" w:rsidR="00CA72B0" w:rsidRDefault="00CA72B0" w:rsidP="00D862F0">
            <w:r w:rsidRPr="112F4D6F">
              <w:rPr>
                <w:rFonts w:eastAsia="Times New Roman" w:cs="Times New Roman"/>
                <w:color w:val="000000" w:themeColor="text1"/>
                <w:sz w:val="16"/>
                <w:szCs w:val="16"/>
              </w:rPr>
              <w:t>1.26</w:t>
            </w:r>
          </w:p>
        </w:tc>
      </w:tr>
      <w:tr w:rsidR="00CA72B0" w14:paraId="4AE47186" w14:textId="77777777" w:rsidTr="00D862F0">
        <w:trPr>
          <w:trHeight w:val="225"/>
        </w:trPr>
        <w:tc>
          <w:tcPr>
            <w:tcW w:w="2278" w:type="dxa"/>
            <w:tcBorders>
              <w:top w:val="nil"/>
              <w:left w:val="nil"/>
              <w:bottom w:val="nil"/>
              <w:right w:val="nil"/>
            </w:tcBorders>
            <w:shd w:val="clear" w:color="auto" w:fill="F2DCDB"/>
            <w:vAlign w:val="bottom"/>
          </w:tcPr>
          <w:p w14:paraId="08D7F9F3"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shd w:val="clear" w:color="auto" w:fill="F2DCDB"/>
            <w:vAlign w:val="bottom"/>
          </w:tcPr>
          <w:p w14:paraId="609C9932"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shd w:val="clear" w:color="auto" w:fill="F2DCDB"/>
            <w:vAlign w:val="bottom"/>
          </w:tcPr>
          <w:p w14:paraId="72ADFCA9" w14:textId="77777777" w:rsidR="00CA72B0" w:rsidRDefault="00CA72B0" w:rsidP="00D862F0">
            <w:r w:rsidRPr="112F4D6F">
              <w:rPr>
                <w:rFonts w:eastAsia="Times New Roman" w:cs="Times New Roman"/>
                <w:color w:val="000000" w:themeColor="text1"/>
                <w:sz w:val="16"/>
                <w:szCs w:val="16"/>
              </w:rPr>
              <w:t>51737</w:t>
            </w:r>
          </w:p>
        </w:tc>
        <w:tc>
          <w:tcPr>
            <w:tcW w:w="920" w:type="dxa"/>
            <w:tcBorders>
              <w:top w:val="nil"/>
              <w:left w:val="nil"/>
              <w:bottom w:val="nil"/>
              <w:right w:val="nil"/>
            </w:tcBorders>
            <w:shd w:val="clear" w:color="auto" w:fill="F2DCDB"/>
            <w:vAlign w:val="bottom"/>
          </w:tcPr>
          <w:p w14:paraId="17C2D602" w14:textId="77777777" w:rsidR="00CA72B0" w:rsidRDefault="00CA72B0" w:rsidP="00D862F0">
            <w:r w:rsidRPr="112F4D6F">
              <w:rPr>
                <w:rFonts w:eastAsia="Times New Roman" w:cs="Times New Roman"/>
                <w:color w:val="000000" w:themeColor="text1"/>
                <w:sz w:val="16"/>
                <w:szCs w:val="16"/>
              </w:rPr>
              <w:t>1.12</w:t>
            </w:r>
          </w:p>
        </w:tc>
        <w:tc>
          <w:tcPr>
            <w:tcW w:w="686" w:type="dxa"/>
            <w:tcBorders>
              <w:top w:val="nil"/>
              <w:left w:val="nil"/>
              <w:bottom w:val="nil"/>
              <w:right w:val="nil"/>
            </w:tcBorders>
            <w:shd w:val="clear" w:color="auto" w:fill="F2DCDB"/>
            <w:vAlign w:val="bottom"/>
          </w:tcPr>
          <w:p w14:paraId="2898D2E2" w14:textId="77777777" w:rsidR="00CA72B0" w:rsidRDefault="00CA72B0" w:rsidP="00D862F0">
            <w:r w:rsidRPr="112F4D6F">
              <w:rPr>
                <w:rFonts w:eastAsia="Times New Roman" w:cs="Times New Roman"/>
                <w:color w:val="000000" w:themeColor="text1"/>
                <w:sz w:val="16"/>
                <w:szCs w:val="16"/>
              </w:rPr>
              <w:t>1.06</w:t>
            </w:r>
          </w:p>
        </w:tc>
        <w:tc>
          <w:tcPr>
            <w:tcW w:w="765" w:type="dxa"/>
            <w:tcBorders>
              <w:top w:val="nil"/>
              <w:left w:val="nil"/>
              <w:bottom w:val="nil"/>
              <w:right w:val="nil"/>
            </w:tcBorders>
            <w:shd w:val="clear" w:color="auto" w:fill="F2DCDB"/>
            <w:vAlign w:val="bottom"/>
          </w:tcPr>
          <w:p w14:paraId="09DEFEDF" w14:textId="77777777" w:rsidR="00CA72B0" w:rsidRDefault="00CA72B0" w:rsidP="00D862F0">
            <w:r w:rsidRPr="112F4D6F">
              <w:rPr>
                <w:rFonts w:eastAsia="Times New Roman" w:cs="Times New Roman"/>
                <w:color w:val="000000" w:themeColor="text1"/>
                <w:sz w:val="16"/>
                <w:szCs w:val="16"/>
              </w:rPr>
              <w:t>1.19</w:t>
            </w:r>
          </w:p>
        </w:tc>
      </w:tr>
      <w:tr w:rsidR="00CA72B0" w14:paraId="41D68748" w14:textId="77777777" w:rsidTr="00D862F0">
        <w:trPr>
          <w:trHeight w:val="225"/>
        </w:trPr>
        <w:tc>
          <w:tcPr>
            <w:tcW w:w="2278" w:type="dxa"/>
            <w:tcBorders>
              <w:top w:val="nil"/>
              <w:left w:val="nil"/>
              <w:bottom w:val="nil"/>
              <w:right w:val="nil"/>
            </w:tcBorders>
            <w:vAlign w:val="bottom"/>
          </w:tcPr>
          <w:p w14:paraId="38E40A94" w14:textId="77777777" w:rsidR="00CA72B0" w:rsidRDefault="00CA72B0" w:rsidP="00D862F0">
            <w:proofErr w:type="spellStart"/>
            <w:r w:rsidRPr="112F4D6F">
              <w:rPr>
                <w:rFonts w:eastAsia="Times New Roman" w:cs="Times New Roman"/>
                <w:i/>
                <w:iCs/>
                <w:color w:val="000000" w:themeColor="text1"/>
                <w:sz w:val="16"/>
                <w:szCs w:val="16"/>
              </w:rPr>
              <w:t>Morganella</w:t>
            </w:r>
            <w:proofErr w:type="spellEnd"/>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1F76B4FF"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280A5D53" w14:textId="77777777" w:rsidR="00CA72B0" w:rsidRDefault="00CA72B0" w:rsidP="00D862F0">
            <w:r w:rsidRPr="112F4D6F">
              <w:rPr>
                <w:rFonts w:eastAsia="Times New Roman" w:cs="Times New Roman"/>
                <w:color w:val="000000" w:themeColor="text1"/>
                <w:sz w:val="16"/>
                <w:szCs w:val="16"/>
              </w:rPr>
              <w:t>3290</w:t>
            </w:r>
          </w:p>
        </w:tc>
        <w:tc>
          <w:tcPr>
            <w:tcW w:w="920" w:type="dxa"/>
            <w:tcBorders>
              <w:top w:val="nil"/>
              <w:left w:val="nil"/>
              <w:bottom w:val="nil"/>
              <w:right w:val="nil"/>
            </w:tcBorders>
            <w:vAlign w:val="bottom"/>
          </w:tcPr>
          <w:p w14:paraId="30AB05F5" w14:textId="77777777" w:rsidR="00CA72B0" w:rsidRDefault="00CA72B0" w:rsidP="00D862F0">
            <w:r w:rsidRPr="112F4D6F">
              <w:rPr>
                <w:rFonts w:eastAsia="Times New Roman" w:cs="Times New Roman"/>
                <w:color w:val="000000" w:themeColor="text1"/>
                <w:sz w:val="16"/>
                <w:szCs w:val="16"/>
              </w:rPr>
              <w:t>1.26</w:t>
            </w:r>
          </w:p>
        </w:tc>
        <w:tc>
          <w:tcPr>
            <w:tcW w:w="686" w:type="dxa"/>
            <w:tcBorders>
              <w:top w:val="nil"/>
              <w:left w:val="nil"/>
              <w:bottom w:val="nil"/>
              <w:right w:val="nil"/>
            </w:tcBorders>
            <w:vAlign w:val="bottom"/>
          </w:tcPr>
          <w:p w14:paraId="2C104273" w14:textId="77777777" w:rsidR="00CA72B0" w:rsidRDefault="00CA72B0" w:rsidP="00D862F0">
            <w:r w:rsidRPr="112F4D6F">
              <w:rPr>
                <w:rFonts w:eastAsia="Times New Roman" w:cs="Times New Roman"/>
                <w:color w:val="000000" w:themeColor="text1"/>
                <w:sz w:val="16"/>
                <w:szCs w:val="16"/>
              </w:rPr>
              <w:t>1.1</w:t>
            </w:r>
          </w:p>
        </w:tc>
        <w:tc>
          <w:tcPr>
            <w:tcW w:w="765" w:type="dxa"/>
            <w:tcBorders>
              <w:top w:val="nil"/>
              <w:left w:val="nil"/>
              <w:bottom w:val="nil"/>
              <w:right w:val="nil"/>
            </w:tcBorders>
            <w:vAlign w:val="bottom"/>
          </w:tcPr>
          <w:p w14:paraId="06D20355" w14:textId="77777777" w:rsidR="00CA72B0" w:rsidRDefault="00CA72B0" w:rsidP="00D862F0">
            <w:r w:rsidRPr="112F4D6F">
              <w:rPr>
                <w:rFonts w:eastAsia="Times New Roman" w:cs="Times New Roman"/>
                <w:color w:val="000000" w:themeColor="text1"/>
                <w:sz w:val="16"/>
                <w:szCs w:val="16"/>
              </w:rPr>
              <w:t>1.44</w:t>
            </w:r>
          </w:p>
        </w:tc>
      </w:tr>
      <w:tr w:rsidR="00CA72B0" w14:paraId="69BEAFF2" w14:textId="77777777" w:rsidTr="00D862F0">
        <w:trPr>
          <w:trHeight w:val="225"/>
        </w:trPr>
        <w:tc>
          <w:tcPr>
            <w:tcW w:w="2278" w:type="dxa"/>
            <w:tcBorders>
              <w:top w:val="nil"/>
              <w:left w:val="nil"/>
              <w:bottom w:val="nil"/>
              <w:right w:val="nil"/>
            </w:tcBorders>
            <w:shd w:val="clear" w:color="auto" w:fill="F2DCDB"/>
            <w:vAlign w:val="bottom"/>
          </w:tcPr>
          <w:p w14:paraId="5E109FDC" w14:textId="77777777" w:rsidR="00CA72B0" w:rsidRDefault="00CA72B0" w:rsidP="00D862F0">
            <w:proofErr w:type="spellStart"/>
            <w:r w:rsidRPr="112F4D6F">
              <w:rPr>
                <w:rFonts w:eastAsia="Times New Roman" w:cs="Times New Roman"/>
                <w:i/>
                <w:iCs/>
                <w:color w:val="000000" w:themeColor="text1"/>
                <w:sz w:val="16"/>
                <w:szCs w:val="16"/>
              </w:rPr>
              <w:t>Morganella</w:t>
            </w:r>
            <w:proofErr w:type="spellEnd"/>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3ED1986F"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shd w:val="clear" w:color="auto" w:fill="F2DCDB"/>
            <w:vAlign w:val="bottom"/>
          </w:tcPr>
          <w:p w14:paraId="09D1A82E" w14:textId="77777777" w:rsidR="00CA72B0" w:rsidRDefault="00CA72B0" w:rsidP="00D862F0">
            <w:r w:rsidRPr="112F4D6F">
              <w:rPr>
                <w:rFonts w:eastAsia="Times New Roman" w:cs="Times New Roman"/>
                <w:color w:val="000000" w:themeColor="text1"/>
                <w:sz w:val="16"/>
                <w:szCs w:val="16"/>
              </w:rPr>
              <w:t>2352</w:t>
            </w:r>
          </w:p>
        </w:tc>
        <w:tc>
          <w:tcPr>
            <w:tcW w:w="920" w:type="dxa"/>
            <w:tcBorders>
              <w:top w:val="nil"/>
              <w:left w:val="nil"/>
              <w:bottom w:val="nil"/>
              <w:right w:val="nil"/>
            </w:tcBorders>
            <w:shd w:val="clear" w:color="auto" w:fill="F2DCDB"/>
            <w:vAlign w:val="bottom"/>
          </w:tcPr>
          <w:p w14:paraId="4B2D959F" w14:textId="77777777" w:rsidR="00CA72B0" w:rsidRDefault="00CA72B0" w:rsidP="00D862F0">
            <w:r w:rsidRPr="112F4D6F">
              <w:rPr>
                <w:rFonts w:eastAsia="Times New Roman" w:cs="Times New Roman"/>
                <w:color w:val="000000" w:themeColor="text1"/>
                <w:sz w:val="16"/>
                <w:szCs w:val="16"/>
              </w:rPr>
              <w:t>1.23</w:t>
            </w:r>
          </w:p>
        </w:tc>
        <w:tc>
          <w:tcPr>
            <w:tcW w:w="686" w:type="dxa"/>
            <w:tcBorders>
              <w:top w:val="nil"/>
              <w:left w:val="nil"/>
              <w:bottom w:val="nil"/>
              <w:right w:val="nil"/>
            </w:tcBorders>
            <w:shd w:val="clear" w:color="auto" w:fill="F2DCDB"/>
            <w:vAlign w:val="bottom"/>
          </w:tcPr>
          <w:p w14:paraId="2ED1D558"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shd w:val="clear" w:color="auto" w:fill="F2DCDB"/>
            <w:vAlign w:val="bottom"/>
          </w:tcPr>
          <w:p w14:paraId="42F26FFA" w14:textId="77777777" w:rsidR="00CA72B0" w:rsidRDefault="00CA72B0" w:rsidP="00D862F0">
            <w:r w:rsidRPr="112F4D6F">
              <w:rPr>
                <w:rFonts w:eastAsia="Times New Roman" w:cs="Times New Roman"/>
                <w:color w:val="000000" w:themeColor="text1"/>
                <w:sz w:val="16"/>
                <w:szCs w:val="16"/>
              </w:rPr>
              <w:t>1.49</w:t>
            </w:r>
          </w:p>
        </w:tc>
      </w:tr>
      <w:tr w:rsidR="00CA72B0" w14:paraId="569F88A8" w14:textId="77777777" w:rsidTr="00D862F0">
        <w:trPr>
          <w:trHeight w:val="225"/>
        </w:trPr>
        <w:tc>
          <w:tcPr>
            <w:tcW w:w="2278" w:type="dxa"/>
            <w:tcBorders>
              <w:top w:val="nil"/>
              <w:left w:val="nil"/>
              <w:bottom w:val="nil"/>
              <w:right w:val="nil"/>
            </w:tcBorders>
            <w:vAlign w:val="bottom"/>
          </w:tcPr>
          <w:p w14:paraId="5370C6DB" w14:textId="77777777" w:rsidR="00CA72B0" w:rsidRDefault="00CA72B0" w:rsidP="00D862F0">
            <w:proofErr w:type="spellStart"/>
            <w:r w:rsidRPr="112F4D6F">
              <w:rPr>
                <w:rFonts w:eastAsia="Times New Roman" w:cs="Times New Roman"/>
                <w:i/>
                <w:iCs/>
                <w:color w:val="000000" w:themeColor="text1"/>
                <w:sz w:val="16"/>
                <w:szCs w:val="16"/>
              </w:rPr>
              <w:t>Morganella</w:t>
            </w:r>
            <w:proofErr w:type="spellEnd"/>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2889A7A3"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43F0D728" w14:textId="77777777" w:rsidR="00CA72B0" w:rsidRDefault="00CA72B0" w:rsidP="00D862F0">
            <w:r w:rsidRPr="112F4D6F">
              <w:rPr>
                <w:rFonts w:eastAsia="Times New Roman" w:cs="Times New Roman"/>
                <w:color w:val="000000" w:themeColor="text1"/>
                <w:sz w:val="16"/>
                <w:szCs w:val="16"/>
              </w:rPr>
              <w:t>3407</w:t>
            </w:r>
          </w:p>
        </w:tc>
        <w:tc>
          <w:tcPr>
            <w:tcW w:w="920" w:type="dxa"/>
            <w:tcBorders>
              <w:top w:val="nil"/>
              <w:left w:val="nil"/>
              <w:bottom w:val="nil"/>
              <w:right w:val="nil"/>
            </w:tcBorders>
            <w:vAlign w:val="bottom"/>
          </w:tcPr>
          <w:p w14:paraId="097AE330" w14:textId="77777777" w:rsidR="00CA72B0" w:rsidRDefault="00CA72B0" w:rsidP="00D862F0">
            <w:r w:rsidRPr="112F4D6F">
              <w:rPr>
                <w:rFonts w:eastAsia="Times New Roman" w:cs="Times New Roman"/>
                <w:color w:val="000000" w:themeColor="text1"/>
                <w:sz w:val="16"/>
                <w:szCs w:val="16"/>
              </w:rPr>
              <w:t>1.33</w:t>
            </w:r>
          </w:p>
        </w:tc>
        <w:tc>
          <w:tcPr>
            <w:tcW w:w="686" w:type="dxa"/>
            <w:tcBorders>
              <w:top w:val="nil"/>
              <w:left w:val="nil"/>
              <w:bottom w:val="nil"/>
              <w:right w:val="nil"/>
            </w:tcBorders>
            <w:vAlign w:val="bottom"/>
          </w:tcPr>
          <w:p w14:paraId="4A6A711E" w14:textId="77777777" w:rsidR="00CA72B0" w:rsidRDefault="00CA72B0" w:rsidP="00D862F0">
            <w:r w:rsidRPr="112F4D6F">
              <w:rPr>
                <w:rFonts w:eastAsia="Times New Roman" w:cs="Times New Roman"/>
                <w:color w:val="000000" w:themeColor="text1"/>
                <w:sz w:val="16"/>
                <w:szCs w:val="16"/>
              </w:rPr>
              <w:t>1.12</w:t>
            </w:r>
          </w:p>
        </w:tc>
        <w:tc>
          <w:tcPr>
            <w:tcW w:w="765" w:type="dxa"/>
            <w:tcBorders>
              <w:top w:val="nil"/>
              <w:left w:val="nil"/>
              <w:bottom w:val="nil"/>
              <w:right w:val="nil"/>
            </w:tcBorders>
            <w:vAlign w:val="bottom"/>
          </w:tcPr>
          <w:p w14:paraId="70826D14" w14:textId="77777777" w:rsidR="00CA72B0" w:rsidRDefault="00CA72B0" w:rsidP="00D862F0">
            <w:r w:rsidRPr="112F4D6F">
              <w:rPr>
                <w:rFonts w:eastAsia="Times New Roman" w:cs="Times New Roman"/>
                <w:color w:val="000000" w:themeColor="text1"/>
                <w:sz w:val="16"/>
                <w:szCs w:val="16"/>
              </w:rPr>
              <w:t>1.58</w:t>
            </w:r>
          </w:p>
        </w:tc>
      </w:tr>
      <w:tr w:rsidR="00CA72B0" w14:paraId="4B293079" w14:textId="77777777" w:rsidTr="00D862F0">
        <w:trPr>
          <w:trHeight w:val="225"/>
        </w:trPr>
        <w:tc>
          <w:tcPr>
            <w:tcW w:w="2278" w:type="dxa"/>
            <w:tcBorders>
              <w:top w:val="nil"/>
              <w:left w:val="nil"/>
              <w:bottom w:val="nil"/>
              <w:right w:val="nil"/>
            </w:tcBorders>
            <w:shd w:val="clear" w:color="auto" w:fill="F2DCDB"/>
            <w:vAlign w:val="bottom"/>
          </w:tcPr>
          <w:p w14:paraId="414A808E" w14:textId="77777777" w:rsidR="00CA72B0" w:rsidRDefault="00CA72B0" w:rsidP="00D862F0">
            <w:r w:rsidRPr="112F4D6F">
              <w:rPr>
                <w:rFonts w:eastAsia="Times New Roman" w:cs="Times New Roman"/>
                <w:i/>
                <w:iCs/>
                <w:color w:val="000000" w:themeColor="text1"/>
                <w:sz w:val="16"/>
                <w:szCs w:val="16"/>
              </w:rPr>
              <w:t>Proteus</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62329429"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shd w:val="clear" w:color="auto" w:fill="F2DCDB"/>
            <w:vAlign w:val="bottom"/>
          </w:tcPr>
          <w:p w14:paraId="496ADB29" w14:textId="77777777" w:rsidR="00CA72B0" w:rsidRDefault="00CA72B0" w:rsidP="00D862F0">
            <w:r w:rsidRPr="112F4D6F">
              <w:rPr>
                <w:rFonts w:eastAsia="Times New Roman" w:cs="Times New Roman"/>
                <w:color w:val="000000" w:themeColor="text1"/>
                <w:sz w:val="16"/>
                <w:szCs w:val="16"/>
              </w:rPr>
              <w:t>21844</w:t>
            </w:r>
          </w:p>
        </w:tc>
        <w:tc>
          <w:tcPr>
            <w:tcW w:w="920" w:type="dxa"/>
            <w:tcBorders>
              <w:top w:val="nil"/>
              <w:left w:val="nil"/>
              <w:bottom w:val="nil"/>
              <w:right w:val="nil"/>
            </w:tcBorders>
            <w:shd w:val="clear" w:color="auto" w:fill="F2DCDB"/>
            <w:vAlign w:val="bottom"/>
          </w:tcPr>
          <w:p w14:paraId="23668DD0" w14:textId="77777777" w:rsidR="00CA72B0" w:rsidRDefault="00CA72B0" w:rsidP="00D862F0">
            <w:r w:rsidRPr="112F4D6F">
              <w:rPr>
                <w:rFonts w:eastAsia="Times New Roman" w:cs="Times New Roman"/>
                <w:color w:val="000000" w:themeColor="text1"/>
                <w:sz w:val="16"/>
                <w:szCs w:val="16"/>
              </w:rPr>
              <w:t>1.1</w:t>
            </w:r>
          </w:p>
        </w:tc>
        <w:tc>
          <w:tcPr>
            <w:tcW w:w="686" w:type="dxa"/>
            <w:tcBorders>
              <w:top w:val="nil"/>
              <w:left w:val="nil"/>
              <w:bottom w:val="nil"/>
              <w:right w:val="nil"/>
            </w:tcBorders>
            <w:shd w:val="clear" w:color="auto" w:fill="F2DCDB"/>
            <w:vAlign w:val="bottom"/>
          </w:tcPr>
          <w:p w14:paraId="305B16D7" w14:textId="77777777" w:rsidR="00CA72B0" w:rsidRDefault="00CA72B0" w:rsidP="00D862F0">
            <w:r w:rsidRPr="112F4D6F">
              <w:rPr>
                <w:rFonts w:eastAsia="Times New Roman" w:cs="Times New Roman"/>
                <w:color w:val="000000" w:themeColor="text1"/>
                <w:sz w:val="16"/>
                <w:szCs w:val="16"/>
              </w:rPr>
              <w:t>1.01</w:t>
            </w:r>
          </w:p>
        </w:tc>
        <w:tc>
          <w:tcPr>
            <w:tcW w:w="765" w:type="dxa"/>
            <w:tcBorders>
              <w:top w:val="nil"/>
              <w:left w:val="nil"/>
              <w:bottom w:val="nil"/>
              <w:right w:val="nil"/>
            </w:tcBorders>
            <w:shd w:val="clear" w:color="auto" w:fill="F2DCDB"/>
            <w:vAlign w:val="bottom"/>
          </w:tcPr>
          <w:p w14:paraId="31880B60" w14:textId="77777777" w:rsidR="00CA72B0" w:rsidRDefault="00CA72B0" w:rsidP="00D862F0">
            <w:r w:rsidRPr="112F4D6F">
              <w:rPr>
                <w:rFonts w:eastAsia="Times New Roman" w:cs="Times New Roman"/>
                <w:color w:val="000000" w:themeColor="text1"/>
                <w:sz w:val="16"/>
                <w:szCs w:val="16"/>
              </w:rPr>
              <w:t>1.2</w:t>
            </w:r>
          </w:p>
        </w:tc>
      </w:tr>
      <w:tr w:rsidR="00CA72B0" w14:paraId="6D1039F3" w14:textId="77777777" w:rsidTr="00D862F0">
        <w:trPr>
          <w:trHeight w:val="225"/>
        </w:trPr>
        <w:tc>
          <w:tcPr>
            <w:tcW w:w="2278" w:type="dxa"/>
            <w:tcBorders>
              <w:top w:val="nil"/>
              <w:left w:val="nil"/>
              <w:bottom w:val="nil"/>
              <w:right w:val="nil"/>
            </w:tcBorders>
            <w:vAlign w:val="bottom"/>
          </w:tcPr>
          <w:p w14:paraId="0635808E" w14:textId="77777777" w:rsidR="00CA72B0" w:rsidRDefault="00CA72B0" w:rsidP="00D862F0">
            <w:r w:rsidRPr="112F4D6F">
              <w:rPr>
                <w:rFonts w:eastAsia="Times New Roman" w:cs="Times New Roman"/>
                <w:i/>
                <w:iCs/>
                <w:color w:val="000000" w:themeColor="text1"/>
                <w:sz w:val="16"/>
                <w:szCs w:val="16"/>
              </w:rPr>
              <w:t xml:space="preserve">Proteus </w:t>
            </w:r>
            <w:r w:rsidRPr="112F4D6F">
              <w:rPr>
                <w:rFonts w:eastAsia="Times New Roman" w:cs="Times New Roman"/>
                <w:color w:val="000000" w:themeColor="text1"/>
                <w:sz w:val="16"/>
                <w:szCs w:val="16"/>
              </w:rPr>
              <w:t>spp.</w:t>
            </w:r>
          </w:p>
        </w:tc>
        <w:tc>
          <w:tcPr>
            <w:tcW w:w="4030" w:type="dxa"/>
            <w:tcBorders>
              <w:top w:val="nil"/>
              <w:left w:val="nil"/>
              <w:bottom w:val="nil"/>
              <w:right w:val="nil"/>
            </w:tcBorders>
            <w:vAlign w:val="bottom"/>
          </w:tcPr>
          <w:p w14:paraId="4D917EF5" w14:textId="77777777" w:rsidR="00CA72B0" w:rsidRDefault="00CA72B0" w:rsidP="00D862F0">
            <w:r w:rsidRPr="112F4D6F">
              <w:rPr>
                <w:rFonts w:eastAsia="Times New Roman" w:cs="Times New Roman"/>
                <w:color w:val="000000" w:themeColor="text1"/>
                <w:sz w:val="16"/>
                <w:szCs w:val="16"/>
              </w:rPr>
              <w:t>Aminopenicillin</w:t>
            </w:r>
          </w:p>
        </w:tc>
        <w:tc>
          <w:tcPr>
            <w:tcW w:w="803" w:type="dxa"/>
            <w:tcBorders>
              <w:top w:val="nil"/>
              <w:left w:val="nil"/>
              <w:bottom w:val="nil"/>
              <w:right w:val="nil"/>
            </w:tcBorders>
            <w:vAlign w:val="bottom"/>
          </w:tcPr>
          <w:p w14:paraId="61C05FC2" w14:textId="77777777" w:rsidR="00CA72B0" w:rsidRDefault="00CA72B0" w:rsidP="00D862F0">
            <w:r w:rsidRPr="112F4D6F">
              <w:rPr>
                <w:rFonts w:eastAsia="Times New Roman" w:cs="Times New Roman"/>
                <w:color w:val="000000" w:themeColor="text1"/>
                <w:sz w:val="16"/>
                <w:szCs w:val="16"/>
              </w:rPr>
              <w:t>20638</w:t>
            </w:r>
          </w:p>
        </w:tc>
        <w:tc>
          <w:tcPr>
            <w:tcW w:w="920" w:type="dxa"/>
            <w:tcBorders>
              <w:top w:val="nil"/>
              <w:left w:val="nil"/>
              <w:bottom w:val="nil"/>
              <w:right w:val="nil"/>
            </w:tcBorders>
            <w:vAlign w:val="bottom"/>
          </w:tcPr>
          <w:p w14:paraId="2C267EC1" w14:textId="77777777" w:rsidR="00CA72B0" w:rsidRDefault="00CA72B0" w:rsidP="00D862F0">
            <w:r w:rsidRPr="112F4D6F">
              <w:rPr>
                <w:rFonts w:eastAsia="Times New Roman" w:cs="Times New Roman"/>
                <w:color w:val="000000" w:themeColor="text1"/>
                <w:sz w:val="16"/>
                <w:szCs w:val="16"/>
              </w:rPr>
              <w:t>1.01</w:t>
            </w:r>
          </w:p>
        </w:tc>
        <w:tc>
          <w:tcPr>
            <w:tcW w:w="686" w:type="dxa"/>
            <w:tcBorders>
              <w:top w:val="nil"/>
              <w:left w:val="nil"/>
              <w:bottom w:val="nil"/>
              <w:right w:val="nil"/>
            </w:tcBorders>
            <w:vAlign w:val="bottom"/>
          </w:tcPr>
          <w:p w14:paraId="5BD96D75" w14:textId="77777777" w:rsidR="00CA72B0" w:rsidRDefault="00CA72B0" w:rsidP="00D862F0">
            <w:r w:rsidRPr="112F4D6F">
              <w:rPr>
                <w:rFonts w:eastAsia="Times New Roman" w:cs="Times New Roman"/>
                <w:color w:val="000000" w:themeColor="text1"/>
                <w:sz w:val="16"/>
                <w:szCs w:val="16"/>
              </w:rPr>
              <w:t>0.94</w:t>
            </w:r>
          </w:p>
        </w:tc>
        <w:tc>
          <w:tcPr>
            <w:tcW w:w="765" w:type="dxa"/>
            <w:tcBorders>
              <w:top w:val="nil"/>
              <w:left w:val="nil"/>
              <w:bottom w:val="nil"/>
              <w:right w:val="nil"/>
            </w:tcBorders>
            <w:vAlign w:val="bottom"/>
          </w:tcPr>
          <w:p w14:paraId="3F48F5F3" w14:textId="77777777" w:rsidR="00CA72B0" w:rsidRDefault="00CA72B0" w:rsidP="00D862F0">
            <w:r w:rsidRPr="112F4D6F">
              <w:rPr>
                <w:rFonts w:eastAsia="Times New Roman" w:cs="Times New Roman"/>
                <w:color w:val="000000" w:themeColor="text1"/>
                <w:sz w:val="16"/>
                <w:szCs w:val="16"/>
              </w:rPr>
              <w:t>1.09</w:t>
            </w:r>
          </w:p>
        </w:tc>
      </w:tr>
      <w:tr w:rsidR="00CA72B0" w14:paraId="46E0B83B" w14:textId="77777777" w:rsidTr="00D862F0">
        <w:trPr>
          <w:trHeight w:val="225"/>
        </w:trPr>
        <w:tc>
          <w:tcPr>
            <w:tcW w:w="2278" w:type="dxa"/>
            <w:tcBorders>
              <w:top w:val="nil"/>
              <w:left w:val="nil"/>
              <w:bottom w:val="nil"/>
              <w:right w:val="nil"/>
            </w:tcBorders>
            <w:shd w:val="clear" w:color="auto" w:fill="F2DCDB"/>
            <w:vAlign w:val="bottom"/>
          </w:tcPr>
          <w:p w14:paraId="228C14D8" w14:textId="77777777" w:rsidR="00CA72B0" w:rsidRDefault="00CA72B0" w:rsidP="00D862F0">
            <w:r w:rsidRPr="112F4D6F">
              <w:rPr>
                <w:rFonts w:eastAsia="Times New Roman" w:cs="Times New Roman"/>
                <w:i/>
                <w:iCs/>
                <w:color w:val="000000" w:themeColor="text1"/>
                <w:sz w:val="16"/>
                <w:szCs w:val="16"/>
              </w:rPr>
              <w:t>Proteus</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730855CB"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21D036D9" w14:textId="77777777" w:rsidR="00CA72B0" w:rsidRDefault="00CA72B0" w:rsidP="00D862F0">
            <w:r w:rsidRPr="112F4D6F">
              <w:rPr>
                <w:rFonts w:eastAsia="Times New Roman" w:cs="Times New Roman"/>
                <w:color w:val="000000" w:themeColor="text1"/>
                <w:sz w:val="16"/>
                <w:szCs w:val="16"/>
              </w:rPr>
              <w:t>22141</w:t>
            </w:r>
          </w:p>
        </w:tc>
        <w:tc>
          <w:tcPr>
            <w:tcW w:w="920" w:type="dxa"/>
            <w:tcBorders>
              <w:top w:val="nil"/>
              <w:left w:val="nil"/>
              <w:bottom w:val="nil"/>
              <w:right w:val="nil"/>
            </w:tcBorders>
            <w:shd w:val="clear" w:color="auto" w:fill="F2DCDB"/>
            <w:vAlign w:val="bottom"/>
          </w:tcPr>
          <w:p w14:paraId="4BD4DE1A" w14:textId="77777777" w:rsidR="00CA72B0" w:rsidRDefault="00CA72B0" w:rsidP="00D862F0">
            <w:r w:rsidRPr="112F4D6F">
              <w:rPr>
                <w:rFonts w:eastAsia="Times New Roman" w:cs="Times New Roman"/>
                <w:color w:val="000000" w:themeColor="text1"/>
                <w:sz w:val="16"/>
                <w:szCs w:val="16"/>
              </w:rPr>
              <w:t>1.13</w:t>
            </w:r>
          </w:p>
        </w:tc>
        <w:tc>
          <w:tcPr>
            <w:tcW w:w="686" w:type="dxa"/>
            <w:tcBorders>
              <w:top w:val="nil"/>
              <w:left w:val="nil"/>
              <w:bottom w:val="nil"/>
              <w:right w:val="nil"/>
            </w:tcBorders>
            <w:shd w:val="clear" w:color="auto" w:fill="F2DCDB"/>
            <w:vAlign w:val="bottom"/>
          </w:tcPr>
          <w:p w14:paraId="405958EC" w14:textId="77777777" w:rsidR="00CA72B0" w:rsidRDefault="00CA72B0" w:rsidP="00D862F0">
            <w:r w:rsidRPr="112F4D6F">
              <w:rPr>
                <w:rFonts w:eastAsia="Times New Roman" w:cs="Times New Roman"/>
                <w:color w:val="000000" w:themeColor="text1"/>
                <w:sz w:val="16"/>
                <w:szCs w:val="16"/>
              </w:rPr>
              <w:t>1.05</w:t>
            </w:r>
          </w:p>
        </w:tc>
        <w:tc>
          <w:tcPr>
            <w:tcW w:w="765" w:type="dxa"/>
            <w:tcBorders>
              <w:top w:val="nil"/>
              <w:left w:val="nil"/>
              <w:bottom w:val="nil"/>
              <w:right w:val="nil"/>
            </w:tcBorders>
            <w:shd w:val="clear" w:color="auto" w:fill="F2DCDB"/>
            <w:vAlign w:val="bottom"/>
          </w:tcPr>
          <w:p w14:paraId="3EB52888" w14:textId="77777777" w:rsidR="00CA72B0" w:rsidRDefault="00CA72B0" w:rsidP="00D862F0">
            <w:r w:rsidRPr="112F4D6F">
              <w:rPr>
                <w:rFonts w:eastAsia="Times New Roman" w:cs="Times New Roman"/>
                <w:color w:val="000000" w:themeColor="text1"/>
                <w:sz w:val="16"/>
                <w:szCs w:val="16"/>
              </w:rPr>
              <w:t>1.21</w:t>
            </w:r>
          </w:p>
        </w:tc>
      </w:tr>
      <w:tr w:rsidR="00CA72B0" w14:paraId="0B35A027" w14:textId="77777777" w:rsidTr="00D862F0">
        <w:trPr>
          <w:trHeight w:val="225"/>
        </w:trPr>
        <w:tc>
          <w:tcPr>
            <w:tcW w:w="2278" w:type="dxa"/>
            <w:tcBorders>
              <w:top w:val="nil"/>
              <w:left w:val="nil"/>
              <w:bottom w:val="nil"/>
              <w:right w:val="nil"/>
            </w:tcBorders>
            <w:vAlign w:val="bottom"/>
          </w:tcPr>
          <w:p w14:paraId="36088C92" w14:textId="77777777" w:rsidR="00CA72B0" w:rsidRDefault="00CA72B0" w:rsidP="00D862F0">
            <w:r w:rsidRPr="112F4D6F">
              <w:rPr>
                <w:rFonts w:eastAsia="Times New Roman" w:cs="Times New Roman"/>
                <w:i/>
                <w:iCs/>
                <w:color w:val="000000" w:themeColor="text1"/>
                <w:sz w:val="16"/>
                <w:szCs w:val="16"/>
              </w:rPr>
              <w:t xml:space="preserve">Proteus </w:t>
            </w:r>
            <w:r w:rsidRPr="112F4D6F">
              <w:rPr>
                <w:rFonts w:eastAsia="Times New Roman" w:cs="Times New Roman"/>
                <w:color w:val="000000" w:themeColor="text1"/>
                <w:sz w:val="16"/>
                <w:szCs w:val="16"/>
              </w:rPr>
              <w:t>spp.</w:t>
            </w:r>
          </w:p>
        </w:tc>
        <w:tc>
          <w:tcPr>
            <w:tcW w:w="4030" w:type="dxa"/>
            <w:tcBorders>
              <w:top w:val="nil"/>
              <w:left w:val="nil"/>
              <w:bottom w:val="nil"/>
              <w:right w:val="nil"/>
            </w:tcBorders>
            <w:vAlign w:val="bottom"/>
          </w:tcPr>
          <w:p w14:paraId="01058E6A"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vAlign w:val="bottom"/>
          </w:tcPr>
          <w:p w14:paraId="4D353606" w14:textId="77777777" w:rsidR="00CA72B0" w:rsidRDefault="00CA72B0" w:rsidP="00D862F0">
            <w:r w:rsidRPr="112F4D6F">
              <w:rPr>
                <w:rFonts w:eastAsia="Times New Roman" w:cs="Times New Roman"/>
                <w:color w:val="000000" w:themeColor="text1"/>
                <w:sz w:val="16"/>
                <w:szCs w:val="16"/>
              </w:rPr>
              <w:t>21838</w:t>
            </w:r>
          </w:p>
        </w:tc>
        <w:tc>
          <w:tcPr>
            <w:tcW w:w="920" w:type="dxa"/>
            <w:tcBorders>
              <w:top w:val="nil"/>
              <w:left w:val="nil"/>
              <w:bottom w:val="nil"/>
              <w:right w:val="nil"/>
            </w:tcBorders>
            <w:vAlign w:val="bottom"/>
          </w:tcPr>
          <w:p w14:paraId="0D6662E5" w14:textId="77777777" w:rsidR="00CA72B0" w:rsidRDefault="00CA72B0" w:rsidP="00D862F0">
            <w:r w:rsidRPr="112F4D6F">
              <w:rPr>
                <w:rFonts w:eastAsia="Times New Roman" w:cs="Times New Roman"/>
                <w:color w:val="000000" w:themeColor="text1"/>
                <w:sz w:val="16"/>
                <w:szCs w:val="16"/>
              </w:rPr>
              <w:t>1.06</w:t>
            </w:r>
          </w:p>
        </w:tc>
        <w:tc>
          <w:tcPr>
            <w:tcW w:w="686" w:type="dxa"/>
            <w:tcBorders>
              <w:top w:val="nil"/>
              <w:left w:val="nil"/>
              <w:bottom w:val="nil"/>
              <w:right w:val="nil"/>
            </w:tcBorders>
            <w:vAlign w:val="bottom"/>
          </w:tcPr>
          <w:p w14:paraId="2BEC9A8C" w14:textId="77777777" w:rsidR="00CA72B0" w:rsidRDefault="00CA72B0" w:rsidP="00D862F0">
            <w:r w:rsidRPr="112F4D6F">
              <w:rPr>
                <w:rFonts w:eastAsia="Times New Roman" w:cs="Times New Roman"/>
                <w:color w:val="000000" w:themeColor="text1"/>
                <w:sz w:val="16"/>
                <w:szCs w:val="16"/>
              </w:rPr>
              <w:t>0.98</w:t>
            </w:r>
          </w:p>
        </w:tc>
        <w:tc>
          <w:tcPr>
            <w:tcW w:w="765" w:type="dxa"/>
            <w:tcBorders>
              <w:top w:val="nil"/>
              <w:left w:val="nil"/>
              <w:bottom w:val="nil"/>
              <w:right w:val="nil"/>
            </w:tcBorders>
            <w:vAlign w:val="bottom"/>
          </w:tcPr>
          <w:p w14:paraId="2EF1BEE8" w14:textId="77777777" w:rsidR="00CA72B0" w:rsidRDefault="00CA72B0" w:rsidP="00D862F0">
            <w:r w:rsidRPr="112F4D6F">
              <w:rPr>
                <w:rFonts w:eastAsia="Times New Roman" w:cs="Times New Roman"/>
                <w:color w:val="000000" w:themeColor="text1"/>
                <w:sz w:val="16"/>
                <w:szCs w:val="16"/>
              </w:rPr>
              <w:t>1.14</w:t>
            </w:r>
          </w:p>
        </w:tc>
      </w:tr>
      <w:tr w:rsidR="00CA72B0" w14:paraId="5444644F" w14:textId="77777777" w:rsidTr="00D862F0">
        <w:trPr>
          <w:trHeight w:val="225"/>
        </w:trPr>
        <w:tc>
          <w:tcPr>
            <w:tcW w:w="2278" w:type="dxa"/>
            <w:tcBorders>
              <w:top w:val="nil"/>
              <w:left w:val="nil"/>
              <w:bottom w:val="nil"/>
              <w:right w:val="nil"/>
            </w:tcBorders>
            <w:shd w:val="clear" w:color="auto" w:fill="F2DCDB"/>
            <w:vAlign w:val="bottom"/>
          </w:tcPr>
          <w:p w14:paraId="234DB1CA" w14:textId="77777777" w:rsidR="00CA72B0" w:rsidRDefault="00CA72B0" w:rsidP="00D862F0">
            <w:r w:rsidRPr="112F4D6F">
              <w:rPr>
                <w:rFonts w:eastAsia="Times New Roman" w:cs="Times New Roman"/>
                <w:i/>
                <w:iCs/>
                <w:color w:val="000000" w:themeColor="text1"/>
                <w:sz w:val="16"/>
                <w:szCs w:val="16"/>
              </w:rPr>
              <w:t>Proteus</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76AA6001"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shd w:val="clear" w:color="auto" w:fill="F2DCDB"/>
            <w:vAlign w:val="bottom"/>
          </w:tcPr>
          <w:p w14:paraId="01320D77" w14:textId="77777777" w:rsidR="00CA72B0" w:rsidRDefault="00CA72B0" w:rsidP="00D862F0">
            <w:r w:rsidRPr="112F4D6F">
              <w:rPr>
                <w:rFonts w:eastAsia="Times New Roman" w:cs="Times New Roman"/>
                <w:color w:val="000000" w:themeColor="text1"/>
                <w:sz w:val="16"/>
                <w:szCs w:val="16"/>
              </w:rPr>
              <w:t>18775</w:t>
            </w:r>
          </w:p>
        </w:tc>
        <w:tc>
          <w:tcPr>
            <w:tcW w:w="920" w:type="dxa"/>
            <w:tcBorders>
              <w:top w:val="nil"/>
              <w:left w:val="nil"/>
              <w:bottom w:val="nil"/>
              <w:right w:val="nil"/>
            </w:tcBorders>
            <w:shd w:val="clear" w:color="auto" w:fill="F2DCDB"/>
            <w:vAlign w:val="bottom"/>
          </w:tcPr>
          <w:p w14:paraId="783B2E85" w14:textId="77777777" w:rsidR="00CA72B0" w:rsidRDefault="00CA72B0" w:rsidP="00D862F0">
            <w:r w:rsidRPr="112F4D6F">
              <w:rPr>
                <w:rFonts w:eastAsia="Times New Roman" w:cs="Times New Roman"/>
                <w:color w:val="000000" w:themeColor="text1"/>
                <w:sz w:val="16"/>
                <w:szCs w:val="16"/>
              </w:rPr>
              <w:t>1.27</w:t>
            </w:r>
          </w:p>
        </w:tc>
        <w:tc>
          <w:tcPr>
            <w:tcW w:w="686" w:type="dxa"/>
            <w:tcBorders>
              <w:top w:val="nil"/>
              <w:left w:val="nil"/>
              <w:bottom w:val="nil"/>
              <w:right w:val="nil"/>
            </w:tcBorders>
            <w:shd w:val="clear" w:color="auto" w:fill="F2DCDB"/>
            <w:vAlign w:val="bottom"/>
          </w:tcPr>
          <w:p w14:paraId="1174AF8A" w14:textId="77777777" w:rsidR="00CA72B0" w:rsidRDefault="00CA72B0" w:rsidP="00D862F0">
            <w:r w:rsidRPr="112F4D6F">
              <w:rPr>
                <w:rFonts w:eastAsia="Times New Roman" w:cs="Times New Roman"/>
                <w:color w:val="000000" w:themeColor="text1"/>
                <w:sz w:val="16"/>
                <w:szCs w:val="16"/>
              </w:rPr>
              <w:t>1.08</w:t>
            </w:r>
          </w:p>
        </w:tc>
        <w:tc>
          <w:tcPr>
            <w:tcW w:w="765" w:type="dxa"/>
            <w:tcBorders>
              <w:top w:val="nil"/>
              <w:left w:val="nil"/>
              <w:bottom w:val="nil"/>
              <w:right w:val="nil"/>
            </w:tcBorders>
            <w:shd w:val="clear" w:color="auto" w:fill="F2DCDB"/>
            <w:vAlign w:val="bottom"/>
          </w:tcPr>
          <w:p w14:paraId="447EEC84" w14:textId="77777777" w:rsidR="00CA72B0" w:rsidRDefault="00CA72B0" w:rsidP="00D862F0">
            <w:r w:rsidRPr="112F4D6F">
              <w:rPr>
                <w:rFonts w:eastAsia="Times New Roman" w:cs="Times New Roman"/>
                <w:color w:val="000000" w:themeColor="text1"/>
                <w:sz w:val="16"/>
                <w:szCs w:val="16"/>
              </w:rPr>
              <w:t>1.5</w:t>
            </w:r>
          </w:p>
        </w:tc>
      </w:tr>
      <w:tr w:rsidR="00CA72B0" w14:paraId="4751485E" w14:textId="77777777" w:rsidTr="00D862F0">
        <w:trPr>
          <w:trHeight w:val="225"/>
        </w:trPr>
        <w:tc>
          <w:tcPr>
            <w:tcW w:w="2278" w:type="dxa"/>
            <w:tcBorders>
              <w:top w:val="nil"/>
              <w:left w:val="nil"/>
              <w:bottom w:val="nil"/>
              <w:right w:val="nil"/>
            </w:tcBorders>
            <w:vAlign w:val="bottom"/>
          </w:tcPr>
          <w:p w14:paraId="5EC91B2A" w14:textId="77777777" w:rsidR="00CA72B0" w:rsidRDefault="00CA72B0" w:rsidP="00D862F0">
            <w:r w:rsidRPr="112F4D6F">
              <w:rPr>
                <w:rFonts w:eastAsia="Times New Roman" w:cs="Times New Roman"/>
                <w:i/>
                <w:iCs/>
                <w:color w:val="000000" w:themeColor="text1"/>
                <w:sz w:val="16"/>
                <w:szCs w:val="16"/>
              </w:rPr>
              <w:t>Pseudomonas aeruginosa</w:t>
            </w:r>
          </w:p>
        </w:tc>
        <w:tc>
          <w:tcPr>
            <w:tcW w:w="4030" w:type="dxa"/>
            <w:tcBorders>
              <w:top w:val="nil"/>
              <w:left w:val="nil"/>
              <w:bottom w:val="nil"/>
              <w:right w:val="nil"/>
            </w:tcBorders>
            <w:vAlign w:val="bottom"/>
          </w:tcPr>
          <w:p w14:paraId="64240CBF"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vAlign w:val="bottom"/>
          </w:tcPr>
          <w:p w14:paraId="5609EA34" w14:textId="77777777" w:rsidR="00CA72B0" w:rsidRDefault="00CA72B0" w:rsidP="00D862F0">
            <w:r w:rsidRPr="112F4D6F">
              <w:rPr>
                <w:rFonts w:eastAsia="Times New Roman" w:cs="Times New Roman"/>
                <w:color w:val="000000" w:themeColor="text1"/>
                <w:sz w:val="16"/>
                <w:szCs w:val="16"/>
              </w:rPr>
              <w:t>39341</w:t>
            </w:r>
          </w:p>
        </w:tc>
        <w:tc>
          <w:tcPr>
            <w:tcW w:w="920" w:type="dxa"/>
            <w:tcBorders>
              <w:top w:val="nil"/>
              <w:left w:val="nil"/>
              <w:bottom w:val="nil"/>
              <w:right w:val="nil"/>
            </w:tcBorders>
            <w:vAlign w:val="bottom"/>
          </w:tcPr>
          <w:p w14:paraId="556ABF88" w14:textId="77777777" w:rsidR="00CA72B0" w:rsidRDefault="00CA72B0" w:rsidP="00D862F0">
            <w:r w:rsidRPr="112F4D6F">
              <w:rPr>
                <w:rFonts w:eastAsia="Times New Roman" w:cs="Times New Roman"/>
                <w:color w:val="000000" w:themeColor="text1"/>
                <w:sz w:val="16"/>
                <w:szCs w:val="16"/>
              </w:rPr>
              <w:t>1.03</w:t>
            </w:r>
          </w:p>
        </w:tc>
        <w:tc>
          <w:tcPr>
            <w:tcW w:w="686" w:type="dxa"/>
            <w:tcBorders>
              <w:top w:val="nil"/>
              <w:left w:val="nil"/>
              <w:bottom w:val="nil"/>
              <w:right w:val="nil"/>
            </w:tcBorders>
            <w:vAlign w:val="bottom"/>
          </w:tcPr>
          <w:p w14:paraId="7B429ACC" w14:textId="77777777" w:rsidR="00CA72B0" w:rsidRDefault="00CA72B0" w:rsidP="00D862F0">
            <w:r w:rsidRPr="112F4D6F">
              <w:rPr>
                <w:rFonts w:eastAsia="Times New Roman" w:cs="Times New Roman"/>
                <w:color w:val="000000" w:themeColor="text1"/>
                <w:sz w:val="16"/>
                <w:szCs w:val="16"/>
              </w:rPr>
              <w:t>0.98</w:t>
            </w:r>
          </w:p>
        </w:tc>
        <w:tc>
          <w:tcPr>
            <w:tcW w:w="765" w:type="dxa"/>
            <w:tcBorders>
              <w:top w:val="nil"/>
              <w:left w:val="nil"/>
              <w:bottom w:val="nil"/>
              <w:right w:val="nil"/>
            </w:tcBorders>
            <w:vAlign w:val="bottom"/>
          </w:tcPr>
          <w:p w14:paraId="45396E82" w14:textId="77777777" w:rsidR="00CA72B0" w:rsidRDefault="00CA72B0" w:rsidP="00D862F0">
            <w:r w:rsidRPr="112F4D6F">
              <w:rPr>
                <w:rFonts w:eastAsia="Times New Roman" w:cs="Times New Roman"/>
                <w:color w:val="000000" w:themeColor="text1"/>
                <w:sz w:val="16"/>
                <w:szCs w:val="16"/>
              </w:rPr>
              <w:t>1.09</w:t>
            </w:r>
          </w:p>
        </w:tc>
      </w:tr>
      <w:tr w:rsidR="00CA72B0" w14:paraId="6B57AD75" w14:textId="77777777" w:rsidTr="00D862F0">
        <w:trPr>
          <w:trHeight w:val="225"/>
        </w:trPr>
        <w:tc>
          <w:tcPr>
            <w:tcW w:w="2278" w:type="dxa"/>
            <w:tcBorders>
              <w:top w:val="nil"/>
              <w:left w:val="nil"/>
              <w:bottom w:val="nil"/>
              <w:right w:val="nil"/>
            </w:tcBorders>
            <w:shd w:val="clear" w:color="auto" w:fill="F2DCDB"/>
            <w:vAlign w:val="bottom"/>
          </w:tcPr>
          <w:p w14:paraId="14522182" w14:textId="77777777" w:rsidR="00CA72B0" w:rsidRDefault="00CA72B0" w:rsidP="00D862F0">
            <w:r w:rsidRPr="112F4D6F">
              <w:rPr>
                <w:rFonts w:eastAsia="Times New Roman" w:cs="Times New Roman"/>
                <w:i/>
                <w:iCs/>
                <w:color w:val="000000" w:themeColor="text1"/>
                <w:sz w:val="16"/>
                <w:szCs w:val="16"/>
              </w:rPr>
              <w:t>Pseudomonas aeruginosa</w:t>
            </w:r>
          </w:p>
        </w:tc>
        <w:tc>
          <w:tcPr>
            <w:tcW w:w="4030" w:type="dxa"/>
            <w:tcBorders>
              <w:top w:val="nil"/>
              <w:left w:val="nil"/>
              <w:bottom w:val="nil"/>
              <w:right w:val="nil"/>
            </w:tcBorders>
            <w:shd w:val="clear" w:color="auto" w:fill="F2DCDB"/>
            <w:vAlign w:val="bottom"/>
          </w:tcPr>
          <w:p w14:paraId="2DDC2629" w14:textId="77777777" w:rsidR="00CA72B0" w:rsidRDefault="00CA72B0" w:rsidP="00D862F0">
            <w:r w:rsidRPr="112F4D6F">
              <w:rPr>
                <w:rFonts w:eastAsia="Times New Roman" w:cs="Times New Roman"/>
                <w:color w:val="000000" w:themeColor="text1"/>
                <w:sz w:val="16"/>
                <w:szCs w:val="16"/>
              </w:rPr>
              <w:t>Anti-pseudomonal penicillin/Beta-lactamase inhibitors</w:t>
            </w:r>
          </w:p>
        </w:tc>
        <w:tc>
          <w:tcPr>
            <w:tcW w:w="803" w:type="dxa"/>
            <w:tcBorders>
              <w:top w:val="nil"/>
              <w:left w:val="nil"/>
              <w:bottom w:val="nil"/>
              <w:right w:val="nil"/>
            </w:tcBorders>
            <w:shd w:val="clear" w:color="auto" w:fill="F2DCDB"/>
            <w:vAlign w:val="bottom"/>
          </w:tcPr>
          <w:p w14:paraId="71B0B3A1" w14:textId="77777777" w:rsidR="00CA72B0" w:rsidRDefault="00CA72B0" w:rsidP="00D862F0">
            <w:r w:rsidRPr="112F4D6F">
              <w:rPr>
                <w:rFonts w:eastAsia="Times New Roman" w:cs="Times New Roman"/>
                <w:color w:val="000000" w:themeColor="text1"/>
                <w:sz w:val="16"/>
                <w:szCs w:val="16"/>
              </w:rPr>
              <w:t>36016</w:t>
            </w:r>
          </w:p>
        </w:tc>
        <w:tc>
          <w:tcPr>
            <w:tcW w:w="920" w:type="dxa"/>
            <w:tcBorders>
              <w:top w:val="nil"/>
              <w:left w:val="nil"/>
              <w:bottom w:val="nil"/>
              <w:right w:val="nil"/>
            </w:tcBorders>
            <w:shd w:val="clear" w:color="auto" w:fill="F2DCDB"/>
            <w:vAlign w:val="bottom"/>
          </w:tcPr>
          <w:p w14:paraId="22E8254C" w14:textId="77777777" w:rsidR="00CA72B0" w:rsidRDefault="00CA72B0" w:rsidP="00D862F0">
            <w:r w:rsidRPr="112F4D6F">
              <w:rPr>
                <w:rFonts w:eastAsia="Times New Roman" w:cs="Times New Roman"/>
                <w:color w:val="000000" w:themeColor="text1"/>
                <w:sz w:val="16"/>
                <w:szCs w:val="16"/>
              </w:rPr>
              <w:t>1.3</w:t>
            </w:r>
          </w:p>
        </w:tc>
        <w:tc>
          <w:tcPr>
            <w:tcW w:w="686" w:type="dxa"/>
            <w:tcBorders>
              <w:top w:val="nil"/>
              <w:left w:val="nil"/>
              <w:bottom w:val="nil"/>
              <w:right w:val="nil"/>
            </w:tcBorders>
            <w:shd w:val="clear" w:color="auto" w:fill="F2DCDB"/>
            <w:vAlign w:val="bottom"/>
          </w:tcPr>
          <w:p w14:paraId="3EEB8730" w14:textId="77777777" w:rsidR="00CA72B0" w:rsidRDefault="00CA72B0" w:rsidP="00D862F0">
            <w:r w:rsidRPr="112F4D6F">
              <w:rPr>
                <w:rFonts w:eastAsia="Times New Roman" w:cs="Times New Roman"/>
                <w:color w:val="000000" w:themeColor="text1"/>
                <w:sz w:val="16"/>
                <w:szCs w:val="16"/>
              </w:rPr>
              <w:t>1.22</w:t>
            </w:r>
          </w:p>
        </w:tc>
        <w:tc>
          <w:tcPr>
            <w:tcW w:w="765" w:type="dxa"/>
            <w:tcBorders>
              <w:top w:val="nil"/>
              <w:left w:val="nil"/>
              <w:bottom w:val="nil"/>
              <w:right w:val="nil"/>
            </w:tcBorders>
            <w:shd w:val="clear" w:color="auto" w:fill="F2DCDB"/>
            <w:vAlign w:val="bottom"/>
          </w:tcPr>
          <w:p w14:paraId="6CAE0737" w14:textId="77777777" w:rsidR="00CA72B0" w:rsidRDefault="00CA72B0" w:rsidP="00D862F0">
            <w:r w:rsidRPr="112F4D6F">
              <w:rPr>
                <w:rFonts w:eastAsia="Times New Roman" w:cs="Times New Roman"/>
                <w:color w:val="000000" w:themeColor="text1"/>
                <w:sz w:val="16"/>
                <w:szCs w:val="16"/>
              </w:rPr>
              <w:t>1.37</w:t>
            </w:r>
          </w:p>
        </w:tc>
      </w:tr>
      <w:tr w:rsidR="00CA72B0" w14:paraId="248C44C7" w14:textId="77777777" w:rsidTr="00D862F0">
        <w:trPr>
          <w:trHeight w:val="225"/>
        </w:trPr>
        <w:tc>
          <w:tcPr>
            <w:tcW w:w="2278" w:type="dxa"/>
            <w:tcBorders>
              <w:top w:val="nil"/>
              <w:left w:val="nil"/>
              <w:bottom w:val="nil"/>
              <w:right w:val="nil"/>
            </w:tcBorders>
            <w:vAlign w:val="bottom"/>
          </w:tcPr>
          <w:p w14:paraId="1DA651AD" w14:textId="77777777" w:rsidR="00CA72B0" w:rsidRDefault="00CA72B0" w:rsidP="00D862F0">
            <w:r w:rsidRPr="112F4D6F">
              <w:rPr>
                <w:rFonts w:eastAsia="Times New Roman" w:cs="Times New Roman"/>
                <w:i/>
                <w:iCs/>
                <w:color w:val="000000" w:themeColor="text1"/>
                <w:sz w:val="16"/>
                <w:szCs w:val="16"/>
              </w:rPr>
              <w:t>Pseudomonas aeruginosa</w:t>
            </w:r>
          </w:p>
        </w:tc>
        <w:tc>
          <w:tcPr>
            <w:tcW w:w="4030" w:type="dxa"/>
            <w:tcBorders>
              <w:top w:val="nil"/>
              <w:left w:val="nil"/>
              <w:bottom w:val="nil"/>
              <w:right w:val="nil"/>
            </w:tcBorders>
            <w:vAlign w:val="bottom"/>
          </w:tcPr>
          <w:p w14:paraId="10980A2E"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vAlign w:val="bottom"/>
          </w:tcPr>
          <w:p w14:paraId="33CB4042" w14:textId="77777777" w:rsidR="00CA72B0" w:rsidRDefault="00CA72B0" w:rsidP="00D862F0">
            <w:r w:rsidRPr="112F4D6F">
              <w:rPr>
                <w:rFonts w:eastAsia="Times New Roman" w:cs="Times New Roman"/>
                <w:color w:val="000000" w:themeColor="text1"/>
                <w:sz w:val="16"/>
                <w:szCs w:val="16"/>
              </w:rPr>
              <w:t>41177</w:t>
            </w:r>
          </w:p>
        </w:tc>
        <w:tc>
          <w:tcPr>
            <w:tcW w:w="920" w:type="dxa"/>
            <w:tcBorders>
              <w:top w:val="nil"/>
              <w:left w:val="nil"/>
              <w:bottom w:val="nil"/>
              <w:right w:val="nil"/>
            </w:tcBorders>
            <w:vAlign w:val="bottom"/>
          </w:tcPr>
          <w:p w14:paraId="176CEAA3" w14:textId="77777777" w:rsidR="00CA72B0" w:rsidRDefault="00CA72B0" w:rsidP="00D862F0">
            <w:r w:rsidRPr="112F4D6F">
              <w:rPr>
                <w:rFonts w:eastAsia="Times New Roman" w:cs="Times New Roman"/>
                <w:color w:val="000000" w:themeColor="text1"/>
                <w:sz w:val="16"/>
                <w:szCs w:val="16"/>
              </w:rPr>
              <w:t>1.27</w:t>
            </w:r>
          </w:p>
        </w:tc>
        <w:tc>
          <w:tcPr>
            <w:tcW w:w="686" w:type="dxa"/>
            <w:tcBorders>
              <w:top w:val="nil"/>
              <w:left w:val="nil"/>
              <w:bottom w:val="nil"/>
              <w:right w:val="nil"/>
            </w:tcBorders>
            <w:vAlign w:val="bottom"/>
          </w:tcPr>
          <w:p w14:paraId="48722DB4" w14:textId="77777777" w:rsidR="00CA72B0" w:rsidRDefault="00CA72B0" w:rsidP="00D862F0">
            <w:r w:rsidRPr="112F4D6F">
              <w:rPr>
                <w:rFonts w:eastAsia="Times New Roman" w:cs="Times New Roman"/>
                <w:color w:val="000000" w:themeColor="text1"/>
                <w:sz w:val="16"/>
                <w:szCs w:val="16"/>
              </w:rPr>
              <w:t>1.22</w:t>
            </w:r>
          </w:p>
        </w:tc>
        <w:tc>
          <w:tcPr>
            <w:tcW w:w="765" w:type="dxa"/>
            <w:tcBorders>
              <w:top w:val="nil"/>
              <w:left w:val="nil"/>
              <w:bottom w:val="nil"/>
              <w:right w:val="nil"/>
            </w:tcBorders>
            <w:vAlign w:val="bottom"/>
          </w:tcPr>
          <w:p w14:paraId="5F503EF6" w14:textId="77777777" w:rsidR="00CA72B0" w:rsidRDefault="00CA72B0" w:rsidP="00D862F0">
            <w:r w:rsidRPr="112F4D6F">
              <w:rPr>
                <w:rFonts w:eastAsia="Times New Roman" w:cs="Times New Roman"/>
                <w:color w:val="000000" w:themeColor="text1"/>
                <w:sz w:val="16"/>
                <w:szCs w:val="16"/>
              </w:rPr>
              <w:t>1.32</w:t>
            </w:r>
          </w:p>
        </w:tc>
      </w:tr>
      <w:tr w:rsidR="00CA72B0" w14:paraId="5503C6FC" w14:textId="77777777" w:rsidTr="00D862F0">
        <w:trPr>
          <w:trHeight w:val="225"/>
        </w:trPr>
        <w:tc>
          <w:tcPr>
            <w:tcW w:w="2278" w:type="dxa"/>
            <w:tcBorders>
              <w:top w:val="nil"/>
              <w:left w:val="nil"/>
              <w:bottom w:val="nil"/>
              <w:right w:val="nil"/>
            </w:tcBorders>
            <w:shd w:val="clear" w:color="auto" w:fill="F2DCDB"/>
            <w:vAlign w:val="bottom"/>
          </w:tcPr>
          <w:p w14:paraId="34373EDD" w14:textId="77777777" w:rsidR="00CA72B0" w:rsidRDefault="00CA72B0" w:rsidP="00D862F0">
            <w:r w:rsidRPr="112F4D6F">
              <w:rPr>
                <w:rFonts w:eastAsia="Times New Roman" w:cs="Times New Roman"/>
                <w:i/>
                <w:iCs/>
                <w:color w:val="000000" w:themeColor="text1"/>
                <w:sz w:val="16"/>
                <w:szCs w:val="16"/>
              </w:rPr>
              <w:lastRenderedPageBreak/>
              <w:t>Pseudomonas aeruginosa</w:t>
            </w:r>
          </w:p>
        </w:tc>
        <w:tc>
          <w:tcPr>
            <w:tcW w:w="4030" w:type="dxa"/>
            <w:tcBorders>
              <w:top w:val="nil"/>
              <w:left w:val="nil"/>
              <w:bottom w:val="nil"/>
              <w:right w:val="nil"/>
            </w:tcBorders>
            <w:shd w:val="clear" w:color="auto" w:fill="F2DCDB"/>
            <w:vAlign w:val="bottom"/>
          </w:tcPr>
          <w:p w14:paraId="46738372"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58867A1D" w14:textId="77777777" w:rsidR="00CA72B0" w:rsidRDefault="00CA72B0" w:rsidP="00D862F0">
            <w:r w:rsidRPr="112F4D6F">
              <w:rPr>
                <w:rFonts w:eastAsia="Times New Roman" w:cs="Times New Roman"/>
                <w:color w:val="000000" w:themeColor="text1"/>
                <w:sz w:val="16"/>
                <w:szCs w:val="16"/>
              </w:rPr>
              <w:t>47417</w:t>
            </w:r>
          </w:p>
        </w:tc>
        <w:tc>
          <w:tcPr>
            <w:tcW w:w="920" w:type="dxa"/>
            <w:tcBorders>
              <w:top w:val="nil"/>
              <w:left w:val="nil"/>
              <w:bottom w:val="nil"/>
              <w:right w:val="nil"/>
            </w:tcBorders>
            <w:shd w:val="clear" w:color="auto" w:fill="F2DCDB"/>
            <w:vAlign w:val="bottom"/>
          </w:tcPr>
          <w:p w14:paraId="3A07923D" w14:textId="77777777" w:rsidR="00CA72B0" w:rsidRDefault="00CA72B0" w:rsidP="00D862F0">
            <w:r w:rsidRPr="112F4D6F">
              <w:rPr>
                <w:rFonts w:eastAsia="Times New Roman" w:cs="Times New Roman"/>
                <w:color w:val="000000" w:themeColor="text1"/>
                <w:sz w:val="16"/>
                <w:szCs w:val="16"/>
              </w:rPr>
              <w:t>1.19</w:t>
            </w:r>
          </w:p>
        </w:tc>
        <w:tc>
          <w:tcPr>
            <w:tcW w:w="686" w:type="dxa"/>
            <w:tcBorders>
              <w:top w:val="nil"/>
              <w:left w:val="nil"/>
              <w:bottom w:val="nil"/>
              <w:right w:val="nil"/>
            </w:tcBorders>
            <w:shd w:val="clear" w:color="auto" w:fill="F2DCDB"/>
            <w:vAlign w:val="bottom"/>
          </w:tcPr>
          <w:p w14:paraId="4F81F09F" w14:textId="77777777" w:rsidR="00CA72B0" w:rsidRDefault="00CA72B0" w:rsidP="00D862F0">
            <w:r w:rsidRPr="112F4D6F">
              <w:rPr>
                <w:rFonts w:eastAsia="Times New Roman" w:cs="Times New Roman"/>
                <w:color w:val="000000" w:themeColor="text1"/>
                <w:sz w:val="16"/>
                <w:szCs w:val="16"/>
              </w:rPr>
              <w:t>1.15</w:t>
            </w:r>
          </w:p>
        </w:tc>
        <w:tc>
          <w:tcPr>
            <w:tcW w:w="765" w:type="dxa"/>
            <w:tcBorders>
              <w:top w:val="nil"/>
              <w:left w:val="nil"/>
              <w:bottom w:val="nil"/>
              <w:right w:val="nil"/>
            </w:tcBorders>
            <w:shd w:val="clear" w:color="auto" w:fill="F2DCDB"/>
            <w:vAlign w:val="bottom"/>
          </w:tcPr>
          <w:p w14:paraId="46F8E205" w14:textId="77777777" w:rsidR="00CA72B0" w:rsidRDefault="00CA72B0" w:rsidP="00D862F0">
            <w:r w:rsidRPr="112F4D6F">
              <w:rPr>
                <w:rFonts w:eastAsia="Times New Roman" w:cs="Times New Roman"/>
                <w:color w:val="000000" w:themeColor="text1"/>
                <w:sz w:val="16"/>
                <w:szCs w:val="16"/>
              </w:rPr>
              <w:t>1.23</w:t>
            </w:r>
          </w:p>
        </w:tc>
      </w:tr>
      <w:tr w:rsidR="00CA72B0" w14:paraId="597B0859" w14:textId="77777777" w:rsidTr="00D862F0">
        <w:trPr>
          <w:trHeight w:val="225"/>
        </w:trPr>
        <w:tc>
          <w:tcPr>
            <w:tcW w:w="2278" w:type="dxa"/>
            <w:tcBorders>
              <w:top w:val="nil"/>
              <w:left w:val="nil"/>
              <w:bottom w:val="nil"/>
              <w:right w:val="nil"/>
            </w:tcBorders>
            <w:vAlign w:val="bottom"/>
          </w:tcPr>
          <w:p w14:paraId="0CF5A457" w14:textId="77777777" w:rsidR="00CA72B0" w:rsidRDefault="00CA72B0" w:rsidP="00D862F0">
            <w:r w:rsidRPr="112F4D6F">
              <w:rPr>
                <w:rFonts w:eastAsia="Times New Roman" w:cs="Times New Roman"/>
                <w:i/>
                <w:iCs/>
                <w:color w:val="000000" w:themeColor="text1"/>
                <w:sz w:val="16"/>
                <w:szCs w:val="16"/>
              </w:rPr>
              <w:t>Pseudomonas aeruginosa</w:t>
            </w:r>
          </w:p>
        </w:tc>
        <w:tc>
          <w:tcPr>
            <w:tcW w:w="4030" w:type="dxa"/>
            <w:tcBorders>
              <w:top w:val="nil"/>
              <w:left w:val="nil"/>
              <w:bottom w:val="nil"/>
              <w:right w:val="nil"/>
            </w:tcBorders>
            <w:vAlign w:val="bottom"/>
          </w:tcPr>
          <w:p w14:paraId="46AE5B92"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vAlign w:val="bottom"/>
          </w:tcPr>
          <w:p w14:paraId="29FBD232" w14:textId="77777777" w:rsidR="00CA72B0" w:rsidRDefault="00CA72B0" w:rsidP="00D862F0">
            <w:r w:rsidRPr="112F4D6F">
              <w:rPr>
                <w:rFonts w:eastAsia="Times New Roman" w:cs="Times New Roman"/>
                <w:color w:val="000000" w:themeColor="text1"/>
                <w:sz w:val="16"/>
                <w:szCs w:val="16"/>
              </w:rPr>
              <w:t>34020</w:t>
            </w:r>
          </w:p>
        </w:tc>
        <w:tc>
          <w:tcPr>
            <w:tcW w:w="920" w:type="dxa"/>
            <w:tcBorders>
              <w:top w:val="nil"/>
              <w:left w:val="nil"/>
              <w:bottom w:val="nil"/>
              <w:right w:val="nil"/>
            </w:tcBorders>
            <w:vAlign w:val="bottom"/>
          </w:tcPr>
          <w:p w14:paraId="3CBBA00E"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vAlign w:val="bottom"/>
          </w:tcPr>
          <w:p w14:paraId="04F81567"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vAlign w:val="bottom"/>
          </w:tcPr>
          <w:p w14:paraId="3C59BB81" w14:textId="77777777" w:rsidR="00CA72B0" w:rsidRDefault="00CA72B0" w:rsidP="00D862F0">
            <w:r w:rsidRPr="112F4D6F">
              <w:rPr>
                <w:rFonts w:eastAsia="Times New Roman" w:cs="Times New Roman"/>
                <w:color w:val="000000" w:themeColor="text1"/>
                <w:sz w:val="16"/>
                <w:szCs w:val="16"/>
              </w:rPr>
              <w:t>1.31</w:t>
            </w:r>
          </w:p>
        </w:tc>
      </w:tr>
      <w:tr w:rsidR="00CA72B0" w14:paraId="4CC0A616" w14:textId="77777777" w:rsidTr="00D862F0">
        <w:trPr>
          <w:trHeight w:val="225"/>
        </w:trPr>
        <w:tc>
          <w:tcPr>
            <w:tcW w:w="2278" w:type="dxa"/>
            <w:tcBorders>
              <w:top w:val="nil"/>
              <w:left w:val="nil"/>
              <w:bottom w:val="nil"/>
              <w:right w:val="nil"/>
            </w:tcBorders>
            <w:shd w:val="clear" w:color="auto" w:fill="F2DCDB"/>
            <w:vAlign w:val="bottom"/>
          </w:tcPr>
          <w:p w14:paraId="5FFC18EB" w14:textId="77777777" w:rsidR="00CA72B0" w:rsidRDefault="00CA72B0" w:rsidP="00D862F0">
            <w:r w:rsidRPr="112F4D6F">
              <w:rPr>
                <w:rFonts w:eastAsia="Times New Roman" w:cs="Times New Roman"/>
                <w:i/>
                <w:iCs/>
                <w:color w:val="000000" w:themeColor="text1"/>
                <w:sz w:val="16"/>
                <w:szCs w:val="16"/>
              </w:rPr>
              <w:t>Pseudomonas aeruginosa</w:t>
            </w:r>
          </w:p>
        </w:tc>
        <w:tc>
          <w:tcPr>
            <w:tcW w:w="4030" w:type="dxa"/>
            <w:tcBorders>
              <w:top w:val="nil"/>
              <w:left w:val="nil"/>
              <w:bottom w:val="nil"/>
              <w:right w:val="nil"/>
            </w:tcBorders>
            <w:shd w:val="clear" w:color="auto" w:fill="F2DCDB"/>
            <w:vAlign w:val="bottom"/>
          </w:tcPr>
          <w:p w14:paraId="6554E05C"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shd w:val="clear" w:color="auto" w:fill="F2DCDB"/>
            <w:vAlign w:val="bottom"/>
          </w:tcPr>
          <w:p w14:paraId="04302655" w14:textId="77777777" w:rsidR="00CA72B0" w:rsidRDefault="00CA72B0" w:rsidP="00D862F0">
            <w:r w:rsidRPr="112F4D6F">
              <w:rPr>
                <w:rFonts w:eastAsia="Times New Roman" w:cs="Times New Roman"/>
                <w:color w:val="000000" w:themeColor="text1"/>
                <w:sz w:val="16"/>
                <w:szCs w:val="16"/>
              </w:rPr>
              <w:t>31041</w:t>
            </w:r>
          </w:p>
        </w:tc>
        <w:tc>
          <w:tcPr>
            <w:tcW w:w="920" w:type="dxa"/>
            <w:tcBorders>
              <w:top w:val="nil"/>
              <w:left w:val="nil"/>
              <w:bottom w:val="nil"/>
              <w:right w:val="nil"/>
            </w:tcBorders>
            <w:shd w:val="clear" w:color="auto" w:fill="F2DCDB"/>
            <w:vAlign w:val="bottom"/>
          </w:tcPr>
          <w:p w14:paraId="463B367D" w14:textId="77777777" w:rsidR="00CA72B0" w:rsidRDefault="00CA72B0" w:rsidP="00D862F0">
            <w:r w:rsidRPr="112F4D6F">
              <w:rPr>
                <w:rFonts w:eastAsia="Times New Roman" w:cs="Times New Roman"/>
                <w:color w:val="000000" w:themeColor="text1"/>
                <w:sz w:val="16"/>
                <w:szCs w:val="16"/>
              </w:rPr>
              <w:t>1.35</w:t>
            </w:r>
          </w:p>
        </w:tc>
        <w:tc>
          <w:tcPr>
            <w:tcW w:w="686" w:type="dxa"/>
            <w:tcBorders>
              <w:top w:val="nil"/>
              <w:left w:val="nil"/>
              <w:bottom w:val="nil"/>
              <w:right w:val="nil"/>
            </w:tcBorders>
            <w:shd w:val="clear" w:color="auto" w:fill="F2DCDB"/>
            <w:vAlign w:val="bottom"/>
          </w:tcPr>
          <w:p w14:paraId="68A6284F" w14:textId="77777777" w:rsidR="00CA72B0" w:rsidRDefault="00CA72B0" w:rsidP="00D862F0">
            <w:r w:rsidRPr="112F4D6F">
              <w:rPr>
                <w:rFonts w:eastAsia="Times New Roman" w:cs="Times New Roman"/>
                <w:color w:val="000000" w:themeColor="text1"/>
                <w:sz w:val="16"/>
                <w:szCs w:val="16"/>
              </w:rPr>
              <w:t>1.15</w:t>
            </w:r>
          </w:p>
        </w:tc>
        <w:tc>
          <w:tcPr>
            <w:tcW w:w="765" w:type="dxa"/>
            <w:tcBorders>
              <w:top w:val="nil"/>
              <w:left w:val="nil"/>
              <w:bottom w:val="nil"/>
              <w:right w:val="nil"/>
            </w:tcBorders>
            <w:shd w:val="clear" w:color="auto" w:fill="F2DCDB"/>
            <w:vAlign w:val="bottom"/>
          </w:tcPr>
          <w:p w14:paraId="496542CE" w14:textId="77777777" w:rsidR="00CA72B0" w:rsidRDefault="00CA72B0" w:rsidP="00D862F0">
            <w:r w:rsidRPr="112F4D6F">
              <w:rPr>
                <w:rFonts w:eastAsia="Times New Roman" w:cs="Times New Roman"/>
                <w:color w:val="000000" w:themeColor="text1"/>
                <w:sz w:val="16"/>
                <w:szCs w:val="16"/>
              </w:rPr>
              <w:t>1.59</w:t>
            </w:r>
          </w:p>
        </w:tc>
      </w:tr>
      <w:tr w:rsidR="00CA72B0" w14:paraId="6618BD84" w14:textId="77777777" w:rsidTr="00D862F0">
        <w:trPr>
          <w:trHeight w:val="225"/>
        </w:trPr>
        <w:tc>
          <w:tcPr>
            <w:tcW w:w="2278" w:type="dxa"/>
            <w:tcBorders>
              <w:top w:val="nil"/>
              <w:left w:val="nil"/>
              <w:bottom w:val="nil"/>
              <w:right w:val="nil"/>
            </w:tcBorders>
            <w:vAlign w:val="bottom"/>
          </w:tcPr>
          <w:p w14:paraId="15B07E40"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2EE81213" w14:textId="77777777" w:rsidR="00CA72B0" w:rsidRDefault="00CA72B0" w:rsidP="00D862F0">
            <w:r w:rsidRPr="112F4D6F">
              <w:rPr>
                <w:rFonts w:eastAsia="Times New Roman" w:cs="Times New Roman"/>
                <w:color w:val="000000" w:themeColor="text1"/>
                <w:sz w:val="16"/>
                <w:szCs w:val="16"/>
              </w:rPr>
              <w:t>Aminoglycosides</w:t>
            </w:r>
          </w:p>
        </w:tc>
        <w:tc>
          <w:tcPr>
            <w:tcW w:w="803" w:type="dxa"/>
            <w:tcBorders>
              <w:top w:val="nil"/>
              <w:left w:val="nil"/>
              <w:bottom w:val="nil"/>
              <w:right w:val="nil"/>
            </w:tcBorders>
            <w:vAlign w:val="bottom"/>
          </w:tcPr>
          <w:p w14:paraId="180A3EEB" w14:textId="77777777" w:rsidR="00CA72B0" w:rsidRDefault="00CA72B0" w:rsidP="00D862F0">
            <w:r w:rsidRPr="112F4D6F">
              <w:rPr>
                <w:rFonts w:eastAsia="Times New Roman" w:cs="Times New Roman"/>
                <w:color w:val="000000" w:themeColor="text1"/>
                <w:sz w:val="16"/>
                <w:szCs w:val="16"/>
              </w:rPr>
              <w:t>5250</w:t>
            </w:r>
          </w:p>
        </w:tc>
        <w:tc>
          <w:tcPr>
            <w:tcW w:w="920" w:type="dxa"/>
            <w:tcBorders>
              <w:top w:val="nil"/>
              <w:left w:val="nil"/>
              <w:bottom w:val="nil"/>
              <w:right w:val="nil"/>
            </w:tcBorders>
            <w:vAlign w:val="bottom"/>
          </w:tcPr>
          <w:p w14:paraId="5C1C72F2" w14:textId="77777777" w:rsidR="00CA72B0" w:rsidRDefault="00CA72B0" w:rsidP="00D862F0">
            <w:r w:rsidRPr="112F4D6F">
              <w:rPr>
                <w:rFonts w:eastAsia="Times New Roman" w:cs="Times New Roman"/>
                <w:color w:val="000000" w:themeColor="text1"/>
                <w:sz w:val="16"/>
                <w:szCs w:val="16"/>
              </w:rPr>
              <w:t>1.05</w:t>
            </w:r>
          </w:p>
        </w:tc>
        <w:tc>
          <w:tcPr>
            <w:tcW w:w="686" w:type="dxa"/>
            <w:tcBorders>
              <w:top w:val="nil"/>
              <w:left w:val="nil"/>
              <w:bottom w:val="nil"/>
              <w:right w:val="nil"/>
            </w:tcBorders>
            <w:vAlign w:val="bottom"/>
          </w:tcPr>
          <w:p w14:paraId="4A7282E2" w14:textId="77777777" w:rsidR="00CA72B0" w:rsidRDefault="00CA72B0" w:rsidP="00D862F0">
            <w:r w:rsidRPr="112F4D6F">
              <w:rPr>
                <w:rFonts w:eastAsia="Times New Roman" w:cs="Times New Roman"/>
                <w:color w:val="000000" w:themeColor="text1"/>
                <w:sz w:val="16"/>
                <w:szCs w:val="16"/>
              </w:rPr>
              <w:t>0.93</w:t>
            </w:r>
          </w:p>
        </w:tc>
        <w:tc>
          <w:tcPr>
            <w:tcW w:w="765" w:type="dxa"/>
            <w:tcBorders>
              <w:top w:val="nil"/>
              <w:left w:val="nil"/>
              <w:bottom w:val="nil"/>
              <w:right w:val="nil"/>
            </w:tcBorders>
            <w:vAlign w:val="bottom"/>
          </w:tcPr>
          <w:p w14:paraId="2613F131" w14:textId="77777777" w:rsidR="00CA72B0" w:rsidRDefault="00CA72B0" w:rsidP="00D862F0">
            <w:r w:rsidRPr="112F4D6F">
              <w:rPr>
                <w:rFonts w:eastAsia="Times New Roman" w:cs="Times New Roman"/>
                <w:color w:val="000000" w:themeColor="text1"/>
                <w:sz w:val="16"/>
                <w:szCs w:val="16"/>
              </w:rPr>
              <w:t>1.19</w:t>
            </w:r>
          </w:p>
        </w:tc>
      </w:tr>
      <w:tr w:rsidR="00CA72B0" w14:paraId="0CE14B04" w14:textId="77777777" w:rsidTr="00D862F0">
        <w:trPr>
          <w:trHeight w:val="225"/>
        </w:trPr>
        <w:tc>
          <w:tcPr>
            <w:tcW w:w="2278" w:type="dxa"/>
            <w:tcBorders>
              <w:top w:val="nil"/>
              <w:left w:val="nil"/>
              <w:bottom w:val="nil"/>
              <w:right w:val="nil"/>
            </w:tcBorders>
            <w:shd w:val="clear" w:color="auto" w:fill="F2DCDB"/>
            <w:vAlign w:val="bottom"/>
          </w:tcPr>
          <w:p w14:paraId="5E2B4D30"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3E3D1B48" w14:textId="77777777" w:rsidR="00CA72B0" w:rsidRDefault="00CA72B0" w:rsidP="00D862F0">
            <w:r w:rsidRPr="112F4D6F">
              <w:rPr>
                <w:rFonts w:eastAsia="Times New Roman" w:cs="Times New Roman"/>
                <w:color w:val="000000" w:themeColor="text1"/>
                <w:sz w:val="16"/>
                <w:szCs w:val="16"/>
              </w:rPr>
              <w:t>Anti-pseudomonal penicillin/Beta-lactamase inhibitors</w:t>
            </w:r>
          </w:p>
        </w:tc>
        <w:tc>
          <w:tcPr>
            <w:tcW w:w="803" w:type="dxa"/>
            <w:tcBorders>
              <w:top w:val="nil"/>
              <w:left w:val="nil"/>
              <w:bottom w:val="nil"/>
              <w:right w:val="nil"/>
            </w:tcBorders>
            <w:shd w:val="clear" w:color="auto" w:fill="F2DCDB"/>
            <w:vAlign w:val="bottom"/>
          </w:tcPr>
          <w:p w14:paraId="494C61C3" w14:textId="77777777" w:rsidR="00CA72B0" w:rsidRDefault="00CA72B0" w:rsidP="00D862F0">
            <w:r w:rsidRPr="112F4D6F">
              <w:rPr>
                <w:rFonts w:eastAsia="Times New Roman" w:cs="Times New Roman"/>
                <w:color w:val="000000" w:themeColor="text1"/>
                <w:sz w:val="16"/>
                <w:szCs w:val="16"/>
              </w:rPr>
              <w:t>3003</w:t>
            </w:r>
          </w:p>
        </w:tc>
        <w:tc>
          <w:tcPr>
            <w:tcW w:w="920" w:type="dxa"/>
            <w:tcBorders>
              <w:top w:val="nil"/>
              <w:left w:val="nil"/>
              <w:bottom w:val="nil"/>
              <w:right w:val="nil"/>
            </w:tcBorders>
            <w:shd w:val="clear" w:color="auto" w:fill="F2DCDB"/>
            <w:vAlign w:val="bottom"/>
          </w:tcPr>
          <w:p w14:paraId="124F500E" w14:textId="77777777" w:rsidR="00CA72B0" w:rsidRDefault="00CA72B0" w:rsidP="00D862F0">
            <w:r w:rsidRPr="112F4D6F">
              <w:rPr>
                <w:rFonts w:eastAsia="Times New Roman" w:cs="Times New Roman"/>
                <w:color w:val="000000" w:themeColor="text1"/>
                <w:sz w:val="16"/>
                <w:szCs w:val="16"/>
              </w:rPr>
              <w:t>1.17</w:t>
            </w:r>
          </w:p>
        </w:tc>
        <w:tc>
          <w:tcPr>
            <w:tcW w:w="686" w:type="dxa"/>
            <w:tcBorders>
              <w:top w:val="nil"/>
              <w:left w:val="nil"/>
              <w:bottom w:val="nil"/>
              <w:right w:val="nil"/>
            </w:tcBorders>
            <w:shd w:val="clear" w:color="auto" w:fill="F2DCDB"/>
            <w:vAlign w:val="bottom"/>
          </w:tcPr>
          <w:p w14:paraId="07BEF73D" w14:textId="77777777" w:rsidR="00CA72B0" w:rsidRDefault="00CA72B0" w:rsidP="00D862F0">
            <w:r w:rsidRPr="112F4D6F">
              <w:rPr>
                <w:rFonts w:eastAsia="Times New Roman" w:cs="Times New Roman"/>
                <w:color w:val="000000" w:themeColor="text1"/>
                <w:sz w:val="16"/>
                <w:szCs w:val="16"/>
              </w:rPr>
              <w:t>1.01</w:t>
            </w:r>
          </w:p>
        </w:tc>
        <w:tc>
          <w:tcPr>
            <w:tcW w:w="765" w:type="dxa"/>
            <w:tcBorders>
              <w:top w:val="nil"/>
              <w:left w:val="nil"/>
              <w:bottom w:val="nil"/>
              <w:right w:val="nil"/>
            </w:tcBorders>
            <w:shd w:val="clear" w:color="auto" w:fill="F2DCDB"/>
            <w:vAlign w:val="bottom"/>
          </w:tcPr>
          <w:p w14:paraId="441FA3F2" w14:textId="77777777" w:rsidR="00CA72B0" w:rsidRDefault="00CA72B0" w:rsidP="00D862F0">
            <w:r w:rsidRPr="112F4D6F">
              <w:rPr>
                <w:rFonts w:eastAsia="Times New Roman" w:cs="Times New Roman"/>
                <w:color w:val="000000" w:themeColor="text1"/>
                <w:sz w:val="16"/>
                <w:szCs w:val="16"/>
              </w:rPr>
              <w:t>1.35</w:t>
            </w:r>
          </w:p>
        </w:tc>
      </w:tr>
      <w:tr w:rsidR="00CA72B0" w14:paraId="1D1DEEA0" w14:textId="77777777" w:rsidTr="00D862F0">
        <w:trPr>
          <w:trHeight w:val="225"/>
        </w:trPr>
        <w:tc>
          <w:tcPr>
            <w:tcW w:w="2278" w:type="dxa"/>
            <w:tcBorders>
              <w:top w:val="nil"/>
              <w:left w:val="nil"/>
              <w:bottom w:val="nil"/>
              <w:right w:val="nil"/>
            </w:tcBorders>
            <w:vAlign w:val="bottom"/>
          </w:tcPr>
          <w:p w14:paraId="3A079299"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4F8FCF9F"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vAlign w:val="bottom"/>
          </w:tcPr>
          <w:p w14:paraId="5B1CF102" w14:textId="77777777" w:rsidR="00CA72B0" w:rsidRDefault="00CA72B0" w:rsidP="00D862F0">
            <w:r w:rsidRPr="112F4D6F">
              <w:rPr>
                <w:rFonts w:eastAsia="Times New Roman" w:cs="Times New Roman"/>
                <w:color w:val="000000" w:themeColor="text1"/>
                <w:sz w:val="16"/>
                <w:szCs w:val="16"/>
              </w:rPr>
              <w:t>3639</w:t>
            </w:r>
          </w:p>
        </w:tc>
        <w:tc>
          <w:tcPr>
            <w:tcW w:w="920" w:type="dxa"/>
            <w:tcBorders>
              <w:top w:val="nil"/>
              <w:left w:val="nil"/>
              <w:bottom w:val="nil"/>
              <w:right w:val="nil"/>
            </w:tcBorders>
            <w:vAlign w:val="bottom"/>
          </w:tcPr>
          <w:p w14:paraId="0056C94D" w14:textId="77777777" w:rsidR="00CA72B0" w:rsidRDefault="00CA72B0" w:rsidP="00D862F0">
            <w:r w:rsidRPr="112F4D6F">
              <w:rPr>
                <w:rFonts w:eastAsia="Times New Roman" w:cs="Times New Roman"/>
                <w:color w:val="000000" w:themeColor="text1"/>
                <w:sz w:val="16"/>
                <w:szCs w:val="16"/>
              </w:rPr>
              <w:t>1.39</w:t>
            </w:r>
          </w:p>
        </w:tc>
        <w:tc>
          <w:tcPr>
            <w:tcW w:w="686" w:type="dxa"/>
            <w:tcBorders>
              <w:top w:val="nil"/>
              <w:left w:val="nil"/>
              <w:bottom w:val="nil"/>
              <w:right w:val="nil"/>
            </w:tcBorders>
            <w:vAlign w:val="bottom"/>
          </w:tcPr>
          <w:p w14:paraId="1C752DD8" w14:textId="77777777" w:rsidR="00CA72B0" w:rsidRDefault="00CA72B0" w:rsidP="00D862F0">
            <w:r w:rsidRPr="112F4D6F">
              <w:rPr>
                <w:rFonts w:eastAsia="Times New Roman" w:cs="Times New Roman"/>
                <w:color w:val="000000" w:themeColor="text1"/>
                <w:sz w:val="16"/>
                <w:szCs w:val="16"/>
              </w:rPr>
              <w:t>1.2</w:t>
            </w:r>
          </w:p>
        </w:tc>
        <w:tc>
          <w:tcPr>
            <w:tcW w:w="765" w:type="dxa"/>
            <w:tcBorders>
              <w:top w:val="nil"/>
              <w:left w:val="nil"/>
              <w:bottom w:val="nil"/>
              <w:right w:val="nil"/>
            </w:tcBorders>
            <w:vAlign w:val="bottom"/>
          </w:tcPr>
          <w:p w14:paraId="566C8B04" w14:textId="77777777" w:rsidR="00CA72B0" w:rsidRDefault="00CA72B0" w:rsidP="00D862F0">
            <w:r w:rsidRPr="112F4D6F">
              <w:rPr>
                <w:rFonts w:eastAsia="Times New Roman" w:cs="Times New Roman"/>
                <w:color w:val="000000" w:themeColor="text1"/>
                <w:sz w:val="16"/>
                <w:szCs w:val="16"/>
              </w:rPr>
              <w:t>1.63</w:t>
            </w:r>
          </w:p>
        </w:tc>
      </w:tr>
      <w:tr w:rsidR="00CA72B0" w14:paraId="48F66987" w14:textId="77777777" w:rsidTr="00D862F0">
        <w:trPr>
          <w:trHeight w:val="225"/>
        </w:trPr>
        <w:tc>
          <w:tcPr>
            <w:tcW w:w="2278" w:type="dxa"/>
            <w:tcBorders>
              <w:top w:val="nil"/>
              <w:left w:val="nil"/>
              <w:bottom w:val="nil"/>
              <w:right w:val="nil"/>
            </w:tcBorders>
            <w:shd w:val="clear" w:color="auto" w:fill="F2DCDB"/>
            <w:vAlign w:val="bottom"/>
          </w:tcPr>
          <w:p w14:paraId="20581F42"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6FB3E41E"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63433521" w14:textId="77777777" w:rsidR="00CA72B0" w:rsidRDefault="00CA72B0" w:rsidP="00D862F0">
            <w:r w:rsidRPr="112F4D6F">
              <w:rPr>
                <w:rFonts w:eastAsia="Times New Roman" w:cs="Times New Roman"/>
                <w:color w:val="000000" w:themeColor="text1"/>
                <w:sz w:val="16"/>
                <w:szCs w:val="16"/>
              </w:rPr>
              <w:t>5252</w:t>
            </w:r>
          </w:p>
        </w:tc>
        <w:tc>
          <w:tcPr>
            <w:tcW w:w="920" w:type="dxa"/>
            <w:tcBorders>
              <w:top w:val="nil"/>
              <w:left w:val="nil"/>
              <w:bottom w:val="nil"/>
              <w:right w:val="nil"/>
            </w:tcBorders>
            <w:shd w:val="clear" w:color="auto" w:fill="F2DCDB"/>
            <w:vAlign w:val="bottom"/>
          </w:tcPr>
          <w:p w14:paraId="245A11ED" w14:textId="77777777" w:rsidR="00CA72B0" w:rsidRDefault="00CA72B0" w:rsidP="00D862F0">
            <w:r w:rsidRPr="112F4D6F">
              <w:rPr>
                <w:rFonts w:eastAsia="Times New Roman" w:cs="Times New Roman"/>
                <w:color w:val="000000" w:themeColor="text1"/>
                <w:sz w:val="16"/>
                <w:szCs w:val="16"/>
              </w:rPr>
              <w:t>1.09</w:t>
            </w:r>
          </w:p>
        </w:tc>
        <w:tc>
          <w:tcPr>
            <w:tcW w:w="686" w:type="dxa"/>
            <w:tcBorders>
              <w:top w:val="nil"/>
              <w:left w:val="nil"/>
              <w:bottom w:val="nil"/>
              <w:right w:val="nil"/>
            </w:tcBorders>
            <w:shd w:val="clear" w:color="auto" w:fill="F2DCDB"/>
            <w:vAlign w:val="bottom"/>
          </w:tcPr>
          <w:p w14:paraId="2E6E69E5" w14:textId="77777777" w:rsidR="00CA72B0" w:rsidRDefault="00CA72B0" w:rsidP="00D862F0">
            <w:r w:rsidRPr="112F4D6F">
              <w:rPr>
                <w:rFonts w:eastAsia="Times New Roman" w:cs="Times New Roman"/>
                <w:color w:val="000000" w:themeColor="text1"/>
                <w:sz w:val="16"/>
                <w:szCs w:val="16"/>
              </w:rPr>
              <w:t>0.94</w:t>
            </w:r>
          </w:p>
        </w:tc>
        <w:tc>
          <w:tcPr>
            <w:tcW w:w="765" w:type="dxa"/>
            <w:tcBorders>
              <w:top w:val="nil"/>
              <w:left w:val="nil"/>
              <w:bottom w:val="nil"/>
              <w:right w:val="nil"/>
            </w:tcBorders>
            <w:shd w:val="clear" w:color="auto" w:fill="F2DCDB"/>
            <w:vAlign w:val="bottom"/>
          </w:tcPr>
          <w:p w14:paraId="5CE143E4" w14:textId="77777777" w:rsidR="00CA72B0" w:rsidRDefault="00CA72B0" w:rsidP="00D862F0">
            <w:r w:rsidRPr="112F4D6F">
              <w:rPr>
                <w:rFonts w:eastAsia="Times New Roman" w:cs="Times New Roman"/>
                <w:color w:val="000000" w:themeColor="text1"/>
                <w:sz w:val="16"/>
                <w:szCs w:val="16"/>
              </w:rPr>
              <w:t>1.26</w:t>
            </w:r>
          </w:p>
        </w:tc>
      </w:tr>
      <w:tr w:rsidR="00CA72B0" w14:paraId="568FBE69" w14:textId="77777777" w:rsidTr="00D862F0">
        <w:trPr>
          <w:trHeight w:val="225"/>
        </w:trPr>
        <w:tc>
          <w:tcPr>
            <w:tcW w:w="2278" w:type="dxa"/>
            <w:tcBorders>
              <w:top w:val="nil"/>
              <w:left w:val="nil"/>
              <w:bottom w:val="nil"/>
              <w:right w:val="nil"/>
            </w:tcBorders>
            <w:vAlign w:val="bottom"/>
          </w:tcPr>
          <w:p w14:paraId="303B48DE"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6D674AE8" w14:textId="77777777" w:rsidR="00CA72B0" w:rsidRDefault="00CA72B0" w:rsidP="00D862F0">
            <w:r w:rsidRPr="112F4D6F">
              <w:rPr>
                <w:rFonts w:eastAsia="Times New Roman" w:cs="Times New Roman"/>
                <w:color w:val="000000" w:themeColor="text1"/>
                <w:sz w:val="16"/>
                <w:szCs w:val="16"/>
              </w:rPr>
              <w:t>Fourth-generation cephalosporins</w:t>
            </w:r>
          </w:p>
        </w:tc>
        <w:tc>
          <w:tcPr>
            <w:tcW w:w="803" w:type="dxa"/>
            <w:tcBorders>
              <w:top w:val="nil"/>
              <w:left w:val="nil"/>
              <w:bottom w:val="nil"/>
              <w:right w:val="nil"/>
            </w:tcBorders>
            <w:vAlign w:val="bottom"/>
          </w:tcPr>
          <w:p w14:paraId="2EB19374" w14:textId="77777777" w:rsidR="00CA72B0" w:rsidRDefault="00CA72B0" w:rsidP="00D862F0">
            <w:r w:rsidRPr="112F4D6F">
              <w:rPr>
                <w:rFonts w:eastAsia="Times New Roman" w:cs="Times New Roman"/>
                <w:color w:val="000000" w:themeColor="text1"/>
                <w:sz w:val="16"/>
                <w:szCs w:val="16"/>
              </w:rPr>
              <w:t>3928</w:t>
            </w:r>
          </w:p>
        </w:tc>
        <w:tc>
          <w:tcPr>
            <w:tcW w:w="920" w:type="dxa"/>
            <w:tcBorders>
              <w:top w:val="nil"/>
              <w:left w:val="nil"/>
              <w:bottom w:val="nil"/>
              <w:right w:val="nil"/>
            </w:tcBorders>
            <w:vAlign w:val="bottom"/>
          </w:tcPr>
          <w:p w14:paraId="6D7295A4" w14:textId="77777777" w:rsidR="00CA72B0" w:rsidRDefault="00CA72B0" w:rsidP="00D862F0">
            <w:r w:rsidRPr="112F4D6F">
              <w:rPr>
                <w:rFonts w:eastAsia="Times New Roman" w:cs="Times New Roman"/>
                <w:color w:val="000000" w:themeColor="text1"/>
                <w:sz w:val="16"/>
                <w:szCs w:val="16"/>
              </w:rPr>
              <w:t>1.17</w:t>
            </w:r>
          </w:p>
        </w:tc>
        <w:tc>
          <w:tcPr>
            <w:tcW w:w="686" w:type="dxa"/>
            <w:tcBorders>
              <w:top w:val="nil"/>
              <w:left w:val="nil"/>
              <w:bottom w:val="nil"/>
              <w:right w:val="nil"/>
            </w:tcBorders>
            <w:vAlign w:val="bottom"/>
          </w:tcPr>
          <w:p w14:paraId="5FE39FE0" w14:textId="77777777" w:rsidR="00CA72B0" w:rsidRDefault="00CA72B0" w:rsidP="00D862F0">
            <w:r w:rsidRPr="112F4D6F">
              <w:rPr>
                <w:rFonts w:eastAsia="Times New Roman" w:cs="Times New Roman"/>
                <w:color w:val="000000" w:themeColor="text1"/>
                <w:sz w:val="16"/>
                <w:szCs w:val="16"/>
              </w:rPr>
              <w:t>0.99</w:t>
            </w:r>
          </w:p>
        </w:tc>
        <w:tc>
          <w:tcPr>
            <w:tcW w:w="765" w:type="dxa"/>
            <w:tcBorders>
              <w:top w:val="nil"/>
              <w:left w:val="nil"/>
              <w:bottom w:val="nil"/>
              <w:right w:val="nil"/>
            </w:tcBorders>
            <w:vAlign w:val="bottom"/>
          </w:tcPr>
          <w:p w14:paraId="3A793269" w14:textId="77777777" w:rsidR="00CA72B0" w:rsidRDefault="00CA72B0" w:rsidP="00D862F0">
            <w:r w:rsidRPr="112F4D6F">
              <w:rPr>
                <w:rFonts w:eastAsia="Times New Roman" w:cs="Times New Roman"/>
                <w:color w:val="000000" w:themeColor="text1"/>
                <w:sz w:val="16"/>
                <w:szCs w:val="16"/>
              </w:rPr>
              <w:t>1.38</w:t>
            </w:r>
          </w:p>
        </w:tc>
      </w:tr>
      <w:tr w:rsidR="00CA72B0" w14:paraId="01B081B2" w14:textId="77777777" w:rsidTr="00D862F0">
        <w:trPr>
          <w:trHeight w:val="225"/>
        </w:trPr>
        <w:tc>
          <w:tcPr>
            <w:tcW w:w="2278" w:type="dxa"/>
            <w:tcBorders>
              <w:top w:val="nil"/>
              <w:left w:val="nil"/>
              <w:bottom w:val="nil"/>
              <w:right w:val="nil"/>
            </w:tcBorders>
            <w:shd w:val="clear" w:color="auto" w:fill="F2DCDB"/>
            <w:vAlign w:val="bottom"/>
          </w:tcPr>
          <w:p w14:paraId="63889AEF" w14:textId="77777777" w:rsidR="00CA72B0" w:rsidRDefault="00CA72B0" w:rsidP="00D862F0">
            <w:r w:rsidRPr="112F4D6F">
              <w:rPr>
                <w:rFonts w:eastAsia="Times New Roman" w:cs="Times New Roman"/>
                <w:i/>
                <w:iCs/>
                <w:color w:val="000000" w:themeColor="text1"/>
                <w:sz w:val="16"/>
                <w:szCs w:val="16"/>
              </w:rPr>
              <w:t>Serratia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shd w:val="clear" w:color="auto" w:fill="F2DCDB"/>
            <w:vAlign w:val="bottom"/>
          </w:tcPr>
          <w:p w14:paraId="0AACA608"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shd w:val="clear" w:color="auto" w:fill="F2DCDB"/>
            <w:vAlign w:val="bottom"/>
          </w:tcPr>
          <w:p w14:paraId="1C6A4744" w14:textId="77777777" w:rsidR="00CA72B0" w:rsidRDefault="00CA72B0" w:rsidP="00D862F0">
            <w:r w:rsidRPr="112F4D6F">
              <w:rPr>
                <w:rFonts w:eastAsia="Times New Roman" w:cs="Times New Roman"/>
                <w:color w:val="000000" w:themeColor="text1"/>
                <w:sz w:val="16"/>
                <w:szCs w:val="16"/>
              </w:rPr>
              <w:t>5960</w:t>
            </w:r>
          </w:p>
        </w:tc>
        <w:tc>
          <w:tcPr>
            <w:tcW w:w="920" w:type="dxa"/>
            <w:tcBorders>
              <w:top w:val="nil"/>
              <w:left w:val="nil"/>
              <w:bottom w:val="nil"/>
              <w:right w:val="nil"/>
            </w:tcBorders>
            <w:shd w:val="clear" w:color="auto" w:fill="F2DCDB"/>
            <w:vAlign w:val="bottom"/>
          </w:tcPr>
          <w:p w14:paraId="343CC4AF" w14:textId="77777777" w:rsidR="00CA72B0" w:rsidRDefault="00CA72B0" w:rsidP="00D862F0">
            <w:r w:rsidRPr="112F4D6F">
              <w:rPr>
                <w:rFonts w:eastAsia="Times New Roman" w:cs="Times New Roman"/>
                <w:color w:val="000000" w:themeColor="text1"/>
                <w:sz w:val="16"/>
                <w:szCs w:val="16"/>
              </w:rPr>
              <w:t>1.29</w:t>
            </w:r>
          </w:p>
        </w:tc>
        <w:tc>
          <w:tcPr>
            <w:tcW w:w="686" w:type="dxa"/>
            <w:tcBorders>
              <w:top w:val="nil"/>
              <w:left w:val="nil"/>
              <w:bottom w:val="nil"/>
              <w:right w:val="nil"/>
            </w:tcBorders>
            <w:shd w:val="clear" w:color="auto" w:fill="F2DCDB"/>
            <w:vAlign w:val="bottom"/>
          </w:tcPr>
          <w:p w14:paraId="1A524445" w14:textId="77777777" w:rsidR="00CA72B0" w:rsidRDefault="00CA72B0" w:rsidP="00D862F0">
            <w:r w:rsidRPr="112F4D6F">
              <w:rPr>
                <w:rFonts w:eastAsia="Times New Roman" w:cs="Times New Roman"/>
                <w:color w:val="000000" w:themeColor="text1"/>
                <w:sz w:val="16"/>
                <w:szCs w:val="16"/>
              </w:rPr>
              <w:t>1.09</w:t>
            </w:r>
          </w:p>
        </w:tc>
        <w:tc>
          <w:tcPr>
            <w:tcW w:w="765" w:type="dxa"/>
            <w:tcBorders>
              <w:top w:val="nil"/>
              <w:left w:val="nil"/>
              <w:bottom w:val="nil"/>
              <w:right w:val="nil"/>
            </w:tcBorders>
            <w:shd w:val="clear" w:color="auto" w:fill="F2DCDB"/>
            <w:vAlign w:val="bottom"/>
          </w:tcPr>
          <w:p w14:paraId="6111C49C" w14:textId="77777777" w:rsidR="00CA72B0" w:rsidRDefault="00CA72B0" w:rsidP="00D862F0">
            <w:r w:rsidRPr="112F4D6F">
              <w:rPr>
                <w:rFonts w:eastAsia="Times New Roman" w:cs="Times New Roman"/>
                <w:color w:val="000000" w:themeColor="text1"/>
                <w:sz w:val="16"/>
                <w:szCs w:val="16"/>
              </w:rPr>
              <w:t>1.52</w:t>
            </w:r>
          </w:p>
        </w:tc>
      </w:tr>
      <w:tr w:rsidR="00CA72B0" w14:paraId="2E95BD9F" w14:textId="77777777" w:rsidTr="00D862F0">
        <w:trPr>
          <w:trHeight w:val="225"/>
        </w:trPr>
        <w:tc>
          <w:tcPr>
            <w:tcW w:w="2278" w:type="dxa"/>
            <w:tcBorders>
              <w:top w:val="nil"/>
              <w:left w:val="nil"/>
              <w:bottom w:val="nil"/>
              <w:right w:val="nil"/>
            </w:tcBorders>
            <w:vAlign w:val="bottom"/>
          </w:tcPr>
          <w:p w14:paraId="6B6C4827" w14:textId="77777777" w:rsidR="00CA72B0" w:rsidRDefault="00CA72B0" w:rsidP="00D862F0">
            <w:r w:rsidRPr="112F4D6F">
              <w:rPr>
                <w:rFonts w:eastAsia="Times New Roman" w:cs="Times New Roman"/>
                <w:i/>
                <w:iCs/>
                <w:color w:val="000000" w:themeColor="text1"/>
                <w:sz w:val="16"/>
                <w:szCs w:val="16"/>
              </w:rPr>
              <w:t>Staphylococcus aureus</w:t>
            </w:r>
          </w:p>
        </w:tc>
        <w:tc>
          <w:tcPr>
            <w:tcW w:w="4030" w:type="dxa"/>
            <w:tcBorders>
              <w:top w:val="nil"/>
              <w:left w:val="nil"/>
              <w:bottom w:val="nil"/>
              <w:right w:val="nil"/>
            </w:tcBorders>
            <w:vAlign w:val="bottom"/>
          </w:tcPr>
          <w:p w14:paraId="3418ECBE"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3B3F0712" w14:textId="77777777" w:rsidR="00CA72B0" w:rsidRDefault="00CA72B0" w:rsidP="00D862F0">
            <w:r w:rsidRPr="112F4D6F">
              <w:rPr>
                <w:rFonts w:eastAsia="Times New Roman" w:cs="Times New Roman"/>
                <w:color w:val="000000" w:themeColor="text1"/>
                <w:sz w:val="16"/>
                <w:szCs w:val="16"/>
              </w:rPr>
              <w:t>37963</w:t>
            </w:r>
          </w:p>
        </w:tc>
        <w:tc>
          <w:tcPr>
            <w:tcW w:w="920" w:type="dxa"/>
            <w:tcBorders>
              <w:top w:val="nil"/>
              <w:left w:val="nil"/>
              <w:bottom w:val="nil"/>
              <w:right w:val="nil"/>
            </w:tcBorders>
            <w:vAlign w:val="bottom"/>
          </w:tcPr>
          <w:p w14:paraId="7BFF1367" w14:textId="77777777" w:rsidR="00CA72B0" w:rsidRDefault="00CA72B0" w:rsidP="00D862F0">
            <w:r w:rsidRPr="112F4D6F">
              <w:rPr>
                <w:rFonts w:eastAsia="Times New Roman" w:cs="Times New Roman"/>
                <w:color w:val="000000" w:themeColor="text1"/>
                <w:sz w:val="16"/>
                <w:szCs w:val="16"/>
              </w:rPr>
              <w:t>1.07</w:t>
            </w:r>
          </w:p>
        </w:tc>
        <w:tc>
          <w:tcPr>
            <w:tcW w:w="686" w:type="dxa"/>
            <w:tcBorders>
              <w:top w:val="nil"/>
              <w:left w:val="nil"/>
              <w:bottom w:val="nil"/>
              <w:right w:val="nil"/>
            </w:tcBorders>
            <w:vAlign w:val="bottom"/>
          </w:tcPr>
          <w:p w14:paraId="03985CC5"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vAlign w:val="bottom"/>
          </w:tcPr>
          <w:p w14:paraId="072B98E8" w14:textId="77777777" w:rsidR="00CA72B0" w:rsidRDefault="00CA72B0" w:rsidP="00D862F0">
            <w:r w:rsidRPr="112F4D6F">
              <w:rPr>
                <w:rFonts w:eastAsia="Times New Roman" w:cs="Times New Roman"/>
                <w:color w:val="000000" w:themeColor="text1"/>
                <w:sz w:val="16"/>
                <w:szCs w:val="16"/>
              </w:rPr>
              <w:t>1.11</w:t>
            </w:r>
          </w:p>
        </w:tc>
      </w:tr>
      <w:tr w:rsidR="00CA72B0" w14:paraId="0EC86D3F" w14:textId="77777777" w:rsidTr="00D862F0">
        <w:trPr>
          <w:trHeight w:val="225"/>
        </w:trPr>
        <w:tc>
          <w:tcPr>
            <w:tcW w:w="2278" w:type="dxa"/>
            <w:tcBorders>
              <w:top w:val="nil"/>
              <w:left w:val="nil"/>
              <w:bottom w:val="nil"/>
              <w:right w:val="nil"/>
            </w:tcBorders>
            <w:shd w:val="clear" w:color="auto" w:fill="F2DCDB"/>
            <w:vAlign w:val="bottom"/>
          </w:tcPr>
          <w:p w14:paraId="41983F39" w14:textId="77777777" w:rsidR="00CA72B0" w:rsidRDefault="00CA72B0" w:rsidP="00D862F0">
            <w:r w:rsidRPr="112F4D6F">
              <w:rPr>
                <w:rFonts w:eastAsia="Times New Roman" w:cs="Times New Roman"/>
                <w:i/>
                <w:iCs/>
                <w:color w:val="000000" w:themeColor="text1"/>
                <w:sz w:val="16"/>
                <w:szCs w:val="16"/>
              </w:rPr>
              <w:t>Staphylococcus aureus</w:t>
            </w:r>
          </w:p>
        </w:tc>
        <w:tc>
          <w:tcPr>
            <w:tcW w:w="4030" w:type="dxa"/>
            <w:tcBorders>
              <w:top w:val="nil"/>
              <w:left w:val="nil"/>
              <w:bottom w:val="nil"/>
              <w:right w:val="nil"/>
            </w:tcBorders>
            <w:shd w:val="clear" w:color="auto" w:fill="F2DCDB"/>
            <w:vAlign w:val="bottom"/>
          </w:tcPr>
          <w:p w14:paraId="08BE4BF8" w14:textId="77777777" w:rsidR="00CA72B0" w:rsidRDefault="00CA72B0" w:rsidP="00D862F0">
            <w:r w:rsidRPr="112F4D6F">
              <w:rPr>
                <w:rFonts w:eastAsia="Times New Roman" w:cs="Times New Roman"/>
                <w:color w:val="000000" w:themeColor="text1"/>
                <w:sz w:val="16"/>
                <w:szCs w:val="16"/>
              </w:rPr>
              <w:t>Macrolide</w:t>
            </w:r>
          </w:p>
        </w:tc>
        <w:tc>
          <w:tcPr>
            <w:tcW w:w="803" w:type="dxa"/>
            <w:tcBorders>
              <w:top w:val="nil"/>
              <w:left w:val="nil"/>
              <w:bottom w:val="nil"/>
              <w:right w:val="nil"/>
            </w:tcBorders>
            <w:shd w:val="clear" w:color="auto" w:fill="F2DCDB"/>
            <w:vAlign w:val="bottom"/>
          </w:tcPr>
          <w:p w14:paraId="07752FE8" w14:textId="77777777" w:rsidR="00CA72B0" w:rsidRDefault="00CA72B0" w:rsidP="00D862F0">
            <w:r w:rsidRPr="112F4D6F">
              <w:rPr>
                <w:rFonts w:eastAsia="Times New Roman" w:cs="Times New Roman"/>
                <w:color w:val="000000" w:themeColor="text1"/>
                <w:sz w:val="16"/>
                <w:szCs w:val="16"/>
              </w:rPr>
              <w:t>53005</w:t>
            </w:r>
          </w:p>
        </w:tc>
        <w:tc>
          <w:tcPr>
            <w:tcW w:w="920" w:type="dxa"/>
            <w:tcBorders>
              <w:top w:val="nil"/>
              <w:left w:val="nil"/>
              <w:bottom w:val="nil"/>
              <w:right w:val="nil"/>
            </w:tcBorders>
            <w:shd w:val="clear" w:color="auto" w:fill="F2DCDB"/>
            <w:vAlign w:val="bottom"/>
          </w:tcPr>
          <w:p w14:paraId="35BB7D59" w14:textId="77777777" w:rsidR="00CA72B0" w:rsidRDefault="00CA72B0" w:rsidP="00D862F0">
            <w:r w:rsidRPr="112F4D6F">
              <w:rPr>
                <w:rFonts w:eastAsia="Times New Roman" w:cs="Times New Roman"/>
                <w:color w:val="000000" w:themeColor="text1"/>
                <w:sz w:val="16"/>
                <w:szCs w:val="16"/>
              </w:rPr>
              <w:t>1.06</w:t>
            </w:r>
          </w:p>
        </w:tc>
        <w:tc>
          <w:tcPr>
            <w:tcW w:w="686" w:type="dxa"/>
            <w:tcBorders>
              <w:top w:val="nil"/>
              <w:left w:val="nil"/>
              <w:bottom w:val="nil"/>
              <w:right w:val="nil"/>
            </w:tcBorders>
            <w:shd w:val="clear" w:color="auto" w:fill="F2DCDB"/>
            <w:vAlign w:val="bottom"/>
          </w:tcPr>
          <w:p w14:paraId="74C47D4B"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shd w:val="clear" w:color="auto" w:fill="F2DCDB"/>
            <w:vAlign w:val="bottom"/>
          </w:tcPr>
          <w:p w14:paraId="3107AEC4" w14:textId="77777777" w:rsidR="00CA72B0" w:rsidRDefault="00CA72B0" w:rsidP="00D862F0">
            <w:r w:rsidRPr="112F4D6F">
              <w:rPr>
                <w:rFonts w:eastAsia="Times New Roman" w:cs="Times New Roman"/>
                <w:color w:val="000000" w:themeColor="text1"/>
                <w:sz w:val="16"/>
                <w:szCs w:val="16"/>
              </w:rPr>
              <w:t>1.09</w:t>
            </w:r>
          </w:p>
        </w:tc>
      </w:tr>
      <w:tr w:rsidR="00CA72B0" w14:paraId="17F3E20C" w14:textId="77777777" w:rsidTr="00D862F0">
        <w:trPr>
          <w:trHeight w:val="225"/>
        </w:trPr>
        <w:tc>
          <w:tcPr>
            <w:tcW w:w="2278" w:type="dxa"/>
            <w:tcBorders>
              <w:top w:val="nil"/>
              <w:left w:val="nil"/>
              <w:bottom w:val="nil"/>
              <w:right w:val="nil"/>
            </w:tcBorders>
            <w:vAlign w:val="bottom"/>
          </w:tcPr>
          <w:p w14:paraId="3A13CDC6" w14:textId="77777777" w:rsidR="00CA72B0" w:rsidRDefault="00CA72B0" w:rsidP="00D862F0">
            <w:r w:rsidRPr="112F4D6F">
              <w:rPr>
                <w:rFonts w:eastAsia="Times New Roman" w:cs="Times New Roman"/>
                <w:i/>
                <w:iCs/>
                <w:color w:val="000000" w:themeColor="text1"/>
                <w:sz w:val="16"/>
                <w:szCs w:val="16"/>
              </w:rPr>
              <w:t>Staphylococcus aureus</w:t>
            </w:r>
          </w:p>
        </w:tc>
        <w:tc>
          <w:tcPr>
            <w:tcW w:w="4030" w:type="dxa"/>
            <w:tcBorders>
              <w:top w:val="nil"/>
              <w:left w:val="nil"/>
              <w:bottom w:val="nil"/>
              <w:right w:val="nil"/>
            </w:tcBorders>
            <w:vAlign w:val="bottom"/>
          </w:tcPr>
          <w:p w14:paraId="24C9EE23"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vAlign w:val="bottom"/>
          </w:tcPr>
          <w:p w14:paraId="71C179F2" w14:textId="77777777" w:rsidR="00CA72B0" w:rsidRDefault="00CA72B0" w:rsidP="00D862F0">
            <w:r w:rsidRPr="112F4D6F">
              <w:rPr>
                <w:rFonts w:eastAsia="Times New Roman" w:cs="Times New Roman"/>
                <w:color w:val="000000" w:themeColor="text1"/>
                <w:sz w:val="16"/>
                <w:szCs w:val="16"/>
              </w:rPr>
              <w:t>59632</w:t>
            </w:r>
          </w:p>
        </w:tc>
        <w:tc>
          <w:tcPr>
            <w:tcW w:w="920" w:type="dxa"/>
            <w:tcBorders>
              <w:top w:val="nil"/>
              <w:left w:val="nil"/>
              <w:bottom w:val="nil"/>
              <w:right w:val="nil"/>
            </w:tcBorders>
            <w:vAlign w:val="bottom"/>
          </w:tcPr>
          <w:p w14:paraId="267032D3" w14:textId="77777777" w:rsidR="00CA72B0" w:rsidRDefault="00CA72B0" w:rsidP="00D862F0">
            <w:r w:rsidRPr="112F4D6F">
              <w:rPr>
                <w:rFonts w:eastAsia="Times New Roman" w:cs="Times New Roman"/>
                <w:color w:val="000000" w:themeColor="text1"/>
                <w:sz w:val="16"/>
                <w:szCs w:val="16"/>
              </w:rPr>
              <w:t>1.17</w:t>
            </w:r>
          </w:p>
        </w:tc>
        <w:tc>
          <w:tcPr>
            <w:tcW w:w="686" w:type="dxa"/>
            <w:tcBorders>
              <w:top w:val="nil"/>
              <w:left w:val="nil"/>
              <w:bottom w:val="nil"/>
              <w:right w:val="nil"/>
            </w:tcBorders>
            <w:vAlign w:val="bottom"/>
          </w:tcPr>
          <w:p w14:paraId="395A9082" w14:textId="77777777" w:rsidR="00CA72B0" w:rsidRDefault="00CA72B0" w:rsidP="00D862F0">
            <w:r w:rsidRPr="112F4D6F">
              <w:rPr>
                <w:rFonts w:eastAsia="Times New Roman" w:cs="Times New Roman"/>
                <w:color w:val="000000" w:themeColor="text1"/>
                <w:sz w:val="16"/>
                <w:szCs w:val="16"/>
              </w:rPr>
              <w:t>1.09</w:t>
            </w:r>
          </w:p>
        </w:tc>
        <w:tc>
          <w:tcPr>
            <w:tcW w:w="765" w:type="dxa"/>
            <w:tcBorders>
              <w:top w:val="nil"/>
              <w:left w:val="nil"/>
              <w:bottom w:val="nil"/>
              <w:right w:val="nil"/>
            </w:tcBorders>
            <w:vAlign w:val="bottom"/>
          </w:tcPr>
          <w:p w14:paraId="6266AC7B" w14:textId="77777777" w:rsidR="00CA72B0" w:rsidRDefault="00CA72B0" w:rsidP="00D862F0">
            <w:r w:rsidRPr="112F4D6F">
              <w:rPr>
                <w:rFonts w:eastAsia="Times New Roman" w:cs="Times New Roman"/>
                <w:color w:val="000000" w:themeColor="text1"/>
                <w:sz w:val="16"/>
                <w:szCs w:val="16"/>
              </w:rPr>
              <w:t>1.25</w:t>
            </w:r>
          </w:p>
        </w:tc>
      </w:tr>
      <w:tr w:rsidR="00CA72B0" w14:paraId="3E38F85A" w14:textId="77777777" w:rsidTr="00D862F0">
        <w:trPr>
          <w:trHeight w:val="225"/>
        </w:trPr>
        <w:tc>
          <w:tcPr>
            <w:tcW w:w="2278" w:type="dxa"/>
            <w:tcBorders>
              <w:top w:val="nil"/>
              <w:left w:val="nil"/>
              <w:bottom w:val="nil"/>
              <w:right w:val="nil"/>
            </w:tcBorders>
            <w:shd w:val="clear" w:color="auto" w:fill="F2DCDB"/>
            <w:vAlign w:val="bottom"/>
          </w:tcPr>
          <w:p w14:paraId="0233A767"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shd w:val="clear" w:color="auto" w:fill="F2DCDB"/>
            <w:vAlign w:val="bottom"/>
          </w:tcPr>
          <w:p w14:paraId="12A9C102" w14:textId="77777777" w:rsidR="00CA72B0" w:rsidRDefault="00CA72B0" w:rsidP="00D862F0">
            <w:r w:rsidRPr="112F4D6F">
              <w:rPr>
                <w:rFonts w:eastAsia="Times New Roman" w:cs="Times New Roman"/>
                <w:color w:val="000000" w:themeColor="text1"/>
                <w:sz w:val="16"/>
                <w:szCs w:val="16"/>
              </w:rPr>
              <w:t>Beta-lactam/Beta-lactamase inhibitors</w:t>
            </w:r>
          </w:p>
        </w:tc>
        <w:tc>
          <w:tcPr>
            <w:tcW w:w="803" w:type="dxa"/>
            <w:tcBorders>
              <w:top w:val="nil"/>
              <w:left w:val="nil"/>
              <w:bottom w:val="nil"/>
              <w:right w:val="nil"/>
            </w:tcBorders>
            <w:shd w:val="clear" w:color="auto" w:fill="F2DCDB"/>
            <w:vAlign w:val="bottom"/>
          </w:tcPr>
          <w:p w14:paraId="155E321D" w14:textId="77777777" w:rsidR="00CA72B0" w:rsidRDefault="00CA72B0" w:rsidP="00D862F0">
            <w:r w:rsidRPr="112F4D6F">
              <w:rPr>
                <w:rFonts w:eastAsia="Times New Roman" w:cs="Times New Roman"/>
                <w:color w:val="000000" w:themeColor="text1"/>
                <w:sz w:val="16"/>
                <w:szCs w:val="16"/>
              </w:rPr>
              <w:t>1419</w:t>
            </w:r>
          </w:p>
        </w:tc>
        <w:tc>
          <w:tcPr>
            <w:tcW w:w="920" w:type="dxa"/>
            <w:tcBorders>
              <w:top w:val="nil"/>
              <w:left w:val="nil"/>
              <w:bottom w:val="nil"/>
              <w:right w:val="nil"/>
            </w:tcBorders>
            <w:shd w:val="clear" w:color="auto" w:fill="F2DCDB"/>
            <w:vAlign w:val="bottom"/>
          </w:tcPr>
          <w:p w14:paraId="59B5387B" w14:textId="77777777" w:rsidR="00CA72B0" w:rsidRDefault="00CA72B0" w:rsidP="00D862F0">
            <w:r w:rsidRPr="112F4D6F">
              <w:rPr>
                <w:rFonts w:eastAsia="Times New Roman" w:cs="Times New Roman"/>
                <w:color w:val="000000" w:themeColor="text1"/>
                <w:sz w:val="16"/>
                <w:szCs w:val="16"/>
              </w:rPr>
              <w:t>1.14</w:t>
            </w:r>
          </w:p>
        </w:tc>
        <w:tc>
          <w:tcPr>
            <w:tcW w:w="686" w:type="dxa"/>
            <w:tcBorders>
              <w:top w:val="nil"/>
              <w:left w:val="nil"/>
              <w:bottom w:val="nil"/>
              <w:right w:val="nil"/>
            </w:tcBorders>
            <w:shd w:val="clear" w:color="auto" w:fill="F2DCDB"/>
            <w:vAlign w:val="bottom"/>
          </w:tcPr>
          <w:p w14:paraId="1844BE7F" w14:textId="77777777" w:rsidR="00CA72B0" w:rsidRDefault="00CA72B0" w:rsidP="00D862F0">
            <w:r w:rsidRPr="112F4D6F">
              <w:rPr>
                <w:rFonts w:eastAsia="Times New Roman" w:cs="Times New Roman"/>
                <w:color w:val="000000" w:themeColor="text1"/>
                <w:sz w:val="16"/>
                <w:szCs w:val="16"/>
              </w:rPr>
              <w:t>0.95</w:t>
            </w:r>
          </w:p>
        </w:tc>
        <w:tc>
          <w:tcPr>
            <w:tcW w:w="765" w:type="dxa"/>
            <w:tcBorders>
              <w:top w:val="nil"/>
              <w:left w:val="nil"/>
              <w:bottom w:val="nil"/>
              <w:right w:val="nil"/>
            </w:tcBorders>
            <w:shd w:val="clear" w:color="auto" w:fill="F2DCDB"/>
            <w:vAlign w:val="bottom"/>
          </w:tcPr>
          <w:p w14:paraId="204CD2A0" w14:textId="77777777" w:rsidR="00CA72B0" w:rsidRDefault="00CA72B0" w:rsidP="00D862F0">
            <w:r w:rsidRPr="112F4D6F">
              <w:rPr>
                <w:rFonts w:eastAsia="Times New Roman" w:cs="Times New Roman"/>
                <w:color w:val="000000" w:themeColor="text1"/>
                <w:sz w:val="16"/>
                <w:szCs w:val="16"/>
              </w:rPr>
              <w:t>1.37</w:t>
            </w:r>
          </w:p>
        </w:tc>
      </w:tr>
      <w:tr w:rsidR="00CA72B0" w14:paraId="5CE82E29" w14:textId="77777777" w:rsidTr="00D862F0">
        <w:trPr>
          <w:trHeight w:val="225"/>
        </w:trPr>
        <w:tc>
          <w:tcPr>
            <w:tcW w:w="2278" w:type="dxa"/>
            <w:tcBorders>
              <w:top w:val="nil"/>
              <w:left w:val="nil"/>
              <w:bottom w:val="nil"/>
              <w:right w:val="nil"/>
            </w:tcBorders>
            <w:vAlign w:val="bottom"/>
          </w:tcPr>
          <w:p w14:paraId="2A9C5F53"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vAlign w:val="bottom"/>
          </w:tcPr>
          <w:p w14:paraId="4C01C9B2"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vAlign w:val="bottom"/>
          </w:tcPr>
          <w:p w14:paraId="7BA383A2" w14:textId="77777777" w:rsidR="00CA72B0" w:rsidRDefault="00CA72B0" w:rsidP="00D862F0">
            <w:r w:rsidRPr="112F4D6F">
              <w:rPr>
                <w:rFonts w:eastAsia="Times New Roman" w:cs="Times New Roman"/>
                <w:color w:val="000000" w:themeColor="text1"/>
                <w:sz w:val="16"/>
                <w:szCs w:val="16"/>
              </w:rPr>
              <w:t>1947</w:t>
            </w:r>
          </w:p>
        </w:tc>
        <w:tc>
          <w:tcPr>
            <w:tcW w:w="920" w:type="dxa"/>
            <w:tcBorders>
              <w:top w:val="nil"/>
              <w:left w:val="nil"/>
              <w:bottom w:val="nil"/>
              <w:right w:val="nil"/>
            </w:tcBorders>
            <w:vAlign w:val="bottom"/>
          </w:tcPr>
          <w:p w14:paraId="4AFDD31D" w14:textId="77777777" w:rsidR="00CA72B0" w:rsidRDefault="00CA72B0" w:rsidP="00D862F0">
            <w:r w:rsidRPr="112F4D6F">
              <w:rPr>
                <w:rFonts w:eastAsia="Times New Roman" w:cs="Times New Roman"/>
                <w:color w:val="000000" w:themeColor="text1"/>
                <w:sz w:val="16"/>
                <w:szCs w:val="16"/>
              </w:rPr>
              <w:t>1.37</w:t>
            </w:r>
          </w:p>
        </w:tc>
        <w:tc>
          <w:tcPr>
            <w:tcW w:w="686" w:type="dxa"/>
            <w:tcBorders>
              <w:top w:val="nil"/>
              <w:left w:val="nil"/>
              <w:bottom w:val="nil"/>
              <w:right w:val="nil"/>
            </w:tcBorders>
            <w:vAlign w:val="bottom"/>
          </w:tcPr>
          <w:p w14:paraId="0698E3B8" w14:textId="77777777" w:rsidR="00CA72B0" w:rsidRDefault="00CA72B0" w:rsidP="00D862F0">
            <w:r w:rsidRPr="112F4D6F">
              <w:rPr>
                <w:rFonts w:eastAsia="Times New Roman" w:cs="Times New Roman"/>
                <w:color w:val="000000" w:themeColor="text1"/>
                <w:sz w:val="16"/>
                <w:szCs w:val="16"/>
              </w:rPr>
              <w:t>1.16</w:t>
            </w:r>
          </w:p>
        </w:tc>
        <w:tc>
          <w:tcPr>
            <w:tcW w:w="765" w:type="dxa"/>
            <w:tcBorders>
              <w:top w:val="nil"/>
              <w:left w:val="nil"/>
              <w:bottom w:val="nil"/>
              <w:right w:val="nil"/>
            </w:tcBorders>
            <w:vAlign w:val="bottom"/>
          </w:tcPr>
          <w:p w14:paraId="3264B7B3" w14:textId="77777777" w:rsidR="00CA72B0" w:rsidRDefault="00CA72B0" w:rsidP="00D862F0">
            <w:r w:rsidRPr="112F4D6F">
              <w:rPr>
                <w:rFonts w:eastAsia="Times New Roman" w:cs="Times New Roman"/>
                <w:color w:val="000000" w:themeColor="text1"/>
                <w:sz w:val="16"/>
                <w:szCs w:val="16"/>
              </w:rPr>
              <w:t>1.61</w:t>
            </w:r>
          </w:p>
        </w:tc>
      </w:tr>
      <w:tr w:rsidR="00CA72B0" w14:paraId="3B6DB228" w14:textId="77777777" w:rsidTr="00D862F0">
        <w:trPr>
          <w:trHeight w:val="225"/>
        </w:trPr>
        <w:tc>
          <w:tcPr>
            <w:tcW w:w="2278" w:type="dxa"/>
            <w:tcBorders>
              <w:top w:val="nil"/>
              <w:left w:val="nil"/>
              <w:bottom w:val="nil"/>
              <w:right w:val="nil"/>
            </w:tcBorders>
            <w:shd w:val="clear" w:color="auto" w:fill="F2DCDB"/>
            <w:vAlign w:val="bottom"/>
          </w:tcPr>
          <w:p w14:paraId="523FB675"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shd w:val="clear" w:color="auto" w:fill="F2DCDB"/>
            <w:vAlign w:val="bottom"/>
          </w:tcPr>
          <w:p w14:paraId="71477EFE"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5EDFC3F8" w14:textId="77777777" w:rsidR="00CA72B0" w:rsidRDefault="00CA72B0" w:rsidP="00D862F0">
            <w:r w:rsidRPr="112F4D6F">
              <w:rPr>
                <w:rFonts w:eastAsia="Times New Roman" w:cs="Times New Roman"/>
                <w:color w:val="000000" w:themeColor="text1"/>
                <w:sz w:val="16"/>
                <w:szCs w:val="16"/>
              </w:rPr>
              <w:t>6499</w:t>
            </w:r>
          </w:p>
        </w:tc>
        <w:tc>
          <w:tcPr>
            <w:tcW w:w="920" w:type="dxa"/>
            <w:tcBorders>
              <w:top w:val="nil"/>
              <w:left w:val="nil"/>
              <w:bottom w:val="nil"/>
              <w:right w:val="nil"/>
            </w:tcBorders>
            <w:shd w:val="clear" w:color="auto" w:fill="F2DCDB"/>
            <w:vAlign w:val="bottom"/>
          </w:tcPr>
          <w:p w14:paraId="496DD7EF" w14:textId="77777777" w:rsidR="00CA72B0" w:rsidRDefault="00CA72B0" w:rsidP="00D862F0">
            <w:r w:rsidRPr="112F4D6F">
              <w:rPr>
                <w:rFonts w:eastAsia="Times New Roman" w:cs="Times New Roman"/>
                <w:color w:val="000000" w:themeColor="text1"/>
                <w:sz w:val="16"/>
                <w:szCs w:val="16"/>
              </w:rPr>
              <w:t>1.23</w:t>
            </w:r>
          </w:p>
        </w:tc>
        <w:tc>
          <w:tcPr>
            <w:tcW w:w="686" w:type="dxa"/>
            <w:tcBorders>
              <w:top w:val="nil"/>
              <w:left w:val="nil"/>
              <w:bottom w:val="nil"/>
              <w:right w:val="nil"/>
            </w:tcBorders>
            <w:shd w:val="clear" w:color="auto" w:fill="F2DCDB"/>
            <w:vAlign w:val="bottom"/>
          </w:tcPr>
          <w:p w14:paraId="1601D9AC" w14:textId="77777777" w:rsidR="00CA72B0" w:rsidRDefault="00CA72B0" w:rsidP="00D862F0">
            <w:r w:rsidRPr="112F4D6F">
              <w:rPr>
                <w:rFonts w:eastAsia="Times New Roman" w:cs="Times New Roman"/>
                <w:color w:val="000000" w:themeColor="text1"/>
                <w:sz w:val="16"/>
                <w:szCs w:val="16"/>
              </w:rPr>
              <w:t>1.05</w:t>
            </w:r>
          </w:p>
        </w:tc>
        <w:tc>
          <w:tcPr>
            <w:tcW w:w="765" w:type="dxa"/>
            <w:tcBorders>
              <w:top w:val="nil"/>
              <w:left w:val="nil"/>
              <w:bottom w:val="nil"/>
              <w:right w:val="nil"/>
            </w:tcBorders>
            <w:shd w:val="clear" w:color="auto" w:fill="F2DCDB"/>
            <w:vAlign w:val="bottom"/>
          </w:tcPr>
          <w:p w14:paraId="600859E6" w14:textId="77777777" w:rsidR="00CA72B0" w:rsidRDefault="00CA72B0" w:rsidP="00D862F0">
            <w:r w:rsidRPr="112F4D6F">
              <w:rPr>
                <w:rFonts w:eastAsia="Times New Roman" w:cs="Times New Roman"/>
                <w:color w:val="000000" w:themeColor="text1"/>
                <w:sz w:val="16"/>
                <w:szCs w:val="16"/>
              </w:rPr>
              <w:t>1.45</w:t>
            </w:r>
          </w:p>
        </w:tc>
      </w:tr>
      <w:tr w:rsidR="00CA72B0" w14:paraId="05A6BA5C" w14:textId="77777777" w:rsidTr="00D862F0">
        <w:trPr>
          <w:trHeight w:val="225"/>
        </w:trPr>
        <w:tc>
          <w:tcPr>
            <w:tcW w:w="2278" w:type="dxa"/>
            <w:tcBorders>
              <w:top w:val="nil"/>
              <w:left w:val="nil"/>
              <w:bottom w:val="nil"/>
              <w:right w:val="nil"/>
            </w:tcBorders>
            <w:vAlign w:val="bottom"/>
          </w:tcPr>
          <w:p w14:paraId="7A588E0E"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vAlign w:val="bottom"/>
          </w:tcPr>
          <w:p w14:paraId="324EB403" w14:textId="77777777" w:rsidR="00CA72B0" w:rsidRDefault="00CA72B0" w:rsidP="00D862F0">
            <w:r w:rsidRPr="112F4D6F">
              <w:rPr>
                <w:rFonts w:eastAsia="Times New Roman" w:cs="Times New Roman"/>
                <w:color w:val="000000" w:themeColor="text1"/>
                <w:sz w:val="16"/>
                <w:szCs w:val="16"/>
              </w:rPr>
              <w:t>Macrolide</w:t>
            </w:r>
          </w:p>
        </w:tc>
        <w:tc>
          <w:tcPr>
            <w:tcW w:w="803" w:type="dxa"/>
            <w:tcBorders>
              <w:top w:val="nil"/>
              <w:left w:val="nil"/>
              <w:bottom w:val="nil"/>
              <w:right w:val="nil"/>
            </w:tcBorders>
            <w:vAlign w:val="bottom"/>
          </w:tcPr>
          <w:p w14:paraId="105C938F" w14:textId="77777777" w:rsidR="00CA72B0" w:rsidRDefault="00CA72B0" w:rsidP="00D862F0">
            <w:r w:rsidRPr="112F4D6F">
              <w:rPr>
                <w:rFonts w:eastAsia="Times New Roman" w:cs="Times New Roman"/>
                <w:color w:val="000000" w:themeColor="text1"/>
                <w:sz w:val="16"/>
                <w:szCs w:val="16"/>
              </w:rPr>
              <w:t>7348</w:t>
            </w:r>
          </w:p>
        </w:tc>
        <w:tc>
          <w:tcPr>
            <w:tcW w:w="920" w:type="dxa"/>
            <w:tcBorders>
              <w:top w:val="nil"/>
              <w:left w:val="nil"/>
              <w:bottom w:val="nil"/>
              <w:right w:val="nil"/>
            </w:tcBorders>
            <w:vAlign w:val="bottom"/>
          </w:tcPr>
          <w:p w14:paraId="4A959ED4" w14:textId="77777777" w:rsidR="00CA72B0" w:rsidRDefault="00CA72B0" w:rsidP="00D862F0">
            <w:r w:rsidRPr="112F4D6F">
              <w:rPr>
                <w:rFonts w:eastAsia="Times New Roman" w:cs="Times New Roman"/>
                <w:color w:val="000000" w:themeColor="text1"/>
                <w:sz w:val="16"/>
                <w:szCs w:val="16"/>
              </w:rPr>
              <w:t>1.05</w:t>
            </w:r>
          </w:p>
        </w:tc>
        <w:tc>
          <w:tcPr>
            <w:tcW w:w="686" w:type="dxa"/>
            <w:tcBorders>
              <w:top w:val="nil"/>
              <w:left w:val="nil"/>
              <w:bottom w:val="nil"/>
              <w:right w:val="nil"/>
            </w:tcBorders>
            <w:vAlign w:val="bottom"/>
          </w:tcPr>
          <w:p w14:paraId="68FB0899" w14:textId="77777777" w:rsidR="00CA72B0" w:rsidRDefault="00CA72B0" w:rsidP="00D862F0">
            <w:r w:rsidRPr="112F4D6F">
              <w:rPr>
                <w:rFonts w:eastAsia="Times New Roman" w:cs="Times New Roman"/>
                <w:color w:val="000000" w:themeColor="text1"/>
                <w:sz w:val="16"/>
                <w:szCs w:val="16"/>
              </w:rPr>
              <w:t>0.94</w:t>
            </w:r>
          </w:p>
        </w:tc>
        <w:tc>
          <w:tcPr>
            <w:tcW w:w="765" w:type="dxa"/>
            <w:tcBorders>
              <w:top w:val="nil"/>
              <w:left w:val="nil"/>
              <w:bottom w:val="nil"/>
              <w:right w:val="nil"/>
            </w:tcBorders>
            <w:vAlign w:val="bottom"/>
          </w:tcPr>
          <w:p w14:paraId="0185D0C5" w14:textId="77777777" w:rsidR="00CA72B0" w:rsidRDefault="00CA72B0" w:rsidP="00D862F0">
            <w:r w:rsidRPr="112F4D6F">
              <w:rPr>
                <w:rFonts w:eastAsia="Times New Roman" w:cs="Times New Roman"/>
                <w:color w:val="000000" w:themeColor="text1"/>
                <w:sz w:val="16"/>
                <w:szCs w:val="16"/>
              </w:rPr>
              <w:t>1.17</w:t>
            </w:r>
          </w:p>
        </w:tc>
      </w:tr>
      <w:tr w:rsidR="00CA72B0" w14:paraId="0E4C1289" w14:textId="77777777" w:rsidTr="00D862F0">
        <w:trPr>
          <w:trHeight w:val="225"/>
        </w:trPr>
        <w:tc>
          <w:tcPr>
            <w:tcW w:w="2278" w:type="dxa"/>
            <w:tcBorders>
              <w:top w:val="nil"/>
              <w:left w:val="nil"/>
              <w:bottom w:val="nil"/>
              <w:right w:val="nil"/>
            </w:tcBorders>
            <w:shd w:val="clear" w:color="auto" w:fill="F2DCDB"/>
            <w:vAlign w:val="bottom"/>
          </w:tcPr>
          <w:p w14:paraId="68481604"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shd w:val="clear" w:color="auto" w:fill="F2DCDB"/>
            <w:vAlign w:val="bottom"/>
          </w:tcPr>
          <w:p w14:paraId="30817E70" w14:textId="77777777" w:rsidR="00CA72B0" w:rsidRDefault="00CA72B0" w:rsidP="00D862F0">
            <w:r w:rsidRPr="112F4D6F">
              <w:rPr>
                <w:rFonts w:eastAsia="Times New Roman" w:cs="Times New Roman"/>
                <w:color w:val="000000" w:themeColor="text1"/>
                <w:sz w:val="16"/>
                <w:szCs w:val="16"/>
              </w:rPr>
              <w:t>Trimethoprim-Sulfamethoxazole</w:t>
            </w:r>
          </w:p>
        </w:tc>
        <w:tc>
          <w:tcPr>
            <w:tcW w:w="803" w:type="dxa"/>
            <w:tcBorders>
              <w:top w:val="nil"/>
              <w:left w:val="nil"/>
              <w:bottom w:val="nil"/>
              <w:right w:val="nil"/>
            </w:tcBorders>
            <w:shd w:val="clear" w:color="auto" w:fill="F2DCDB"/>
            <w:vAlign w:val="bottom"/>
          </w:tcPr>
          <w:p w14:paraId="72DC6740" w14:textId="77777777" w:rsidR="00CA72B0" w:rsidRDefault="00CA72B0" w:rsidP="00D862F0">
            <w:r w:rsidRPr="112F4D6F">
              <w:rPr>
                <w:rFonts w:eastAsia="Times New Roman" w:cs="Times New Roman"/>
                <w:color w:val="000000" w:themeColor="text1"/>
                <w:sz w:val="16"/>
                <w:szCs w:val="16"/>
              </w:rPr>
              <w:t>5413</w:t>
            </w:r>
          </w:p>
        </w:tc>
        <w:tc>
          <w:tcPr>
            <w:tcW w:w="920" w:type="dxa"/>
            <w:tcBorders>
              <w:top w:val="nil"/>
              <w:left w:val="nil"/>
              <w:bottom w:val="nil"/>
              <w:right w:val="nil"/>
            </w:tcBorders>
            <w:shd w:val="clear" w:color="auto" w:fill="F2DCDB"/>
            <w:vAlign w:val="bottom"/>
          </w:tcPr>
          <w:p w14:paraId="0C71F6EB" w14:textId="77777777" w:rsidR="00CA72B0" w:rsidRDefault="00CA72B0" w:rsidP="00D862F0">
            <w:r w:rsidRPr="112F4D6F">
              <w:rPr>
                <w:rFonts w:eastAsia="Times New Roman" w:cs="Times New Roman"/>
                <w:color w:val="000000" w:themeColor="text1"/>
                <w:sz w:val="16"/>
                <w:szCs w:val="16"/>
              </w:rPr>
              <w:t>1.14</w:t>
            </w:r>
          </w:p>
        </w:tc>
        <w:tc>
          <w:tcPr>
            <w:tcW w:w="686" w:type="dxa"/>
            <w:tcBorders>
              <w:top w:val="nil"/>
              <w:left w:val="nil"/>
              <w:bottom w:val="nil"/>
              <w:right w:val="nil"/>
            </w:tcBorders>
            <w:shd w:val="clear" w:color="auto" w:fill="F2DCDB"/>
            <w:vAlign w:val="bottom"/>
          </w:tcPr>
          <w:p w14:paraId="0B1A41CF" w14:textId="77777777" w:rsidR="00CA72B0" w:rsidRDefault="00CA72B0" w:rsidP="00D862F0">
            <w:r w:rsidRPr="112F4D6F">
              <w:rPr>
                <w:rFonts w:eastAsia="Times New Roman" w:cs="Times New Roman"/>
                <w:color w:val="000000" w:themeColor="text1"/>
                <w:sz w:val="16"/>
                <w:szCs w:val="16"/>
              </w:rPr>
              <w:t>1.01</w:t>
            </w:r>
          </w:p>
        </w:tc>
        <w:tc>
          <w:tcPr>
            <w:tcW w:w="765" w:type="dxa"/>
            <w:tcBorders>
              <w:top w:val="nil"/>
              <w:left w:val="nil"/>
              <w:bottom w:val="nil"/>
              <w:right w:val="nil"/>
            </w:tcBorders>
            <w:shd w:val="clear" w:color="auto" w:fill="F2DCDB"/>
            <w:vAlign w:val="bottom"/>
          </w:tcPr>
          <w:p w14:paraId="095B4AAA" w14:textId="77777777" w:rsidR="00CA72B0" w:rsidRDefault="00CA72B0" w:rsidP="00D862F0">
            <w:r w:rsidRPr="112F4D6F">
              <w:rPr>
                <w:rFonts w:eastAsia="Times New Roman" w:cs="Times New Roman"/>
                <w:color w:val="000000" w:themeColor="text1"/>
                <w:sz w:val="16"/>
                <w:szCs w:val="16"/>
              </w:rPr>
              <w:t>1.28</w:t>
            </w:r>
          </w:p>
        </w:tc>
      </w:tr>
      <w:tr w:rsidR="00CA72B0" w14:paraId="0DD913FD" w14:textId="77777777" w:rsidTr="00D862F0">
        <w:trPr>
          <w:trHeight w:val="225"/>
        </w:trPr>
        <w:tc>
          <w:tcPr>
            <w:tcW w:w="2278" w:type="dxa"/>
            <w:tcBorders>
              <w:top w:val="nil"/>
              <w:left w:val="nil"/>
              <w:bottom w:val="nil"/>
              <w:right w:val="nil"/>
            </w:tcBorders>
            <w:vAlign w:val="bottom"/>
          </w:tcPr>
          <w:p w14:paraId="176FBCC8"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vAlign w:val="bottom"/>
          </w:tcPr>
          <w:p w14:paraId="34AA022C"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792230B1" w14:textId="77777777" w:rsidR="00CA72B0" w:rsidRDefault="00CA72B0" w:rsidP="00D862F0">
            <w:r w:rsidRPr="112F4D6F">
              <w:rPr>
                <w:rFonts w:eastAsia="Times New Roman" w:cs="Times New Roman"/>
                <w:color w:val="000000" w:themeColor="text1"/>
                <w:sz w:val="16"/>
                <w:szCs w:val="16"/>
              </w:rPr>
              <w:t>10457</w:t>
            </w:r>
          </w:p>
        </w:tc>
        <w:tc>
          <w:tcPr>
            <w:tcW w:w="920" w:type="dxa"/>
            <w:tcBorders>
              <w:top w:val="nil"/>
              <w:left w:val="nil"/>
              <w:bottom w:val="nil"/>
              <w:right w:val="nil"/>
            </w:tcBorders>
            <w:vAlign w:val="bottom"/>
          </w:tcPr>
          <w:p w14:paraId="2FB2E6EB" w14:textId="77777777" w:rsidR="00CA72B0" w:rsidRDefault="00CA72B0" w:rsidP="00D862F0">
            <w:r w:rsidRPr="112F4D6F">
              <w:rPr>
                <w:rFonts w:eastAsia="Times New Roman" w:cs="Times New Roman"/>
                <w:color w:val="000000" w:themeColor="text1"/>
                <w:sz w:val="16"/>
                <w:szCs w:val="16"/>
              </w:rPr>
              <w:t>1.33</w:t>
            </w:r>
          </w:p>
        </w:tc>
        <w:tc>
          <w:tcPr>
            <w:tcW w:w="686" w:type="dxa"/>
            <w:tcBorders>
              <w:top w:val="nil"/>
              <w:left w:val="nil"/>
              <w:bottom w:val="nil"/>
              <w:right w:val="nil"/>
            </w:tcBorders>
            <w:vAlign w:val="bottom"/>
          </w:tcPr>
          <w:p w14:paraId="7D519F82" w14:textId="77777777" w:rsidR="00CA72B0" w:rsidRDefault="00CA72B0" w:rsidP="00D862F0">
            <w:r w:rsidRPr="112F4D6F">
              <w:rPr>
                <w:rFonts w:eastAsia="Times New Roman" w:cs="Times New Roman"/>
                <w:color w:val="000000" w:themeColor="text1"/>
                <w:sz w:val="16"/>
                <w:szCs w:val="16"/>
              </w:rPr>
              <w:t>1.13</w:t>
            </w:r>
          </w:p>
        </w:tc>
        <w:tc>
          <w:tcPr>
            <w:tcW w:w="765" w:type="dxa"/>
            <w:tcBorders>
              <w:top w:val="nil"/>
              <w:left w:val="nil"/>
              <w:bottom w:val="nil"/>
              <w:right w:val="nil"/>
            </w:tcBorders>
            <w:vAlign w:val="bottom"/>
          </w:tcPr>
          <w:p w14:paraId="3F612BC6" w14:textId="77777777" w:rsidR="00CA72B0" w:rsidRDefault="00CA72B0" w:rsidP="00D862F0">
            <w:r w:rsidRPr="112F4D6F">
              <w:rPr>
                <w:rFonts w:eastAsia="Times New Roman" w:cs="Times New Roman"/>
                <w:color w:val="000000" w:themeColor="text1"/>
                <w:sz w:val="16"/>
                <w:szCs w:val="16"/>
              </w:rPr>
              <w:t>1.57</w:t>
            </w:r>
          </w:p>
        </w:tc>
      </w:tr>
      <w:tr w:rsidR="00CA72B0" w14:paraId="40E76D88" w14:textId="77777777" w:rsidTr="00D862F0">
        <w:trPr>
          <w:trHeight w:val="225"/>
        </w:trPr>
        <w:tc>
          <w:tcPr>
            <w:tcW w:w="2278" w:type="dxa"/>
            <w:tcBorders>
              <w:top w:val="nil"/>
              <w:left w:val="nil"/>
              <w:bottom w:val="nil"/>
              <w:right w:val="nil"/>
            </w:tcBorders>
            <w:shd w:val="clear" w:color="auto" w:fill="F2DCDB"/>
            <w:vAlign w:val="bottom"/>
          </w:tcPr>
          <w:p w14:paraId="5BE08835"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shd w:val="clear" w:color="auto" w:fill="F2DCDB"/>
            <w:vAlign w:val="bottom"/>
          </w:tcPr>
          <w:p w14:paraId="4FD6350A"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67BDAE07" w14:textId="77777777" w:rsidR="00CA72B0" w:rsidRDefault="00CA72B0" w:rsidP="00D862F0">
            <w:r w:rsidRPr="112F4D6F">
              <w:rPr>
                <w:rFonts w:eastAsia="Times New Roman" w:cs="Times New Roman"/>
                <w:color w:val="000000" w:themeColor="text1"/>
                <w:sz w:val="16"/>
                <w:szCs w:val="16"/>
              </w:rPr>
              <w:t>171311</w:t>
            </w:r>
          </w:p>
        </w:tc>
        <w:tc>
          <w:tcPr>
            <w:tcW w:w="920" w:type="dxa"/>
            <w:tcBorders>
              <w:top w:val="nil"/>
              <w:left w:val="nil"/>
              <w:bottom w:val="nil"/>
              <w:right w:val="nil"/>
            </w:tcBorders>
            <w:shd w:val="clear" w:color="auto" w:fill="F2DCDB"/>
            <w:vAlign w:val="bottom"/>
          </w:tcPr>
          <w:p w14:paraId="72CA23DF" w14:textId="77777777" w:rsidR="00CA72B0" w:rsidRDefault="00CA72B0" w:rsidP="00D862F0">
            <w:r w:rsidRPr="112F4D6F">
              <w:rPr>
                <w:rFonts w:eastAsia="Times New Roman" w:cs="Times New Roman"/>
                <w:color w:val="000000" w:themeColor="text1"/>
                <w:sz w:val="16"/>
                <w:szCs w:val="16"/>
              </w:rPr>
              <w:t>1.31</w:t>
            </w:r>
          </w:p>
        </w:tc>
        <w:tc>
          <w:tcPr>
            <w:tcW w:w="686" w:type="dxa"/>
            <w:tcBorders>
              <w:top w:val="nil"/>
              <w:left w:val="nil"/>
              <w:bottom w:val="nil"/>
              <w:right w:val="nil"/>
            </w:tcBorders>
            <w:shd w:val="clear" w:color="auto" w:fill="F2DCDB"/>
            <w:vAlign w:val="bottom"/>
          </w:tcPr>
          <w:p w14:paraId="4FCF2057" w14:textId="77777777" w:rsidR="00CA72B0" w:rsidRDefault="00CA72B0" w:rsidP="00D862F0">
            <w:r w:rsidRPr="112F4D6F">
              <w:rPr>
                <w:rFonts w:eastAsia="Times New Roman" w:cs="Times New Roman"/>
                <w:color w:val="000000" w:themeColor="text1"/>
                <w:sz w:val="16"/>
                <w:szCs w:val="16"/>
              </w:rPr>
              <w:t>1.27</w:t>
            </w:r>
          </w:p>
        </w:tc>
        <w:tc>
          <w:tcPr>
            <w:tcW w:w="765" w:type="dxa"/>
            <w:tcBorders>
              <w:top w:val="nil"/>
              <w:left w:val="nil"/>
              <w:bottom w:val="nil"/>
              <w:right w:val="nil"/>
            </w:tcBorders>
            <w:shd w:val="clear" w:color="auto" w:fill="F2DCDB"/>
            <w:vAlign w:val="bottom"/>
          </w:tcPr>
          <w:p w14:paraId="58188D09" w14:textId="77777777" w:rsidR="00CA72B0" w:rsidRDefault="00CA72B0" w:rsidP="00D862F0">
            <w:r w:rsidRPr="112F4D6F">
              <w:rPr>
                <w:rFonts w:eastAsia="Times New Roman" w:cs="Times New Roman"/>
                <w:color w:val="000000" w:themeColor="text1"/>
                <w:sz w:val="16"/>
                <w:szCs w:val="16"/>
              </w:rPr>
              <w:t>1.35</w:t>
            </w:r>
          </w:p>
        </w:tc>
      </w:tr>
      <w:tr w:rsidR="00CA72B0" w14:paraId="3372853E" w14:textId="77777777" w:rsidTr="00D862F0">
        <w:trPr>
          <w:trHeight w:val="225"/>
        </w:trPr>
        <w:tc>
          <w:tcPr>
            <w:tcW w:w="2278" w:type="dxa"/>
            <w:tcBorders>
              <w:top w:val="nil"/>
              <w:left w:val="nil"/>
              <w:bottom w:val="nil"/>
              <w:right w:val="nil"/>
            </w:tcBorders>
            <w:vAlign w:val="bottom"/>
          </w:tcPr>
          <w:p w14:paraId="0961DD64" w14:textId="77777777" w:rsidR="00CA72B0" w:rsidRDefault="00CA72B0" w:rsidP="00D862F0">
            <w:r w:rsidRPr="112F4D6F">
              <w:rPr>
                <w:rFonts w:eastAsia="Times New Roman" w:cs="Times New Roman"/>
                <w:i/>
                <w:iCs/>
                <w:color w:val="000000" w:themeColor="text1"/>
                <w:sz w:val="16"/>
                <w:szCs w:val="16"/>
              </w:rPr>
              <w:t>Escherichia coli</w:t>
            </w:r>
          </w:p>
        </w:tc>
        <w:tc>
          <w:tcPr>
            <w:tcW w:w="4030" w:type="dxa"/>
            <w:tcBorders>
              <w:top w:val="nil"/>
              <w:left w:val="nil"/>
              <w:bottom w:val="nil"/>
              <w:right w:val="nil"/>
            </w:tcBorders>
            <w:vAlign w:val="bottom"/>
          </w:tcPr>
          <w:p w14:paraId="0A76F6C9"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10E62C01" w14:textId="77777777" w:rsidR="00CA72B0" w:rsidRDefault="00CA72B0" w:rsidP="00D862F0">
            <w:r w:rsidRPr="112F4D6F">
              <w:rPr>
                <w:rFonts w:eastAsia="Times New Roman" w:cs="Times New Roman"/>
                <w:color w:val="000000" w:themeColor="text1"/>
                <w:sz w:val="16"/>
                <w:szCs w:val="16"/>
              </w:rPr>
              <w:t>163801</w:t>
            </w:r>
          </w:p>
        </w:tc>
        <w:tc>
          <w:tcPr>
            <w:tcW w:w="920" w:type="dxa"/>
            <w:tcBorders>
              <w:top w:val="nil"/>
              <w:left w:val="nil"/>
              <w:bottom w:val="nil"/>
              <w:right w:val="nil"/>
            </w:tcBorders>
            <w:vAlign w:val="bottom"/>
          </w:tcPr>
          <w:p w14:paraId="6932D191" w14:textId="77777777" w:rsidR="00CA72B0" w:rsidRDefault="00CA72B0" w:rsidP="00D862F0">
            <w:r w:rsidRPr="112F4D6F">
              <w:rPr>
                <w:rFonts w:eastAsia="Times New Roman" w:cs="Times New Roman"/>
                <w:color w:val="000000" w:themeColor="text1"/>
                <w:sz w:val="16"/>
                <w:szCs w:val="16"/>
              </w:rPr>
              <w:t>1.37</w:t>
            </w:r>
          </w:p>
        </w:tc>
        <w:tc>
          <w:tcPr>
            <w:tcW w:w="686" w:type="dxa"/>
            <w:tcBorders>
              <w:top w:val="nil"/>
              <w:left w:val="nil"/>
              <w:bottom w:val="nil"/>
              <w:right w:val="nil"/>
            </w:tcBorders>
            <w:vAlign w:val="bottom"/>
          </w:tcPr>
          <w:p w14:paraId="5D9E9226"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vAlign w:val="bottom"/>
          </w:tcPr>
          <w:p w14:paraId="275999EB" w14:textId="77777777" w:rsidR="00CA72B0" w:rsidRDefault="00CA72B0" w:rsidP="00D862F0">
            <w:r w:rsidRPr="112F4D6F">
              <w:rPr>
                <w:rFonts w:eastAsia="Times New Roman" w:cs="Times New Roman"/>
                <w:color w:val="000000" w:themeColor="text1"/>
                <w:sz w:val="16"/>
                <w:szCs w:val="16"/>
              </w:rPr>
              <w:t>1.61</w:t>
            </w:r>
          </w:p>
        </w:tc>
      </w:tr>
      <w:tr w:rsidR="00CA72B0" w14:paraId="31B143BF" w14:textId="77777777" w:rsidTr="00D862F0">
        <w:trPr>
          <w:trHeight w:val="225"/>
        </w:trPr>
        <w:tc>
          <w:tcPr>
            <w:tcW w:w="2278" w:type="dxa"/>
            <w:tcBorders>
              <w:top w:val="nil"/>
              <w:left w:val="nil"/>
              <w:bottom w:val="nil"/>
              <w:right w:val="nil"/>
            </w:tcBorders>
            <w:shd w:val="clear" w:color="auto" w:fill="F2DCDB"/>
            <w:vAlign w:val="bottom"/>
          </w:tcPr>
          <w:p w14:paraId="4B6E7031"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shd w:val="clear" w:color="auto" w:fill="F2DCDB"/>
            <w:vAlign w:val="bottom"/>
          </w:tcPr>
          <w:p w14:paraId="66D2EB61" w14:textId="77777777" w:rsidR="00CA72B0" w:rsidRDefault="00CA72B0" w:rsidP="00D862F0">
            <w:r w:rsidRPr="112F4D6F">
              <w:rPr>
                <w:rFonts w:eastAsia="Times New Roman" w:cs="Times New Roman"/>
                <w:color w:val="000000" w:themeColor="text1"/>
                <w:sz w:val="16"/>
                <w:szCs w:val="16"/>
              </w:rPr>
              <w:t>Carbapenem</w:t>
            </w:r>
          </w:p>
        </w:tc>
        <w:tc>
          <w:tcPr>
            <w:tcW w:w="803" w:type="dxa"/>
            <w:tcBorders>
              <w:top w:val="nil"/>
              <w:left w:val="nil"/>
              <w:bottom w:val="nil"/>
              <w:right w:val="nil"/>
            </w:tcBorders>
            <w:shd w:val="clear" w:color="auto" w:fill="F2DCDB"/>
            <w:vAlign w:val="bottom"/>
          </w:tcPr>
          <w:p w14:paraId="449CD170" w14:textId="77777777" w:rsidR="00CA72B0" w:rsidRDefault="00CA72B0" w:rsidP="00D862F0">
            <w:r w:rsidRPr="112F4D6F">
              <w:rPr>
                <w:rFonts w:eastAsia="Times New Roman" w:cs="Times New Roman"/>
                <w:color w:val="000000" w:themeColor="text1"/>
                <w:sz w:val="16"/>
                <w:szCs w:val="16"/>
              </w:rPr>
              <w:t>41943</w:t>
            </w:r>
          </w:p>
        </w:tc>
        <w:tc>
          <w:tcPr>
            <w:tcW w:w="920" w:type="dxa"/>
            <w:tcBorders>
              <w:top w:val="nil"/>
              <w:left w:val="nil"/>
              <w:bottom w:val="nil"/>
              <w:right w:val="nil"/>
            </w:tcBorders>
            <w:shd w:val="clear" w:color="auto" w:fill="F2DCDB"/>
            <w:vAlign w:val="bottom"/>
          </w:tcPr>
          <w:p w14:paraId="4F1B906D" w14:textId="77777777" w:rsidR="00CA72B0" w:rsidRDefault="00CA72B0" w:rsidP="00D862F0">
            <w:r w:rsidRPr="112F4D6F">
              <w:rPr>
                <w:rFonts w:eastAsia="Times New Roman" w:cs="Times New Roman"/>
                <w:color w:val="000000" w:themeColor="text1"/>
                <w:sz w:val="16"/>
                <w:szCs w:val="16"/>
              </w:rPr>
              <w:t>1.68</w:t>
            </w:r>
          </w:p>
        </w:tc>
        <w:tc>
          <w:tcPr>
            <w:tcW w:w="686" w:type="dxa"/>
            <w:tcBorders>
              <w:top w:val="nil"/>
              <w:left w:val="nil"/>
              <w:bottom w:val="nil"/>
              <w:right w:val="nil"/>
            </w:tcBorders>
            <w:shd w:val="clear" w:color="auto" w:fill="F2DCDB"/>
            <w:vAlign w:val="bottom"/>
          </w:tcPr>
          <w:p w14:paraId="6F807E29" w14:textId="77777777" w:rsidR="00CA72B0" w:rsidRDefault="00CA72B0" w:rsidP="00D862F0">
            <w:r w:rsidRPr="112F4D6F">
              <w:rPr>
                <w:rFonts w:eastAsia="Times New Roman" w:cs="Times New Roman"/>
                <w:color w:val="000000" w:themeColor="text1"/>
                <w:sz w:val="16"/>
                <w:szCs w:val="16"/>
              </w:rPr>
              <w:t>1.56</w:t>
            </w:r>
          </w:p>
        </w:tc>
        <w:tc>
          <w:tcPr>
            <w:tcW w:w="765" w:type="dxa"/>
            <w:tcBorders>
              <w:top w:val="nil"/>
              <w:left w:val="nil"/>
              <w:bottom w:val="nil"/>
              <w:right w:val="nil"/>
            </w:tcBorders>
            <w:shd w:val="clear" w:color="auto" w:fill="F2DCDB"/>
            <w:vAlign w:val="bottom"/>
          </w:tcPr>
          <w:p w14:paraId="2F74DF8F" w14:textId="77777777" w:rsidR="00CA72B0" w:rsidRDefault="00CA72B0" w:rsidP="00D862F0">
            <w:r w:rsidRPr="112F4D6F">
              <w:rPr>
                <w:rFonts w:eastAsia="Times New Roman" w:cs="Times New Roman"/>
                <w:color w:val="000000" w:themeColor="text1"/>
                <w:sz w:val="16"/>
                <w:szCs w:val="16"/>
              </w:rPr>
              <w:t>1.82</w:t>
            </w:r>
          </w:p>
        </w:tc>
      </w:tr>
      <w:tr w:rsidR="00CA72B0" w14:paraId="5CBB4EC6" w14:textId="77777777" w:rsidTr="00D862F0">
        <w:trPr>
          <w:trHeight w:val="225"/>
        </w:trPr>
        <w:tc>
          <w:tcPr>
            <w:tcW w:w="2278" w:type="dxa"/>
            <w:tcBorders>
              <w:top w:val="nil"/>
              <w:left w:val="nil"/>
              <w:bottom w:val="nil"/>
              <w:right w:val="nil"/>
            </w:tcBorders>
            <w:vAlign w:val="bottom"/>
          </w:tcPr>
          <w:p w14:paraId="7880C535" w14:textId="77777777" w:rsidR="00CA72B0" w:rsidRDefault="00CA72B0" w:rsidP="00D862F0">
            <w:r w:rsidRPr="112F4D6F">
              <w:rPr>
                <w:rFonts w:eastAsia="Times New Roman" w:cs="Times New Roman"/>
                <w:i/>
                <w:iCs/>
                <w:color w:val="000000" w:themeColor="text1"/>
                <w:sz w:val="16"/>
                <w:szCs w:val="16"/>
              </w:rPr>
              <w:t>Klebsiella pneumoniae</w:t>
            </w:r>
          </w:p>
        </w:tc>
        <w:tc>
          <w:tcPr>
            <w:tcW w:w="4030" w:type="dxa"/>
            <w:tcBorders>
              <w:top w:val="nil"/>
              <w:left w:val="nil"/>
              <w:bottom w:val="nil"/>
              <w:right w:val="nil"/>
            </w:tcBorders>
            <w:vAlign w:val="bottom"/>
          </w:tcPr>
          <w:p w14:paraId="7F1A85C0" w14:textId="77777777" w:rsidR="00CA72B0" w:rsidRDefault="00CA72B0" w:rsidP="00D862F0">
            <w:r w:rsidRPr="112F4D6F">
              <w:rPr>
                <w:rFonts w:eastAsia="Times New Roman" w:cs="Times New Roman"/>
                <w:color w:val="000000" w:themeColor="text1"/>
                <w:sz w:val="16"/>
                <w:szCs w:val="16"/>
              </w:rPr>
              <w:t>Third-generation cephalosporins</w:t>
            </w:r>
          </w:p>
        </w:tc>
        <w:tc>
          <w:tcPr>
            <w:tcW w:w="803" w:type="dxa"/>
            <w:tcBorders>
              <w:top w:val="nil"/>
              <w:left w:val="nil"/>
              <w:bottom w:val="nil"/>
              <w:right w:val="nil"/>
            </w:tcBorders>
            <w:vAlign w:val="bottom"/>
          </w:tcPr>
          <w:p w14:paraId="378A0E90" w14:textId="77777777" w:rsidR="00CA72B0" w:rsidRDefault="00CA72B0" w:rsidP="00D862F0">
            <w:r w:rsidRPr="112F4D6F">
              <w:rPr>
                <w:rFonts w:eastAsia="Times New Roman" w:cs="Times New Roman"/>
                <w:color w:val="000000" w:themeColor="text1"/>
                <w:sz w:val="16"/>
                <w:szCs w:val="16"/>
              </w:rPr>
              <w:t>52090</w:t>
            </w:r>
          </w:p>
        </w:tc>
        <w:tc>
          <w:tcPr>
            <w:tcW w:w="920" w:type="dxa"/>
            <w:tcBorders>
              <w:top w:val="nil"/>
              <w:left w:val="nil"/>
              <w:bottom w:val="nil"/>
              <w:right w:val="nil"/>
            </w:tcBorders>
            <w:vAlign w:val="bottom"/>
          </w:tcPr>
          <w:p w14:paraId="465D6EDF" w14:textId="77777777" w:rsidR="00CA72B0" w:rsidRDefault="00CA72B0" w:rsidP="00D862F0">
            <w:r w:rsidRPr="112F4D6F">
              <w:rPr>
                <w:rFonts w:eastAsia="Times New Roman" w:cs="Times New Roman"/>
                <w:color w:val="000000" w:themeColor="text1"/>
                <w:sz w:val="16"/>
                <w:szCs w:val="16"/>
              </w:rPr>
              <w:t>1.36</w:t>
            </w:r>
          </w:p>
        </w:tc>
        <w:tc>
          <w:tcPr>
            <w:tcW w:w="686" w:type="dxa"/>
            <w:tcBorders>
              <w:top w:val="nil"/>
              <w:left w:val="nil"/>
              <w:bottom w:val="nil"/>
              <w:right w:val="nil"/>
            </w:tcBorders>
            <w:vAlign w:val="bottom"/>
          </w:tcPr>
          <w:p w14:paraId="09734292" w14:textId="77777777" w:rsidR="00CA72B0" w:rsidRDefault="00CA72B0" w:rsidP="00D862F0">
            <w:r w:rsidRPr="112F4D6F">
              <w:rPr>
                <w:rFonts w:eastAsia="Times New Roman" w:cs="Times New Roman"/>
                <w:color w:val="000000" w:themeColor="text1"/>
                <w:sz w:val="16"/>
                <w:szCs w:val="16"/>
              </w:rPr>
              <w:t>1.16</w:t>
            </w:r>
          </w:p>
        </w:tc>
        <w:tc>
          <w:tcPr>
            <w:tcW w:w="765" w:type="dxa"/>
            <w:tcBorders>
              <w:top w:val="nil"/>
              <w:left w:val="nil"/>
              <w:bottom w:val="nil"/>
              <w:right w:val="nil"/>
            </w:tcBorders>
            <w:vAlign w:val="bottom"/>
          </w:tcPr>
          <w:p w14:paraId="25CDA18C" w14:textId="77777777" w:rsidR="00CA72B0" w:rsidRDefault="00CA72B0" w:rsidP="00D862F0">
            <w:r w:rsidRPr="112F4D6F">
              <w:rPr>
                <w:rFonts w:eastAsia="Times New Roman" w:cs="Times New Roman"/>
                <w:color w:val="000000" w:themeColor="text1"/>
                <w:sz w:val="16"/>
                <w:szCs w:val="16"/>
              </w:rPr>
              <w:t>1.6</w:t>
            </w:r>
          </w:p>
        </w:tc>
      </w:tr>
      <w:tr w:rsidR="00CA72B0" w14:paraId="58A0C616" w14:textId="77777777" w:rsidTr="00D862F0">
        <w:trPr>
          <w:trHeight w:val="225"/>
        </w:trPr>
        <w:tc>
          <w:tcPr>
            <w:tcW w:w="2278" w:type="dxa"/>
            <w:tcBorders>
              <w:top w:val="nil"/>
              <w:left w:val="nil"/>
              <w:bottom w:val="nil"/>
              <w:right w:val="nil"/>
            </w:tcBorders>
            <w:shd w:val="clear" w:color="auto" w:fill="F2DCDB"/>
            <w:vAlign w:val="bottom"/>
          </w:tcPr>
          <w:p w14:paraId="18C9F6BF" w14:textId="77777777" w:rsidR="00CA72B0" w:rsidRDefault="00CA72B0" w:rsidP="00D862F0">
            <w:r w:rsidRPr="112F4D6F">
              <w:rPr>
                <w:rFonts w:eastAsia="Times New Roman" w:cs="Times New Roman"/>
                <w:i/>
                <w:iCs/>
                <w:color w:val="000000" w:themeColor="text1"/>
                <w:sz w:val="16"/>
                <w:szCs w:val="16"/>
              </w:rPr>
              <w:t>Mycobacterium tuberculosis</w:t>
            </w:r>
          </w:p>
        </w:tc>
        <w:tc>
          <w:tcPr>
            <w:tcW w:w="4030" w:type="dxa"/>
            <w:tcBorders>
              <w:top w:val="nil"/>
              <w:left w:val="nil"/>
              <w:bottom w:val="nil"/>
              <w:right w:val="nil"/>
            </w:tcBorders>
            <w:shd w:val="clear" w:color="auto" w:fill="F2DCDB"/>
            <w:vAlign w:val="bottom"/>
          </w:tcPr>
          <w:p w14:paraId="170BB7AF" w14:textId="77777777" w:rsidR="00CA72B0" w:rsidRDefault="00CA72B0" w:rsidP="00D862F0">
            <w:r w:rsidRPr="112F4D6F">
              <w:rPr>
                <w:rFonts w:eastAsia="Times New Roman" w:cs="Times New Roman"/>
                <w:color w:val="000000" w:themeColor="text1"/>
                <w:sz w:val="16"/>
                <w:szCs w:val="16"/>
              </w:rPr>
              <w:t>Extensive drug resistance</w:t>
            </w:r>
          </w:p>
        </w:tc>
        <w:tc>
          <w:tcPr>
            <w:tcW w:w="803" w:type="dxa"/>
            <w:tcBorders>
              <w:top w:val="nil"/>
              <w:left w:val="nil"/>
              <w:bottom w:val="nil"/>
              <w:right w:val="nil"/>
            </w:tcBorders>
            <w:shd w:val="clear" w:color="auto" w:fill="F2DCDB"/>
            <w:vAlign w:val="bottom"/>
          </w:tcPr>
          <w:p w14:paraId="37927430" w14:textId="77777777" w:rsidR="00CA72B0" w:rsidRDefault="00CA72B0" w:rsidP="00D862F0">
            <w:r w:rsidRPr="112F4D6F">
              <w:rPr>
                <w:rFonts w:eastAsia="Times New Roman" w:cs="Times New Roman"/>
                <w:color w:val="000000" w:themeColor="text1"/>
                <w:sz w:val="16"/>
                <w:szCs w:val="16"/>
              </w:rPr>
              <w:t>428524</w:t>
            </w:r>
          </w:p>
        </w:tc>
        <w:tc>
          <w:tcPr>
            <w:tcW w:w="920" w:type="dxa"/>
            <w:tcBorders>
              <w:top w:val="nil"/>
              <w:left w:val="nil"/>
              <w:bottom w:val="nil"/>
              <w:right w:val="nil"/>
            </w:tcBorders>
            <w:shd w:val="clear" w:color="auto" w:fill="F2DCDB"/>
            <w:vAlign w:val="bottom"/>
          </w:tcPr>
          <w:p w14:paraId="08803773" w14:textId="77777777" w:rsidR="00CA72B0" w:rsidRDefault="00CA72B0" w:rsidP="00D862F0">
            <w:r w:rsidRPr="112F4D6F">
              <w:rPr>
                <w:rFonts w:eastAsia="Times New Roman" w:cs="Times New Roman"/>
                <w:color w:val="000000" w:themeColor="text1"/>
                <w:sz w:val="16"/>
                <w:szCs w:val="16"/>
              </w:rPr>
              <w:t>2.59</w:t>
            </w:r>
          </w:p>
        </w:tc>
        <w:tc>
          <w:tcPr>
            <w:tcW w:w="686" w:type="dxa"/>
            <w:tcBorders>
              <w:top w:val="nil"/>
              <w:left w:val="nil"/>
              <w:bottom w:val="nil"/>
              <w:right w:val="nil"/>
            </w:tcBorders>
            <w:shd w:val="clear" w:color="auto" w:fill="F2DCDB"/>
            <w:vAlign w:val="bottom"/>
          </w:tcPr>
          <w:p w14:paraId="39DBDA5E" w14:textId="77777777" w:rsidR="00CA72B0" w:rsidRDefault="00CA72B0" w:rsidP="00D862F0">
            <w:r w:rsidRPr="112F4D6F">
              <w:rPr>
                <w:rFonts w:eastAsia="Times New Roman" w:cs="Times New Roman"/>
                <w:color w:val="000000" w:themeColor="text1"/>
                <w:sz w:val="16"/>
                <w:szCs w:val="16"/>
              </w:rPr>
              <w:t>2.46</w:t>
            </w:r>
          </w:p>
        </w:tc>
        <w:tc>
          <w:tcPr>
            <w:tcW w:w="765" w:type="dxa"/>
            <w:tcBorders>
              <w:top w:val="nil"/>
              <w:left w:val="nil"/>
              <w:bottom w:val="nil"/>
              <w:right w:val="nil"/>
            </w:tcBorders>
            <w:shd w:val="clear" w:color="auto" w:fill="F2DCDB"/>
            <w:vAlign w:val="bottom"/>
          </w:tcPr>
          <w:p w14:paraId="42552CB4" w14:textId="77777777" w:rsidR="00CA72B0" w:rsidRDefault="00CA72B0" w:rsidP="00D862F0">
            <w:r w:rsidRPr="112F4D6F">
              <w:rPr>
                <w:rFonts w:eastAsia="Times New Roman" w:cs="Times New Roman"/>
                <w:color w:val="000000" w:themeColor="text1"/>
                <w:sz w:val="16"/>
                <w:szCs w:val="16"/>
              </w:rPr>
              <w:t>2.72</w:t>
            </w:r>
          </w:p>
        </w:tc>
      </w:tr>
      <w:tr w:rsidR="00CA72B0" w14:paraId="0A1BF9A1" w14:textId="77777777" w:rsidTr="00D862F0">
        <w:trPr>
          <w:trHeight w:val="225"/>
        </w:trPr>
        <w:tc>
          <w:tcPr>
            <w:tcW w:w="2278" w:type="dxa"/>
            <w:tcBorders>
              <w:top w:val="nil"/>
              <w:left w:val="nil"/>
              <w:bottom w:val="nil"/>
              <w:right w:val="nil"/>
            </w:tcBorders>
            <w:vAlign w:val="bottom"/>
          </w:tcPr>
          <w:p w14:paraId="2ADC2BE3" w14:textId="77777777" w:rsidR="00CA72B0" w:rsidRDefault="00CA72B0" w:rsidP="00D862F0">
            <w:r w:rsidRPr="112F4D6F">
              <w:rPr>
                <w:rFonts w:eastAsia="Times New Roman" w:cs="Times New Roman"/>
                <w:i/>
                <w:iCs/>
                <w:color w:val="000000" w:themeColor="text1"/>
                <w:sz w:val="16"/>
                <w:szCs w:val="16"/>
              </w:rPr>
              <w:t>Mycobacterium tuberculosis</w:t>
            </w:r>
          </w:p>
        </w:tc>
        <w:tc>
          <w:tcPr>
            <w:tcW w:w="4030" w:type="dxa"/>
            <w:tcBorders>
              <w:top w:val="nil"/>
              <w:left w:val="nil"/>
              <w:bottom w:val="nil"/>
              <w:right w:val="nil"/>
            </w:tcBorders>
            <w:vAlign w:val="bottom"/>
          </w:tcPr>
          <w:p w14:paraId="5B8C5A89" w14:textId="77777777" w:rsidR="00CA72B0" w:rsidRDefault="00CA72B0" w:rsidP="00D862F0">
            <w:r w:rsidRPr="112F4D6F">
              <w:rPr>
                <w:rFonts w:eastAsia="Times New Roman" w:cs="Times New Roman"/>
                <w:color w:val="000000" w:themeColor="text1"/>
                <w:sz w:val="16"/>
                <w:szCs w:val="16"/>
              </w:rPr>
              <w:t>Isoniazid mono-resistance</w:t>
            </w:r>
          </w:p>
        </w:tc>
        <w:tc>
          <w:tcPr>
            <w:tcW w:w="803" w:type="dxa"/>
            <w:tcBorders>
              <w:top w:val="nil"/>
              <w:left w:val="nil"/>
              <w:bottom w:val="nil"/>
              <w:right w:val="nil"/>
            </w:tcBorders>
            <w:vAlign w:val="bottom"/>
          </w:tcPr>
          <w:p w14:paraId="327A2704" w14:textId="77777777" w:rsidR="00CA72B0" w:rsidRDefault="00CA72B0" w:rsidP="00D862F0">
            <w:r w:rsidRPr="112F4D6F">
              <w:rPr>
                <w:rFonts w:eastAsia="Times New Roman" w:cs="Times New Roman"/>
                <w:color w:val="000000" w:themeColor="text1"/>
                <w:sz w:val="16"/>
                <w:szCs w:val="16"/>
              </w:rPr>
              <w:t>14537</w:t>
            </w:r>
          </w:p>
        </w:tc>
        <w:tc>
          <w:tcPr>
            <w:tcW w:w="920" w:type="dxa"/>
            <w:tcBorders>
              <w:top w:val="nil"/>
              <w:left w:val="nil"/>
              <w:bottom w:val="nil"/>
              <w:right w:val="nil"/>
            </w:tcBorders>
            <w:vAlign w:val="bottom"/>
          </w:tcPr>
          <w:p w14:paraId="133797DA" w14:textId="77777777" w:rsidR="00CA72B0" w:rsidRDefault="00CA72B0" w:rsidP="00D862F0">
            <w:r w:rsidRPr="112F4D6F">
              <w:rPr>
                <w:rFonts w:eastAsia="Times New Roman" w:cs="Times New Roman"/>
                <w:color w:val="000000" w:themeColor="text1"/>
                <w:sz w:val="16"/>
                <w:szCs w:val="16"/>
              </w:rPr>
              <w:t>1.19</w:t>
            </w:r>
          </w:p>
        </w:tc>
        <w:tc>
          <w:tcPr>
            <w:tcW w:w="686" w:type="dxa"/>
            <w:tcBorders>
              <w:top w:val="nil"/>
              <w:left w:val="nil"/>
              <w:bottom w:val="nil"/>
              <w:right w:val="nil"/>
            </w:tcBorders>
            <w:vAlign w:val="bottom"/>
          </w:tcPr>
          <w:p w14:paraId="56C9400A" w14:textId="77777777" w:rsidR="00CA72B0" w:rsidRDefault="00CA72B0" w:rsidP="00D862F0">
            <w:r w:rsidRPr="112F4D6F">
              <w:rPr>
                <w:rFonts w:eastAsia="Times New Roman" w:cs="Times New Roman"/>
                <w:color w:val="000000" w:themeColor="text1"/>
                <w:sz w:val="16"/>
                <w:szCs w:val="16"/>
              </w:rPr>
              <w:t>0.84</w:t>
            </w:r>
          </w:p>
        </w:tc>
        <w:tc>
          <w:tcPr>
            <w:tcW w:w="765" w:type="dxa"/>
            <w:tcBorders>
              <w:top w:val="nil"/>
              <w:left w:val="nil"/>
              <w:bottom w:val="nil"/>
              <w:right w:val="nil"/>
            </w:tcBorders>
            <w:vAlign w:val="bottom"/>
          </w:tcPr>
          <w:p w14:paraId="01AAA22B" w14:textId="77777777" w:rsidR="00CA72B0" w:rsidRDefault="00CA72B0" w:rsidP="00D862F0">
            <w:r w:rsidRPr="112F4D6F">
              <w:rPr>
                <w:rFonts w:eastAsia="Times New Roman" w:cs="Times New Roman"/>
                <w:color w:val="000000" w:themeColor="text1"/>
                <w:sz w:val="16"/>
                <w:szCs w:val="16"/>
              </w:rPr>
              <w:t>1.67</w:t>
            </w:r>
          </w:p>
        </w:tc>
      </w:tr>
      <w:tr w:rsidR="00CA72B0" w14:paraId="05B67C98" w14:textId="77777777" w:rsidTr="00D862F0">
        <w:trPr>
          <w:trHeight w:val="225"/>
        </w:trPr>
        <w:tc>
          <w:tcPr>
            <w:tcW w:w="2278" w:type="dxa"/>
            <w:tcBorders>
              <w:top w:val="nil"/>
              <w:left w:val="nil"/>
              <w:bottom w:val="nil"/>
              <w:right w:val="nil"/>
            </w:tcBorders>
            <w:shd w:val="clear" w:color="auto" w:fill="F2DCDB"/>
            <w:vAlign w:val="bottom"/>
          </w:tcPr>
          <w:p w14:paraId="6E445D32" w14:textId="77777777" w:rsidR="00CA72B0" w:rsidRDefault="00CA72B0" w:rsidP="00D862F0">
            <w:r w:rsidRPr="112F4D6F">
              <w:rPr>
                <w:rFonts w:eastAsia="Times New Roman" w:cs="Times New Roman"/>
                <w:i/>
                <w:iCs/>
                <w:color w:val="000000" w:themeColor="text1"/>
                <w:sz w:val="16"/>
                <w:szCs w:val="16"/>
              </w:rPr>
              <w:t>Mycobacterium tuberculosis</w:t>
            </w:r>
          </w:p>
        </w:tc>
        <w:tc>
          <w:tcPr>
            <w:tcW w:w="4030" w:type="dxa"/>
            <w:tcBorders>
              <w:top w:val="nil"/>
              <w:left w:val="nil"/>
              <w:bottom w:val="nil"/>
              <w:right w:val="nil"/>
            </w:tcBorders>
            <w:shd w:val="clear" w:color="auto" w:fill="F2DCDB"/>
            <w:vAlign w:val="bottom"/>
          </w:tcPr>
          <w:p w14:paraId="4FB8317A" w14:textId="77777777" w:rsidR="00CA72B0" w:rsidRDefault="00CA72B0" w:rsidP="00D862F0">
            <w:r w:rsidRPr="112F4D6F">
              <w:rPr>
                <w:rFonts w:eastAsia="Times New Roman" w:cs="Times New Roman"/>
                <w:color w:val="000000" w:themeColor="text1"/>
                <w:sz w:val="16"/>
                <w:szCs w:val="16"/>
              </w:rPr>
              <w:t>Multidrug resistance</w:t>
            </w:r>
          </w:p>
        </w:tc>
        <w:tc>
          <w:tcPr>
            <w:tcW w:w="803" w:type="dxa"/>
            <w:tcBorders>
              <w:top w:val="nil"/>
              <w:left w:val="nil"/>
              <w:bottom w:val="nil"/>
              <w:right w:val="nil"/>
            </w:tcBorders>
            <w:shd w:val="clear" w:color="auto" w:fill="F2DCDB"/>
            <w:vAlign w:val="bottom"/>
          </w:tcPr>
          <w:p w14:paraId="684EFCA5" w14:textId="77777777" w:rsidR="00CA72B0" w:rsidRDefault="00CA72B0" w:rsidP="00D862F0">
            <w:r w:rsidRPr="112F4D6F">
              <w:rPr>
                <w:rFonts w:eastAsia="Times New Roman" w:cs="Times New Roman"/>
                <w:color w:val="000000" w:themeColor="text1"/>
                <w:sz w:val="16"/>
                <w:szCs w:val="16"/>
              </w:rPr>
              <w:t>427342</w:t>
            </w:r>
          </w:p>
        </w:tc>
        <w:tc>
          <w:tcPr>
            <w:tcW w:w="920" w:type="dxa"/>
            <w:tcBorders>
              <w:top w:val="nil"/>
              <w:left w:val="nil"/>
              <w:bottom w:val="nil"/>
              <w:right w:val="nil"/>
            </w:tcBorders>
            <w:shd w:val="clear" w:color="auto" w:fill="F2DCDB"/>
            <w:vAlign w:val="bottom"/>
          </w:tcPr>
          <w:p w14:paraId="393F324A" w14:textId="77777777" w:rsidR="00CA72B0" w:rsidRDefault="00CA72B0" w:rsidP="00D862F0">
            <w:r w:rsidRPr="112F4D6F">
              <w:rPr>
                <w:rFonts w:eastAsia="Times New Roman" w:cs="Times New Roman"/>
                <w:color w:val="000000" w:themeColor="text1"/>
                <w:sz w:val="16"/>
                <w:szCs w:val="16"/>
              </w:rPr>
              <w:t>2.5</w:t>
            </w:r>
          </w:p>
        </w:tc>
        <w:tc>
          <w:tcPr>
            <w:tcW w:w="686" w:type="dxa"/>
            <w:tcBorders>
              <w:top w:val="nil"/>
              <w:left w:val="nil"/>
              <w:bottom w:val="nil"/>
              <w:right w:val="nil"/>
            </w:tcBorders>
            <w:shd w:val="clear" w:color="auto" w:fill="F2DCDB"/>
            <w:vAlign w:val="bottom"/>
          </w:tcPr>
          <w:p w14:paraId="48790D62" w14:textId="77777777" w:rsidR="00CA72B0" w:rsidRDefault="00CA72B0" w:rsidP="00D862F0">
            <w:r w:rsidRPr="112F4D6F">
              <w:rPr>
                <w:rFonts w:eastAsia="Times New Roman" w:cs="Times New Roman"/>
                <w:color w:val="000000" w:themeColor="text1"/>
                <w:sz w:val="16"/>
                <w:szCs w:val="16"/>
              </w:rPr>
              <w:t>1.17</w:t>
            </w:r>
          </w:p>
        </w:tc>
        <w:tc>
          <w:tcPr>
            <w:tcW w:w="765" w:type="dxa"/>
            <w:tcBorders>
              <w:top w:val="nil"/>
              <w:left w:val="nil"/>
              <w:bottom w:val="nil"/>
              <w:right w:val="nil"/>
            </w:tcBorders>
            <w:shd w:val="clear" w:color="auto" w:fill="F2DCDB"/>
            <w:vAlign w:val="bottom"/>
          </w:tcPr>
          <w:p w14:paraId="670353E6" w14:textId="77777777" w:rsidR="00CA72B0" w:rsidRDefault="00CA72B0" w:rsidP="00D862F0">
            <w:r w:rsidRPr="112F4D6F">
              <w:rPr>
                <w:rFonts w:eastAsia="Times New Roman" w:cs="Times New Roman"/>
                <w:color w:val="000000" w:themeColor="text1"/>
                <w:sz w:val="16"/>
                <w:szCs w:val="16"/>
              </w:rPr>
              <w:t>4.74</w:t>
            </w:r>
          </w:p>
        </w:tc>
      </w:tr>
      <w:tr w:rsidR="00CA72B0" w14:paraId="6BFD0C75" w14:textId="77777777" w:rsidTr="00D862F0">
        <w:trPr>
          <w:trHeight w:val="225"/>
        </w:trPr>
        <w:tc>
          <w:tcPr>
            <w:tcW w:w="2278" w:type="dxa"/>
            <w:tcBorders>
              <w:top w:val="nil"/>
              <w:left w:val="nil"/>
              <w:bottom w:val="nil"/>
              <w:right w:val="nil"/>
            </w:tcBorders>
            <w:vAlign w:val="bottom"/>
          </w:tcPr>
          <w:p w14:paraId="44D6851F" w14:textId="77777777" w:rsidR="00CA72B0" w:rsidRDefault="00CA72B0" w:rsidP="00D862F0">
            <w:r w:rsidRPr="112F4D6F">
              <w:rPr>
                <w:rFonts w:eastAsia="Times New Roman" w:cs="Times New Roman"/>
                <w:i/>
                <w:iCs/>
                <w:color w:val="000000" w:themeColor="text1"/>
                <w:sz w:val="16"/>
                <w:szCs w:val="16"/>
              </w:rPr>
              <w:t>Mycobacterium tuberculosis</w:t>
            </w:r>
          </w:p>
        </w:tc>
        <w:tc>
          <w:tcPr>
            <w:tcW w:w="4030" w:type="dxa"/>
            <w:tcBorders>
              <w:top w:val="nil"/>
              <w:left w:val="nil"/>
              <w:bottom w:val="nil"/>
              <w:right w:val="nil"/>
            </w:tcBorders>
            <w:vAlign w:val="bottom"/>
          </w:tcPr>
          <w:p w14:paraId="74BDCF0D" w14:textId="77777777" w:rsidR="00CA72B0" w:rsidRDefault="00CA72B0" w:rsidP="00D862F0">
            <w:r w:rsidRPr="112F4D6F">
              <w:rPr>
                <w:rFonts w:eastAsia="Times New Roman" w:cs="Times New Roman"/>
                <w:color w:val="000000" w:themeColor="text1"/>
                <w:sz w:val="16"/>
                <w:szCs w:val="16"/>
              </w:rPr>
              <w:t>Rifampicin mono-resistance</w:t>
            </w:r>
          </w:p>
        </w:tc>
        <w:tc>
          <w:tcPr>
            <w:tcW w:w="803" w:type="dxa"/>
            <w:tcBorders>
              <w:top w:val="nil"/>
              <w:left w:val="nil"/>
              <w:bottom w:val="nil"/>
              <w:right w:val="nil"/>
            </w:tcBorders>
            <w:vAlign w:val="bottom"/>
          </w:tcPr>
          <w:p w14:paraId="30BD08EE" w14:textId="77777777" w:rsidR="00CA72B0" w:rsidRDefault="00CA72B0" w:rsidP="00D862F0">
            <w:r w:rsidRPr="112F4D6F">
              <w:rPr>
                <w:rFonts w:eastAsia="Times New Roman" w:cs="Times New Roman"/>
                <w:color w:val="000000" w:themeColor="text1"/>
                <w:sz w:val="16"/>
                <w:szCs w:val="16"/>
              </w:rPr>
              <w:t>7161</w:t>
            </w:r>
          </w:p>
        </w:tc>
        <w:tc>
          <w:tcPr>
            <w:tcW w:w="920" w:type="dxa"/>
            <w:tcBorders>
              <w:top w:val="nil"/>
              <w:left w:val="nil"/>
              <w:bottom w:val="nil"/>
              <w:right w:val="nil"/>
            </w:tcBorders>
            <w:vAlign w:val="bottom"/>
          </w:tcPr>
          <w:p w14:paraId="5F0C58D1" w14:textId="77777777" w:rsidR="00CA72B0" w:rsidRDefault="00CA72B0" w:rsidP="00D862F0">
            <w:r w:rsidRPr="112F4D6F">
              <w:rPr>
                <w:rFonts w:eastAsia="Times New Roman" w:cs="Times New Roman"/>
                <w:color w:val="000000" w:themeColor="text1"/>
                <w:sz w:val="16"/>
                <w:szCs w:val="16"/>
              </w:rPr>
              <w:t>1.39</w:t>
            </w:r>
          </w:p>
        </w:tc>
        <w:tc>
          <w:tcPr>
            <w:tcW w:w="686" w:type="dxa"/>
            <w:tcBorders>
              <w:top w:val="nil"/>
              <w:left w:val="nil"/>
              <w:bottom w:val="nil"/>
              <w:right w:val="nil"/>
            </w:tcBorders>
            <w:vAlign w:val="bottom"/>
          </w:tcPr>
          <w:p w14:paraId="77B83944" w14:textId="77777777" w:rsidR="00CA72B0" w:rsidRDefault="00CA72B0" w:rsidP="00D862F0">
            <w:r w:rsidRPr="112F4D6F">
              <w:rPr>
                <w:rFonts w:eastAsia="Times New Roman" w:cs="Times New Roman"/>
                <w:color w:val="000000" w:themeColor="text1"/>
                <w:sz w:val="16"/>
                <w:szCs w:val="16"/>
              </w:rPr>
              <w:t>1.06</w:t>
            </w:r>
          </w:p>
        </w:tc>
        <w:tc>
          <w:tcPr>
            <w:tcW w:w="765" w:type="dxa"/>
            <w:tcBorders>
              <w:top w:val="nil"/>
              <w:left w:val="nil"/>
              <w:bottom w:val="nil"/>
              <w:right w:val="nil"/>
            </w:tcBorders>
            <w:vAlign w:val="bottom"/>
          </w:tcPr>
          <w:p w14:paraId="7179E2C1" w14:textId="77777777" w:rsidR="00CA72B0" w:rsidRDefault="00CA72B0" w:rsidP="00D862F0">
            <w:r w:rsidRPr="112F4D6F">
              <w:rPr>
                <w:rFonts w:eastAsia="Times New Roman" w:cs="Times New Roman"/>
                <w:color w:val="000000" w:themeColor="text1"/>
                <w:sz w:val="16"/>
                <w:szCs w:val="16"/>
              </w:rPr>
              <w:t>1.77</w:t>
            </w:r>
          </w:p>
        </w:tc>
      </w:tr>
      <w:tr w:rsidR="00CA72B0" w14:paraId="3AA517CE" w14:textId="77777777" w:rsidTr="00D862F0">
        <w:trPr>
          <w:trHeight w:val="225"/>
        </w:trPr>
        <w:tc>
          <w:tcPr>
            <w:tcW w:w="2278" w:type="dxa"/>
            <w:tcBorders>
              <w:top w:val="nil"/>
              <w:left w:val="nil"/>
              <w:bottom w:val="nil"/>
              <w:right w:val="nil"/>
            </w:tcBorders>
            <w:shd w:val="clear" w:color="auto" w:fill="F2DCDB"/>
            <w:vAlign w:val="bottom"/>
          </w:tcPr>
          <w:p w14:paraId="65D3D891" w14:textId="77777777" w:rsidR="00CA72B0" w:rsidRDefault="00CA72B0" w:rsidP="00D862F0">
            <w:r w:rsidRPr="112F4D6F">
              <w:rPr>
                <w:rFonts w:eastAsia="Times New Roman" w:cs="Times New Roman"/>
                <w:color w:val="000000" w:themeColor="text1"/>
                <w:sz w:val="16"/>
                <w:szCs w:val="16"/>
              </w:rPr>
              <w:t>Non-typhoidal</w:t>
            </w:r>
            <w:r w:rsidRPr="112F4D6F">
              <w:rPr>
                <w:rFonts w:eastAsia="Times New Roman" w:cs="Times New Roman"/>
                <w:i/>
                <w:iCs/>
                <w:color w:val="000000" w:themeColor="text1"/>
                <w:sz w:val="16"/>
                <w:szCs w:val="16"/>
              </w:rPr>
              <w:t xml:space="preserve"> Salmonella</w:t>
            </w:r>
          </w:p>
        </w:tc>
        <w:tc>
          <w:tcPr>
            <w:tcW w:w="4030" w:type="dxa"/>
            <w:tcBorders>
              <w:top w:val="nil"/>
              <w:left w:val="nil"/>
              <w:bottom w:val="nil"/>
              <w:right w:val="nil"/>
            </w:tcBorders>
            <w:shd w:val="clear" w:color="auto" w:fill="F2DCDB"/>
            <w:vAlign w:val="bottom"/>
          </w:tcPr>
          <w:p w14:paraId="0B281A74"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shd w:val="clear" w:color="auto" w:fill="F2DCDB"/>
            <w:vAlign w:val="bottom"/>
          </w:tcPr>
          <w:p w14:paraId="1C8B9D93" w14:textId="77777777" w:rsidR="00CA72B0" w:rsidRDefault="00CA72B0" w:rsidP="00D862F0">
            <w:r w:rsidRPr="112F4D6F">
              <w:rPr>
                <w:rFonts w:eastAsia="Times New Roman" w:cs="Times New Roman"/>
                <w:color w:val="000000" w:themeColor="text1"/>
                <w:sz w:val="16"/>
                <w:szCs w:val="16"/>
              </w:rPr>
              <w:t>42</w:t>
            </w:r>
          </w:p>
        </w:tc>
        <w:tc>
          <w:tcPr>
            <w:tcW w:w="920" w:type="dxa"/>
            <w:tcBorders>
              <w:top w:val="nil"/>
              <w:left w:val="nil"/>
              <w:bottom w:val="nil"/>
              <w:right w:val="nil"/>
            </w:tcBorders>
            <w:shd w:val="clear" w:color="auto" w:fill="F2DCDB"/>
            <w:vAlign w:val="bottom"/>
          </w:tcPr>
          <w:p w14:paraId="3328C42E" w14:textId="77777777" w:rsidR="00CA72B0" w:rsidRDefault="00CA72B0" w:rsidP="00D862F0">
            <w:r w:rsidRPr="112F4D6F">
              <w:rPr>
                <w:rFonts w:eastAsia="Times New Roman" w:cs="Times New Roman"/>
                <w:color w:val="000000" w:themeColor="text1"/>
                <w:sz w:val="16"/>
                <w:szCs w:val="16"/>
              </w:rPr>
              <w:t>1.23</w:t>
            </w:r>
          </w:p>
        </w:tc>
        <w:tc>
          <w:tcPr>
            <w:tcW w:w="686" w:type="dxa"/>
            <w:tcBorders>
              <w:top w:val="nil"/>
              <w:left w:val="nil"/>
              <w:bottom w:val="nil"/>
              <w:right w:val="nil"/>
            </w:tcBorders>
            <w:shd w:val="clear" w:color="auto" w:fill="F2DCDB"/>
            <w:vAlign w:val="bottom"/>
          </w:tcPr>
          <w:p w14:paraId="3DFADFE5" w14:textId="77777777" w:rsidR="00CA72B0" w:rsidRDefault="00CA72B0" w:rsidP="00D862F0">
            <w:r w:rsidRPr="112F4D6F">
              <w:rPr>
                <w:rFonts w:eastAsia="Times New Roman" w:cs="Times New Roman"/>
                <w:color w:val="000000" w:themeColor="text1"/>
                <w:sz w:val="16"/>
                <w:szCs w:val="16"/>
              </w:rPr>
              <w:t>1.01</w:t>
            </w:r>
          </w:p>
        </w:tc>
        <w:tc>
          <w:tcPr>
            <w:tcW w:w="765" w:type="dxa"/>
            <w:tcBorders>
              <w:top w:val="nil"/>
              <w:left w:val="nil"/>
              <w:bottom w:val="nil"/>
              <w:right w:val="nil"/>
            </w:tcBorders>
            <w:shd w:val="clear" w:color="auto" w:fill="F2DCDB"/>
            <w:vAlign w:val="bottom"/>
          </w:tcPr>
          <w:p w14:paraId="5C6C1D18" w14:textId="77777777" w:rsidR="00CA72B0" w:rsidRDefault="00CA72B0" w:rsidP="00D862F0">
            <w:r w:rsidRPr="112F4D6F">
              <w:rPr>
                <w:rFonts w:eastAsia="Times New Roman" w:cs="Times New Roman"/>
                <w:color w:val="000000" w:themeColor="text1"/>
                <w:sz w:val="16"/>
                <w:szCs w:val="16"/>
              </w:rPr>
              <w:t>1.5</w:t>
            </w:r>
          </w:p>
        </w:tc>
      </w:tr>
      <w:tr w:rsidR="00CA72B0" w14:paraId="4BAF9925" w14:textId="77777777" w:rsidTr="00D862F0">
        <w:trPr>
          <w:trHeight w:val="225"/>
        </w:trPr>
        <w:tc>
          <w:tcPr>
            <w:tcW w:w="2278" w:type="dxa"/>
            <w:tcBorders>
              <w:top w:val="nil"/>
              <w:left w:val="nil"/>
              <w:bottom w:val="nil"/>
              <w:right w:val="nil"/>
            </w:tcBorders>
            <w:vAlign w:val="bottom"/>
          </w:tcPr>
          <w:p w14:paraId="6A8F1DDD" w14:textId="77777777" w:rsidR="00CA72B0" w:rsidRDefault="00CA72B0" w:rsidP="00D862F0">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w:t>
            </w:r>
            <w:proofErr w:type="spellStart"/>
            <w:r w:rsidRPr="112F4D6F">
              <w:rPr>
                <w:rFonts w:eastAsia="Times New Roman" w:cs="Times New Roman"/>
                <w:color w:val="000000" w:themeColor="text1"/>
                <w:sz w:val="16"/>
                <w:szCs w:val="16"/>
              </w:rPr>
              <w:t>Paratyphi</w:t>
            </w:r>
            <w:proofErr w:type="spellEnd"/>
            <w:r w:rsidRPr="112F4D6F">
              <w:rPr>
                <w:rFonts w:eastAsia="Times New Roman" w:cs="Times New Roman"/>
                <w:color w:val="000000" w:themeColor="text1"/>
                <w:sz w:val="16"/>
                <w:szCs w:val="16"/>
              </w:rPr>
              <w:t>*</w:t>
            </w:r>
          </w:p>
        </w:tc>
        <w:tc>
          <w:tcPr>
            <w:tcW w:w="4030" w:type="dxa"/>
            <w:tcBorders>
              <w:top w:val="nil"/>
              <w:left w:val="nil"/>
              <w:bottom w:val="nil"/>
              <w:right w:val="nil"/>
            </w:tcBorders>
            <w:vAlign w:val="bottom"/>
          </w:tcPr>
          <w:p w14:paraId="0F7993EF"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462CF9D6" w14:textId="77777777" w:rsidR="00CA72B0" w:rsidRDefault="00CA72B0" w:rsidP="00D862F0">
            <w:r w:rsidRPr="112F4D6F">
              <w:rPr>
                <w:rFonts w:eastAsia="Times New Roman" w:cs="Times New Roman"/>
                <w:color w:val="000000" w:themeColor="text1"/>
                <w:sz w:val="16"/>
                <w:szCs w:val="16"/>
              </w:rPr>
              <w:t>24</w:t>
            </w:r>
          </w:p>
        </w:tc>
        <w:tc>
          <w:tcPr>
            <w:tcW w:w="920" w:type="dxa"/>
            <w:tcBorders>
              <w:top w:val="nil"/>
              <w:left w:val="nil"/>
              <w:bottom w:val="nil"/>
              <w:right w:val="nil"/>
            </w:tcBorders>
            <w:vAlign w:val="bottom"/>
          </w:tcPr>
          <w:p w14:paraId="4679618E"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vAlign w:val="bottom"/>
          </w:tcPr>
          <w:p w14:paraId="39A0641F"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vAlign w:val="bottom"/>
          </w:tcPr>
          <w:p w14:paraId="592DC371" w14:textId="77777777" w:rsidR="00CA72B0" w:rsidRDefault="00CA72B0" w:rsidP="00D862F0">
            <w:r w:rsidRPr="112F4D6F">
              <w:rPr>
                <w:rFonts w:eastAsia="Times New Roman" w:cs="Times New Roman"/>
                <w:color w:val="000000" w:themeColor="text1"/>
                <w:sz w:val="16"/>
                <w:szCs w:val="16"/>
              </w:rPr>
              <w:t>1.52</w:t>
            </w:r>
          </w:p>
        </w:tc>
      </w:tr>
      <w:tr w:rsidR="00CA72B0" w14:paraId="542CDC07" w14:textId="77777777" w:rsidTr="00D862F0">
        <w:trPr>
          <w:trHeight w:val="225"/>
        </w:trPr>
        <w:tc>
          <w:tcPr>
            <w:tcW w:w="2278" w:type="dxa"/>
            <w:tcBorders>
              <w:top w:val="nil"/>
              <w:left w:val="nil"/>
              <w:bottom w:val="nil"/>
              <w:right w:val="nil"/>
            </w:tcBorders>
            <w:shd w:val="clear" w:color="auto" w:fill="F2DCDB"/>
            <w:vAlign w:val="bottom"/>
          </w:tcPr>
          <w:p w14:paraId="2A930B24" w14:textId="77777777" w:rsidR="00CA72B0" w:rsidRDefault="00CA72B0" w:rsidP="00D862F0">
            <w:r w:rsidRPr="112F4D6F">
              <w:rPr>
                <w:rFonts w:eastAsia="Times New Roman" w:cs="Times New Roman"/>
                <w:i/>
                <w:iCs/>
                <w:color w:val="000000" w:themeColor="text1"/>
                <w:sz w:val="16"/>
                <w:szCs w:val="16"/>
              </w:rPr>
              <w:t xml:space="preserve">Salmonella </w:t>
            </w:r>
            <w:proofErr w:type="spellStart"/>
            <w:r w:rsidRPr="112F4D6F">
              <w:rPr>
                <w:rFonts w:eastAsia="Times New Roman" w:cs="Times New Roman"/>
                <w:color w:val="000000" w:themeColor="text1"/>
                <w:sz w:val="16"/>
                <w:szCs w:val="16"/>
              </w:rPr>
              <w:t>Paratyphi</w:t>
            </w:r>
            <w:proofErr w:type="spellEnd"/>
            <w:r w:rsidRPr="112F4D6F">
              <w:rPr>
                <w:rFonts w:eastAsia="Times New Roman" w:cs="Times New Roman"/>
                <w:color w:val="000000" w:themeColor="text1"/>
                <w:sz w:val="16"/>
                <w:szCs w:val="16"/>
              </w:rPr>
              <w:t>*</w:t>
            </w:r>
          </w:p>
        </w:tc>
        <w:tc>
          <w:tcPr>
            <w:tcW w:w="4030" w:type="dxa"/>
            <w:tcBorders>
              <w:top w:val="nil"/>
              <w:left w:val="nil"/>
              <w:bottom w:val="nil"/>
              <w:right w:val="nil"/>
            </w:tcBorders>
            <w:shd w:val="clear" w:color="auto" w:fill="F2DCDB"/>
            <w:vAlign w:val="bottom"/>
          </w:tcPr>
          <w:p w14:paraId="661F30BA" w14:textId="77777777" w:rsidR="00CA72B0" w:rsidRDefault="00CA72B0" w:rsidP="00D862F0">
            <w:r w:rsidRPr="112F4D6F">
              <w:rPr>
                <w:rFonts w:eastAsia="Times New Roman" w:cs="Times New Roman"/>
                <w:color w:val="000000" w:themeColor="text1"/>
                <w:sz w:val="16"/>
                <w:szCs w:val="16"/>
              </w:rPr>
              <w:t>Multidrug resistance</w:t>
            </w:r>
          </w:p>
        </w:tc>
        <w:tc>
          <w:tcPr>
            <w:tcW w:w="803" w:type="dxa"/>
            <w:tcBorders>
              <w:top w:val="nil"/>
              <w:left w:val="nil"/>
              <w:bottom w:val="nil"/>
              <w:right w:val="nil"/>
            </w:tcBorders>
            <w:shd w:val="clear" w:color="auto" w:fill="F2DCDB"/>
            <w:vAlign w:val="bottom"/>
          </w:tcPr>
          <w:p w14:paraId="559D48CE" w14:textId="77777777" w:rsidR="00CA72B0" w:rsidRDefault="00CA72B0" w:rsidP="00D862F0">
            <w:r w:rsidRPr="112F4D6F">
              <w:rPr>
                <w:rFonts w:eastAsia="Times New Roman" w:cs="Times New Roman"/>
                <w:color w:val="000000" w:themeColor="text1"/>
                <w:sz w:val="16"/>
                <w:szCs w:val="16"/>
              </w:rPr>
              <w:t>25</w:t>
            </w:r>
          </w:p>
        </w:tc>
        <w:tc>
          <w:tcPr>
            <w:tcW w:w="920" w:type="dxa"/>
            <w:tcBorders>
              <w:top w:val="nil"/>
              <w:left w:val="nil"/>
              <w:bottom w:val="nil"/>
              <w:right w:val="nil"/>
            </w:tcBorders>
            <w:shd w:val="clear" w:color="auto" w:fill="F2DCDB"/>
            <w:vAlign w:val="bottom"/>
          </w:tcPr>
          <w:p w14:paraId="0DFEDCA2"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shd w:val="clear" w:color="auto" w:fill="F2DCDB"/>
            <w:vAlign w:val="bottom"/>
          </w:tcPr>
          <w:p w14:paraId="0562E582" w14:textId="77777777" w:rsidR="00CA72B0" w:rsidRDefault="00CA72B0" w:rsidP="00D862F0">
            <w:r w:rsidRPr="112F4D6F">
              <w:rPr>
                <w:rFonts w:eastAsia="Times New Roman" w:cs="Times New Roman"/>
                <w:color w:val="000000" w:themeColor="text1"/>
                <w:sz w:val="16"/>
                <w:szCs w:val="16"/>
              </w:rPr>
              <w:t>1.03</w:t>
            </w:r>
          </w:p>
        </w:tc>
        <w:tc>
          <w:tcPr>
            <w:tcW w:w="765" w:type="dxa"/>
            <w:tcBorders>
              <w:top w:val="nil"/>
              <w:left w:val="nil"/>
              <w:bottom w:val="nil"/>
              <w:right w:val="nil"/>
            </w:tcBorders>
            <w:shd w:val="clear" w:color="auto" w:fill="F2DCDB"/>
            <w:vAlign w:val="bottom"/>
          </w:tcPr>
          <w:p w14:paraId="3E0B579C" w14:textId="77777777" w:rsidR="00CA72B0" w:rsidRDefault="00CA72B0" w:rsidP="00D862F0">
            <w:r w:rsidRPr="112F4D6F">
              <w:rPr>
                <w:rFonts w:eastAsia="Times New Roman" w:cs="Times New Roman"/>
                <w:color w:val="000000" w:themeColor="text1"/>
                <w:sz w:val="16"/>
                <w:szCs w:val="16"/>
              </w:rPr>
              <w:t>1.5</w:t>
            </w:r>
          </w:p>
        </w:tc>
      </w:tr>
      <w:tr w:rsidR="00CA72B0" w14:paraId="5654E276" w14:textId="77777777" w:rsidTr="00D862F0">
        <w:trPr>
          <w:trHeight w:val="225"/>
        </w:trPr>
        <w:tc>
          <w:tcPr>
            <w:tcW w:w="2278" w:type="dxa"/>
            <w:tcBorders>
              <w:top w:val="nil"/>
              <w:left w:val="nil"/>
              <w:bottom w:val="nil"/>
              <w:right w:val="nil"/>
            </w:tcBorders>
            <w:vAlign w:val="bottom"/>
          </w:tcPr>
          <w:p w14:paraId="5801E902" w14:textId="77777777" w:rsidR="00CA72B0" w:rsidRDefault="00CA72B0" w:rsidP="00D862F0">
            <w:r w:rsidRPr="112F4D6F">
              <w:rPr>
                <w:rFonts w:eastAsia="Times New Roman" w:cs="Times New Roman"/>
                <w:i/>
                <w:iCs/>
                <w:color w:val="000000" w:themeColor="text1"/>
                <w:sz w:val="16"/>
                <w:szCs w:val="16"/>
              </w:rPr>
              <w:t xml:space="preserve">Salmonella </w:t>
            </w:r>
            <w:r w:rsidRPr="112F4D6F">
              <w:rPr>
                <w:rFonts w:eastAsia="Times New Roman" w:cs="Times New Roman"/>
                <w:color w:val="000000" w:themeColor="text1"/>
                <w:sz w:val="16"/>
                <w:szCs w:val="16"/>
              </w:rPr>
              <w:t>Typhi</w:t>
            </w:r>
          </w:p>
        </w:tc>
        <w:tc>
          <w:tcPr>
            <w:tcW w:w="4030" w:type="dxa"/>
            <w:tcBorders>
              <w:top w:val="nil"/>
              <w:left w:val="nil"/>
              <w:bottom w:val="nil"/>
              <w:right w:val="nil"/>
            </w:tcBorders>
            <w:vAlign w:val="bottom"/>
          </w:tcPr>
          <w:p w14:paraId="5C54E437"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3FC400CD" w14:textId="77777777" w:rsidR="00CA72B0" w:rsidRDefault="00CA72B0" w:rsidP="00D862F0">
            <w:r w:rsidRPr="112F4D6F">
              <w:rPr>
                <w:rFonts w:eastAsia="Times New Roman" w:cs="Times New Roman"/>
                <w:color w:val="000000" w:themeColor="text1"/>
                <w:sz w:val="16"/>
                <w:szCs w:val="16"/>
              </w:rPr>
              <w:t>24</w:t>
            </w:r>
          </w:p>
        </w:tc>
        <w:tc>
          <w:tcPr>
            <w:tcW w:w="920" w:type="dxa"/>
            <w:tcBorders>
              <w:top w:val="nil"/>
              <w:left w:val="nil"/>
              <w:bottom w:val="nil"/>
              <w:right w:val="nil"/>
            </w:tcBorders>
            <w:vAlign w:val="bottom"/>
          </w:tcPr>
          <w:p w14:paraId="5D5F84C0"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vAlign w:val="bottom"/>
          </w:tcPr>
          <w:p w14:paraId="34749025"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vAlign w:val="bottom"/>
          </w:tcPr>
          <w:p w14:paraId="76CA9F79" w14:textId="77777777" w:rsidR="00CA72B0" w:rsidRDefault="00CA72B0" w:rsidP="00D862F0">
            <w:r w:rsidRPr="112F4D6F">
              <w:rPr>
                <w:rFonts w:eastAsia="Times New Roman" w:cs="Times New Roman"/>
                <w:color w:val="000000" w:themeColor="text1"/>
                <w:sz w:val="16"/>
                <w:szCs w:val="16"/>
              </w:rPr>
              <w:t>1.52</w:t>
            </w:r>
          </w:p>
        </w:tc>
      </w:tr>
      <w:tr w:rsidR="00CA72B0" w14:paraId="33FF0FB1" w14:textId="77777777" w:rsidTr="00D862F0">
        <w:trPr>
          <w:trHeight w:val="225"/>
        </w:trPr>
        <w:tc>
          <w:tcPr>
            <w:tcW w:w="2278" w:type="dxa"/>
            <w:tcBorders>
              <w:top w:val="nil"/>
              <w:left w:val="nil"/>
              <w:bottom w:val="nil"/>
              <w:right w:val="nil"/>
            </w:tcBorders>
            <w:shd w:val="clear" w:color="auto" w:fill="F2DCDB"/>
            <w:vAlign w:val="bottom"/>
          </w:tcPr>
          <w:p w14:paraId="1180AC4D" w14:textId="77777777" w:rsidR="00CA72B0" w:rsidRDefault="00CA72B0" w:rsidP="00D862F0">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Typhi</w:t>
            </w:r>
          </w:p>
        </w:tc>
        <w:tc>
          <w:tcPr>
            <w:tcW w:w="4030" w:type="dxa"/>
            <w:tcBorders>
              <w:top w:val="nil"/>
              <w:left w:val="nil"/>
              <w:bottom w:val="nil"/>
              <w:right w:val="nil"/>
            </w:tcBorders>
            <w:shd w:val="clear" w:color="auto" w:fill="F2DCDB"/>
            <w:vAlign w:val="bottom"/>
          </w:tcPr>
          <w:p w14:paraId="105EBAE0" w14:textId="77777777" w:rsidR="00CA72B0" w:rsidRDefault="00CA72B0" w:rsidP="00D862F0">
            <w:r w:rsidRPr="112F4D6F">
              <w:rPr>
                <w:rFonts w:eastAsia="Times New Roman" w:cs="Times New Roman"/>
                <w:color w:val="000000" w:themeColor="text1"/>
                <w:sz w:val="16"/>
                <w:szCs w:val="16"/>
              </w:rPr>
              <w:t>Multidrug resistance**</w:t>
            </w:r>
          </w:p>
        </w:tc>
        <w:tc>
          <w:tcPr>
            <w:tcW w:w="803" w:type="dxa"/>
            <w:tcBorders>
              <w:top w:val="nil"/>
              <w:left w:val="nil"/>
              <w:bottom w:val="nil"/>
              <w:right w:val="nil"/>
            </w:tcBorders>
            <w:shd w:val="clear" w:color="auto" w:fill="F2DCDB"/>
            <w:vAlign w:val="bottom"/>
          </w:tcPr>
          <w:p w14:paraId="1D33DFFF" w14:textId="77777777" w:rsidR="00CA72B0" w:rsidRDefault="00CA72B0" w:rsidP="00D862F0">
            <w:r w:rsidRPr="112F4D6F">
              <w:rPr>
                <w:rFonts w:eastAsia="Times New Roman" w:cs="Times New Roman"/>
                <w:color w:val="000000" w:themeColor="text1"/>
                <w:sz w:val="16"/>
                <w:szCs w:val="16"/>
              </w:rPr>
              <w:t>25</w:t>
            </w:r>
          </w:p>
        </w:tc>
        <w:tc>
          <w:tcPr>
            <w:tcW w:w="920" w:type="dxa"/>
            <w:tcBorders>
              <w:top w:val="nil"/>
              <w:left w:val="nil"/>
              <w:bottom w:val="nil"/>
              <w:right w:val="nil"/>
            </w:tcBorders>
            <w:shd w:val="clear" w:color="auto" w:fill="F2DCDB"/>
            <w:vAlign w:val="bottom"/>
          </w:tcPr>
          <w:p w14:paraId="6A24EB16"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shd w:val="clear" w:color="auto" w:fill="F2DCDB"/>
            <w:vAlign w:val="bottom"/>
          </w:tcPr>
          <w:p w14:paraId="255BA6B3" w14:textId="77777777" w:rsidR="00CA72B0" w:rsidRDefault="00CA72B0" w:rsidP="00D862F0">
            <w:r w:rsidRPr="112F4D6F">
              <w:rPr>
                <w:rFonts w:eastAsia="Times New Roman" w:cs="Times New Roman"/>
                <w:color w:val="000000" w:themeColor="text1"/>
                <w:sz w:val="16"/>
                <w:szCs w:val="16"/>
              </w:rPr>
              <w:t>1.03</w:t>
            </w:r>
          </w:p>
        </w:tc>
        <w:tc>
          <w:tcPr>
            <w:tcW w:w="765" w:type="dxa"/>
            <w:tcBorders>
              <w:top w:val="nil"/>
              <w:left w:val="nil"/>
              <w:bottom w:val="nil"/>
              <w:right w:val="nil"/>
            </w:tcBorders>
            <w:shd w:val="clear" w:color="auto" w:fill="F2DCDB"/>
            <w:vAlign w:val="bottom"/>
          </w:tcPr>
          <w:p w14:paraId="4816F698" w14:textId="77777777" w:rsidR="00CA72B0" w:rsidRDefault="00CA72B0" w:rsidP="00D862F0">
            <w:r w:rsidRPr="112F4D6F">
              <w:rPr>
                <w:rFonts w:eastAsia="Times New Roman" w:cs="Times New Roman"/>
                <w:color w:val="000000" w:themeColor="text1"/>
                <w:sz w:val="16"/>
                <w:szCs w:val="16"/>
              </w:rPr>
              <w:t>1.5</w:t>
            </w:r>
          </w:p>
        </w:tc>
      </w:tr>
      <w:tr w:rsidR="00CA72B0" w14:paraId="54A8AF90" w14:textId="77777777" w:rsidTr="00D862F0">
        <w:trPr>
          <w:trHeight w:val="225"/>
        </w:trPr>
        <w:tc>
          <w:tcPr>
            <w:tcW w:w="2278" w:type="dxa"/>
            <w:tcBorders>
              <w:top w:val="nil"/>
              <w:left w:val="nil"/>
              <w:bottom w:val="nil"/>
              <w:right w:val="nil"/>
            </w:tcBorders>
            <w:vAlign w:val="bottom"/>
          </w:tcPr>
          <w:p w14:paraId="5B09D769" w14:textId="77777777" w:rsidR="00CA72B0" w:rsidRDefault="00CA72B0" w:rsidP="00D862F0">
            <w:r w:rsidRPr="112F4D6F">
              <w:rPr>
                <w:rFonts w:eastAsia="Times New Roman" w:cs="Times New Roman"/>
                <w:i/>
                <w:iCs/>
                <w:color w:val="000000" w:themeColor="text1"/>
                <w:sz w:val="16"/>
                <w:szCs w:val="16"/>
              </w:rPr>
              <w:t>Shigella</w:t>
            </w:r>
            <w:r w:rsidRPr="112F4D6F">
              <w:rPr>
                <w:rFonts w:eastAsia="Times New Roman" w:cs="Times New Roman"/>
                <w:color w:val="000000" w:themeColor="text1"/>
                <w:sz w:val="16"/>
                <w:szCs w:val="16"/>
              </w:rPr>
              <w:t xml:space="preserve"> spp.</w:t>
            </w:r>
          </w:p>
        </w:tc>
        <w:tc>
          <w:tcPr>
            <w:tcW w:w="4030" w:type="dxa"/>
            <w:tcBorders>
              <w:top w:val="nil"/>
              <w:left w:val="nil"/>
              <w:bottom w:val="nil"/>
              <w:right w:val="nil"/>
            </w:tcBorders>
            <w:vAlign w:val="bottom"/>
          </w:tcPr>
          <w:p w14:paraId="2399B661" w14:textId="77777777" w:rsidR="00CA72B0" w:rsidRDefault="00CA72B0" w:rsidP="00D862F0">
            <w:r w:rsidRPr="112F4D6F">
              <w:rPr>
                <w:rFonts w:eastAsia="Times New Roman" w:cs="Times New Roman"/>
                <w:color w:val="000000" w:themeColor="text1"/>
                <w:sz w:val="16"/>
                <w:szCs w:val="16"/>
              </w:rPr>
              <w:t>Fluoroquinolones***</w:t>
            </w:r>
          </w:p>
        </w:tc>
        <w:tc>
          <w:tcPr>
            <w:tcW w:w="803" w:type="dxa"/>
            <w:tcBorders>
              <w:top w:val="nil"/>
              <w:left w:val="nil"/>
              <w:bottom w:val="nil"/>
              <w:right w:val="nil"/>
            </w:tcBorders>
            <w:vAlign w:val="bottom"/>
          </w:tcPr>
          <w:p w14:paraId="5AF67BE8" w14:textId="77777777" w:rsidR="00CA72B0" w:rsidRDefault="00CA72B0" w:rsidP="00D862F0">
            <w:r w:rsidRPr="112F4D6F">
              <w:rPr>
                <w:rFonts w:eastAsia="Times New Roman" w:cs="Times New Roman"/>
                <w:color w:val="000000" w:themeColor="text1"/>
                <w:sz w:val="16"/>
                <w:szCs w:val="16"/>
              </w:rPr>
              <w:t>24</w:t>
            </w:r>
          </w:p>
        </w:tc>
        <w:tc>
          <w:tcPr>
            <w:tcW w:w="920" w:type="dxa"/>
            <w:tcBorders>
              <w:top w:val="nil"/>
              <w:left w:val="nil"/>
              <w:bottom w:val="nil"/>
              <w:right w:val="nil"/>
            </w:tcBorders>
            <w:vAlign w:val="bottom"/>
          </w:tcPr>
          <w:p w14:paraId="3CFC56DD" w14:textId="77777777" w:rsidR="00CA72B0" w:rsidRDefault="00CA72B0" w:rsidP="00D862F0">
            <w:r w:rsidRPr="112F4D6F">
              <w:rPr>
                <w:rFonts w:eastAsia="Times New Roman" w:cs="Times New Roman"/>
                <w:color w:val="000000" w:themeColor="text1"/>
                <w:sz w:val="16"/>
                <w:szCs w:val="16"/>
              </w:rPr>
              <w:t>1.24</w:t>
            </w:r>
          </w:p>
        </w:tc>
        <w:tc>
          <w:tcPr>
            <w:tcW w:w="686" w:type="dxa"/>
            <w:tcBorders>
              <w:top w:val="nil"/>
              <w:left w:val="nil"/>
              <w:bottom w:val="nil"/>
              <w:right w:val="nil"/>
            </w:tcBorders>
            <w:vAlign w:val="bottom"/>
          </w:tcPr>
          <w:p w14:paraId="379D1F1F" w14:textId="77777777" w:rsidR="00CA72B0" w:rsidRDefault="00CA72B0" w:rsidP="00D862F0">
            <w:r w:rsidRPr="112F4D6F">
              <w:rPr>
                <w:rFonts w:eastAsia="Times New Roman" w:cs="Times New Roman"/>
                <w:color w:val="000000" w:themeColor="text1"/>
                <w:sz w:val="16"/>
                <w:szCs w:val="16"/>
              </w:rPr>
              <w:t>1.02</w:t>
            </w:r>
          </w:p>
        </w:tc>
        <w:tc>
          <w:tcPr>
            <w:tcW w:w="765" w:type="dxa"/>
            <w:tcBorders>
              <w:top w:val="nil"/>
              <w:left w:val="nil"/>
              <w:bottom w:val="nil"/>
              <w:right w:val="nil"/>
            </w:tcBorders>
            <w:vAlign w:val="bottom"/>
          </w:tcPr>
          <w:p w14:paraId="21BFC301" w14:textId="77777777" w:rsidR="00CA72B0" w:rsidRDefault="00CA72B0" w:rsidP="00D862F0">
            <w:r w:rsidRPr="112F4D6F">
              <w:rPr>
                <w:rFonts w:eastAsia="Times New Roman" w:cs="Times New Roman"/>
                <w:color w:val="000000" w:themeColor="text1"/>
                <w:sz w:val="16"/>
                <w:szCs w:val="16"/>
              </w:rPr>
              <w:t>1.52</w:t>
            </w:r>
          </w:p>
        </w:tc>
      </w:tr>
      <w:tr w:rsidR="00CA72B0" w14:paraId="38CE8C5A" w14:textId="77777777" w:rsidTr="00D862F0">
        <w:trPr>
          <w:trHeight w:val="225"/>
        </w:trPr>
        <w:tc>
          <w:tcPr>
            <w:tcW w:w="2278" w:type="dxa"/>
            <w:tcBorders>
              <w:top w:val="nil"/>
              <w:left w:val="nil"/>
              <w:bottom w:val="nil"/>
              <w:right w:val="nil"/>
            </w:tcBorders>
            <w:shd w:val="clear" w:color="auto" w:fill="F2DCDB"/>
            <w:vAlign w:val="bottom"/>
          </w:tcPr>
          <w:p w14:paraId="66641BF9" w14:textId="77777777" w:rsidR="00CA72B0" w:rsidRDefault="00CA72B0" w:rsidP="00D862F0">
            <w:r w:rsidRPr="112F4D6F">
              <w:rPr>
                <w:rFonts w:eastAsia="Times New Roman" w:cs="Times New Roman"/>
                <w:i/>
                <w:iCs/>
                <w:color w:val="000000" w:themeColor="text1"/>
                <w:sz w:val="16"/>
                <w:szCs w:val="16"/>
              </w:rPr>
              <w:t>Staphylococcus aureus</w:t>
            </w:r>
          </w:p>
        </w:tc>
        <w:tc>
          <w:tcPr>
            <w:tcW w:w="4030" w:type="dxa"/>
            <w:tcBorders>
              <w:top w:val="nil"/>
              <w:left w:val="nil"/>
              <w:bottom w:val="nil"/>
              <w:right w:val="nil"/>
            </w:tcBorders>
            <w:shd w:val="clear" w:color="auto" w:fill="F2DCDB"/>
            <w:vAlign w:val="bottom"/>
          </w:tcPr>
          <w:p w14:paraId="2992188B" w14:textId="77777777" w:rsidR="00CA72B0" w:rsidRDefault="00CA72B0" w:rsidP="00D862F0">
            <w:r w:rsidRPr="112F4D6F">
              <w:rPr>
                <w:rFonts w:eastAsia="Times New Roman" w:cs="Times New Roman"/>
                <w:color w:val="000000" w:themeColor="text1"/>
                <w:sz w:val="16"/>
                <w:szCs w:val="16"/>
              </w:rPr>
              <w:t>Methicillin</w:t>
            </w:r>
          </w:p>
        </w:tc>
        <w:tc>
          <w:tcPr>
            <w:tcW w:w="803" w:type="dxa"/>
            <w:tcBorders>
              <w:top w:val="nil"/>
              <w:left w:val="nil"/>
              <w:bottom w:val="nil"/>
              <w:right w:val="nil"/>
            </w:tcBorders>
            <w:shd w:val="clear" w:color="auto" w:fill="F2DCDB"/>
            <w:vAlign w:val="bottom"/>
          </w:tcPr>
          <w:p w14:paraId="64C4545A" w14:textId="77777777" w:rsidR="00CA72B0" w:rsidRDefault="00CA72B0" w:rsidP="00D862F0">
            <w:r w:rsidRPr="112F4D6F">
              <w:rPr>
                <w:rFonts w:eastAsia="Times New Roman" w:cs="Times New Roman"/>
                <w:color w:val="000000" w:themeColor="text1"/>
                <w:sz w:val="16"/>
                <w:szCs w:val="16"/>
              </w:rPr>
              <w:t>95696</w:t>
            </w:r>
          </w:p>
        </w:tc>
        <w:tc>
          <w:tcPr>
            <w:tcW w:w="920" w:type="dxa"/>
            <w:tcBorders>
              <w:top w:val="nil"/>
              <w:left w:val="nil"/>
              <w:bottom w:val="nil"/>
              <w:right w:val="nil"/>
            </w:tcBorders>
            <w:shd w:val="clear" w:color="auto" w:fill="F2DCDB"/>
            <w:vAlign w:val="bottom"/>
          </w:tcPr>
          <w:p w14:paraId="5AE4E1F3" w14:textId="77777777" w:rsidR="00CA72B0" w:rsidRDefault="00CA72B0" w:rsidP="00D862F0">
            <w:r w:rsidRPr="112F4D6F">
              <w:rPr>
                <w:rFonts w:eastAsia="Times New Roman" w:cs="Times New Roman"/>
                <w:color w:val="000000" w:themeColor="text1"/>
                <w:sz w:val="16"/>
                <w:szCs w:val="16"/>
              </w:rPr>
              <w:t>1.43</w:t>
            </w:r>
          </w:p>
        </w:tc>
        <w:tc>
          <w:tcPr>
            <w:tcW w:w="686" w:type="dxa"/>
            <w:tcBorders>
              <w:top w:val="nil"/>
              <w:left w:val="nil"/>
              <w:bottom w:val="nil"/>
              <w:right w:val="nil"/>
            </w:tcBorders>
            <w:shd w:val="clear" w:color="auto" w:fill="F2DCDB"/>
            <w:vAlign w:val="bottom"/>
          </w:tcPr>
          <w:p w14:paraId="19BD1EA4" w14:textId="77777777" w:rsidR="00CA72B0" w:rsidRDefault="00CA72B0" w:rsidP="00D862F0">
            <w:r w:rsidRPr="112F4D6F">
              <w:rPr>
                <w:rFonts w:eastAsia="Times New Roman" w:cs="Times New Roman"/>
                <w:color w:val="000000" w:themeColor="text1"/>
                <w:sz w:val="16"/>
                <w:szCs w:val="16"/>
              </w:rPr>
              <w:t>1.2</w:t>
            </w:r>
          </w:p>
        </w:tc>
        <w:tc>
          <w:tcPr>
            <w:tcW w:w="765" w:type="dxa"/>
            <w:tcBorders>
              <w:top w:val="nil"/>
              <w:left w:val="nil"/>
              <w:bottom w:val="nil"/>
              <w:right w:val="nil"/>
            </w:tcBorders>
            <w:shd w:val="clear" w:color="auto" w:fill="F2DCDB"/>
            <w:vAlign w:val="bottom"/>
          </w:tcPr>
          <w:p w14:paraId="074D3A9F" w14:textId="77777777" w:rsidR="00CA72B0" w:rsidRDefault="00CA72B0" w:rsidP="00D862F0">
            <w:r w:rsidRPr="112F4D6F">
              <w:rPr>
                <w:rFonts w:eastAsia="Times New Roman" w:cs="Times New Roman"/>
                <w:color w:val="000000" w:themeColor="text1"/>
                <w:sz w:val="16"/>
                <w:szCs w:val="16"/>
              </w:rPr>
              <w:t>1.7</w:t>
            </w:r>
          </w:p>
        </w:tc>
      </w:tr>
      <w:tr w:rsidR="00CA72B0" w14:paraId="392463A3" w14:textId="77777777" w:rsidTr="00D862F0">
        <w:trPr>
          <w:trHeight w:val="225"/>
        </w:trPr>
        <w:tc>
          <w:tcPr>
            <w:tcW w:w="2278" w:type="dxa"/>
            <w:tcBorders>
              <w:top w:val="nil"/>
              <w:left w:val="nil"/>
              <w:bottom w:val="nil"/>
              <w:right w:val="nil"/>
            </w:tcBorders>
            <w:vAlign w:val="bottom"/>
          </w:tcPr>
          <w:p w14:paraId="66EB2113" w14:textId="77777777" w:rsidR="00CA72B0" w:rsidRDefault="00CA72B0" w:rsidP="00D862F0">
            <w:r w:rsidRPr="112F4D6F">
              <w:rPr>
                <w:rFonts w:eastAsia="Times New Roman" w:cs="Times New Roman"/>
                <w:i/>
                <w:iCs/>
                <w:color w:val="000000" w:themeColor="text1"/>
                <w:sz w:val="16"/>
                <w:szCs w:val="16"/>
              </w:rPr>
              <w:t>Streptococcus pneumoniae</w:t>
            </w:r>
          </w:p>
        </w:tc>
        <w:tc>
          <w:tcPr>
            <w:tcW w:w="4030" w:type="dxa"/>
            <w:tcBorders>
              <w:top w:val="nil"/>
              <w:left w:val="nil"/>
              <w:bottom w:val="nil"/>
              <w:right w:val="nil"/>
            </w:tcBorders>
            <w:vAlign w:val="bottom"/>
          </w:tcPr>
          <w:p w14:paraId="6560C193" w14:textId="77777777" w:rsidR="00CA72B0" w:rsidRDefault="00CA72B0" w:rsidP="00D862F0">
            <w:r w:rsidRPr="112F4D6F">
              <w:rPr>
                <w:rFonts w:eastAsia="Times New Roman" w:cs="Times New Roman"/>
                <w:color w:val="000000" w:themeColor="text1"/>
                <w:sz w:val="16"/>
                <w:szCs w:val="16"/>
              </w:rPr>
              <w:t>Penicillin</w:t>
            </w:r>
          </w:p>
        </w:tc>
        <w:tc>
          <w:tcPr>
            <w:tcW w:w="803" w:type="dxa"/>
            <w:tcBorders>
              <w:top w:val="nil"/>
              <w:left w:val="nil"/>
              <w:bottom w:val="nil"/>
              <w:right w:val="nil"/>
            </w:tcBorders>
            <w:vAlign w:val="bottom"/>
          </w:tcPr>
          <w:p w14:paraId="4BEEFEEA" w14:textId="77777777" w:rsidR="00CA72B0" w:rsidRDefault="00CA72B0" w:rsidP="00D862F0">
            <w:r w:rsidRPr="112F4D6F">
              <w:rPr>
                <w:rFonts w:eastAsia="Times New Roman" w:cs="Times New Roman"/>
                <w:color w:val="000000" w:themeColor="text1"/>
                <w:sz w:val="16"/>
                <w:szCs w:val="16"/>
              </w:rPr>
              <w:t>30849</w:t>
            </w:r>
          </w:p>
        </w:tc>
        <w:tc>
          <w:tcPr>
            <w:tcW w:w="920" w:type="dxa"/>
            <w:tcBorders>
              <w:top w:val="nil"/>
              <w:left w:val="nil"/>
              <w:bottom w:val="nil"/>
              <w:right w:val="nil"/>
            </w:tcBorders>
            <w:vAlign w:val="bottom"/>
          </w:tcPr>
          <w:p w14:paraId="2AB64108" w14:textId="77777777" w:rsidR="00CA72B0" w:rsidRDefault="00CA72B0" w:rsidP="00D862F0">
            <w:r w:rsidRPr="112F4D6F">
              <w:rPr>
                <w:rFonts w:eastAsia="Times New Roman" w:cs="Times New Roman"/>
                <w:color w:val="000000" w:themeColor="text1"/>
                <w:sz w:val="16"/>
                <w:szCs w:val="16"/>
              </w:rPr>
              <w:t>1.27</w:t>
            </w:r>
          </w:p>
        </w:tc>
        <w:tc>
          <w:tcPr>
            <w:tcW w:w="686" w:type="dxa"/>
            <w:tcBorders>
              <w:top w:val="nil"/>
              <w:left w:val="nil"/>
              <w:bottom w:val="nil"/>
              <w:right w:val="nil"/>
            </w:tcBorders>
            <w:vAlign w:val="bottom"/>
          </w:tcPr>
          <w:p w14:paraId="2CE9AA92" w14:textId="77777777" w:rsidR="00CA72B0" w:rsidRDefault="00CA72B0" w:rsidP="00D862F0">
            <w:r w:rsidRPr="112F4D6F">
              <w:rPr>
                <w:rFonts w:eastAsia="Times New Roman" w:cs="Times New Roman"/>
                <w:color w:val="000000" w:themeColor="text1"/>
                <w:sz w:val="16"/>
                <w:szCs w:val="16"/>
              </w:rPr>
              <w:t>1.18</w:t>
            </w:r>
          </w:p>
        </w:tc>
        <w:tc>
          <w:tcPr>
            <w:tcW w:w="765" w:type="dxa"/>
            <w:tcBorders>
              <w:top w:val="nil"/>
              <w:left w:val="nil"/>
              <w:bottom w:val="nil"/>
              <w:right w:val="nil"/>
            </w:tcBorders>
            <w:vAlign w:val="bottom"/>
          </w:tcPr>
          <w:p w14:paraId="1B4174A3" w14:textId="77777777" w:rsidR="00CA72B0" w:rsidRDefault="00CA72B0" w:rsidP="00D862F0">
            <w:r w:rsidRPr="112F4D6F">
              <w:rPr>
                <w:rFonts w:eastAsia="Times New Roman" w:cs="Times New Roman"/>
                <w:color w:val="000000" w:themeColor="text1"/>
                <w:sz w:val="16"/>
                <w:szCs w:val="16"/>
              </w:rPr>
              <w:t>1.36</w:t>
            </w:r>
          </w:p>
        </w:tc>
      </w:tr>
      <w:tr w:rsidR="00CA72B0" w14:paraId="04E6682C" w14:textId="77777777" w:rsidTr="00D862F0">
        <w:trPr>
          <w:trHeight w:val="225"/>
        </w:trPr>
        <w:tc>
          <w:tcPr>
            <w:tcW w:w="2278" w:type="dxa"/>
            <w:tcBorders>
              <w:top w:val="nil"/>
              <w:left w:val="nil"/>
              <w:bottom w:val="single" w:sz="4" w:space="0" w:color="auto"/>
              <w:right w:val="nil"/>
            </w:tcBorders>
            <w:shd w:val="clear" w:color="auto" w:fill="F2DCDB"/>
            <w:vAlign w:val="bottom"/>
          </w:tcPr>
          <w:p w14:paraId="440F3690" w14:textId="77777777" w:rsidR="00CA72B0" w:rsidRDefault="00CA72B0" w:rsidP="00D862F0">
            <w:r w:rsidRPr="112F4D6F">
              <w:rPr>
                <w:rFonts w:eastAsia="Times New Roman" w:cs="Times New Roman"/>
                <w:i/>
                <w:iCs/>
                <w:color w:val="000000" w:themeColor="text1"/>
                <w:sz w:val="16"/>
                <w:szCs w:val="16"/>
              </w:rPr>
              <w:t>Staphylococcus aureus</w:t>
            </w:r>
          </w:p>
        </w:tc>
        <w:tc>
          <w:tcPr>
            <w:tcW w:w="4030" w:type="dxa"/>
            <w:tcBorders>
              <w:top w:val="nil"/>
              <w:left w:val="nil"/>
              <w:bottom w:val="single" w:sz="4" w:space="0" w:color="auto"/>
              <w:right w:val="nil"/>
            </w:tcBorders>
            <w:shd w:val="clear" w:color="auto" w:fill="F2DCDB"/>
            <w:vAlign w:val="bottom"/>
          </w:tcPr>
          <w:p w14:paraId="16ACFDB1" w14:textId="77777777" w:rsidR="00CA72B0" w:rsidRDefault="00CA72B0" w:rsidP="00D862F0">
            <w:r w:rsidRPr="112F4D6F">
              <w:rPr>
                <w:rFonts w:eastAsia="Times New Roman" w:cs="Times New Roman"/>
                <w:color w:val="000000" w:themeColor="text1"/>
                <w:sz w:val="16"/>
                <w:szCs w:val="16"/>
              </w:rPr>
              <w:t>Vancomycin</w:t>
            </w:r>
          </w:p>
        </w:tc>
        <w:tc>
          <w:tcPr>
            <w:tcW w:w="803" w:type="dxa"/>
            <w:tcBorders>
              <w:top w:val="nil"/>
              <w:left w:val="nil"/>
              <w:bottom w:val="single" w:sz="4" w:space="0" w:color="auto"/>
              <w:right w:val="nil"/>
            </w:tcBorders>
            <w:shd w:val="clear" w:color="auto" w:fill="F2DCDB"/>
            <w:vAlign w:val="bottom"/>
          </w:tcPr>
          <w:p w14:paraId="058D3ECE" w14:textId="77777777" w:rsidR="00CA72B0" w:rsidRDefault="00CA72B0" w:rsidP="00D862F0">
            <w:r w:rsidRPr="112F4D6F">
              <w:rPr>
                <w:rFonts w:eastAsia="Times New Roman" w:cs="Times New Roman"/>
                <w:color w:val="000000" w:themeColor="text1"/>
                <w:sz w:val="16"/>
                <w:szCs w:val="16"/>
              </w:rPr>
              <w:t>53623</w:t>
            </w:r>
          </w:p>
        </w:tc>
        <w:tc>
          <w:tcPr>
            <w:tcW w:w="920" w:type="dxa"/>
            <w:tcBorders>
              <w:top w:val="nil"/>
              <w:left w:val="nil"/>
              <w:bottom w:val="single" w:sz="4" w:space="0" w:color="auto"/>
              <w:right w:val="nil"/>
            </w:tcBorders>
            <w:shd w:val="clear" w:color="auto" w:fill="F2DCDB"/>
            <w:vAlign w:val="bottom"/>
          </w:tcPr>
          <w:p w14:paraId="16AF0D9A" w14:textId="77777777" w:rsidR="00CA72B0" w:rsidRDefault="00CA72B0" w:rsidP="00D862F0">
            <w:r w:rsidRPr="112F4D6F">
              <w:rPr>
                <w:rFonts w:eastAsia="Times New Roman" w:cs="Times New Roman"/>
                <w:color w:val="000000" w:themeColor="text1"/>
                <w:sz w:val="16"/>
                <w:szCs w:val="16"/>
              </w:rPr>
              <w:t>1.52</w:t>
            </w:r>
          </w:p>
        </w:tc>
        <w:tc>
          <w:tcPr>
            <w:tcW w:w="686" w:type="dxa"/>
            <w:tcBorders>
              <w:top w:val="nil"/>
              <w:left w:val="nil"/>
              <w:bottom w:val="single" w:sz="4" w:space="0" w:color="auto"/>
              <w:right w:val="nil"/>
            </w:tcBorders>
            <w:shd w:val="clear" w:color="auto" w:fill="F2DCDB"/>
            <w:vAlign w:val="bottom"/>
          </w:tcPr>
          <w:p w14:paraId="54A9793A" w14:textId="77777777" w:rsidR="00CA72B0" w:rsidRDefault="00CA72B0" w:rsidP="00D862F0">
            <w:r w:rsidRPr="112F4D6F">
              <w:rPr>
                <w:rFonts w:eastAsia="Times New Roman" w:cs="Times New Roman"/>
                <w:color w:val="000000" w:themeColor="text1"/>
                <w:sz w:val="16"/>
                <w:szCs w:val="16"/>
              </w:rPr>
              <w:t>1.28</w:t>
            </w:r>
          </w:p>
        </w:tc>
        <w:tc>
          <w:tcPr>
            <w:tcW w:w="765" w:type="dxa"/>
            <w:tcBorders>
              <w:top w:val="nil"/>
              <w:left w:val="nil"/>
              <w:bottom w:val="single" w:sz="4" w:space="0" w:color="auto"/>
              <w:right w:val="nil"/>
            </w:tcBorders>
            <w:shd w:val="clear" w:color="auto" w:fill="F2DCDB"/>
            <w:vAlign w:val="bottom"/>
          </w:tcPr>
          <w:p w14:paraId="049C8D53" w14:textId="77777777" w:rsidR="00CA72B0" w:rsidRDefault="00CA72B0" w:rsidP="00D862F0">
            <w:r w:rsidRPr="112F4D6F">
              <w:rPr>
                <w:rFonts w:eastAsia="Times New Roman" w:cs="Times New Roman"/>
                <w:color w:val="000000" w:themeColor="text1"/>
                <w:sz w:val="16"/>
                <w:szCs w:val="16"/>
              </w:rPr>
              <w:t>1.81</w:t>
            </w:r>
          </w:p>
        </w:tc>
      </w:tr>
      <w:tr w:rsidR="00CA72B0" w14:paraId="5890D772" w14:textId="77777777" w:rsidTr="00D862F0">
        <w:trPr>
          <w:trHeight w:val="225"/>
        </w:trPr>
        <w:tc>
          <w:tcPr>
            <w:tcW w:w="9482" w:type="dxa"/>
            <w:gridSpan w:val="6"/>
            <w:tcBorders>
              <w:top w:val="single" w:sz="4" w:space="0" w:color="auto"/>
              <w:left w:val="nil"/>
              <w:bottom w:val="nil"/>
              <w:right w:val="nil"/>
            </w:tcBorders>
            <w:vAlign w:val="center"/>
          </w:tcPr>
          <w:p w14:paraId="16370A3F" w14:textId="77777777" w:rsidR="00CA72B0" w:rsidRDefault="00CA72B0" w:rsidP="00D862F0">
            <w:r w:rsidRPr="112F4D6F">
              <w:rPr>
                <w:rFonts w:eastAsia="Times New Roman" w:cs="Times New Roman"/>
                <w:color w:val="000000" w:themeColor="text1"/>
                <w:sz w:val="16"/>
                <w:szCs w:val="16"/>
              </w:rPr>
              <w:t xml:space="preserve">Sample size are the admission reported with known discharge disposition and antimicrobial susceptibility test. </w:t>
            </w:r>
          </w:p>
        </w:tc>
      </w:tr>
      <w:tr w:rsidR="00CA72B0" w14:paraId="490C43F7" w14:textId="77777777" w:rsidTr="00D862F0">
        <w:trPr>
          <w:trHeight w:val="225"/>
        </w:trPr>
        <w:tc>
          <w:tcPr>
            <w:tcW w:w="9482" w:type="dxa"/>
            <w:gridSpan w:val="6"/>
            <w:tcBorders>
              <w:top w:val="nil"/>
              <w:left w:val="nil"/>
              <w:bottom w:val="nil"/>
              <w:right w:val="nil"/>
            </w:tcBorders>
            <w:vAlign w:val="center"/>
          </w:tcPr>
          <w:p w14:paraId="47A611F8" w14:textId="77777777" w:rsidR="00CA72B0" w:rsidRDefault="00CA72B0" w:rsidP="00D862F0">
            <w:r w:rsidRPr="112F4D6F">
              <w:rPr>
                <w:rFonts w:eastAsia="Times New Roman" w:cs="Times New Roman"/>
                <w:color w:val="000000" w:themeColor="text1"/>
                <w:sz w:val="16"/>
                <w:szCs w:val="16"/>
              </w:rPr>
              <w:t xml:space="preserve">* </w:t>
            </w:r>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Typhi estimates are used as proxy for </w:t>
            </w:r>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w:t>
            </w:r>
            <w:proofErr w:type="spellStart"/>
            <w:r w:rsidRPr="112F4D6F">
              <w:rPr>
                <w:rFonts w:eastAsia="Times New Roman" w:cs="Times New Roman"/>
                <w:color w:val="000000" w:themeColor="text1"/>
                <w:sz w:val="16"/>
                <w:szCs w:val="16"/>
              </w:rPr>
              <w:t>Paratyphi</w:t>
            </w:r>
            <w:proofErr w:type="spellEnd"/>
          </w:p>
        </w:tc>
      </w:tr>
      <w:tr w:rsidR="00CA72B0" w14:paraId="47B57BC1" w14:textId="77777777" w:rsidTr="00D862F0">
        <w:trPr>
          <w:trHeight w:val="225"/>
        </w:trPr>
        <w:tc>
          <w:tcPr>
            <w:tcW w:w="9482" w:type="dxa"/>
            <w:gridSpan w:val="6"/>
            <w:tcBorders>
              <w:top w:val="nil"/>
              <w:left w:val="nil"/>
              <w:bottom w:val="nil"/>
              <w:right w:val="nil"/>
            </w:tcBorders>
            <w:vAlign w:val="center"/>
          </w:tcPr>
          <w:p w14:paraId="769831A5" w14:textId="77777777" w:rsidR="00CA72B0" w:rsidRDefault="00CA72B0" w:rsidP="00D862F0">
            <w:r w:rsidRPr="112F4D6F">
              <w:rPr>
                <w:rFonts w:eastAsia="Times New Roman" w:cs="Times New Roman"/>
                <w:color w:val="000000" w:themeColor="text1"/>
                <w:sz w:val="16"/>
                <w:szCs w:val="16"/>
              </w:rPr>
              <w:t xml:space="preserve">** Trimethoprim-Sulfamethoxazole resistant </w:t>
            </w:r>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Typhi estimates are used as proxy for </w:t>
            </w:r>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Typhi Multidrug resistant</w:t>
            </w:r>
          </w:p>
        </w:tc>
      </w:tr>
      <w:tr w:rsidR="00CA72B0" w14:paraId="3BF0FA6A" w14:textId="77777777" w:rsidTr="00D862F0">
        <w:trPr>
          <w:trHeight w:val="225"/>
        </w:trPr>
        <w:tc>
          <w:tcPr>
            <w:tcW w:w="9482" w:type="dxa"/>
            <w:gridSpan w:val="6"/>
            <w:tcBorders>
              <w:top w:val="nil"/>
              <w:left w:val="nil"/>
              <w:bottom w:val="nil"/>
              <w:right w:val="nil"/>
            </w:tcBorders>
            <w:vAlign w:val="center"/>
          </w:tcPr>
          <w:p w14:paraId="18597BD9" w14:textId="77777777" w:rsidR="00CA72B0" w:rsidRDefault="00CA72B0" w:rsidP="00D862F0">
            <w:r w:rsidRPr="112F4D6F">
              <w:rPr>
                <w:rFonts w:eastAsia="Times New Roman" w:cs="Times New Roman"/>
                <w:color w:val="000000" w:themeColor="text1"/>
                <w:sz w:val="16"/>
                <w:szCs w:val="16"/>
              </w:rPr>
              <w:t xml:space="preserve">*** Fluoroquinolone resistant </w:t>
            </w:r>
            <w:r w:rsidRPr="112F4D6F">
              <w:rPr>
                <w:rFonts w:eastAsia="Times New Roman" w:cs="Times New Roman"/>
                <w:i/>
                <w:iCs/>
                <w:color w:val="000000" w:themeColor="text1"/>
                <w:sz w:val="16"/>
                <w:szCs w:val="16"/>
              </w:rPr>
              <w:t>Salmonella</w:t>
            </w:r>
            <w:r w:rsidRPr="112F4D6F">
              <w:rPr>
                <w:rFonts w:eastAsia="Times New Roman" w:cs="Times New Roman"/>
                <w:color w:val="000000" w:themeColor="text1"/>
                <w:sz w:val="16"/>
                <w:szCs w:val="16"/>
              </w:rPr>
              <w:t xml:space="preserve"> Typhi estimates are used as proxy for Fluoroquinolone resistant </w:t>
            </w:r>
            <w:r w:rsidRPr="112F4D6F">
              <w:rPr>
                <w:rFonts w:eastAsia="Times New Roman" w:cs="Times New Roman"/>
                <w:i/>
                <w:iCs/>
                <w:color w:val="000000" w:themeColor="text1"/>
                <w:sz w:val="16"/>
                <w:szCs w:val="16"/>
              </w:rPr>
              <w:t xml:space="preserve">Shigella </w:t>
            </w:r>
            <w:r w:rsidRPr="112F4D6F">
              <w:rPr>
                <w:rFonts w:eastAsia="Times New Roman" w:cs="Times New Roman"/>
                <w:color w:val="000000" w:themeColor="text1"/>
                <w:sz w:val="16"/>
                <w:szCs w:val="16"/>
              </w:rPr>
              <w:t>spp.</w:t>
            </w:r>
          </w:p>
        </w:tc>
      </w:tr>
    </w:tbl>
    <w:p w14:paraId="3D567020" w14:textId="26F9D0D0" w:rsidR="00134E64" w:rsidRDefault="00134E64">
      <w:r>
        <w:br w:type="page"/>
      </w:r>
    </w:p>
    <w:p w14:paraId="04E88DE8" w14:textId="77777777" w:rsidR="005C6575" w:rsidRDefault="005C6575" w:rsidP="00134E64">
      <w:pPr>
        <w:spacing w:line="240" w:lineRule="auto"/>
        <w:rPr>
          <w:b/>
          <w:bCs/>
        </w:rPr>
        <w:sectPr w:rsidR="005C6575" w:rsidSect="00620C59">
          <w:headerReference w:type="default" r:id="rId32"/>
          <w:footerReference w:type="default" r:id="rId33"/>
          <w:pgSz w:w="12240" w:h="15840"/>
          <w:pgMar w:top="1440" w:right="1440" w:bottom="1440" w:left="1440" w:header="720" w:footer="720" w:gutter="0"/>
          <w:lnNumType w:countBy="1" w:restart="continuous"/>
          <w:cols w:space="720"/>
          <w:docGrid w:linePitch="360"/>
        </w:sectPr>
      </w:pPr>
    </w:p>
    <w:p w14:paraId="7BA59070" w14:textId="3788AFF8" w:rsidR="00CA72B0" w:rsidRDefault="00CA72B0" w:rsidP="00CA72B0">
      <w:r w:rsidRPr="00CA72B0">
        <w:rPr>
          <w:b/>
          <w:bCs/>
        </w:rPr>
        <w:lastRenderedPageBreak/>
        <w:t>Supplementary Table 5:</w:t>
      </w:r>
      <w:r w:rsidRPr="00CA72B0">
        <w:t xml:space="preserve"> Data points (cases or deaths) included in each primary modelling step by GBD </w:t>
      </w:r>
      <w:proofErr w:type="gramStart"/>
      <w:r w:rsidRPr="00CA72B0">
        <w:t>region</w:t>
      </w:r>
      <w:proofErr w:type="gramEnd"/>
      <w:r w:rsidRPr="00CA72B0">
        <w:t xml:space="preserve"> and the fraction of countries represented in each GBD region</w:t>
      </w:r>
      <w:r>
        <w:t>.</w:t>
      </w:r>
    </w:p>
    <w:tbl>
      <w:tblPr>
        <w:tblStyle w:val="TableGrid"/>
        <w:tblW w:w="12976" w:type="dxa"/>
        <w:tblLayout w:type="fixed"/>
        <w:tblLook w:val="06A0" w:firstRow="1" w:lastRow="0" w:firstColumn="1" w:lastColumn="0" w:noHBand="1" w:noVBand="1"/>
      </w:tblPr>
      <w:tblGrid>
        <w:gridCol w:w="2041"/>
        <w:gridCol w:w="1353"/>
        <w:gridCol w:w="1073"/>
        <w:gridCol w:w="1200"/>
        <w:gridCol w:w="1132"/>
        <w:gridCol w:w="1108"/>
        <w:gridCol w:w="1037"/>
        <w:gridCol w:w="1060"/>
        <w:gridCol w:w="1038"/>
        <w:gridCol w:w="827"/>
        <w:gridCol w:w="1107"/>
      </w:tblGrid>
      <w:tr w:rsidR="00CA72B0" w:rsidRPr="00CF01AF" w14:paraId="40D46208" w14:textId="77777777" w:rsidTr="00D862F0">
        <w:trPr>
          <w:trHeight w:val="2032"/>
        </w:trPr>
        <w:tc>
          <w:tcPr>
            <w:tcW w:w="2041" w:type="dxa"/>
            <w:tcBorders>
              <w:top w:val="single" w:sz="8" w:space="0" w:color="auto"/>
              <w:left w:val="single" w:sz="4" w:space="0" w:color="auto"/>
              <w:bottom w:val="single" w:sz="8" w:space="0" w:color="auto"/>
              <w:right w:val="single" w:sz="8" w:space="0" w:color="auto"/>
            </w:tcBorders>
            <w:shd w:val="clear" w:color="auto" w:fill="F2DCDB"/>
            <w:tcMar>
              <w:top w:w="15" w:type="dxa"/>
              <w:left w:w="15" w:type="dxa"/>
              <w:right w:w="15" w:type="dxa"/>
            </w:tcMar>
            <w:vAlign w:val="center"/>
          </w:tcPr>
          <w:p w14:paraId="19A31FC9"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Region</w:t>
            </w:r>
          </w:p>
        </w:tc>
        <w:tc>
          <w:tcPr>
            <w:tcW w:w="1353"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220728AE"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1. Sepsis and Infectious Syndrome Models</w:t>
            </w:r>
          </w:p>
        </w:tc>
        <w:tc>
          <w:tcPr>
            <w:tcW w:w="1073"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7B059B4"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Fraction of countries represented in 1.</w:t>
            </w:r>
          </w:p>
        </w:tc>
        <w:tc>
          <w:tcPr>
            <w:tcW w:w="1200"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136E149A"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2. Case Fatality Rate</w:t>
            </w:r>
          </w:p>
        </w:tc>
        <w:tc>
          <w:tcPr>
            <w:tcW w:w="1131"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11912FE"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Fraction of countries represented in 2.</w:t>
            </w:r>
          </w:p>
        </w:tc>
        <w:tc>
          <w:tcPr>
            <w:tcW w:w="110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9FA52D8"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3. Pathogen Distribution</w:t>
            </w:r>
          </w:p>
        </w:tc>
        <w:tc>
          <w:tcPr>
            <w:tcW w:w="103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534907A1"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Fraction of countries represented in 3.</w:t>
            </w:r>
          </w:p>
        </w:tc>
        <w:tc>
          <w:tcPr>
            <w:tcW w:w="1060"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3B684A7"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4. Prevalence of Resistance</w:t>
            </w:r>
          </w:p>
        </w:tc>
        <w:tc>
          <w:tcPr>
            <w:tcW w:w="103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7C0BDA59"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Fraction of countries represented in 4.</w:t>
            </w:r>
          </w:p>
        </w:tc>
        <w:tc>
          <w:tcPr>
            <w:tcW w:w="82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6DC486CF"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5. Relative Risk</w:t>
            </w:r>
          </w:p>
        </w:tc>
        <w:tc>
          <w:tcPr>
            <w:tcW w:w="1107" w:type="dxa"/>
            <w:tcBorders>
              <w:top w:val="single" w:sz="8" w:space="0" w:color="auto"/>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2774A46B" w14:textId="77777777" w:rsidR="00CA72B0" w:rsidRPr="00CF01AF" w:rsidRDefault="00CA72B0" w:rsidP="00D862F0">
            <w:pPr>
              <w:jc w:val="center"/>
              <w:rPr>
                <w:rFonts w:eastAsia="Times New Roman" w:cs="Times New Roman"/>
                <w:b/>
                <w:bCs/>
                <w:color w:val="000000" w:themeColor="text1"/>
                <w:sz w:val="14"/>
                <w:szCs w:val="14"/>
              </w:rPr>
            </w:pPr>
            <w:r w:rsidRPr="00CF01AF">
              <w:rPr>
                <w:rFonts w:eastAsia="Times New Roman" w:cs="Times New Roman"/>
                <w:b/>
                <w:bCs/>
                <w:color w:val="000000" w:themeColor="text1"/>
                <w:sz w:val="14"/>
                <w:szCs w:val="14"/>
              </w:rPr>
              <w:t>Fraction of countries represented in 5.</w:t>
            </w:r>
          </w:p>
        </w:tc>
      </w:tr>
      <w:tr w:rsidR="00CA72B0" w:rsidRPr="00CF01AF" w14:paraId="5F7B292C" w14:textId="77777777" w:rsidTr="00D862F0">
        <w:trPr>
          <w:trHeight w:val="303"/>
        </w:trPr>
        <w:tc>
          <w:tcPr>
            <w:tcW w:w="2041" w:type="dxa"/>
            <w:tcBorders>
              <w:top w:val="single" w:sz="8" w:space="0" w:color="auto"/>
              <w:left w:val="single" w:sz="4" w:space="0" w:color="auto"/>
              <w:bottom w:val="nil"/>
              <w:right w:val="single" w:sz="8" w:space="0" w:color="auto"/>
            </w:tcBorders>
            <w:tcMar>
              <w:top w:w="15" w:type="dxa"/>
              <w:left w:w="15" w:type="dxa"/>
              <w:right w:w="15" w:type="dxa"/>
            </w:tcMar>
            <w:vAlign w:val="bottom"/>
          </w:tcPr>
          <w:p w14:paraId="2EC1997C"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Andean Latin America</w:t>
            </w:r>
          </w:p>
        </w:tc>
        <w:tc>
          <w:tcPr>
            <w:tcW w:w="1353"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5429F5F3"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0</w:t>
            </w:r>
          </w:p>
        </w:tc>
        <w:tc>
          <w:tcPr>
            <w:tcW w:w="1073"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68CD4530"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0/3</w:t>
            </w:r>
          </w:p>
        </w:tc>
        <w:tc>
          <w:tcPr>
            <w:tcW w:w="1200"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25E44171"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1447</w:t>
            </w:r>
          </w:p>
        </w:tc>
        <w:tc>
          <w:tcPr>
            <w:tcW w:w="1131"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40AF6152"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c>
          <w:tcPr>
            <w:tcW w:w="110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23355564"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630,543 </w:t>
            </w:r>
          </w:p>
        </w:tc>
        <w:tc>
          <w:tcPr>
            <w:tcW w:w="103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5019A58F"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3/3</w:t>
            </w:r>
          </w:p>
        </w:tc>
        <w:tc>
          <w:tcPr>
            <w:tcW w:w="1060"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02F13CB0"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536,710 </w:t>
            </w:r>
          </w:p>
        </w:tc>
        <w:tc>
          <w:tcPr>
            <w:tcW w:w="103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7BB1E854"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3/3</w:t>
            </w:r>
          </w:p>
        </w:tc>
        <w:tc>
          <w:tcPr>
            <w:tcW w:w="82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732AC7CA"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11,993 </w:t>
            </w:r>
          </w:p>
        </w:tc>
        <w:tc>
          <w:tcPr>
            <w:tcW w:w="1107"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4B3F8918"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r>
      <w:tr w:rsidR="00CA72B0" w:rsidRPr="00CF01AF" w14:paraId="59C7BA3C" w14:textId="77777777" w:rsidTr="00D862F0">
        <w:trPr>
          <w:trHeight w:val="303"/>
        </w:trPr>
        <w:tc>
          <w:tcPr>
            <w:tcW w:w="2041" w:type="dxa"/>
            <w:tcBorders>
              <w:top w:val="nil"/>
              <w:left w:val="single" w:sz="4" w:space="0" w:color="auto"/>
              <w:bottom w:val="nil"/>
              <w:right w:val="single" w:sz="8" w:space="0" w:color="auto"/>
            </w:tcBorders>
            <w:shd w:val="clear" w:color="auto" w:fill="F2DCDB"/>
            <w:tcMar>
              <w:top w:w="15" w:type="dxa"/>
              <w:left w:w="15" w:type="dxa"/>
              <w:right w:w="15" w:type="dxa"/>
            </w:tcMar>
            <w:vAlign w:val="bottom"/>
          </w:tcPr>
          <w:p w14:paraId="12E75374"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Caribbean</w:t>
            </w:r>
          </w:p>
        </w:tc>
        <w:tc>
          <w:tcPr>
            <w:tcW w:w="1353"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795425"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0</w:t>
            </w:r>
          </w:p>
        </w:tc>
        <w:tc>
          <w:tcPr>
            <w:tcW w:w="1073"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C9DE275"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0/19</w:t>
            </w:r>
          </w:p>
        </w:tc>
        <w:tc>
          <w:tcPr>
            <w:tcW w:w="120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05AC9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273</w:t>
            </w:r>
          </w:p>
        </w:tc>
        <w:tc>
          <w:tcPr>
            <w:tcW w:w="1131"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4BB3A6F"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3/19</w:t>
            </w:r>
          </w:p>
        </w:tc>
        <w:tc>
          <w:tcPr>
            <w:tcW w:w="11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BD676E"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92,111</w:t>
            </w:r>
          </w:p>
        </w:tc>
        <w:tc>
          <w:tcPr>
            <w:tcW w:w="103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63595CC"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16/19</w:t>
            </w:r>
          </w:p>
        </w:tc>
        <w:tc>
          <w:tcPr>
            <w:tcW w:w="106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C05460"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69,979</w:t>
            </w:r>
          </w:p>
        </w:tc>
        <w:tc>
          <w:tcPr>
            <w:tcW w:w="103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D71D996"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10/19</w:t>
            </w:r>
          </w:p>
        </w:tc>
        <w:tc>
          <w:tcPr>
            <w:tcW w:w="82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B55338"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529</w:t>
            </w:r>
          </w:p>
        </w:tc>
        <w:tc>
          <w:tcPr>
            <w:tcW w:w="11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E464B6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1/19</w:t>
            </w:r>
          </w:p>
        </w:tc>
      </w:tr>
      <w:tr w:rsidR="00CA72B0" w:rsidRPr="00CF01AF" w14:paraId="7985533C" w14:textId="77777777" w:rsidTr="00D862F0">
        <w:trPr>
          <w:trHeight w:val="303"/>
        </w:trPr>
        <w:tc>
          <w:tcPr>
            <w:tcW w:w="2041" w:type="dxa"/>
            <w:tcBorders>
              <w:top w:val="nil"/>
              <w:left w:val="single" w:sz="4" w:space="0" w:color="auto"/>
              <w:bottom w:val="nil"/>
              <w:right w:val="single" w:sz="8" w:space="0" w:color="auto"/>
            </w:tcBorders>
            <w:tcMar>
              <w:top w:w="15" w:type="dxa"/>
              <w:left w:w="15" w:type="dxa"/>
              <w:right w:w="15" w:type="dxa"/>
            </w:tcMar>
            <w:vAlign w:val="bottom"/>
          </w:tcPr>
          <w:p w14:paraId="5E406763"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Central Latin America</w:t>
            </w:r>
          </w:p>
        </w:tc>
        <w:tc>
          <w:tcPr>
            <w:tcW w:w="1353" w:type="dxa"/>
            <w:tcBorders>
              <w:top w:val="nil"/>
              <w:left w:val="single" w:sz="8" w:space="0" w:color="auto"/>
              <w:bottom w:val="nil"/>
              <w:right w:val="single" w:sz="8" w:space="0" w:color="auto"/>
            </w:tcBorders>
            <w:tcMar>
              <w:top w:w="15" w:type="dxa"/>
              <w:left w:w="15" w:type="dxa"/>
              <w:right w:w="15" w:type="dxa"/>
            </w:tcMar>
            <w:vAlign w:val="center"/>
          </w:tcPr>
          <w:p w14:paraId="67CB27C4"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8,128,021 </w:t>
            </w:r>
          </w:p>
        </w:tc>
        <w:tc>
          <w:tcPr>
            <w:tcW w:w="1073" w:type="dxa"/>
            <w:tcBorders>
              <w:top w:val="nil"/>
              <w:left w:val="single" w:sz="8" w:space="0" w:color="auto"/>
              <w:bottom w:val="nil"/>
              <w:right w:val="single" w:sz="8" w:space="0" w:color="auto"/>
            </w:tcBorders>
            <w:tcMar>
              <w:top w:w="15" w:type="dxa"/>
              <w:left w:w="15" w:type="dxa"/>
              <w:right w:w="15" w:type="dxa"/>
            </w:tcMar>
            <w:vAlign w:val="center"/>
          </w:tcPr>
          <w:p w14:paraId="77C16C22"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2/9</w:t>
            </w:r>
          </w:p>
        </w:tc>
        <w:tc>
          <w:tcPr>
            <w:tcW w:w="1200" w:type="dxa"/>
            <w:tcBorders>
              <w:top w:val="nil"/>
              <w:left w:val="single" w:sz="8" w:space="0" w:color="auto"/>
              <w:bottom w:val="nil"/>
              <w:right w:val="single" w:sz="8" w:space="0" w:color="auto"/>
            </w:tcBorders>
            <w:tcMar>
              <w:top w:w="15" w:type="dxa"/>
              <w:left w:w="15" w:type="dxa"/>
              <w:right w:w="15" w:type="dxa"/>
            </w:tcMar>
            <w:vAlign w:val="center"/>
          </w:tcPr>
          <w:p w14:paraId="525E3DB3"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277,212 </w:t>
            </w:r>
          </w:p>
        </w:tc>
        <w:tc>
          <w:tcPr>
            <w:tcW w:w="1131" w:type="dxa"/>
            <w:tcBorders>
              <w:top w:val="nil"/>
              <w:left w:val="single" w:sz="8" w:space="0" w:color="auto"/>
              <w:bottom w:val="nil"/>
              <w:right w:val="single" w:sz="8" w:space="0" w:color="auto"/>
            </w:tcBorders>
            <w:tcMar>
              <w:top w:w="15" w:type="dxa"/>
              <w:left w:w="15" w:type="dxa"/>
              <w:right w:w="15" w:type="dxa"/>
            </w:tcMar>
            <w:vAlign w:val="center"/>
          </w:tcPr>
          <w:p w14:paraId="0471E4DB"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6/9</w:t>
            </w:r>
          </w:p>
        </w:tc>
        <w:tc>
          <w:tcPr>
            <w:tcW w:w="1107" w:type="dxa"/>
            <w:tcBorders>
              <w:top w:val="nil"/>
              <w:left w:val="single" w:sz="8" w:space="0" w:color="auto"/>
              <w:bottom w:val="nil"/>
              <w:right w:val="single" w:sz="8" w:space="0" w:color="auto"/>
            </w:tcBorders>
            <w:tcMar>
              <w:top w:w="15" w:type="dxa"/>
              <w:left w:w="15" w:type="dxa"/>
              <w:right w:w="15" w:type="dxa"/>
            </w:tcMar>
            <w:vAlign w:val="center"/>
          </w:tcPr>
          <w:p w14:paraId="20655D75"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921,735 </w:t>
            </w:r>
          </w:p>
        </w:tc>
        <w:tc>
          <w:tcPr>
            <w:tcW w:w="1037" w:type="dxa"/>
            <w:tcBorders>
              <w:top w:val="nil"/>
              <w:left w:val="single" w:sz="8" w:space="0" w:color="auto"/>
              <w:bottom w:val="nil"/>
              <w:right w:val="single" w:sz="8" w:space="0" w:color="auto"/>
            </w:tcBorders>
            <w:tcMar>
              <w:top w:w="15" w:type="dxa"/>
              <w:left w:w="15" w:type="dxa"/>
              <w:right w:w="15" w:type="dxa"/>
            </w:tcMar>
            <w:vAlign w:val="center"/>
          </w:tcPr>
          <w:p w14:paraId="6BBF184F"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9/9</w:t>
            </w:r>
          </w:p>
        </w:tc>
        <w:tc>
          <w:tcPr>
            <w:tcW w:w="1060" w:type="dxa"/>
            <w:tcBorders>
              <w:top w:val="nil"/>
              <w:left w:val="single" w:sz="8" w:space="0" w:color="auto"/>
              <w:bottom w:val="nil"/>
              <w:right w:val="single" w:sz="8" w:space="0" w:color="auto"/>
            </w:tcBorders>
            <w:tcMar>
              <w:top w:w="15" w:type="dxa"/>
              <w:left w:w="15" w:type="dxa"/>
              <w:right w:w="15" w:type="dxa"/>
            </w:tcMar>
            <w:vAlign w:val="center"/>
          </w:tcPr>
          <w:p w14:paraId="1D14817E"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844,374 </w:t>
            </w:r>
          </w:p>
        </w:tc>
        <w:tc>
          <w:tcPr>
            <w:tcW w:w="1037" w:type="dxa"/>
            <w:tcBorders>
              <w:top w:val="nil"/>
              <w:left w:val="single" w:sz="8" w:space="0" w:color="auto"/>
              <w:bottom w:val="nil"/>
              <w:right w:val="single" w:sz="8" w:space="0" w:color="auto"/>
            </w:tcBorders>
            <w:tcMar>
              <w:top w:w="15" w:type="dxa"/>
              <w:left w:w="15" w:type="dxa"/>
              <w:right w:w="15" w:type="dxa"/>
            </w:tcMar>
            <w:vAlign w:val="center"/>
          </w:tcPr>
          <w:p w14:paraId="36B87CBD"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9/9</w:t>
            </w:r>
          </w:p>
        </w:tc>
        <w:tc>
          <w:tcPr>
            <w:tcW w:w="827" w:type="dxa"/>
            <w:tcBorders>
              <w:top w:val="nil"/>
              <w:left w:val="single" w:sz="8" w:space="0" w:color="auto"/>
              <w:bottom w:val="nil"/>
              <w:right w:val="single" w:sz="8" w:space="0" w:color="auto"/>
            </w:tcBorders>
            <w:tcMar>
              <w:top w:w="15" w:type="dxa"/>
              <w:left w:w="15" w:type="dxa"/>
              <w:right w:w="15" w:type="dxa"/>
            </w:tcMar>
            <w:vAlign w:val="center"/>
          </w:tcPr>
          <w:p w14:paraId="5E9640D1"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20,210 </w:t>
            </w:r>
          </w:p>
        </w:tc>
        <w:tc>
          <w:tcPr>
            <w:tcW w:w="1107" w:type="dxa"/>
            <w:tcBorders>
              <w:top w:val="nil"/>
              <w:left w:val="single" w:sz="8" w:space="0" w:color="auto"/>
              <w:bottom w:val="nil"/>
              <w:right w:val="single" w:sz="8" w:space="0" w:color="auto"/>
            </w:tcBorders>
            <w:tcMar>
              <w:top w:w="15" w:type="dxa"/>
              <w:left w:w="15" w:type="dxa"/>
              <w:right w:w="15" w:type="dxa"/>
            </w:tcMar>
            <w:vAlign w:val="center"/>
          </w:tcPr>
          <w:p w14:paraId="454169D1"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5/9</w:t>
            </w:r>
          </w:p>
        </w:tc>
      </w:tr>
      <w:tr w:rsidR="00CA72B0" w:rsidRPr="00CF01AF" w14:paraId="06FFBD6C" w14:textId="77777777" w:rsidTr="00D862F0">
        <w:trPr>
          <w:trHeight w:val="303"/>
        </w:trPr>
        <w:tc>
          <w:tcPr>
            <w:tcW w:w="2041" w:type="dxa"/>
            <w:tcBorders>
              <w:top w:val="nil"/>
              <w:left w:val="single" w:sz="4" w:space="0" w:color="auto"/>
              <w:bottom w:val="nil"/>
              <w:right w:val="single" w:sz="8" w:space="0" w:color="auto"/>
            </w:tcBorders>
            <w:shd w:val="clear" w:color="auto" w:fill="F2DCDB"/>
            <w:tcMar>
              <w:top w:w="15" w:type="dxa"/>
              <w:left w:w="15" w:type="dxa"/>
              <w:right w:w="15" w:type="dxa"/>
            </w:tcMar>
            <w:vAlign w:val="bottom"/>
          </w:tcPr>
          <w:p w14:paraId="0AD71C9C"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High-income North America</w:t>
            </w:r>
          </w:p>
        </w:tc>
        <w:tc>
          <w:tcPr>
            <w:tcW w:w="1353"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971513A"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74,648,127 </w:t>
            </w:r>
          </w:p>
        </w:tc>
        <w:tc>
          <w:tcPr>
            <w:tcW w:w="1073"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4625FE"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c>
          <w:tcPr>
            <w:tcW w:w="120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2C47EF"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16,021,100</w:t>
            </w:r>
          </w:p>
        </w:tc>
        <w:tc>
          <w:tcPr>
            <w:tcW w:w="1131"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6D05A50"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c>
          <w:tcPr>
            <w:tcW w:w="11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2259BA2"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35,797,723</w:t>
            </w:r>
          </w:p>
        </w:tc>
        <w:tc>
          <w:tcPr>
            <w:tcW w:w="103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7D07742"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c>
          <w:tcPr>
            <w:tcW w:w="1060"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37BFDE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34,956,150</w:t>
            </w:r>
          </w:p>
        </w:tc>
        <w:tc>
          <w:tcPr>
            <w:tcW w:w="103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C8B2CD"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3/3</w:t>
            </w:r>
          </w:p>
        </w:tc>
        <w:tc>
          <w:tcPr>
            <w:tcW w:w="82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C80568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14,070,904</w:t>
            </w:r>
          </w:p>
        </w:tc>
        <w:tc>
          <w:tcPr>
            <w:tcW w:w="1107" w:type="dxa"/>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84AD7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r>
      <w:tr w:rsidR="00CA72B0" w:rsidRPr="00CF01AF" w14:paraId="58BAB464" w14:textId="77777777" w:rsidTr="00D862F0">
        <w:trPr>
          <w:trHeight w:val="303"/>
        </w:trPr>
        <w:tc>
          <w:tcPr>
            <w:tcW w:w="2041" w:type="dxa"/>
            <w:tcBorders>
              <w:top w:val="nil"/>
              <w:left w:val="single" w:sz="4" w:space="0" w:color="auto"/>
              <w:bottom w:val="nil"/>
              <w:right w:val="single" w:sz="8" w:space="0" w:color="auto"/>
            </w:tcBorders>
            <w:tcMar>
              <w:top w:w="15" w:type="dxa"/>
              <w:left w:w="15" w:type="dxa"/>
              <w:right w:w="15" w:type="dxa"/>
            </w:tcMar>
            <w:vAlign w:val="bottom"/>
          </w:tcPr>
          <w:p w14:paraId="1C129022"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Southern Latin America</w:t>
            </w:r>
          </w:p>
        </w:tc>
        <w:tc>
          <w:tcPr>
            <w:tcW w:w="1353" w:type="dxa"/>
            <w:tcBorders>
              <w:top w:val="nil"/>
              <w:left w:val="single" w:sz="8" w:space="0" w:color="auto"/>
              <w:bottom w:val="nil"/>
              <w:right w:val="single" w:sz="8" w:space="0" w:color="auto"/>
            </w:tcBorders>
            <w:tcMar>
              <w:top w:w="15" w:type="dxa"/>
              <w:left w:w="15" w:type="dxa"/>
              <w:right w:w="15" w:type="dxa"/>
            </w:tcMar>
            <w:vAlign w:val="center"/>
          </w:tcPr>
          <w:p w14:paraId="0F302F29"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   </w:t>
            </w:r>
          </w:p>
        </w:tc>
        <w:tc>
          <w:tcPr>
            <w:tcW w:w="1073" w:type="dxa"/>
            <w:tcBorders>
              <w:top w:val="nil"/>
              <w:left w:val="single" w:sz="8" w:space="0" w:color="auto"/>
              <w:bottom w:val="nil"/>
              <w:right w:val="single" w:sz="8" w:space="0" w:color="auto"/>
            </w:tcBorders>
            <w:tcMar>
              <w:top w:w="15" w:type="dxa"/>
              <w:left w:w="15" w:type="dxa"/>
              <w:right w:w="15" w:type="dxa"/>
            </w:tcMar>
            <w:vAlign w:val="center"/>
          </w:tcPr>
          <w:p w14:paraId="468E0452"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0/3</w:t>
            </w:r>
          </w:p>
        </w:tc>
        <w:tc>
          <w:tcPr>
            <w:tcW w:w="1200" w:type="dxa"/>
            <w:tcBorders>
              <w:top w:val="nil"/>
              <w:left w:val="single" w:sz="8" w:space="0" w:color="auto"/>
              <w:bottom w:val="nil"/>
              <w:right w:val="single" w:sz="8" w:space="0" w:color="auto"/>
            </w:tcBorders>
            <w:tcMar>
              <w:top w:w="15" w:type="dxa"/>
              <w:left w:w="15" w:type="dxa"/>
              <w:right w:w="15" w:type="dxa"/>
            </w:tcMar>
            <w:vAlign w:val="center"/>
          </w:tcPr>
          <w:p w14:paraId="5148A21E"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2,885 </w:t>
            </w:r>
          </w:p>
        </w:tc>
        <w:tc>
          <w:tcPr>
            <w:tcW w:w="1131" w:type="dxa"/>
            <w:tcBorders>
              <w:top w:val="nil"/>
              <w:left w:val="single" w:sz="8" w:space="0" w:color="auto"/>
              <w:bottom w:val="nil"/>
              <w:right w:val="single" w:sz="8" w:space="0" w:color="auto"/>
            </w:tcBorders>
            <w:tcMar>
              <w:top w:w="15" w:type="dxa"/>
              <w:left w:w="15" w:type="dxa"/>
              <w:right w:w="15" w:type="dxa"/>
            </w:tcMar>
            <w:vAlign w:val="center"/>
          </w:tcPr>
          <w:p w14:paraId="6A803B0D"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2/3</w:t>
            </w:r>
          </w:p>
        </w:tc>
        <w:tc>
          <w:tcPr>
            <w:tcW w:w="1107" w:type="dxa"/>
            <w:tcBorders>
              <w:top w:val="nil"/>
              <w:left w:val="single" w:sz="8" w:space="0" w:color="auto"/>
              <w:bottom w:val="nil"/>
              <w:right w:val="single" w:sz="8" w:space="0" w:color="auto"/>
            </w:tcBorders>
            <w:tcMar>
              <w:top w:w="15" w:type="dxa"/>
              <w:left w:w="15" w:type="dxa"/>
              <w:right w:w="15" w:type="dxa"/>
            </w:tcMar>
            <w:vAlign w:val="center"/>
          </w:tcPr>
          <w:p w14:paraId="54665FFA"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1,360,950 </w:t>
            </w:r>
          </w:p>
        </w:tc>
        <w:tc>
          <w:tcPr>
            <w:tcW w:w="1037" w:type="dxa"/>
            <w:tcBorders>
              <w:top w:val="nil"/>
              <w:left w:val="single" w:sz="8" w:space="0" w:color="auto"/>
              <w:bottom w:val="nil"/>
              <w:right w:val="single" w:sz="8" w:space="0" w:color="auto"/>
            </w:tcBorders>
            <w:tcMar>
              <w:top w:w="15" w:type="dxa"/>
              <w:left w:w="15" w:type="dxa"/>
              <w:right w:w="15" w:type="dxa"/>
            </w:tcMar>
            <w:vAlign w:val="center"/>
          </w:tcPr>
          <w:p w14:paraId="767CD621"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3/3</w:t>
            </w:r>
          </w:p>
        </w:tc>
        <w:tc>
          <w:tcPr>
            <w:tcW w:w="1060" w:type="dxa"/>
            <w:tcBorders>
              <w:top w:val="nil"/>
              <w:left w:val="single" w:sz="8" w:space="0" w:color="auto"/>
              <w:bottom w:val="nil"/>
              <w:right w:val="single" w:sz="8" w:space="0" w:color="auto"/>
            </w:tcBorders>
            <w:tcMar>
              <w:top w:w="15" w:type="dxa"/>
              <w:left w:w="15" w:type="dxa"/>
              <w:right w:w="15" w:type="dxa"/>
            </w:tcMar>
            <w:vAlign w:val="center"/>
          </w:tcPr>
          <w:p w14:paraId="2E2FA7CD"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1,254,471 </w:t>
            </w:r>
          </w:p>
        </w:tc>
        <w:tc>
          <w:tcPr>
            <w:tcW w:w="1037" w:type="dxa"/>
            <w:tcBorders>
              <w:top w:val="nil"/>
              <w:left w:val="single" w:sz="8" w:space="0" w:color="auto"/>
              <w:bottom w:val="nil"/>
              <w:right w:val="single" w:sz="8" w:space="0" w:color="auto"/>
            </w:tcBorders>
            <w:tcMar>
              <w:top w:w="15" w:type="dxa"/>
              <w:left w:w="15" w:type="dxa"/>
              <w:right w:w="15" w:type="dxa"/>
            </w:tcMar>
            <w:vAlign w:val="center"/>
          </w:tcPr>
          <w:p w14:paraId="75452807"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3/3</w:t>
            </w:r>
          </w:p>
        </w:tc>
        <w:tc>
          <w:tcPr>
            <w:tcW w:w="827" w:type="dxa"/>
            <w:tcBorders>
              <w:top w:val="nil"/>
              <w:left w:val="single" w:sz="8" w:space="0" w:color="auto"/>
              <w:bottom w:val="nil"/>
              <w:right w:val="single" w:sz="8" w:space="0" w:color="auto"/>
            </w:tcBorders>
            <w:tcMar>
              <w:top w:w="15" w:type="dxa"/>
              <w:left w:w="15" w:type="dxa"/>
              <w:right w:w="15" w:type="dxa"/>
            </w:tcMar>
            <w:vAlign w:val="center"/>
          </w:tcPr>
          <w:p w14:paraId="791D9C76"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5,000 </w:t>
            </w:r>
          </w:p>
        </w:tc>
        <w:tc>
          <w:tcPr>
            <w:tcW w:w="1107" w:type="dxa"/>
            <w:tcBorders>
              <w:top w:val="nil"/>
              <w:left w:val="single" w:sz="8" w:space="0" w:color="auto"/>
              <w:bottom w:val="nil"/>
              <w:right w:val="single" w:sz="8" w:space="0" w:color="auto"/>
            </w:tcBorders>
            <w:tcMar>
              <w:top w:w="15" w:type="dxa"/>
              <w:left w:w="15" w:type="dxa"/>
              <w:right w:w="15" w:type="dxa"/>
            </w:tcMar>
            <w:vAlign w:val="center"/>
          </w:tcPr>
          <w:p w14:paraId="000847E4"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1/3</w:t>
            </w:r>
          </w:p>
        </w:tc>
      </w:tr>
      <w:tr w:rsidR="00CA72B0" w:rsidRPr="00CF01AF" w14:paraId="5ADB663E" w14:textId="77777777" w:rsidTr="00D862F0">
        <w:trPr>
          <w:trHeight w:val="318"/>
        </w:trPr>
        <w:tc>
          <w:tcPr>
            <w:tcW w:w="2041" w:type="dxa"/>
            <w:tcBorders>
              <w:top w:val="nil"/>
              <w:left w:val="single" w:sz="4" w:space="0" w:color="auto"/>
              <w:bottom w:val="single" w:sz="8" w:space="0" w:color="auto"/>
              <w:right w:val="single" w:sz="8" w:space="0" w:color="auto"/>
            </w:tcBorders>
            <w:shd w:val="clear" w:color="auto" w:fill="F2DCDB"/>
            <w:tcMar>
              <w:top w:w="15" w:type="dxa"/>
              <w:left w:w="15" w:type="dxa"/>
              <w:right w:w="15" w:type="dxa"/>
            </w:tcMar>
            <w:vAlign w:val="bottom"/>
          </w:tcPr>
          <w:p w14:paraId="0DA753DF"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Tropical Latin America</w:t>
            </w:r>
          </w:p>
        </w:tc>
        <w:tc>
          <w:tcPr>
            <w:tcW w:w="1353"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67495692"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           19,438,083 </w:t>
            </w:r>
          </w:p>
        </w:tc>
        <w:tc>
          <w:tcPr>
            <w:tcW w:w="1073"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38B009A"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1/2</w:t>
            </w:r>
          </w:p>
        </w:tc>
        <w:tc>
          <w:tcPr>
            <w:tcW w:w="1200"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6A2B418"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378,457</w:t>
            </w:r>
          </w:p>
        </w:tc>
        <w:tc>
          <w:tcPr>
            <w:tcW w:w="1131"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2AE3AD46"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1/2</w:t>
            </w:r>
          </w:p>
        </w:tc>
        <w:tc>
          <w:tcPr>
            <w:tcW w:w="1107"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7B7B24E0"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1,090,322</w:t>
            </w:r>
          </w:p>
        </w:tc>
        <w:tc>
          <w:tcPr>
            <w:tcW w:w="1037"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3E42AC65"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2/2</w:t>
            </w:r>
          </w:p>
        </w:tc>
        <w:tc>
          <w:tcPr>
            <w:tcW w:w="1060"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1EDC84D2"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311,688</w:t>
            </w:r>
          </w:p>
        </w:tc>
        <w:tc>
          <w:tcPr>
            <w:tcW w:w="1037"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CE035DF" w14:textId="77777777" w:rsidR="00CA72B0" w:rsidRPr="00CF01AF" w:rsidRDefault="00CA72B0" w:rsidP="00D862F0">
            <w:pPr>
              <w:jc w:val="center"/>
              <w:rPr>
                <w:rFonts w:eastAsia="Times New Roman" w:cs="Times New Roman"/>
                <w:color w:val="000000" w:themeColor="text1"/>
                <w:sz w:val="14"/>
                <w:szCs w:val="14"/>
              </w:rPr>
            </w:pPr>
            <w:r w:rsidRPr="00CF01AF">
              <w:rPr>
                <w:rFonts w:eastAsia="Times New Roman" w:cs="Times New Roman"/>
                <w:color w:val="000000" w:themeColor="text1"/>
                <w:sz w:val="14"/>
                <w:szCs w:val="14"/>
              </w:rPr>
              <w:t>2/2</w:t>
            </w:r>
          </w:p>
        </w:tc>
        <w:tc>
          <w:tcPr>
            <w:tcW w:w="827"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107F6DBA"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6,838</w:t>
            </w:r>
          </w:p>
        </w:tc>
        <w:tc>
          <w:tcPr>
            <w:tcW w:w="1107" w:type="dxa"/>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03A13784" w14:textId="77777777" w:rsidR="00CA72B0" w:rsidRPr="00CF01AF" w:rsidRDefault="00CA72B0" w:rsidP="00D862F0">
            <w:pPr>
              <w:jc w:val="right"/>
              <w:rPr>
                <w:rFonts w:eastAsia="Times New Roman" w:cs="Times New Roman"/>
                <w:color w:val="000000" w:themeColor="text1"/>
                <w:sz w:val="14"/>
                <w:szCs w:val="14"/>
              </w:rPr>
            </w:pPr>
            <w:r w:rsidRPr="00CF01AF">
              <w:rPr>
                <w:rFonts w:eastAsia="Times New Roman" w:cs="Times New Roman"/>
                <w:color w:val="000000" w:themeColor="text1"/>
                <w:sz w:val="14"/>
                <w:szCs w:val="14"/>
              </w:rPr>
              <w:t>1/2</w:t>
            </w:r>
          </w:p>
        </w:tc>
      </w:tr>
      <w:tr w:rsidR="00CA72B0" w:rsidRPr="00CF01AF" w14:paraId="573088CC" w14:textId="77777777" w:rsidTr="00D862F0">
        <w:trPr>
          <w:trHeight w:val="303"/>
        </w:trPr>
        <w:tc>
          <w:tcPr>
            <w:tcW w:w="11042" w:type="dxa"/>
            <w:gridSpan w:val="9"/>
            <w:tcBorders>
              <w:top w:val="single" w:sz="8" w:space="0" w:color="auto"/>
              <w:left w:val="nil"/>
              <w:bottom w:val="nil"/>
              <w:right w:val="nil"/>
            </w:tcBorders>
            <w:tcMar>
              <w:top w:w="15" w:type="dxa"/>
              <w:left w:w="15" w:type="dxa"/>
              <w:right w:w="15" w:type="dxa"/>
            </w:tcMar>
            <w:vAlign w:val="bottom"/>
          </w:tcPr>
          <w:p w14:paraId="2DEE4792"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Data points are sourced from a variety of sources including, but not limited to, multiple cause of death data, hospital discharges, literature studies, and microbiology data with and without outcome.  </w:t>
            </w:r>
          </w:p>
        </w:tc>
        <w:tc>
          <w:tcPr>
            <w:tcW w:w="827" w:type="dxa"/>
            <w:tcBorders>
              <w:top w:val="single" w:sz="8" w:space="0" w:color="auto"/>
              <w:left w:val="nil"/>
              <w:bottom w:val="nil"/>
              <w:right w:val="nil"/>
            </w:tcBorders>
            <w:tcMar>
              <w:top w:w="15" w:type="dxa"/>
              <w:left w:w="15" w:type="dxa"/>
              <w:right w:w="15" w:type="dxa"/>
            </w:tcMar>
            <w:vAlign w:val="bottom"/>
          </w:tcPr>
          <w:p w14:paraId="293C66DC" w14:textId="77777777" w:rsidR="00CA72B0" w:rsidRPr="00CF01AF" w:rsidRDefault="00CA72B0" w:rsidP="00D862F0">
            <w:pPr>
              <w:rPr>
                <w:sz w:val="14"/>
                <w:szCs w:val="14"/>
              </w:rPr>
            </w:pPr>
          </w:p>
        </w:tc>
        <w:tc>
          <w:tcPr>
            <w:tcW w:w="1107" w:type="dxa"/>
            <w:tcBorders>
              <w:top w:val="single" w:sz="8" w:space="0" w:color="auto"/>
              <w:left w:val="nil"/>
              <w:bottom w:val="nil"/>
              <w:right w:val="nil"/>
            </w:tcBorders>
            <w:tcMar>
              <w:top w:w="15" w:type="dxa"/>
              <w:left w:w="15" w:type="dxa"/>
              <w:right w:w="15" w:type="dxa"/>
            </w:tcMar>
            <w:vAlign w:val="bottom"/>
          </w:tcPr>
          <w:p w14:paraId="0D42CFF4" w14:textId="77777777" w:rsidR="00CA72B0" w:rsidRPr="00CF01AF" w:rsidRDefault="00CA72B0" w:rsidP="00D862F0">
            <w:pPr>
              <w:rPr>
                <w:sz w:val="14"/>
                <w:szCs w:val="14"/>
              </w:rPr>
            </w:pPr>
          </w:p>
        </w:tc>
      </w:tr>
      <w:tr w:rsidR="00CA72B0" w:rsidRPr="00CF01AF" w14:paraId="0BC0763E" w14:textId="77777777" w:rsidTr="00D862F0">
        <w:trPr>
          <w:trHeight w:val="303"/>
        </w:trPr>
        <w:tc>
          <w:tcPr>
            <w:tcW w:w="7907" w:type="dxa"/>
            <w:gridSpan w:val="6"/>
            <w:tcBorders>
              <w:top w:val="nil"/>
              <w:left w:val="nil"/>
              <w:bottom w:val="nil"/>
              <w:right w:val="nil"/>
            </w:tcBorders>
            <w:tcMar>
              <w:top w:w="15" w:type="dxa"/>
              <w:left w:w="15" w:type="dxa"/>
              <w:right w:w="15" w:type="dxa"/>
            </w:tcMar>
            <w:vAlign w:val="bottom"/>
          </w:tcPr>
          <w:p w14:paraId="7BFCED0C"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Several data sources inform multiple modeling steps. Therefore, data points should not be summed across a row as that will lead to duplication. </w:t>
            </w:r>
          </w:p>
        </w:tc>
        <w:tc>
          <w:tcPr>
            <w:tcW w:w="1037" w:type="dxa"/>
            <w:tcBorders>
              <w:top w:val="nil"/>
              <w:left w:val="nil"/>
              <w:bottom w:val="nil"/>
              <w:right w:val="nil"/>
            </w:tcBorders>
            <w:tcMar>
              <w:top w:w="15" w:type="dxa"/>
              <w:left w:w="15" w:type="dxa"/>
              <w:right w:w="15" w:type="dxa"/>
            </w:tcMar>
            <w:vAlign w:val="bottom"/>
          </w:tcPr>
          <w:p w14:paraId="311ED7A0" w14:textId="77777777" w:rsidR="00CA72B0" w:rsidRPr="00CF01AF" w:rsidRDefault="00CA72B0" w:rsidP="00D862F0">
            <w:pPr>
              <w:rPr>
                <w:sz w:val="14"/>
                <w:szCs w:val="14"/>
              </w:rPr>
            </w:pPr>
          </w:p>
        </w:tc>
        <w:tc>
          <w:tcPr>
            <w:tcW w:w="1060" w:type="dxa"/>
            <w:tcBorders>
              <w:top w:val="nil"/>
              <w:left w:val="nil"/>
              <w:bottom w:val="nil"/>
              <w:right w:val="nil"/>
            </w:tcBorders>
            <w:tcMar>
              <w:top w:w="15" w:type="dxa"/>
              <w:left w:w="15" w:type="dxa"/>
              <w:right w:w="15" w:type="dxa"/>
            </w:tcMar>
            <w:vAlign w:val="bottom"/>
          </w:tcPr>
          <w:p w14:paraId="0742EF1E" w14:textId="77777777" w:rsidR="00CA72B0" w:rsidRPr="00CF01AF" w:rsidRDefault="00CA72B0" w:rsidP="00D862F0">
            <w:pPr>
              <w:rPr>
                <w:sz w:val="14"/>
                <w:szCs w:val="14"/>
              </w:rPr>
            </w:pPr>
          </w:p>
        </w:tc>
        <w:tc>
          <w:tcPr>
            <w:tcW w:w="1037" w:type="dxa"/>
            <w:tcBorders>
              <w:top w:val="nil"/>
              <w:left w:val="nil"/>
              <w:bottom w:val="nil"/>
              <w:right w:val="nil"/>
            </w:tcBorders>
            <w:tcMar>
              <w:top w:w="15" w:type="dxa"/>
              <w:left w:w="15" w:type="dxa"/>
              <w:right w:w="15" w:type="dxa"/>
            </w:tcMar>
            <w:vAlign w:val="bottom"/>
          </w:tcPr>
          <w:p w14:paraId="2DDC0B25" w14:textId="77777777" w:rsidR="00CA72B0" w:rsidRPr="00CF01AF" w:rsidRDefault="00CA72B0" w:rsidP="00D862F0">
            <w:pPr>
              <w:rPr>
                <w:sz w:val="14"/>
                <w:szCs w:val="14"/>
              </w:rPr>
            </w:pPr>
          </w:p>
        </w:tc>
        <w:tc>
          <w:tcPr>
            <w:tcW w:w="827" w:type="dxa"/>
            <w:tcBorders>
              <w:top w:val="nil"/>
              <w:left w:val="nil"/>
              <w:bottom w:val="nil"/>
              <w:right w:val="nil"/>
            </w:tcBorders>
            <w:tcMar>
              <w:top w:w="15" w:type="dxa"/>
              <w:left w:w="15" w:type="dxa"/>
              <w:right w:w="15" w:type="dxa"/>
            </w:tcMar>
            <w:vAlign w:val="bottom"/>
          </w:tcPr>
          <w:p w14:paraId="6DA45B96" w14:textId="77777777" w:rsidR="00CA72B0" w:rsidRPr="00CF01AF" w:rsidRDefault="00CA72B0" w:rsidP="00D862F0">
            <w:pPr>
              <w:rPr>
                <w:sz w:val="14"/>
                <w:szCs w:val="14"/>
              </w:rPr>
            </w:pPr>
          </w:p>
        </w:tc>
        <w:tc>
          <w:tcPr>
            <w:tcW w:w="1107" w:type="dxa"/>
            <w:tcBorders>
              <w:top w:val="nil"/>
              <w:left w:val="nil"/>
              <w:bottom w:val="nil"/>
              <w:right w:val="nil"/>
            </w:tcBorders>
            <w:tcMar>
              <w:top w:w="15" w:type="dxa"/>
              <w:left w:w="15" w:type="dxa"/>
              <w:right w:w="15" w:type="dxa"/>
            </w:tcMar>
            <w:vAlign w:val="bottom"/>
          </w:tcPr>
          <w:p w14:paraId="555A7ED4" w14:textId="77777777" w:rsidR="00CA72B0" w:rsidRPr="00CF01AF" w:rsidRDefault="00CA72B0" w:rsidP="00D862F0">
            <w:pPr>
              <w:rPr>
                <w:sz w:val="14"/>
                <w:szCs w:val="14"/>
              </w:rPr>
            </w:pPr>
          </w:p>
        </w:tc>
      </w:tr>
      <w:tr w:rsidR="00CA72B0" w:rsidRPr="00CF01AF" w14:paraId="18DC7E29" w14:textId="77777777" w:rsidTr="00D862F0">
        <w:trPr>
          <w:trHeight w:val="303"/>
        </w:trPr>
        <w:tc>
          <w:tcPr>
            <w:tcW w:w="6799" w:type="dxa"/>
            <w:gridSpan w:val="5"/>
            <w:tcBorders>
              <w:top w:val="nil"/>
              <w:left w:val="nil"/>
              <w:bottom w:val="nil"/>
              <w:right w:val="nil"/>
            </w:tcBorders>
            <w:tcMar>
              <w:top w:w="15" w:type="dxa"/>
              <w:left w:w="15" w:type="dxa"/>
              <w:right w:w="15" w:type="dxa"/>
            </w:tcMar>
            <w:vAlign w:val="bottom"/>
          </w:tcPr>
          <w:p w14:paraId="7184D939" w14:textId="77777777" w:rsidR="00CA72B0" w:rsidRPr="00CF01AF" w:rsidRDefault="00CA72B0" w:rsidP="00D862F0">
            <w:pPr>
              <w:rPr>
                <w:rFonts w:eastAsia="Times New Roman" w:cs="Times New Roman"/>
                <w:color w:val="000000" w:themeColor="text1"/>
                <w:sz w:val="14"/>
                <w:szCs w:val="14"/>
              </w:rPr>
            </w:pPr>
            <w:r w:rsidRPr="00CF01AF">
              <w:rPr>
                <w:rFonts w:eastAsia="Times New Roman" w:cs="Times New Roman"/>
                <w:color w:val="000000" w:themeColor="text1"/>
                <w:sz w:val="14"/>
                <w:szCs w:val="14"/>
              </w:rPr>
              <w:t xml:space="preserve">For more information on the data types used and the modeling steps that they inform, see section 2 of the appendix. </w:t>
            </w:r>
          </w:p>
        </w:tc>
        <w:tc>
          <w:tcPr>
            <w:tcW w:w="1107" w:type="dxa"/>
            <w:tcBorders>
              <w:top w:val="nil"/>
              <w:left w:val="nil"/>
              <w:bottom w:val="nil"/>
              <w:right w:val="nil"/>
            </w:tcBorders>
            <w:tcMar>
              <w:top w:w="15" w:type="dxa"/>
              <w:left w:w="15" w:type="dxa"/>
              <w:right w:w="15" w:type="dxa"/>
            </w:tcMar>
            <w:vAlign w:val="bottom"/>
          </w:tcPr>
          <w:p w14:paraId="108E6276" w14:textId="77777777" w:rsidR="00CA72B0" w:rsidRPr="00CF01AF" w:rsidRDefault="00CA72B0" w:rsidP="00D862F0">
            <w:pPr>
              <w:rPr>
                <w:sz w:val="14"/>
                <w:szCs w:val="14"/>
              </w:rPr>
            </w:pPr>
          </w:p>
        </w:tc>
        <w:tc>
          <w:tcPr>
            <w:tcW w:w="1037" w:type="dxa"/>
            <w:tcBorders>
              <w:top w:val="nil"/>
              <w:left w:val="nil"/>
              <w:bottom w:val="nil"/>
              <w:right w:val="nil"/>
            </w:tcBorders>
            <w:tcMar>
              <w:top w:w="15" w:type="dxa"/>
              <w:left w:w="15" w:type="dxa"/>
              <w:right w:w="15" w:type="dxa"/>
            </w:tcMar>
            <w:vAlign w:val="bottom"/>
          </w:tcPr>
          <w:p w14:paraId="4163FAFF" w14:textId="77777777" w:rsidR="00CA72B0" w:rsidRPr="00CF01AF" w:rsidRDefault="00CA72B0" w:rsidP="00D862F0">
            <w:pPr>
              <w:rPr>
                <w:sz w:val="14"/>
                <w:szCs w:val="14"/>
              </w:rPr>
            </w:pPr>
          </w:p>
        </w:tc>
        <w:tc>
          <w:tcPr>
            <w:tcW w:w="1060" w:type="dxa"/>
            <w:tcBorders>
              <w:top w:val="nil"/>
              <w:left w:val="nil"/>
              <w:bottom w:val="nil"/>
              <w:right w:val="nil"/>
            </w:tcBorders>
            <w:tcMar>
              <w:top w:w="15" w:type="dxa"/>
              <w:left w:w="15" w:type="dxa"/>
              <w:right w:w="15" w:type="dxa"/>
            </w:tcMar>
            <w:vAlign w:val="bottom"/>
          </w:tcPr>
          <w:p w14:paraId="33A0CFF8" w14:textId="77777777" w:rsidR="00CA72B0" w:rsidRPr="00CF01AF" w:rsidRDefault="00CA72B0" w:rsidP="00D862F0">
            <w:pPr>
              <w:rPr>
                <w:sz w:val="14"/>
                <w:szCs w:val="14"/>
              </w:rPr>
            </w:pPr>
          </w:p>
        </w:tc>
        <w:tc>
          <w:tcPr>
            <w:tcW w:w="1037" w:type="dxa"/>
            <w:tcBorders>
              <w:top w:val="nil"/>
              <w:left w:val="nil"/>
              <w:bottom w:val="nil"/>
              <w:right w:val="nil"/>
            </w:tcBorders>
            <w:tcMar>
              <w:top w:w="15" w:type="dxa"/>
              <w:left w:w="15" w:type="dxa"/>
              <w:right w:w="15" w:type="dxa"/>
            </w:tcMar>
            <w:vAlign w:val="bottom"/>
          </w:tcPr>
          <w:p w14:paraId="3B5733F0" w14:textId="77777777" w:rsidR="00CA72B0" w:rsidRPr="00CF01AF" w:rsidRDefault="00CA72B0" w:rsidP="00D862F0">
            <w:pPr>
              <w:rPr>
                <w:sz w:val="14"/>
                <w:szCs w:val="14"/>
              </w:rPr>
            </w:pPr>
          </w:p>
        </w:tc>
        <w:tc>
          <w:tcPr>
            <w:tcW w:w="827" w:type="dxa"/>
            <w:tcBorders>
              <w:top w:val="nil"/>
              <w:left w:val="nil"/>
              <w:bottom w:val="nil"/>
              <w:right w:val="nil"/>
            </w:tcBorders>
            <w:tcMar>
              <w:top w:w="15" w:type="dxa"/>
              <w:left w:w="15" w:type="dxa"/>
              <w:right w:w="15" w:type="dxa"/>
            </w:tcMar>
            <w:vAlign w:val="bottom"/>
          </w:tcPr>
          <w:p w14:paraId="1B7045AC" w14:textId="77777777" w:rsidR="00CA72B0" w:rsidRPr="00CF01AF" w:rsidRDefault="00CA72B0" w:rsidP="00D862F0">
            <w:pPr>
              <w:rPr>
                <w:sz w:val="14"/>
                <w:szCs w:val="14"/>
              </w:rPr>
            </w:pPr>
          </w:p>
        </w:tc>
        <w:tc>
          <w:tcPr>
            <w:tcW w:w="1107" w:type="dxa"/>
            <w:tcBorders>
              <w:top w:val="nil"/>
              <w:left w:val="nil"/>
              <w:bottom w:val="nil"/>
              <w:right w:val="nil"/>
            </w:tcBorders>
            <w:tcMar>
              <w:top w:w="15" w:type="dxa"/>
              <w:left w:w="15" w:type="dxa"/>
              <w:right w:w="15" w:type="dxa"/>
            </w:tcMar>
            <w:vAlign w:val="bottom"/>
          </w:tcPr>
          <w:p w14:paraId="3D2D95E6" w14:textId="77777777" w:rsidR="00CA72B0" w:rsidRPr="00CF01AF" w:rsidRDefault="00CA72B0" w:rsidP="00D862F0">
            <w:pPr>
              <w:rPr>
                <w:sz w:val="14"/>
                <w:szCs w:val="14"/>
              </w:rPr>
            </w:pPr>
          </w:p>
        </w:tc>
      </w:tr>
    </w:tbl>
    <w:p w14:paraId="5DE0AA0F" w14:textId="77777777" w:rsidR="00CA72B0" w:rsidRDefault="00CA72B0" w:rsidP="00CA72B0"/>
    <w:p w14:paraId="3EB3E90F" w14:textId="77777777" w:rsidR="00CA72B0" w:rsidRDefault="00CA72B0">
      <w:pPr>
        <w:rPr>
          <w:b/>
          <w:bCs/>
        </w:rPr>
      </w:pPr>
      <w:r>
        <w:rPr>
          <w:b/>
          <w:bCs/>
        </w:rPr>
        <w:br w:type="page"/>
      </w:r>
    </w:p>
    <w:p w14:paraId="18E0FC3F" w14:textId="7FB0DA4E" w:rsidR="00134E64" w:rsidRDefault="00134E64" w:rsidP="00134E64">
      <w:pPr>
        <w:spacing w:line="240" w:lineRule="auto"/>
      </w:pPr>
      <w:r w:rsidRPr="00E34934">
        <w:rPr>
          <w:b/>
          <w:bCs/>
        </w:rPr>
        <w:lastRenderedPageBreak/>
        <w:t xml:space="preserve">Supplementary Table </w:t>
      </w:r>
      <w:r>
        <w:rPr>
          <w:b/>
          <w:bCs/>
        </w:rPr>
        <w:t>6</w:t>
      </w:r>
      <w:r w:rsidRPr="00E34934">
        <w:rPr>
          <w:b/>
          <w:bCs/>
        </w:rPr>
        <w:t xml:space="preserve">: </w:t>
      </w:r>
      <w:r w:rsidRPr="00134E64">
        <w:t>All-cause mortality and number of deaths involving infection, associated with and attributable to AMR, by countries in the WHO Region of the Americas, 2019</w:t>
      </w:r>
      <w:r>
        <w:t>.</w:t>
      </w:r>
    </w:p>
    <w:tbl>
      <w:tblPr>
        <w:tblW w:w="-30376" w:type="dxa"/>
        <w:tblCellMar>
          <w:left w:w="0" w:type="dxa"/>
          <w:right w:w="0" w:type="dxa"/>
        </w:tblCellMar>
        <w:tblLook w:val="04A0" w:firstRow="1" w:lastRow="0" w:firstColumn="1" w:lastColumn="0" w:noHBand="0" w:noVBand="1"/>
      </w:tblPr>
      <w:tblGrid>
        <w:gridCol w:w="1330"/>
        <w:gridCol w:w="1383"/>
        <w:gridCol w:w="996"/>
        <w:gridCol w:w="972"/>
        <w:gridCol w:w="1141"/>
        <w:gridCol w:w="851"/>
        <w:gridCol w:w="972"/>
        <w:gridCol w:w="1141"/>
        <w:gridCol w:w="827"/>
        <w:gridCol w:w="948"/>
        <w:gridCol w:w="996"/>
        <w:gridCol w:w="731"/>
        <w:gridCol w:w="672"/>
      </w:tblGrid>
      <w:tr w:rsidR="00134E64" w:rsidRPr="00EA648D" w14:paraId="08D91630" w14:textId="77777777" w:rsidTr="00134E64">
        <w:trPr>
          <w:trHeight w:val="290"/>
        </w:trPr>
        <w:tc>
          <w:tcPr>
            <w:tcW w:w="6" w:type="dxa"/>
            <w:gridSpan w:val="12"/>
            <w:tcBorders>
              <w:top w:val="nil"/>
              <w:left w:val="nil"/>
              <w:bottom w:val="single" w:sz="8" w:space="0" w:color="auto"/>
              <w:right w:val="nil"/>
            </w:tcBorders>
            <w:shd w:val="clear" w:color="000000" w:fill="000000"/>
            <w:noWrap/>
            <w:tcMar>
              <w:top w:w="15" w:type="dxa"/>
              <w:left w:w="15" w:type="dxa"/>
              <w:bottom w:w="0" w:type="dxa"/>
              <w:right w:w="15" w:type="dxa"/>
            </w:tcMar>
            <w:vAlign w:val="center"/>
            <w:hideMark/>
          </w:tcPr>
          <w:p w14:paraId="21314DBF" w14:textId="3F2814C7" w:rsidR="00134E64" w:rsidRPr="00EA648D" w:rsidRDefault="00134E64">
            <w:pPr>
              <w:rPr>
                <w:b/>
                <w:bCs/>
                <w:color w:val="FFFFFF"/>
                <w:sz w:val="14"/>
                <w:szCs w:val="14"/>
              </w:rPr>
            </w:pPr>
          </w:p>
        </w:tc>
        <w:tc>
          <w:tcPr>
            <w:tcW w:w="960" w:type="dxa"/>
            <w:tcBorders>
              <w:top w:val="nil"/>
              <w:left w:val="nil"/>
              <w:bottom w:val="nil"/>
              <w:right w:val="nil"/>
            </w:tcBorders>
            <w:shd w:val="clear" w:color="auto" w:fill="auto"/>
            <w:noWrap/>
            <w:tcMar>
              <w:top w:w="15" w:type="dxa"/>
              <w:left w:w="15" w:type="dxa"/>
              <w:bottom w:w="0" w:type="dxa"/>
              <w:right w:w="15" w:type="dxa"/>
            </w:tcMar>
            <w:vAlign w:val="bottom"/>
            <w:hideMark/>
          </w:tcPr>
          <w:p w14:paraId="7B806CC1" w14:textId="77777777" w:rsidR="00134E64" w:rsidRPr="00EA648D" w:rsidRDefault="00134E64">
            <w:pPr>
              <w:rPr>
                <w:b/>
                <w:bCs/>
                <w:color w:val="FFFFFF"/>
                <w:sz w:val="14"/>
                <w:szCs w:val="14"/>
              </w:rPr>
            </w:pPr>
          </w:p>
        </w:tc>
      </w:tr>
      <w:tr w:rsidR="00FF67C1" w:rsidRPr="00EA648D" w14:paraId="01841782" w14:textId="77777777" w:rsidTr="00134E64">
        <w:trPr>
          <w:trHeight w:val="930"/>
        </w:trPr>
        <w:tc>
          <w:tcPr>
            <w:tcW w:w="3280" w:type="dxa"/>
            <w:vMerge w:val="restart"/>
            <w:tcBorders>
              <w:top w:val="nil"/>
              <w:left w:val="single" w:sz="8" w:space="0" w:color="auto"/>
              <w:bottom w:val="single" w:sz="8" w:space="0" w:color="000000"/>
              <w:right w:val="single" w:sz="8" w:space="0" w:color="auto"/>
            </w:tcBorders>
            <w:shd w:val="clear" w:color="000000" w:fill="F2DCDB"/>
            <w:tcMar>
              <w:top w:w="15" w:type="dxa"/>
              <w:left w:w="15" w:type="dxa"/>
              <w:bottom w:w="0" w:type="dxa"/>
              <w:right w:w="15" w:type="dxa"/>
            </w:tcMar>
            <w:vAlign w:val="center"/>
            <w:hideMark/>
          </w:tcPr>
          <w:p w14:paraId="0B34DC79" w14:textId="77777777" w:rsidR="00134E64" w:rsidRPr="00EA648D" w:rsidRDefault="00134E64">
            <w:pPr>
              <w:jc w:val="center"/>
              <w:rPr>
                <w:b/>
                <w:bCs/>
                <w:color w:val="000000"/>
                <w:sz w:val="14"/>
                <w:szCs w:val="14"/>
              </w:rPr>
            </w:pPr>
            <w:r w:rsidRPr="00EA648D">
              <w:rPr>
                <w:b/>
                <w:bCs/>
                <w:color w:val="000000"/>
                <w:sz w:val="14"/>
                <w:szCs w:val="14"/>
              </w:rPr>
              <w:t>Country</w:t>
            </w:r>
          </w:p>
        </w:tc>
        <w:tc>
          <w:tcPr>
            <w:tcW w:w="6120" w:type="dxa"/>
            <w:gridSpan w:val="2"/>
            <w:tcBorders>
              <w:top w:val="single" w:sz="8" w:space="0" w:color="auto"/>
              <w:left w:val="nil"/>
              <w:bottom w:val="single" w:sz="8" w:space="0" w:color="auto"/>
              <w:right w:val="single" w:sz="8" w:space="0" w:color="000000"/>
            </w:tcBorders>
            <w:shd w:val="clear" w:color="000000" w:fill="F2DCDB"/>
            <w:tcMar>
              <w:top w:w="15" w:type="dxa"/>
              <w:left w:w="15" w:type="dxa"/>
              <w:bottom w:w="0" w:type="dxa"/>
              <w:right w:w="15" w:type="dxa"/>
            </w:tcMar>
            <w:vAlign w:val="center"/>
            <w:hideMark/>
          </w:tcPr>
          <w:p w14:paraId="05FAC7CE" w14:textId="77777777" w:rsidR="00134E64" w:rsidRPr="00EA648D" w:rsidRDefault="00134E64">
            <w:pPr>
              <w:jc w:val="center"/>
              <w:rPr>
                <w:b/>
                <w:bCs/>
                <w:color w:val="000000"/>
                <w:sz w:val="14"/>
                <w:szCs w:val="14"/>
              </w:rPr>
            </w:pPr>
            <w:r w:rsidRPr="00EA648D">
              <w:rPr>
                <w:b/>
                <w:bCs/>
                <w:color w:val="000000"/>
                <w:sz w:val="14"/>
                <w:szCs w:val="14"/>
              </w:rPr>
              <w:t>All-cause deaths</w:t>
            </w:r>
          </w:p>
        </w:tc>
        <w:tc>
          <w:tcPr>
            <w:tcW w:w="254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00CFE602" w14:textId="77777777" w:rsidR="00134E64" w:rsidRPr="00EA648D" w:rsidRDefault="00134E64">
            <w:pPr>
              <w:jc w:val="center"/>
              <w:rPr>
                <w:b/>
                <w:bCs/>
                <w:color w:val="000000"/>
                <w:sz w:val="14"/>
                <w:szCs w:val="14"/>
              </w:rPr>
            </w:pPr>
            <w:r w:rsidRPr="00EA648D">
              <w:rPr>
                <w:b/>
                <w:bCs/>
                <w:color w:val="000000"/>
                <w:sz w:val="14"/>
                <w:szCs w:val="14"/>
              </w:rPr>
              <w:t>Fraction of all-cause deaths that involved infection</w:t>
            </w:r>
          </w:p>
        </w:tc>
        <w:tc>
          <w:tcPr>
            <w:tcW w:w="5580" w:type="dxa"/>
            <w:gridSpan w:val="2"/>
            <w:tcBorders>
              <w:top w:val="single" w:sz="8" w:space="0" w:color="auto"/>
              <w:left w:val="nil"/>
              <w:bottom w:val="single" w:sz="8" w:space="0" w:color="auto"/>
              <w:right w:val="single" w:sz="8" w:space="0" w:color="000000"/>
            </w:tcBorders>
            <w:shd w:val="clear" w:color="000000" w:fill="F2DCDB"/>
            <w:tcMar>
              <w:top w:w="15" w:type="dxa"/>
              <w:left w:w="15" w:type="dxa"/>
              <w:bottom w:w="0" w:type="dxa"/>
              <w:right w:w="15" w:type="dxa"/>
            </w:tcMar>
            <w:vAlign w:val="center"/>
            <w:hideMark/>
          </w:tcPr>
          <w:p w14:paraId="42B788BC" w14:textId="77777777" w:rsidR="00134E64" w:rsidRPr="00EA648D" w:rsidRDefault="00134E64">
            <w:pPr>
              <w:jc w:val="center"/>
              <w:rPr>
                <w:b/>
                <w:bCs/>
                <w:color w:val="000000"/>
                <w:sz w:val="14"/>
                <w:szCs w:val="14"/>
              </w:rPr>
            </w:pPr>
            <w:r w:rsidRPr="00EA648D">
              <w:rPr>
                <w:b/>
                <w:bCs/>
                <w:color w:val="000000"/>
                <w:sz w:val="14"/>
                <w:szCs w:val="14"/>
              </w:rPr>
              <w:t>Deaths involving infection</w:t>
            </w:r>
          </w:p>
        </w:tc>
        <w:tc>
          <w:tcPr>
            <w:tcW w:w="29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16055C02" w14:textId="77777777" w:rsidR="00134E64" w:rsidRPr="00EA648D" w:rsidRDefault="00134E64">
            <w:pPr>
              <w:jc w:val="center"/>
              <w:rPr>
                <w:b/>
                <w:bCs/>
                <w:color w:val="000000"/>
                <w:sz w:val="14"/>
                <w:szCs w:val="14"/>
              </w:rPr>
            </w:pPr>
            <w:r w:rsidRPr="00EA648D">
              <w:rPr>
                <w:b/>
                <w:bCs/>
                <w:color w:val="000000"/>
                <w:sz w:val="14"/>
                <w:szCs w:val="14"/>
              </w:rPr>
              <w:t>Fraction of deaths involving infection that are associated with resistance</w:t>
            </w:r>
          </w:p>
        </w:tc>
        <w:tc>
          <w:tcPr>
            <w:tcW w:w="5460" w:type="dxa"/>
            <w:gridSpan w:val="2"/>
            <w:tcBorders>
              <w:top w:val="single" w:sz="8" w:space="0" w:color="auto"/>
              <w:left w:val="nil"/>
              <w:bottom w:val="single" w:sz="8" w:space="0" w:color="auto"/>
              <w:right w:val="single" w:sz="8" w:space="0" w:color="000000"/>
            </w:tcBorders>
            <w:shd w:val="clear" w:color="000000" w:fill="F2DCDB"/>
            <w:tcMar>
              <w:top w:w="15" w:type="dxa"/>
              <w:left w:w="15" w:type="dxa"/>
              <w:bottom w:w="0" w:type="dxa"/>
              <w:right w:w="15" w:type="dxa"/>
            </w:tcMar>
            <w:vAlign w:val="center"/>
            <w:hideMark/>
          </w:tcPr>
          <w:p w14:paraId="66A77125" w14:textId="77777777" w:rsidR="00134E64" w:rsidRPr="00EA648D" w:rsidRDefault="00134E64">
            <w:pPr>
              <w:jc w:val="center"/>
              <w:rPr>
                <w:b/>
                <w:bCs/>
                <w:color w:val="000000"/>
                <w:sz w:val="14"/>
                <w:szCs w:val="14"/>
              </w:rPr>
            </w:pPr>
            <w:r w:rsidRPr="00EA648D">
              <w:rPr>
                <w:b/>
                <w:bCs/>
                <w:color w:val="000000"/>
                <w:sz w:val="14"/>
                <w:szCs w:val="14"/>
              </w:rPr>
              <w:t>Death associated with resistance</w:t>
            </w:r>
          </w:p>
        </w:tc>
        <w:tc>
          <w:tcPr>
            <w:tcW w:w="29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40AC9007" w14:textId="77777777" w:rsidR="00134E64" w:rsidRPr="00EA648D" w:rsidRDefault="00134E64">
            <w:pPr>
              <w:jc w:val="center"/>
              <w:rPr>
                <w:b/>
                <w:bCs/>
                <w:color w:val="000000"/>
                <w:sz w:val="14"/>
                <w:szCs w:val="14"/>
              </w:rPr>
            </w:pPr>
            <w:r w:rsidRPr="00EA648D">
              <w:rPr>
                <w:b/>
                <w:bCs/>
                <w:color w:val="000000"/>
                <w:sz w:val="14"/>
                <w:szCs w:val="14"/>
              </w:rPr>
              <w:t>Fraction of deaths involving infection that are attributable to resistance</w:t>
            </w:r>
          </w:p>
        </w:tc>
        <w:tc>
          <w:tcPr>
            <w:tcW w:w="5380" w:type="dxa"/>
            <w:gridSpan w:val="2"/>
            <w:tcBorders>
              <w:top w:val="single" w:sz="8" w:space="0" w:color="auto"/>
              <w:left w:val="nil"/>
              <w:bottom w:val="single" w:sz="8" w:space="0" w:color="auto"/>
              <w:right w:val="single" w:sz="8" w:space="0" w:color="000000"/>
            </w:tcBorders>
            <w:shd w:val="clear" w:color="000000" w:fill="F2DCDB"/>
            <w:tcMar>
              <w:top w:w="15" w:type="dxa"/>
              <w:left w:w="15" w:type="dxa"/>
              <w:bottom w:w="0" w:type="dxa"/>
              <w:right w:w="15" w:type="dxa"/>
            </w:tcMar>
            <w:vAlign w:val="center"/>
            <w:hideMark/>
          </w:tcPr>
          <w:p w14:paraId="371E327D" w14:textId="77777777" w:rsidR="00134E64" w:rsidRPr="00EA648D" w:rsidRDefault="00134E64">
            <w:pPr>
              <w:jc w:val="center"/>
              <w:rPr>
                <w:b/>
                <w:bCs/>
                <w:color w:val="000000"/>
                <w:sz w:val="14"/>
                <w:szCs w:val="14"/>
              </w:rPr>
            </w:pPr>
            <w:r w:rsidRPr="00EA648D">
              <w:rPr>
                <w:b/>
                <w:bCs/>
                <w:color w:val="000000"/>
                <w:sz w:val="14"/>
                <w:szCs w:val="14"/>
              </w:rPr>
              <w:t>Death attributable to resistance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3A600" w14:textId="77777777" w:rsidR="00134E64" w:rsidRPr="00EA648D" w:rsidRDefault="00134E64">
            <w:pPr>
              <w:jc w:val="center"/>
              <w:rPr>
                <w:b/>
                <w:bCs/>
                <w:color w:val="000000"/>
                <w:sz w:val="14"/>
                <w:szCs w:val="14"/>
              </w:rPr>
            </w:pPr>
          </w:p>
        </w:tc>
      </w:tr>
      <w:tr w:rsidR="005C6575" w:rsidRPr="00EA648D" w14:paraId="32E8385B" w14:textId="77777777" w:rsidTr="00134E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438690F8" w14:textId="77777777" w:rsidR="00134E64" w:rsidRPr="00EA648D" w:rsidRDefault="00134E64">
            <w:pPr>
              <w:rPr>
                <w:b/>
                <w:bCs/>
                <w:color w:val="000000"/>
                <w:sz w:val="14"/>
                <w:szCs w:val="14"/>
              </w:rPr>
            </w:pPr>
          </w:p>
        </w:tc>
        <w:tc>
          <w:tcPr>
            <w:tcW w:w="340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1C746386" w14:textId="77777777" w:rsidR="00134E64" w:rsidRPr="00EA648D" w:rsidRDefault="00134E64">
            <w:pPr>
              <w:jc w:val="center"/>
              <w:rPr>
                <w:b/>
                <w:bCs/>
                <w:color w:val="000000"/>
                <w:sz w:val="14"/>
                <w:szCs w:val="14"/>
              </w:rPr>
            </w:pPr>
            <w:r w:rsidRPr="00EA648D">
              <w:rPr>
                <w:b/>
                <w:bCs/>
                <w:color w:val="000000"/>
                <w:sz w:val="14"/>
                <w:szCs w:val="14"/>
              </w:rPr>
              <w:t>Counts (95% UI)</w:t>
            </w:r>
          </w:p>
        </w:tc>
        <w:tc>
          <w:tcPr>
            <w:tcW w:w="27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381ABA10" w14:textId="77777777" w:rsidR="00134E64" w:rsidRPr="00EA648D" w:rsidRDefault="00134E64">
            <w:pPr>
              <w:jc w:val="center"/>
              <w:rPr>
                <w:b/>
                <w:bCs/>
                <w:color w:val="000000"/>
                <w:sz w:val="14"/>
                <w:szCs w:val="14"/>
              </w:rPr>
            </w:pPr>
            <w:r w:rsidRPr="00EA648D">
              <w:rPr>
                <w:b/>
                <w:bCs/>
                <w:color w:val="000000"/>
                <w:sz w:val="14"/>
                <w:szCs w:val="14"/>
              </w:rPr>
              <w:t>Age-standardized mortality rate per 100 000 (95% UI)</w:t>
            </w:r>
          </w:p>
        </w:tc>
        <w:tc>
          <w:tcPr>
            <w:tcW w:w="254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7460BBFF" w14:textId="77777777" w:rsidR="00134E64" w:rsidRPr="00EA648D" w:rsidRDefault="00134E64">
            <w:pPr>
              <w:jc w:val="center"/>
              <w:rPr>
                <w:b/>
                <w:bCs/>
                <w:color w:val="000000"/>
                <w:sz w:val="14"/>
                <w:szCs w:val="14"/>
              </w:rPr>
            </w:pPr>
            <w:r w:rsidRPr="00EA648D">
              <w:rPr>
                <w:b/>
                <w:bCs/>
                <w:color w:val="000000"/>
                <w:sz w:val="14"/>
                <w:szCs w:val="14"/>
              </w:rPr>
              <w:t>Percent (95% UI)</w:t>
            </w:r>
          </w:p>
        </w:tc>
        <w:tc>
          <w:tcPr>
            <w:tcW w:w="29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3E190AB7" w14:textId="77777777" w:rsidR="00134E64" w:rsidRPr="00EA648D" w:rsidRDefault="00134E64">
            <w:pPr>
              <w:jc w:val="center"/>
              <w:rPr>
                <w:b/>
                <w:bCs/>
                <w:color w:val="000000"/>
                <w:sz w:val="14"/>
                <w:szCs w:val="14"/>
              </w:rPr>
            </w:pPr>
            <w:r w:rsidRPr="00EA648D">
              <w:rPr>
                <w:b/>
                <w:bCs/>
                <w:color w:val="000000"/>
                <w:sz w:val="14"/>
                <w:szCs w:val="14"/>
              </w:rPr>
              <w:t>Counts (95% UI)</w:t>
            </w:r>
          </w:p>
        </w:tc>
        <w:tc>
          <w:tcPr>
            <w:tcW w:w="266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61BCE9AB" w14:textId="77777777" w:rsidR="00134E64" w:rsidRPr="00EA648D" w:rsidRDefault="00134E64">
            <w:pPr>
              <w:jc w:val="center"/>
              <w:rPr>
                <w:b/>
                <w:bCs/>
                <w:color w:val="000000"/>
                <w:sz w:val="14"/>
                <w:szCs w:val="14"/>
              </w:rPr>
            </w:pPr>
            <w:r w:rsidRPr="00EA648D">
              <w:rPr>
                <w:b/>
                <w:bCs/>
                <w:color w:val="000000"/>
                <w:sz w:val="14"/>
                <w:szCs w:val="14"/>
              </w:rPr>
              <w:t>Age-standardized mortality rate per 100 000 (95% UI)</w:t>
            </w:r>
          </w:p>
        </w:tc>
        <w:tc>
          <w:tcPr>
            <w:tcW w:w="29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275D2123" w14:textId="77777777" w:rsidR="00134E64" w:rsidRPr="00EA648D" w:rsidRDefault="00134E64">
            <w:pPr>
              <w:jc w:val="center"/>
              <w:rPr>
                <w:b/>
                <w:bCs/>
                <w:color w:val="000000"/>
                <w:sz w:val="14"/>
                <w:szCs w:val="14"/>
              </w:rPr>
            </w:pPr>
            <w:r w:rsidRPr="00EA648D">
              <w:rPr>
                <w:b/>
                <w:bCs/>
                <w:color w:val="000000"/>
                <w:sz w:val="14"/>
                <w:szCs w:val="14"/>
              </w:rPr>
              <w:t>Percent (95% UI)</w:t>
            </w:r>
          </w:p>
        </w:tc>
        <w:tc>
          <w:tcPr>
            <w:tcW w:w="274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3ACCF14A" w14:textId="77777777" w:rsidR="00134E64" w:rsidRPr="00EA648D" w:rsidRDefault="00134E64">
            <w:pPr>
              <w:jc w:val="center"/>
              <w:rPr>
                <w:b/>
                <w:bCs/>
                <w:color w:val="000000"/>
                <w:sz w:val="14"/>
                <w:szCs w:val="14"/>
              </w:rPr>
            </w:pPr>
            <w:r w:rsidRPr="00EA648D">
              <w:rPr>
                <w:b/>
                <w:bCs/>
                <w:color w:val="000000"/>
                <w:sz w:val="14"/>
                <w:szCs w:val="14"/>
              </w:rPr>
              <w:t>Counts (95% UI)</w:t>
            </w:r>
          </w:p>
        </w:tc>
        <w:tc>
          <w:tcPr>
            <w:tcW w:w="27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635178DA" w14:textId="77777777" w:rsidR="00134E64" w:rsidRPr="00EA648D" w:rsidRDefault="00134E64">
            <w:pPr>
              <w:jc w:val="center"/>
              <w:rPr>
                <w:b/>
                <w:bCs/>
                <w:color w:val="000000"/>
                <w:sz w:val="14"/>
                <w:szCs w:val="14"/>
              </w:rPr>
            </w:pPr>
            <w:r w:rsidRPr="00EA648D">
              <w:rPr>
                <w:b/>
                <w:bCs/>
                <w:color w:val="000000"/>
                <w:sz w:val="14"/>
                <w:szCs w:val="14"/>
              </w:rPr>
              <w:t>Age-standardized mortality rate per 100 000 (95% UI)</w:t>
            </w:r>
          </w:p>
        </w:tc>
        <w:tc>
          <w:tcPr>
            <w:tcW w:w="29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47961C49" w14:textId="77777777" w:rsidR="00134E64" w:rsidRPr="00EA648D" w:rsidRDefault="00134E64">
            <w:pPr>
              <w:jc w:val="center"/>
              <w:rPr>
                <w:b/>
                <w:bCs/>
                <w:color w:val="000000"/>
                <w:sz w:val="14"/>
                <w:szCs w:val="14"/>
              </w:rPr>
            </w:pPr>
            <w:r w:rsidRPr="00EA648D">
              <w:rPr>
                <w:b/>
                <w:bCs/>
                <w:color w:val="000000"/>
                <w:sz w:val="14"/>
                <w:szCs w:val="14"/>
              </w:rPr>
              <w:t>Percent (95% UI)</w:t>
            </w:r>
          </w:p>
        </w:tc>
        <w:tc>
          <w:tcPr>
            <w:tcW w:w="266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64C7F53C" w14:textId="77777777" w:rsidR="00134E64" w:rsidRPr="00EA648D" w:rsidRDefault="00134E64">
            <w:pPr>
              <w:jc w:val="center"/>
              <w:rPr>
                <w:b/>
                <w:bCs/>
                <w:color w:val="000000"/>
                <w:sz w:val="14"/>
                <w:szCs w:val="14"/>
              </w:rPr>
            </w:pPr>
            <w:r w:rsidRPr="00EA648D">
              <w:rPr>
                <w:b/>
                <w:bCs/>
                <w:color w:val="000000"/>
                <w:sz w:val="14"/>
                <w:szCs w:val="14"/>
              </w:rPr>
              <w:t>Counts (95% UI)</w:t>
            </w:r>
          </w:p>
        </w:tc>
        <w:tc>
          <w:tcPr>
            <w:tcW w:w="2720" w:type="dxa"/>
            <w:tcBorders>
              <w:top w:val="nil"/>
              <w:left w:val="nil"/>
              <w:bottom w:val="single" w:sz="8" w:space="0" w:color="auto"/>
              <w:right w:val="single" w:sz="8" w:space="0" w:color="auto"/>
            </w:tcBorders>
            <w:shd w:val="clear" w:color="000000" w:fill="F2DCDB"/>
            <w:tcMar>
              <w:top w:w="15" w:type="dxa"/>
              <w:left w:w="15" w:type="dxa"/>
              <w:bottom w:w="0" w:type="dxa"/>
              <w:right w:w="15" w:type="dxa"/>
            </w:tcMar>
            <w:vAlign w:val="center"/>
            <w:hideMark/>
          </w:tcPr>
          <w:p w14:paraId="6617DB08" w14:textId="77777777" w:rsidR="00134E64" w:rsidRPr="00EA648D" w:rsidRDefault="00134E64">
            <w:pPr>
              <w:jc w:val="center"/>
              <w:rPr>
                <w:b/>
                <w:bCs/>
                <w:color w:val="000000"/>
                <w:sz w:val="14"/>
                <w:szCs w:val="14"/>
              </w:rPr>
            </w:pPr>
            <w:r w:rsidRPr="00EA648D">
              <w:rPr>
                <w:b/>
                <w:bCs/>
                <w:color w:val="000000"/>
                <w:sz w:val="14"/>
                <w:szCs w:val="14"/>
              </w:rPr>
              <w:t>Age-standardized mortality rate per 100 000 (95% UI)</w:t>
            </w:r>
          </w:p>
        </w:tc>
        <w:tc>
          <w:tcPr>
            <w:tcW w:w="960" w:type="dxa"/>
            <w:tcBorders>
              <w:top w:val="nil"/>
              <w:left w:val="nil"/>
              <w:bottom w:val="nil"/>
              <w:right w:val="nil"/>
            </w:tcBorders>
            <w:shd w:val="clear" w:color="auto" w:fill="auto"/>
            <w:tcMar>
              <w:top w:w="15" w:type="dxa"/>
              <w:left w:w="15" w:type="dxa"/>
              <w:bottom w:w="0" w:type="dxa"/>
              <w:right w:w="15" w:type="dxa"/>
            </w:tcMar>
            <w:vAlign w:val="center"/>
            <w:hideMark/>
          </w:tcPr>
          <w:p w14:paraId="3C3AB2C0" w14:textId="77777777" w:rsidR="00134E64" w:rsidRPr="00EA648D" w:rsidRDefault="00134E64">
            <w:pPr>
              <w:jc w:val="center"/>
              <w:rPr>
                <w:b/>
                <w:bCs/>
                <w:color w:val="000000"/>
                <w:sz w:val="14"/>
                <w:szCs w:val="14"/>
              </w:rPr>
            </w:pPr>
            <w:r w:rsidRPr="00EA648D">
              <w:rPr>
                <w:b/>
                <w:bCs/>
                <w:color w:val="000000"/>
                <w:sz w:val="14"/>
                <w:szCs w:val="14"/>
              </w:rPr>
              <w:t> </w:t>
            </w:r>
          </w:p>
        </w:tc>
      </w:tr>
      <w:tr w:rsidR="00FF67C1" w:rsidRPr="00EA648D" w14:paraId="1E6CA9EA"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11C6D547" w14:textId="77777777" w:rsidR="00134E64" w:rsidRPr="00EA648D" w:rsidRDefault="00134E64">
            <w:pPr>
              <w:rPr>
                <w:color w:val="000000"/>
                <w:sz w:val="14"/>
                <w:szCs w:val="14"/>
              </w:rPr>
            </w:pPr>
            <w:r w:rsidRPr="00EA648D">
              <w:rPr>
                <w:color w:val="000000"/>
                <w:sz w:val="14"/>
                <w:szCs w:val="14"/>
              </w:rPr>
              <w:t>Antigua and Barbuda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3F0AC95" w14:textId="77777777" w:rsidR="00134E64" w:rsidRPr="00EA648D" w:rsidRDefault="00134E64">
            <w:pPr>
              <w:jc w:val="right"/>
              <w:rPr>
                <w:color w:val="000000"/>
                <w:sz w:val="14"/>
                <w:szCs w:val="14"/>
              </w:rPr>
            </w:pPr>
            <w:r w:rsidRPr="00EA648D">
              <w:rPr>
                <w:color w:val="000000"/>
                <w:sz w:val="14"/>
                <w:szCs w:val="14"/>
              </w:rPr>
              <w:t xml:space="preserve"> 610 (542 - 685)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31994EB" w14:textId="77777777" w:rsidR="00134E64" w:rsidRPr="00EA648D" w:rsidRDefault="00134E64">
            <w:pPr>
              <w:jc w:val="right"/>
              <w:rPr>
                <w:color w:val="000000"/>
                <w:sz w:val="14"/>
                <w:szCs w:val="14"/>
              </w:rPr>
            </w:pPr>
            <w:r w:rsidRPr="00EA648D">
              <w:rPr>
                <w:color w:val="000000"/>
                <w:sz w:val="14"/>
                <w:szCs w:val="14"/>
              </w:rPr>
              <w:t>682.6 (609.9 - 763.1)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772A51B" w14:textId="77777777" w:rsidR="00134E64" w:rsidRPr="00EA648D" w:rsidRDefault="00134E64">
            <w:pPr>
              <w:jc w:val="right"/>
              <w:rPr>
                <w:color w:val="000000"/>
                <w:sz w:val="14"/>
                <w:szCs w:val="14"/>
              </w:rPr>
            </w:pPr>
            <w:r w:rsidRPr="00EA648D">
              <w:rPr>
                <w:color w:val="000000"/>
                <w:sz w:val="14"/>
                <w:szCs w:val="14"/>
              </w:rPr>
              <w:t xml:space="preserve"> 19.4% (14.6% - 25.7%)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434DD50" w14:textId="77777777" w:rsidR="00134E64" w:rsidRPr="00EA648D" w:rsidRDefault="00134E64">
            <w:pPr>
              <w:jc w:val="right"/>
              <w:rPr>
                <w:color w:val="000000"/>
                <w:sz w:val="14"/>
                <w:szCs w:val="14"/>
              </w:rPr>
            </w:pPr>
            <w:r w:rsidRPr="00EA648D">
              <w:rPr>
                <w:color w:val="000000"/>
                <w:sz w:val="14"/>
                <w:szCs w:val="14"/>
              </w:rPr>
              <w:t>118 (86 - 158)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B1B4477" w14:textId="77777777" w:rsidR="00134E64" w:rsidRPr="00EA648D" w:rsidRDefault="00134E64">
            <w:pPr>
              <w:jc w:val="right"/>
              <w:rPr>
                <w:color w:val="000000"/>
                <w:sz w:val="14"/>
                <w:szCs w:val="14"/>
              </w:rPr>
            </w:pPr>
            <w:r w:rsidRPr="00EA648D">
              <w:rPr>
                <w:color w:val="000000"/>
                <w:sz w:val="14"/>
                <w:szCs w:val="14"/>
              </w:rPr>
              <w:t>135.4 (99.5 - 180.2)</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01E737B" w14:textId="77777777" w:rsidR="00134E64" w:rsidRPr="00EA648D" w:rsidRDefault="00134E64">
            <w:pPr>
              <w:jc w:val="right"/>
              <w:rPr>
                <w:color w:val="000000"/>
                <w:sz w:val="14"/>
                <w:szCs w:val="14"/>
              </w:rPr>
            </w:pPr>
            <w:r w:rsidRPr="00EA648D">
              <w:rPr>
                <w:color w:val="000000"/>
                <w:sz w:val="14"/>
                <w:szCs w:val="14"/>
              </w:rPr>
              <w:t xml:space="preserve"> 41.3% (38.2% - 44.2%)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B40FEE3" w14:textId="77777777" w:rsidR="00134E64" w:rsidRPr="00EA648D" w:rsidRDefault="00134E64">
            <w:pPr>
              <w:jc w:val="right"/>
              <w:rPr>
                <w:color w:val="000000"/>
                <w:sz w:val="14"/>
                <w:szCs w:val="14"/>
              </w:rPr>
            </w:pPr>
            <w:r w:rsidRPr="00EA648D">
              <w:rPr>
                <w:color w:val="000000"/>
                <w:sz w:val="14"/>
                <w:szCs w:val="14"/>
              </w:rPr>
              <w:t>49 (33 - 68)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77F3610" w14:textId="77777777" w:rsidR="00134E64" w:rsidRPr="00EA648D" w:rsidRDefault="00134E64">
            <w:pPr>
              <w:jc w:val="right"/>
              <w:rPr>
                <w:color w:val="000000"/>
                <w:sz w:val="14"/>
                <w:szCs w:val="14"/>
              </w:rPr>
            </w:pPr>
            <w:r w:rsidRPr="00EA648D">
              <w:rPr>
                <w:color w:val="000000"/>
                <w:sz w:val="14"/>
                <w:szCs w:val="14"/>
              </w:rPr>
              <w:t xml:space="preserve"> 55.6 (37.9 - 77.1)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649D75C" w14:textId="77777777" w:rsidR="00134E64" w:rsidRPr="00EA648D" w:rsidRDefault="00134E64">
            <w:pPr>
              <w:jc w:val="right"/>
              <w:rPr>
                <w:color w:val="000000"/>
                <w:sz w:val="14"/>
                <w:szCs w:val="14"/>
              </w:rPr>
            </w:pPr>
            <w:r w:rsidRPr="00EA648D">
              <w:rPr>
                <w:color w:val="000000"/>
                <w:sz w:val="14"/>
                <w:szCs w:val="14"/>
              </w:rPr>
              <w:t>10.5% (9.2% - 12.0%)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9D7AC33" w14:textId="77777777" w:rsidR="00134E64" w:rsidRPr="00EA648D" w:rsidRDefault="00134E64">
            <w:pPr>
              <w:jc w:val="right"/>
              <w:rPr>
                <w:color w:val="000000"/>
                <w:sz w:val="14"/>
                <w:szCs w:val="14"/>
              </w:rPr>
            </w:pPr>
            <w:r w:rsidRPr="00EA648D">
              <w:rPr>
                <w:color w:val="000000"/>
                <w:sz w:val="14"/>
                <w:szCs w:val="14"/>
              </w:rPr>
              <w:t>12 (8 - 18)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1F6212D" w14:textId="77777777" w:rsidR="00134E64" w:rsidRPr="00EA648D" w:rsidRDefault="00134E64">
            <w:pPr>
              <w:jc w:val="right"/>
              <w:rPr>
                <w:color w:val="000000"/>
                <w:sz w:val="14"/>
                <w:szCs w:val="14"/>
              </w:rPr>
            </w:pPr>
            <w:r w:rsidRPr="00EA648D">
              <w:rPr>
                <w:color w:val="000000"/>
                <w:sz w:val="14"/>
                <w:szCs w:val="14"/>
              </w:rPr>
              <w:t xml:space="preserve"> 14.2 (9.5 - 20.2)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63B6E8" w14:textId="77777777" w:rsidR="00134E64" w:rsidRPr="00EA648D" w:rsidRDefault="00134E64">
            <w:pPr>
              <w:jc w:val="right"/>
              <w:rPr>
                <w:color w:val="000000"/>
                <w:sz w:val="14"/>
                <w:szCs w:val="14"/>
              </w:rPr>
            </w:pPr>
          </w:p>
        </w:tc>
      </w:tr>
      <w:tr w:rsidR="005C6575" w:rsidRPr="00EA648D" w14:paraId="06749760"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49BF425C" w14:textId="77777777" w:rsidR="00134E64" w:rsidRPr="00EA648D" w:rsidRDefault="00134E64">
            <w:pPr>
              <w:rPr>
                <w:color w:val="000000"/>
                <w:sz w:val="14"/>
                <w:szCs w:val="14"/>
              </w:rPr>
            </w:pPr>
            <w:r w:rsidRPr="00EA648D">
              <w:rPr>
                <w:color w:val="000000"/>
                <w:sz w:val="14"/>
                <w:szCs w:val="14"/>
              </w:rPr>
              <w:t>Argentina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961A0C8" w14:textId="77777777" w:rsidR="00134E64" w:rsidRPr="00EA648D" w:rsidRDefault="00134E64">
            <w:pPr>
              <w:jc w:val="right"/>
              <w:rPr>
                <w:color w:val="000000"/>
                <w:sz w:val="14"/>
                <w:szCs w:val="14"/>
              </w:rPr>
            </w:pPr>
            <w:r w:rsidRPr="00EA648D">
              <w:rPr>
                <w:color w:val="000000"/>
                <w:sz w:val="14"/>
                <w:szCs w:val="14"/>
              </w:rPr>
              <w:t>349,000 (342,000 - 356,000)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161FEEF" w14:textId="77777777" w:rsidR="00134E64" w:rsidRPr="00EA648D" w:rsidRDefault="00134E64">
            <w:pPr>
              <w:jc w:val="right"/>
              <w:rPr>
                <w:color w:val="000000"/>
                <w:sz w:val="14"/>
                <w:szCs w:val="14"/>
              </w:rPr>
            </w:pPr>
            <w:r w:rsidRPr="00EA648D">
              <w:rPr>
                <w:color w:val="000000"/>
                <w:sz w:val="14"/>
                <w:szCs w:val="14"/>
              </w:rPr>
              <w:t>649.3 (635.3 - 664.8)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77DEE57" w14:textId="77777777" w:rsidR="00134E64" w:rsidRPr="00EA648D" w:rsidRDefault="00134E64">
            <w:pPr>
              <w:jc w:val="right"/>
              <w:rPr>
                <w:color w:val="000000"/>
                <w:sz w:val="14"/>
                <w:szCs w:val="14"/>
              </w:rPr>
            </w:pPr>
            <w:r w:rsidRPr="00EA648D">
              <w:rPr>
                <w:color w:val="000000"/>
                <w:sz w:val="14"/>
                <w:szCs w:val="14"/>
              </w:rPr>
              <w:t>24.4% (19.8% - 30.0%)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52D5F70" w14:textId="77777777" w:rsidR="00134E64" w:rsidRPr="00EA648D" w:rsidRDefault="00134E64">
            <w:pPr>
              <w:jc w:val="right"/>
              <w:rPr>
                <w:color w:val="000000"/>
                <w:sz w:val="14"/>
                <w:szCs w:val="14"/>
              </w:rPr>
            </w:pPr>
            <w:r w:rsidRPr="00EA648D">
              <w:rPr>
                <w:color w:val="000000"/>
                <w:sz w:val="14"/>
                <w:szCs w:val="14"/>
              </w:rPr>
              <w:t>84,900 (69,000 - 105,000)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8B331BE" w14:textId="77777777" w:rsidR="00134E64" w:rsidRPr="00EA648D" w:rsidRDefault="00134E64">
            <w:pPr>
              <w:jc w:val="right"/>
              <w:rPr>
                <w:color w:val="000000"/>
                <w:sz w:val="14"/>
                <w:szCs w:val="14"/>
              </w:rPr>
            </w:pPr>
            <w:r w:rsidRPr="00EA648D">
              <w:rPr>
                <w:color w:val="000000"/>
                <w:sz w:val="14"/>
                <w:szCs w:val="14"/>
              </w:rPr>
              <w:t>157.6 (127.5 - 195.1)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D8808A3" w14:textId="77777777" w:rsidR="00134E64" w:rsidRPr="00EA648D" w:rsidRDefault="00134E64">
            <w:pPr>
              <w:jc w:val="right"/>
              <w:rPr>
                <w:color w:val="000000"/>
                <w:sz w:val="14"/>
                <w:szCs w:val="14"/>
              </w:rPr>
            </w:pPr>
            <w:r w:rsidRPr="00EA648D">
              <w:rPr>
                <w:color w:val="000000"/>
                <w:sz w:val="14"/>
                <w:szCs w:val="14"/>
              </w:rPr>
              <w:t>41.5% (39.5% - 43.5%)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6C01B0C" w14:textId="77777777" w:rsidR="00134E64" w:rsidRPr="00EA648D" w:rsidRDefault="00134E64">
            <w:pPr>
              <w:jc w:val="right"/>
              <w:rPr>
                <w:color w:val="000000"/>
                <w:sz w:val="14"/>
                <w:szCs w:val="14"/>
              </w:rPr>
            </w:pPr>
            <w:r w:rsidRPr="00EA648D">
              <w:rPr>
                <w:color w:val="000000"/>
                <w:sz w:val="14"/>
                <w:szCs w:val="14"/>
              </w:rPr>
              <w:t>35,300 (27,400 - 44,700)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2DA804A" w14:textId="77777777" w:rsidR="00134E64" w:rsidRPr="00EA648D" w:rsidRDefault="00134E64">
            <w:pPr>
              <w:jc w:val="right"/>
              <w:rPr>
                <w:color w:val="000000"/>
                <w:sz w:val="14"/>
                <w:szCs w:val="14"/>
              </w:rPr>
            </w:pPr>
            <w:r w:rsidRPr="00EA648D">
              <w:rPr>
                <w:color w:val="000000"/>
                <w:sz w:val="14"/>
                <w:szCs w:val="14"/>
              </w:rPr>
              <w:t>65.1 (50.4 - 82.6)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78640F" w14:textId="77777777" w:rsidR="00134E64" w:rsidRPr="00EA648D" w:rsidRDefault="00134E64">
            <w:pPr>
              <w:jc w:val="right"/>
              <w:rPr>
                <w:color w:val="000000"/>
                <w:sz w:val="14"/>
                <w:szCs w:val="14"/>
              </w:rPr>
            </w:pPr>
            <w:r w:rsidRPr="00EA648D">
              <w:rPr>
                <w:color w:val="000000"/>
                <w:sz w:val="14"/>
                <w:szCs w:val="14"/>
              </w:rPr>
              <w:t>10.6% (9.2% - 12.1%)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CA370BD" w14:textId="77777777" w:rsidR="00134E64" w:rsidRPr="00EA648D" w:rsidRDefault="00134E64">
            <w:pPr>
              <w:jc w:val="right"/>
              <w:rPr>
                <w:color w:val="000000"/>
                <w:sz w:val="14"/>
                <w:szCs w:val="14"/>
              </w:rPr>
            </w:pPr>
            <w:r w:rsidRPr="00EA648D">
              <w:rPr>
                <w:color w:val="000000"/>
                <w:sz w:val="14"/>
                <w:szCs w:val="14"/>
              </w:rPr>
              <w:t>8,980 (6,780 - 11,800)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528BB9C" w14:textId="77777777" w:rsidR="00134E64" w:rsidRPr="00EA648D" w:rsidRDefault="00134E64">
            <w:pPr>
              <w:jc w:val="right"/>
              <w:rPr>
                <w:color w:val="000000"/>
                <w:sz w:val="14"/>
                <w:szCs w:val="14"/>
              </w:rPr>
            </w:pPr>
            <w:r w:rsidRPr="00EA648D">
              <w:rPr>
                <w:color w:val="000000"/>
                <w:sz w:val="14"/>
                <w:szCs w:val="14"/>
              </w:rPr>
              <w:t>16.6 (12.5 - 21.8)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B204F2" w14:textId="77777777" w:rsidR="00134E64" w:rsidRPr="00EA648D" w:rsidRDefault="00134E64">
            <w:pPr>
              <w:jc w:val="right"/>
              <w:rPr>
                <w:color w:val="000000"/>
                <w:sz w:val="14"/>
                <w:szCs w:val="14"/>
              </w:rPr>
            </w:pPr>
          </w:p>
        </w:tc>
      </w:tr>
      <w:tr w:rsidR="00FF67C1" w:rsidRPr="00EA648D" w14:paraId="1B036C28"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41E00116" w14:textId="77777777" w:rsidR="00134E64" w:rsidRPr="00EA648D" w:rsidRDefault="00134E64">
            <w:pPr>
              <w:rPr>
                <w:color w:val="000000"/>
                <w:sz w:val="14"/>
                <w:szCs w:val="14"/>
              </w:rPr>
            </w:pPr>
            <w:r w:rsidRPr="00EA648D">
              <w:rPr>
                <w:color w:val="000000"/>
                <w:sz w:val="14"/>
                <w:szCs w:val="14"/>
              </w:rPr>
              <w:t>Barbados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9968035" w14:textId="77777777" w:rsidR="00134E64" w:rsidRPr="00EA648D" w:rsidRDefault="00134E64">
            <w:pPr>
              <w:jc w:val="right"/>
              <w:rPr>
                <w:color w:val="000000"/>
                <w:sz w:val="14"/>
                <w:szCs w:val="14"/>
              </w:rPr>
            </w:pPr>
            <w:r w:rsidRPr="00EA648D">
              <w:rPr>
                <w:color w:val="000000"/>
                <w:sz w:val="14"/>
                <w:szCs w:val="14"/>
              </w:rPr>
              <w:t xml:space="preserve"> 3,090 (2,660 - 3,540)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DC15B94" w14:textId="77777777" w:rsidR="00134E64" w:rsidRPr="00EA648D" w:rsidRDefault="00134E64">
            <w:pPr>
              <w:jc w:val="right"/>
              <w:rPr>
                <w:color w:val="000000"/>
                <w:sz w:val="14"/>
                <w:szCs w:val="14"/>
              </w:rPr>
            </w:pPr>
            <w:r w:rsidRPr="00EA648D">
              <w:rPr>
                <w:color w:val="000000"/>
                <w:sz w:val="14"/>
                <w:szCs w:val="14"/>
              </w:rPr>
              <w:t>670.5 (574.1 - 773.8)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DE30CF0" w14:textId="77777777" w:rsidR="00134E64" w:rsidRPr="00EA648D" w:rsidRDefault="00134E64">
            <w:pPr>
              <w:jc w:val="right"/>
              <w:rPr>
                <w:color w:val="000000"/>
                <w:sz w:val="14"/>
                <w:szCs w:val="14"/>
              </w:rPr>
            </w:pPr>
            <w:r w:rsidRPr="00EA648D">
              <w:rPr>
                <w:color w:val="000000"/>
                <w:sz w:val="14"/>
                <w:szCs w:val="14"/>
              </w:rPr>
              <w:t xml:space="preserve"> 22.1% (17.4% - 28.0%)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A743AAA" w14:textId="77777777" w:rsidR="00134E64" w:rsidRPr="00EA648D" w:rsidRDefault="00134E64">
            <w:pPr>
              <w:jc w:val="right"/>
              <w:rPr>
                <w:color w:val="000000"/>
                <w:sz w:val="14"/>
                <w:szCs w:val="14"/>
              </w:rPr>
            </w:pPr>
            <w:r w:rsidRPr="00EA648D">
              <w:rPr>
                <w:color w:val="000000"/>
                <w:sz w:val="14"/>
                <w:szCs w:val="14"/>
              </w:rPr>
              <w:t>684 (514 - 899)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7FB5FC1" w14:textId="77777777" w:rsidR="00134E64" w:rsidRPr="00EA648D" w:rsidRDefault="00134E64">
            <w:pPr>
              <w:jc w:val="right"/>
              <w:rPr>
                <w:color w:val="000000"/>
                <w:sz w:val="14"/>
                <w:szCs w:val="14"/>
              </w:rPr>
            </w:pPr>
            <w:r w:rsidRPr="00EA648D">
              <w:rPr>
                <w:color w:val="000000"/>
                <w:sz w:val="14"/>
                <w:szCs w:val="14"/>
              </w:rPr>
              <w:t>151.3 (112.7 - 200.3)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1953A58" w14:textId="77777777" w:rsidR="00134E64" w:rsidRPr="00EA648D" w:rsidRDefault="00134E64">
            <w:pPr>
              <w:jc w:val="right"/>
              <w:rPr>
                <w:color w:val="000000"/>
                <w:sz w:val="14"/>
                <w:szCs w:val="14"/>
              </w:rPr>
            </w:pPr>
            <w:r w:rsidRPr="00EA648D">
              <w:rPr>
                <w:color w:val="000000"/>
                <w:sz w:val="14"/>
                <w:szCs w:val="14"/>
              </w:rPr>
              <w:t xml:space="preserve"> 45.6% (42.8% - 48.2%)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4EC0387" w14:textId="77777777" w:rsidR="00134E64" w:rsidRPr="00EA648D" w:rsidRDefault="00134E64">
            <w:pPr>
              <w:jc w:val="right"/>
              <w:rPr>
                <w:color w:val="000000"/>
                <w:sz w:val="14"/>
                <w:szCs w:val="14"/>
              </w:rPr>
            </w:pPr>
            <w:r w:rsidRPr="00EA648D">
              <w:rPr>
                <w:color w:val="000000"/>
                <w:sz w:val="14"/>
                <w:szCs w:val="14"/>
              </w:rPr>
              <w:t>312 (226 - 419)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D504FC6" w14:textId="77777777" w:rsidR="00134E64" w:rsidRPr="00EA648D" w:rsidRDefault="00134E64">
            <w:pPr>
              <w:jc w:val="right"/>
              <w:rPr>
                <w:color w:val="000000"/>
                <w:sz w:val="14"/>
                <w:szCs w:val="14"/>
              </w:rPr>
            </w:pPr>
            <w:r w:rsidRPr="00EA648D">
              <w:rPr>
                <w:color w:val="000000"/>
                <w:sz w:val="14"/>
                <w:szCs w:val="14"/>
              </w:rPr>
              <w:t xml:space="preserve"> 67.6 (48.6 - 91.2)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D1130FA" w14:textId="77777777" w:rsidR="00134E64" w:rsidRPr="00EA648D" w:rsidRDefault="00134E64">
            <w:pPr>
              <w:jc w:val="right"/>
              <w:rPr>
                <w:color w:val="000000"/>
                <w:sz w:val="14"/>
                <w:szCs w:val="14"/>
              </w:rPr>
            </w:pPr>
            <w:r w:rsidRPr="00EA648D">
              <w:rPr>
                <w:color w:val="000000"/>
                <w:sz w:val="14"/>
                <w:szCs w:val="14"/>
              </w:rPr>
              <w:t>11.5% (9.8% - 13.3%)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790BCB1" w14:textId="77777777" w:rsidR="00134E64" w:rsidRPr="00EA648D" w:rsidRDefault="00134E64">
            <w:pPr>
              <w:jc w:val="right"/>
              <w:rPr>
                <w:color w:val="000000"/>
                <w:sz w:val="14"/>
                <w:szCs w:val="14"/>
              </w:rPr>
            </w:pPr>
            <w:r w:rsidRPr="00EA648D">
              <w:rPr>
                <w:color w:val="000000"/>
                <w:sz w:val="14"/>
                <w:szCs w:val="14"/>
              </w:rPr>
              <w:t>79 (55 - 109)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6A38BEB" w14:textId="77777777" w:rsidR="00134E64" w:rsidRPr="00EA648D" w:rsidRDefault="00134E64">
            <w:pPr>
              <w:jc w:val="right"/>
              <w:rPr>
                <w:color w:val="000000"/>
                <w:sz w:val="14"/>
                <w:szCs w:val="14"/>
              </w:rPr>
            </w:pPr>
            <w:r w:rsidRPr="00EA648D">
              <w:rPr>
                <w:color w:val="000000"/>
                <w:sz w:val="14"/>
                <w:szCs w:val="14"/>
              </w:rPr>
              <w:t xml:space="preserve"> 17.0 (11.9 - 23.7)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3BAA5C" w14:textId="77777777" w:rsidR="00134E64" w:rsidRPr="00EA648D" w:rsidRDefault="00134E64">
            <w:pPr>
              <w:jc w:val="right"/>
              <w:rPr>
                <w:color w:val="000000"/>
                <w:sz w:val="14"/>
                <w:szCs w:val="14"/>
              </w:rPr>
            </w:pPr>
          </w:p>
        </w:tc>
      </w:tr>
      <w:tr w:rsidR="005C6575" w:rsidRPr="00EA648D" w14:paraId="6C897871"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6D59011C" w14:textId="77777777" w:rsidR="00134E64" w:rsidRPr="00EA648D" w:rsidRDefault="00134E64">
            <w:pPr>
              <w:rPr>
                <w:color w:val="000000"/>
                <w:sz w:val="14"/>
                <w:szCs w:val="14"/>
              </w:rPr>
            </w:pPr>
            <w:r w:rsidRPr="00EA648D">
              <w:rPr>
                <w:color w:val="000000"/>
                <w:sz w:val="14"/>
                <w:szCs w:val="14"/>
              </w:rPr>
              <w:t>Belize</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A8C936D" w14:textId="77777777" w:rsidR="00134E64" w:rsidRPr="00EA648D" w:rsidRDefault="00134E64">
            <w:pPr>
              <w:jc w:val="right"/>
              <w:rPr>
                <w:color w:val="000000"/>
                <w:sz w:val="14"/>
                <w:szCs w:val="14"/>
              </w:rPr>
            </w:pPr>
            <w:r w:rsidRPr="00EA648D">
              <w:rPr>
                <w:color w:val="000000"/>
                <w:sz w:val="14"/>
                <w:szCs w:val="14"/>
              </w:rPr>
              <w:t>1,990 (1,780 - 2,230)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E0060A3" w14:textId="77777777" w:rsidR="00134E64" w:rsidRPr="00EA648D" w:rsidRDefault="00134E64">
            <w:pPr>
              <w:jc w:val="right"/>
              <w:rPr>
                <w:color w:val="000000"/>
                <w:sz w:val="14"/>
                <w:szCs w:val="14"/>
              </w:rPr>
            </w:pPr>
            <w:r w:rsidRPr="00EA648D">
              <w:rPr>
                <w:color w:val="000000"/>
                <w:sz w:val="14"/>
                <w:szCs w:val="14"/>
              </w:rPr>
              <w:t>695.3 (622.8 - 776.4)</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F883536" w14:textId="77777777" w:rsidR="00134E64" w:rsidRPr="00EA648D" w:rsidRDefault="00134E64">
            <w:pPr>
              <w:jc w:val="right"/>
              <w:rPr>
                <w:color w:val="000000"/>
                <w:sz w:val="14"/>
                <w:szCs w:val="14"/>
              </w:rPr>
            </w:pPr>
            <w:r w:rsidRPr="00EA648D">
              <w:rPr>
                <w:color w:val="000000"/>
                <w:sz w:val="14"/>
                <w:szCs w:val="14"/>
              </w:rPr>
              <w:t>23.1% (17.7% - 29.6%)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76E5D51" w14:textId="77777777" w:rsidR="00134E64" w:rsidRPr="00EA648D" w:rsidRDefault="00134E64">
            <w:pPr>
              <w:jc w:val="right"/>
              <w:rPr>
                <w:color w:val="000000"/>
                <w:sz w:val="14"/>
                <w:szCs w:val="14"/>
              </w:rPr>
            </w:pPr>
            <w:r w:rsidRPr="00EA648D">
              <w:rPr>
                <w:color w:val="000000"/>
                <w:sz w:val="14"/>
                <w:szCs w:val="14"/>
              </w:rPr>
              <w:t>460 (344 - 599)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FFEBA47" w14:textId="77777777" w:rsidR="00134E64" w:rsidRPr="00EA648D" w:rsidRDefault="00134E64">
            <w:pPr>
              <w:jc w:val="right"/>
              <w:rPr>
                <w:color w:val="000000"/>
                <w:sz w:val="14"/>
                <w:szCs w:val="14"/>
              </w:rPr>
            </w:pPr>
            <w:r w:rsidRPr="00EA648D">
              <w:rPr>
                <w:color w:val="000000"/>
                <w:sz w:val="14"/>
                <w:szCs w:val="14"/>
              </w:rPr>
              <w:t>160.7 (121.3 - 209.2)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A3D0510" w14:textId="77777777" w:rsidR="00134E64" w:rsidRPr="00EA648D" w:rsidRDefault="00134E64">
            <w:pPr>
              <w:jc w:val="right"/>
              <w:rPr>
                <w:color w:val="000000"/>
                <w:sz w:val="14"/>
                <w:szCs w:val="14"/>
              </w:rPr>
            </w:pPr>
            <w:r w:rsidRPr="00EA648D">
              <w:rPr>
                <w:color w:val="000000"/>
                <w:sz w:val="14"/>
                <w:szCs w:val="14"/>
              </w:rPr>
              <w:t>34.1% (31.2% - 36.9%)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1F83DC3" w14:textId="77777777" w:rsidR="00134E64" w:rsidRPr="00EA648D" w:rsidRDefault="00134E64">
            <w:pPr>
              <w:jc w:val="right"/>
              <w:rPr>
                <w:color w:val="000000"/>
                <w:sz w:val="14"/>
                <w:szCs w:val="14"/>
              </w:rPr>
            </w:pPr>
            <w:r w:rsidRPr="00EA648D">
              <w:rPr>
                <w:color w:val="000000"/>
                <w:sz w:val="14"/>
                <w:szCs w:val="14"/>
              </w:rPr>
              <w:t>158 (108 - 220)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B661A8F" w14:textId="77777777" w:rsidR="00134E64" w:rsidRPr="00EA648D" w:rsidRDefault="00134E64">
            <w:pPr>
              <w:jc w:val="right"/>
              <w:rPr>
                <w:color w:val="000000"/>
                <w:sz w:val="14"/>
                <w:szCs w:val="14"/>
              </w:rPr>
            </w:pPr>
            <w:r w:rsidRPr="00EA648D">
              <w:rPr>
                <w:color w:val="000000"/>
                <w:sz w:val="14"/>
                <w:szCs w:val="14"/>
              </w:rPr>
              <w:t>57.8 (39.8 - 79.9)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715CD0C" w14:textId="77777777" w:rsidR="00134E64" w:rsidRPr="00EA648D" w:rsidRDefault="00134E64">
            <w:pPr>
              <w:jc w:val="right"/>
              <w:rPr>
                <w:color w:val="000000"/>
                <w:sz w:val="14"/>
                <w:szCs w:val="14"/>
              </w:rPr>
            </w:pPr>
            <w:r w:rsidRPr="00EA648D">
              <w:rPr>
                <w:color w:val="000000"/>
                <w:sz w:val="14"/>
                <w:szCs w:val="14"/>
              </w:rPr>
              <w:t>8.5% (7.4% - 9.8%)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A680AD2" w14:textId="77777777" w:rsidR="00134E64" w:rsidRPr="00EA648D" w:rsidRDefault="00134E64">
            <w:pPr>
              <w:jc w:val="right"/>
              <w:rPr>
                <w:color w:val="000000"/>
                <w:sz w:val="14"/>
                <w:szCs w:val="14"/>
              </w:rPr>
            </w:pPr>
            <w:r w:rsidRPr="00EA648D">
              <w:rPr>
                <w:color w:val="000000"/>
                <w:sz w:val="14"/>
                <w:szCs w:val="14"/>
              </w:rPr>
              <w:t>39 (27 - 56)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473DC60" w14:textId="77777777" w:rsidR="00134E64" w:rsidRPr="00EA648D" w:rsidRDefault="00134E64">
            <w:pPr>
              <w:jc w:val="right"/>
              <w:rPr>
                <w:color w:val="000000"/>
                <w:sz w:val="14"/>
                <w:szCs w:val="14"/>
              </w:rPr>
            </w:pPr>
            <w:r w:rsidRPr="00EA648D">
              <w:rPr>
                <w:color w:val="000000"/>
                <w:sz w:val="14"/>
                <w:szCs w:val="14"/>
              </w:rPr>
              <w:t>14.5 (9.8 - 20.4)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A30A8" w14:textId="77777777" w:rsidR="00134E64" w:rsidRPr="00EA648D" w:rsidRDefault="00134E64">
            <w:pPr>
              <w:jc w:val="right"/>
              <w:rPr>
                <w:color w:val="000000"/>
                <w:sz w:val="14"/>
                <w:szCs w:val="14"/>
              </w:rPr>
            </w:pPr>
          </w:p>
        </w:tc>
      </w:tr>
      <w:tr w:rsidR="00FF67C1" w:rsidRPr="00EA648D" w14:paraId="58CDBC24"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70DE77F7" w14:textId="77777777" w:rsidR="00134E64" w:rsidRPr="00EA648D" w:rsidRDefault="00134E64">
            <w:pPr>
              <w:rPr>
                <w:color w:val="000000"/>
                <w:sz w:val="14"/>
                <w:szCs w:val="14"/>
              </w:rPr>
            </w:pPr>
            <w:r w:rsidRPr="00EA648D">
              <w:rPr>
                <w:color w:val="000000"/>
                <w:sz w:val="14"/>
                <w:szCs w:val="14"/>
              </w:rPr>
              <w:t>Bolivia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1AD34BF" w14:textId="77777777" w:rsidR="00134E64" w:rsidRPr="00EA648D" w:rsidRDefault="00134E64">
            <w:pPr>
              <w:jc w:val="right"/>
              <w:rPr>
                <w:color w:val="000000"/>
                <w:sz w:val="14"/>
                <w:szCs w:val="14"/>
              </w:rPr>
            </w:pPr>
            <w:r w:rsidRPr="00EA648D">
              <w:rPr>
                <w:color w:val="000000"/>
                <w:sz w:val="14"/>
                <w:szCs w:val="14"/>
              </w:rPr>
              <w:t xml:space="preserve"> 75,900 (63,500 - 88,800)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CCD3A2A" w14:textId="77777777" w:rsidR="00134E64" w:rsidRPr="00EA648D" w:rsidRDefault="00134E64">
            <w:pPr>
              <w:jc w:val="right"/>
              <w:rPr>
                <w:color w:val="000000"/>
                <w:sz w:val="14"/>
                <w:szCs w:val="14"/>
              </w:rPr>
            </w:pPr>
            <w:r w:rsidRPr="00EA648D">
              <w:rPr>
                <w:color w:val="000000"/>
                <w:sz w:val="14"/>
                <w:szCs w:val="14"/>
              </w:rPr>
              <w:t>896.5 (761.8 - 1033.3)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83D0844" w14:textId="77777777" w:rsidR="00134E64" w:rsidRPr="00EA648D" w:rsidRDefault="00134E64">
            <w:pPr>
              <w:jc w:val="right"/>
              <w:rPr>
                <w:color w:val="000000"/>
                <w:sz w:val="14"/>
                <w:szCs w:val="14"/>
              </w:rPr>
            </w:pPr>
            <w:r w:rsidRPr="00EA648D">
              <w:rPr>
                <w:color w:val="000000"/>
                <w:sz w:val="14"/>
                <w:szCs w:val="14"/>
              </w:rPr>
              <w:t xml:space="preserve"> 29.7% (23.6% - 37.5%)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872FC96" w14:textId="77777777" w:rsidR="00134E64" w:rsidRPr="00EA648D" w:rsidRDefault="00134E64">
            <w:pPr>
              <w:jc w:val="right"/>
              <w:rPr>
                <w:color w:val="000000"/>
                <w:sz w:val="14"/>
                <w:szCs w:val="14"/>
              </w:rPr>
            </w:pPr>
            <w:r w:rsidRPr="00EA648D">
              <w:rPr>
                <w:color w:val="000000"/>
                <w:sz w:val="14"/>
                <w:szCs w:val="14"/>
              </w:rPr>
              <w:t>22,500 (16,600 - 29,600)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E50BED7" w14:textId="77777777" w:rsidR="00134E64" w:rsidRPr="00EA648D" w:rsidRDefault="00134E64">
            <w:pPr>
              <w:jc w:val="right"/>
              <w:rPr>
                <w:color w:val="000000"/>
                <w:sz w:val="14"/>
                <w:szCs w:val="14"/>
              </w:rPr>
            </w:pPr>
            <w:r w:rsidRPr="00EA648D">
              <w:rPr>
                <w:color w:val="000000"/>
                <w:sz w:val="14"/>
                <w:szCs w:val="14"/>
              </w:rPr>
              <w:t>254.5 (188.2 - 334.7)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AB6085C" w14:textId="77777777" w:rsidR="00134E64" w:rsidRPr="00EA648D" w:rsidRDefault="00134E64">
            <w:pPr>
              <w:jc w:val="right"/>
              <w:rPr>
                <w:color w:val="000000"/>
                <w:sz w:val="14"/>
                <w:szCs w:val="14"/>
              </w:rPr>
            </w:pPr>
            <w:r w:rsidRPr="00EA648D">
              <w:rPr>
                <w:color w:val="000000"/>
                <w:sz w:val="14"/>
                <w:szCs w:val="14"/>
              </w:rPr>
              <w:t xml:space="preserve"> 44.6% (39.5% - 47.8%)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46B8B7C" w14:textId="77777777" w:rsidR="00134E64" w:rsidRPr="00EA648D" w:rsidRDefault="00134E64">
            <w:pPr>
              <w:jc w:val="right"/>
              <w:rPr>
                <w:color w:val="000000"/>
                <w:sz w:val="14"/>
                <w:szCs w:val="14"/>
              </w:rPr>
            </w:pPr>
            <w:r w:rsidRPr="00EA648D">
              <w:rPr>
                <w:color w:val="000000"/>
                <w:sz w:val="14"/>
                <w:szCs w:val="14"/>
              </w:rPr>
              <w:t>10,100 (7,220 - 13,600)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CD2FA9F" w14:textId="77777777" w:rsidR="00134E64" w:rsidRPr="00EA648D" w:rsidRDefault="00134E64">
            <w:pPr>
              <w:jc w:val="right"/>
              <w:rPr>
                <w:color w:val="000000"/>
                <w:sz w:val="14"/>
                <w:szCs w:val="14"/>
              </w:rPr>
            </w:pPr>
            <w:r w:rsidRPr="00EA648D">
              <w:rPr>
                <w:color w:val="000000"/>
                <w:sz w:val="14"/>
                <w:szCs w:val="14"/>
              </w:rPr>
              <w:t xml:space="preserve"> 116.9 (83.7 - 158.0)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4E59926" w14:textId="77777777" w:rsidR="00134E64" w:rsidRPr="00EA648D" w:rsidRDefault="00134E64">
            <w:pPr>
              <w:jc w:val="right"/>
              <w:rPr>
                <w:color w:val="000000"/>
                <w:sz w:val="14"/>
                <w:szCs w:val="14"/>
              </w:rPr>
            </w:pPr>
            <w:r w:rsidRPr="00EA648D">
              <w:rPr>
                <w:color w:val="000000"/>
                <w:sz w:val="14"/>
                <w:szCs w:val="14"/>
              </w:rPr>
              <w:t>11.0% (9.4% - 12.9%)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7313C85" w14:textId="77777777" w:rsidR="00134E64" w:rsidRPr="00EA648D" w:rsidRDefault="00134E64">
            <w:pPr>
              <w:jc w:val="right"/>
              <w:rPr>
                <w:color w:val="000000"/>
                <w:sz w:val="14"/>
                <w:szCs w:val="14"/>
              </w:rPr>
            </w:pPr>
            <w:r w:rsidRPr="00EA648D">
              <w:rPr>
                <w:color w:val="000000"/>
                <w:sz w:val="14"/>
                <w:szCs w:val="14"/>
              </w:rPr>
              <w:t>2,490 (1,770 - 3,430)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6EB7B95" w14:textId="77777777" w:rsidR="00134E64" w:rsidRPr="00EA648D" w:rsidRDefault="00134E64">
            <w:pPr>
              <w:jc w:val="right"/>
              <w:rPr>
                <w:color w:val="000000"/>
                <w:sz w:val="14"/>
                <w:szCs w:val="14"/>
              </w:rPr>
            </w:pPr>
            <w:r w:rsidRPr="00EA648D">
              <w:rPr>
                <w:color w:val="000000"/>
                <w:sz w:val="14"/>
                <w:szCs w:val="14"/>
              </w:rPr>
              <w:t xml:space="preserve"> 29.0 (20.4 - 40.2)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F0BEA0" w14:textId="77777777" w:rsidR="00134E64" w:rsidRPr="00EA648D" w:rsidRDefault="00134E64">
            <w:pPr>
              <w:jc w:val="right"/>
              <w:rPr>
                <w:color w:val="000000"/>
                <w:sz w:val="14"/>
                <w:szCs w:val="14"/>
              </w:rPr>
            </w:pPr>
          </w:p>
        </w:tc>
      </w:tr>
      <w:tr w:rsidR="005C6575" w:rsidRPr="00EA648D" w14:paraId="197CC7D7"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67B79DDF" w14:textId="77777777" w:rsidR="00134E64" w:rsidRPr="00EA648D" w:rsidRDefault="00134E64">
            <w:pPr>
              <w:rPr>
                <w:color w:val="000000"/>
                <w:sz w:val="14"/>
                <w:szCs w:val="14"/>
              </w:rPr>
            </w:pPr>
            <w:r w:rsidRPr="00EA648D">
              <w:rPr>
                <w:color w:val="000000"/>
                <w:sz w:val="14"/>
                <w:szCs w:val="14"/>
              </w:rPr>
              <w:t>Brazil</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A306A54" w14:textId="77777777" w:rsidR="00134E64" w:rsidRPr="00EA648D" w:rsidRDefault="00134E64">
            <w:pPr>
              <w:jc w:val="right"/>
              <w:rPr>
                <w:color w:val="000000"/>
                <w:sz w:val="14"/>
                <w:szCs w:val="14"/>
              </w:rPr>
            </w:pPr>
            <w:r w:rsidRPr="00EA648D">
              <w:rPr>
                <w:color w:val="000000"/>
                <w:sz w:val="14"/>
                <w:szCs w:val="14"/>
              </w:rPr>
              <w:t xml:space="preserve"> 1,410,000 (1,380,000 - 1,450,000)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E6BC4B8" w14:textId="77777777" w:rsidR="00134E64" w:rsidRPr="00EA648D" w:rsidRDefault="00134E64">
            <w:pPr>
              <w:jc w:val="right"/>
              <w:rPr>
                <w:color w:val="000000"/>
                <w:sz w:val="14"/>
                <w:szCs w:val="14"/>
              </w:rPr>
            </w:pPr>
            <w:r w:rsidRPr="00EA648D">
              <w:rPr>
                <w:color w:val="000000"/>
                <w:sz w:val="14"/>
                <w:szCs w:val="14"/>
              </w:rPr>
              <w:t>633.1 (615.9 - 650.9)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766CD7E" w14:textId="77777777" w:rsidR="00134E64" w:rsidRPr="00EA648D" w:rsidRDefault="00134E64">
            <w:pPr>
              <w:jc w:val="right"/>
              <w:rPr>
                <w:color w:val="000000"/>
                <w:sz w:val="14"/>
                <w:szCs w:val="14"/>
              </w:rPr>
            </w:pPr>
            <w:r w:rsidRPr="00EA648D">
              <w:rPr>
                <w:color w:val="000000"/>
                <w:sz w:val="14"/>
                <w:szCs w:val="14"/>
              </w:rPr>
              <w:t xml:space="preserve"> 22.0% (17.2% - 28.0%)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DE61DFD" w14:textId="77777777" w:rsidR="00134E64" w:rsidRPr="00EA648D" w:rsidRDefault="00134E64">
            <w:pPr>
              <w:jc w:val="right"/>
              <w:rPr>
                <w:color w:val="000000"/>
                <w:sz w:val="14"/>
                <w:szCs w:val="14"/>
              </w:rPr>
            </w:pPr>
            <w:r w:rsidRPr="00EA648D">
              <w:rPr>
                <w:color w:val="000000"/>
                <w:sz w:val="14"/>
                <w:szCs w:val="14"/>
              </w:rPr>
              <w:t>311,000 (244,000 - 394,000)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01923C3" w14:textId="77777777" w:rsidR="00134E64" w:rsidRPr="00EA648D" w:rsidRDefault="00134E64">
            <w:pPr>
              <w:jc w:val="right"/>
              <w:rPr>
                <w:color w:val="000000"/>
                <w:sz w:val="14"/>
                <w:szCs w:val="14"/>
              </w:rPr>
            </w:pPr>
            <w:r w:rsidRPr="00EA648D">
              <w:rPr>
                <w:color w:val="000000"/>
                <w:sz w:val="14"/>
                <w:szCs w:val="14"/>
              </w:rPr>
              <w:t>143.0 (112.3 - 181.5)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F7DDA29" w14:textId="77777777" w:rsidR="00134E64" w:rsidRPr="00EA648D" w:rsidRDefault="00134E64">
            <w:pPr>
              <w:jc w:val="right"/>
              <w:rPr>
                <w:color w:val="000000"/>
                <w:sz w:val="14"/>
                <w:szCs w:val="14"/>
              </w:rPr>
            </w:pPr>
            <w:r w:rsidRPr="00EA648D">
              <w:rPr>
                <w:color w:val="000000"/>
                <w:sz w:val="14"/>
                <w:szCs w:val="14"/>
              </w:rPr>
              <w:t xml:space="preserve"> 44.2% (42.3% - 46.1%)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A274D6E" w14:textId="77777777" w:rsidR="00134E64" w:rsidRPr="00EA648D" w:rsidRDefault="00134E64">
            <w:pPr>
              <w:jc w:val="right"/>
              <w:rPr>
                <w:color w:val="000000"/>
                <w:sz w:val="14"/>
                <w:szCs w:val="14"/>
              </w:rPr>
            </w:pPr>
            <w:r w:rsidRPr="00EA648D">
              <w:rPr>
                <w:color w:val="000000"/>
                <w:sz w:val="14"/>
                <w:szCs w:val="14"/>
              </w:rPr>
              <w:t>138,000 (103,000 - 182,000)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0D25C96" w14:textId="77777777" w:rsidR="00134E64" w:rsidRPr="00EA648D" w:rsidRDefault="00134E64">
            <w:pPr>
              <w:jc w:val="right"/>
              <w:rPr>
                <w:color w:val="000000"/>
                <w:sz w:val="14"/>
                <w:szCs w:val="14"/>
              </w:rPr>
            </w:pPr>
            <w:r w:rsidRPr="00EA648D">
              <w:rPr>
                <w:color w:val="000000"/>
                <w:sz w:val="14"/>
                <w:szCs w:val="14"/>
              </w:rPr>
              <w:t xml:space="preserve"> 63.2 (47.4 - 82.9)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136C85A" w14:textId="77777777" w:rsidR="00134E64" w:rsidRPr="00EA648D" w:rsidRDefault="00134E64">
            <w:pPr>
              <w:jc w:val="right"/>
              <w:rPr>
                <w:color w:val="000000"/>
                <w:sz w:val="14"/>
                <w:szCs w:val="14"/>
              </w:rPr>
            </w:pPr>
            <w:r w:rsidRPr="00EA648D">
              <w:rPr>
                <w:color w:val="000000"/>
                <w:sz w:val="14"/>
                <w:szCs w:val="14"/>
              </w:rPr>
              <w:t>10.7% (9.6% - 11.8%)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DB0E0B7" w14:textId="77777777" w:rsidR="00134E64" w:rsidRPr="00EA648D" w:rsidRDefault="00134E64">
            <w:pPr>
              <w:jc w:val="right"/>
              <w:rPr>
                <w:color w:val="000000"/>
                <w:sz w:val="14"/>
                <w:szCs w:val="14"/>
              </w:rPr>
            </w:pPr>
            <w:r w:rsidRPr="00EA648D">
              <w:rPr>
                <w:color w:val="000000"/>
                <w:sz w:val="14"/>
                <w:szCs w:val="14"/>
              </w:rPr>
              <w:t>33,200 (24,200 - 45,000)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5A992E9" w14:textId="77777777" w:rsidR="00134E64" w:rsidRPr="00EA648D" w:rsidRDefault="00134E64">
            <w:pPr>
              <w:jc w:val="right"/>
              <w:rPr>
                <w:color w:val="000000"/>
                <w:sz w:val="14"/>
                <w:szCs w:val="14"/>
              </w:rPr>
            </w:pPr>
            <w:r w:rsidRPr="00EA648D">
              <w:rPr>
                <w:color w:val="000000"/>
                <w:sz w:val="14"/>
                <w:szCs w:val="14"/>
              </w:rPr>
              <w:t xml:space="preserve"> 15.2 (11.2 - 20.4)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75F676" w14:textId="77777777" w:rsidR="00134E64" w:rsidRPr="00EA648D" w:rsidRDefault="00134E64">
            <w:pPr>
              <w:jc w:val="right"/>
              <w:rPr>
                <w:color w:val="000000"/>
                <w:sz w:val="14"/>
                <w:szCs w:val="14"/>
              </w:rPr>
            </w:pPr>
          </w:p>
        </w:tc>
      </w:tr>
      <w:tr w:rsidR="00FF67C1" w:rsidRPr="00EA648D" w14:paraId="77146269"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630B34B5" w14:textId="77777777" w:rsidR="00134E64" w:rsidRPr="00EA648D" w:rsidRDefault="00134E64">
            <w:pPr>
              <w:rPr>
                <w:color w:val="000000"/>
                <w:sz w:val="14"/>
                <w:szCs w:val="14"/>
              </w:rPr>
            </w:pPr>
            <w:r w:rsidRPr="00EA648D">
              <w:rPr>
                <w:color w:val="000000"/>
                <w:sz w:val="14"/>
                <w:szCs w:val="14"/>
              </w:rPr>
              <w:t>Canada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FF1E709" w14:textId="77777777" w:rsidR="00134E64" w:rsidRPr="00EA648D" w:rsidRDefault="00134E64">
            <w:pPr>
              <w:jc w:val="right"/>
              <w:rPr>
                <w:color w:val="000000"/>
                <w:sz w:val="14"/>
                <w:szCs w:val="14"/>
              </w:rPr>
            </w:pPr>
            <w:r w:rsidRPr="00EA648D">
              <w:rPr>
                <w:color w:val="000000"/>
                <w:sz w:val="14"/>
                <w:szCs w:val="14"/>
              </w:rPr>
              <w:t xml:space="preserve"> 288,000 (285,000 - 292,000)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E391199" w14:textId="77777777" w:rsidR="00134E64" w:rsidRPr="00EA648D" w:rsidRDefault="00134E64">
            <w:pPr>
              <w:jc w:val="right"/>
              <w:rPr>
                <w:color w:val="000000"/>
                <w:sz w:val="14"/>
                <w:szCs w:val="14"/>
              </w:rPr>
            </w:pPr>
            <w:r w:rsidRPr="00EA648D">
              <w:rPr>
                <w:color w:val="000000"/>
                <w:sz w:val="14"/>
                <w:szCs w:val="14"/>
              </w:rPr>
              <w:t>410.3 (404.7 - 416.3)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E64DF71" w14:textId="77777777" w:rsidR="00134E64" w:rsidRPr="00EA648D" w:rsidRDefault="00134E64">
            <w:pPr>
              <w:jc w:val="right"/>
              <w:rPr>
                <w:color w:val="000000"/>
                <w:sz w:val="14"/>
                <w:szCs w:val="14"/>
              </w:rPr>
            </w:pPr>
            <w:r w:rsidRPr="00EA648D">
              <w:rPr>
                <w:color w:val="000000"/>
                <w:sz w:val="14"/>
                <w:szCs w:val="14"/>
              </w:rPr>
              <w:t xml:space="preserve"> 13.7% (9.9% - 18.6%)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EDCC91D" w14:textId="77777777" w:rsidR="00134E64" w:rsidRPr="00EA648D" w:rsidRDefault="00134E64">
            <w:pPr>
              <w:jc w:val="right"/>
              <w:rPr>
                <w:color w:val="000000"/>
                <w:sz w:val="14"/>
                <w:szCs w:val="14"/>
              </w:rPr>
            </w:pPr>
            <w:r w:rsidRPr="00EA648D">
              <w:rPr>
                <w:color w:val="000000"/>
                <w:sz w:val="14"/>
                <w:szCs w:val="14"/>
              </w:rPr>
              <w:t>39,500 (28,700 - 53,500)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71C6049" w14:textId="77777777" w:rsidR="00134E64" w:rsidRPr="00EA648D" w:rsidRDefault="00134E64">
            <w:pPr>
              <w:jc w:val="right"/>
              <w:rPr>
                <w:color w:val="000000"/>
                <w:sz w:val="14"/>
                <w:szCs w:val="14"/>
              </w:rPr>
            </w:pPr>
            <w:r w:rsidRPr="00EA648D">
              <w:rPr>
                <w:color w:val="000000"/>
                <w:sz w:val="14"/>
                <w:szCs w:val="14"/>
              </w:rPr>
              <w:t>55.7 (39.7 - 76.1)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6A6A903" w14:textId="77777777" w:rsidR="00134E64" w:rsidRPr="00EA648D" w:rsidRDefault="00134E64">
            <w:pPr>
              <w:jc w:val="right"/>
              <w:rPr>
                <w:color w:val="000000"/>
                <w:sz w:val="14"/>
                <w:szCs w:val="14"/>
              </w:rPr>
            </w:pPr>
            <w:r w:rsidRPr="00EA648D">
              <w:rPr>
                <w:color w:val="000000"/>
                <w:sz w:val="14"/>
                <w:szCs w:val="14"/>
              </w:rPr>
              <w:t xml:space="preserve"> 32.6% (30.5% - 34.8%)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2AE9F6C" w14:textId="77777777" w:rsidR="00134E64" w:rsidRPr="00EA648D" w:rsidRDefault="00134E64">
            <w:pPr>
              <w:jc w:val="right"/>
              <w:rPr>
                <w:color w:val="000000"/>
                <w:sz w:val="14"/>
                <w:szCs w:val="14"/>
              </w:rPr>
            </w:pPr>
            <w:r w:rsidRPr="00EA648D">
              <w:rPr>
                <w:color w:val="000000"/>
                <w:sz w:val="14"/>
                <w:szCs w:val="14"/>
              </w:rPr>
              <w:t>12,900 (8,830 - 18,100)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026C914" w14:textId="77777777" w:rsidR="00134E64" w:rsidRPr="00EA648D" w:rsidRDefault="00134E64">
            <w:pPr>
              <w:jc w:val="right"/>
              <w:rPr>
                <w:color w:val="000000"/>
                <w:sz w:val="14"/>
                <w:szCs w:val="14"/>
              </w:rPr>
            </w:pPr>
            <w:r w:rsidRPr="00EA648D">
              <w:rPr>
                <w:color w:val="000000"/>
                <w:sz w:val="14"/>
                <w:szCs w:val="14"/>
              </w:rPr>
              <w:t xml:space="preserve"> 18.3 (12.3 - 25.9)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AFCCBC0" w14:textId="77777777" w:rsidR="00134E64" w:rsidRPr="00EA648D" w:rsidRDefault="00134E64">
            <w:pPr>
              <w:jc w:val="right"/>
              <w:rPr>
                <w:color w:val="000000"/>
                <w:sz w:val="14"/>
                <w:szCs w:val="14"/>
              </w:rPr>
            </w:pPr>
            <w:r w:rsidRPr="00EA648D">
              <w:rPr>
                <w:color w:val="000000"/>
                <w:sz w:val="14"/>
                <w:szCs w:val="14"/>
              </w:rPr>
              <w:t>7.3% (6.3% - 8.4%)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F21432A" w14:textId="77777777" w:rsidR="00134E64" w:rsidRPr="00EA648D" w:rsidRDefault="00134E64">
            <w:pPr>
              <w:jc w:val="right"/>
              <w:rPr>
                <w:color w:val="000000"/>
                <w:sz w:val="14"/>
                <w:szCs w:val="14"/>
              </w:rPr>
            </w:pPr>
            <w:r w:rsidRPr="00EA648D">
              <w:rPr>
                <w:color w:val="000000"/>
                <w:sz w:val="14"/>
                <w:szCs w:val="14"/>
              </w:rPr>
              <w:t>2,890 (1,960 - 4,180)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A1A87DB" w14:textId="77777777" w:rsidR="00134E64" w:rsidRPr="00EA648D" w:rsidRDefault="00134E64">
            <w:pPr>
              <w:jc w:val="right"/>
              <w:rPr>
                <w:color w:val="000000"/>
                <w:sz w:val="14"/>
                <w:szCs w:val="14"/>
              </w:rPr>
            </w:pPr>
            <w:r w:rsidRPr="00EA648D">
              <w:rPr>
                <w:color w:val="000000"/>
                <w:sz w:val="14"/>
                <w:szCs w:val="14"/>
              </w:rPr>
              <w:t xml:space="preserve"> 4.1 (2.7 - 6.0)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AE873" w14:textId="77777777" w:rsidR="00134E64" w:rsidRPr="00EA648D" w:rsidRDefault="00134E64">
            <w:pPr>
              <w:jc w:val="right"/>
              <w:rPr>
                <w:color w:val="000000"/>
                <w:sz w:val="14"/>
                <w:szCs w:val="14"/>
              </w:rPr>
            </w:pPr>
          </w:p>
        </w:tc>
      </w:tr>
      <w:tr w:rsidR="005C6575" w:rsidRPr="00EA648D" w14:paraId="62FC2CD4"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64103FCB" w14:textId="77777777" w:rsidR="00134E64" w:rsidRPr="00EA648D" w:rsidRDefault="00134E64">
            <w:pPr>
              <w:rPr>
                <w:color w:val="000000"/>
                <w:sz w:val="14"/>
                <w:szCs w:val="14"/>
              </w:rPr>
            </w:pPr>
            <w:r w:rsidRPr="00EA648D">
              <w:rPr>
                <w:color w:val="000000"/>
                <w:sz w:val="14"/>
                <w:szCs w:val="14"/>
              </w:rPr>
              <w:t>Chile</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E6C2D14" w14:textId="77777777" w:rsidR="00134E64" w:rsidRPr="00EA648D" w:rsidRDefault="00134E64">
            <w:pPr>
              <w:jc w:val="right"/>
              <w:rPr>
                <w:color w:val="000000"/>
                <w:sz w:val="14"/>
                <w:szCs w:val="14"/>
              </w:rPr>
            </w:pPr>
            <w:r w:rsidRPr="00EA648D">
              <w:rPr>
                <w:color w:val="000000"/>
                <w:sz w:val="14"/>
                <w:szCs w:val="14"/>
              </w:rPr>
              <w:t xml:space="preserve"> 113,000 (110,000 - 116,000)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70A4C67" w14:textId="77777777" w:rsidR="00134E64" w:rsidRPr="00EA648D" w:rsidRDefault="00134E64">
            <w:pPr>
              <w:jc w:val="right"/>
              <w:rPr>
                <w:color w:val="000000"/>
                <w:sz w:val="14"/>
                <w:szCs w:val="14"/>
              </w:rPr>
            </w:pPr>
            <w:r w:rsidRPr="00EA648D">
              <w:rPr>
                <w:color w:val="000000"/>
                <w:sz w:val="14"/>
                <w:szCs w:val="14"/>
              </w:rPr>
              <w:t>489.0 (474.4 - 505.2)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121FA16" w14:textId="77777777" w:rsidR="00134E64" w:rsidRPr="00EA648D" w:rsidRDefault="00134E64">
            <w:pPr>
              <w:jc w:val="right"/>
              <w:rPr>
                <w:color w:val="000000"/>
                <w:sz w:val="14"/>
                <w:szCs w:val="14"/>
              </w:rPr>
            </w:pPr>
            <w:r w:rsidRPr="00EA648D">
              <w:rPr>
                <w:color w:val="000000"/>
                <w:sz w:val="14"/>
                <w:szCs w:val="14"/>
              </w:rPr>
              <w:t xml:space="preserve"> 18.6% (14.1% - 24.5%)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F8402C5" w14:textId="77777777" w:rsidR="00134E64" w:rsidRPr="00EA648D" w:rsidRDefault="00134E64">
            <w:pPr>
              <w:jc w:val="right"/>
              <w:rPr>
                <w:color w:val="000000"/>
                <w:sz w:val="14"/>
                <w:szCs w:val="14"/>
              </w:rPr>
            </w:pPr>
            <w:r w:rsidRPr="00EA648D">
              <w:rPr>
                <w:color w:val="000000"/>
                <w:sz w:val="14"/>
                <w:szCs w:val="14"/>
              </w:rPr>
              <w:t>21,000 (15,900 - 27,800)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66B252C" w14:textId="77777777" w:rsidR="00134E64" w:rsidRPr="00EA648D" w:rsidRDefault="00134E64">
            <w:pPr>
              <w:jc w:val="right"/>
              <w:rPr>
                <w:color w:val="000000"/>
                <w:sz w:val="14"/>
                <w:szCs w:val="14"/>
              </w:rPr>
            </w:pPr>
            <w:r w:rsidRPr="00EA648D">
              <w:rPr>
                <w:color w:val="000000"/>
                <w:sz w:val="14"/>
                <w:szCs w:val="14"/>
              </w:rPr>
              <w:t>91.2 (68.7 - 120.2)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77DC826" w14:textId="77777777" w:rsidR="00134E64" w:rsidRPr="00EA648D" w:rsidRDefault="00134E64">
            <w:pPr>
              <w:jc w:val="right"/>
              <w:rPr>
                <w:color w:val="000000"/>
                <w:sz w:val="14"/>
                <w:szCs w:val="14"/>
              </w:rPr>
            </w:pPr>
            <w:r w:rsidRPr="00EA648D">
              <w:rPr>
                <w:color w:val="000000"/>
                <w:sz w:val="14"/>
                <w:szCs w:val="14"/>
              </w:rPr>
              <w:t xml:space="preserve"> 48.2% (46.0% - 50.3%)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F74385D" w14:textId="77777777" w:rsidR="00134E64" w:rsidRPr="00EA648D" w:rsidRDefault="00134E64">
            <w:pPr>
              <w:jc w:val="right"/>
              <w:rPr>
                <w:color w:val="000000"/>
                <w:sz w:val="14"/>
                <w:szCs w:val="14"/>
              </w:rPr>
            </w:pPr>
            <w:r w:rsidRPr="00EA648D">
              <w:rPr>
                <w:color w:val="000000"/>
                <w:sz w:val="14"/>
                <w:szCs w:val="14"/>
              </w:rPr>
              <w:t>10,200 (7,360 - 13,700)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8A32A77" w14:textId="77777777" w:rsidR="00134E64" w:rsidRPr="00EA648D" w:rsidRDefault="00134E64">
            <w:pPr>
              <w:jc w:val="right"/>
              <w:rPr>
                <w:color w:val="000000"/>
                <w:sz w:val="14"/>
                <w:szCs w:val="14"/>
              </w:rPr>
            </w:pPr>
            <w:r w:rsidRPr="00EA648D">
              <w:rPr>
                <w:color w:val="000000"/>
                <w:sz w:val="14"/>
                <w:szCs w:val="14"/>
              </w:rPr>
              <w:t xml:space="preserve"> 43.7 (31.6 - 59.1)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6A0F989" w14:textId="77777777" w:rsidR="00134E64" w:rsidRPr="00EA648D" w:rsidRDefault="00134E64">
            <w:pPr>
              <w:jc w:val="right"/>
              <w:rPr>
                <w:color w:val="000000"/>
                <w:sz w:val="14"/>
                <w:szCs w:val="14"/>
              </w:rPr>
            </w:pPr>
            <w:r w:rsidRPr="00EA648D">
              <w:rPr>
                <w:color w:val="000000"/>
                <w:sz w:val="14"/>
                <w:szCs w:val="14"/>
              </w:rPr>
              <w:t>12.9% (11.1% - 14.8%)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891E298" w14:textId="77777777" w:rsidR="00134E64" w:rsidRPr="00EA648D" w:rsidRDefault="00134E64">
            <w:pPr>
              <w:jc w:val="right"/>
              <w:rPr>
                <w:color w:val="000000"/>
                <w:sz w:val="14"/>
                <w:szCs w:val="14"/>
              </w:rPr>
            </w:pPr>
            <w:r w:rsidRPr="00EA648D">
              <w:rPr>
                <w:color w:val="000000"/>
                <w:sz w:val="14"/>
                <w:szCs w:val="14"/>
              </w:rPr>
              <w:t>2,720 (1,930 - 3,770)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FAEDBA8" w14:textId="77777777" w:rsidR="00134E64" w:rsidRPr="00EA648D" w:rsidRDefault="00134E64">
            <w:pPr>
              <w:jc w:val="right"/>
              <w:rPr>
                <w:color w:val="000000"/>
                <w:sz w:val="14"/>
                <w:szCs w:val="14"/>
              </w:rPr>
            </w:pPr>
            <w:r w:rsidRPr="00EA648D">
              <w:rPr>
                <w:color w:val="000000"/>
                <w:sz w:val="14"/>
                <w:szCs w:val="14"/>
              </w:rPr>
              <w:t xml:space="preserve"> 11.7 (8.3 - 16.2)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D6804" w14:textId="77777777" w:rsidR="00134E64" w:rsidRPr="00EA648D" w:rsidRDefault="00134E64">
            <w:pPr>
              <w:jc w:val="right"/>
              <w:rPr>
                <w:color w:val="000000"/>
                <w:sz w:val="14"/>
                <w:szCs w:val="14"/>
              </w:rPr>
            </w:pPr>
          </w:p>
        </w:tc>
      </w:tr>
      <w:tr w:rsidR="00FF67C1" w:rsidRPr="00EA648D" w14:paraId="5285F598"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7F50B6E0" w14:textId="77777777" w:rsidR="00134E64" w:rsidRPr="00EA648D" w:rsidRDefault="00134E64">
            <w:pPr>
              <w:rPr>
                <w:color w:val="000000"/>
                <w:sz w:val="14"/>
                <w:szCs w:val="14"/>
              </w:rPr>
            </w:pPr>
            <w:r w:rsidRPr="00EA648D">
              <w:rPr>
                <w:color w:val="000000"/>
                <w:sz w:val="14"/>
                <w:szCs w:val="14"/>
              </w:rPr>
              <w:t>Colombia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684A4DD" w14:textId="77777777" w:rsidR="00134E64" w:rsidRPr="00EA648D" w:rsidRDefault="00134E64">
            <w:pPr>
              <w:jc w:val="right"/>
              <w:rPr>
                <w:color w:val="000000"/>
                <w:sz w:val="14"/>
                <w:szCs w:val="14"/>
              </w:rPr>
            </w:pPr>
            <w:r w:rsidRPr="00EA648D">
              <w:rPr>
                <w:color w:val="000000"/>
                <w:sz w:val="14"/>
                <w:szCs w:val="14"/>
              </w:rPr>
              <w:t xml:space="preserve"> 247,000 (198,000 - 306,000)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9B584EF" w14:textId="77777777" w:rsidR="00134E64" w:rsidRPr="00EA648D" w:rsidRDefault="00134E64">
            <w:pPr>
              <w:jc w:val="right"/>
              <w:rPr>
                <w:color w:val="000000"/>
                <w:sz w:val="14"/>
                <w:szCs w:val="14"/>
              </w:rPr>
            </w:pPr>
            <w:r w:rsidRPr="00EA648D">
              <w:rPr>
                <w:color w:val="000000"/>
                <w:sz w:val="14"/>
                <w:szCs w:val="14"/>
              </w:rPr>
              <w:t>463.8 (370.3 - 578.1)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3B985B7" w14:textId="77777777" w:rsidR="00134E64" w:rsidRPr="00EA648D" w:rsidRDefault="00134E64">
            <w:pPr>
              <w:jc w:val="right"/>
              <w:rPr>
                <w:color w:val="000000"/>
                <w:sz w:val="14"/>
                <w:szCs w:val="14"/>
              </w:rPr>
            </w:pPr>
            <w:r w:rsidRPr="00EA648D">
              <w:rPr>
                <w:color w:val="000000"/>
                <w:sz w:val="14"/>
                <w:szCs w:val="14"/>
              </w:rPr>
              <w:t xml:space="preserve"> 17.5% (13.0% - 23.2%)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F4B7C7E" w14:textId="77777777" w:rsidR="00134E64" w:rsidRPr="00EA648D" w:rsidRDefault="00134E64">
            <w:pPr>
              <w:jc w:val="right"/>
              <w:rPr>
                <w:color w:val="000000"/>
                <w:sz w:val="14"/>
                <w:szCs w:val="14"/>
              </w:rPr>
            </w:pPr>
            <w:r w:rsidRPr="00EA648D">
              <w:rPr>
                <w:color w:val="000000"/>
                <w:sz w:val="14"/>
                <w:szCs w:val="14"/>
              </w:rPr>
              <w:t>43,200 (29,400 - 61,500)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DF3E4C3" w14:textId="77777777" w:rsidR="00134E64" w:rsidRPr="00EA648D" w:rsidRDefault="00134E64">
            <w:pPr>
              <w:jc w:val="right"/>
              <w:rPr>
                <w:color w:val="000000"/>
                <w:sz w:val="14"/>
                <w:szCs w:val="14"/>
              </w:rPr>
            </w:pPr>
            <w:r w:rsidRPr="00EA648D">
              <w:rPr>
                <w:color w:val="000000"/>
                <w:sz w:val="14"/>
                <w:szCs w:val="14"/>
              </w:rPr>
              <w:t>83.3 (56.5 - 118.5)</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09BD166" w14:textId="77777777" w:rsidR="00134E64" w:rsidRPr="00EA648D" w:rsidRDefault="00134E64">
            <w:pPr>
              <w:jc w:val="right"/>
              <w:rPr>
                <w:color w:val="000000"/>
                <w:sz w:val="14"/>
                <w:szCs w:val="14"/>
              </w:rPr>
            </w:pPr>
            <w:r w:rsidRPr="00EA648D">
              <w:rPr>
                <w:color w:val="000000"/>
                <w:sz w:val="14"/>
                <w:szCs w:val="14"/>
              </w:rPr>
              <w:t xml:space="preserve"> 41.9% (39.6% - 44.1%)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4BD179C" w14:textId="77777777" w:rsidR="00134E64" w:rsidRPr="00EA648D" w:rsidRDefault="00134E64">
            <w:pPr>
              <w:jc w:val="right"/>
              <w:rPr>
                <w:color w:val="000000"/>
                <w:sz w:val="14"/>
                <w:szCs w:val="14"/>
              </w:rPr>
            </w:pPr>
            <w:r w:rsidRPr="00EA648D">
              <w:rPr>
                <w:color w:val="000000"/>
                <w:sz w:val="14"/>
                <w:szCs w:val="14"/>
              </w:rPr>
              <w:t>18,200 (11,800 - 26,500)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53FA88A" w14:textId="77777777" w:rsidR="00134E64" w:rsidRPr="00EA648D" w:rsidRDefault="00134E64">
            <w:pPr>
              <w:jc w:val="right"/>
              <w:rPr>
                <w:color w:val="000000"/>
                <w:sz w:val="14"/>
                <w:szCs w:val="14"/>
              </w:rPr>
            </w:pPr>
            <w:r w:rsidRPr="00EA648D">
              <w:rPr>
                <w:color w:val="000000"/>
                <w:sz w:val="14"/>
                <w:szCs w:val="14"/>
              </w:rPr>
              <w:t xml:space="preserve"> 34.6 (22.4 - 50.6)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631B36A" w14:textId="77777777" w:rsidR="00134E64" w:rsidRPr="00EA648D" w:rsidRDefault="00134E64">
            <w:pPr>
              <w:jc w:val="right"/>
              <w:rPr>
                <w:color w:val="000000"/>
                <w:sz w:val="14"/>
                <w:szCs w:val="14"/>
              </w:rPr>
            </w:pPr>
            <w:r w:rsidRPr="00EA648D">
              <w:rPr>
                <w:color w:val="000000"/>
                <w:sz w:val="14"/>
                <w:szCs w:val="14"/>
              </w:rPr>
              <w:t>10.9% (9.6% - 12.4%)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BBCB7F5" w14:textId="77777777" w:rsidR="00134E64" w:rsidRPr="00EA648D" w:rsidRDefault="00134E64">
            <w:pPr>
              <w:jc w:val="right"/>
              <w:rPr>
                <w:color w:val="000000"/>
                <w:sz w:val="14"/>
                <w:szCs w:val="14"/>
              </w:rPr>
            </w:pPr>
            <w:r w:rsidRPr="00EA648D">
              <w:rPr>
                <w:color w:val="000000"/>
                <w:sz w:val="14"/>
                <w:szCs w:val="14"/>
              </w:rPr>
              <w:t>4,720 (3,020 - 7,060)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1EA12A9" w14:textId="77777777" w:rsidR="00134E64" w:rsidRPr="00EA648D" w:rsidRDefault="00134E64">
            <w:pPr>
              <w:jc w:val="right"/>
              <w:rPr>
                <w:color w:val="000000"/>
                <w:sz w:val="14"/>
                <w:szCs w:val="14"/>
              </w:rPr>
            </w:pPr>
            <w:r w:rsidRPr="00EA648D">
              <w:rPr>
                <w:color w:val="000000"/>
                <w:sz w:val="14"/>
                <w:szCs w:val="14"/>
              </w:rPr>
              <w:t xml:space="preserve"> 9.0 (5.8 - 13.5)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DAC35F" w14:textId="77777777" w:rsidR="00134E64" w:rsidRPr="00EA648D" w:rsidRDefault="00134E64">
            <w:pPr>
              <w:jc w:val="right"/>
              <w:rPr>
                <w:color w:val="000000"/>
                <w:sz w:val="14"/>
                <w:szCs w:val="14"/>
              </w:rPr>
            </w:pPr>
          </w:p>
        </w:tc>
      </w:tr>
      <w:tr w:rsidR="005C6575" w:rsidRPr="00EA648D" w14:paraId="321DC457"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782B9923" w14:textId="77777777" w:rsidR="00134E64" w:rsidRPr="00EA648D" w:rsidRDefault="00134E64">
            <w:pPr>
              <w:rPr>
                <w:color w:val="000000"/>
                <w:sz w:val="14"/>
                <w:szCs w:val="14"/>
              </w:rPr>
            </w:pPr>
            <w:r w:rsidRPr="00EA648D">
              <w:rPr>
                <w:color w:val="000000"/>
                <w:sz w:val="14"/>
                <w:szCs w:val="14"/>
              </w:rPr>
              <w:t>Costa Rica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B9EDA83" w14:textId="77777777" w:rsidR="00134E64" w:rsidRPr="00EA648D" w:rsidRDefault="00134E64">
            <w:pPr>
              <w:jc w:val="right"/>
              <w:rPr>
                <w:color w:val="000000"/>
                <w:sz w:val="14"/>
                <w:szCs w:val="14"/>
              </w:rPr>
            </w:pPr>
            <w:r w:rsidRPr="00EA648D">
              <w:rPr>
                <w:color w:val="000000"/>
                <w:sz w:val="14"/>
                <w:szCs w:val="14"/>
              </w:rPr>
              <w:t xml:space="preserve"> 24,400 (19,700 - 30,100)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831A4BC" w14:textId="77777777" w:rsidR="00134E64" w:rsidRPr="00EA648D" w:rsidRDefault="00134E64">
            <w:pPr>
              <w:jc w:val="right"/>
              <w:rPr>
                <w:color w:val="000000"/>
                <w:sz w:val="14"/>
                <w:szCs w:val="14"/>
              </w:rPr>
            </w:pPr>
            <w:r w:rsidRPr="00EA648D">
              <w:rPr>
                <w:color w:val="000000"/>
                <w:sz w:val="14"/>
                <w:szCs w:val="14"/>
              </w:rPr>
              <w:t>479.2 (385.4 - 593.1)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389B5A3" w14:textId="77777777" w:rsidR="00134E64" w:rsidRPr="00EA648D" w:rsidRDefault="00134E64">
            <w:pPr>
              <w:jc w:val="right"/>
              <w:rPr>
                <w:color w:val="000000"/>
                <w:sz w:val="14"/>
                <w:szCs w:val="14"/>
              </w:rPr>
            </w:pPr>
            <w:r w:rsidRPr="00EA648D">
              <w:rPr>
                <w:color w:val="000000"/>
                <w:sz w:val="14"/>
                <w:szCs w:val="14"/>
              </w:rPr>
              <w:t xml:space="preserve"> 17.1% (12.3% - 23.3%)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509F2EC" w14:textId="77777777" w:rsidR="00134E64" w:rsidRPr="00EA648D" w:rsidRDefault="00134E64">
            <w:pPr>
              <w:jc w:val="right"/>
              <w:rPr>
                <w:color w:val="000000"/>
                <w:sz w:val="14"/>
                <w:szCs w:val="14"/>
              </w:rPr>
            </w:pPr>
            <w:r w:rsidRPr="00EA648D">
              <w:rPr>
                <w:color w:val="000000"/>
                <w:sz w:val="14"/>
                <w:szCs w:val="14"/>
              </w:rPr>
              <w:t>4,190 (2,770 - 6,090)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9B93739" w14:textId="77777777" w:rsidR="00134E64" w:rsidRPr="00EA648D" w:rsidRDefault="00134E64">
            <w:pPr>
              <w:jc w:val="right"/>
              <w:rPr>
                <w:color w:val="000000"/>
                <w:sz w:val="14"/>
                <w:szCs w:val="14"/>
              </w:rPr>
            </w:pPr>
            <w:r w:rsidRPr="00EA648D">
              <w:rPr>
                <w:color w:val="000000"/>
                <w:sz w:val="14"/>
                <w:szCs w:val="14"/>
              </w:rPr>
              <w:t>82.8 (54.6 - 120.7)</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18890B3" w14:textId="77777777" w:rsidR="00134E64" w:rsidRPr="00EA648D" w:rsidRDefault="00134E64">
            <w:pPr>
              <w:jc w:val="right"/>
              <w:rPr>
                <w:color w:val="000000"/>
                <w:sz w:val="14"/>
                <w:szCs w:val="14"/>
              </w:rPr>
            </w:pPr>
            <w:r w:rsidRPr="00EA648D">
              <w:rPr>
                <w:color w:val="000000"/>
                <w:sz w:val="14"/>
                <w:szCs w:val="14"/>
              </w:rPr>
              <w:t xml:space="preserve"> 45.0% (42.8% - 47.3%)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F23FAC4" w14:textId="77777777" w:rsidR="00134E64" w:rsidRPr="00EA648D" w:rsidRDefault="00134E64">
            <w:pPr>
              <w:jc w:val="right"/>
              <w:rPr>
                <w:color w:val="000000"/>
                <w:sz w:val="14"/>
                <w:szCs w:val="14"/>
              </w:rPr>
            </w:pPr>
            <w:r w:rsidRPr="00EA648D">
              <w:rPr>
                <w:color w:val="000000"/>
                <w:sz w:val="14"/>
                <w:szCs w:val="14"/>
              </w:rPr>
              <w:t>1,890 (1,210 - 2,800)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25825F2" w14:textId="77777777" w:rsidR="00134E64" w:rsidRPr="00EA648D" w:rsidRDefault="00134E64">
            <w:pPr>
              <w:jc w:val="right"/>
              <w:rPr>
                <w:color w:val="000000"/>
                <w:sz w:val="14"/>
                <w:szCs w:val="14"/>
              </w:rPr>
            </w:pPr>
            <w:r w:rsidRPr="00EA648D">
              <w:rPr>
                <w:color w:val="000000"/>
                <w:sz w:val="14"/>
                <w:szCs w:val="14"/>
              </w:rPr>
              <w:t xml:space="preserve"> 37.3 (23.8 - 55.3)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AB46864" w14:textId="77777777" w:rsidR="00134E64" w:rsidRPr="00EA648D" w:rsidRDefault="00134E64">
            <w:pPr>
              <w:jc w:val="right"/>
              <w:rPr>
                <w:color w:val="000000"/>
                <w:sz w:val="14"/>
                <w:szCs w:val="14"/>
              </w:rPr>
            </w:pPr>
            <w:r w:rsidRPr="00EA648D">
              <w:rPr>
                <w:color w:val="000000"/>
                <w:sz w:val="14"/>
                <w:szCs w:val="14"/>
              </w:rPr>
              <w:t>11.5% (9.8% - 13.3%)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61595FF" w14:textId="77777777" w:rsidR="00134E64" w:rsidRPr="00EA648D" w:rsidRDefault="00134E64">
            <w:pPr>
              <w:jc w:val="right"/>
              <w:rPr>
                <w:color w:val="000000"/>
                <w:sz w:val="14"/>
                <w:szCs w:val="14"/>
              </w:rPr>
            </w:pPr>
            <w:r w:rsidRPr="00EA648D">
              <w:rPr>
                <w:color w:val="000000"/>
                <w:sz w:val="14"/>
                <w:szCs w:val="14"/>
              </w:rPr>
              <w:t>484 (304 - 731)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5285763" w14:textId="77777777" w:rsidR="00134E64" w:rsidRPr="00EA648D" w:rsidRDefault="00134E64">
            <w:pPr>
              <w:jc w:val="right"/>
              <w:rPr>
                <w:color w:val="000000"/>
                <w:sz w:val="14"/>
                <w:szCs w:val="14"/>
              </w:rPr>
            </w:pPr>
            <w:r w:rsidRPr="00EA648D">
              <w:rPr>
                <w:color w:val="000000"/>
                <w:sz w:val="14"/>
                <w:szCs w:val="14"/>
              </w:rPr>
              <w:t xml:space="preserve"> 9.5 (6.0 - 14.4)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AD658D" w14:textId="77777777" w:rsidR="00134E64" w:rsidRPr="00EA648D" w:rsidRDefault="00134E64">
            <w:pPr>
              <w:jc w:val="right"/>
              <w:rPr>
                <w:color w:val="000000"/>
                <w:sz w:val="14"/>
                <w:szCs w:val="14"/>
              </w:rPr>
            </w:pPr>
          </w:p>
        </w:tc>
      </w:tr>
      <w:tr w:rsidR="00FF67C1" w:rsidRPr="00EA648D" w14:paraId="3D964839"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3B020995" w14:textId="77777777" w:rsidR="00134E64" w:rsidRPr="00EA648D" w:rsidRDefault="00134E64">
            <w:pPr>
              <w:rPr>
                <w:color w:val="000000"/>
                <w:sz w:val="14"/>
                <w:szCs w:val="14"/>
              </w:rPr>
            </w:pPr>
            <w:r w:rsidRPr="00EA648D">
              <w:rPr>
                <w:color w:val="000000"/>
                <w:sz w:val="14"/>
                <w:szCs w:val="14"/>
              </w:rPr>
              <w:t>Cuba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8367A03" w14:textId="77777777" w:rsidR="00134E64" w:rsidRPr="00EA648D" w:rsidRDefault="00134E64">
            <w:pPr>
              <w:jc w:val="right"/>
              <w:rPr>
                <w:color w:val="000000"/>
                <w:sz w:val="14"/>
                <w:szCs w:val="14"/>
              </w:rPr>
            </w:pPr>
            <w:r w:rsidRPr="00EA648D">
              <w:rPr>
                <w:color w:val="000000"/>
                <w:sz w:val="14"/>
                <w:szCs w:val="14"/>
              </w:rPr>
              <w:t xml:space="preserve"> 106,000 (89,700 - 124,000)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CF3999C" w14:textId="77777777" w:rsidR="00134E64" w:rsidRPr="00EA648D" w:rsidRDefault="00134E64">
            <w:pPr>
              <w:jc w:val="right"/>
              <w:rPr>
                <w:color w:val="000000"/>
                <w:sz w:val="14"/>
                <w:szCs w:val="14"/>
              </w:rPr>
            </w:pPr>
            <w:r w:rsidRPr="00EA648D">
              <w:rPr>
                <w:color w:val="000000"/>
                <w:sz w:val="14"/>
                <w:szCs w:val="14"/>
              </w:rPr>
              <w:t>552.8 (465.9 - 652.2)</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858CB50" w14:textId="77777777" w:rsidR="00134E64" w:rsidRPr="00EA648D" w:rsidRDefault="00134E64">
            <w:pPr>
              <w:jc w:val="right"/>
              <w:rPr>
                <w:color w:val="000000"/>
                <w:sz w:val="14"/>
                <w:szCs w:val="14"/>
              </w:rPr>
            </w:pPr>
            <w:r w:rsidRPr="00EA648D">
              <w:rPr>
                <w:color w:val="000000"/>
                <w:sz w:val="14"/>
                <w:szCs w:val="14"/>
              </w:rPr>
              <w:t xml:space="preserve"> 17.1% (13.2% - 22.2%)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17CAD81" w14:textId="77777777" w:rsidR="00134E64" w:rsidRPr="00EA648D" w:rsidRDefault="00134E64">
            <w:pPr>
              <w:jc w:val="right"/>
              <w:rPr>
                <w:color w:val="000000"/>
                <w:sz w:val="14"/>
                <w:szCs w:val="14"/>
              </w:rPr>
            </w:pPr>
            <w:r w:rsidRPr="00EA648D">
              <w:rPr>
                <w:color w:val="000000"/>
                <w:sz w:val="14"/>
                <w:szCs w:val="14"/>
              </w:rPr>
              <w:t>18,100 (13,400 - 24,900)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71907DB" w14:textId="77777777" w:rsidR="00134E64" w:rsidRPr="00EA648D" w:rsidRDefault="00134E64">
            <w:pPr>
              <w:jc w:val="right"/>
              <w:rPr>
                <w:color w:val="000000"/>
                <w:sz w:val="14"/>
                <w:szCs w:val="14"/>
              </w:rPr>
            </w:pPr>
            <w:r w:rsidRPr="00EA648D">
              <w:rPr>
                <w:color w:val="000000"/>
                <w:sz w:val="14"/>
                <w:szCs w:val="14"/>
              </w:rPr>
              <w:t>95.3 (70.0 - 131.2)</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64F15CE" w14:textId="77777777" w:rsidR="00134E64" w:rsidRPr="00EA648D" w:rsidRDefault="00134E64">
            <w:pPr>
              <w:jc w:val="right"/>
              <w:rPr>
                <w:color w:val="000000"/>
                <w:sz w:val="14"/>
                <w:szCs w:val="14"/>
              </w:rPr>
            </w:pPr>
            <w:r w:rsidRPr="00EA648D">
              <w:rPr>
                <w:color w:val="000000"/>
                <w:sz w:val="14"/>
                <w:szCs w:val="14"/>
              </w:rPr>
              <w:t xml:space="preserve"> 37.4% (34.2% - 40.5%)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30450FD" w14:textId="77777777" w:rsidR="00134E64" w:rsidRPr="00EA648D" w:rsidRDefault="00134E64">
            <w:pPr>
              <w:jc w:val="right"/>
              <w:rPr>
                <w:color w:val="000000"/>
                <w:sz w:val="14"/>
                <w:szCs w:val="14"/>
              </w:rPr>
            </w:pPr>
            <w:r w:rsidRPr="00EA648D">
              <w:rPr>
                <w:color w:val="000000"/>
                <w:sz w:val="14"/>
                <w:szCs w:val="14"/>
              </w:rPr>
              <w:t>6,830 (4,700 - 10,000)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7A3A286" w14:textId="77777777" w:rsidR="00134E64" w:rsidRPr="00EA648D" w:rsidRDefault="00134E64">
            <w:pPr>
              <w:jc w:val="right"/>
              <w:rPr>
                <w:color w:val="000000"/>
                <w:sz w:val="14"/>
                <w:szCs w:val="14"/>
              </w:rPr>
            </w:pPr>
            <w:r w:rsidRPr="00EA648D">
              <w:rPr>
                <w:color w:val="000000"/>
                <w:sz w:val="14"/>
                <w:szCs w:val="14"/>
              </w:rPr>
              <w:t xml:space="preserve"> 35.9 (24.6 - 52.9)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B9EB363" w14:textId="77777777" w:rsidR="00134E64" w:rsidRPr="00EA648D" w:rsidRDefault="00134E64">
            <w:pPr>
              <w:jc w:val="right"/>
              <w:rPr>
                <w:color w:val="000000"/>
                <w:sz w:val="14"/>
                <w:szCs w:val="14"/>
              </w:rPr>
            </w:pPr>
            <w:r w:rsidRPr="00EA648D">
              <w:rPr>
                <w:color w:val="000000"/>
                <w:sz w:val="14"/>
                <w:szCs w:val="14"/>
              </w:rPr>
              <w:t>9.2% (7.8% - 10.7%)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254CC76" w14:textId="77777777" w:rsidR="00134E64" w:rsidRPr="00EA648D" w:rsidRDefault="00134E64">
            <w:pPr>
              <w:jc w:val="right"/>
              <w:rPr>
                <w:color w:val="000000"/>
                <w:sz w:val="14"/>
                <w:szCs w:val="14"/>
              </w:rPr>
            </w:pPr>
            <w:r w:rsidRPr="00EA648D">
              <w:rPr>
                <w:color w:val="000000"/>
                <w:sz w:val="14"/>
                <w:szCs w:val="14"/>
              </w:rPr>
              <w:t>1,680 (1,120 - 2,520)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A348922" w14:textId="77777777" w:rsidR="00134E64" w:rsidRPr="00EA648D" w:rsidRDefault="00134E64">
            <w:pPr>
              <w:jc w:val="right"/>
              <w:rPr>
                <w:color w:val="000000"/>
                <w:sz w:val="14"/>
                <w:szCs w:val="14"/>
              </w:rPr>
            </w:pPr>
            <w:r w:rsidRPr="00EA648D">
              <w:rPr>
                <w:color w:val="000000"/>
                <w:sz w:val="14"/>
                <w:szCs w:val="14"/>
              </w:rPr>
              <w:t xml:space="preserve"> 8.8 (5.8 - 13.3)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7DB505" w14:textId="77777777" w:rsidR="00134E64" w:rsidRPr="00EA648D" w:rsidRDefault="00134E64">
            <w:pPr>
              <w:jc w:val="right"/>
              <w:rPr>
                <w:color w:val="000000"/>
                <w:sz w:val="14"/>
                <w:szCs w:val="14"/>
              </w:rPr>
            </w:pPr>
          </w:p>
        </w:tc>
      </w:tr>
      <w:tr w:rsidR="005C6575" w:rsidRPr="00EA648D" w14:paraId="690087C2"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495D9084" w14:textId="77777777" w:rsidR="00134E64" w:rsidRPr="00EA648D" w:rsidRDefault="00134E64">
            <w:pPr>
              <w:rPr>
                <w:color w:val="000000"/>
                <w:sz w:val="14"/>
                <w:szCs w:val="14"/>
              </w:rPr>
            </w:pPr>
            <w:r w:rsidRPr="00EA648D">
              <w:rPr>
                <w:color w:val="000000"/>
                <w:sz w:val="14"/>
                <w:szCs w:val="14"/>
              </w:rPr>
              <w:lastRenderedPageBreak/>
              <w:t>Dominica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57E01AE" w14:textId="77777777" w:rsidR="00134E64" w:rsidRPr="00EA648D" w:rsidRDefault="00134E64">
            <w:pPr>
              <w:jc w:val="right"/>
              <w:rPr>
                <w:color w:val="000000"/>
                <w:sz w:val="14"/>
                <w:szCs w:val="14"/>
              </w:rPr>
            </w:pPr>
            <w:r w:rsidRPr="00EA648D">
              <w:rPr>
                <w:color w:val="000000"/>
                <w:sz w:val="14"/>
                <w:szCs w:val="14"/>
              </w:rPr>
              <w:t xml:space="preserve"> 735 (636 - 863)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E132F00" w14:textId="77777777" w:rsidR="00134E64" w:rsidRPr="00EA648D" w:rsidRDefault="00134E64">
            <w:pPr>
              <w:jc w:val="right"/>
              <w:rPr>
                <w:color w:val="000000"/>
                <w:sz w:val="14"/>
                <w:szCs w:val="14"/>
              </w:rPr>
            </w:pPr>
            <w:r w:rsidRPr="00EA648D">
              <w:rPr>
                <w:color w:val="000000"/>
                <w:sz w:val="14"/>
                <w:szCs w:val="14"/>
              </w:rPr>
              <w:t>857.0 (734.3 - 1014.2)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0FEF514" w14:textId="77777777" w:rsidR="00134E64" w:rsidRPr="00EA648D" w:rsidRDefault="00134E64">
            <w:pPr>
              <w:jc w:val="right"/>
              <w:rPr>
                <w:color w:val="000000"/>
                <w:sz w:val="14"/>
                <w:szCs w:val="14"/>
              </w:rPr>
            </w:pPr>
            <w:r w:rsidRPr="00EA648D">
              <w:rPr>
                <w:color w:val="000000"/>
                <w:sz w:val="14"/>
                <w:szCs w:val="14"/>
              </w:rPr>
              <w:t xml:space="preserve"> 19.5% (14.5% - 25.9%)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00CF7A1" w14:textId="77777777" w:rsidR="00134E64" w:rsidRPr="00EA648D" w:rsidRDefault="00134E64">
            <w:pPr>
              <w:jc w:val="right"/>
              <w:rPr>
                <w:color w:val="000000"/>
                <w:sz w:val="14"/>
                <w:szCs w:val="14"/>
              </w:rPr>
            </w:pPr>
            <w:r w:rsidRPr="00EA648D">
              <w:rPr>
                <w:color w:val="000000"/>
                <w:sz w:val="14"/>
                <w:szCs w:val="14"/>
              </w:rPr>
              <w:t>144 (100 - 198)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C849C9B" w14:textId="77777777" w:rsidR="00134E64" w:rsidRPr="00EA648D" w:rsidRDefault="00134E64">
            <w:pPr>
              <w:jc w:val="right"/>
              <w:rPr>
                <w:color w:val="000000"/>
                <w:sz w:val="14"/>
                <w:szCs w:val="14"/>
              </w:rPr>
            </w:pPr>
            <w:r w:rsidRPr="00EA648D">
              <w:rPr>
                <w:color w:val="000000"/>
                <w:sz w:val="14"/>
                <w:szCs w:val="14"/>
              </w:rPr>
              <w:t>174.6 (121.5 - 241.4)</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67893DE" w14:textId="77777777" w:rsidR="00134E64" w:rsidRPr="00EA648D" w:rsidRDefault="00134E64">
            <w:pPr>
              <w:jc w:val="right"/>
              <w:rPr>
                <w:color w:val="000000"/>
                <w:sz w:val="14"/>
                <w:szCs w:val="14"/>
              </w:rPr>
            </w:pPr>
            <w:r w:rsidRPr="00EA648D">
              <w:rPr>
                <w:color w:val="000000"/>
                <w:sz w:val="14"/>
                <w:szCs w:val="14"/>
              </w:rPr>
              <w:t xml:space="preserve"> 41.8% (38.3% - 44.7%)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ACD7D90" w14:textId="77777777" w:rsidR="00134E64" w:rsidRPr="00EA648D" w:rsidRDefault="00134E64">
            <w:pPr>
              <w:jc w:val="right"/>
              <w:rPr>
                <w:color w:val="000000"/>
                <w:sz w:val="14"/>
                <w:szCs w:val="14"/>
              </w:rPr>
            </w:pPr>
            <w:r w:rsidRPr="00EA648D">
              <w:rPr>
                <w:color w:val="000000"/>
                <w:sz w:val="14"/>
                <w:szCs w:val="14"/>
              </w:rPr>
              <w:t>60 (39 - 86)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856E3BD" w14:textId="77777777" w:rsidR="00134E64" w:rsidRPr="00EA648D" w:rsidRDefault="00134E64">
            <w:pPr>
              <w:jc w:val="right"/>
              <w:rPr>
                <w:color w:val="000000"/>
                <w:sz w:val="14"/>
                <w:szCs w:val="14"/>
              </w:rPr>
            </w:pPr>
            <w:r w:rsidRPr="00EA648D">
              <w:rPr>
                <w:color w:val="000000"/>
                <w:sz w:val="14"/>
                <w:szCs w:val="14"/>
              </w:rPr>
              <w:t xml:space="preserve"> 72.0 (46.5 - 103.5)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86BAF30" w14:textId="77777777" w:rsidR="00134E64" w:rsidRPr="00EA648D" w:rsidRDefault="00134E64">
            <w:pPr>
              <w:jc w:val="right"/>
              <w:rPr>
                <w:color w:val="000000"/>
                <w:sz w:val="14"/>
                <w:szCs w:val="14"/>
              </w:rPr>
            </w:pPr>
            <w:r w:rsidRPr="00EA648D">
              <w:rPr>
                <w:color w:val="000000"/>
                <w:sz w:val="14"/>
                <w:szCs w:val="14"/>
              </w:rPr>
              <w:t>10.7% (9.3% - 12.1%)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62CA300" w14:textId="77777777" w:rsidR="00134E64" w:rsidRPr="00EA648D" w:rsidRDefault="00134E64">
            <w:pPr>
              <w:jc w:val="right"/>
              <w:rPr>
                <w:color w:val="000000"/>
                <w:sz w:val="14"/>
                <w:szCs w:val="14"/>
              </w:rPr>
            </w:pPr>
            <w:r w:rsidRPr="00EA648D">
              <w:rPr>
                <w:color w:val="000000"/>
                <w:sz w:val="14"/>
                <w:szCs w:val="14"/>
              </w:rPr>
              <w:t>16 (10 - 23)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975F350" w14:textId="77777777" w:rsidR="00134E64" w:rsidRPr="00EA648D" w:rsidRDefault="00134E64">
            <w:pPr>
              <w:jc w:val="right"/>
              <w:rPr>
                <w:color w:val="000000"/>
                <w:sz w:val="14"/>
                <w:szCs w:val="14"/>
              </w:rPr>
            </w:pPr>
            <w:r w:rsidRPr="00EA648D">
              <w:rPr>
                <w:color w:val="000000"/>
                <w:sz w:val="14"/>
                <w:szCs w:val="14"/>
              </w:rPr>
              <w:t xml:space="preserve"> 18.4 (11.7 - 27.1)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44CBB" w14:textId="77777777" w:rsidR="00134E64" w:rsidRPr="00EA648D" w:rsidRDefault="00134E64">
            <w:pPr>
              <w:jc w:val="right"/>
              <w:rPr>
                <w:color w:val="000000"/>
                <w:sz w:val="14"/>
                <w:szCs w:val="14"/>
              </w:rPr>
            </w:pPr>
          </w:p>
        </w:tc>
      </w:tr>
      <w:tr w:rsidR="00FF67C1" w:rsidRPr="00EA648D" w14:paraId="55CFE786"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546517E9" w14:textId="77777777" w:rsidR="00134E64" w:rsidRPr="00EA648D" w:rsidRDefault="00134E64">
            <w:pPr>
              <w:rPr>
                <w:color w:val="000000"/>
                <w:sz w:val="14"/>
                <w:szCs w:val="14"/>
              </w:rPr>
            </w:pPr>
            <w:r w:rsidRPr="00EA648D">
              <w:rPr>
                <w:color w:val="000000"/>
                <w:sz w:val="14"/>
                <w:szCs w:val="14"/>
              </w:rPr>
              <w:t>Dominican Republic</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55317D7" w14:textId="77777777" w:rsidR="00134E64" w:rsidRPr="00EA648D" w:rsidRDefault="00134E64">
            <w:pPr>
              <w:jc w:val="right"/>
              <w:rPr>
                <w:color w:val="000000"/>
                <w:sz w:val="14"/>
                <w:szCs w:val="14"/>
              </w:rPr>
            </w:pPr>
            <w:r w:rsidRPr="00EA648D">
              <w:rPr>
                <w:color w:val="000000"/>
                <w:sz w:val="14"/>
                <w:szCs w:val="14"/>
              </w:rPr>
              <w:t xml:space="preserve"> 70,500 (57,300 - 87,100)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FC676EA" w14:textId="77777777" w:rsidR="00134E64" w:rsidRPr="00EA648D" w:rsidRDefault="00134E64">
            <w:pPr>
              <w:jc w:val="right"/>
              <w:rPr>
                <w:color w:val="000000"/>
                <w:sz w:val="14"/>
                <w:szCs w:val="14"/>
              </w:rPr>
            </w:pPr>
            <w:r w:rsidRPr="00EA648D">
              <w:rPr>
                <w:color w:val="000000"/>
                <w:sz w:val="14"/>
                <w:szCs w:val="14"/>
              </w:rPr>
              <w:t>766.3 (628.5 - 939.3)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BCCA063" w14:textId="77777777" w:rsidR="00134E64" w:rsidRPr="00EA648D" w:rsidRDefault="00134E64">
            <w:pPr>
              <w:jc w:val="right"/>
              <w:rPr>
                <w:color w:val="000000"/>
                <w:sz w:val="14"/>
                <w:szCs w:val="14"/>
              </w:rPr>
            </w:pPr>
            <w:r w:rsidRPr="00EA648D">
              <w:rPr>
                <w:color w:val="000000"/>
                <w:sz w:val="14"/>
                <w:szCs w:val="14"/>
              </w:rPr>
              <w:t xml:space="preserve"> 20.1% (15.0% - 26.3%)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431C458" w14:textId="77777777" w:rsidR="00134E64" w:rsidRPr="00EA648D" w:rsidRDefault="00134E64">
            <w:pPr>
              <w:jc w:val="right"/>
              <w:rPr>
                <w:color w:val="000000"/>
                <w:sz w:val="14"/>
                <w:szCs w:val="14"/>
              </w:rPr>
            </w:pPr>
            <w:r w:rsidRPr="00EA648D">
              <w:rPr>
                <w:color w:val="000000"/>
                <w:sz w:val="14"/>
                <w:szCs w:val="14"/>
              </w:rPr>
              <w:t>14,200 (9,640 - 20,100)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446174B" w14:textId="77777777" w:rsidR="00134E64" w:rsidRPr="00EA648D" w:rsidRDefault="00134E64">
            <w:pPr>
              <w:jc w:val="right"/>
              <w:rPr>
                <w:color w:val="000000"/>
                <w:sz w:val="14"/>
                <w:szCs w:val="14"/>
              </w:rPr>
            </w:pPr>
            <w:r w:rsidRPr="00EA648D">
              <w:rPr>
                <w:color w:val="000000"/>
                <w:sz w:val="14"/>
                <w:szCs w:val="14"/>
              </w:rPr>
              <w:t>149.5 (101.7 - 212.0)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FF88259" w14:textId="77777777" w:rsidR="00134E64" w:rsidRPr="00EA648D" w:rsidRDefault="00134E64">
            <w:pPr>
              <w:jc w:val="right"/>
              <w:rPr>
                <w:color w:val="000000"/>
                <w:sz w:val="14"/>
                <w:szCs w:val="14"/>
              </w:rPr>
            </w:pPr>
            <w:r w:rsidRPr="00EA648D">
              <w:rPr>
                <w:color w:val="000000"/>
                <w:sz w:val="14"/>
                <w:szCs w:val="14"/>
              </w:rPr>
              <w:t xml:space="preserve"> 38.6% (35.0% - 41.9%)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BAD4B9A" w14:textId="77777777" w:rsidR="00134E64" w:rsidRPr="00EA648D" w:rsidRDefault="00134E64">
            <w:pPr>
              <w:jc w:val="right"/>
              <w:rPr>
                <w:color w:val="000000"/>
                <w:sz w:val="14"/>
                <w:szCs w:val="14"/>
              </w:rPr>
            </w:pPr>
            <w:r w:rsidRPr="00EA648D">
              <w:rPr>
                <w:color w:val="000000"/>
                <w:sz w:val="14"/>
                <w:szCs w:val="14"/>
              </w:rPr>
              <w:t>5,500 (3,440 - 8,270)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23A206B" w14:textId="77777777" w:rsidR="00134E64" w:rsidRPr="00EA648D" w:rsidRDefault="00134E64">
            <w:pPr>
              <w:jc w:val="right"/>
              <w:rPr>
                <w:color w:val="000000"/>
                <w:sz w:val="14"/>
                <w:szCs w:val="14"/>
              </w:rPr>
            </w:pPr>
            <w:r w:rsidRPr="00EA648D">
              <w:rPr>
                <w:color w:val="000000"/>
                <w:sz w:val="14"/>
                <w:szCs w:val="14"/>
              </w:rPr>
              <w:t xml:space="preserve"> 59.4 (37.4 - 89.4)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AFAA207" w14:textId="77777777" w:rsidR="00134E64" w:rsidRPr="00EA648D" w:rsidRDefault="00134E64">
            <w:pPr>
              <w:jc w:val="right"/>
              <w:rPr>
                <w:color w:val="000000"/>
                <w:sz w:val="14"/>
                <w:szCs w:val="14"/>
              </w:rPr>
            </w:pPr>
            <w:r w:rsidRPr="00EA648D">
              <w:rPr>
                <w:color w:val="000000"/>
                <w:sz w:val="14"/>
                <w:szCs w:val="14"/>
              </w:rPr>
              <w:t>9.7% (8.4% - 11.2%)</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C26DBBB" w14:textId="77777777" w:rsidR="00134E64" w:rsidRPr="00EA648D" w:rsidRDefault="00134E64">
            <w:pPr>
              <w:jc w:val="right"/>
              <w:rPr>
                <w:color w:val="000000"/>
                <w:sz w:val="14"/>
                <w:szCs w:val="14"/>
              </w:rPr>
            </w:pPr>
            <w:r w:rsidRPr="00EA648D">
              <w:rPr>
                <w:color w:val="000000"/>
                <w:sz w:val="14"/>
                <w:szCs w:val="14"/>
              </w:rPr>
              <w:t>1,390 (870 - 2,090)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9C87211" w14:textId="77777777" w:rsidR="00134E64" w:rsidRPr="00EA648D" w:rsidRDefault="00134E64">
            <w:pPr>
              <w:jc w:val="right"/>
              <w:rPr>
                <w:color w:val="000000"/>
                <w:sz w:val="14"/>
                <w:szCs w:val="14"/>
              </w:rPr>
            </w:pPr>
            <w:r w:rsidRPr="00EA648D">
              <w:rPr>
                <w:color w:val="000000"/>
                <w:sz w:val="14"/>
                <w:szCs w:val="14"/>
              </w:rPr>
              <w:t xml:space="preserve"> 15.0 (9.4 - 22.6)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CCEDE9" w14:textId="77777777" w:rsidR="00134E64" w:rsidRPr="00EA648D" w:rsidRDefault="00134E64">
            <w:pPr>
              <w:jc w:val="right"/>
              <w:rPr>
                <w:color w:val="000000"/>
                <w:sz w:val="14"/>
                <w:szCs w:val="14"/>
              </w:rPr>
            </w:pPr>
          </w:p>
        </w:tc>
      </w:tr>
      <w:tr w:rsidR="005C6575" w:rsidRPr="00EA648D" w14:paraId="65238C9F"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23F1DE64" w14:textId="77777777" w:rsidR="00134E64" w:rsidRPr="00EA648D" w:rsidRDefault="00134E64">
            <w:pPr>
              <w:rPr>
                <w:color w:val="000000"/>
                <w:sz w:val="14"/>
                <w:szCs w:val="14"/>
              </w:rPr>
            </w:pPr>
            <w:r w:rsidRPr="00EA648D">
              <w:rPr>
                <w:color w:val="000000"/>
                <w:sz w:val="14"/>
                <w:szCs w:val="14"/>
              </w:rPr>
              <w:t>Ecuador</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0ED6C96" w14:textId="77777777" w:rsidR="00134E64" w:rsidRPr="00EA648D" w:rsidRDefault="00134E64">
            <w:pPr>
              <w:jc w:val="right"/>
              <w:rPr>
                <w:color w:val="000000"/>
                <w:sz w:val="14"/>
                <w:szCs w:val="14"/>
              </w:rPr>
            </w:pPr>
            <w:r w:rsidRPr="00EA648D">
              <w:rPr>
                <w:color w:val="000000"/>
                <w:sz w:val="14"/>
                <w:szCs w:val="14"/>
              </w:rPr>
              <w:t xml:space="preserve"> 92,500 (76,600 - 113,000)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F6B6A30" w14:textId="77777777" w:rsidR="00134E64" w:rsidRPr="00EA648D" w:rsidRDefault="00134E64">
            <w:pPr>
              <w:jc w:val="right"/>
              <w:rPr>
                <w:color w:val="000000"/>
                <w:sz w:val="14"/>
                <w:szCs w:val="14"/>
              </w:rPr>
            </w:pPr>
            <w:r w:rsidRPr="00EA648D">
              <w:rPr>
                <w:color w:val="000000"/>
                <w:sz w:val="14"/>
                <w:szCs w:val="14"/>
              </w:rPr>
              <w:t>655.4 (544.7 - 798.2)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6D5C060" w14:textId="77777777" w:rsidR="00134E64" w:rsidRPr="00EA648D" w:rsidRDefault="00134E64">
            <w:pPr>
              <w:jc w:val="right"/>
              <w:rPr>
                <w:color w:val="000000"/>
                <w:sz w:val="14"/>
                <w:szCs w:val="14"/>
              </w:rPr>
            </w:pPr>
            <w:r w:rsidRPr="00EA648D">
              <w:rPr>
                <w:color w:val="000000"/>
                <w:sz w:val="14"/>
                <w:szCs w:val="14"/>
              </w:rPr>
              <w:t xml:space="preserve"> 22.3% (17.0% - 28.9%)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1421656" w14:textId="77777777" w:rsidR="00134E64" w:rsidRPr="00EA648D" w:rsidRDefault="00134E64">
            <w:pPr>
              <w:jc w:val="right"/>
              <w:rPr>
                <w:color w:val="000000"/>
                <w:sz w:val="14"/>
                <w:szCs w:val="14"/>
              </w:rPr>
            </w:pPr>
            <w:r w:rsidRPr="00EA648D">
              <w:rPr>
                <w:color w:val="000000"/>
                <w:sz w:val="14"/>
                <w:szCs w:val="14"/>
              </w:rPr>
              <w:t>20,600 (15,000 - 28,200)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F5FDDEC" w14:textId="77777777" w:rsidR="00134E64" w:rsidRPr="00EA648D" w:rsidRDefault="00134E64">
            <w:pPr>
              <w:jc w:val="right"/>
              <w:rPr>
                <w:color w:val="000000"/>
                <w:sz w:val="14"/>
                <w:szCs w:val="14"/>
              </w:rPr>
            </w:pPr>
            <w:r w:rsidRPr="00EA648D">
              <w:rPr>
                <w:color w:val="000000"/>
                <w:sz w:val="14"/>
                <w:szCs w:val="14"/>
              </w:rPr>
              <w:t>146.8 (106.8 - 200.6)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BD18A2A" w14:textId="77777777" w:rsidR="00134E64" w:rsidRPr="00EA648D" w:rsidRDefault="00134E64">
            <w:pPr>
              <w:jc w:val="right"/>
              <w:rPr>
                <w:color w:val="000000"/>
                <w:sz w:val="14"/>
                <w:szCs w:val="14"/>
              </w:rPr>
            </w:pPr>
            <w:r w:rsidRPr="00EA648D">
              <w:rPr>
                <w:color w:val="000000"/>
                <w:sz w:val="14"/>
                <w:szCs w:val="14"/>
              </w:rPr>
              <w:t xml:space="preserve"> 44.8% (42.3% - 47.3%)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0AE4886" w14:textId="77777777" w:rsidR="00134E64" w:rsidRPr="00EA648D" w:rsidRDefault="00134E64">
            <w:pPr>
              <w:jc w:val="right"/>
              <w:rPr>
                <w:color w:val="000000"/>
                <w:sz w:val="14"/>
                <w:szCs w:val="14"/>
              </w:rPr>
            </w:pPr>
            <w:r w:rsidRPr="00EA648D">
              <w:rPr>
                <w:color w:val="000000"/>
                <w:sz w:val="14"/>
                <w:szCs w:val="14"/>
              </w:rPr>
              <w:t>9,290 (6,430 - 13,100)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920F94D" w14:textId="77777777" w:rsidR="00134E64" w:rsidRPr="00EA648D" w:rsidRDefault="00134E64">
            <w:pPr>
              <w:jc w:val="right"/>
              <w:rPr>
                <w:color w:val="000000"/>
                <w:sz w:val="14"/>
                <w:szCs w:val="14"/>
              </w:rPr>
            </w:pPr>
            <w:r w:rsidRPr="00EA648D">
              <w:rPr>
                <w:color w:val="000000"/>
                <w:sz w:val="14"/>
                <w:szCs w:val="14"/>
              </w:rPr>
              <w:t xml:space="preserve"> 66.9 (46.4 - 94.1)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108B06D" w14:textId="77777777" w:rsidR="00134E64" w:rsidRPr="00EA648D" w:rsidRDefault="00134E64">
            <w:pPr>
              <w:jc w:val="right"/>
              <w:rPr>
                <w:color w:val="000000"/>
                <w:sz w:val="14"/>
                <w:szCs w:val="14"/>
              </w:rPr>
            </w:pPr>
            <w:r w:rsidRPr="00EA648D">
              <w:rPr>
                <w:color w:val="000000"/>
                <w:sz w:val="14"/>
                <w:szCs w:val="14"/>
              </w:rPr>
              <w:t>11.6% (10.2% - 13.1%)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5651AF1" w14:textId="77777777" w:rsidR="00134E64" w:rsidRPr="00EA648D" w:rsidRDefault="00134E64">
            <w:pPr>
              <w:jc w:val="right"/>
              <w:rPr>
                <w:color w:val="000000"/>
                <w:sz w:val="14"/>
                <w:szCs w:val="14"/>
              </w:rPr>
            </w:pPr>
            <w:r w:rsidRPr="00EA648D">
              <w:rPr>
                <w:color w:val="000000"/>
                <w:sz w:val="14"/>
                <w:szCs w:val="14"/>
              </w:rPr>
              <w:t>2,410 (1,620 - 3,440)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2C7651F" w14:textId="77777777" w:rsidR="00134E64" w:rsidRPr="00EA648D" w:rsidRDefault="00134E64">
            <w:pPr>
              <w:jc w:val="right"/>
              <w:rPr>
                <w:color w:val="000000"/>
                <w:sz w:val="14"/>
                <w:szCs w:val="14"/>
              </w:rPr>
            </w:pPr>
            <w:r w:rsidRPr="00EA648D">
              <w:rPr>
                <w:color w:val="000000"/>
                <w:sz w:val="14"/>
                <w:szCs w:val="14"/>
              </w:rPr>
              <w:t xml:space="preserve"> 17.3 (11.7 - 24.6)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7F1A5F" w14:textId="77777777" w:rsidR="00134E64" w:rsidRPr="00EA648D" w:rsidRDefault="00134E64">
            <w:pPr>
              <w:jc w:val="right"/>
              <w:rPr>
                <w:color w:val="000000"/>
                <w:sz w:val="14"/>
                <w:szCs w:val="14"/>
              </w:rPr>
            </w:pPr>
          </w:p>
        </w:tc>
      </w:tr>
      <w:tr w:rsidR="00FF67C1" w:rsidRPr="00EA648D" w14:paraId="63542F19"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1FD68EFF" w14:textId="77777777" w:rsidR="00134E64" w:rsidRPr="00EA648D" w:rsidRDefault="00134E64">
            <w:pPr>
              <w:rPr>
                <w:color w:val="000000"/>
                <w:sz w:val="14"/>
                <w:szCs w:val="14"/>
              </w:rPr>
            </w:pPr>
            <w:r w:rsidRPr="00EA648D">
              <w:rPr>
                <w:color w:val="000000"/>
                <w:sz w:val="14"/>
                <w:szCs w:val="14"/>
              </w:rPr>
              <w:t>El Salvador</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538A14F" w14:textId="77777777" w:rsidR="00134E64" w:rsidRPr="00EA648D" w:rsidRDefault="00134E64">
            <w:pPr>
              <w:jc w:val="right"/>
              <w:rPr>
                <w:color w:val="000000"/>
                <w:sz w:val="14"/>
                <w:szCs w:val="14"/>
              </w:rPr>
            </w:pPr>
            <w:r w:rsidRPr="00EA648D">
              <w:rPr>
                <w:color w:val="000000"/>
                <w:sz w:val="14"/>
                <w:szCs w:val="14"/>
              </w:rPr>
              <w:t xml:space="preserve"> 40,200 (31,800 - 50,200)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89110EA" w14:textId="77777777" w:rsidR="00134E64" w:rsidRPr="00EA648D" w:rsidRDefault="00134E64">
            <w:pPr>
              <w:jc w:val="right"/>
              <w:rPr>
                <w:color w:val="000000"/>
                <w:sz w:val="14"/>
                <w:szCs w:val="14"/>
              </w:rPr>
            </w:pPr>
            <w:r w:rsidRPr="00EA648D">
              <w:rPr>
                <w:color w:val="000000"/>
                <w:sz w:val="14"/>
                <w:szCs w:val="14"/>
              </w:rPr>
              <w:t>640.7 (503.2 - 804.5)</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042CA36" w14:textId="77777777" w:rsidR="00134E64" w:rsidRPr="00EA648D" w:rsidRDefault="00134E64">
            <w:pPr>
              <w:jc w:val="right"/>
              <w:rPr>
                <w:color w:val="000000"/>
                <w:sz w:val="14"/>
                <w:szCs w:val="14"/>
              </w:rPr>
            </w:pPr>
            <w:r w:rsidRPr="00EA648D">
              <w:rPr>
                <w:color w:val="000000"/>
                <w:sz w:val="14"/>
                <w:szCs w:val="14"/>
              </w:rPr>
              <w:t xml:space="preserve"> 20.5% (15.7% - 26.8%)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D542DFE" w14:textId="77777777" w:rsidR="00134E64" w:rsidRPr="00EA648D" w:rsidRDefault="00134E64">
            <w:pPr>
              <w:jc w:val="right"/>
              <w:rPr>
                <w:color w:val="000000"/>
                <w:sz w:val="14"/>
                <w:szCs w:val="14"/>
              </w:rPr>
            </w:pPr>
            <w:r w:rsidRPr="00EA648D">
              <w:rPr>
                <w:color w:val="000000"/>
                <w:sz w:val="14"/>
                <w:szCs w:val="14"/>
              </w:rPr>
              <w:t>8,230 (5,650 - 11,600)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17541D6" w14:textId="77777777" w:rsidR="00134E64" w:rsidRPr="00EA648D" w:rsidRDefault="00134E64">
            <w:pPr>
              <w:jc w:val="right"/>
              <w:rPr>
                <w:color w:val="000000"/>
                <w:sz w:val="14"/>
                <w:szCs w:val="14"/>
              </w:rPr>
            </w:pPr>
            <w:r w:rsidRPr="00EA648D">
              <w:rPr>
                <w:color w:val="000000"/>
                <w:sz w:val="14"/>
                <w:szCs w:val="14"/>
              </w:rPr>
              <w:t>132.4 (90.0 - 187.1)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A6BA367" w14:textId="77777777" w:rsidR="00134E64" w:rsidRPr="00EA648D" w:rsidRDefault="00134E64">
            <w:pPr>
              <w:jc w:val="right"/>
              <w:rPr>
                <w:color w:val="000000"/>
                <w:sz w:val="14"/>
                <w:szCs w:val="14"/>
              </w:rPr>
            </w:pPr>
            <w:r w:rsidRPr="00EA648D">
              <w:rPr>
                <w:color w:val="000000"/>
                <w:sz w:val="14"/>
                <w:szCs w:val="14"/>
              </w:rPr>
              <w:t xml:space="preserve"> 41.0% (38.1% - 44.0%)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E689F81" w14:textId="77777777" w:rsidR="00134E64" w:rsidRPr="00EA648D" w:rsidRDefault="00134E64">
            <w:pPr>
              <w:jc w:val="right"/>
              <w:rPr>
                <w:color w:val="000000"/>
                <w:sz w:val="14"/>
                <w:szCs w:val="14"/>
              </w:rPr>
            </w:pPr>
            <w:r w:rsidRPr="00EA648D">
              <w:rPr>
                <w:color w:val="000000"/>
                <w:sz w:val="14"/>
                <w:szCs w:val="14"/>
              </w:rPr>
              <w:t>3,390 (2,210 - 4,930)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EBBDFB8" w14:textId="77777777" w:rsidR="00134E64" w:rsidRPr="00EA648D" w:rsidRDefault="00134E64">
            <w:pPr>
              <w:jc w:val="right"/>
              <w:rPr>
                <w:color w:val="000000"/>
                <w:sz w:val="14"/>
                <w:szCs w:val="14"/>
              </w:rPr>
            </w:pPr>
            <w:r w:rsidRPr="00EA648D">
              <w:rPr>
                <w:color w:val="000000"/>
                <w:sz w:val="14"/>
                <w:szCs w:val="14"/>
              </w:rPr>
              <w:t xml:space="preserve"> 54.5 (35.3 - 79.6)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882771A" w14:textId="77777777" w:rsidR="00134E64" w:rsidRPr="00EA648D" w:rsidRDefault="00134E64">
            <w:pPr>
              <w:jc w:val="right"/>
              <w:rPr>
                <w:color w:val="000000"/>
                <w:sz w:val="14"/>
                <w:szCs w:val="14"/>
              </w:rPr>
            </w:pPr>
            <w:r w:rsidRPr="00EA648D">
              <w:rPr>
                <w:color w:val="000000"/>
                <w:sz w:val="14"/>
                <w:szCs w:val="14"/>
              </w:rPr>
              <w:t>10.4% (8.9% - 12.0%)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01FF171" w14:textId="77777777" w:rsidR="00134E64" w:rsidRPr="00EA648D" w:rsidRDefault="00134E64">
            <w:pPr>
              <w:jc w:val="right"/>
              <w:rPr>
                <w:color w:val="000000"/>
                <w:sz w:val="14"/>
                <w:szCs w:val="14"/>
              </w:rPr>
            </w:pPr>
            <w:r w:rsidRPr="00EA648D">
              <w:rPr>
                <w:color w:val="000000"/>
                <w:sz w:val="14"/>
                <w:szCs w:val="14"/>
              </w:rPr>
              <w:t>857 (546 - 1,290)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47E6374" w14:textId="77777777" w:rsidR="00134E64" w:rsidRPr="00EA648D" w:rsidRDefault="00134E64">
            <w:pPr>
              <w:jc w:val="right"/>
              <w:rPr>
                <w:color w:val="000000"/>
                <w:sz w:val="14"/>
                <w:szCs w:val="14"/>
              </w:rPr>
            </w:pPr>
            <w:r w:rsidRPr="00EA648D">
              <w:rPr>
                <w:color w:val="000000"/>
                <w:sz w:val="14"/>
                <w:szCs w:val="14"/>
              </w:rPr>
              <w:t xml:space="preserve"> 13.8 (8.7 - 20.8)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BA2618" w14:textId="77777777" w:rsidR="00134E64" w:rsidRPr="00EA648D" w:rsidRDefault="00134E64">
            <w:pPr>
              <w:jc w:val="right"/>
              <w:rPr>
                <w:color w:val="000000"/>
                <w:sz w:val="14"/>
                <w:szCs w:val="14"/>
              </w:rPr>
            </w:pPr>
          </w:p>
        </w:tc>
      </w:tr>
      <w:tr w:rsidR="005C6575" w:rsidRPr="00EA648D" w14:paraId="3FAF3770"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2F9FBDC1" w14:textId="77777777" w:rsidR="00134E64" w:rsidRPr="00EA648D" w:rsidRDefault="00134E64">
            <w:pPr>
              <w:rPr>
                <w:color w:val="000000"/>
                <w:sz w:val="14"/>
                <w:szCs w:val="14"/>
              </w:rPr>
            </w:pPr>
            <w:r w:rsidRPr="00EA648D">
              <w:rPr>
                <w:color w:val="000000"/>
                <w:sz w:val="14"/>
                <w:szCs w:val="14"/>
              </w:rPr>
              <w:t>Grenada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E3F6FA1" w14:textId="77777777" w:rsidR="00134E64" w:rsidRPr="00EA648D" w:rsidRDefault="00134E64">
            <w:pPr>
              <w:jc w:val="right"/>
              <w:rPr>
                <w:color w:val="000000"/>
                <w:sz w:val="14"/>
                <w:szCs w:val="14"/>
              </w:rPr>
            </w:pPr>
            <w:r w:rsidRPr="00EA648D">
              <w:rPr>
                <w:color w:val="000000"/>
                <w:sz w:val="14"/>
                <w:szCs w:val="14"/>
              </w:rPr>
              <w:t xml:space="preserve"> 819 (761 - 877)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2AA3727" w14:textId="77777777" w:rsidR="00134E64" w:rsidRPr="00EA648D" w:rsidRDefault="00134E64">
            <w:pPr>
              <w:jc w:val="right"/>
              <w:rPr>
                <w:color w:val="000000"/>
                <w:sz w:val="14"/>
                <w:szCs w:val="14"/>
              </w:rPr>
            </w:pPr>
            <w:r w:rsidRPr="00EA648D">
              <w:rPr>
                <w:color w:val="000000"/>
                <w:sz w:val="14"/>
                <w:szCs w:val="14"/>
              </w:rPr>
              <w:t>824.7 (769.2 - 880.9)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7128778" w14:textId="77777777" w:rsidR="00134E64" w:rsidRPr="00EA648D" w:rsidRDefault="00134E64">
            <w:pPr>
              <w:jc w:val="right"/>
              <w:rPr>
                <w:color w:val="000000"/>
                <w:sz w:val="14"/>
                <w:szCs w:val="14"/>
              </w:rPr>
            </w:pPr>
            <w:r w:rsidRPr="00EA648D">
              <w:rPr>
                <w:color w:val="000000"/>
                <w:sz w:val="14"/>
                <w:szCs w:val="14"/>
              </w:rPr>
              <w:t xml:space="preserve"> 20.7% (15.7% - 27.0%)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CE3D831" w14:textId="77777777" w:rsidR="00134E64" w:rsidRPr="00EA648D" w:rsidRDefault="00134E64">
            <w:pPr>
              <w:jc w:val="right"/>
              <w:rPr>
                <w:color w:val="000000"/>
                <w:sz w:val="14"/>
                <w:szCs w:val="14"/>
              </w:rPr>
            </w:pPr>
            <w:r w:rsidRPr="00EA648D">
              <w:rPr>
                <w:color w:val="000000"/>
                <w:sz w:val="14"/>
                <w:szCs w:val="14"/>
              </w:rPr>
              <w:t>170 (127 - 222)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BE9B939" w14:textId="77777777" w:rsidR="00134E64" w:rsidRPr="00EA648D" w:rsidRDefault="00134E64">
            <w:pPr>
              <w:jc w:val="right"/>
              <w:rPr>
                <w:color w:val="000000"/>
                <w:sz w:val="14"/>
                <w:szCs w:val="14"/>
              </w:rPr>
            </w:pPr>
            <w:r w:rsidRPr="00EA648D">
              <w:rPr>
                <w:color w:val="000000"/>
                <w:sz w:val="14"/>
                <w:szCs w:val="14"/>
              </w:rPr>
              <w:t>177.8 (133.8 - 230.5)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073AF6C" w14:textId="77777777" w:rsidR="00134E64" w:rsidRPr="00EA648D" w:rsidRDefault="00134E64">
            <w:pPr>
              <w:jc w:val="right"/>
              <w:rPr>
                <w:color w:val="000000"/>
                <w:sz w:val="14"/>
                <w:szCs w:val="14"/>
              </w:rPr>
            </w:pPr>
            <w:r w:rsidRPr="00EA648D">
              <w:rPr>
                <w:color w:val="000000"/>
                <w:sz w:val="14"/>
                <w:szCs w:val="14"/>
              </w:rPr>
              <w:t xml:space="preserve"> 42.3% (39.4% - 45.0%)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11DBBC4" w14:textId="77777777" w:rsidR="00134E64" w:rsidRPr="00EA648D" w:rsidRDefault="00134E64">
            <w:pPr>
              <w:jc w:val="right"/>
              <w:rPr>
                <w:color w:val="000000"/>
                <w:sz w:val="14"/>
                <w:szCs w:val="14"/>
              </w:rPr>
            </w:pPr>
            <w:r w:rsidRPr="00EA648D">
              <w:rPr>
                <w:color w:val="000000"/>
                <w:sz w:val="14"/>
                <w:szCs w:val="14"/>
              </w:rPr>
              <w:t>72 (50 - 99)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CB93FDE" w14:textId="77777777" w:rsidR="00134E64" w:rsidRPr="00EA648D" w:rsidRDefault="00134E64">
            <w:pPr>
              <w:jc w:val="right"/>
              <w:rPr>
                <w:color w:val="000000"/>
                <w:sz w:val="14"/>
                <w:szCs w:val="14"/>
              </w:rPr>
            </w:pPr>
            <w:r w:rsidRPr="00EA648D">
              <w:rPr>
                <w:color w:val="000000"/>
                <w:sz w:val="14"/>
                <w:szCs w:val="14"/>
              </w:rPr>
              <w:t xml:space="preserve"> 74.2 (52.4 - 101.2)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9D4168A" w14:textId="77777777" w:rsidR="00134E64" w:rsidRPr="00EA648D" w:rsidRDefault="00134E64">
            <w:pPr>
              <w:jc w:val="right"/>
              <w:rPr>
                <w:color w:val="000000"/>
                <w:sz w:val="14"/>
                <w:szCs w:val="14"/>
              </w:rPr>
            </w:pPr>
            <w:r w:rsidRPr="00EA648D">
              <w:rPr>
                <w:color w:val="000000"/>
                <w:sz w:val="14"/>
                <w:szCs w:val="14"/>
              </w:rPr>
              <w:t>10.7% (9.4% - 12.2%)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871A5BF" w14:textId="77777777" w:rsidR="00134E64" w:rsidRPr="00EA648D" w:rsidRDefault="00134E64">
            <w:pPr>
              <w:jc w:val="right"/>
              <w:rPr>
                <w:color w:val="000000"/>
                <w:sz w:val="14"/>
                <w:szCs w:val="14"/>
              </w:rPr>
            </w:pPr>
            <w:r w:rsidRPr="00EA648D">
              <w:rPr>
                <w:color w:val="000000"/>
                <w:sz w:val="14"/>
                <w:szCs w:val="14"/>
              </w:rPr>
              <w:t>18 (12 - 26)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AF03C4C" w14:textId="77777777" w:rsidR="00134E64" w:rsidRPr="00EA648D" w:rsidRDefault="00134E64">
            <w:pPr>
              <w:jc w:val="right"/>
              <w:rPr>
                <w:color w:val="000000"/>
                <w:sz w:val="14"/>
                <w:szCs w:val="14"/>
              </w:rPr>
            </w:pPr>
            <w:r w:rsidRPr="00EA648D">
              <w:rPr>
                <w:color w:val="000000"/>
                <w:sz w:val="14"/>
                <w:szCs w:val="14"/>
              </w:rPr>
              <w:t xml:space="preserve"> 18.8 (13.0 - 26.3)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5F405" w14:textId="77777777" w:rsidR="00134E64" w:rsidRPr="00EA648D" w:rsidRDefault="00134E64">
            <w:pPr>
              <w:jc w:val="right"/>
              <w:rPr>
                <w:color w:val="000000"/>
                <w:sz w:val="14"/>
                <w:szCs w:val="14"/>
              </w:rPr>
            </w:pPr>
          </w:p>
        </w:tc>
      </w:tr>
      <w:tr w:rsidR="00FF67C1" w:rsidRPr="00EA648D" w14:paraId="773C66D6"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3FEE9270" w14:textId="77777777" w:rsidR="00134E64" w:rsidRPr="00EA648D" w:rsidRDefault="00134E64">
            <w:pPr>
              <w:rPr>
                <w:color w:val="000000"/>
                <w:sz w:val="14"/>
                <w:szCs w:val="14"/>
              </w:rPr>
            </w:pPr>
            <w:r w:rsidRPr="00EA648D">
              <w:rPr>
                <w:color w:val="000000"/>
                <w:sz w:val="14"/>
                <w:szCs w:val="14"/>
              </w:rPr>
              <w:t>Guatemala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E74A8DB" w14:textId="77777777" w:rsidR="00134E64" w:rsidRPr="00EA648D" w:rsidRDefault="00134E64">
            <w:pPr>
              <w:jc w:val="right"/>
              <w:rPr>
                <w:color w:val="000000"/>
                <w:sz w:val="14"/>
                <w:szCs w:val="14"/>
              </w:rPr>
            </w:pPr>
            <w:r w:rsidRPr="00EA648D">
              <w:rPr>
                <w:color w:val="000000"/>
                <w:sz w:val="14"/>
                <w:szCs w:val="14"/>
              </w:rPr>
              <w:t>94,800 (75,900 - 118,000)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C7EAF0E" w14:textId="77777777" w:rsidR="00134E64" w:rsidRPr="00EA648D" w:rsidRDefault="00134E64">
            <w:pPr>
              <w:jc w:val="right"/>
              <w:rPr>
                <w:color w:val="000000"/>
                <w:sz w:val="14"/>
                <w:szCs w:val="14"/>
              </w:rPr>
            </w:pPr>
            <w:r w:rsidRPr="00EA648D">
              <w:rPr>
                <w:color w:val="000000"/>
                <w:sz w:val="14"/>
                <w:szCs w:val="14"/>
              </w:rPr>
              <w:t>827.5 (675.4 - 1008.7)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30E693A" w14:textId="77777777" w:rsidR="00134E64" w:rsidRPr="00EA648D" w:rsidRDefault="00134E64">
            <w:pPr>
              <w:jc w:val="right"/>
              <w:rPr>
                <w:color w:val="000000"/>
                <w:sz w:val="14"/>
                <w:szCs w:val="14"/>
              </w:rPr>
            </w:pPr>
            <w:r w:rsidRPr="00EA648D">
              <w:rPr>
                <w:color w:val="000000"/>
                <w:sz w:val="14"/>
                <w:szCs w:val="14"/>
              </w:rPr>
              <w:t>28.6% (23.3% - 35.1%)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AE7B84E" w14:textId="77777777" w:rsidR="00134E64" w:rsidRPr="00EA648D" w:rsidRDefault="00134E64">
            <w:pPr>
              <w:jc w:val="right"/>
              <w:rPr>
                <w:color w:val="000000"/>
                <w:sz w:val="14"/>
                <w:szCs w:val="14"/>
              </w:rPr>
            </w:pPr>
            <w:r w:rsidRPr="00EA648D">
              <w:rPr>
                <w:color w:val="000000"/>
                <w:sz w:val="14"/>
                <w:szCs w:val="14"/>
              </w:rPr>
              <w:t>27,100 (19,500 - 36,900)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69640D5" w14:textId="77777777" w:rsidR="00134E64" w:rsidRPr="00EA648D" w:rsidRDefault="00134E64">
            <w:pPr>
              <w:jc w:val="right"/>
              <w:rPr>
                <w:color w:val="000000"/>
                <w:sz w:val="14"/>
                <w:szCs w:val="14"/>
              </w:rPr>
            </w:pPr>
            <w:r w:rsidRPr="00EA648D">
              <w:rPr>
                <w:color w:val="000000"/>
                <w:sz w:val="14"/>
                <w:szCs w:val="14"/>
              </w:rPr>
              <w:t>234.5 (172.0 - 314.1)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D420393" w14:textId="77777777" w:rsidR="00134E64" w:rsidRPr="00EA648D" w:rsidRDefault="00134E64">
            <w:pPr>
              <w:jc w:val="right"/>
              <w:rPr>
                <w:color w:val="000000"/>
                <w:sz w:val="14"/>
                <w:szCs w:val="14"/>
              </w:rPr>
            </w:pPr>
            <w:r w:rsidRPr="00EA648D">
              <w:rPr>
                <w:color w:val="000000"/>
                <w:sz w:val="14"/>
                <w:szCs w:val="14"/>
              </w:rPr>
              <w:t>43.2% (40.6% - 45.7%)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88FC9DD" w14:textId="77777777" w:rsidR="00134E64" w:rsidRPr="00EA648D" w:rsidRDefault="00134E64">
            <w:pPr>
              <w:jc w:val="right"/>
              <w:rPr>
                <w:color w:val="000000"/>
                <w:sz w:val="14"/>
                <w:szCs w:val="14"/>
              </w:rPr>
            </w:pPr>
            <w:r w:rsidRPr="00EA648D">
              <w:rPr>
                <w:color w:val="000000"/>
                <w:sz w:val="14"/>
                <w:szCs w:val="14"/>
              </w:rPr>
              <w:t>11,800 (8,090 - 16,500)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F3FE43F" w14:textId="77777777" w:rsidR="00134E64" w:rsidRPr="00EA648D" w:rsidRDefault="00134E64">
            <w:pPr>
              <w:jc w:val="right"/>
              <w:rPr>
                <w:color w:val="000000"/>
                <w:sz w:val="14"/>
                <w:szCs w:val="14"/>
              </w:rPr>
            </w:pPr>
            <w:r w:rsidRPr="00EA648D">
              <w:rPr>
                <w:color w:val="000000"/>
                <w:sz w:val="14"/>
                <w:szCs w:val="14"/>
              </w:rPr>
              <w:t>104.5 (72.9 - 145.7)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124313B" w14:textId="77777777" w:rsidR="00134E64" w:rsidRPr="00EA648D" w:rsidRDefault="00134E64">
            <w:pPr>
              <w:jc w:val="right"/>
              <w:rPr>
                <w:color w:val="000000"/>
                <w:sz w:val="14"/>
                <w:szCs w:val="14"/>
              </w:rPr>
            </w:pPr>
            <w:r w:rsidRPr="00EA648D">
              <w:rPr>
                <w:color w:val="000000"/>
                <w:sz w:val="14"/>
                <w:szCs w:val="14"/>
              </w:rPr>
              <w:t>10.5% (9.1% - 12.0%)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4819772" w14:textId="77777777" w:rsidR="00134E64" w:rsidRPr="00EA648D" w:rsidRDefault="00134E64">
            <w:pPr>
              <w:jc w:val="right"/>
              <w:rPr>
                <w:color w:val="000000"/>
                <w:sz w:val="14"/>
                <w:szCs w:val="14"/>
              </w:rPr>
            </w:pPr>
            <w:r w:rsidRPr="00EA648D">
              <w:rPr>
                <w:color w:val="000000"/>
                <w:sz w:val="14"/>
                <w:szCs w:val="14"/>
              </w:rPr>
              <w:t>2,850 (1,920 - 4,030)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A9BE9A6" w14:textId="77777777" w:rsidR="00134E64" w:rsidRPr="00EA648D" w:rsidRDefault="00134E64">
            <w:pPr>
              <w:jc w:val="right"/>
              <w:rPr>
                <w:color w:val="000000"/>
                <w:sz w:val="14"/>
                <w:szCs w:val="14"/>
              </w:rPr>
            </w:pPr>
            <w:r w:rsidRPr="00EA648D">
              <w:rPr>
                <w:color w:val="000000"/>
                <w:sz w:val="14"/>
                <w:szCs w:val="14"/>
              </w:rPr>
              <w:t>25.5 (17.4 - 35.6)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F5B40" w14:textId="77777777" w:rsidR="00134E64" w:rsidRPr="00EA648D" w:rsidRDefault="00134E64">
            <w:pPr>
              <w:jc w:val="right"/>
              <w:rPr>
                <w:color w:val="000000"/>
                <w:sz w:val="14"/>
                <w:szCs w:val="14"/>
              </w:rPr>
            </w:pPr>
          </w:p>
        </w:tc>
      </w:tr>
      <w:tr w:rsidR="005C6575" w:rsidRPr="00EA648D" w14:paraId="0B199C55"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63420F9C" w14:textId="77777777" w:rsidR="00134E64" w:rsidRPr="00EA648D" w:rsidRDefault="00134E64">
            <w:pPr>
              <w:rPr>
                <w:color w:val="000000"/>
                <w:sz w:val="14"/>
                <w:szCs w:val="14"/>
              </w:rPr>
            </w:pPr>
            <w:r w:rsidRPr="00EA648D">
              <w:rPr>
                <w:color w:val="000000"/>
                <w:sz w:val="14"/>
                <w:szCs w:val="14"/>
              </w:rPr>
              <w:t>Guyana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85DB4DA" w14:textId="77777777" w:rsidR="00134E64" w:rsidRPr="00EA648D" w:rsidRDefault="00134E64">
            <w:pPr>
              <w:jc w:val="right"/>
              <w:rPr>
                <w:color w:val="000000"/>
                <w:sz w:val="14"/>
                <w:szCs w:val="14"/>
              </w:rPr>
            </w:pPr>
            <w:r w:rsidRPr="00EA648D">
              <w:rPr>
                <w:color w:val="000000"/>
                <w:sz w:val="14"/>
                <w:szCs w:val="14"/>
              </w:rPr>
              <w:t xml:space="preserve"> 6,680 (5,340 - 8,290)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DEFFF97" w14:textId="77777777" w:rsidR="00134E64" w:rsidRPr="00EA648D" w:rsidRDefault="00134E64">
            <w:pPr>
              <w:jc w:val="right"/>
              <w:rPr>
                <w:color w:val="000000"/>
                <w:sz w:val="14"/>
                <w:szCs w:val="14"/>
              </w:rPr>
            </w:pPr>
            <w:r w:rsidRPr="00EA648D">
              <w:rPr>
                <w:color w:val="000000"/>
                <w:sz w:val="14"/>
                <w:szCs w:val="14"/>
              </w:rPr>
              <w:t>1129.3 (916.4 - 1378.8)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B2D0904" w14:textId="77777777" w:rsidR="00134E64" w:rsidRPr="00EA648D" w:rsidRDefault="00134E64">
            <w:pPr>
              <w:jc w:val="right"/>
              <w:rPr>
                <w:color w:val="000000"/>
                <w:sz w:val="14"/>
                <w:szCs w:val="14"/>
              </w:rPr>
            </w:pPr>
            <w:r w:rsidRPr="00EA648D">
              <w:rPr>
                <w:color w:val="000000"/>
                <w:sz w:val="14"/>
                <w:szCs w:val="14"/>
              </w:rPr>
              <w:t xml:space="preserve"> 20.7% (15.7% - 27.0%)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9BFAB08" w14:textId="77777777" w:rsidR="00134E64" w:rsidRPr="00EA648D" w:rsidRDefault="00134E64">
            <w:pPr>
              <w:jc w:val="right"/>
              <w:rPr>
                <w:color w:val="000000"/>
                <w:sz w:val="14"/>
                <w:szCs w:val="14"/>
              </w:rPr>
            </w:pPr>
            <w:r w:rsidRPr="00EA648D">
              <w:rPr>
                <w:color w:val="000000"/>
                <w:sz w:val="14"/>
                <w:szCs w:val="14"/>
              </w:rPr>
              <w:t>1,390 (955 - 1,950)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9111DCF" w14:textId="77777777" w:rsidR="00134E64" w:rsidRPr="00EA648D" w:rsidRDefault="00134E64">
            <w:pPr>
              <w:jc w:val="right"/>
              <w:rPr>
                <w:color w:val="000000"/>
                <w:sz w:val="14"/>
                <w:szCs w:val="14"/>
              </w:rPr>
            </w:pPr>
            <w:r w:rsidRPr="00EA648D">
              <w:rPr>
                <w:color w:val="000000"/>
                <w:sz w:val="14"/>
                <w:szCs w:val="14"/>
              </w:rPr>
              <w:t>235.8 (164.1 - 328.5)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0B1681E" w14:textId="77777777" w:rsidR="00134E64" w:rsidRPr="00EA648D" w:rsidRDefault="00134E64">
            <w:pPr>
              <w:jc w:val="right"/>
              <w:rPr>
                <w:color w:val="000000"/>
                <w:sz w:val="14"/>
                <w:szCs w:val="14"/>
              </w:rPr>
            </w:pPr>
            <w:r w:rsidRPr="00EA648D">
              <w:rPr>
                <w:color w:val="000000"/>
                <w:sz w:val="14"/>
                <w:szCs w:val="14"/>
              </w:rPr>
              <w:t xml:space="preserve"> 41.5% (38.6% - 44.4%)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0F3F92D" w14:textId="77777777" w:rsidR="00134E64" w:rsidRPr="00EA648D" w:rsidRDefault="00134E64">
            <w:pPr>
              <w:jc w:val="right"/>
              <w:rPr>
                <w:color w:val="000000"/>
                <w:sz w:val="14"/>
                <w:szCs w:val="14"/>
              </w:rPr>
            </w:pPr>
            <w:r w:rsidRPr="00EA648D">
              <w:rPr>
                <w:color w:val="000000"/>
                <w:sz w:val="14"/>
                <w:szCs w:val="14"/>
              </w:rPr>
              <w:t>579 (373 - 855)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AAB089F" w14:textId="77777777" w:rsidR="00134E64" w:rsidRPr="00EA648D" w:rsidRDefault="00134E64">
            <w:pPr>
              <w:jc w:val="right"/>
              <w:rPr>
                <w:color w:val="000000"/>
                <w:sz w:val="14"/>
                <w:szCs w:val="14"/>
              </w:rPr>
            </w:pPr>
            <w:r w:rsidRPr="00EA648D">
              <w:rPr>
                <w:color w:val="000000"/>
                <w:sz w:val="14"/>
                <w:szCs w:val="14"/>
              </w:rPr>
              <w:t xml:space="preserve"> 102.7 (67.6 - 148.4)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E766F80" w14:textId="77777777" w:rsidR="00134E64" w:rsidRPr="00EA648D" w:rsidRDefault="00134E64">
            <w:pPr>
              <w:jc w:val="right"/>
              <w:rPr>
                <w:color w:val="000000"/>
                <w:sz w:val="14"/>
                <w:szCs w:val="14"/>
              </w:rPr>
            </w:pPr>
            <w:r w:rsidRPr="00EA648D">
              <w:rPr>
                <w:color w:val="000000"/>
                <w:sz w:val="14"/>
                <w:szCs w:val="14"/>
              </w:rPr>
              <w:t>10.6% (9.1% - 12.0%)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0A05862" w14:textId="77777777" w:rsidR="00134E64" w:rsidRPr="00EA648D" w:rsidRDefault="00134E64">
            <w:pPr>
              <w:jc w:val="right"/>
              <w:rPr>
                <w:color w:val="000000"/>
                <w:sz w:val="14"/>
                <w:szCs w:val="14"/>
              </w:rPr>
            </w:pPr>
            <w:r w:rsidRPr="00EA648D">
              <w:rPr>
                <w:color w:val="000000"/>
                <w:sz w:val="14"/>
                <w:szCs w:val="14"/>
              </w:rPr>
              <w:t>147 (93 - 218)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26B5F62" w14:textId="77777777" w:rsidR="00134E64" w:rsidRPr="00EA648D" w:rsidRDefault="00134E64">
            <w:pPr>
              <w:jc w:val="right"/>
              <w:rPr>
                <w:color w:val="000000"/>
                <w:sz w:val="14"/>
                <w:szCs w:val="14"/>
              </w:rPr>
            </w:pPr>
            <w:r w:rsidRPr="00EA648D">
              <w:rPr>
                <w:color w:val="000000"/>
                <w:sz w:val="14"/>
                <w:szCs w:val="14"/>
              </w:rPr>
              <w:t xml:space="preserve"> 26.2 (16.9 - 38.0)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72881" w14:textId="77777777" w:rsidR="00134E64" w:rsidRPr="00EA648D" w:rsidRDefault="00134E64">
            <w:pPr>
              <w:jc w:val="right"/>
              <w:rPr>
                <w:color w:val="000000"/>
                <w:sz w:val="14"/>
                <w:szCs w:val="14"/>
              </w:rPr>
            </w:pPr>
          </w:p>
        </w:tc>
      </w:tr>
      <w:tr w:rsidR="00FF67C1" w:rsidRPr="00EA648D" w14:paraId="79301EDB"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708F1695" w14:textId="77777777" w:rsidR="00134E64" w:rsidRPr="00EA648D" w:rsidRDefault="00134E64">
            <w:pPr>
              <w:rPr>
                <w:color w:val="000000"/>
                <w:sz w:val="14"/>
                <w:szCs w:val="14"/>
              </w:rPr>
            </w:pPr>
            <w:r w:rsidRPr="00EA648D">
              <w:rPr>
                <w:color w:val="000000"/>
                <w:sz w:val="14"/>
                <w:szCs w:val="14"/>
              </w:rPr>
              <w:t>Haiti</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C624AB0" w14:textId="77777777" w:rsidR="00134E64" w:rsidRPr="00EA648D" w:rsidRDefault="00134E64">
            <w:pPr>
              <w:jc w:val="right"/>
              <w:rPr>
                <w:color w:val="000000"/>
                <w:sz w:val="14"/>
                <w:szCs w:val="14"/>
              </w:rPr>
            </w:pPr>
            <w:r w:rsidRPr="00EA648D">
              <w:rPr>
                <w:color w:val="000000"/>
                <w:sz w:val="14"/>
                <w:szCs w:val="14"/>
              </w:rPr>
              <w:t xml:space="preserve"> 99,700 (82,000 - 121,000)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1D825D2" w14:textId="77777777" w:rsidR="00134E64" w:rsidRPr="00EA648D" w:rsidRDefault="00134E64">
            <w:pPr>
              <w:jc w:val="right"/>
              <w:rPr>
                <w:color w:val="000000"/>
                <w:sz w:val="14"/>
                <w:szCs w:val="14"/>
              </w:rPr>
            </w:pPr>
            <w:r w:rsidRPr="00EA648D">
              <w:rPr>
                <w:color w:val="000000"/>
                <w:sz w:val="14"/>
                <w:szCs w:val="14"/>
              </w:rPr>
              <w:t>1267.1 (1044.0 - 1563.0)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C2FA1A2" w14:textId="77777777" w:rsidR="00134E64" w:rsidRPr="00EA648D" w:rsidRDefault="00134E64">
            <w:pPr>
              <w:jc w:val="right"/>
              <w:rPr>
                <w:color w:val="000000"/>
                <w:sz w:val="14"/>
                <w:szCs w:val="14"/>
              </w:rPr>
            </w:pPr>
            <w:r w:rsidRPr="00EA648D">
              <w:rPr>
                <w:color w:val="000000"/>
                <w:sz w:val="14"/>
                <w:szCs w:val="14"/>
              </w:rPr>
              <w:t xml:space="preserve"> 33.6% (27.0% - 40.8%)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A58B478" w14:textId="77777777" w:rsidR="00134E64" w:rsidRPr="00EA648D" w:rsidRDefault="00134E64">
            <w:pPr>
              <w:jc w:val="right"/>
              <w:rPr>
                <w:color w:val="000000"/>
                <w:sz w:val="14"/>
                <w:szCs w:val="14"/>
              </w:rPr>
            </w:pPr>
            <w:r w:rsidRPr="00EA648D">
              <w:rPr>
                <w:color w:val="000000"/>
                <w:sz w:val="14"/>
                <w:szCs w:val="14"/>
              </w:rPr>
              <w:t>33,500 (25,800 - 42,800)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81039BB" w14:textId="77777777" w:rsidR="00134E64" w:rsidRPr="00EA648D" w:rsidRDefault="00134E64">
            <w:pPr>
              <w:jc w:val="right"/>
              <w:rPr>
                <w:color w:val="000000"/>
                <w:sz w:val="14"/>
                <w:szCs w:val="14"/>
              </w:rPr>
            </w:pPr>
            <w:r w:rsidRPr="00EA648D">
              <w:rPr>
                <w:color w:val="000000"/>
                <w:sz w:val="14"/>
                <w:szCs w:val="14"/>
              </w:rPr>
              <w:t>372.1 (277.2 - 489.7)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183A87B" w14:textId="77777777" w:rsidR="00134E64" w:rsidRPr="00EA648D" w:rsidRDefault="00134E64">
            <w:pPr>
              <w:jc w:val="right"/>
              <w:rPr>
                <w:color w:val="000000"/>
                <w:sz w:val="14"/>
                <w:szCs w:val="14"/>
              </w:rPr>
            </w:pPr>
            <w:r w:rsidRPr="00EA648D">
              <w:rPr>
                <w:color w:val="000000"/>
                <w:sz w:val="14"/>
                <w:szCs w:val="14"/>
              </w:rPr>
              <w:t xml:space="preserve"> 30.3% (27.1% - 33.4%)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2E33F97" w14:textId="77777777" w:rsidR="00134E64" w:rsidRPr="00EA648D" w:rsidRDefault="00134E64">
            <w:pPr>
              <w:jc w:val="right"/>
              <w:rPr>
                <w:color w:val="000000"/>
                <w:sz w:val="14"/>
                <w:szCs w:val="14"/>
              </w:rPr>
            </w:pPr>
            <w:r w:rsidRPr="00EA648D">
              <w:rPr>
                <w:color w:val="000000"/>
                <w:sz w:val="14"/>
                <w:szCs w:val="14"/>
              </w:rPr>
              <w:t>10,200 (7,220 - 14,000)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30B5395" w14:textId="77777777" w:rsidR="00134E64" w:rsidRPr="00EA648D" w:rsidRDefault="00134E64">
            <w:pPr>
              <w:jc w:val="right"/>
              <w:rPr>
                <w:color w:val="000000"/>
                <w:sz w:val="14"/>
                <w:szCs w:val="14"/>
              </w:rPr>
            </w:pPr>
            <w:r w:rsidRPr="00EA648D">
              <w:rPr>
                <w:color w:val="000000"/>
                <w:sz w:val="14"/>
                <w:szCs w:val="14"/>
              </w:rPr>
              <w:t xml:space="preserve"> 121.3 (84.0 - 170.6)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49238CB" w14:textId="77777777" w:rsidR="00134E64" w:rsidRPr="00EA648D" w:rsidRDefault="00134E64">
            <w:pPr>
              <w:jc w:val="right"/>
              <w:rPr>
                <w:color w:val="000000"/>
                <w:sz w:val="14"/>
                <w:szCs w:val="14"/>
              </w:rPr>
            </w:pPr>
            <w:r w:rsidRPr="00EA648D">
              <w:rPr>
                <w:color w:val="000000"/>
                <w:sz w:val="14"/>
                <w:szCs w:val="14"/>
              </w:rPr>
              <w:t>7.4% (6.3% - 8.5%)</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899B065" w14:textId="77777777" w:rsidR="00134E64" w:rsidRPr="00EA648D" w:rsidRDefault="00134E64">
            <w:pPr>
              <w:jc w:val="right"/>
              <w:rPr>
                <w:color w:val="000000"/>
                <w:sz w:val="14"/>
                <w:szCs w:val="14"/>
              </w:rPr>
            </w:pPr>
            <w:r w:rsidRPr="00EA648D">
              <w:rPr>
                <w:color w:val="000000"/>
                <w:sz w:val="14"/>
                <w:szCs w:val="14"/>
              </w:rPr>
              <w:t>2,470 (1,700 - 3,460)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B10EBB5" w14:textId="77777777" w:rsidR="00134E64" w:rsidRPr="00EA648D" w:rsidRDefault="00134E64">
            <w:pPr>
              <w:jc w:val="right"/>
              <w:rPr>
                <w:color w:val="000000"/>
                <w:sz w:val="14"/>
                <w:szCs w:val="14"/>
              </w:rPr>
            </w:pPr>
            <w:r w:rsidRPr="00EA648D">
              <w:rPr>
                <w:color w:val="000000"/>
                <w:sz w:val="14"/>
                <w:szCs w:val="14"/>
              </w:rPr>
              <w:t xml:space="preserve"> 30.0 (20.0 - 42.4)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2F507F" w14:textId="77777777" w:rsidR="00134E64" w:rsidRPr="00EA648D" w:rsidRDefault="00134E64">
            <w:pPr>
              <w:jc w:val="right"/>
              <w:rPr>
                <w:color w:val="000000"/>
                <w:sz w:val="14"/>
                <w:szCs w:val="14"/>
              </w:rPr>
            </w:pPr>
          </w:p>
        </w:tc>
      </w:tr>
      <w:tr w:rsidR="005C6575" w:rsidRPr="00EA648D" w14:paraId="2AD19AB5"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461CA82D" w14:textId="77777777" w:rsidR="00134E64" w:rsidRPr="00EA648D" w:rsidRDefault="00134E64">
            <w:pPr>
              <w:rPr>
                <w:color w:val="000000"/>
                <w:sz w:val="14"/>
                <w:szCs w:val="14"/>
              </w:rPr>
            </w:pPr>
            <w:r w:rsidRPr="00EA648D">
              <w:rPr>
                <w:color w:val="000000"/>
                <w:sz w:val="14"/>
                <w:szCs w:val="14"/>
              </w:rPr>
              <w:t>Honduras</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46CA07C" w14:textId="77777777" w:rsidR="00134E64" w:rsidRPr="00EA648D" w:rsidRDefault="00134E64">
            <w:pPr>
              <w:jc w:val="right"/>
              <w:rPr>
                <w:color w:val="000000"/>
                <w:sz w:val="14"/>
                <w:szCs w:val="14"/>
              </w:rPr>
            </w:pPr>
            <w:r w:rsidRPr="00EA648D">
              <w:rPr>
                <w:color w:val="000000"/>
                <w:sz w:val="14"/>
                <w:szCs w:val="14"/>
              </w:rPr>
              <w:t xml:space="preserve"> 52,600 (46,200 - 62,400)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655A297" w14:textId="77777777" w:rsidR="00134E64" w:rsidRPr="00EA648D" w:rsidRDefault="00134E64">
            <w:pPr>
              <w:jc w:val="right"/>
              <w:rPr>
                <w:color w:val="000000"/>
                <w:sz w:val="14"/>
                <w:szCs w:val="14"/>
              </w:rPr>
            </w:pPr>
            <w:r w:rsidRPr="00EA648D">
              <w:rPr>
                <w:color w:val="000000"/>
                <w:sz w:val="14"/>
                <w:szCs w:val="14"/>
              </w:rPr>
              <w:t>900.1 (825.9 - 1035.5)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E4B6A1F" w14:textId="77777777" w:rsidR="00134E64" w:rsidRPr="00EA648D" w:rsidRDefault="00134E64">
            <w:pPr>
              <w:jc w:val="right"/>
              <w:rPr>
                <w:color w:val="000000"/>
                <w:sz w:val="14"/>
                <w:szCs w:val="14"/>
              </w:rPr>
            </w:pPr>
            <w:r w:rsidRPr="00EA648D">
              <w:rPr>
                <w:color w:val="000000"/>
                <w:sz w:val="14"/>
                <w:szCs w:val="14"/>
              </w:rPr>
              <w:t xml:space="preserve"> 23.3% (17.2% - 30.5%)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E331D5A" w14:textId="77777777" w:rsidR="00134E64" w:rsidRPr="00EA648D" w:rsidRDefault="00134E64">
            <w:pPr>
              <w:jc w:val="right"/>
              <w:rPr>
                <w:color w:val="000000"/>
                <w:sz w:val="14"/>
                <w:szCs w:val="14"/>
              </w:rPr>
            </w:pPr>
            <w:r w:rsidRPr="00EA648D">
              <w:rPr>
                <w:color w:val="000000"/>
                <w:sz w:val="14"/>
                <w:szCs w:val="14"/>
              </w:rPr>
              <w:t>12,200 (8,800 - 16,700)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9F9C35C" w14:textId="77777777" w:rsidR="00134E64" w:rsidRPr="00EA648D" w:rsidRDefault="00134E64">
            <w:pPr>
              <w:jc w:val="right"/>
              <w:rPr>
                <w:color w:val="000000"/>
                <w:sz w:val="14"/>
                <w:szCs w:val="14"/>
              </w:rPr>
            </w:pPr>
            <w:r w:rsidRPr="00EA648D">
              <w:rPr>
                <w:color w:val="000000"/>
                <w:sz w:val="14"/>
                <w:szCs w:val="14"/>
              </w:rPr>
              <w:t>201.5 (146.3 - 270.0)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DC88D11" w14:textId="77777777" w:rsidR="00134E64" w:rsidRPr="00EA648D" w:rsidRDefault="00134E64">
            <w:pPr>
              <w:jc w:val="right"/>
              <w:rPr>
                <w:color w:val="000000"/>
                <w:sz w:val="14"/>
                <w:szCs w:val="14"/>
              </w:rPr>
            </w:pPr>
            <w:r w:rsidRPr="00EA648D">
              <w:rPr>
                <w:color w:val="000000"/>
                <w:sz w:val="14"/>
                <w:szCs w:val="14"/>
              </w:rPr>
              <w:t xml:space="preserve"> 42.7% (38.7% - 45.8%)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1D8ADB4" w14:textId="77777777" w:rsidR="00134E64" w:rsidRPr="00EA648D" w:rsidRDefault="00134E64">
            <w:pPr>
              <w:jc w:val="right"/>
              <w:rPr>
                <w:color w:val="000000"/>
                <w:sz w:val="14"/>
                <w:szCs w:val="14"/>
              </w:rPr>
            </w:pPr>
            <w:r w:rsidRPr="00EA648D">
              <w:rPr>
                <w:color w:val="000000"/>
                <w:sz w:val="14"/>
                <w:szCs w:val="14"/>
              </w:rPr>
              <w:t>5,240 (3,530 - 7,380)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08C94DA" w14:textId="77777777" w:rsidR="00134E64" w:rsidRPr="00EA648D" w:rsidRDefault="00134E64">
            <w:pPr>
              <w:jc w:val="right"/>
              <w:rPr>
                <w:color w:val="000000"/>
                <w:sz w:val="14"/>
                <w:szCs w:val="14"/>
              </w:rPr>
            </w:pPr>
            <w:r w:rsidRPr="00EA648D">
              <w:rPr>
                <w:color w:val="000000"/>
                <w:sz w:val="14"/>
                <w:szCs w:val="14"/>
              </w:rPr>
              <w:t xml:space="preserve"> 90.4 (61.4 - 126.2)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C374D74" w14:textId="77777777" w:rsidR="00134E64" w:rsidRPr="00EA648D" w:rsidRDefault="00134E64">
            <w:pPr>
              <w:jc w:val="right"/>
              <w:rPr>
                <w:color w:val="000000"/>
                <w:sz w:val="14"/>
                <w:szCs w:val="14"/>
              </w:rPr>
            </w:pPr>
            <w:r w:rsidRPr="00EA648D">
              <w:rPr>
                <w:color w:val="000000"/>
                <w:sz w:val="14"/>
                <w:szCs w:val="14"/>
              </w:rPr>
              <w:t>10.7% (9.2% - 12.3%)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0A34850" w14:textId="77777777" w:rsidR="00134E64" w:rsidRPr="00EA648D" w:rsidRDefault="00134E64">
            <w:pPr>
              <w:jc w:val="right"/>
              <w:rPr>
                <w:color w:val="000000"/>
                <w:sz w:val="14"/>
                <w:szCs w:val="14"/>
              </w:rPr>
            </w:pPr>
            <w:r w:rsidRPr="00EA648D">
              <w:rPr>
                <w:color w:val="000000"/>
                <w:sz w:val="14"/>
                <w:szCs w:val="14"/>
              </w:rPr>
              <w:t>1,320 (886 - 1,880)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19F191" w14:textId="77777777" w:rsidR="00134E64" w:rsidRPr="00EA648D" w:rsidRDefault="00134E64">
            <w:pPr>
              <w:jc w:val="right"/>
              <w:rPr>
                <w:color w:val="000000"/>
                <w:sz w:val="14"/>
                <w:szCs w:val="14"/>
              </w:rPr>
            </w:pPr>
            <w:r w:rsidRPr="00EA648D">
              <w:rPr>
                <w:color w:val="000000"/>
                <w:sz w:val="14"/>
                <w:szCs w:val="14"/>
              </w:rPr>
              <w:t xml:space="preserve"> 22.8 (15.5 - 32.4)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50C9D" w14:textId="77777777" w:rsidR="00134E64" w:rsidRPr="00EA648D" w:rsidRDefault="00134E64">
            <w:pPr>
              <w:jc w:val="right"/>
              <w:rPr>
                <w:color w:val="000000"/>
                <w:sz w:val="14"/>
                <w:szCs w:val="14"/>
              </w:rPr>
            </w:pPr>
          </w:p>
        </w:tc>
      </w:tr>
      <w:tr w:rsidR="00FF67C1" w:rsidRPr="00EA648D" w14:paraId="0B881D81"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4628EA05" w14:textId="77777777" w:rsidR="00134E64" w:rsidRPr="00EA648D" w:rsidRDefault="00134E64">
            <w:pPr>
              <w:rPr>
                <w:color w:val="000000"/>
                <w:sz w:val="14"/>
                <w:szCs w:val="14"/>
              </w:rPr>
            </w:pPr>
            <w:r w:rsidRPr="00EA648D">
              <w:rPr>
                <w:color w:val="000000"/>
                <w:sz w:val="14"/>
                <w:szCs w:val="14"/>
              </w:rPr>
              <w:t>Jamaica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AA69A9C" w14:textId="77777777" w:rsidR="00134E64" w:rsidRPr="00EA648D" w:rsidRDefault="00134E64">
            <w:pPr>
              <w:jc w:val="right"/>
              <w:rPr>
                <w:color w:val="000000"/>
                <w:sz w:val="14"/>
                <w:szCs w:val="14"/>
              </w:rPr>
            </w:pPr>
            <w:r w:rsidRPr="00EA648D">
              <w:rPr>
                <w:color w:val="000000"/>
                <w:sz w:val="14"/>
                <w:szCs w:val="14"/>
              </w:rPr>
              <w:t xml:space="preserve"> 19,700 (16,300 - 23,600)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4860F83" w14:textId="77777777" w:rsidR="00134E64" w:rsidRPr="00EA648D" w:rsidRDefault="00134E64">
            <w:pPr>
              <w:jc w:val="right"/>
              <w:rPr>
                <w:color w:val="000000"/>
                <w:sz w:val="14"/>
                <w:szCs w:val="14"/>
              </w:rPr>
            </w:pPr>
            <w:r w:rsidRPr="00EA648D">
              <w:rPr>
                <w:color w:val="000000"/>
                <w:sz w:val="14"/>
                <w:szCs w:val="14"/>
              </w:rPr>
              <w:t>636.8 (522.9 - 772.6)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60E0150" w14:textId="77777777" w:rsidR="00134E64" w:rsidRPr="00EA648D" w:rsidRDefault="00134E64">
            <w:pPr>
              <w:jc w:val="right"/>
              <w:rPr>
                <w:color w:val="000000"/>
                <w:sz w:val="14"/>
                <w:szCs w:val="14"/>
              </w:rPr>
            </w:pPr>
            <w:r w:rsidRPr="00EA648D">
              <w:rPr>
                <w:color w:val="000000"/>
                <w:sz w:val="14"/>
                <w:szCs w:val="14"/>
              </w:rPr>
              <w:t xml:space="preserve"> 17.9% (12.8% - 24.5%)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255230B" w14:textId="77777777" w:rsidR="00134E64" w:rsidRPr="00EA648D" w:rsidRDefault="00134E64">
            <w:pPr>
              <w:jc w:val="right"/>
              <w:rPr>
                <w:color w:val="000000"/>
                <w:sz w:val="14"/>
                <w:szCs w:val="14"/>
              </w:rPr>
            </w:pPr>
            <w:r w:rsidRPr="00EA648D">
              <w:rPr>
                <w:color w:val="000000"/>
                <w:sz w:val="14"/>
                <w:szCs w:val="14"/>
              </w:rPr>
              <w:t>3,530 (2,390 - 5,000)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72E33B1" w14:textId="77777777" w:rsidR="00134E64" w:rsidRPr="00EA648D" w:rsidRDefault="00134E64">
            <w:pPr>
              <w:jc w:val="right"/>
              <w:rPr>
                <w:color w:val="000000"/>
                <w:sz w:val="14"/>
                <w:szCs w:val="14"/>
              </w:rPr>
            </w:pPr>
            <w:r w:rsidRPr="00EA648D">
              <w:rPr>
                <w:color w:val="000000"/>
                <w:sz w:val="14"/>
                <w:szCs w:val="14"/>
              </w:rPr>
              <w:t>118.1 (79.5 - 168.8)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281C6D9" w14:textId="77777777" w:rsidR="00134E64" w:rsidRPr="00EA648D" w:rsidRDefault="00134E64">
            <w:pPr>
              <w:jc w:val="right"/>
              <w:rPr>
                <w:color w:val="000000"/>
                <w:sz w:val="14"/>
                <w:szCs w:val="14"/>
              </w:rPr>
            </w:pPr>
            <w:r w:rsidRPr="00EA648D">
              <w:rPr>
                <w:color w:val="000000"/>
                <w:sz w:val="14"/>
                <w:szCs w:val="14"/>
              </w:rPr>
              <w:t xml:space="preserve"> 40.3% (37.2% - 43.3%)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7B6397E" w14:textId="77777777" w:rsidR="00134E64" w:rsidRPr="00EA648D" w:rsidRDefault="00134E64">
            <w:pPr>
              <w:jc w:val="right"/>
              <w:rPr>
                <w:color w:val="000000"/>
                <w:sz w:val="14"/>
                <w:szCs w:val="14"/>
              </w:rPr>
            </w:pPr>
            <w:r w:rsidRPr="00EA648D">
              <w:rPr>
                <w:color w:val="000000"/>
                <w:sz w:val="14"/>
                <w:szCs w:val="14"/>
              </w:rPr>
              <w:t>1,430 (907 - 2,110)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4C85543" w14:textId="77777777" w:rsidR="00134E64" w:rsidRPr="00EA648D" w:rsidRDefault="00134E64">
            <w:pPr>
              <w:jc w:val="right"/>
              <w:rPr>
                <w:color w:val="000000"/>
                <w:sz w:val="14"/>
                <w:szCs w:val="14"/>
              </w:rPr>
            </w:pPr>
            <w:r w:rsidRPr="00EA648D">
              <w:rPr>
                <w:color w:val="000000"/>
                <w:sz w:val="14"/>
                <w:szCs w:val="14"/>
              </w:rPr>
              <w:t xml:space="preserve"> 47.5 (29.9 - 70.4)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47BD7E8" w14:textId="77777777" w:rsidR="00134E64" w:rsidRPr="00EA648D" w:rsidRDefault="00134E64">
            <w:pPr>
              <w:jc w:val="right"/>
              <w:rPr>
                <w:color w:val="000000"/>
                <w:sz w:val="14"/>
                <w:szCs w:val="14"/>
              </w:rPr>
            </w:pPr>
            <w:r w:rsidRPr="00EA648D">
              <w:rPr>
                <w:color w:val="000000"/>
                <w:sz w:val="14"/>
                <w:szCs w:val="14"/>
              </w:rPr>
              <w:t>10.6% (9.2% - 12.1%)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E16E70D" w14:textId="77777777" w:rsidR="00134E64" w:rsidRPr="00EA648D" w:rsidRDefault="00134E64">
            <w:pPr>
              <w:jc w:val="right"/>
              <w:rPr>
                <w:color w:val="000000"/>
                <w:sz w:val="14"/>
                <w:szCs w:val="14"/>
              </w:rPr>
            </w:pPr>
            <w:r w:rsidRPr="00EA648D">
              <w:rPr>
                <w:color w:val="000000"/>
                <w:sz w:val="14"/>
                <w:szCs w:val="14"/>
              </w:rPr>
              <w:t>376 (232 - 566)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FAABCA8" w14:textId="77777777" w:rsidR="00134E64" w:rsidRPr="00EA648D" w:rsidRDefault="00134E64">
            <w:pPr>
              <w:jc w:val="right"/>
              <w:rPr>
                <w:color w:val="000000"/>
                <w:sz w:val="14"/>
                <w:szCs w:val="14"/>
              </w:rPr>
            </w:pPr>
            <w:r w:rsidRPr="00EA648D">
              <w:rPr>
                <w:color w:val="000000"/>
                <w:sz w:val="14"/>
                <w:szCs w:val="14"/>
              </w:rPr>
              <w:t xml:space="preserve"> 12.5 (7.7 - 18.7)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45831" w14:textId="77777777" w:rsidR="00134E64" w:rsidRPr="00EA648D" w:rsidRDefault="00134E64">
            <w:pPr>
              <w:jc w:val="right"/>
              <w:rPr>
                <w:color w:val="000000"/>
                <w:sz w:val="14"/>
                <w:szCs w:val="14"/>
              </w:rPr>
            </w:pPr>
          </w:p>
        </w:tc>
      </w:tr>
      <w:tr w:rsidR="005C6575" w:rsidRPr="00EA648D" w14:paraId="4F6D7568"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7FE09F32" w14:textId="77777777" w:rsidR="00134E64" w:rsidRPr="00EA648D" w:rsidRDefault="00134E64">
            <w:pPr>
              <w:rPr>
                <w:color w:val="000000"/>
                <w:sz w:val="14"/>
                <w:szCs w:val="14"/>
              </w:rPr>
            </w:pPr>
            <w:r w:rsidRPr="00EA648D">
              <w:rPr>
                <w:color w:val="000000"/>
                <w:sz w:val="14"/>
                <w:szCs w:val="14"/>
              </w:rPr>
              <w:t>Mexico</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748505A" w14:textId="77777777" w:rsidR="00134E64" w:rsidRPr="00EA648D" w:rsidRDefault="00134E64">
            <w:pPr>
              <w:jc w:val="right"/>
              <w:rPr>
                <w:color w:val="000000"/>
                <w:sz w:val="14"/>
                <w:szCs w:val="14"/>
              </w:rPr>
            </w:pPr>
            <w:r w:rsidRPr="00EA648D">
              <w:rPr>
                <w:color w:val="000000"/>
                <w:sz w:val="14"/>
                <w:szCs w:val="14"/>
              </w:rPr>
              <w:t xml:space="preserve"> 738,000 (655,000 - 828,000)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C3F6B07" w14:textId="77777777" w:rsidR="00134E64" w:rsidRPr="00EA648D" w:rsidRDefault="00134E64">
            <w:pPr>
              <w:jc w:val="right"/>
              <w:rPr>
                <w:color w:val="000000"/>
                <w:sz w:val="14"/>
                <w:szCs w:val="14"/>
              </w:rPr>
            </w:pPr>
            <w:r w:rsidRPr="00EA648D">
              <w:rPr>
                <w:color w:val="000000"/>
                <w:sz w:val="14"/>
                <w:szCs w:val="14"/>
              </w:rPr>
              <w:t>660.3 (587.5 - 737.2)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7F9DFB0" w14:textId="77777777" w:rsidR="00134E64" w:rsidRPr="00EA648D" w:rsidRDefault="00134E64">
            <w:pPr>
              <w:jc w:val="right"/>
              <w:rPr>
                <w:color w:val="000000"/>
                <w:sz w:val="14"/>
                <w:szCs w:val="14"/>
              </w:rPr>
            </w:pPr>
            <w:r w:rsidRPr="00EA648D">
              <w:rPr>
                <w:color w:val="000000"/>
                <w:sz w:val="14"/>
                <w:szCs w:val="14"/>
              </w:rPr>
              <w:t xml:space="preserve"> 20.1% (14.5% - 27.3%)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80704E2" w14:textId="77777777" w:rsidR="00134E64" w:rsidRPr="00EA648D" w:rsidRDefault="00134E64">
            <w:pPr>
              <w:jc w:val="right"/>
              <w:rPr>
                <w:color w:val="000000"/>
                <w:sz w:val="14"/>
                <w:szCs w:val="14"/>
              </w:rPr>
            </w:pPr>
            <w:r w:rsidRPr="00EA648D">
              <w:rPr>
                <w:color w:val="000000"/>
                <w:sz w:val="14"/>
                <w:szCs w:val="14"/>
              </w:rPr>
              <w:t>149,000 (105,000 - 206,000)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0531071" w14:textId="77777777" w:rsidR="00134E64" w:rsidRPr="00EA648D" w:rsidRDefault="00134E64">
            <w:pPr>
              <w:jc w:val="right"/>
              <w:rPr>
                <w:color w:val="000000"/>
                <w:sz w:val="14"/>
                <w:szCs w:val="14"/>
              </w:rPr>
            </w:pPr>
            <w:r w:rsidRPr="00EA648D">
              <w:rPr>
                <w:color w:val="000000"/>
                <w:sz w:val="14"/>
                <w:szCs w:val="14"/>
              </w:rPr>
              <w:t>133.3 (94.5 - 183.8)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DAA9DAF" w14:textId="77777777" w:rsidR="00134E64" w:rsidRPr="00EA648D" w:rsidRDefault="00134E64">
            <w:pPr>
              <w:jc w:val="right"/>
              <w:rPr>
                <w:color w:val="000000"/>
                <w:sz w:val="14"/>
                <w:szCs w:val="14"/>
              </w:rPr>
            </w:pPr>
            <w:r w:rsidRPr="00EA648D">
              <w:rPr>
                <w:color w:val="000000"/>
                <w:sz w:val="14"/>
                <w:szCs w:val="14"/>
              </w:rPr>
              <w:t xml:space="preserve"> 47.0% (45.0% - 49.0%)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5702C39" w14:textId="77777777" w:rsidR="00134E64" w:rsidRPr="00EA648D" w:rsidRDefault="00134E64">
            <w:pPr>
              <w:jc w:val="right"/>
              <w:rPr>
                <w:color w:val="000000"/>
                <w:sz w:val="14"/>
                <w:szCs w:val="14"/>
              </w:rPr>
            </w:pPr>
            <w:r w:rsidRPr="00EA648D">
              <w:rPr>
                <w:color w:val="000000"/>
                <w:sz w:val="14"/>
                <w:szCs w:val="14"/>
              </w:rPr>
              <w:t>70,100 (47,400 - 100,000)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B5D650A" w14:textId="77777777" w:rsidR="00134E64" w:rsidRPr="00EA648D" w:rsidRDefault="00134E64">
            <w:pPr>
              <w:jc w:val="right"/>
              <w:rPr>
                <w:color w:val="000000"/>
                <w:sz w:val="14"/>
                <w:szCs w:val="14"/>
              </w:rPr>
            </w:pPr>
            <w:r w:rsidRPr="00EA648D">
              <w:rPr>
                <w:color w:val="000000"/>
                <w:sz w:val="14"/>
                <w:szCs w:val="14"/>
              </w:rPr>
              <w:t xml:space="preserve"> 63.0 (42.9 - 89.6)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8FA24C5" w14:textId="77777777" w:rsidR="00134E64" w:rsidRPr="00EA648D" w:rsidRDefault="00134E64">
            <w:pPr>
              <w:jc w:val="right"/>
              <w:rPr>
                <w:color w:val="000000"/>
                <w:sz w:val="14"/>
                <w:szCs w:val="14"/>
              </w:rPr>
            </w:pPr>
            <w:r w:rsidRPr="00EA648D">
              <w:rPr>
                <w:color w:val="000000"/>
                <w:sz w:val="14"/>
                <w:szCs w:val="14"/>
              </w:rPr>
              <w:t>12.3% (10.7% - 13.9%)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F618863" w14:textId="77777777" w:rsidR="00134E64" w:rsidRPr="00EA648D" w:rsidRDefault="00134E64">
            <w:pPr>
              <w:jc w:val="right"/>
              <w:rPr>
                <w:color w:val="000000"/>
                <w:sz w:val="14"/>
                <w:szCs w:val="14"/>
              </w:rPr>
            </w:pPr>
            <w:r w:rsidRPr="00EA648D">
              <w:rPr>
                <w:color w:val="000000"/>
                <w:sz w:val="14"/>
                <w:szCs w:val="14"/>
              </w:rPr>
              <w:t>18,300 (12,400 - 26,100)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BBA0A3F" w14:textId="77777777" w:rsidR="00134E64" w:rsidRPr="00EA648D" w:rsidRDefault="00134E64">
            <w:pPr>
              <w:jc w:val="right"/>
              <w:rPr>
                <w:color w:val="000000"/>
                <w:sz w:val="14"/>
                <w:szCs w:val="14"/>
              </w:rPr>
            </w:pPr>
            <w:r w:rsidRPr="00EA648D">
              <w:rPr>
                <w:color w:val="000000"/>
                <w:sz w:val="14"/>
                <w:szCs w:val="14"/>
              </w:rPr>
              <w:t xml:space="preserve"> 16.4 (11.3 - 23.4)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27C2EA" w14:textId="77777777" w:rsidR="00134E64" w:rsidRPr="00EA648D" w:rsidRDefault="00134E64">
            <w:pPr>
              <w:jc w:val="right"/>
              <w:rPr>
                <w:color w:val="000000"/>
                <w:sz w:val="14"/>
                <w:szCs w:val="14"/>
              </w:rPr>
            </w:pPr>
          </w:p>
        </w:tc>
      </w:tr>
      <w:tr w:rsidR="00FF67C1" w:rsidRPr="00EA648D" w14:paraId="041B3C19"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353DEDED" w14:textId="77777777" w:rsidR="00134E64" w:rsidRPr="00EA648D" w:rsidRDefault="00134E64">
            <w:pPr>
              <w:rPr>
                <w:color w:val="000000"/>
                <w:sz w:val="14"/>
                <w:szCs w:val="14"/>
              </w:rPr>
            </w:pPr>
            <w:r w:rsidRPr="00EA648D">
              <w:rPr>
                <w:color w:val="000000"/>
                <w:sz w:val="14"/>
                <w:szCs w:val="14"/>
              </w:rPr>
              <w:t>Nicaragua</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3DD5A17" w14:textId="77777777" w:rsidR="00134E64" w:rsidRPr="00EA648D" w:rsidRDefault="00134E64">
            <w:pPr>
              <w:jc w:val="right"/>
              <w:rPr>
                <w:color w:val="000000"/>
                <w:sz w:val="14"/>
                <w:szCs w:val="14"/>
              </w:rPr>
            </w:pPr>
            <w:r w:rsidRPr="00EA648D">
              <w:rPr>
                <w:color w:val="000000"/>
                <w:sz w:val="14"/>
                <w:szCs w:val="14"/>
              </w:rPr>
              <w:t>29,200 (24,900 - 33,600)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DD5F8A5" w14:textId="77777777" w:rsidR="00134E64" w:rsidRPr="00EA648D" w:rsidRDefault="00134E64">
            <w:pPr>
              <w:jc w:val="right"/>
              <w:rPr>
                <w:color w:val="000000"/>
                <w:sz w:val="14"/>
                <w:szCs w:val="14"/>
              </w:rPr>
            </w:pPr>
            <w:r w:rsidRPr="00EA648D">
              <w:rPr>
                <w:color w:val="000000"/>
                <w:sz w:val="14"/>
                <w:szCs w:val="14"/>
              </w:rPr>
              <w:t>725.0 (627.0 - 818.7)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4B0DF69" w14:textId="77777777" w:rsidR="00134E64" w:rsidRPr="00EA648D" w:rsidRDefault="00134E64">
            <w:pPr>
              <w:jc w:val="right"/>
              <w:rPr>
                <w:color w:val="000000"/>
                <w:sz w:val="14"/>
                <w:szCs w:val="14"/>
              </w:rPr>
            </w:pPr>
            <w:r w:rsidRPr="00EA648D">
              <w:rPr>
                <w:color w:val="000000"/>
                <w:sz w:val="14"/>
                <w:szCs w:val="14"/>
              </w:rPr>
              <w:t>20.6% (15.0% - 27.5%)</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0777039" w14:textId="77777777" w:rsidR="00134E64" w:rsidRPr="00EA648D" w:rsidRDefault="00134E64">
            <w:pPr>
              <w:jc w:val="right"/>
              <w:rPr>
                <w:color w:val="000000"/>
                <w:sz w:val="14"/>
                <w:szCs w:val="14"/>
              </w:rPr>
            </w:pPr>
            <w:r w:rsidRPr="00EA648D">
              <w:rPr>
                <w:color w:val="000000"/>
                <w:sz w:val="14"/>
                <w:szCs w:val="14"/>
              </w:rPr>
              <w:t>6,020 (4,290 - 8,320)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1191392" w14:textId="77777777" w:rsidR="00134E64" w:rsidRPr="00EA648D" w:rsidRDefault="00134E64">
            <w:pPr>
              <w:jc w:val="right"/>
              <w:rPr>
                <w:color w:val="000000"/>
                <w:sz w:val="14"/>
                <w:szCs w:val="14"/>
              </w:rPr>
            </w:pPr>
            <w:r w:rsidRPr="00EA648D">
              <w:rPr>
                <w:color w:val="000000"/>
                <w:sz w:val="14"/>
                <w:szCs w:val="14"/>
              </w:rPr>
              <w:t>138.0 (97.9 - 190.6)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A10B237" w14:textId="77777777" w:rsidR="00134E64" w:rsidRPr="00EA648D" w:rsidRDefault="00134E64">
            <w:pPr>
              <w:jc w:val="right"/>
              <w:rPr>
                <w:color w:val="000000"/>
                <w:sz w:val="14"/>
                <w:szCs w:val="14"/>
              </w:rPr>
            </w:pPr>
            <w:r w:rsidRPr="00EA648D">
              <w:rPr>
                <w:color w:val="000000"/>
                <w:sz w:val="14"/>
                <w:szCs w:val="14"/>
              </w:rPr>
              <w:t>40.6% (37.5% - 43.7%)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D91AA38" w14:textId="77777777" w:rsidR="00134E64" w:rsidRPr="00EA648D" w:rsidRDefault="00134E64">
            <w:pPr>
              <w:jc w:val="right"/>
              <w:rPr>
                <w:color w:val="000000"/>
                <w:sz w:val="14"/>
                <w:szCs w:val="14"/>
              </w:rPr>
            </w:pPr>
            <w:r w:rsidRPr="00EA648D">
              <w:rPr>
                <w:color w:val="000000"/>
                <w:sz w:val="14"/>
                <w:szCs w:val="14"/>
              </w:rPr>
              <w:t>2,460 (1,640 - 3,530)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83BEFB3" w14:textId="77777777" w:rsidR="00134E64" w:rsidRPr="00EA648D" w:rsidRDefault="00134E64">
            <w:pPr>
              <w:jc w:val="right"/>
              <w:rPr>
                <w:color w:val="000000"/>
                <w:sz w:val="14"/>
                <w:szCs w:val="14"/>
              </w:rPr>
            </w:pPr>
            <w:r w:rsidRPr="00EA648D">
              <w:rPr>
                <w:color w:val="000000"/>
                <w:sz w:val="14"/>
                <w:szCs w:val="14"/>
              </w:rPr>
              <w:t>59.1 (39.4 - 85.1)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E677933" w14:textId="77777777" w:rsidR="00134E64" w:rsidRPr="00EA648D" w:rsidRDefault="00134E64">
            <w:pPr>
              <w:jc w:val="right"/>
              <w:rPr>
                <w:color w:val="000000"/>
                <w:sz w:val="14"/>
                <w:szCs w:val="14"/>
              </w:rPr>
            </w:pPr>
            <w:r w:rsidRPr="00EA648D">
              <w:rPr>
                <w:color w:val="000000"/>
                <w:sz w:val="14"/>
                <w:szCs w:val="14"/>
              </w:rPr>
              <w:t>10.4% (8.9% - 12.1%)</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2A164D6" w14:textId="77777777" w:rsidR="00134E64" w:rsidRPr="00EA648D" w:rsidRDefault="00134E64">
            <w:pPr>
              <w:jc w:val="right"/>
              <w:rPr>
                <w:color w:val="000000"/>
                <w:sz w:val="14"/>
                <w:szCs w:val="14"/>
              </w:rPr>
            </w:pPr>
            <w:r w:rsidRPr="00EA648D">
              <w:rPr>
                <w:color w:val="000000"/>
                <w:sz w:val="14"/>
                <w:szCs w:val="14"/>
              </w:rPr>
              <w:t>630 (408 - 917)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4A607EA" w14:textId="77777777" w:rsidR="00134E64" w:rsidRPr="00EA648D" w:rsidRDefault="00134E64">
            <w:pPr>
              <w:jc w:val="right"/>
              <w:rPr>
                <w:color w:val="000000"/>
                <w:sz w:val="14"/>
                <w:szCs w:val="14"/>
              </w:rPr>
            </w:pPr>
            <w:r w:rsidRPr="00EA648D">
              <w:rPr>
                <w:color w:val="000000"/>
                <w:sz w:val="14"/>
                <w:szCs w:val="14"/>
              </w:rPr>
              <w:t>15.2 (9.9 - 22.0)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8A48E4" w14:textId="77777777" w:rsidR="00134E64" w:rsidRPr="00EA648D" w:rsidRDefault="00134E64">
            <w:pPr>
              <w:jc w:val="right"/>
              <w:rPr>
                <w:color w:val="000000"/>
                <w:sz w:val="14"/>
                <w:szCs w:val="14"/>
              </w:rPr>
            </w:pPr>
          </w:p>
        </w:tc>
      </w:tr>
      <w:tr w:rsidR="005C6575" w:rsidRPr="00EA648D" w14:paraId="5380924B"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23DD3738" w14:textId="77777777" w:rsidR="00134E64" w:rsidRPr="00EA648D" w:rsidRDefault="00134E64">
            <w:pPr>
              <w:rPr>
                <w:color w:val="000000"/>
                <w:sz w:val="14"/>
                <w:szCs w:val="14"/>
              </w:rPr>
            </w:pPr>
            <w:r w:rsidRPr="00EA648D">
              <w:rPr>
                <w:color w:val="000000"/>
                <w:sz w:val="14"/>
                <w:szCs w:val="14"/>
              </w:rPr>
              <w:t>Panama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89C124B" w14:textId="77777777" w:rsidR="00134E64" w:rsidRPr="00EA648D" w:rsidRDefault="00134E64">
            <w:pPr>
              <w:jc w:val="right"/>
              <w:rPr>
                <w:color w:val="000000"/>
                <w:sz w:val="14"/>
                <w:szCs w:val="14"/>
              </w:rPr>
            </w:pPr>
            <w:r w:rsidRPr="00EA648D">
              <w:rPr>
                <w:color w:val="000000"/>
                <w:sz w:val="14"/>
                <w:szCs w:val="14"/>
              </w:rPr>
              <w:t xml:space="preserve"> 19,800 (15,900 - 24,600)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676B4DE" w14:textId="77777777" w:rsidR="00134E64" w:rsidRPr="00EA648D" w:rsidRDefault="00134E64">
            <w:pPr>
              <w:jc w:val="right"/>
              <w:rPr>
                <w:color w:val="000000"/>
                <w:sz w:val="14"/>
                <w:szCs w:val="14"/>
              </w:rPr>
            </w:pPr>
            <w:r w:rsidRPr="00EA648D">
              <w:rPr>
                <w:color w:val="000000"/>
                <w:sz w:val="14"/>
                <w:szCs w:val="14"/>
              </w:rPr>
              <w:t>469.0 (375.0 - 583.8)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3057898" w14:textId="77777777" w:rsidR="00134E64" w:rsidRPr="00EA648D" w:rsidRDefault="00134E64">
            <w:pPr>
              <w:jc w:val="right"/>
              <w:rPr>
                <w:color w:val="000000"/>
                <w:sz w:val="14"/>
                <w:szCs w:val="14"/>
              </w:rPr>
            </w:pPr>
            <w:r w:rsidRPr="00EA648D">
              <w:rPr>
                <w:color w:val="000000"/>
                <w:sz w:val="14"/>
                <w:szCs w:val="14"/>
              </w:rPr>
              <w:t xml:space="preserve"> 20.9% (16.1% - 27.3%)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3F05827" w14:textId="77777777" w:rsidR="00134E64" w:rsidRPr="00EA648D" w:rsidRDefault="00134E64">
            <w:pPr>
              <w:jc w:val="right"/>
              <w:rPr>
                <w:color w:val="000000"/>
                <w:sz w:val="14"/>
                <w:szCs w:val="14"/>
              </w:rPr>
            </w:pPr>
            <w:r w:rsidRPr="00EA648D">
              <w:rPr>
                <w:color w:val="000000"/>
                <w:sz w:val="14"/>
                <w:szCs w:val="14"/>
              </w:rPr>
              <w:t>4,150 (2,910 - 5,780)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672B074" w14:textId="77777777" w:rsidR="00134E64" w:rsidRPr="00EA648D" w:rsidRDefault="00134E64">
            <w:pPr>
              <w:jc w:val="right"/>
              <w:rPr>
                <w:color w:val="000000"/>
                <w:sz w:val="14"/>
                <w:szCs w:val="14"/>
              </w:rPr>
            </w:pPr>
            <w:r w:rsidRPr="00EA648D">
              <w:rPr>
                <w:color w:val="000000"/>
                <w:sz w:val="14"/>
                <w:szCs w:val="14"/>
              </w:rPr>
              <w:t>99.2 (69.5 - 138.4)</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8E81547" w14:textId="77777777" w:rsidR="00134E64" w:rsidRPr="00EA648D" w:rsidRDefault="00134E64">
            <w:pPr>
              <w:jc w:val="right"/>
              <w:rPr>
                <w:color w:val="000000"/>
                <w:sz w:val="14"/>
                <w:szCs w:val="14"/>
              </w:rPr>
            </w:pPr>
            <w:r w:rsidRPr="00EA648D">
              <w:rPr>
                <w:color w:val="000000"/>
                <w:sz w:val="14"/>
                <w:szCs w:val="14"/>
              </w:rPr>
              <w:t xml:space="preserve"> 36.8% (33.9% - 39.6%)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A85150B" w14:textId="77777777" w:rsidR="00134E64" w:rsidRPr="00EA648D" w:rsidRDefault="00134E64">
            <w:pPr>
              <w:jc w:val="right"/>
              <w:rPr>
                <w:color w:val="000000"/>
                <w:sz w:val="14"/>
                <w:szCs w:val="14"/>
              </w:rPr>
            </w:pPr>
            <w:r w:rsidRPr="00EA648D">
              <w:rPr>
                <w:color w:val="000000"/>
                <w:sz w:val="14"/>
                <w:szCs w:val="14"/>
              </w:rPr>
              <w:t>1,530 (1,000 - 2,270)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E850F14" w14:textId="77777777" w:rsidR="00134E64" w:rsidRPr="00EA648D" w:rsidRDefault="00134E64">
            <w:pPr>
              <w:jc w:val="right"/>
              <w:rPr>
                <w:color w:val="000000"/>
                <w:sz w:val="14"/>
                <w:szCs w:val="14"/>
              </w:rPr>
            </w:pPr>
            <w:r w:rsidRPr="00EA648D">
              <w:rPr>
                <w:color w:val="000000"/>
                <w:sz w:val="14"/>
                <w:szCs w:val="14"/>
              </w:rPr>
              <w:t xml:space="preserve"> 36.6 (23.9 - 54.4)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1A04211" w14:textId="77777777" w:rsidR="00134E64" w:rsidRPr="00EA648D" w:rsidRDefault="00134E64">
            <w:pPr>
              <w:jc w:val="right"/>
              <w:rPr>
                <w:color w:val="000000"/>
                <w:sz w:val="14"/>
                <w:szCs w:val="14"/>
              </w:rPr>
            </w:pPr>
            <w:r w:rsidRPr="00EA648D">
              <w:rPr>
                <w:color w:val="000000"/>
                <w:sz w:val="14"/>
                <w:szCs w:val="14"/>
              </w:rPr>
              <w:t>9.2% (7.9% - 10.7%)</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C134AD0" w14:textId="77777777" w:rsidR="00134E64" w:rsidRPr="00EA648D" w:rsidRDefault="00134E64">
            <w:pPr>
              <w:jc w:val="right"/>
              <w:rPr>
                <w:color w:val="000000"/>
                <w:sz w:val="14"/>
                <w:szCs w:val="14"/>
              </w:rPr>
            </w:pPr>
            <w:r w:rsidRPr="00EA648D">
              <w:rPr>
                <w:color w:val="000000"/>
                <w:sz w:val="14"/>
                <w:szCs w:val="14"/>
              </w:rPr>
              <w:t>382 (245 - 572)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B29CFB9" w14:textId="77777777" w:rsidR="00134E64" w:rsidRPr="00EA648D" w:rsidRDefault="00134E64">
            <w:pPr>
              <w:jc w:val="right"/>
              <w:rPr>
                <w:color w:val="000000"/>
                <w:sz w:val="14"/>
                <w:szCs w:val="14"/>
              </w:rPr>
            </w:pPr>
            <w:r w:rsidRPr="00EA648D">
              <w:rPr>
                <w:color w:val="000000"/>
                <w:sz w:val="14"/>
                <w:szCs w:val="14"/>
              </w:rPr>
              <w:t xml:space="preserve"> 9.1 (5.8 - 13.7)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12D4F6" w14:textId="77777777" w:rsidR="00134E64" w:rsidRPr="00EA648D" w:rsidRDefault="00134E64">
            <w:pPr>
              <w:jc w:val="right"/>
              <w:rPr>
                <w:color w:val="000000"/>
                <w:sz w:val="14"/>
                <w:szCs w:val="14"/>
              </w:rPr>
            </w:pPr>
          </w:p>
        </w:tc>
      </w:tr>
      <w:tr w:rsidR="00FF67C1" w:rsidRPr="00EA648D" w14:paraId="52AE2FD8"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0679388B" w14:textId="77777777" w:rsidR="00134E64" w:rsidRPr="00EA648D" w:rsidRDefault="00134E64">
            <w:pPr>
              <w:rPr>
                <w:color w:val="000000"/>
                <w:sz w:val="14"/>
                <w:szCs w:val="14"/>
              </w:rPr>
            </w:pPr>
            <w:r w:rsidRPr="00EA648D">
              <w:rPr>
                <w:color w:val="000000"/>
                <w:sz w:val="14"/>
                <w:szCs w:val="14"/>
              </w:rPr>
              <w:t>Paraguay</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37AD22F" w14:textId="77777777" w:rsidR="00134E64" w:rsidRPr="00EA648D" w:rsidRDefault="00134E64">
            <w:pPr>
              <w:jc w:val="right"/>
              <w:rPr>
                <w:color w:val="000000"/>
                <w:sz w:val="14"/>
                <w:szCs w:val="14"/>
              </w:rPr>
            </w:pPr>
            <w:r w:rsidRPr="00EA648D">
              <w:rPr>
                <w:color w:val="000000"/>
                <w:sz w:val="14"/>
                <w:szCs w:val="14"/>
              </w:rPr>
              <w:t xml:space="preserve"> 34,200 (27,100 - 42,700)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9DE3CED" w14:textId="77777777" w:rsidR="00134E64" w:rsidRPr="00EA648D" w:rsidRDefault="00134E64">
            <w:pPr>
              <w:jc w:val="right"/>
              <w:rPr>
                <w:color w:val="000000"/>
                <w:sz w:val="14"/>
                <w:szCs w:val="14"/>
              </w:rPr>
            </w:pPr>
            <w:r w:rsidRPr="00EA648D">
              <w:rPr>
                <w:color w:val="000000"/>
                <w:sz w:val="14"/>
                <w:szCs w:val="14"/>
              </w:rPr>
              <w:t>615.7 (490.0 - 767.4)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DD420A5" w14:textId="77777777" w:rsidR="00134E64" w:rsidRPr="00EA648D" w:rsidRDefault="00134E64">
            <w:pPr>
              <w:jc w:val="right"/>
              <w:rPr>
                <w:color w:val="000000"/>
                <w:sz w:val="14"/>
                <w:szCs w:val="14"/>
              </w:rPr>
            </w:pPr>
            <w:r w:rsidRPr="00EA648D">
              <w:rPr>
                <w:color w:val="000000"/>
                <w:sz w:val="14"/>
                <w:szCs w:val="14"/>
              </w:rPr>
              <w:t xml:space="preserve"> 20.5% (15.5% - 26.7%)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DF53DE4" w14:textId="77777777" w:rsidR="00134E64" w:rsidRPr="00EA648D" w:rsidRDefault="00134E64">
            <w:pPr>
              <w:jc w:val="right"/>
              <w:rPr>
                <w:color w:val="000000"/>
                <w:sz w:val="14"/>
                <w:szCs w:val="14"/>
              </w:rPr>
            </w:pPr>
            <w:r w:rsidRPr="00EA648D">
              <w:rPr>
                <w:color w:val="000000"/>
                <w:sz w:val="14"/>
                <w:szCs w:val="14"/>
              </w:rPr>
              <w:t>7,000 (4,770 - 9,910)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4546005" w14:textId="77777777" w:rsidR="00134E64" w:rsidRPr="00EA648D" w:rsidRDefault="00134E64">
            <w:pPr>
              <w:jc w:val="right"/>
              <w:rPr>
                <w:color w:val="000000"/>
                <w:sz w:val="14"/>
                <w:szCs w:val="14"/>
              </w:rPr>
            </w:pPr>
            <w:r w:rsidRPr="00EA648D">
              <w:rPr>
                <w:color w:val="000000"/>
                <w:sz w:val="14"/>
                <w:szCs w:val="14"/>
              </w:rPr>
              <w:t>125.9 (86.1 - 178.4)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3F473F5" w14:textId="77777777" w:rsidR="00134E64" w:rsidRPr="00EA648D" w:rsidRDefault="00134E64">
            <w:pPr>
              <w:jc w:val="right"/>
              <w:rPr>
                <w:color w:val="000000"/>
                <w:sz w:val="14"/>
                <w:szCs w:val="14"/>
              </w:rPr>
            </w:pPr>
            <w:r w:rsidRPr="00EA648D">
              <w:rPr>
                <w:color w:val="000000"/>
                <w:sz w:val="14"/>
                <w:szCs w:val="14"/>
              </w:rPr>
              <w:t xml:space="preserve"> 43.5% (40.8% - 46.1%)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4117D89" w14:textId="77777777" w:rsidR="00134E64" w:rsidRPr="00EA648D" w:rsidRDefault="00134E64">
            <w:pPr>
              <w:jc w:val="right"/>
              <w:rPr>
                <w:color w:val="000000"/>
                <w:sz w:val="14"/>
                <w:szCs w:val="14"/>
              </w:rPr>
            </w:pPr>
            <w:r w:rsidRPr="00EA648D">
              <w:rPr>
                <w:color w:val="000000"/>
                <w:sz w:val="14"/>
                <w:szCs w:val="14"/>
              </w:rPr>
              <w:t>3,050 (2,010 - 4,490)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E09AA3E" w14:textId="77777777" w:rsidR="00134E64" w:rsidRPr="00EA648D" w:rsidRDefault="00134E64">
            <w:pPr>
              <w:jc w:val="right"/>
              <w:rPr>
                <w:color w:val="000000"/>
                <w:sz w:val="14"/>
                <w:szCs w:val="14"/>
              </w:rPr>
            </w:pPr>
            <w:r w:rsidRPr="00EA648D">
              <w:rPr>
                <w:color w:val="000000"/>
                <w:sz w:val="14"/>
                <w:szCs w:val="14"/>
              </w:rPr>
              <w:t xml:space="preserve"> 56.1 (37.0 - 81.9)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3D4CC36" w14:textId="77777777" w:rsidR="00134E64" w:rsidRPr="00EA648D" w:rsidRDefault="00134E64">
            <w:pPr>
              <w:jc w:val="right"/>
              <w:rPr>
                <w:color w:val="000000"/>
                <w:sz w:val="14"/>
                <w:szCs w:val="14"/>
              </w:rPr>
            </w:pPr>
            <w:r w:rsidRPr="00EA648D">
              <w:rPr>
                <w:color w:val="000000"/>
                <w:sz w:val="14"/>
                <w:szCs w:val="14"/>
              </w:rPr>
              <w:t>11.2% (9.8% - 12.8%)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5AB1C97" w14:textId="77777777" w:rsidR="00134E64" w:rsidRPr="00EA648D" w:rsidRDefault="00134E64">
            <w:pPr>
              <w:jc w:val="right"/>
              <w:rPr>
                <w:color w:val="000000"/>
                <w:sz w:val="14"/>
                <w:szCs w:val="14"/>
              </w:rPr>
            </w:pPr>
            <w:r w:rsidRPr="00EA648D">
              <w:rPr>
                <w:color w:val="000000"/>
                <w:sz w:val="14"/>
                <w:szCs w:val="14"/>
              </w:rPr>
              <w:t>786 (508 - 1,170)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074B90E" w14:textId="77777777" w:rsidR="00134E64" w:rsidRPr="00EA648D" w:rsidRDefault="00134E64">
            <w:pPr>
              <w:jc w:val="right"/>
              <w:rPr>
                <w:color w:val="000000"/>
                <w:sz w:val="14"/>
                <w:szCs w:val="14"/>
              </w:rPr>
            </w:pPr>
            <w:r w:rsidRPr="00EA648D">
              <w:rPr>
                <w:color w:val="000000"/>
                <w:sz w:val="14"/>
                <w:szCs w:val="14"/>
              </w:rPr>
              <w:t xml:space="preserve"> 14.4 (9.4 - 21.3)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EC0CA7" w14:textId="77777777" w:rsidR="00134E64" w:rsidRPr="00EA648D" w:rsidRDefault="00134E64">
            <w:pPr>
              <w:jc w:val="right"/>
              <w:rPr>
                <w:color w:val="000000"/>
                <w:sz w:val="14"/>
                <w:szCs w:val="14"/>
              </w:rPr>
            </w:pPr>
          </w:p>
        </w:tc>
      </w:tr>
      <w:tr w:rsidR="005C6575" w:rsidRPr="00EA648D" w14:paraId="50511286"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7F6E4EC0" w14:textId="77777777" w:rsidR="00134E64" w:rsidRPr="00EA648D" w:rsidRDefault="00134E64">
            <w:pPr>
              <w:rPr>
                <w:color w:val="000000"/>
                <w:sz w:val="14"/>
                <w:szCs w:val="14"/>
              </w:rPr>
            </w:pPr>
            <w:r w:rsidRPr="00EA648D">
              <w:rPr>
                <w:color w:val="000000"/>
                <w:sz w:val="14"/>
                <w:szCs w:val="14"/>
              </w:rPr>
              <w:t>Peru</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5D0216C" w14:textId="77777777" w:rsidR="00134E64" w:rsidRPr="00EA648D" w:rsidRDefault="00134E64">
            <w:pPr>
              <w:jc w:val="right"/>
              <w:rPr>
                <w:color w:val="000000"/>
                <w:sz w:val="14"/>
                <w:szCs w:val="14"/>
              </w:rPr>
            </w:pPr>
            <w:r w:rsidRPr="00EA648D">
              <w:rPr>
                <w:color w:val="000000"/>
                <w:sz w:val="14"/>
                <w:szCs w:val="14"/>
              </w:rPr>
              <w:t xml:space="preserve"> 152,000 (119,000 - 194,000)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C9F07DF" w14:textId="77777777" w:rsidR="00134E64" w:rsidRPr="00EA648D" w:rsidRDefault="00134E64">
            <w:pPr>
              <w:jc w:val="right"/>
              <w:rPr>
                <w:color w:val="000000"/>
                <w:sz w:val="14"/>
                <w:szCs w:val="14"/>
              </w:rPr>
            </w:pPr>
            <w:r w:rsidRPr="00EA648D">
              <w:rPr>
                <w:color w:val="000000"/>
                <w:sz w:val="14"/>
                <w:szCs w:val="14"/>
              </w:rPr>
              <w:t>465.5 (361.5 - 594.9)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BFDD578" w14:textId="77777777" w:rsidR="00134E64" w:rsidRPr="00EA648D" w:rsidRDefault="00134E64">
            <w:pPr>
              <w:jc w:val="right"/>
              <w:rPr>
                <w:color w:val="000000"/>
                <w:sz w:val="14"/>
                <w:szCs w:val="14"/>
              </w:rPr>
            </w:pPr>
            <w:r w:rsidRPr="00EA648D">
              <w:rPr>
                <w:color w:val="000000"/>
                <w:sz w:val="14"/>
                <w:szCs w:val="14"/>
              </w:rPr>
              <w:t xml:space="preserve"> 29.1% (24.0% - 35.5%)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F3462B" w14:textId="77777777" w:rsidR="00134E64" w:rsidRPr="00EA648D" w:rsidRDefault="00134E64">
            <w:pPr>
              <w:jc w:val="right"/>
              <w:rPr>
                <w:color w:val="000000"/>
                <w:sz w:val="14"/>
                <w:szCs w:val="14"/>
              </w:rPr>
            </w:pPr>
            <w:r w:rsidRPr="00EA648D">
              <w:rPr>
                <w:color w:val="000000"/>
                <w:sz w:val="14"/>
                <w:szCs w:val="14"/>
              </w:rPr>
              <w:t>44,300 (32,100 - 60,400)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6D7B6D7" w14:textId="77777777" w:rsidR="00134E64" w:rsidRPr="00EA648D" w:rsidRDefault="00134E64">
            <w:pPr>
              <w:jc w:val="right"/>
              <w:rPr>
                <w:color w:val="000000"/>
                <w:sz w:val="14"/>
                <w:szCs w:val="14"/>
              </w:rPr>
            </w:pPr>
            <w:r w:rsidRPr="00EA648D">
              <w:rPr>
                <w:color w:val="000000"/>
                <w:sz w:val="14"/>
                <w:szCs w:val="14"/>
              </w:rPr>
              <w:t>135.6 (98.0 - 184.9)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C8E1A10" w14:textId="77777777" w:rsidR="00134E64" w:rsidRPr="00EA648D" w:rsidRDefault="00134E64">
            <w:pPr>
              <w:jc w:val="right"/>
              <w:rPr>
                <w:color w:val="000000"/>
                <w:sz w:val="14"/>
                <w:szCs w:val="14"/>
              </w:rPr>
            </w:pPr>
            <w:r w:rsidRPr="00EA648D">
              <w:rPr>
                <w:color w:val="000000"/>
                <w:sz w:val="14"/>
                <w:szCs w:val="14"/>
              </w:rPr>
              <w:t xml:space="preserve"> 47.0% (44.7% - 49.1%)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28ACE5A" w14:textId="77777777" w:rsidR="00134E64" w:rsidRPr="00EA648D" w:rsidRDefault="00134E64">
            <w:pPr>
              <w:jc w:val="right"/>
              <w:rPr>
                <w:color w:val="000000"/>
                <w:sz w:val="14"/>
                <w:szCs w:val="14"/>
              </w:rPr>
            </w:pPr>
            <w:r w:rsidRPr="00EA648D">
              <w:rPr>
                <w:color w:val="000000"/>
                <w:sz w:val="14"/>
                <w:szCs w:val="14"/>
              </w:rPr>
              <w:t>20,900 (14,600 - 29,200)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21B13F5" w14:textId="77777777" w:rsidR="00134E64" w:rsidRPr="00EA648D" w:rsidRDefault="00134E64">
            <w:pPr>
              <w:jc w:val="right"/>
              <w:rPr>
                <w:color w:val="000000"/>
                <w:sz w:val="14"/>
                <w:szCs w:val="14"/>
              </w:rPr>
            </w:pPr>
            <w:r w:rsidRPr="00EA648D">
              <w:rPr>
                <w:color w:val="000000"/>
                <w:sz w:val="14"/>
                <w:szCs w:val="14"/>
              </w:rPr>
              <w:t xml:space="preserve"> 64.0 (44.7 - 89.6)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3D97FDD" w14:textId="77777777" w:rsidR="00134E64" w:rsidRPr="00EA648D" w:rsidRDefault="00134E64">
            <w:pPr>
              <w:jc w:val="right"/>
              <w:rPr>
                <w:color w:val="000000"/>
                <w:sz w:val="14"/>
                <w:szCs w:val="14"/>
              </w:rPr>
            </w:pPr>
            <w:r w:rsidRPr="00EA648D">
              <w:rPr>
                <w:color w:val="000000"/>
                <w:sz w:val="14"/>
                <w:szCs w:val="14"/>
              </w:rPr>
              <w:t>11.8% (10.1% - 13.6%)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A0AFD4D" w14:textId="77777777" w:rsidR="00134E64" w:rsidRPr="00EA648D" w:rsidRDefault="00134E64">
            <w:pPr>
              <w:jc w:val="right"/>
              <w:rPr>
                <w:color w:val="000000"/>
                <w:sz w:val="14"/>
                <w:szCs w:val="14"/>
              </w:rPr>
            </w:pPr>
            <w:r w:rsidRPr="00EA648D">
              <w:rPr>
                <w:color w:val="000000"/>
                <w:sz w:val="14"/>
                <w:szCs w:val="14"/>
              </w:rPr>
              <w:t>5,220 (3,580 - 7,420)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2A45FC5" w14:textId="77777777" w:rsidR="00134E64" w:rsidRPr="00EA648D" w:rsidRDefault="00134E64">
            <w:pPr>
              <w:jc w:val="right"/>
              <w:rPr>
                <w:color w:val="000000"/>
                <w:sz w:val="14"/>
                <w:szCs w:val="14"/>
              </w:rPr>
            </w:pPr>
            <w:r w:rsidRPr="00EA648D">
              <w:rPr>
                <w:color w:val="000000"/>
                <w:sz w:val="14"/>
                <w:szCs w:val="14"/>
              </w:rPr>
              <w:t xml:space="preserve"> 16.0 (11.0 - 22.8)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FAD884" w14:textId="77777777" w:rsidR="00134E64" w:rsidRPr="00EA648D" w:rsidRDefault="00134E64">
            <w:pPr>
              <w:jc w:val="right"/>
              <w:rPr>
                <w:color w:val="000000"/>
                <w:sz w:val="14"/>
                <w:szCs w:val="14"/>
              </w:rPr>
            </w:pPr>
          </w:p>
        </w:tc>
      </w:tr>
      <w:tr w:rsidR="00FF67C1" w:rsidRPr="00EA648D" w14:paraId="5E082B54"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51407EF6" w14:textId="77777777" w:rsidR="00134E64" w:rsidRPr="00EA648D" w:rsidRDefault="00134E64">
            <w:pPr>
              <w:rPr>
                <w:color w:val="000000"/>
                <w:sz w:val="14"/>
                <w:szCs w:val="14"/>
              </w:rPr>
            </w:pPr>
            <w:r w:rsidRPr="00EA648D">
              <w:rPr>
                <w:color w:val="000000"/>
                <w:sz w:val="14"/>
                <w:szCs w:val="14"/>
              </w:rPr>
              <w:t>Saint Kitts and Nevis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2538CDE" w14:textId="77777777" w:rsidR="00134E64" w:rsidRPr="00EA648D" w:rsidRDefault="00134E64">
            <w:pPr>
              <w:jc w:val="right"/>
              <w:rPr>
                <w:color w:val="000000"/>
                <w:sz w:val="14"/>
                <w:szCs w:val="14"/>
              </w:rPr>
            </w:pPr>
            <w:r w:rsidRPr="00EA648D">
              <w:rPr>
                <w:color w:val="000000"/>
                <w:sz w:val="14"/>
                <w:szCs w:val="14"/>
              </w:rPr>
              <w:t xml:space="preserve"> 500 (454 - 567)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A4FF0E5" w14:textId="77777777" w:rsidR="00134E64" w:rsidRPr="00EA648D" w:rsidRDefault="00134E64">
            <w:pPr>
              <w:jc w:val="right"/>
              <w:rPr>
                <w:color w:val="000000"/>
                <w:sz w:val="14"/>
                <w:szCs w:val="14"/>
              </w:rPr>
            </w:pPr>
            <w:r w:rsidRPr="00EA648D">
              <w:rPr>
                <w:color w:val="000000"/>
                <w:sz w:val="14"/>
                <w:szCs w:val="14"/>
              </w:rPr>
              <w:t>891.1 (822.5 - 1003.4)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7D96FA2" w14:textId="77777777" w:rsidR="00134E64" w:rsidRPr="00EA648D" w:rsidRDefault="00134E64">
            <w:pPr>
              <w:jc w:val="right"/>
              <w:rPr>
                <w:color w:val="000000"/>
                <w:sz w:val="14"/>
                <w:szCs w:val="14"/>
              </w:rPr>
            </w:pPr>
            <w:r w:rsidRPr="00EA648D">
              <w:rPr>
                <w:color w:val="000000"/>
                <w:sz w:val="14"/>
                <w:szCs w:val="14"/>
              </w:rPr>
              <w:t xml:space="preserve"> 23.1% (15.8% - 32.5%)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B9C9003" w14:textId="77777777" w:rsidR="00134E64" w:rsidRPr="00EA648D" w:rsidRDefault="00134E64">
            <w:pPr>
              <w:jc w:val="right"/>
              <w:rPr>
                <w:color w:val="000000"/>
                <w:sz w:val="14"/>
                <w:szCs w:val="14"/>
              </w:rPr>
            </w:pPr>
            <w:r w:rsidRPr="00EA648D">
              <w:rPr>
                <w:color w:val="000000"/>
                <w:sz w:val="14"/>
                <w:szCs w:val="14"/>
              </w:rPr>
              <w:t>115 (78 - 167)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04DAE29" w14:textId="77777777" w:rsidR="00134E64" w:rsidRPr="00EA648D" w:rsidRDefault="00134E64">
            <w:pPr>
              <w:jc w:val="right"/>
              <w:rPr>
                <w:color w:val="000000"/>
                <w:sz w:val="14"/>
                <w:szCs w:val="14"/>
              </w:rPr>
            </w:pPr>
            <w:r w:rsidRPr="00EA648D">
              <w:rPr>
                <w:color w:val="000000"/>
                <w:sz w:val="14"/>
                <w:szCs w:val="14"/>
              </w:rPr>
              <w:t>202.0 (141.7 - 283.3)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F1F4A76" w14:textId="77777777" w:rsidR="00134E64" w:rsidRPr="00EA648D" w:rsidRDefault="00134E64">
            <w:pPr>
              <w:jc w:val="right"/>
              <w:rPr>
                <w:color w:val="000000"/>
                <w:sz w:val="14"/>
                <w:szCs w:val="14"/>
              </w:rPr>
            </w:pPr>
            <w:r w:rsidRPr="00EA648D">
              <w:rPr>
                <w:color w:val="000000"/>
                <w:sz w:val="14"/>
                <w:szCs w:val="14"/>
              </w:rPr>
              <w:t xml:space="preserve"> 34.1% (23.4% - 42.2%)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E787C8B" w14:textId="77777777" w:rsidR="00134E64" w:rsidRPr="00EA648D" w:rsidRDefault="00134E64">
            <w:pPr>
              <w:jc w:val="right"/>
              <w:rPr>
                <w:color w:val="000000"/>
                <w:sz w:val="14"/>
                <w:szCs w:val="14"/>
              </w:rPr>
            </w:pPr>
            <w:r w:rsidRPr="00EA648D">
              <w:rPr>
                <w:color w:val="000000"/>
                <w:sz w:val="14"/>
                <w:szCs w:val="14"/>
              </w:rPr>
              <w:t>39 (27 - 54)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F4E94B9" w14:textId="77777777" w:rsidR="00134E64" w:rsidRPr="00EA648D" w:rsidRDefault="00134E64">
            <w:pPr>
              <w:jc w:val="right"/>
              <w:rPr>
                <w:color w:val="000000"/>
                <w:sz w:val="14"/>
                <w:szCs w:val="14"/>
              </w:rPr>
            </w:pPr>
            <w:r w:rsidRPr="00EA648D">
              <w:rPr>
                <w:color w:val="000000"/>
                <w:sz w:val="14"/>
                <w:szCs w:val="14"/>
              </w:rPr>
              <w:t xml:space="preserve"> 70.0 (48.4 - 97.6)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4AC47D6" w14:textId="77777777" w:rsidR="00134E64" w:rsidRPr="00EA648D" w:rsidRDefault="00134E64">
            <w:pPr>
              <w:jc w:val="right"/>
              <w:rPr>
                <w:color w:val="000000"/>
                <w:sz w:val="14"/>
                <w:szCs w:val="14"/>
              </w:rPr>
            </w:pPr>
            <w:r w:rsidRPr="00EA648D">
              <w:rPr>
                <w:color w:val="000000"/>
                <w:sz w:val="14"/>
                <w:szCs w:val="14"/>
              </w:rPr>
              <w:t>8.8% (5.8% - 11.4%)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04CB348" w14:textId="77777777" w:rsidR="00134E64" w:rsidRPr="00EA648D" w:rsidRDefault="00134E64">
            <w:pPr>
              <w:jc w:val="right"/>
              <w:rPr>
                <w:color w:val="000000"/>
                <w:sz w:val="14"/>
                <w:szCs w:val="14"/>
              </w:rPr>
            </w:pPr>
            <w:r w:rsidRPr="00EA648D">
              <w:rPr>
                <w:color w:val="000000"/>
                <w:sz w:val="14"/>
                <w:szCs w:val="14"/>
              </w:rPr>
              <w:t>10 (7 - 14)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986C97E" w14:textId="77777777" w:rsidR="00134E64" w:rsidRPr="00EA648D" w:rsidRDefault="00134E64">
            <w:pPr>
              <w:jc w:val="right"/>
              <w:rPr>
                <w:color w:val="000000"/>
                <w:sz w:val="14"/>
                <w:szCs w:val="14"/>
              </w:rPr>
            </w:pPr>
            <w:r w:rsidRPr="00EA648D">
              <w:rPr>
                <w:color w:val="000000"/>
                <w:sz w:val="14"/>
                <w:szCs w:val="14"/>
              </w:rPr>
              <w:t xml:space="preserve"> 18.0 (12.1 - 25.8)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ECB5D2" w14:textId="77777777" w:rsidR="00134E64" w:rsidRPr="00EA648D" w:rsidRDefault="00134E64">
            <w:pPr>
              <w:jc w:val="right"/>
              <w:rPr>
                <w:color w:val="000000"/>
                <w:sz w:val="14"/>
                <w:szCs w:val="14"/>
              </w:rPr>
            </w:pPr>
          </w:p>
        </w:tc>
      </w:tr>
      <w:tr w:rsidR="005C6575" w:rsidRPr="00EA648D" w14:paraId="2D6F5456"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7A7320E2" w14:textId="77777777" w:rsidR="00134E64" w:rsidRPr="00EA648D" w:rsidRDefault="00134E64">
            <w:pPr>
              <w:rPr>
                <w:color w:val="000000"/>
                <w:sz w:val="14"/>
                <w:szCs w:val="14"/>
              </w:rPr>
            </w:pPr>
            <w:r w:rsidRPr="00EA648D">
              <w:rPr>
                <w:color w:val="000000"/>
                <w:sz w:val="14"/>
                <w:szCs w:val="14"/>
              </w:rPr>
              <w:t>Saint Lucia</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DC18978" w14:textId="77777777" w:rsidR="00134E64" w:rsidRPr="00EA648D" w:rsidRDefault="00134E64">
            <w:pPr>
              <w:jc w:val="right"/>
              <w:rPr>
                <w:color w:val="000000"/>
                <w:sz w:val="14"/>
                <w:szCs w:val="14"/>
              </w:rPr>
            </w:pPr>
            <w:r w:rsidRPr="00EA648D">
              <w:rPr>
                <w:color w:val="000000"/>
                <w:sz w:val="14"/>
                <w:szCs w:val="14"/>
              </w:rPr>
              <w:t xml:space="preserve"> 1,410 (1,230 - 1,610)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4C394BC" w14:textId="77777777" w:rsidR="00134E64" w:rsidRPr="00EA648D" w:rsidRDefault="00134E64">
            <w:pPr>
              <w:jc w:val="right"/>
              <w:rPr>
                <w:color w:val="000000"/>
                <w:sz w:val="14"/>
                <w:szCs w:val="14"/>
              </w:rPr>
            </w:pPr>
            <w:r w:rsidRPr="00EA648D">
              <w:rPr>
                <w:color w:val="000000"/>
                <w:sz w:val="14"/>
                <w:szCs w:val="14"/>
              </w:rPr>
              <w:t>709.9 (617.6 - 816.5)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E2DEFD4" w14:textId="77777777" w:rsidR="00134E64" w:rsidRPr="00EA648D" w:rsidRDefault="00134E64">
            <w:pPr>
              <w:jc w:val="right"/>
              <w:rPr>
                <w:color w:val="000000"/>
                <w:sz w:val="14"/>
                <w:szCs w:val="14"/>
              </w:rPr>
            </w:pPr>
            <w:r w:rsidRPr="00EA648D">
              <w:rPr>
                <w:color w:val="000000"/>
                <w:sz w:val="14"/>
                <w:szCs w:val="14"/>
              </w:rPr>
              <w:t xml:space="preserve"> 18.8% (13.9% - 25.2%)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356517D" w14:textId="77777777" w:rsidR="00134E64" w:rsidRPr="00EA648D" w:rsidRDefault="00134E64">
            <w:pPr>
              <w:jc w:val="right"/>
              <w:rPr>
                <w:color w:val="000000"/>
                <w:sz w:val="14"/>
                <w:szCs w:val="14"/>
              </w:rPr>
            </w:pPr>
            <w:r w:rsidRPr="00EA648D">
              <w:rPr>
                <w:color w:val="000000"/>
                <w:sz w:val="14"/>
                <w:szCs w:val="14"/>
              </w:rPr>
              <w:t>265 (188 - 363)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180E819" w14:textId="77777777" w:rsidR="00134E64" w:rsidRPr="00EA648D" w:rsidRDefault="00134E64">
            <w:pPr>
              <w:jc w:val="right"/>
              <w:rPr>
                <w:color w:val="000000"/>
                <w:sz w:val="14"/>
                <w:szCs w:val="14"/>
              </w:rPr>
            </w:pPr>
            <w:r w:rsidRPr="00EA648D">
              <w:rPr>
                <w:color w:val="000000"/>
                <w:sz w:val="14"/>
                <w:szCs w:val="14"/>
              </w:rPr>
              <w:t>137.8 (97.6 - 189.6)</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954F00E" w14:textId="77777777" w:rsidR="00134E64" w:rsidRPr="00EA648D" w:rsidRDefault="00134E64">
            <w:pPr>
              <w:jc w:val="right"/>
              <w:rPr>
                <w:color w:val="000000"/>
                <w:sz w:val="14"/>
                <w:szCs w:val="14"/>
              </w:rPr>
            </w:pPr>
            <w:r w:rsidRPr="00EA648D">
              <w:rPr>
                <w:color w:val="000000"/>
                <w:sz w:val="14"/>
                <w:szCs w:val="14"/>
              </w:rPr>
              <w:t xml:space="preserve"> 41.8% (38.9% - 44.6%)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A8A355B" w14:textId="77777777" w:rsidR="00134E64" w:rsidRPr="00EA648D" w:rsidRDefault="00134E64">
            <w:pPr>
              <w:jc w:val="right"/>
              <w:rPr>
                <w:color w:val="000000"/>
                <w:sz w:val="14"/>
                <w:szCs w:val="14"/>
              </w:rPr>
            </w:pPr>
            <w:r w:rsidRPr="00EA648D">
              <w:rPr>
                <w:color w:val="000000"/>
                <w:sz w:val="14"/>
                <w:szCs w:val="14"/>
              </w:rPr>
              <w:t>111 (74 - 159)</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2DD008" w14:textId="77777777" w:rsidR="00134E64" w:rsidRPr="00EA648D" w:rsidRDefault="00134E64">
            <w:pPr>
              <w:jc w:val="right"/>
              <w:rPr>
                <w:color w:val="000000"/>
                <w:sz w:val="14"/>
                <w:szCs w:val="14"/>
              </w:rPr>
            </w:pPr>
            <w:r w:rsidRPr="00EA648D">
              <w:rPr>
                <w:color w:val="000000"/>
                <w:sz w:val="14"/>
                <w:szCs w:val="14"/>
              </w:rPr>
              <w:t xml:space="preserve"> 57.0 (37.8 - 81.8)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F9292ED" w14:textId="77777777" w:rsidR="00134E64" w:rsidRPr="00EA648D" w:rsidRDefault="00134E64">
            <w:pPr>
              <w:jc w:val="right"/>
              <w:rPr>
                <w:color w:val="000000"/>
                <w:sz w:val="14"/>
                <w:szCs w:val="14"/>
              </w:rPr>
            </w:pPr>
            <w:r w:rsidRPr="00EA648D">
              <w:rPr>
                <w:color w:val="000000"/>
                <w:sz w:val="14"/>
                <w:szCs w:val="14"/>
              </w:rPr>
              <w:t>10.9% (9.5% - 12.4%)</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51B8E00" w14:textId="77777777" w:rsidR="00134E64" w:rsidRPr="00EA648D" w:rsidRDefault="00134E64">
            <w:pPr>
              <w:jc w:val="right"/>
              <w:rPr>
                <w:color w:val="000000"/>
                <w:sz w:val="14"/>
                <w:szCs w:val="14"/>
              </w:rPr>
            </w:pPr>
            <w:r w:rsidRPr="00EA648D">
              <w:rPr>
                <w:color w:val="000000"/>
                <w:sz w:val="14"/>
                <w:szCs w:val="14"/>
              </w:rPr>
              <w:t>29 (19 - 42)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D23723C" w14:textId="77777777" w:rsidR="00134E64" w:rsidRPr="00EA648D" w:rsidRDefault="00134E64">
            <w:pPr>
              <w:jc w:val="right"/>
              <w:rPr>
                <w:color w:val="000000"/>
                <w:sz w:val="14"/>
                <w:szCs w:val="14"/>
              </w:rPr>
            </w:pPr>
            <w:r w:rsidRPr="00EA648D">
              <w:rPr>
                <w:color w:val="000000"/>
                <w:sz w:val="14"/>
                <w:szCs w:val="14"/>
              </w:rPr>
              <w:t xml:space="preserve"> 14.8 (9.6 - 21.6)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E258A3" w14:textId="77777777" w:rsidR="00134E64" w:rsidRPr="00EA648D" w:rsidRDefault="00134E64">
            <w:pPr>
              <w:jc w:val="right"/>
              <w:rPr>
                <w:color w:val="000000"/>
                <w:sz w:val="14"/>
                <w:szCs w:val="14"/>
              </w:rPr>
            </w:pPr>
          </w:p>
        </w:tc>
      </w:tr>
      <w:tr w:rsidR="00FF67C1" w:rsidRPr="00EA648D" w14:paraId="1B80B755"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23032908" w14:textId="77777777" w:rsidR="00134E64" w:rsidRPr="00EA648D" w:rsidRDefault="00134E64">
            <w:pPr>
              <w:rPr>
                <w:color w:val="000000"/>
                <w:sz w:val="14"/>
                <w:szCs w:val="14"/>
              </w:rPr>
            </w:pPr>
            <w:r w:rsidRPr="00EA648D">
              <w:rPr>
                <w:color w:val="000000"/>
                <w:sz w:val="14"/>
                <w:szCs w:val="14"/>
              </w:rPr>
              <w:lastRenderedPageBreak/>
              <w:t>Saint Vincent and the Grenadines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B49DDD0" w14:textId="77777777" w:rsidR="00134E64" w:rsidRPr="00EA648D" w:rsidRDefault="00134E64">
            <w:pPr>
              <w:jc w:val="right"/>
              <w:rPr>
                <w:color w:val="000000"/>
                <w:sz w:val="14"/>
                <w:szCs w:val="14"/>
              </w:rPr>
            </w:pPr>
            <w:r w:rsidRPr="00EA648D">
              <w:rPr>
                <w:color w:val="000000"/>
                <w:sz w:val="14"/>
                <w:szCs w:val="14"/>
              </w:rPr>
              <w:t xml:space="preserve"> 1,030 (921 - 1,150)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BCF6075" w14:textId="77777777" w:rsidR="00134E64" w:rsidRPr="00EA648D" w:rsidRDefault="00134E64">
            <w:pPr>
              <w:jc w:val="right"/>
              <w:rPr>
                <w:color w:val="000000"/>
                <w:sz w:val="14"/>
                <w:szCs w:val="14"/>
              </w:rPr>
            </w:pPr>
            <w:r w:rsidRPr="00EA648D">
              <w:rPr>
                <w:color w:val="000000"/>
                <w:sz w:val="14"/>
                <w:szCs w:val="14"/>
              </w:rPr>
              <w:t>840.4 (754.7 - 940.4)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DB457ED" w14:textId="77777777" w:rsidR="00134E64" w:rsidRPr="00EA648D" w:rsidRDefault="00134E64">
            <w:pPr>
              <w:jc w:val="right"/>
              <w:rPr>
                <w:color w:val="000000"/>
                <w:sz w:val="14"/>
                <w:szCs w:val="14"/>
              </w:rPr>
            </w:pPr>
            <w:r w:rsidRPr="00EA648D">
              <w:rPr>
                <w:color w:val="000000"/>
                <w:sz w:val="14"/>
                <w:szCs w:val="14"/>
              </w:rPr>
              <w:t xml:space="preserve"> 19.5% (14.4% - 25.7%)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A9DD678" w14:textId="77777777" w:rsidR="00134E64" w:rsidRPr="00EA648D" w:rsidRDefault="00134E64">
            <w:pPr>
              <w:jc w:val="right"/>
              <w:rPr>
                <w:color w:val="000000"/>
                <w:sz w:val="14"/>
                <w:szCs w:val="14"/>
              </w:rPr>
            </w:pPr>
            <w:r w:rsidRPr="00EA648D">
              <w:rPr>
                <w:color w:val="000000"/>
                <w:sz w:val="14"/>
                <w:szCs w:val="14"/>
              </w:rPr>
              <w:t>200 (145 - 268)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74399C59" w14:textId="77777777" w:rsidR="00134E64" w:rsidRPr="00EA648D" w:rsidRDefault="00134E64">
            <w:pPr>
              <w:jc w:val="right"/>
              <w:rPr>
                <w:color w:val="000000"/>
                <w:sz w:val="14"/>
                <w:szCs w:val="14"/>
              </w:rPr>
            </w:pPr>
            <w:r w:rsidRPr="00EA648D">
              <w:rPr>
                <w:color w:val="000000"/>
                <w:sz w:val="14"/>
                <w:szCs w:val="14"/>
              </w:rPr>
              <w:t>169.0 (123.1 - 225.6)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12FEB9B" w14:textId="77777777" w:rsidR="00134E64" w:rsidRPr="00EA648D" w:rsidRDefault="00134E64">
            <w:pPr>
              <w:jc w:val="right"/>
              <w:rPr>
                <w:color w:val="000000"/>
                <w:sz w:val="14"/>
                <w:szCs w:val="14"/>
              </w:rPr>
            </w:pPr>
            <w:r w:rsidRPr="00EA648D">
              <w:rPr>
                <w:color w:val="000000"/>
                <w:sz w:val="14"/>
                <w:szCs w:val="14"/>
              </w:rPr>
              <w:t xml:space="preserve"> 39.6% (36.6% - 42.6%)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66E7B18" w14:textId="77777777" w:rsidR="00134E64" w:rsidRPr="00EA648D" w:rsidRDefault="00134E64">
            <w:pPr>
              <w:jc w:val="right"/>
              <w:rPr>
                <w:color w:val="000000"/>
                <w:sz w:val="14"/>
                <w:szCs w:val="14"/>
              </w:rPr>
            </w:pPr>
            <w:r w:rsidRPr="00EA648D">
              <w:rPr>
                <w:color w:val="000000"/>
                <w:sz w:val="14"/>
                <w:szCs w:val="14"/>
              </w:rPr>
              <w:t>80 (54 - 112)</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774FCC4" w14:textId="77777777" w:rsidR="00134E64" w:rsidRPr="00EA648D" w:rsidRDefault="00134E64">
            <w:pPr>
              <w:jc w:val="right"/>
              <w:rPr>
                <w:color w:val="000000"/>
                <w:sz w:val="14"/>
                <w:szCs w:val="14"/>
              </w:rPr>
            </w:pPr>
            <w:r w:rsidRPr="00EA648D">
              <w:rPr>
                <w:color w:val="000000"/>
                <w:sz w:val="14"/>
                <w:szCs w:val="14"/>
              </w:rPr>
              <w:t xml:space="preserve"> 66.4 (44.8 - 93.5)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E11DC1F" w14:textId="77777777" w:rsidR="00134E64" w:rsidRPr="00EA648D" w:rsidRDefault="00134E64">
            <w:pPr>
              <w:jc w:val="right"/>
              <w:rPr>
                <w:color w:val="000000"/>
                <w:sz w:val="14"/>
                <w:szCs w:val="14"/>
              </w:rPr>
            </w:pPr>
            <w:r w:rsidRPr="00EA648D">
              <w:rPr>
                <w:color w:val="000000"/>
                <w:sz w:val="14"/>
                <w:szCs w:val="14"/>
              </w:rPr>
              <w:t>10.2% (8.9% - 11.6%)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E3660D6" w14:textId="77777777" w:rsidR="00134E64" w:rsidRPr="00EA648D" w:rsidRDefault="00134E64">
            <w:pPr>
              <w:jc w:val="right"/>
              <w:rPr>
                <w:color w:val="000000"/>
                <w:sz w:val="14"/>
                <w:szCs w:val="14"/>
              </w:rPr>
            </w:pPr>
            <w:r w:rsidRPr="00EA648D">
              <w:rPr>
                <w:color w:val="000000"/>
                <w:sz w:val="14"/>
                <w:szCs w:val="14"/>
              </w:rPr>
              <w:t>20 (14 - 30)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72DC7D6" w14:textId="77777777" w:rsidR="00134E64" w:rsidRPr="00EA648D" w:rsidRDefault="00134E64">
            <w:pPr>
              <w:jc w:val="right"/>
              <w:rPr>
                <w:color w:val="000000"/>
                <w:sz w:val="14"/>
                <w:szCs w:val="14"/>
              </w:rPr>
            </w:pPr>
            <w:r w:rsidRPr="00EA648D">
              <w:rPr>
                <w:color w:val="000000"/>
                <w:sz w:val="14"/>
                <w:szCs w:val="14"/>
              </w:rPr>
              <w:t xml:space="preserve"> 17.0 (11.3 - 24.7)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82B44" w14:textId="77777777" w:rsidR="00134E64" w:rsidRPr="00EA648D" w:rsidRDefault="00134E64">
            <w:pPr>
              <w:jc w:val="right"/>
              <w:rPr>
                <w:color w:val="000000"/>
                <w:sz w:val="14"/>
                <w:szCs w:val="14"/>
              </w:rPr>
            </w:pPr>
          </w:p>
        </w:tc>
      </w:tr>
      <w:tr w:rsidR="005C6575" w:rsidRPr="00EA648D" w14:paraId="11429335"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3405F35F" w14:textId="77777777" w:rsidR="00134E64" w:rsidRPr="00EA648D" w:rsidRDefault="00134E64">
            <w:pPr>
              <w:rPr>
                <w:color w:val="000000"/>
                <w:sz w:val="14"/>
                <w:szCs w:val="14"/>
              </w:rPr>
            </w:pPr>
            <w:r w:rsidRPr="00EA648D">
              <w:rPr>
                <w:color w:val="000000"/>
                <w:sz w:val="14"/>
                <w:szCs w:val="14"/>
              </w:rPr>
              <w:t>Suriname</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35665E4" w14:textId="77777777" w:rsidR="00134E64" w:rsidRPr="00EA648D" w:rsidRDefault="00134E64">
            <w:pPr>
              <w:jc w:val="right"/>
              <w:rPr>
                <w:color w:val="000000"/>
                <w:sz w:val="14"/>
                <w:szCs w:val="14"/>
              </w:rPr>
            </w:pPr>
            <w:r w:rsidRPr="00EA648D">
              <w:rPr>
                <w:color w:val="000000"/>
                <w:sz w:val="14"/>
                <w:szCs w:val="14"/>
              </w:rPr>
              <w:t xml:space="preserve"> 4,370 (3,750 - 5,090)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48FC8A1" w14:textId="77777777" w:rsidR="00134E64" w:rsidRPr="00EA648D" w:rsidRDefault="00134E64">
            <w:pPr>
              <w:jc w:val="right"/>
              <w:rPr>
                <w:color w:val="000000"/>
                <w:sz w:val="14"/>
                <w:szCs w:val="14"/>
              </w:rPr>
            </w:pPr>
            <w:r w:rsidRPr="00EA648D">
              <w:rPr>
                <w:color w:val="000000"/>
                <w:sz w:val="14"/>
                <w:szCs w:val="14"/>
              </w:rPr>
              <w:t>777.9 (668.0 - 905.8)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B107213" w14:textId="77777777" w:rsidR="00134E64" w:rsidRPr="00EA648D" w:rsidRDefault="00134E64">
            <w:pPr>
              <w:jc w:val="right"/>
              <w:rPr>
                <w:color w:val="000000"/>
                <w:sz w:val="14"/>
                <w:szCs w:val="14"/>
              </w:rPr>
            </w:pPr>
            <w:r w:rsidRPr="00EA648D">
              <w:rPr>
                <w:color w:val="000000"/>
                <w:sz w:val="14"/>
                <w:szCs w:val="14"/>
              </w:rPr>
              <w:t xml:space="preserve"> 22.4% (17.1% - 29.0%)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0F51579" w14:textId="77777777" w:rsidR="00134E64" w:rsidRPr="00EA648D" w:rsidRDefault="00134E64">
            <w:pPr>
              <w:jc w:val="right"/>
              <w:rPr>
                <w:color w:val="000000"/>
                <w:sz w:val="14"/>
                <w:szCs w:val="14"/>
              </w:rPr>
            </w:pPr>
            <w:r w:rsidRPr="00EA648D">
              <w:rPr>
                <w:color w:val="000000"/>
                <w:sz w:val="14"/>
                <w:szCs w:val="14"/>
              </w:rPr>
              <w:t>980 (707 - 1,320)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545A33E" w14:textId="77777777" w:rsidR="00134E64" w:rsidRPr="00EA648D" w:rsidRDefault="00134E64">
            <w:pPr>
              <w:jc w:val="right"/>
              <w:rPr>
                <w:color w:val="000000"/>
                <w:sz w:val="14"/>
                <w:szCs w:val="14"/>
              </w:rPr>
            </w:pPr>
            <w:r w:rsidRPr="00EA648D">
              <w:rPr>
                <w:color w:val="000000"/>
                <w:sz w:val="14"/>
                <w:szCs w:val="14"/>
              </w:rPr>
              <w:t>180.2 (130.7 - 242.5)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B9444A9" w14:textId="77777777" w:rsidR="00134E64" w:rsidRPr="00EA648D" w:rsidRDefault="00134E64">
            <w:pPr>
              <w:jc w:val="right"/>
              <w:rPr>
                <w:color w:val="000000"/>
                <w:sz w:val="14"/>
                <w:szCs w:val="14"/>
              </w:rPr>
            </w:pPr>
            <w:r w:rsidRPr="00EA648D">
              <w:rPr>
                <w:color w:val="000000"/>
                <w:sz w:val="14"/>
                <w:szCs w:val="14"/>
              </w:rPr>
              <w:t xml:space="preserve"> 39.6% (36.7% - 42.3%)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21AD7A5" w14:textId="77777777" w:rsidR="00134E64" w:rsidRPr="00EA648D" w:rsidRDefault="00134E64">
            <w:pPr>
              <w:jc w:val="right"/>
              <w:rPr>
                <w:color w:val="000000"/>
                <w:sz w:val="14"/>
                <w:szCs w:val="14"/>
              </w:rPr>
            </w:pPr>
            <w:r w:rsidRPr="00EA648D">
              <w:rPr>
                <w:color w:val="000000"/>
                <w:sz w:val="14"/>
                <w:szCs w:val="14"/>
              </w:rPr>
              <w:t>390 (263 - 545)</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ACF9D06" w14:textId="77777777" w:rsidR="00134E64" w:rsidRPr="00EA648D" w:rsidRDefault="00134E64">
            <w:pPr>
              <w:jc w:val="right"/>
              <w:rPr>
                <w:color w:val="000000"/>
                <w:sz w:val="14"/>
                <w:szCs w:val="14"/>
              </w:rPr>
            </w:pPr>
            <w:r w:rsidRPr="00EA648D">
              <w:rPr>
                <w:color w:val="000000"/>
                <w:sz w:val="14"/>
                <w:szCs w:val="14"/>
              </w:rPr>
              <w:t xml:space="preserve"> 71.6 (48.5 - 99.6)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9C7BEFA" w14:textId="77777777" w:rsidR="00134E64" w:rsidRPr="00EA648D" w:rsidRDefault="00134E64">
            <w:pPr>
              <w:jc w:val="right"/>
              <w:rPr>
                <w:color w:val="000000"/>
                <w:sz w:val="14"/>
                <w:szCs w:val="14"/>
              </w:rPr>
            </w:pPr>
            <w:r w:rsidRPr="00EA648D">
              <w:rPr>
                <w:color w:val="000000"/>
                <w:sz w:val="14"/>
                <w:szCs w:val="14"/>
              </w:rPr>
              <w:t>10.0% (8.7% - 11.3%)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EF667D0" w14:textId="77777777" w:rsidR="00134E64" w:rsidRPr="00EA648D" w:rsidRDefault="00134E64">
            <w:pPr>
              <w:jc w:val="right"/>
              <w:rPr>
                <w:color w:val="000000"/>
                <w:sz w:val="14"/>
                <w:szCs w:val="14"/>
              </w:rPr>
            </w:pPr>
            <w:r w:rsidRPr="00EA648D">
              <w:rPr>
                <w:color w:val="000000"/>
                <w:sz w:val="14"/>
                <w:szCs w:val="14"/>
              </w:rPr>
              <w:t>98 (65 - 141)</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DF9A573" w14:textId="77777777" w:rsidR="00134E64" w:rsidRPr="00EA648D" w:rsidRDefault="00134E64">
            <w:pPr>
              <w:jc w:val="right"/>
              <w:rPr>
                <w:color w:val="000000"/>
                <w:sz w:val="14"/>
                <w:szCs w:val="14"/>
              </w:rPr>
            </w:pPr>
            <w:r w:rsidRPr="00EA648D">
              <w:rPr>
                <w:color w:val="000000"/>
                <w:sz w:val="14"/>
                <w:szCs w:val="14"/>
              </w:rPr>
              <w:t xml:space="preserve"> 18.1 (12.0 - 25.6)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4D1599" w14:textId="77777777" w:rsidR="00134E64" w:rsidRPr="00EA648D" w:rsidRDefault="00134E64">
            <w:pPr>
              <w:jc w:val="right"/>
              <w:rPr>
                <w:color w:val="000000"/>
                <w:sz w:val="14"/>
                <w:szCs w:val="14"/>
              </w:rPr>
            </w:pPr>
          </w:p>
        </w:tc>
      </w:tr>
      <w:tr w:rsidR="00FF67C1" w:rsidRPr="00EA648D" w14:paraId="6C8514BC"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42161F36" w14:textId="77777777" w:rsidR="00134E64" w:rsidRPr="00EA648D" w:rsidRDefault="00134E64">
            <w:pPr>
              <w:rPr>
                <w:color w:val="000000"/>
                <w:sz w:val="14"/>
                <w:szCs w:val="14"/>
              </w:rPr>
            </w:pPr>
            <w:r w:rsidRPr="00EA648D">
              <w:rPr>
                <w:color w:val="000000"/>
                <w:sz w:val="14"/>
                <w:szCs w:val="14"/>
              </w:rPr>
              <w:t>The Bahamas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5B834FB" w14:textId="77777777" w:rsidR="00134E64" w:rsidRPr="00EA648D" w:rsidRDefault="00134E64">
            <w:pPr>
              <w:jc w:val="right"/>
              <w:rPr>
                <w:color w:val="000000"/>
                <w:sz w:val="14"/>
                <w:szCs w:val="14"/>
              </w:rPr>
            </w:pPr>
            <w:r w:rsidRPr="00EA648D">
              <w:rPr>
                <w:color w:val="000000"/>
                <w:sz w:val="14"/>
                <w:szCs w:val="14"/>
              </w:rPr>
              <w:t>2,730 (2,320 - 3,260)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6D55D45" w14:textId="77777777" w:rsidR="00134E64" w:rsidRPr="00EA648D" w:rsidRDefault="00134E64">
            <w:pPr>
              <w:jc w:val="right"/>
              <w:rPr>
                <w:color w:val="000000"/>
                <w:sz w:val="14"/>
                <w:szCs w:val="14"/>
              </w:rPr>
            </w:pPr>
            <w:r w:rsidRPr="00EA648D">
              <w:rPr>
                <w:color w:val="000000"/>
                <w:sz w:val="14"/>
                <w:szCs w:val="14"/>
              </w:rPr>
              <w:t>755.2 (645.4 - 896.7)</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26802F9" w14:textId="77777777" w:rsidR="00134E64" w:rsidRPr="00EA648D" w:rsidRDefault="00134E64">
            <w:pPr>
              <w:jc w:val="right"/>
              <w:rPr>
                <w:color w:val="000000"/>
                <w:sz w:val="14"/>
                <w:szCs w:val="14"/>
              </w:rPr>
            </w:pPr>
            <w:r w:rsidRPr="00EA648D">
              <w:rPr>
                <w:color w:val="000000"/>
                <w:sz w:val="14"/>
                <w:szCs w:val="14"/>
              </w:rPr>
              <w:t>19.5% (14.8% - 25.3%)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B46DB4F" w14:textId="77777777" w:rsidR="00134E64" w:rsidRPr="00EA648D" w:rsidRDefault="00134E64">
            <w:pPr>
              <w:jc w:val="right"/>
              <w:rPr>
                <w:color w:val="000000"/>
                <w:sz w:val="14"/>
                <w:szCs w:val="14"/>
              </w:rPr>
            </w:pPr>
            <w:r w:rsidRPr="00EA648D">
              <w:rPr>
                <w:color w:val="000000"/>
                <w:sz w:val="14"/>
                <w:szCs w:val="14"/>
              </w:rPr>
              <w:t>533 (392 - 723)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385818CD" w14:textId="77777777" w:rsidR="00134E64" w:rsidRPr="00EA648D" w:rsidRDefault="00134E64">
            <w:pPr>
              <w:jc w:val="right"/>
              <w:rPr>
                <w:color w:val="000000"/>
                <w:sz w:val="14"/>
                <w:szCs w:val="14"/>
              </w:rPr>
            </w:pPr>
            <w:r w:rsidRPr="00EA648D">
              <w:rPr>
                <w:color w:val="000000"/>
                <w:sz w:val="14"/>
                <w:szCs w:val="14"/>
              </w:rPr>
              <w:t>149.3 (110.0 - 201.9)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26BC45AB" w14:textId="77777777" w:rsidR="00134E64" w:rsidRPr="00EA648D" w:rsidRDefault="00134E64">
            <w:pPr>
              <w:jc w:val="right"/>
              <w:rPr>
                <w:color w:val="000000"/>
                <w:sz w:val="14"/>
                <w:szCs w:val="14"/>
              </w:rPr>
            </w:pPr>
            <w:r w:rsidRPr="00EA648D">
              <w:rPr>
                <w:color w:val="000000"/>
                <w:sz w:val="14"/>
                <w:szCs w:val="14"/>
              </w:rPr>
              <w:t>40.4% (37.7% - 43.4%)</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FC978C1" w14:textId="77777777" w:rsidR="00134E64" w:rsidRPr="00EA648D" w:rsidRDefault="00134E64">
            <w:pPr>
              <w:jc w:val="right"/>
              <w:rPr>
                <w:color w:val="000000"/>
                <w:sz w:val="14"/>
                <w:szCs w:val="14"/>
              </w:rPr>
            </w:pPr>
            <w:r w:rsidRPr="00EA648D">
              <w:rPr>
                <w:color w:val="000000"/>
                <w:sz w:val="14"/>
                <w:szCs w:val="14"/>
              </w:rPr>
              <w:t>217 (149 - 309)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F2A5078" w14:textId="77777777" w:rsidR="00134E64" w:rsidRPr="00EA648D" w:rsidRDefault="00134E64">
            <w:pPr>
              <w:jc w:val="right"/>
              <w:rPr>
                <w:color w:val="000000"/>
                <w:sz w:val="14"/>
                <w:szCs w:val="14"/>
              </w:rPr>
            </w:pPr>
            <w:r w:rsidRPr="00EA648D">
              <w:rPr>
                <w:color w:val="000000"/>
                <w:sz w:val="14"/>
                <w:szCs w:val="14"/>
              </w:rPr>
              <w:t>62.6 (43.7 - 88.3)</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55DC297" w14:textId="77777777" w:rsidR="00134E64" w:rsidRPr="00EA648D" w:rsidRDefault="00134E64">
            <w:pPr>
              <w:jc w:val="right"/>
              <w:rPr>
                <w:color w:val="000000"/>
                <w:sz w:val="14"/>
                <w:szCs w:val="14"/>
              </w:rPr>
            </w:pPr>
            <w:r w:rsidRPr="00EA648D">
              <w:rPr>
                <w:color w:val="000000"/>
                <w:sz w:val="14"/>
                <w:szCs w:val="14"/>
              </w:rPr>
              <w:t>9.6% (8.5% - 11.0%)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8FF0122" w14:textId="77777777" w:rsidR="00134E64" w:rsidRPr="00EA648D" w:rsidRDefault="00134E64">
            <w:pPr>
              <w:jc w:val="right"/>
              <w:rPr>
                <w:color w:val="000000"/>
                <w:sz w:val="14"/>
                <w:szCs w:val="14"/>
              </w:rPr>
            </w:pPr>
            <w:r w:rsidRPr="00EA648D">
              <w:rPr>
                <w:color w:val="000000"/>
                <w:sz w:val="14"/>
                <w:szCs w:val="14"/>
              </w:rPr>
              <w:t>52 (34 - 75)</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9DB4CDE" w14:textId="77777777" w:rsidR="00134E64" w:rsidRPr="00EA648D" w:rsidRDefault="00134E64">
            <w:pPr>
              <w:jc w:val="right"/>
              <w:rPr>
                <w:color w:val="000000"/>
                <w:sz w:val="14"/>
                <w:szCs w:val="14"/>
              </w:rPr>
            </w:pPr>
            <w:r w:rsidRPr="00EA648D">
              <w:rPr>
                <w:color w:val="000000"/>
                <w:sz w:val="14"/>
                <w:szCs w:val="14"/>
              </w:rPr>
              <w:t>14.9 (10.0 - 21.4)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0C07A" w14:textId="77777777" w:rsidR="00134E64" w:rsidRPr="00EA648D" w:rsidRDefault="00134E64">
            <w:pPr>
              <w:jc w:val="right"/>
              <w:rPr>
                <w:color w:val="000000"/>
                <w:sz w:val="14"/>
                <w:szCs w:val="14"/>
              </w:rPr>
            </w:pPr>
          </w:p>
        </w:tc>
      </w:tr>
      <w:tr w:rsidR="005C6575" w:rsidRPr="00EA648D" w14:paraId="6A044375"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4879596C" w14:textId="77777777" w:rsidR="00134E64" w:rsidRPr="00EA648D" w:rsidRDefault="00134E64">
            <w:pPr>
              <w:rPr>
                <w:color w:val="000000"/>
                <w:sz w:val="14"/>
                <w:szCs w:val="14"/>
              </w:rPr>
            </w:pPr>
            <w:r w:rsidRPr="00EA648D">
              <w:rPr>
                <w:color w:val="000000"/>
                <w:sz w:val="14"/>
                <w:szCs w:val="14"/>
              </w:rPr>
              <w:t>Trinidad and Tobago</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2685814" w14:textId="77777777" w:rsidR="00134E64" w:rsidRPr="00EA648D" w:rsidRDefault="00134E64">
            <w:pPr>
              <w:jc w:val="right"/>
              <w:rPr>
                <w:color w:val="000000"/>
                <w:sz w:val="14"/>
                <w:szCs w:val="14"/>
              </w:rPr>
            </w:pPr>
            <w:r w:rsidRPr="00EA648D">
              <w:rPr>
                <w:color w:val="000000"/>
                <w:sz w:val="14"/>
                <w:szCs w:val="14"/>
              </w:rPr>
              <w:t xml:space="preserve"> 11,800 (9,170 - 15,000)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807DAEC" w14:textId="77777777" w:rsidR="00134E64" w:rsidRPr="00EA648D" w:rsidRDefault="00134E64">
            <w:pPr>
              <w:jc w:val="right"/>
              <w:rPr>
                <w:color w:val="000000"/>
                <w:sz w:val="14"/>
                <w:szCs w:val="14"/>
              </w:rPr>
            </w:pPr>
            <w:r w:rsidRPr="00EA648D">
              <w:rPr>
                <w:color w:val="000000"/>
                <w:sz w:val="14"/>
                <w:szCs w:val="14"/>
              </w:rPr>
              <w:t>690.5 (538.5 - 876.8)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06659B0" w14:textId="77777777" w:rsidR="00134E64" w:rsidRPr="00EA648D" w:rsidRDefault="00134E64">
            <w:pPr>
              <w:jc w:val="right"/>
              <w:rPr>
                <w:color w:val="000000"/>
                <w:sz w:val="14"/>
                <w:szCs w:val="14"/>
              </w:rPr>
            </w:pPr>
            <w:r w:rsidRPr="00EA648D">
              <w:rPr>
                <w:color w:val="000000"/>
                <w:sz w:val="14"/>
                <w:szCs w:val="14"/>
              </w:rPr>
              <w:t xml:space="preserve"> 16.6% (11.7% - 22.8%)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18B997F" w14:textId="77777777" w:rsidR="00134E64" w:rsidRPr="00EA648D" w:rsidRDefault="00134E64">
            <w:pPr>
              <w:jc w:val="right"/>
              <w:rPr>
                <w:color w:val="000000"/>
                <w:sz w:val="14"/>
                <w:szCs w:val="14"/>
              </w:rPr>
            </w:pPr>
            <w:r w:rsidRPr="00EA648D">
              <w:rPr>
                <w:color w:val="000000"/>
                <w:sz w:val="14"/>
                <w:szCs w:val="14"/>
              </w:rPr>
              <w:t>1,950 (1,270 - 2,860)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638C4778" w14:textId="77777777" w:rsidR="00134E64" w:rsidRPr="00EA648D" w:rsidRDefault="00134E64">
            <w:pPr>
              <w:jc w:val="right"/>
              <w:rPr>
                <w:color w:val="000000"/>
                <w:sz w:val="14"/>
                <w:szCs w:val="14"/>
              </w:rPr>
            </w:pPr>
            <w:r w:rsidRPr="00EA648D">
              <w:rPr>
                <w:color w:val="000000"/>
                <w:sz w:val="14"/>
                <w:szCs w:val="14"/>
              </w:rPr>
              <w:t>118.5 (77.2 - 173.8)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179EB87D" w14:textId="77777777" w:rsidR="00134E64" w:rsidRPr="00EA648D" w:rsidRDefault="00134E64">
            <w:pPr>
              <w:jc w:val="right"/>
              <w:rPr>
                <w:color w:val="000000"/>
                <w:sz w:val="14"/>
                <w:szCs w:val="14"/>
              </w:rPr>
            </w:pPr>
            <w:r w:rsidRPr="00EA648D">
              <w:rPr>
                <w:color w:val="000000"/>
                <w:sz w:val="14"/>
                <w:szCs w:val="14"/>
              </w:rPr>
              <w:t xml:space="preserve"> 46.5% (43.7% - 49.1%)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F1855F2" w14:textId="77777777" w:rsidR="00134E64" w:rsidRPr="00EA648D" w:rsidRDefault="00134E64">
            <w:pPr>
              <w:jc w:val="right"/>
              <w:rPr>
                <w:color w:val="000000"/>
                <w:sz w:val="14"/>
                <w:szCs w:val="14"/>
              </w:rPr>
            </w:pPr>
            <w:r w:rsidRPr="00EA648D">
              <w:rPr>
                <w:color w:val="000000"/>
                <w:sz w:val="14"/>
                <w:szCs w:val="14"/>
              </w:rPr>
              <w:t>911 (558 - 1,400)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3A60A25" w14:textId="77777777" w:rsidR="00134E64" w:rsidRPr="00EA648D" w:rsidRDefault="00134E64">
            <w:pPr>
              <w:jc w:val="right"/>
              <w:rPr>
                <w:color w:val="000000"/>
                <w:sz w:val="14"/>
                <w:szCs w:val="14"/>
              </w:rPr>
            </w:pPr>
            <w:r w:rsidRPr="00EA648D">
              <w:rPr>
                <w:color w:val="000000"/>
                <w:sz w:val="14"/>
                <w:szCs w:val="14"/>
              </w:rPr>
              <w:t xml:space="preserve"> 54.4 (33.3 - 83.6)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DFF021" w14:textId="77777777" w:rsidR="00134E64" w:rsidRPr="00EA648D" w:rsidRDefault="00134E64">
            <w:pPr>
              <w:jc w:val="right"/>
              <w:rPr>
                <w:color w:val="000000"/>
                <w:sz w:val="14"/>
                <w:szCs w:val="14"/>
              </w:rPr>
            </w:pPr>
            <w:r w:rsidRPr="00EA648D">
              <w:rPr>
                <w:color w:val="000000"/>
                <w:sz w:val="14"/>
                <w:szCs w:val="14"/>
              </w:rPr>
              <w:t>11.9% (10.3% - 13.4%)</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10BEECB" w14:textId="77777777" w:rsidR="00134E64" w:rsidRPr="00EA648D" w:rsidRDefault="00134E64">
            <w:pPr>
              <w:jc w:val="right"/>
              <w:rPr>
                <w:color w:val="000000"/>
                <w:sz w:val="14"/>
                <w:szCs w:val="14"/>
              </w:rPr>
            </w:pPr>
            <w:r w:rsidRPr="00EA648D">
              <w:rPr>
                <w:color w:val="000000"/>
                <w:sz w:val="14"/>
                <w:szCs w:val="14"/>
              </w:rPr>
              <w:t>232 (138 - 363)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1D49C31" w14:textId="77777777" w:rsidR="00134E64" w:rsidRPr="00EA648D" w:rsidRDefault="00134E64">
            <w:pPr>
              <w:jc w:val="right"/>
              <w:rPr>
                <w:color w:val="000000"/>
                <w:sz w:val="14"/>
                <w:szCs w:val="14"/>
              </w:rPr>
            </w:pPr>
            <w:r w:rsidRPr="00EA648D">
              <w:rPr>
                <w:color w:val="000000"/>
                <w:sz w:val="14"/>
                <w:szCs w:val="14"/>
              </w:rPr>
              <w:t xml:space="preserve"> 13.8 (8.3 - 21.6)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78D15A" w14:textId="77777777" w:rsidR="00134E64" w:rsidRPr="00EA648D" w:rsidRDefault="00134E64">
            <w:pPr>
              <w:jc w:val="right"/>
              <w:rPr>
                <w:color w:val="000000"/>
                <w:sz w:val="14"/>
                <w:szCs w:val="14"/>
              </w:rPr>
            </w:pPr>
          </w:p>
        </w:tc>
      </w:tr>
      <w:tr w:rsidR="00FF67C1" w:rsidRPr="00EA648D" w14:paraId="3A2FCDB3" w14:textId="77777777" w:rsidTr="00134E64">
        <w:trPr>
          <w:trHeight w:val="290"/>
        </w:trPr>
        <w:tc>
          <w:tcPr>
            <w:tcW w:w="0" w:type="auto"/>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bottom"/>
            <w:hideMark/>
          </w:tcPr>
          <w:p w14:paraId="409CD092" w14:textId="77777777" w:rsidR="00134E64" w:rsidRPr="00EA648D" w:rsidRDefault="00134E64">
            <w:pPr>
              <w:rPr>
                <w:color w:val="000000"/>
                <w:sz w:val="14"/>
                <w:szCs w:val="14"/>
              </w:rPr>
            </w:pPr>
            <w:r w:rsidRPr="00EA648D">
              <w:rPr>
                <w:color w:val="000000"/>
                <w:sz w:val="14"/>
                <w:szCs w:val="14"/>
              </w:rPr>
              <w:t>United States</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AFA4E8C" w14:textId="77777777" w:rsidR="00134E64" w:rsidRPr="00EA648D" w:rsidRDefault="00134E64">
            <w:pPr>
              <w:jc w:val="right"/>
              <w:rPr>
                <w:color w:val="000000"/>
                <w:sz w:val="14"/>
                <w:szCs w:val="14"/>
              </w:rPr>
            </w:pPr>
            <w:r w:rsidRPr="00EA648D">
              <w:rPr>
                <w:color w:val="000000"/>
                <w:sz w:val="14"/>
                <w:szCs w:val="14"/>
              </w:rPr>
              <w:t xml:space="preserve"> 2,950,000 (2,920,000 - 2,970,000)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FA44513" w14:textId="77777777" w:rsidR="00134E64" w:rsidRPr="00EA648D" w:rsidRDefault="00134E64">
            <w:pPr>
              <w:jc w:val="right"/>
              <w:rPr>
                <w:color w:val="000000"/>
                <w:sz w:val="14"/>
                <w:szCs w:val="14"/>
              </w:rPr>
            </w:pPr>
            <w:r w:rsidRPr="00EA648D">
              <w:rPr>
                <w:color w:val="000000"/>
                <w:sz w:val="14"/>
                <w:szCs w:val="14"/>
              </w:rPr>
              <w:t>528.2 (524.0 - 532.6)</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BFAB92D" w14:textId="77777777" w:rsidR="00134E64" w:rsidRPr="00EA648D" w:rsidRDefault="00134E64">
            <w:pPr>
              <w:jc w:val="right"/>
              <w:rPr>
                <w:color w:val="000000"/>
                <w:sz w:val="14"/>
                <w:szCs w:val="14"/>
              </w:rPr>
            </w:pPr>
            <w:r w:rsidRPr="00EA648D">
              <w:rPr>
                <w:color w:val="000000"/>
                <w:sz w:val="14"/>
                <w:szCs w:val="14"/>
              </w:rPr>
              <w:t xml:space="preserve"> 13.9% (10.0% - 18.9%)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C9ED3EF" w14:textId="77777777" w:rsidR="00134E64" w:rsidRPr="00EA648D" w:rsidRDefault="00134E64">
            <w:pPr>
              <w:jc w:val="right"/>
              <w:rPr>
                <w:color w:val="000000"/>
                <w:sz w:val="14"/>
                <w:szCs w:val="14"/>
              </w:rPr>
            </w:pPr>
            <w:r w:rsidRPr="00EA648D">
              <w:rPr>
                <w:color w:val="000000"/>
                <w:sz w:val="14"/>
                <w:szCs w:val="14"/>
              </w:rPr>
              <w:t>408,000 (294,000 - 559,000)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435308C" w14:textId="77777777" w:rsidR="00134E64" w:rsidRPr="00EA648D" w:rsidRDefault="00134E64">
            <w:pPr>
              <w:jc w:val="right"/>
              <w:rPr>
                <w:color w:val="000000"/>
                <w:sz w:val="14"/>
                <w:szCs w:val="14"/>
              </w:rPr>
            </w:pPr>
            <w:r w:rsidRPr="00EA648D">
              <w:rPr>
                <w:color w:val="000000"/>
                <w:sz w:val="14"/>
                <w:szCs w:val="14"/>
              </w:rPr>
              <w:t>72.9 (51.8 - 100.9)</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7943197" w14:textId="77777777" w:rsidR="00134E64" w:rsidRPr="00EA648D" w:rsidRDefault="00134E64">
            <w:pPr>
              <w:jc w:val="right"/>
              <w:rPr>
                <w:color w:val="000000"/>
                <w:sz w:val="14"/>
                <w:szCs w:val="14"/>
              </w:rPr>
            </w:pPr>
            <w:r w:rsidRPr="00EA648D">
              <w:rPr>
                <w:color w:val="000000"/>
                <w:sz w:val="14"/>
                <w:szCs w:val="14"/>
              </w:rPr>
              <w:t xml:space="preserve"> 42.2% (40.3% - 44.1%)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1B3F59AE" w14:textId="77777777" w:rsidR="00134E64" w:rsidRPr="00EA648D" w:rsidRDefault="00134E64">
            <w:pPr>
              <w:jc w:val="right"/>
              <w:rPr>
                <w:color w:val="000000"/>
                <w:sz w:val="14"/>
                <w:szCs w:val="14"/>
              </w:rPr>
            </w:pPr>
            <w:r w:rsidRPr="00EA648D">
              <w:rPr>
                <w:color w:val="000000"/>
                <w:sz w:val="14"/>
                <w:szCs w:val="14"/>
              </w:rPr>
              <w:t>173,000 (120,000 - 243,000)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68602A4C" w14:textId="77777777" w:rsidR="00134E64" w:rsidRPr="00EA648D" w:rsidRDefault="00134E64">
            <w:pPr>
              <w:jc w:val="right"/>
              <w:rPr>
                <w:color w:val="000000"/>
                <w:sz w:val="14"/>
                <w:szCs w:val="14"/>
              </w:rPr>
            </w:pPr>
            <w:r w:rsidRPr="00EA648D">
              <w:rPr>
                <w:color w:val="000000"/>
                <w:sz w:val="14"/>
                <w:szCs w:val="14"/>
              </w:rPr>
              <w:t xml:space="preserve"> 30.7 (21.0 - 43.4) </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4C438764" w14:textId="77777777" w:rsidR="00134E64" w:rsidRPr="00EA648D" w:rsidRDefault="00134E64">
            <w:pPr>
              <w:jc w:val="right"/>
              <w:rPr>
                <w:color w:val="000000"/>
                <w:sz w:val="14"/>
                <w:szCs w:val="14"/>
              </w:rPr>
            </w:pPr>
            <w:r w:rsidRPr="00EA648D">
              <w:rPr>
                <w:color w:val="000000"/>
                <w:sz w:val="14"/>
                <w:szCs w:val="14"/>
              </w:rPr>
              <w:t>10.2% (8.8% - 11.8%)</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55ADE2BD" w14:textId="77777777" w:rsidR="00134E64" w:rsidRPr="00EA648D" w:rsidRDefault="00134E64">
            <w:pPr>
              <w:jc w:val="right"/>
              <w:rPr>
                <w:color w:val="000000"/>
                <w:sz w:val="14"/>
                <w:szCs w:val="14"/>
              </w:rPr>
            </w:pPr>
            <w:r w:rsidRPr="00EA648D">
              <w:rPr>
                <w:color w:val="000000"/>
                <w:sz w:val="14"/>
                <w:szCs w:val="14"/>
              </w:rPr>
              <w:t>41,900 (28,300 - 59,600)</w:t>
            </w:r>
          </w:p>
        </w:tc>
        <w:tc>
          <w:tcPr>
            <w:tcW w:w="0" w:type="auto"/>
            <w:tcBorders>
              <w:top w:val="nil"/>
              <w:left w:val="nil"/>
              <w:bottom w:val="nil"/>
              <w:right w:val="single" w:sz="8" w:space="0" w:color="auto"/>
            </w:tcBorders>
            <w:shd w:val="clear" w:color="auto" w:fill="auto"/>
            <w:noWrap/>
            <w:tcMar>
              <w:top w:w="15" w:type="dxa"/>
              <w:left w:w="15" w:type="dxa"/>
              <w:bottom w:w="0" w:type="dxa"/>
              <w:right w:w="15" w:type="dxa"/>
            </w:tcMar>
            <w:vAlign w:val="bottom"/>
            <w:hideMark/>
          </w:tcPr>
          <w:p w14:paraId="0AE05D95" w14:textId="77777777" w:rsidR="00134E64" w:rsidRPr="00EA648D" w:rsidRDefault="00134E64">
            <w:pPr>
              <w:jc w:val="right"/>
              <w:rPr>
                <w:color w:val="000000"/>
                <w:sz w:val="14"/>
                <w:szCs w:val="14"/>
              </w:rPr>
            </w:pPr>
            <w:r w:rsidRPr="00EA648D">
              <w:rPr>
                <w:color w:val="000000"/>
                <w:sz w:val="14"/>
                <w:szCs w:val="14"/>
              </w:rPr>
              <w:t xml:space="preserve"> 7.4 (5.0 - 10.7)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72C657" w14:textId="77777777" w:rsidR="00134E64" w:rsidRPr="00EA648D" w:rsidRDefault="00134E64">
            <w:pPr>
              <w:jc w:val="right"/>
              <w:rPr>
                <w:color w:val="000000"/>
                <w:sz w:val="14"/>
                <w:szCs w:val="14"/>
              </w:rPr>
            </w:pPr>
          </w:p>
        </w:tc>
      </w:tr>
      <w:tr w:rsidR="005C6575" w:rsidRPr="00EA648D" w14:paraId="18AC2CFC" w14:textId="77777777" w:rsidTr="00134E64">
        <w:trPr>
          <w:trHeight w:val="290"/>
        </w:trPr>
        <w:tc>
          <w:tcPr>
            <w:tcW w:w="0" w:type="auto"/>
            <w:tcBorders>
              <w:top w:val="nil"/>
              <w:left w:val="single" w:sz="8" w:space="0" w:color="auto"/>
              <w:bottom w:val="nil"/>
              <w:right w:val="single" w:sz="8" w:space="0" w:color="auto"/>
            </w:tcBorders>
            <w:shd w:val="clear" w:color="000000" w:fill="F2DCDB"/>
            <w:noWrap/>
            <w:tcMar>
              <w:top w:w="15" w:type="dxa"/>
              <w:left w:w="15" w:type="dxa"/>
              <w:bottom w:w="0" w:type="dxa"/>
              <w:right w:w="15" w:type="dxa"/>
            </w:tcMar>
            <w:vAlign w:val="bottom"/>
            <w:hideMark/>
          </w:tcPr>
          <w:p w14:paraId="56F31A8D" w14:textId="77777777" w:rsidR="00134E64" w:rsidRPr="00EA648D" w:rsidRDefault="00134E64">
            <w:pPr>
              <w:rPr>
                <w:color w:val="000000"/>
                <w:sz w:val="14"/>
                <w:szCs w:val="14"/>
              </w:rPr>
            </w:pPr>
            <w:r w:rsidRPr="00EA648D">
              <w:rPr>
                <w:color w:val="000000"/>
                <w:sz w:val="14"/>
                <w:szCs w:val="14"/>
              </w:rPr>
              <w:t>Uruguay</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474E7AD9" w14:textId="77777777" w:rsidR="00134E64" w:rsidRPr="00EA648D" w:rsidRDefault="00134E64">
            <w:pPr>
              <w:jc w:val="right"/>
              <w:rPr>
                <w:color w:val="000000"/>
                <w:sz w:val="14"/>
                <w:szCs w:val="14"/>
              </w:rPr>
            </w:pPr>
            <w:r w:rsidRPr="00EA648D">
              <w:rPr>
                <w:color w:val="000000"/>
                <w:sz w:val="14"/>
                <w:szCs w:val="14"/>
              </w:rPr>
              <w:t xml:space="preserve"> 33,800 (33,000 - 34,800)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8CBB8B1" w14:textId="77777777" w:rsidR="00134E64" w:rsidRPr="00EA648D" w:rsidRDefault="00134E64">
            <w:pPr>
              <w:jc w:val="right"/>
              <w:rPr>
                <w:color w:val="000000"/>
                <w:sz w:val="14"/>
                <w:szCs w:val="14"/>
              </w:rPr>
            </w:pPr>
            <w:r w:rsidRPr="00EA648D">
              <w:rPr>
                <w:color w:val="000000"/>
                <w:sz w:val="14"/>
                <w:szCs w:val="14"/>
              </w:rPr>
              <w:t>597.5 (579.3 - 618.0)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2A791A52" w14:textId="77777777" w:rsidR="00134E64" w:rsidRPr="00EA648D" w:rsidRDefault="00134E64">
            <w:pPr>
              <w:jc w:val="right"/>
              <w:rPr>
                <w:color w:val="000000"/>
                <w:sz w:val="14"/>
                <w:szCs w:val="14"/>
              </w:rPr>
            </w:pPr>
            <w:r w:rsidRPr="00EA648D">
              <w:rPr>
                <w:color w:val="000000"/>
                <w:sz w:val="14"/>
                <w:szCs w:val="14"/>
              </w:rPr>
              <w:t xml:space="preserve"> 18.8% (14.5% - 24.4%)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2F3823A" w14:textId="77777777" w:rsidR="00134E64" w:rsidRPr="00EA648D" w:rsidRDefault="00134E64">
            <w:pPr>
              <w:jc w:val="right"/>
              <w:rPr>
                <w:color w:val="000000"/>
                <w:sz w:val="14"/>
                <w:szCs w:val="14"/>
              </w:rPr>
            </w:pPr>
            <w:r w:rsidRPr="00EA648D">
              <w:rPr>
                <w:color w:val="000000"/>
                <w:sz w:val="14"/>
                <w:szCs w:val="14"/>
              </w:rPr>
              <w:t>6,360 (4,880 - 8,250)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2D794A8" w14:textId="77777777" w:rsidR="00134E64" w:rsidRPr="00EA648D" w:rsidRDefault="00134E64">
            <w:pPr>
              <w:jc w:val="right"/>
              <w:rPr>
                <w:color w:val="000000"/>
                <w:sz w:val="14"/>
                <w:szCs w:val="14"/>
              </w:rPr>
            </w:pPr>
            <w:r w:rsidRPr="00EA648D">
              <w:rPr>
                <w:color w:val="000000"/>
                <w:sz w:val="14"/>
                <w:szCs w:val="14"/>
              </w:rPr>
              <w:t>109.8 (83.1 - 143.8)</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36EC39B" w14:textId="77777777" w:rsidR="00134E64" w:rsidRPr="00EA648D" w:rsidRDefault="00134E64">
            <w:pPr>
              <w:jc w:val="right"/>
              <w:rPr>
                <w:color w:val="000000"/>
                <w:sz w:val="14"/>
                <w:szCs w:val="14"/>
              </w:rPr>
            </w:pPr>
            <w:r w:rsidRPr="00EA648D">
              <w:rPr>
                <w:color w:val="000000"/>
                <w:sz w:val="14"/>
                <w:szCs w:val="14"/>
              </w:rPr>
              <w:t xml:space="preserve"> 43.8% (41.5% - 46.1%)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3B52E23B" w14:textId="77777777" w:rsidR="00134E64" w:rsidRPr="00EA648D" w:rsidRDefault="00134E64">
            <w:pPr>
              <w:jc w:val="right"/>
              <w:rPr>
                <w:color w:val="000000"/>
                <w:sz w:val="14"/>
                <w:szCs w:val="14"/>
              </w:rPr>
            </w:pPr>
            <w:r w:rsidRPr="00EA648D">
              <w:rPr>
                <w:color w:val="000000"/>
                <w:sz w:val="14"/>
                <w:szCs w:val="14"/>
              </w:rPr>
              <w:t>2,790 (2,050 - 3,750)</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75BDD1DD" w14:textId="77777777" w:rsidR="00134E64" w:rsidRPr="00EA648D" w:rsidRDefault="00134E64">
            <w:pPr>
              <w:jc w:val="right"/>
              <w:rPr>
                <w:color w:val="000000"/>
                <w:sz w:val="14"/>
                <w:szCs w:val="14"/>
              </w:rPr>
            </w:pPr>
            <w:r w:rsidRPr="00EA648D">
              <w:rPr>
                <w:color w:val="000000"/>
                <w:sz w:val="14"/>
                <w:szCs w:val="14"/>
              </w:rPr>
              <w:t xml:space="preserve"> 47.4 (34.4 - 63.9) </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0E2902B9" w14:textId="77777777" w:rsidR="00134E64" w:rsidRPr="00EA648D" w:rsidRDefault="00134E64">
            <w:pPr>
              <w:jc w:val="right"/>
              <w:rPr>
                <w:color w:val="000000"/>
                <w:sz w:val="14"/>
                <w:szCs w:val="14"/>
              </w:rPr>
            </w:pPr>
            <w:r w:rsidRPr="00EA648D">
              <w:rPr>
                <w:color w:val="000000"/>
                <w:sz w:val="14"/>
                <w:szCs w:val="14"/>
              </w:rPr>
              <w:t>10.9% (9.5% - 12.3%)</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65A3B5D" w14:textId="77777777" w:rsidR="00134E64" w:rsidRPr="00EA648D" w:rsidRDefault="00134E64">
            <w:pPr>
              <w:jc w:val="right"/>
              <w:rPr>
                <w:color w:val="000000"/>
                <w:sz w:val="14"/>
                <w:szCs w:val="14"/>
              </w:rPr>
            </w:pPr>
            <w:r w:rsidRPr="00EA648D">
              <w:rPr>
                <w:color w:val="000000"/>
                <w:sz w:val="14"/>
                <w:szCs w:val="14"/>
              </w:rPr>
              <w:t>692 (496 - 952)</w:t>
            </w:r>
          </w:p>
        </w:tc>
        <w:tc>
          <w:tcPr>
            <w:tcW w:w="0" w:type="auto"/>
            <w:tcBorders>
              <w:top w:val="nil"/>
              <w:left w:val="nil"/>
              <w:bottom w:val="nil"/>
              <w:right w:val="single" w:sz="8" w:space="0" w:color="auto"/>
            </w:tcBorders>
            <w:shd w:val="clear" w:color="000000" w:fill="F2DCDB"/>
            <w:noWrap/>
            <w:tcMar>
              <w:top w:w="15" w:type="dxa"/>
              <w:left w:w="15" w:type="dxa"/>
              <w:bottom w:w="0" w:type="dxa"/>
              <w:right w:w="15" w:type="dxa"/>
            </w:tcMar>
            <w:vAlign w:val="bottom"/>
            <w:hideMark/>
          </w:tcPr>
          <w:p w14:paraId="5EA4358D" w14:textId="77777777" w:rsidR="00134E64" w:rsidRPr="00EA648D" w:rsidRDefault="00134E64">
            <w:pPr>
              <w:jc w:val="right"/>
              <w:rPr>
                <w:color w:val="000000"/>
                <w:sz w:val="14"/>
                <w:szCs w:val="14"/>
              </w:rPr>
            </w:pPr>
            <w:r w:rsidRPr="00EA648D">
              <w:rPr>
                <w:color w:val="000000"/>
                <w:sz w:val="14"/>
                <w:szCs w:val="14"/>
              </w:rPr>
              <w:t xml:space="preserve"> 11.8 (8.4 - 16.3)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74919" w14:textId="77777777" w:rsidR="00134E64" w:rsidRPr="00EA648D" w:rsidRDefault="00134E64">
            <w:pPr>
              <w:jc w:val="right"/>
              <w:rPr>
                <w:color w:val="000000"/>
                <w:sz w:val="14"/>
                <w:szCs w:val="14"/>
              </w:rPr>
            </w:pPr>
          </w:p>
        </w:tc>
      </w:tr>
      <w:tr w:rsidR="00FF67C1" w:rsidRPr="00EA648D" w14:paraId="3B1E045E" w14:textId="77777777" w:rsidTr="00134E64">
        <w:trPr>
          <w:trHeight w:val="290"/>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0467E6A" w14:textId="77777777" w:rsidR="00134E64" w:rsidRPr="00EA648D" w:rsidRDefault="00134E64">
            <w:pPr>
              <w:rPr>
                <w:color w:val="000000"/>
                <w:sz w:val="14"/>
                <w:szCs w:val="14"/>
              </w:rPr>
            </w:pPr>
            <w:r w:rsidRPr="00EA648D">
              <w:rPr>
                <w:color w:val="000000"/>
                <w:sz w:val="14"/>
                <w:szCs w:val="14"/>
              </w:rPr>
              <w:t>Venezuela</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B6C6B32" w14:textId="77777777" w:rsidR="00134E64" w:rsidRPr="00EA648D" w:rsidRDefault="00134E64">
            <w:pPr>
              <w:jc w:val="right"/>
              <w:rPr>
                <w:color w:val="000000"/>
                <w:sz w:val="14"/>
                <w:szCs w:val="14"/>
              </w:rPr>
            </w:pPr>
            <w:r w:rsidRPr="00EA648D">
              <w:rPr>
                <w:color w:val="000000"/>
                <w:sz w:val="14"/>
                <w:szCs w:val="14"/>
              </w:rPr>
              <w:t xml:space="preserve"> 187,000 (147,000 - 237,000)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95929F8" w14:textId="77777777" w:rsidR="00134E64" w:rsidRPr="00EA648D" w:rsidRDefault="00134E64">
            <w:pPr>
              <w:jc w:val="right"/>
              <w:rPr>
                <w:color w:val="000000"/>
                <w:sz w:val="14"/>
                <w:szCs w:val="14"/>
              </w:rPr>
            </w:pPr>
            <w:r w:rsidRPr="00EA648D">
              <w:rPr>
                <w:color w:val="000000"/>
                <w:sz w:val="14"/>
                <w:szCs w:val="14"/>
              </w:rPr>
              <w:t>672.9 (529.9 - 850.8)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0CABC98B" w14:textId="77777777" w:rsidR="00134E64" w:rsidRPr="00EA648D" w:rsidRDefault="00134E64">
            <w:pPr>
              <w:jc w:val="right"/>
              <w:rPr>
                <w:color w:val="000000"/>
                <w:sz w:val="14"/>
                <w:szCs w:val="14"/>
              </w:rPr>
            </w:pPr>
            <w:r w:rsidRPr="00EA648D">
              <w:rPr>
                <w:color w:val="000000"/>
                <w:sz w:val="14"/>
                <w:szCs w:val="14"/>
              </w:rPr>
              <w:t xml:space="preserve"> 16.5% (12.0% - 22.3%)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355F80AF" w14:textId="77777777" w:rsidR="00134E64" w:rsidRPr="00EA648D" w:rsidRDefault="00134E64">
            <w:pPr>
              <w:jc w:val="right"/>
              <w:rPr>
                <w:color w:val="000000"/>
                <w:sz w:val="14"/>
                <w:szCs w:val="14"/>
              </w:rPr>
            </w:pPr>
            <w:r w:rsidRPr="00EA648D">
              <w:rPr>
                <w:color w:val="000000"/>
                <w:sz w:val="14"/>
                <w:szCs w:val="14"/>
              </w:rPr>
              <w:t>30,900 (20,400 - 45,200)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BD89357" w14:textId="77777777" w:rsidR="00134E64" w:rsidRPr="00EA648D" w:rsidRDefault="00134E64">
            <w:pPr>
              <w:jc w:val="right"/>
              <w:rPr>
                <w:color w:val="000000"/>
                <w:sz w:val="14"/>
                <w:szCs w:val="14"/>
              </w:rPr>
            </w:pPr>
            <w:r w:rsidRPr="00EA648D">
              <w:rPr>
                <w:color w:val="000000"/>
                <w:sz w:val="14"/>
                <w:szCs w:val="14"/>
              </w:rPr>
              <w:t>112.9 (74.6 - 164.5)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2E993B4F" w14:textId="77777777" w:rsidR="00134E64" w:rsidRPr="00EA648D" w:rsidRDefault="00134E64">
            <w:pPr>
              <w:jc w:val="right"/>
              <w:rPr>
                <w:color w:val="000000"/>
                <w:sz w:val="14"/>
                <w:szCs w:val="14"/>
              </w:rPr>
            </w:pPr>
            <w:r w:rsidRPr="00EA648D">
              <w:rPr>
                <w:color w:val="000000"/>
                <w:sz w:val="14"/>
                <w:szCs w:val="14"/>
              </w:rPr>
              <w:t xml:space="preserve"> 38.6% (35.8% - 41.3%)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47852336" w14:textId="77777777" w:rsidR="00134E64" w:rsidRPr="00EA648D" w:rsidRDefault="00134E64">
            <w:pPr>
              <w:jc w:val="right"/>
              <w:rPr>
                <w:color w:val="000000"/>
                <w:sz w:val="14"/>
                <w:szCs w:val="14"/>
              </w:rPr>
            </w:pPr>
            <w:r w:rsidRPr="00EA648D">
              <w:rPr>
                <w:color w:val="000000"/>
                <w:sz w:val="14"/>
                <w:szCs w:val="14"/>
              </w:rPr>
              <w:t>12,000 (7,460 - 18,300)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59A49C77" w14:textId="77777777" w:rsidR="00134E64" w:rsidRPr="00EA648D" w:rsidRDefault="00134E64">
            <w:pPr>
              <w:jc w:val="right"/>
              <w:rPr>
                <w:color w:val="000000"/>
                <w:sz w:val="14"/>
                <w:szCs w:val="14"/>
              </w:rPr>
            </w:pPr>
            <w:r w:rsidRPr="00EA648D">
              <w:rPr>
                <w:color w:val="000000"/>
                <w:sz w:val="14"/>
                <w:szCs w:val="14"/>
              </w:rPr>
              <w:t xml:space="preserve"> 43.8 (27.5 - 66.4)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1B1376DF" w14:textId="77777777" w:rsidR="00134E64" w:rsidRPr="00EA648D" w:rsidRDefault="00134E64">
            <w:pPr>
              <w:jc w:val="right"/>
              <w:rPr>
                <w:color w:val="000000"/>
                <w:sz w:val="14"/>
                <w:szCs w:val="14"/>
              </w:rPr>
            </w:pPr>
            <w:r w:rsidRPr="00EA648D">
              <w:rPr>
                <w:color w:val="000000"/>
                <w:sz w:val="14"/>
                <w:szCs w:val="14"/>
              </w:rPr>
              <w:t>9.8% (8.5% - 11.2%)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54C4033B" w14:textId="77777777" w:rsidR="00134E64" w:rsidRPr="00EA648D" w:rsidRDefault="00134E64">
            <w:pPr>
              <w:jc w:val="right"/>
              <w:rPr>
                <w:color w:val="000000"/>
                <w:sz w:val="14"/>
                <w:szCs w:val="14"/>
              </w:rPr>
            </w:pPr>
            <w:r w:rsidRPr="00EA648D">
              <w:rPr>
                <w:color w:val="000000"/>
                <w:sz w:val="14"/>
                <w:szCs w:val="14"/>
              </w:rPr>
              <w:t>3,050 (1,870 - 4,700)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14:paraId="7EBCCD70" w14:textId="77777777" w:rsidR="00134E64" w:rsidRPr="00EA648D" w:rsidRDefault="00134E64">
            <w:pPr>
              <w:jc w:val="right"/>
              <w:rPr>
                <w:color w:val="000000"/>
                <w:sz w:val="14"/>
                <w:szCs w:val="14"/>
              </w:rPr>
            </w:pPr>
            <w:r w:rsidRPr="00EA648D">
              <w:rPr>
                <w:color w:val="000000"/>
                <w:sz w:val="14"/>
                <w:szCs w:val="14"/>
              </w:rPr>
              <w:t xml:space="preserve"> 11.1 (6.9 - 17.1)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24E2E" w14:textId="77777777" w:rsidR="00134E64" w:rsidRPr="00EA648D" w:rsidRDefault="00134E64">
            <w:pPr>
              <w:jc w:val="right"/>
              <w:rPr>
                <w:color w:val="000000"/>
                <w:sz w:val="14"/>
                <w:szCs w:val="14"/>
              </w:rPr>
            </w:pPr>
          </w:p>
        </w:tc>
      </w:tr>
      <w:tr w:rsidR="00134E64" w:rsidRPr="00EA648D" w14:paraId="41A51E8F" w14:textId="77777777" w:rsidTr="00134E64">
        <w:trPr>
          <w:trHeight w:val="290"/>
        </w:trPr>
        <w:tc>
          <w:tcPr>
            <w:tcW w:w="0" w:type="auto"/>
            <w:gridSpan w:val="12"/>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bottom"/>
            <w:hideMark/>
          </w:tcPr>
          <w:p w14:paraId="099A52D5" w14:textId="77777777" w:rsidR="00134E64" w:rsidRPr="00EA648D" w:rsidRDefault="00134E64">
            <w:pPr>
              <w:rPr>
                <w:color w:val="000000"/>
                <w:sz w:val="14"/>
                <w:szCs w:val="14"/>
              </w:rPr>
            </w:pPr>
            <w:r w:rsidRPr="00EA648D">
              <w:rPr>
                <w:color w:val="000000"/>
                <w:sz w:val="14"/>
                <w:szCs w:val="14"/>
              </w:rPr>
              <w:t>Abbreviations: AMR = Antimicrobial resistance, UI = Uncertainty Intervals, WHO = World Health Organization.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687034" w14:textId="77777777" w:rsidR="00134E64" w:rsidRPr="00EA648D" w:rsidRDefault="00134E64">
            <w:pPr>
              <w:rPr>
                <w:color w:val="000000"/>
                <w:sz w:val="14"/>
                <w:szCs w:val="14"/>
              </w:rPr>
            </w:pPr>
          </w:p>
        </w:tc>
      </w:tr>
    </w:tbl>
    <w:p w14:paraId="370C6440" w14:textId="77777777" w:rsidR="00B43DD5" w:rsidRDefault="00134E64">
      <w:r>
        <w:t xml:space="preserve"> </w:t>
      </w:r>
    </w:p>
    <w:p w14:paraId="405562FF" w14:textId="77777777" w:rsidR="00B43DD5" w:rsidRDefault="00B43DD5">
      <w:r>
        <w:br w:type="page"/>
      </w:r>
    </w:p>
    <w:p w14:paraId="4EDB5403" w14:textId="406114A2" w:rsidR="00B43DD5" w:rsidRDefault="00B43DD5" w:rsidP="00B43DD5">
      <w:r w:rsidRPr="00477772">
        <w:rPr>
          <w:b/>
          <w:bCs/>
        </w:rPr>
        <w:lastRenderedPageBreak/>
        <w:t xml:space="preserve">Supplementary Table </w:t>
      </w:r>
      <w:r w:rsidR="00477772" w:rsidRPr="00477772">
        <w:rPr>
          <w:b/>
          <w:bCs/>
        </w:rPr>
        <w:t>7:</w:t>
      </w:r>
      <w:r w:rsidRPr="00477772">
        <w:t xml:space="preserve"> Overall antimicrobial resistance burden by steps in the estimation, 2019</w:t>
      </w:r>
      <w:r w:rsidR="00477772">
        <w:t>.</w:t>
      </w:r>
    </w:p>
    <w:tbl>
      <w:tblPr>
        <w:tblStyle w:val="TableGrid"/>
        <w:tblW w:w="5000" w:type="pct"/>
        <w:tblLook w:val="06A0" w:firstRow="1" w:lastRow="0" w:firstColumn="1" w:lastColumn="0" w:noHBand="1" w:noVBand="1"/>
      </w:tblPr>
      <w:tblGrid>
        <w:gridCol w:w="1112"/>
        <w:gridCol w:w="1524"/>
        <w:gridCol w:w="1152"/>
        <w:gridCol w:w="1077"/>
        <w:gridCol w:w="1152"/>
        <w:gridCol w:w="960"/>
        <w:gridCol w:w="1012"/>
        <w:gridCol w:w="1224"/>
        <w:gridCol w:w="841"/>
        <w:gridCol w:w="1038"/>
        <w:gridCol w:w="1012"/>
        <w:gridCol w:w="836"/>
      </w:tblGrid>
      <w:tr w:rsidR="00B43DD5" w14:paraId="1BAE7BFB" w14:textId="77777777" w:rsidTr="00B43DD5">
        <w:trPr>
          <w:trHeight w:val="602"/>
        </w:trPr>
        <w:tc>
          <w:tcPr>
            <w:tcW w:w="430" w:type="pct"/>
            <w:vMerge w:val="restart"/>
            <w:tcBorders>
              <w:top w:val="single" w:sz="8" w:space="0" w:color="auto"/>
              <w:left w:val="single" w:sz="8" w:space="0" w:color="auto"/>
              <w:bottom w:val="single" w:sz="8" w:space="0" w:color="000000" w:themeColor="text1"/>
              <w:right w:val="single" w:sz="8" w:space="0" w:color="000000" w:themeColor="text1"/>
            </w:tcBorders>
            <w:shd w:val="clear" w:color="auto" w:fill="F2DCDB"/>
            <w:tcMar>
              <w:top w:w="15" w:type="dxa"/>
              <w:left w:w="15" w:type="dxa"/>
              <w:right w:w="15" w:type="dxa"/>
            </w:tcMar>
            <w:vAlign w:val="center"/>
          </w:tcPr>
          <w:p w14:paraId="4F32D054"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Country</w:t>
            </w:r>
          </w:p>
        </w:tc>
        <w:tc>
          <w:tcPr>
            <w:tcW w:w="1033" w:type="pct"/>
            <w:gridSpan w:val="2"/>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6B6F0D2A"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All-cause death</w:t>
            </w:r>
          </w:p>
        </w:tc>
        <w:tc>
          <w:tcPr>
            <w:tcW w:w="1232" w:type="pct"/>
            <w:gridSpan w:val="3"/>
            <w:tcBorders>
              <w:top w:val="single" w:sz="8" w:space="0" w:color="auto"/>
              <w:left w:val="nil"/>
              <w:bottom w:val="single" w:sz="8" w:space="0" w:color="auto"/>
              <w:right w:val="single" w:sz="8" w:space="0" w:color="000000" w:themeColor="text1"/>
            </w:tcBorders>
            <w:shd w:val="clear" w:color="auto" w:fill="F2DCDB"/>
            <w:tcMar>
              <w:top w:w="15" w:type="dxa"/>
              <w:left w:w="15" w:type="dxa"/>
              <w:right w:w="15" w:type="dxa"/>
            </w:tcMar>
            <w:vAlign w:val="center"/>
          </w:tcPr>
          <w:p w14:paraId="1E58FE9E"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Deaths involving infection</w:t>
            </w:r>
          </w:p>
        </w:tc>
        <w:tc>
          <w:tcPr>
            <w:tcW w:w="1189" w:type="pct"/>
            <w:gridSpan w:val="3"/>
            <w:tcBorders>
              <w:top w:val="single" w:sz="8" w:space="0" w:color="auto"/>
              <w:left w:val="nil"/>
              <w:bottom w:val="single" w:sz="8" w:space="0" w:color="auto"/>
              <w:right w:val="single" w:sz="8" w:space="0" w:color="000000" w:themeColor="text1"/>
            </w:tcBorders>
            <w:shd w:val="clear" w:color="auto" w:fill="F2DCDB"/>
            <w:tcMar>
              <w:top w:w="15" w:type="dxa"/>
              <w:left w:w="15" w:type="dxa"/>
              <w:right w:w="15" w:type="dxa"/>
            </w:tcMar>
            <w:vAlign w:val="center"/>
          </w:tcPr>
          <w:p w14:paraId="572CBEB3"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Associated with AMR</w:t>
            </w:r>
          </w:p>
        </w:tc>
        <w:tc>
          <w:tcPr>
            <w:tcW w:w="1115" w:type="pct"/>
            <w:gridSpan w:val="3"/>
            <w:tcBorders>
              <w:top w:val="single" w:sz="8" w:space="0" w:color="auto"/>
              <w:left w:val="nil"/>
              <w:bottom w:val="single" w:sz="8" w:space="0" w:color="auto"/>
              <w:right w:val="single" w:sz="8" w:space="0" w:color="000000" w:themeColor="text1"/>
            </w:tcBorders>
            <w:shd w:val="clear" w:color="auto" w:fill="F2DCDB"/>
            <w:tcMar>
              <w:top w:w="15" w:type="dxa"/>
              <w:left w:w="15" w:type="dxa"/>
              <w:right w:w="15" w:type="dxa"/>
            </w:tcMar>
            <w:vAlign w:val="center"/>
          </w:tcPr>
          <w:p w14:paraId="6A9CC7EB"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Attributable to AMR</w:t>
            </w:r>
          </w:p>
        </w:tc>
      </w:tr>
      <w:tr w:rsidR="00B43DD5" w14:paraId="35904599" w14:textId="77777777" w:rsidTr="00B43DD5">
        <w:trPr>
          <w:trHeight w:val="1446"/>
        </w:trPr>
        <w:tc>
          <w:tcPr>
            <w:tcW w:w="430" w:type="pct"/>
            <w:vMerge/>
            <w:vAlign w:val="center"/>
          </w:tcPr>
          <w:p w14:paraId="0FD71E75" w14:textId="77777777" w:rsidR="00B43DD5" w:rsidRDefault="00B43DD5" w:rsidP="00D862F0"/>
        </w:tc>
        <w:tc>
          <w:tcPr>
            <w:tcW w:w="589" w:type="pct"/>
            <w:tcBorders>
              <w:top w:val="single" w:sz="8" w:space="0" w:color="auto"/>
              <w:left w:val="nil"/>
              <w:bottom w:val="single" w:sz="8" w:space="0" w:color="auto"/>
              <w:right w:val="single" w:sz="8" w:space="0" w:color="000000" w:themeColor="text1"/>
            </w:tcBorders>
            <w:shd w:val="clear" w:color="auto" w:fill="F2DCDB"/>
            <w:tcMar>
              <w:top w:w="15" w:type="dxa"/>
              <w:left w:w="15" w:type="dxa"/>
              <w:right w:w="15" w:type="dxa"/>
            </w:tcMar>
            <w:vAlign w:val="center"/>
          </w:tcPr>
          <w:p w14:paraId="4AB832EA" w14:textId="77777777" w:rsidR="00B43DD5" w:rsidRDefault="00B43DD5" w:rsidP="00D862F0">
            <w:pPr>
              <w:jc w:val="center"/>
              <w:rPr>
                <w:rFonts w:eastAsia="Times New Roman" w:cs="Times New Roman"/>
                <w:b/>
                <w:bCs/>
                <w:color w:val="000000" w:themeColor="text1"/>
                <w:sz w:val="14"/>
                <w:szCs w:val="14"/>
              </w:rPr>
            </w:pPr>
            <w:r w:rsidRPr="175F72D8">
              <w:rPr>
                <w:rFonts w:eastAsia="Times New Roman" w:cs="Times New Roman"/>
                <w:b/>
                <w:bCs/>
                <w:color w:val="000000" w:themeColor="text1"/>
                <w:sz w:val="14"/>
                <w:szCs w:val="14"/>
              </w:rPr>
              <w:t>Counts</w:t>
            </w:r>
          </w:p>
        </w:tc>
        <w:tc>
          <w:tcPr>
            <w:tcW w:w="445" w:type="pct"/>
            <w:tcBorders>
              <w:top w:val="nil"/>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17860EA1"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 xml:space="preserve">Age-standardized death rate per </w:t>
            </w:r>
          </w:p>
          <w:p w14:paraId="0CEC053E"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100 000</w:t>
            </w:r>
          </w:p>
        </w:tc>
        <w:tc>
          <w:tcPr>
            <w:tcW w:w="416" w:type="pct"/>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5591CB54"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Fraction of all deaths that involve infection</w:t>
            </w:r>
          </w:p>
        </w:tc>
        <w:tc>
          <w:tcPr>
            <w:tcW w:w="445" w:type="pct"/>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55322B02" w14:textId="77777777" w:rsidR="00B43DD5" w:rsidRDefault="00B43DD5" w:rsidP="00D862F0">
            <w:pPr>
              <w:jc w:val="center"/>
              <w:rPr>
                <w:rFonts w:eastAsia="Times New Roman" w:cs="Times New Roman"/>
                <w:b/>
                <w:bCs/>
                <w:color w:val="000000" w:themeColor="text1"/>
                <w:sz w:val="14"/>
                <w:szCs w:val="14"/>
              </w:rPr>
            </w:pPr>
            <w:r w:rsidRPr="175F72D8">
              <w:rPr>
                <w:rFonts w:eastAsia="Times New Roman" w:cs="Times New Roman"/>
                <w:b/>
                <w:bCs/>
                <w:color w:val="000000" w:themeColor="text1"/>
                <w:sz w:val="14"/>
                <w:szCs w:val="14"/>
              </w:rPr>
              <w:t>Counts</w:t>
            </w:r>
          </w:p>
        </w:tc>
        <w:tc>
          <w:tcPr>
            <w:tcW w:w="371" w:type="pct"/>
            <w:tcBorders>
              <w:top w:val="nil"/>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00A8CF3C"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Age-standardized death rate per 100 000</w:t>
            </w:r>
          </w:p>
        </w:tc>
        <w:tc>
          <w:tcPr>
            <w:tcW w:w="391" w:type="pct"/>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6722ECAA"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Fraction of deaths involving infection that are associated with resistance</w:t>
            </w:r>
          </w:p>
        </w:tc>
        <w:tc>
          <w:tcPr>
            <w:tcW w:w="473" w:type="pct"/>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41DE149E" w14:textId="77777777" w:rsidR="00B43DD5" w:rsidRDefault="00B43DD5" w:rsidP="00D862F0">
            <w:pPr>
              <w:jc w:val="center"/>
              <w:rPr>
                <w:rFonts w:eastAsia="Times New Roman" w:cs="Times New Roman"/>
                <w:b/>
                <w:bCs/>
                <w:color w:val="000000" w:themeColor="text1"/>
                <w:sz w:val="14"/>
                <w:szCs w:val="14"/>
              </w:rPr>
            </w:pPr>
            <w:r w:rsidRPr="175F72D8">
              <w:rPr>
                <w:rFonts w:eastAsia="Times New Roman" w:cs="Times New Roman"/>
                <w:b/>
                <w:bCs/>
                <w:color w:val="000000" w:themeColor="text1"/>
                <w:sz w:val="14"/>
                <w:szCs w:val="14"/>
              </w:rPr>
              <w:t xml:space="preserve">Counts </w:t>
            </w:r>
          </w:p>
        </w:tc>
        <w:tc>
          <w:tcPr>
            <w:tcW w:w="324" w:type="pct"/>
            <w:tcBorders>
              <w:top w:val="nil"/>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7FC9D50D"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Age-standardized death rate per 100 000</w:t>
            </w:r>
          </w:p>
        </w:tc>
        <w:tc>
          <w:tcPr>
            <w:tcW w:w="401" w:type="pct"/>
            <w:tcBorders>
              <w:top w:val="single" w:sz="8" w:space="0" w:color="auto"/>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7CFF43E3"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Fraction of deaths involving infection that are attributable to resistance</w:t>
            </w:r>
          </w:p>
        </w:tc>
        <w:tc>
          <w:tcPr>
            <w:tcW w:w="391" w:type="pct"/>
            <w:tcBorders>
              <w:top w:val="nil"/>
              <w:left w:val="single" w:sz="8" w:space="0" w:color="auto"/>
              <w:bottom w:val="single" w:sz="8" w:space="0" w:color="auto"/>
              <w:right w:val="single" w:sz="8" w:space="0" w:color="auto"/>
            </w:tcBorders>
            <w:shd w:val="clear" w:color="auto" w:fill="F2DCDB"/>
            <w:tcMar>
              <w:top w:w="15" w:type="dxa"/>
              <w:left w:w="15" w:type="dxa"/>
              <w:right w:w="15" w:type="dxa"/>
            </w:tcMar>
            <w:vAlign w:val="center"/>
          </w:tcPr>
          <w:p w14:paraId="67DC5885" w14:textId="77777777" w:rsidR="00B43DD5" w:rsidRDefault="00B43DD5" w:rsidP="00D862F0">
            <w:pPr>
              <w:jc w:val="center"/>
              <w:rPr>
                <w:rFonts w:eastAsia="Times New Roman" w:cs="Times New Roman"/>
                <w:b/>
                <w:bCs/>
                <w:color w:val="000000" w:themeColor="text1"/>
                <w:sz w:val="14"/>
                <w:szCs w:val="14"/>
              </w:rPr>
            </w:pPr>
            <w:r w:rsidRPr="175F72D8">
              <w:rPr>
                <w:rFonts w:eastAsia="Times New Roman" w:cs="Times New Roman"/>
                <w:b/>
                <w:bCs/>
                <w:color w:val="000000" w:themeColor="text1"/>
                <w:sz w:val="14"/>
                <w:szCs w:val="14"/>
              </w:rPr>
              <w:t>Counts</w:t>
            </w:r>
          </w:p>
        </w:tc>
        <w:tc>
          <w:tcPr>
            <w:tcW w:w="321" w:type="pct"/>
            <w:tcBorders>
              <w:top w:val="nil"/>
              <w:left w:val="single" w:sz="8" w:space="0" w:color="auto"/>
              <w:bottom w:val="single" w:sz="8" w:space="0" w:color="auto"/>
              <w:right w:val="single" w:sz="8" w:space="0" w:color="000000" w:themeColor="text1"/>
            </w:tcBorders>
            <w:shd w:val="clear" w:color="auto" w:fill="F2DCDB"/>
            <w:tcMar>
              <w:top w:w="15" w:type="dxa"/>
              <w:left w:w="15" w:type="dxa"/>
              <w:right w:w="15" w:type="dxa"/>
            </w:tcMar>
            <w:vAlign w:val="center"/>
          </w:tcPr>
          <w:p w14:paraId="0B3CC64E" w14:textId="77777777" w:rsidR="00B43DD5" w:rsidRDefault="00B43DD5" w:rsidP="00D862F0">
            <w:pPr>
              <w:jc w:val="center"/>
              <w:rPr>
                <w:rFonts w:eastAsia="Times New Roman" w:cs="Times New Roman"/>
                <w:b/>
                <w:bCs/>
                <w:color w:val="000000" w:themeColor="text1"/>
                <w:sz w:val="14"/>
                <w:szCs w:val="14"/>
              </w:rPr>
            </w:pPr>
            <w:r w:rsidRPr="4BFB1015">
              <w:rPr>
                <w:rFonts w:eastAsia="Times New Roman" w:cs="Times New Roman"/>
                <w:b/>
                <w:bCs/>
                <w:color w:val="000000" w:themeColor="text1"/>
                <w:sz w:val="14"/>
                <w:szCs w:val="14"/>
              </w:rPr>
              <w:t xml:space="preserve">Age-standardized death rate per 100 000 </w:t>
            </w:r>
          </w:p>
        </w:tc>
      </w:tr>
      <w:tr w:rsidR="00B43DD5" w14:paraId="6CE08C0D"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7ACADF50"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Canada</w:t>
            </w:r>
          </w:p>
        </w:tc>
        <w:tc>
          <w:tcPr>
            <w:tcW w:w="589"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53E5ED0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288,000</w:t>
            </w:r>
          </w:p>
          <w:p w14:paraId="36C243C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(285,000 - 292,000)</w:t>
            </w:r>
          </w:p>
        </w:tc>
        <w:tc>
          <w:tcPr>
            <w:tcW w:w="445"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55AE681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410.3</w:t>
            </w:r>
          </w:p>
          <w:p w14:paraId="1EDCAC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(404.7 - 416.3)</w:t>
            </w:r>
          </w:p>
        </w:tc>
        <w:tc>
          <w:tcPr>
            <w:tcW w:w="416"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12D64CC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13.7%</w:t>
            </w:r>
          </w:p>
          <w:p w14:paraId="424CA7B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(9.9% - 18.6%)</w:t>
            </w:r>
          </w:p>
        </w:tc>
        <w:tc>
          <w:tcPr>
            <w:tcW w:w="445"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11CBED0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39,500</w:t>
            </w:r>
          </w:p>
          <w:p w14:paraId="5750160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(28,700 - 53,500)</w:t>
            </w:r>
          </w:p>
        </w:tc>
        <w:tc>
          <w:tcPr>
            <w:tcW w:w="37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366AF6F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55.7</w:t>
            </w:r>
          </w:p>
          <w:p w14:paraId="40925B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(39.7 - 76.1) </w:t>
            </w:r>
          </w:p>
        </w:tc>
        <w:tc>
          <w:tcPr>
            <w:tcW w:w="39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49C5311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32.6%</w:t>
            </w:r>
          </w:p>
          <w:p w14:paraId="2CF978A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(30.5% - 34.8%)</w:t>
            </w:r>
          </w:p>
        </w:tc>
        <w:tc>
          <w:tcPr>
            <w:tcW w:w="473"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7996801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12,900</w:t>
            </w:r>
          </w:p>
          <w:p w14:paraId="1DBC37D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(8,830 - 18,100) </w:t>
            </w:r>
          </w:p>
        </w:tc>
        <w:tc>
          <w:tcPr>
            <w:tcW w:w="324"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58B6EBF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18.3</w:t>
            </w:r>
          </w:p>
          <w:p w14:paraId="7C87AA7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(12.3 - 25.9)</w:t>
            </w:r>
          </w:p>
        </w:tc>
        <w:tc>
          <w:tcPr>
            <w:tcW w:w="40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7BA460F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7.3%</w:t>
            </w:r>
          </w:p>
          <w:p w14:paraId="6C29B32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(6.3% - 8.4%) </w:t>
            </w:r>
          </w:p>
        </w:tc>
        <w:tc>
          <w:tcPr>
            <w:tcW w:w="39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16CBF3D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2,890</w:t>
            </w:r>
          </w:p>
          <w:p w14:paraId="2956F4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(1,960 - 4,180)</w:t>
            </w:r>
          </w:p>
        </w:tc>
        <w:tc>
          <w:tcPr>
            <w:tcW w:w="321" w:type="pct"/>
            <w:tcBorders>
              <w:top w:val="single" w:sz="8" w:space="0" w:color="auto"/>
              <w:left w:val="single" w:sz="8" w:space="0" w:color="auto"/>
              <w:bottom w:val="nil"/>
              <w:right w:val="single" w:sz="8" w:space="0" w:color="auto"/>
            </w:tcBorders>
            <w:tcMar>
              <w:top w:w="15" w:type="dxa"/>
              <w:left w:w="15" w:type="dxa"/>
              <w:right w:w="15" w:type="dxa"/>
            </w:tcMar>
            <w:vAlign w:val="center"/>
          </w:tcPr>
          <w:p w14:paraId="07DD41E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w:t>
            </w:r>
          </w:p>
          <w:p w14:paraId="4E35468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(2.7 - 6.0)</w:t>
            </w:r>
          </w:p>
        </w:tc>
      </w:tr>
      <w:tr w:rsidR="00B43DD5" w14:paraId="06DAFFFD"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D69C016"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Antigua and Barbuda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FB057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610</w:t>
            </w:r>
          </w:p>
          <w:p w14:paraId="250CF7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(542 - 685)</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D81AFD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682.6</w:t>
            </w:r>
          </w:p>
          <w:p w14:paraId="7343C03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(609.9 - 763.1)</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931FA9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19.4%</w:t>
            </w:r>
          </w:p>
          <w:p w14:paraId="5D67290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(14.6% - 25.7%)</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99DD7E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118</w:t>
            </w:r>
          </w:p>
          <w:p w14:paraId="17704AA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(86 - 158)</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EDAA8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135.4</w:t>
            </w:r>
          </w:p>
          <w:p w14:paraId="3DB516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(99.5 - 180.2)</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28465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41.3%</w:t>
            </w:r>
          </w:p>
          <w:p w14:paraId="0F1EDC1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(38.2% - 44.2%)</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EEDE9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49</w:t>
            </w:r>
          </w:p>
          <w:p w14:paraId="3FDEE8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(33 - 68)</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58E45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55.6</w:t>
            </w:r>
          </w:p>
          <w:p w14:paraId="1E0536E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(37.9 - 77.1)</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18CC0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10.5%</w:t>
            </w:r>
          </w:p>
          <w:p w14:paraId="57592A7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(9.2% - 12.0%)</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C03C2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w:t>
            </w:r>
          </w:p>
          <w:p w14:paraId="73D175B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(8 - 18)</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59DF8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14.2</w:t>
            </w:r>
          </w:p>
          <w:p w14:paraId="586070F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(9.5 - 20.2)</w:t>
            </w:r>
          </w:p>
        </w:tc>
      </w:tr>
      <w:tr w:rsidR="00B43DD5" w14:paraId="5797D01F"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1A9B463C"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Argentina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51E21D8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349,000</w:t>
            </w:r>
          </w:p>
          <w:p w14:paraId="6A94751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(342,000 - 356,000)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5C5C455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649.3</w:t>
            </w:r>
          </w:p>
          <w:p w14:paraId="5ADD534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(635.3 - 664.8)</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77D1A75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24.4%</w:t>
            </w:r>
          </w:p>
          <w:p w14:paraId="410E4D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(19.8% - 30.0%)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5CD1B2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84,900</w:t>
            </w:r>
          </w:p>
          <w:p w14:paraId="73BDAEC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(69,000 - 105,000)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4EE743F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157.6</w:t>
            </w:r>
          </w:p>
          <w:p w14:paraId="19281B3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(127.5 - 195.1)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32A848A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41.5%</w:t>
            </w:r>
          </w:p>
          <w:p w14:paraId="7CF7C8F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(39.5% - 43.5%)</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48E5A29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35,300</w:t>
            </w:r>
          </w:p>
          <w:p w14:paraId="2C9A71D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(27,400 - 44,700)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3C0D09E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65.1</w:t>
            </w:r>
          </w:p>
          <w:p w14:paraId="5B42F9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(50.4 - 82.6)</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33724D1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10.6%</w:t>
            </w:r>
          </w:p>
          <w:p w14:paraId="4304A8B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(9.2% - 12.1%)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24C8B51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8,980</w:t>
            </w:r>
          </w:p>
          <w:p w14:paraId="42D819E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(6,780 - 11,800)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7767B2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16.6</w:t>
            </w:r>
          </w:p>
          <w:p w14:paraId="6045248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(12.5 - 21.8)</w:t>
            </w:r>
          </w:p>
        </w:tc>
      </w:tr>
      <w:tr w:rsidR="00B43DD5" w14:paraId="0CF603CC"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618171D"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Barbados</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3BBC4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3,090</w:t>
            </w:r>
          </w:p>
          <w:p w14:paraId="2FB2DCA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(2,660 - 3,540)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BC83CA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670.5</w:t>
            </w:r>
          </w:p>
          <w:p w14:paraId="4BCC874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(574.1 - 773.8)</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6F4F5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22.1%</w:t>
            </w:r>
          </w:p>
          <w:p w14:paraId="4943A9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(17.4% - 28.0%)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CC641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684</w:t>
            </w:r>
          </w:p>
          <w:p w14:paraId="13295BF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(514 - 899)</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B9EBB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151.3</w:t>
            </w:r>
          </w:p>
          <w:p w14:paraId="5B95D02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(112.7 - 200.3)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5E88B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45.6%</w:t>
            </w:r>
          </w:p>
          <w:p w14:paraId="4EAF783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(42.8% - 48.2%)</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A3EED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312</w:t>
            </w:r>
          </w:p>
          <w:p w14:paraId="780E503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(226 - 419)</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82780C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67.6</w:t>
            </w:r>
          </w:p>
          <w:p w14:paraId="7E8535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(48.6 - 91.2)</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75D9C3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11.5%</w:t>
            </w:r>
          </w:p>
          <w:p w14:paraId="3D3E92A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 - 13.3%)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48D75C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79</w:t>
            </w:r>
          </w:p>
          <w:p w14:paraId="61ECFE7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(55 - 109)</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EB99B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17.0</w:t>
            </w:r>
          </w:p>
          <w:p w14:paraId="7873C91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(11.9 - 23.7)</w:t>
            </w:r>
          </w:p>
        </w:tc>
      </w:tr>
      <w:tr w:rsidR="00B43DD5" w14:paraId="508AE093"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54FC6294"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Belize</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715EADD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1,990</w:t>
            </w:r>
          </w:p>
          <w:p w14:paraId="583F13E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(1,780 - 2,230)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6EB4A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695.3</w:t>
            </w:r>
          </w:p>
          <w:p w14:paraId="0BA26C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(622.8 - 776.4)</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712B264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23.1%</w:t>
            </w:r>
          </w:p>
          <w:p w14:paraId="1F684F7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(17.7% - 29.6%)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7FBCF11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460</w:t>
            </w:r>
          </w:p>
          <w:p w14:paraId="0E79613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(344 - 599)</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6194140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160.7</w:t>
            </w:r>
          </w:p>
          <w:p w14:paraId="08D183E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(121.3 - 209.2)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68BEC8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34.1%</w:t>
            </w:r>
          </w:p>
          <w:p w14:paraId="7A27792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(31.2% - 36.9%)</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576001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158</w:t>
            </w:r>
          </w:p>
          <w:p w14:paraId="1932ACB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(108 - 220)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48195A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57.8</w:t>
            </w:r>
          </w:p>
          <w:p w14:paraId="0FBD2E4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(39.8 - 79.9)</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67A568C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8.5%</w:t>
            </w:r>
          </w:p>
          <w:p w14:paraId="4FB0A3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(7.4% - 9.8%)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4689F5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w:t>
            </w:r>
          </w:p>
          <w:p w14:paraId="359DED8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(27 - 56)</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06AE1C9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14.5</w:t>
            </w:r>
          </w:p>
          <w:p w14:paraId="608B06A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(9.8 - 20.4)</w:t>
            </w:r>
          </w:p>
        </w:tc>
      </w:tr>
      <w:tr w:rsidR="00B43DD5" w14:paraId="1691A9E1"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AD6522C"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Bolivia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1B5BF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75,900</w:t>
            </w:r>
          </w:p>
          <w:p w14:paraId="33A407D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(63,500 - 88,800)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6CDBFA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896.5</w:t>
            </w:r>
          </w:p>
          <w:p w14:paraId="0E3DA5B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(761.8 - 1033.3)</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0AF44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29.7%</w:t>
            </w:r>
          </w:p>
          <w:p w14:paraId="35496A3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(23.6% - 37.5%)</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7C523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22,500</w:t>
            </w:r>
          </w:p>
          <w:p w14:paraId="2869DA9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(16,600 - 29,600)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FF3ED4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254.5</w:t>
            </w:r>
          </w:p>
          <w:p w14:paraId="4BE2CAD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(188.2 - 334.7)</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68D1C6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44.6%</w:t>
            </w:r>
          </w:p>
          <w:p w14:paraId="7E86B9D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(39.5% - 47.8%)</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951A1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10,100</w:t>
            </w:r>
          </w:p>
          <w:p w14:paraId="2016D73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(7,220 - 13,600)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74B6AA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116.9</w:t>
            </w:r>
          </w:p>
          <w:p w14:paraId="1346F39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(83.7 - 158.0)</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FCA64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11.0%</w:t>
            </w:r>
          </w:p>
          <w:p w14:paraId="2E84B0C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(9.4% - 12.9%)</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37E0C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2,490</w:t>
            </w:r>
          </w:p>
          <w:p w14:paraId="05A0EEB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(1,770 - 3,430)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9F2D1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29.0</w:t>
            </w:r>
          </w:p>
          <w:p w14:paraId="4368625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(20.4 - 40.2)</w:t>
            </w:r>
          </w:p>
        </w:tc>
      </w:tr>
      <w:tr w:rsidR="00B43DD5" w14:paraId="21705BF6"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6D2EE365"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Brazil</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3AD67E8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1,410,000</w:t>
            </w:r>
          </w:p>
          <w:p w14:paraId="51C1873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(1,380,000 - 1,450,000)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86D385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633.1</w:t>
            </w:r>
          </w:p>
          <w:p w14:paraId="61169ED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(615.9 - 650.9)</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3BD8A46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22.0%</w:t>
            </w:r>
          </w:p>
          <w:p w14:paraId="0126E3E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(17.2% - 28.0%)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4C01AD0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311,000</w:t>
            </w:r>
          </w:p>
          <w:p w14:paraId="77586B9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(244,000 - 394,000)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162386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143.0</w:t>
            </w:r>
          </w:p>
          <w:p w14:paraId="6BED7F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(112.3 - 181.5)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114EA39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44.2%</w:t>
            </w:r>
          </w:p>
          <w:p w14:paraId="10E79A9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(42.3% - 46.1%)</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2021B96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138,000</w:t>
            </w:r>
          </w:p>
          <w:p w14:paraId="48D20FD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(103,000 - 182,000)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3DB57A4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63.2</w:t>
            </w:r>
          </w:p>
          <w:p w14:paraId="7620B5D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(47.4 - 82.9)</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5FED780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10.7%</w:t>
            </w:r>
          </w:p>
          <w:p w14:paraId="3421E2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(9.6% - 11.8%)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1307D3C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33,200</w:t>
            </w:r>
          </w:p>
          <w:p w14:paraId="2E536CC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(24,200 - 45,000)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5181DE9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15.2</w:t>
            </w:r>
          </w:p>
          <w:p w14:paraId="7E4468A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(11.2 - 20.4)</w:t>
            </w:r>
          </w:p>
        </w:tc>
      </w:tr>
      <w:tr w:rsidR="00B43DD5" w14:paraId="30A8ED0B"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6E84BF4F"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Chile</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5AC3C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113,000</w:t>
            </w:r>
          </w:p>
          <w:p w14:paraId="6BA63FB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(110,000 - 116,000)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3E66F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489.0</w:t>
            </w:r>
          </w:p>
          <w:p w14:paraId="1A5BC0C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(474.4 - 505.2)</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CFE3ED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18.6%</w:t>
            </w:r>
          </w:p>
          <w:p w14:paraId="50BDCE0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(14.1% - 24.5%)</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C96533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21,000</w:t>
            </w:r>
          </w:p>
          <w:p w14:paraId="4E0328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(15,900 - 27,800)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A4675B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91.2</w:t>
            </w:r>
          </w:p>
          <w:p w14:paraId="2C1F21A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(68.7 - 120.2)</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15C0A7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48.2%</w:t>
            </w:r>
          </w:p>
          <w:p w14:paraId="030B6E6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(46.0% - 50.3%)</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89704B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10,200</w:t>
            </w:r>
          </w:p>
          <w:p w14:paraId="049D9DA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(7,360 - 13,700)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DB5FC1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43.7</w:t>
            </w:r>
          </w:p>
          <w:p w14:paraId="3994D1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(31.6 - 59.1)</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D4272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12.9%</w:t>
            </w:r>
          </w:p>
          <w:p w14:paraId="193C0D6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(11.1% - 14.8%)</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FDBE35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2,720</w:t>
            </w:r>
          </w:p>
          <w:p w14:paraId="21AD6B2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(1,930 - 3,770)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F49C4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11.7</w:t>
            </w:r>
          </w:p>
          <w:p w14:paraId="071AF80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(8.3 - 16.2)</w:t>
            </w:r>
          </w:p>
        </w:tc>
      </w:tr>
      <w:tr w:rsidR="00B43DD5" w14:paraId="0C59C9E5"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5B9A9F0E"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Colombia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55D4B0A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247,000</w:t>
            </w:r>
          </w:p>
          <w:p w14:paraId="5B8ADF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(198,000 - 306,000)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79B9689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463.8</w:t>
            </w:r>
          </w:p>
          <w:p w14:paraId="58EF030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(370.3 - 578.1)</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64544C8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17.5%</w:t>
            </w:r>
          </w:p>
          <w:p w14:paraId="1107E1B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(13.0% - 23.2%)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766AA55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43,200</w:t>
            </w:r>
          </w:p>
          <w:p w14:paraId="745694A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(29,400 - 61,500)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3890FF5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83.3</w:t>
            </w:r>
          </w:p>
          <w:p w14:paraId="2DA17E0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(56.5 - 118.5)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276BE9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41.9%</w:t>
            </w:r>
          </w:p>
          <w:p w14:paraId="71F4ED2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(39.6% - 44.1%)</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5C3A09C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18,200</w:t>
            </w:r>
          </w:p>
          <w:p w14:paraId="39958AE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(11,800 - 26,500)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38FFA76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34.6</w:t>
            </w:r>
          </w:p>
          <w:p w14:paraId="42C6C7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(22.4 - 50.6)</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5EE82CB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10.9%</w:t>
            </w:r>
          </w:p>
          <w:p w14:paraId="0C07562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(9.6% - 12.4%)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1080AD1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4,720</w:t>
            </w:r>
          </w:p>
          <w:p w14:paraId="337D61E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(3,020 - 7,060)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6C21181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9.0</w:t>
            </w:r>
          </w:p>
          <w:p w14:paraId="4CA5B69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(5.8 - 13.5)</w:t>
            </w:r>
          </w:p>
        </w:tc>
      </w:tr>
      <w:tr w:rsidR="00B43DD5" w14:paraId="0F59E039"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6BA31B46"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Costa Rica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B5A386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24,400</w:t>
            </w:r>
          </w:p>
          <w:p w14:paraId="7F32978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(19,700 - 30,100)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2EB838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479.2</w:t>
            </w:r>
          </w:p>
          <w:p w14:paraId="3021FDD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(385.4 - 593.1)</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1481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17.1%</w:t>
            </w:r>
          </w:p>
          <w:p w14:paraId="64B0DF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(12.3% - 23.3%)</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82E4D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4,190</w:t>
            </w:r>
          </w:p>
          <w:p w14:paraId="6891EDE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(2,770 - 6,090)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15FF8F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82.8</w:t>
            </w:r>
          </w:p>
          <w:p w14:paraId="19DE7A2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(54.6 - 120.7)</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70168B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45.0%</w:t>
            </w:r>
          </w:p>
          <w:p w14:paraId="5C1AE49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(42.8% - 47.3%)</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EC0198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1,890</w:t>
            </w:r>
          </w:p>
          <w:p w14:paraId="7A9EF02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(1,210 - 2,800)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E70124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37.3</w:t>
            </w:r>
          </w:p>
          <w:p w14:paraId="6C79652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(23.8 - 55.3)</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82BBBE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11.5%</w:t>
            </w:r>
          </w:p>
          <w:p w14:paraId="10D4624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 - 13.3%)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ECA79E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484</w:t>
            </w:r>
          </w:p>
          <w:p w14:paraId="78B3A3C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(304 - 731)</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E9E013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9.5</w:t>
            </w:r>
          </w:p>
          <w:p w14:paraId="2EA1C6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(6.0 - 14.4)</w:t>
            </w:r>
          </w:p>
        </w:tc>
      </w:tr>
      <w:tr w:rsidR="00B43DD5" w14:paraId="2F492D6F"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05FBA7ED"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Cuba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2265F1F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106,000</w:t>
            </w:r>
          </w:p>
          <w:p w14:paraId="3BFF389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(89,700 - 124,000)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4929C4E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552.8</w:t>
            </w:r>
          </w:p>
          <w:p w14:paraId="6272BA0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(465.9 - 652.2)</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6657E45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17.1%</w:t>
            </w:r>
          </w:p>
          <w:p w14:paraId="54E03EE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(13.2% - 22.2%)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39DA784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18,100</w:t>
            </w:r>
          </w:p>
          <w:p w14:paraId="0D4499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(13,400 - 24,900)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1BC94F6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95.3</w:t>
            </w:r>
          </w:p>
          <w:p w14:paraId="14F8FBE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(70.0 - 131.2)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2EE5086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37.4%</w:t>
            </w:r>
          </w:p>
          <w:p w14:paraId="237FA9A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(34.2% - 40.5%)</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739BAC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6,830</w:t>
            </w:r>
          </w:p>
          <w:p w14:paraId="363E459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(4,700 - 10,000)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0E00B2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35.9</w:t>
            </w:r>
          </w:p>
          <w:p w14:paraId="4BDE399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(24.6 - 52.9)</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2753645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9.2%</w:t>
            </w:r>
          </w:p>
          <w:p w14:paraId="453D305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(7.8% - 10.7%)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773CE5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1,680</w:t>
            </w:r>
          </w:p>
          <w:p w14:paraId="10C0F3C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(1,120 - 2,520)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55549D9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8.8</w:t>
            </w:r>
          </w:p>
          <w:p w14:paraId="2A2D84B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(5.8 - 13.3)</w:t>
            </w:r>
          </w:p>
        </w:tc>
      </w:tr>
      <w:tr w:rsidR="00B43DD5" w14:paraId="10AC10E3"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2560C3B5"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Dominica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C40BC1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735</w:t>
            </w:r>
          </w:p>
          <w:p w14:paraId="2A7B8C5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(636 - 863)</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C3362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857.0</w:t>
            </w:r>
          </w:p>
          <w:p w14:paraId="3C02370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(734.3 - 1014.2)</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053FB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19.5%</w:t>
            </w:r>
          </w:p>
          <w:p w14:paraId="3069155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(14.5% - 25.9%)</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A653CC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144</w:t>
            </w:r>
          </w:p>
          <w:p w14:paraId="28D91CF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(100 - 198)</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C383F6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174.6</w:t>
            </w:r>
          </w:p>
          <w:p w14:paraId="04E594A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(121.5 - 241.4)</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683DD7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41.8%</w:t>
            </w:r>
          </w:p>
          <w:p w14:paraId="3BD5386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(38.3% - 44.7%)</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DE1137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60</w:t>
            </w:r>
          </w:p>
          <w:p w14:paraId="3EB5A75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(39 - 86)</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9E14AB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72.0</w:t>
            </w:r>
          </w:p>
          <w:p w14:paraId="32FBF1F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(46.5 - 103.5)</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67FA13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10.7%</w:t>
            </w:r>
          </w:p>
          <w:p w14:paraId="6958DC8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(9.3% - 12.1%)</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10F23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w:t>
            </w:r>
          </w:p>
          <w:p w14:paraId="5228491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(10 - 23)</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8A05B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18.4</w:t>
            </w:r>
          </w:p>
          <w:p w14:paraId="400B684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(11.7 - 27.1)</w:t>
            </w:r>
          </w:p>
        </w:tc>
      </w:tr>
      <w:tr w:rsidR="00B43DD5" w14:paraId="17A052B1"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34108492"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Dominican Republic</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78BAA00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70,500</w:t>
            </w:r>
          </w:p>
          <w:p w14:paraId="2A9A990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(57,300 - 87,100)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7ED123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766.3</w:t>
            </w:r>
          </w:p>
          <w:p w14:paraId="2CDF65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(628.5 - 939.3)</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1153085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20.1%</w:t>
            </w:r>
          </w:p>
          <w:p w14:paraId="397357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(15.0% - 26.3%)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18FD4DA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14,200</w:t>
            </w:r>
          </w:p>
          <w:p w14:paraId="4898361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(9,640 - 20,100)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125FDB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149.5</w:t>
            </w:r>
          </w:p>
          <w:p w14:paraId="02862A6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(101.7 - 212.0)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7015C0E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38.6%</w:t>
            </w:r>
          </w:p>
          <w:p w14:paraId="0D96580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(35.0% - 41.9%)</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5BBCDE7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5,500</w:t>
            </w:r>
          </w:p>
          <w:p w14:paraId="77B02D3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(3,440 - 8,270)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3CC4501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59.4</w:t>
            </w:r>
          </w:p>
          <w:p w14:paraId="5241F8A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(37.4 - 89.4)</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47ECADC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9.7%</w:t>
            </w:r>
          </w:p>
          <w:p w14:paraId="5DD485D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(8.4% - 11.2%)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3D1F3FF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1,390</w:t>
            </w:r>
          </w:p>
          <w:p w14:paraId="72E54BF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(870 - 2,090)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61A0BB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15.0</w:t>
            </w:r>
          </w:p>
          <w:p w14:paraId="6E56EB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(9.4 - 22.6)</w:t>
            </w:r>
          </w:p>
        </w:tc>
      </w:tr>
      <w:tr w:rsidR="00B43DD5" w14:paraId="59905B1B"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C910DAA"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Ecuador</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3C629E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92,500</w:t>
            </w:r>
          </w:p>
          <w:p w14:paraId="444208D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(76,600 - 113,000)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59E0F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655.4</w:t>
            </w:r>
          </w:p>
          <w:p w14:paraId="771955A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(544.7 - 798.2)</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1F7B8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22.3%</w:t>
            </w:r>
          </w:p>
          <w:p w14:paraId="3765D9C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(17.0% - 28.9%)</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961956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20,600</w:t>
            </w:r>
          </w:p>
          <w:p w14:paraId="0FAD0A3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(15,000 - 28,200)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C6D1D7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146.8</w:t>
            </w:r>
          </w:p>
          <w:p w14:paraId="010F6C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(106.8 - 200.6)</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7D03B0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44.8%</w:t>
            </w:r>
          </w:p>
          <w:p w14:paraId="1A74F56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(42.3% - 47.3%)</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F7336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9,290</w:t>
            </w:r>
          </w:p>
          <w:p w14:paraId="0D7BDF1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(6,430 - 13,100)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42A6C0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66.9</w:t>
            </w:r>
          </w:p>
          <w:p w14:paraId="4A7FB1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(46.4 - 94.1)</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FB7E50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11.6%</w:t>
            </w:r>
          </w:p>
          <w:p w14:paraId="6CDA75A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(10.2% - 13.1%)</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DFF99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2,410</w:t>
            </w:r>
          </w:p>
          <w:p w14:paraId="12769D4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(1,620 - 3,440)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B7C5F9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17.3</w:t>
            </w:r>
          </w:p>
          <w:p w14:paraId="1D6C29E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(11.7 - 24.6)</w:t>
            </w:r>
          </w:p>
        </w:tc>
      </w:tr>
      <w:tr w:rsidR="00B43DD5" w14:paraId="50E2FA58"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120412FF"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El Salvador</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415981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40,200</w:t>
            </w:r>
          </w:p>
          <w:p w14:paraId="21CDB6E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(31,800 - 50,200)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6BEF94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640.7</w:t>
            </w:r>
          </w:p>
          <w:p w14:paraId="61328CA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(503.2 - 804.5)</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6B4B33C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20.5%</w:t>
            </w:r>
          </w:p>
          <w:p w14:paraId="3F0ECB0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(15.7% - 26.8%)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358F0B0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8,230</w:t>
            </w:r>
          </w:p>
          <w:p w14:paraId="4BA6FCA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(5,650 - 11,600)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6038AA0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132.4</w:t>
            </w:r>
          </w:p>
          <w:p w14:paraId="78E0A4D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(90.0 - 187.1)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D1FB59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41.0%</w:t>
            </w:r>
          </w:p>
          <w:p w14:paraId="2485A58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(38.1% - 44.0%)</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362C708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3,390</w:t>
            </w:r>
          </w:p>
          <w:p w14:paraId="61E4E8B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(2,210 - 4,930)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25C19FB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54.5</w:t>
            </w:r>
          </w:p>
          <w:p w14:paraId="1019B98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(35.3 - 79.6)</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45F0304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10.4%</w:t>
            </w:r>
          </w:p>
          <w:p w14:paraId="2A79471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(8.9% - 12.0%)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09A9571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857</w:t>
            </w:r>
          </w:p>
          <w:p w14:paraId="407F9C8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(546 - 1,290)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7AA481D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13.8</w:t>
            </w:r>
          </w:p>
          <w:p w14:paraId="1416FC8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(8.7 - 20.8)</w:t>
            </w:r>
          </w:p>
        </w:tc>
      </w:tr>
      <w:tr w:rsidR="00B43DD5" w14:paraId="22903CA1"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2EAAF55C"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Grenada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F9399C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819</w:t>
            </w:r>
          </w:p>
          <w:p w14:paraId="0C7F021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(761 - 877)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F8113E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824.7</w:t>
            </w:r>
          </w:p>
          <w:p w14:paraId="15E6AC4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(769.2 - 880.9)</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D6B6AA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20.7%</w:t>
            </w:r>
          </w:p>
          <w:p w14:paraId="2CE8044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(15.7% - 27.0%)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F8EFA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170</w:t>
            </w:r>
          </w:p>
          <w:p w14:paraId="780FE8E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(127 - 222)</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661DE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177.8</w:t>
            </w:r>
          </w:p>
          <w:p w14:paraId="09965E9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(133.8 - 230.5)</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8B6C23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42.3%</w:t>
            </w:r>
          </w:p>
          <w:p w14:paraId="46463E4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(39.4% - 45.0%)</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FD10D4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72</w:t>
            </w:r>
          </w:p>
          <w:p w14:paraId="61F6451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(50 - 99)</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FC4577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74.2</w:t>
            </w:r>
          </w:p>
          <w:p w14:paraId="6A5C7C9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(52.4 - 101.2)</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923CF0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10.7%</w:t>
            </w:r>
          </w:p>
          <w:p w14:paraId="6DCAC95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(9.4% - 12.2%)</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799E6B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w:t>
            </w:r>
          </w:p>
          <w:p w14:paraId="0633EC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(12 - 26)</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0F330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18.8</w:t>
            </w:r>
          </w:p>
          <w:p w14:paraId="5C93863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(13.0 - 26.3)</w:t>
            </w:r>
          </w:p>
        </w:tc>
      </w:tr>
      <w:tr w:rsidR="00B43DD5" w14:paraId="0826CEF8"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1272A7C2"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Guatemala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539A8AF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94,800</w:t>
            </w:r>
          </w:p>
          <w:p w14:paraId="6AD1856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(75,900 - 118,000)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2F8E88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827.5</w:t>
            </w:r>
          </w:p>
          <w:p w14:paraId="21FCC6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(675.4 - 1008.7)</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79609E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28.6%</w:t>
            </w:r>
          </w:p>
          <w:p w14:paraId="0ABE7E7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(23.3% - 35.1%)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49053DF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27,100</w:t>
            </w:r>
          </w:p>
          <w:p w14:paraId="69271E2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(19,500 - 36,900)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1CBD57F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234.5</w:t>
            </w:r>
          </w:p>
          <w:p w14:paraId="26E4CB1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(172.0 - 314.1)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324F1C5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43.2%</w:t>
            </w:r>
          </w:p>
          <w:p w14:paraId="1FFE6B2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(40.6% - 45.7%)</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7E6095B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11,800</w:t>
            </w:r>
          </w:p>
          <w:p w14:paraId="5A5BBD2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(8,090 - 16,500)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0C748C2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104.5</w:t>
            </w:r>
          </w:p>
          <w:p w14:paraId="6E31D88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(72.9 - 145.7)</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094DD3B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10.5%</w:t>
            </w:r>
          </w:p>
          <w:p w14:paraId="09C017B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(9.1% - 12.0%)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295B2B4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2,850</w:t>
            </w:r>
          </w:p>
          <w:p w14:paraId="29978A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(1,920 - 4,030)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35A440F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25.5</w:t>
            </w:r>
          </w:p>
          <w:p w14:paraId="795D377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(17.4 - 35.6)</w:t>
            </w:r>
          </w:p>
        </w:tc>
      </w:tr>
      <w:tr w:rsidR="00B43DD5" w14:paraId="7274BD6C"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53DEACAD"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Guyana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093459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6,680</w:t>
            </w:r>
          </w:p>
          <w:p w14:paraId="4CE2469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(5,340 - 8,290)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FB9FAC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1129.3</w:t>
            </w:r>
          </w:p>
          <w:p w14:paraId="3CD740F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(916.4 - 1378.8)</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8E35FC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20.7%</w:t>
            </w:r>
          </w:p>
          <w:p w14:paraId="35DE23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(15.7% - 27.0%)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5FCD17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1,390</w:t>
            </w:r>
          </w:p>
          <w:p w14:paraId="6EFC4DD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(955 - 1,950)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43373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235.8</w:t>
            </w:r>
          </w:p>
          <w:p w14:paraId="0DAA8B4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(164.1 - 328.5)</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AF040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41.5%</w:t>
            </w:r>
          </w:p>
          <w:p w14:paraId="6F397D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(38.6% - 44.4%)</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A16FC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579</w:t>
            </w:r>
          </w:p>
          <w:p w14:paraId="4B48F37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(373 - 855)</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8B1DAF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102.7</w:t>
            </w:r>
          </w:p>
          <w:p w14:paraId="6A2A771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(67.6 - 148.4)</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A28B2F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10.6%</w:t>
            </w:r>
          </w:p>
          <w:p w14:paraId="0667356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(9.1% - 12.0%)</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07891C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147</w:t>
            </w:r>
          </w:p>
          <w:p w14:paraId="6C7C4AB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(93 - 218)</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74B31C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26.2</w:t>
            </w:r>
          </w:p>
          <w:p w14:paraId="1AC0D33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(16.9 - 38.0)</w:t>
            </w:r>
          </w:p>
        </w:tc>
      </w:tr>
      <w:tr w:rsidR="00B43DD5" w14:paraId="3874C006"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0393D884"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Haiti</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59E5F23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99,700</w:t>
            </w:r>
          </w:p>
          <w:p w14:paraId="658A96B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(82,000 - 121,000)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10C445F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1267.1</w:t>
            </w:r>
          </w:p>
          <w:p w14:paraId="54BDE98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(1044.0 - 1563.0)</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14B3D7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33.6%</w:t>
            </w:r>
          </w:p>
          <w:p w14:paraId="5262EB5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(27.0% - 40.8%)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37EB2B8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33,500</w:t>
            </w:r>
          </w:p>
          <w:p w14:paraId="53F148A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(25,800 - 42,800)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6A7D4FD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372.1</w:t>
            </w:r>
          </w:p>
          <w:p w14:paraId="646CB9C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(277.2 - 489.7)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3A1FFCD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30.3%</w:t>
            </w:r>
          </w:p>
          <w:p w14:paraId="7834372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(27.1% - 33.4%)</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0635761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10,200</w:t>
            </w:r>
          </w:p>
          <w:p w14:paraId="4C011C5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(7,220 - 14,000)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61A9EFD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121.3</w:t>
            </w:r>
          </w:p>
          <w:p w14:paraId="4F6376C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(84.0 - 170.6)</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35CFADE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7.4%</w:t>
            </w:r>
          </w:p>
          <w:p w14:paraId="7B4FE81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(6.3% - 8.5%)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43886EE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2,470</w:t>
            </w:r>
          </w:p>
          <w:p w14:paraId="6413BA7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(1,700 - 3,460)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63E5F8B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30.0</w:t>
            </w:r>
          </w:p>
          <w:p w14:paraId="0883843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(20.0 - 42.4)</w:t>
            </w:r>
          </w:p>
        </w:tc>
      </w:tr>
      <w:tr w:rsidR="00B43DD5" w14:paraId="5B01DA98"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1F771EE"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Honduras</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DAA9C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52,600</w:t>
            </w:r>
          </w:p>
          <w:p w14:paraId="2BB0FE8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(46,200 - 62,400)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0207D5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900.1</w:t>
            </w:r>
          </w:p>
          <w:p w14:paraId="3974803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(825.9 - 1035.5)</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566A3A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23.3%</w:t>
            </w:r>
          </w:p>
          <w:p w14:paraId="0DA02A7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(17.2% - 30.5%)</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488C11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12,200</w:t>
            </w:r>
          </w:p>
          <w:p w14:paraId="1D643DE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(8,800 - 16,700)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A6FF9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201.5</w:t>
            </w:r>
          </w:p>
          <w:p w14:paraId="06A7FA5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(146.3 - 270.0)</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53B44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42.7%</w:t>
            </w:r>
          </w:p>
          <w:p w14:paraId="7DBB0B3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(38.7% - 45.8%)</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BAB007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5,240</w:t>
            </w:r>
          </w:p>
          <w:p w14:paraId="3A3CF4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(3,530 - 7,380)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F8818B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90.4</w:t>
            </w:r>
          </w:p>
          <w:p w14:paraId="3328FF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(61.4 - 126.2)</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6EADEE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10.7%</w:t>
            </w:r>
          </w:p>
          <w:p w14:paraId="3B750B1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(9.2% - 12.3%)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436874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1,320</w:t>
            </w:r>
          </w:p>
          <w:p w14:paraId="0AEFC10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(886 - 1,880)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ACCD90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22.8</w:t>
            </w:r>
          </w:p>
          <w:p w14:paraId="0FAF815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(15.5 - 32.4)</w:t>
            </w:r>
          </w:p>
        </w:tc>
      </w:tr>
      <w:tr w:rsidR="00B43DD5" w14:paraId="4ED3C25C"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712BD9F3"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lastRenderedPageBreak/>
              <w:t>Jamaica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3A552C3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19,700</w:t>
            </w:r>
          </w:p>
          <w:p w14:paraId="708E64B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(16,300 - 23,600)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21BBA54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636.8</w:t>
            </w:r>
          </w:p>
          <w:p w14:paraId="36C0E0D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(522.9 - 772.6)</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207DC96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17.9%</w:t>
            </w:r>
          </w:p>
          <w:p w14:paraId="14A5657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(12.8% - 24.5%)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283169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3,530</w:t>
            </w:r>
          </w:p>
          <w:p w14:paraId="0AB3ED4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(2,390 - 5,000)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33A3A66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118.1</w:t>
            </w:r>
          </w:p>
          <w:p w14:paraId="2833617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(79.5 - 168.8)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62EAD8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40.3%</w:t>
            </w:r>
          </w:p>
          <w:p w14:paraId="57C30C3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(37.2% - 43.3%)</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70B7CE4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1,430</w:t>
            </w:r>
          </w:p>
          <w:p w14:paraId="56724EA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(907 - 2,110)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7A3FCE5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47.5</w:t>
            </w:r>
          </w:p>
          <w:p w14:paraId="7CDC5EA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(29.9 - 70.4)</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2D285EE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10.6%</w:t>
            </w:r>
          </w:p>
          <w:p w14:paraId="00CE625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(9.2% - 12.1%)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08A099C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376</w:t>
            </w:r>
          </w:p>
          <w:p w14:paraId="1439054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(232 - 566)</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6A8CFFF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12.5</w:t>
            </w:r>
          </w:p>
          <w:p w14:paraId="3E43EC7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(7.7 - 18.7)</w:t>
            </w:r>
          </w:p>
        </w:tc>
      </w:tr>
      <w:tr w:rsidR="00B43DD5" w14:paraId="0138A1FD"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2CD42C8C"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Mexico</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2BDCAA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738,000</w:t>
            </w:r>
          </w:p>
          <w:p w14:paraId="26135F2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(655,000 - 828,000)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370F4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660.3</w:t>
            </w:r>
          </w:p>
          <w:p w14:paraId="6B51C6A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(587.5 - 737.2)</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B3F90F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20.1%</w:t>
            </w:r>
          </w:p>
          <w:p w14:paraId="10A8737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(14.5% - 27.3%)</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961CCF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149,000</w:t>
            </w:r>
          </w:p>
          <w:p w14:paraId="2800A61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(105,000 - 206,000)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BF0F7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133.3</w:t>
            </w:r>
          </w:p>
          <w:p w14:paraId="265E804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(94.5 - 183.8)</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6D299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47.0%</w:t>
            </w:r>
          </w:p>
          <w:p w14:paraId="00E09BD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(45.0% - 49.0%)</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C7136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70,100</w:t>
            </w:r>
          </w:p>
          <w:p w14:paraId="473FDB7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(47,400 - 100,000)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7D2438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63.0</w:t>
            </w:r>
          </w:p>
          <w:p w14:paraId="5874BAA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(42.9 - 89.6)</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12A60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12.3%</w:t>
            </w:r>
          </w:p>
          <w:p w14:paraId="21CF9BA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(10.7% - 13.9%)</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92CB4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18,300</w:t>
            </w:r>
          </w:p>
          <w:p w14:paraId="7E8C4CE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(12,400 - 26,100)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770623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16.4</w:t>
            </w:r>
          </w:p>
          <w:p w14:paraId="5D7589E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(11.3 - 23.4)</w:t>
            </w:r>
          </w:p>
        </w:tc>
      </w:tr>
      <w:tr w:rsidR="00B43DD5" w14:paraId="01FB647F"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74AB216D"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Nicaragua</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642E4D7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29,200</w:t>
            </w:r>
          </w:p>
          <w:p w14:paraId="5F5F48D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(24,900 - 33,600)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657B36A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725.0</w:t>
            </w:r>
          </w:p>
          <w:p w14:paraId="42ED765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(627.0 - 818.7)</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2AE2E71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20.6%</w:t>
            </w:r>
          </w:p>
          <w:p w14:paraId="5DC8294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(15.0% - 27.5%)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62E3A2E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6,020</w:t>
            </w:r>
          </w:p>
          <w:p w14:paraId="51ECDD7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(4,290 - 8,320)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06F919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138.0</w:t>
            </w:r>
          </w:p>
          <w:p w14:paraId="1D6201E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(97.9 - 190.6)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3EF29B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40.6%</w:t>
            </w:r>
          </w:p>
          <w:p w14:paraId="191F6F6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(37.5% - 43.7%)</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66017EC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2,460</w:t>
            </w:r>
          </w:p>
          <w:p w14:paraId="626AB47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(1,640 - 3,530)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329A67A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59.1</w:t>
            </w:r>
          </w:p>
          <w:p w14:paraId="6887B93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(39.4 - 85.1)</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39D8CE9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10.4%</w:t>
            </w:r>
          </w:p>
          <w:p w14:paraId="4D795FE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(8.9% - 12.1%)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445FEDF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630</w:t>
            </w:r>
          </w:p>
          <w:p w14:paraId="2F39E60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(408 - 917)</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5B3AF36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15.2</w:t>
            </w:r>
          </w:p>
          <w:p w14:paraId="7F97EA1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(9.9 - 22.0)</w:t>
            </w:r>
          </w:p>
        </w:tc>
      </w:tr>
      <w:tr w:rsidR="00B43DD5" w14:paraId="03AC0E22"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244B1935"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Panama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12BB2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19,800</w:t>
            </w:r>
          </w:p>
          <w:p w14:paraId="19A2C12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(15,900 - 24,600)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D8C3E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469.0</w:t>
            </w:r>
          </w:p>
          <w:p w14:paraId="7DE0E48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(375.0 - 583.8)</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7AC57A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20.9%</w:t>
            </w:r>
          </w:p>
          <w:p w14:paraId="69AA78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(16.1% - 27.3%)</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E57A9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4,150</w:t>
            </w:r>
          </w:p>
          <w:p w14:paraId="3D9CCD9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(2,910 - 5,780)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38818C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99.2</w:t>
            </w:r>
          </w:p>
          <w:p w14:paraId="572BA55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(69.5 - 138.4)</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0720D8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36.8%</w:t>
            </w:r>
          </w:p>
          <w:p w14:paraId="727D227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(33.9% - 39.6%)</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59F50A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1,530</w:t>
            </w:r>
          </w:p>
          <w:p w14:paraId="0BE6A7A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(1,000 - 2,270)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AB9C0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36.6</w:t>
            </w:r>
          </w:p>
          <w:p w14:paraId="332749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(23.9 - 54.4)</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5442D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9.2%</w:t>
            </w:r>
          </w:p>
          <w:p w14:paraId="239A10A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(7.9% - 10.7%)</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87DD4B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382</w:t>
            </w:r>
          </w:p>
          <w:p w14:paraId="3E559E6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(245 - 572)</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5ABE62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9.1</w:t>
            </w:r>
          </w:p>
          <w:p w14:paraId="5EA8901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(5.8 - 13.7)</w:t>
            </w:r>
          </w:p>
        </w:tc>
      </w:tr>
      <w:tr w:rsidR="00B43DD5" w14:paraId="1455B4CE"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7AA6F109"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Paraguay</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7179D96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34,200</w:t>
            </w:r>
          </w:p>
          <w:p w14:paraId="6A97583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(27,100 - 42,700)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4B1FBD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615.7</w:t>
            </w:r>
          </w:p>
          <w:p w14:paraId="1BC30A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(490.0 - 767.4)</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24747E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20.5%</w:t>
            </w:r>
          </w:p>
          <w:p w14:paraId="2420DCE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(15.5% - 26.7%)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1BC6597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7,000</w:t>
            </w:r>
          </w:p>
          <w:p w14:paraId="2362E6C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(4,770 - 9,910)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243C0A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125.9</w:t>
            </w:r>
          </w:p>
          <w:p w14:paraId="2E764DC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(86.1 - 178.4)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0B91E0A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43.5%</w:t>
            </w:r>
          </w:p>
          <w:p w14:paraId="7664EE1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(40.8% - 46.1%)</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190FC14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3,050</w:t>
            </w:r>
          </w:p>
          <w:p w14:paraId="0C7591B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(2,010 - 4,490)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1562D3D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56.1</w:t>
            </w:r>
          </w:p>
          <w:p w14:paraId="0B64F2B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(37.0 - 81.9)</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3ABF03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11.2%</w:t>
            </w:r>
          </w:p>
          <w:p w14:paraId="4D00F23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(9.8% - 12.8%)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3857EFC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786</w:t>
            </w:r>
          </w:p>
          <w:p w14:paraId="20979FE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(508 - 1,170)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73DE5A9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14.4</w:t>
            </w:r>
          </w:p>
          <w:p w14:paraId="34469F3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(9.4 - 21.3)</w:t>
            </w:r>
          </w:p>
        </w:tc>
      </w:tr>
      <w:tr w:rsidR="00B43DD5" w14:paraId="07529132"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3705F770"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Peru</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AF24AC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152,000</w:t>
            </w:r>
          </w:p>
          <w:p w14:paraId="3C2C36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(119,000 - 194,000)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7223E3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465.5</w:t>
            </w:r>
          </w:p>
          <w:p w14:paraId="47B9348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(361.5 - 594.9)</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721A8A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29.1%</w:t>
            </w:r>
          </w:p>
          <w:p w14:paraId="5150586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(24.0% - 35.5%)</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25B33D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44,300</w:t>
            </w:r>
          </w:p>
          <w:p w14:paraId="4FDFA3B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(32,100 - 60,400)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19814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135.6</w:t>
            </w:r>
          </w:p>
          <w:p w14:paraId="526578B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(98.0 - 184.9)</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9D5E0A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47.0%</w:t>
            </w:r>
          </w:p>
          <w:p w14:paraId="3D19038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(44.7% - 49.1%)</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3A9DC4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20,900</w:t>
            </w:r>
          </w:p>
          <w:p w14:paraId="2673DE5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(14,600 - 29,200)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6258DF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64.0</w:t>
            </w:r>
          </w:p>
          <w:p w14:paraId="29C3245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(44.7 - 89.6)</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E5572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11.8%</w:t>
            </w:r>
          </w:p>
          <w:p w14:paraId="6F22C6F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(10.1% - 13.6%)</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438DCE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5,220</w:t>
            </w:r>
          </w:p>
          <w:p w14:paraId="347F9A0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(3,580 - 7,420)</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E43FD8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16.0</w:t>
            </w:r>
          </w:p>
          <w:p w14:paraId="3161930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(11.0 - 22.8)</w:t>
            </w:r>
          </w:p>
        </w:tc>
      </w:tr>
      <w:tr w:rsidR="00B43DD5" w14:paraId="071B79AB"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0598E53D"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Saint Kitts and Nevis</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559EFF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500</w:t>
            </w:r>
          </w:p>
          <w:p w14:paraId="4FCAD60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(454 - 567)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338146A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891.1</w:t>
            </w:r>
          </w:p>
          <w:p w14:paraId="0180171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(822.5 - 1003.4)</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2A01829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23.1%</w:t>
            </w:r>
          </w:p>
          <w:p w14:paraId="16FC13D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(15.8% - 32.5%)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5F92899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115</w:t>
            </w:r>
          </w:p>
          <w:p w14:paraId="13B563E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(78 - 167)</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30C732D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202.0</w:t>
            </w:r>
          </w:p>
          <w:p w14:paraId="64F667B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(141.7 - 283.3)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BF5390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34.1%</w:t>
            </w:r>
          </w:p>
          <w:p w14:paraId="699AD80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(23.4% - 42.2%)</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745E6DB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39</w:t>
            </w:r>
          </w:p>
          <w:p w14:paraId="65A4ECC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(27 - 54)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031BCD7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70.0</w:t>
            </w:r>
          </w:p>
          <w:p w14:paraId="5CA6BCF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(48.4 - 97.6)</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03ABAB3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8.8%</w:t>
            </w:r>
          </w:p>
          <w:p w14:paraId="6BD548C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(5.8% - 11.4%)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70550F2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w:t>
            </w:r>
          </w:p>
          <w:p w14:paraId="0A32E22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(7 - 14)</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5D1B82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18.0</w:t>
            </w:r>
          </w:p>
          <w:p w14:paraId="0376FE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(12.1 - 25.8)</w:t>
            </w:r>
          </w:p>
        </w:tc>
      </w:tr>
      <w:tr w:rsidR="00B43DD5" w14:paraId="0C177603"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44173664"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Saint Lucia</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98E66A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1,410</w:t>
            </w:r>
          </w:p>
          <w:p w14:paraId="7705FE9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(1,230 - 1,610)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040D5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709.9</w:t>
            </w:r>
          </w:p>
          <w:p w14:paraId="027FB40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(617.6 - 816.5)</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829E44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18.8%</w:t>
            </w:r>
          </w:p>
          <w:p w14:paraId="7A26738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(13.9% - 25.2%)</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02B9BD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265</w:t>
            </w:r>
          </w:p>
          <w:p w14:paraId="1406B38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(188 - 363)</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21A71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137.8</w:t>
            </w:r>
          </w:p>
          <w:p w14:paraId="0613286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(97.6 - 189.6)</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8016FC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41.8%</w:t>
            </w:r>
          </w:p>
          <w:p w14:paraId="5A29EAE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(38.9% - 44.6%)</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5256FF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111</w:t>
            </w:r>
          </w:p>
          <w:p w14:paraId="58444A1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(74 - 159)</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DB308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57.0</w:t>
            </w:r>
          </w:p>
          <w:p w14:paraId="49E121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(37.8 - 81.8)</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DB8EB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10.9%</w:t>
            </w:r>
          </w:p>
          <w:p w14:paraId="6DFFE8D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(9.5% - 12.4%)</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D9537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w:t>
            </w:r>
          </w:p>
          <w:p w14:paraId="30908B8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(19 - 42)</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4462FA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14.8</w:t>
            </w:r>
          </w:p>
          <w:p w14:paraId="039F29E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(9.6 - 21.6)</w:t>
            </w:r>
          </w:p>
        </w:tc>
      </w:tr>
      <w:tr w:rsidR="00B43DD5" w14:paraId="45C7F57D"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7B170490"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Saint Vincent and the Grenadines</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3D17005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1,030</w:t>
            </w:r>
          </w:p>
          <w:p w14:paraId="36752FD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(921 - 1,150)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48BA5A2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840.4</w:t>
            </w:r>
          </w:p>
          <w:p w14:paraId="302233D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(754.7 - 940.4)</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2B2C4BA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19.5%</w:t>
            </w:r>
          </w:p>
          <w:p w14:paraId="5D5EF92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(14.4% - 25.7%)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1F88D21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200</w:t>
            </w:r>
          </w:p>
          <w:p w14:paraId="5EF17BE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(145 - 268)</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712C015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169.0</w:t>
            </w:r>
          </w:p>
          <w:p w14:paraId="403B98E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(123.1 - 225.6)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4965C85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39.6%</w:t>
            </w:r>
          </w:p>
          <w:p w14:paraId="60C34C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(36.6% - 42.6%)</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3F63725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80</w:t>
            </w:r>
          </w:p>
          <w:p w14:paraId="6525FCE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(54 - 112)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7D63CB1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66.4</w:t>
            </w:r>
          </w:p>
          <w:p w14:paraId="7873DCE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(44.8 - 93.5)</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0FEF050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10.2%</w:t>
            </w:r>
          </w:p>
          <w:p w14:paraId="5F9FC4E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(8.9% - 11.6%)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0F521EC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w:t>
            </w:r>
          </w:p>
          <w:p w14:paraId="5C735CA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(14 - 30)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50B5905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17.0</w:t>
            </w:r>
          </w:p>
          <w:p w14:paraId="60700DA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(11.3 - 24.7)</w:t>
            </w:r>
          </w:p>
        </w:tc>
      </w:tr>
      <w:tr w:rsidR="00B43DD5" w14:paraId="7DD22464"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23219CFF"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Suriname</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B909B4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4,370</w:t>
            </w:r>
          </w:p>
          <w:p w14:paraId="55A1FF4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(3,750 - 5,090)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2CB5D1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777.9</w:t>
            </w:r>
          </w:p>
          <w:p w14:paraId="0EBF702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(668.0 - 905.8)</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13E93D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22.4%</w:t>
            </w:r>
          </w:p>
          <w:p w14:paraId="38BA426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(17.1% - 29.0%)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C920BB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980</w:t>
            </w:r>
          </w:p>
          <w:p w14:paraId="69D90C7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(707 - 1,320)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6C094B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180.2</w:t>
            </w:r>
          </w:p>
          <w:p w14:paraId="6515F5A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(130.7 - 242.5)</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67D612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39.6%</w:t>
            </w:r>
          </w:p>
          <w:p w14:paraId="6305076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(36.7% - 42.3%)</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2FB073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390</w:t>
            </w:r>
          </w:p>
          <w:p w14:paraId="035187C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(263 - 545)</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9D398B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71.6</w:t>
            </w:r>
          </w:p>
          <w:p w14:paraId="75977F9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(48.5 - 99.6)</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007FC5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10.0%</w:t>
            </w:r>
          </w:p>
          <w:p w14:paraId="5D692A2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(8.7% - 11.3%)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68377C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98</w:t>
            </w:r>
          </w:p>
          <w:p w14:paraId="1C97FEE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(65 - 141)</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E1B322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18.1</w:t>
            </w:r>
          </w:p>
          <w:p w14:paraId="445EA44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(12.0 - 25.6)</w:t>
            </w:r>
          </w:p>
        </w:tc>
      </w:tr>
      <w:tr w:rsidR="00B43DD5" w14:paraId="205EE360"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01CB0B4A"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The Bahamas</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657CCC3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2,730</w:t>
            </w:r>
          </w:p>
          <w:p w14:paraId="7FB2DB2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(2,320 - 3,260)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B8F60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755.2</w:t>
            </w:r>
          </w:p>
          <w:p w14:paraId="16876A8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(645.4 - 896.7)</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640F6B0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19.5%</w:t>
            </w:r>
          </w:p>
          <w:p w14:paraId="3E88DFA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(14.8% - 25.3%)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23F8DEC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533</w:t>
            </w:r>
          </w:p>
          <w:p w14:paraId="1D87AC0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(392 - 723)</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78E018D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149.3</w:t>
            </w:r>
          </w:p>
          <w:p w14:paraId="4825805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(110.0 - 201.9)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61BA59A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40.4%</w:t>
            </w:r>
          </w:p>
          <w:p w14:paraId="450E751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(37.7% - 43.4%)</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56B0001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217</w:t>
            </w:r>
          </w:p>
          <w:p w14:paraId="3900B71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(149 - 309)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6B7DD34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62.6</w:t>
            </w:r>
          </w:p>
          <w:p w14:paraId="551F8C1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(43.7 - 88.3)</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364ED9E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9.6%</w:t>
            </w:r>
          </w:p>
          <w:p w14:paraId="0A0B251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(8.5% - 11.0%)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689A2A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w:t>
            </w:r>
          </w:p>
          <w:p w14:paraId="7D68358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(34 - 75)</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21DAC4C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14.9</w:t>
            </w:r>
          </w:p>
          <w:p w14:paraId="60BBD1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(10.0 - 21.4)</w:t>
            </w:r>
          </w:p>
        </w:tc>
      </w:tr>
      <w:tr w:rsidR="00B43DD5" w14:paraId="02E275D1"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73458EFF"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Trinidad and Tobago</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8BC48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11,800</w:t>
            </w:r>
          </w:p>
          <w:p w14:paraId="62FF142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(9,170 - 15,000) </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EB432D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690.5</w:t>
            </w:r>
          </w:p>
          <w:p w14:paraId="120E6D4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(538.5 - 876.8)</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E83A95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16.6%</w:t>
            </w:r>
          </w:p>
          <w:p w14:paraId="2C04594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(11.7% - 22.8%)</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DE2D1F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1,950</w:t>
            </w:r>
          </w:p>
          <w:p w14:paraId="419EA9C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(1,270 - 2,860)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EE433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118.5</w:t>
            </w:r>
          </w:p>
          <w:p w14:paraId="13969B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(77.2 - 173.8)</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13E38C7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46.5%</w:t>
            </w:r>
          </w:p>
          <w:p w14:paraId="1B919E2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(43.7% - 49.1%)</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C6C487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911</w:t>
            </w:r>
          </w:p>
          <w:p w14:paraId="21247CA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(558 - 1,400)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FCE1B4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54.4</w:t>
            </w:r>
          </w:p>
          <w:p w14:paraId="70FA71F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(33.3 - 83.6)</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2F35A3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11.9%</w:t>
            </w:r>
          </w:p>
          <w:p w14:paraId="5CD8B41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(10.3% - 13.4%)</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0081B47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232</w:t>
            </w:r>
          </w:p>
          <w:p w14:paraId="0AF5187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(138 - 363)</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7B861E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13.8</w:t>
            </w:r>
          </w:p>
          <w:p w14:paraId="7790A3A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(8.3 - 21.6)</w:t>
            </w:r>
          </w:p>
        </w:tc>
      </w:tr>
      <w:tr w:rsidR="00B43DD5" w14:paraId="4EE370AD" w14:textId="77777777" w:rsidTr="00B43DD5">
        <w:trPr>
          <w:trHeight w:val="301"/>
        </w:trPr>
        <w:tc>
          <w:tcPr>
            <w:tcW w:w="430" w:type="pct"/>
            <w:tcBorders>
              <w:top w:val="nil"/>
              <w:left w:val="single" w:sz="8" w:space="0" w:color="auto"/>
              <w:bottom w:val="nil"/>
              <w:right w:val="single" w:sz="8" w:space="0" w:color="auto"/>
            </w:tcBorders>
            <w:tcMar>
              <w:top w:w="15" w:type="dxa"/>
              <w:left w:w="15" w:type="dxa"/>
              <w:right w:w="15" w:type="dxa"/>
            </w:tcMar>
            <w:vAlign w:val="bottom"/>
          </w:tcPr>
          <w:p w14:paraId="44CE7F0F"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United States</w:t>
            </w:r>
          </w:p>
        </w:tc>
        <w:tc>
          <w:tcPr>
            <w:tcW w:w="589" w:type="pct"/>
            <w:tcBorders>
              <w:top w:val="nil"/>
              <w:left w:val="single" w:sz="8" w:space="0" w:color="auto"/>
              <w:bottom w:val="nil"/>
              <w:right w:val="single" w:sz="8" w:space="0" w:color="auto"/>
            </w:tcBorders>
            <w:tcMar>
              <w:top w:w="15" w:type="dxa"/>
              <w:left w:w="15" w:type="dxa"/>
              <w:right w:w="15" w:type="dxa"/>
            </w:tcMar>
            <w:vAlign w:val="center"/>
          </w:tcPr>
          <w:p w14:paraId="40ED3BC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2,950,000</w:t>
            </w:r>
          </w:p>
          <w:p w14:paraId="681AAC7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(2,920,000 - 2,970,000)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6257180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528.2</w:t>
            </w:r>
          </w:p>
          <w:p w14:paraId="4242040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(524.0 - 532.6)</w:t>
            </w:r>
          </w:p>
        </w:tc>
        <w:tc>
          <w:tcPr>
            <w:tcW w:w="416" w:type="pct"/>
            <w:tcBorders>
              <w:top w:val="nil"/>
              <w:left w:val="single" w:sz="8" w:space="0" w:color="auto"/>
              <w:bottom w:val="nil"/>
              <w:right w:val="single" w:sz="8" w:space="0" w:color="auto"/>
            </w:tcBorders>
            <w:tcMar>
              <w:top w:w="15" w:type="dxa"/>
              <w:left w:w="15" w:type="dxa"/>
              <w:right w:w="15" w:type="dxa"/>
            </w:tcMar>
            <w:vAlign w:val="center"/>
          </w:tcPr>
          <w:p w14:paraId="79A297C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13.9%</w:t>
            </w:r>
          </w:p>
          <w:p w14:paraId="6DA58F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(10.0% - 18.9%) </w:t>
            </w:r>
          </w:p>
        </w:tc>
        <w:tc>
          <w:tcPr>
            <w:tcW w:w="445" w:type="pct"/>
            <w:tcBorders>
              <w:top w:val="nil"/>
              <w:left w:val="single" w:sz="8" w:space="0" w:color="auto"/>
              <w:bottom w:val="nil"/>
              <w:right w:val="single" w:sz="8" w:space="0" w:color="auto"/>
            </w:tcBorders>
            <w:tcMar>
              <w:top w:w="15" w:type="dxa"/>
              <w:left w:w="15" w:type="dxa"/>
              <w:right w:w="15" w:type="dxa"/>
            </w:tcMar>
            <w:vAlign w:val="center"/>
          </w:tcPr>
          <w:p w14:paraId="037D06D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408,000</w:t>
            </w:r>
          </w:p>
          <w:p w14:paraId="6E7B6A3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(294,000 - 559,000)</w:t>
            </w:r>
          </w:p>
        </w:tc>
        <w:tc>
          <w:tcPr>
            <w:tcW w:w="371" w:type="pct"/>
            <w:tcBorders>
              <w:top w:val="nil"/>
              <w:left w:val="single" w:sz="8" w:space="0" w:color="auto"/>
              <w:bottom w:val="nil"/>
              <w:right w:val="single" w:sz="8" w:space="0" w:color="auto"/>
            </w:tcBorders>
            <w:tcMar>
              <w:top w:w="15" w:type="dxa"/>
              <w:left w:w="15" w:type="dxa"/>
              <w:right w:w="15" w:type="dxa"/>
            </w:tcMar>
            <w:vAlign w:val="center"/>
          </w:tcPr>
          <w:p w14:paraId="0FA7E96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72.9</w:t>
            </w:r>
          </w:p>
          <w:p w14:paraId="37B2BBD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(51.8 - 100.9)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5EDDC8C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42.2%</w:t>
            </w:r>
          </w:p>
          <w:p w14:paraId="7D6C5CA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(40.3% - 44.1%)</w:t>
            </w:r>
          </w:p>
        </w:tc>
        <w:tc>
          <w:tcPr>
            <w:tcW w:w="473" w:type="pct"/>
            <w:tcBorders>
              <w:top w:val="nil"/>
              <w:left w:val="single" w:sz="8" w:space="0" w:color="auto"/>
              <w:bottom w:val="nil"/>
              <w:right w:val="single" w:sz="8" w:space="0" w:color="auto"/>
            </w:tcBorders>
            <w:tcMar>
              <w:top w:w="15" w:type="dxa"/>
              <w:left w:w="15" w:type="dxa"/>
              <w:right w:w="15" w:type="dxa"/>
            </w:tcMar>
            <w:vAlign w:val="center"/>
          </w:tcPr>
          <w:p w14:paraId="412C1F4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173,000</w:t>
            </w:r>
          </w:p>
          <w:p w14:paraId="54B8DD1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(120,000 - 243,000) </w:t>
            </w:r>
          </w:p>
        </w:tc>
        <w:tc>
          <w:tcPr>
            <w:tcW w:w="324" w:type="pct"/>
            <w:tcBorders>
              <w:top w:val="nil"/>
              <w:left w:val="single" w:sz="8" w:space="0" w:color="auto"/>
              <w:bottom w:val="nil"/>
              <w:right w:val="single" w:sz="8" w:space="0" w:color="auto"/>
            </w:tcBorders>
            <w:tcMar>
              <w:top w:w="15" w:type="dxa"/>
              <w:left w:w="15" w:type="dxa"/>
              <w:right w:w="15" w:type="dxa"/>
            </w:tcMar>
            <w:vAlign w:val="center"/>
          </w:tcPr>
          <w:p w14:paraId="5307276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30.7</w:t>
            </w:r>
          </w:p>
          <w:p w14:paraId="547E948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(21.0 - 43.4)</w:t>
            </w:r>
          </w:p>
        </w:tc>
        <w:tc>
          <w:tcPr>
            <w:tcW w:w="401" w:type="pct"/>
            <w:tcBorders>
              <w:top w:val="nil"/>
              <w:left w:val="single" w:sz="8" w:space="0" w:color="auto"/>
              <w:bottom w:val="nil"/>
              <w:right w:val="single" w:sz="8" w:space="0" w:color="auto"/>
            </w:tcBorders>
            <w:tcMar>
              <w:top w:w="15" w:type="dxa"/>
              <w:left w:w="15" w:type="dxa"/>
              <w:right w:w="15" w:type="dxa"/>
            </w:tcMar>
            <w:vAlign w:val="center"/>
          </w:tcPr>
          <w:p w14:paraId="17149BD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10.2%</w:t>
            </w:r>
          </w:p>
          <w:p w14:paraId="0CAA712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(8.8% - 11.8%) </w:t>
            </w:r>
          </w:p>
        </w:tc>
        <w:tc>
          <w:tcPr>
            <w:tcW w:w="391" w:type="pct"/>
            <w:tcBorders>
              <w:top w:val="nil"/>
              <w:left w:val="single" w:sz="8" w:space="0" w:color="auto"/>
              <w:bottom w:val="nil"/>
              <w:right w:val="single" w:sz="8" w:space="0" w:color="auto"/>
            </w:tcBorders>
            <w:tcMar>
              <w:top w:w="15" w:type="dxa"/>
              <w:left w:w="15" w:type="dxa"/>
              <w:right w:w="15" w:type="dxa"/>
            </w:tcMar>
            <w:vAlign w:val="center"/>
          </w:tcPr>
          <w:p w14:paraId="01C4936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41,900</w:t>
            </w:r>
          </w:p>
          <w:p w14:paraId="6D58B2C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(28,300 - 59,600)</w:t>
            </w:r>
          </w:p>
        </w:tc>
        <w:tc>
          <w:tcPr>
            <w:tcW w:w="321" w:type="pct"/>
            <w:tcBorders>
              <w:top w:val="nil"/>
              <w:left w:val="single" w:sz="8" w:space="0" w:color="auto"/>
              <w:bottom w:val="nil"/>
              <w:right w:val="single" w:sz="8" w:space="0" w:color="auto"/>
            </w:tcBorders>
            <w:tcMar>
              <w:top w:w="15" w:type="dxa"/>
              <w:left w:w="15" w:type="dxa"/>
              <w:right w:w="15" w:type="dxa"/>
            </w:tcMar>
            <w:vAlign w:val="center"/>
          </w:tcPr>
          <w:p w14:paraId="7ECEA77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7.4</w:t>
            </w:r>
          </w:p>
          <w:p w14:paraId="58FBCC8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(5.0 - 10.7)</w:t>
            </w:r>
          </w:p>
        </w:tc>
      </w:tr>
      <w:tr w:rsidR="00B43DD5" w14:paraId="7380BD55" w14:textId="77777777" w:rsidTr="00B43DD5">
        <w:trPr>
          <w:trHeight w:val="301"/>
        </w:trPr>
        <w:tc>
          <w:tcPr>
            <w:tcW w:w="430" w:type="pct"/>
            <w:tcBorders>
              <w:top w:val="nil"/>
              <w:left w:val="single" w:sz="8" w:space="0" w:color="auto"/>
              <w:bottom w:val="nil"/>
              <w:right w:val="single" w:sz="8" w:space="0" w:color="auto"/>
            </w:tcBorders>
            <w:shd w:val="clear" w:color="auto" w:fill="F2DCDB"/>
            <w:tcMar>
              <w:top w:w="15" w:type="dxa"/>
              <w:left w:w="15" w:type="dxa"/>
              <w:right w:w="15" w:type="dxa"/>
            </w:tcMar>
            <w:vAlign w:val="bottom"/>
          </w:tcPr>
          <w:p w14:paraId="066677D0"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Uruguay</w:t>
            </w:r>
          </w:p>
        </w:tc>
        <w:tc>
          <w:tcPr>
            <w:tcW w:w="589"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40F2DA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33,800</w:t>
            </w:r>
          </w:p>
          <w:p w14:paraId="7557E16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(33,000 - 34,800)</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76FC01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597.5</w:t>
            </w:r>
          </w:p>
          <w:p w14:paraId="2528A2FF"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(579.3 - 618.0)</w:t>
            </w:r>
          </w:p>
        </w:tc>
        <w:tc>
          <w:tcPr>
            <w:tcW w:w="416"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301E16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18.8%</w:t>
            </w:r>
          </w:p>
          <w:p w14:paraId="1A314BA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(14.5% - 24.4%)</w:t>
            </w:r>
          </w:p>
        </w:tc>
        <w:tc>
          <w:tcPr>
            <w:tcW w:w="445"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2FABE4"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6,360</w:t>
            </w:r>
          </w:p>
          <w:p w14:paraId="6FE237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(4,880 - 8,250)</w:t>
            </w:r>
          </w:p>
        </w:tc>
        <w:tc>
          <w:tcPr>
            <w:tcW w:w="37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47606B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109.8</w:t>
            </w:r>
          </w:p>
          <w:p w14:paraId="4EECE03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(83.1 - 143.8)</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7062853B"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43.8%</w:t>
            </w:r>
          </w:p>
          <w:p w14:paraId="0E9E0DD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(41.5% - 46.1%)</w:t>
            </w:r>
          </w:p>
        </w:tc>
        <w:tc>
          <w:tcPr>
            <w:tcW w:w="473"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6084B54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2,790</w:t>
            </w:r>
          </w:p>
          <w:p w14:paraId="5E2A96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(2,050 - 3,750)</w:t>
            </w:r>
          </w:p>
        </w:tc>
        <w:tc>
          <w:tcPr>
            <w:tcW w:w="324"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22EAA01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47.4</w:t>
            </w:r>
          </w:p>
          <w:p w14:paraId="1E0C32E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(34.4 - 63.9)</w:t>
            </w:r>
          </w:p>
        </w:tc>
        <w:tc>
          <w:tcPr>
            <w:tcW w:w="40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55088EC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10.9%</w:t>
            </w:r>
          </w:p>
          <w:p w14:paraId="4459FBC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(9.5% - 12.3%)</w:t>
            </w:r>
          </w:p>
        </w:tc>
        <w:tc>
          <w:tcPr>
            <w:tcW w:w="39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4B1CBD7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692</w:t>
            </w:r>
          </w:p>
          <w:p w14:paraId="289D2C3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(496 - 952)</w:t>
            </w:r>
          </w:p>
        </w:tc>
        <w:tc>
          <w:tcPr>
            <w:tcW w:w="321" w:type="pct"/>
            <w:tcBorders>
              <w:top w:val="nil"/>
              <w:left w:val="single" w:sz="8" w:space="0" w:color="auto"/>
              <w:bottom w:val="nil"/>
              <w:right w:val="single" w:sz="8" w:space="0" w:color="auto"/>
            </w:tcBorders>
            <w:shd w:val="clear" w:color="auto" w:fill="F2DCDB"/>
            <w:tcMar>
              <w:top w:w="15" w:type="dxa"/>
              <w:left w:w="15" w:type="dxa"/>
              <w:right w:w="15" w:type="dxa"/>
            </w:tcMar>
            <w:vAlign w:val="center"/>
          </w:tcPr>
          <w:p w14:paraId="30B6E7D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11.8</w:t>
            </w:r>
          </w:p>
          <w:p w14:paraId="73EA02F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(8.4 - 16.3)</w:t>
            </w:r>
          </w:p>
        </w:tc>
      </w:tr>
      <w:tr w:rsidR="00B43DD5" w14:paraId="25D23877" w14:textId="77777777" w:rsidTr="00B43DD5">
        <w:trPr>
          <w:trHeight w:val="316"/>
        </w:trPr>
        <w:tc>
          <w:tcPr>
            <w:tcW w:w="430" w:type="pct"/>
            <w:tcBorders>
              <w:top w:val="nil"/>
              <w:left w:val="single" w:sz="8" w:space="0" w:color="auto"/>
              <w:bottom w:val="single" w:sz="8" w:space="0" w:color="auto"/>
              <w:right w:val="single" w:sz="8" w:space="0" w:color="auto"/>
            </w:tcBorders>
            <w:tcMar>
              <w:top w:w="15" w:type="dxa"/>
              <w:left w:w="15" w:type="dxa"/>
              <w:right w:w="15" w:type="dxa"/>
            </w:tcMar>
            <w:vAlign w:val="bottom"/>
          </w:tcPr>
          <w:p w14:paraId="2CEC4C9B" w14:textId="77777777" w:rsidR="00B43DD5" w:rsidRDefault="00B43DD5" w:rsidP="00D862F0">
            <w:pPr>
              <w:rPr>
                <w:rFonts w:eastAsia="Times New Roman" w:cs="Times New Roman"/>
                <w:color w:val="000000" w:themeColor="text1"/>
                <w:sz w:val="14"/>
                <w:szCs w:val="14"/>
              </w:rPr>
            </w:pPr>
            <w:r w:rsidRPr="4BFB1015">
              <w:rPr>
                <w:rFonts w:eastAsia="Times New Roman" w:cs="Times New Roman"/>
                <w:color w:val="000000" w:themeColor="text1"/>
                <w:sz w:val="14"/>
                <w:szCs w:val="14"/>
              </w:rPr>
              <w:t>Venezuela</w:t>
            </w:r>
          </w:p>
        </w:tc>
        <w:tc>
          <w:tcPr>
            <w:tcW w:w="589"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0043B15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187,000</w:t>
            </w:r>
          </w:p>
          <w:p w14:paraId="3FF7716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(147,000 - 237,000) </w:t>
            </w:r>
          </w:p>
        </w:tc>
        <w:tc>
          <w:tcPr>
            <w:tcW w:w="445"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12C686F7"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672.9</w:t>
            </w:r>
          </w:p>
          <w:p w14:paraId="65346DF9"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(529.9 - 850.8)</w:t>
            </w:r>
          </w:p>
        </w:tc>
        <w:tc>
          <w:tcPr>
            <w:tcW w:w="416"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276BC4C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16.5%</w:t>
            </w:r>
          </w:p>
          <w:p w14:paraId="6C6989B1"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(12.0% - 22.3%) </w:t>
            </w:r>
          </w:p>
        </w:tc>
        <w:tc>
          <w:tcPr>
            <w:tcW w:w="445"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27D4455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30,900</w:t>
            </w:r>
          </w:p>
          <w:p w14:paraId="1575B03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(20,400 - 45,200)</w:t>
            </w:r>
          </w:p>
        </w:tc>
        <w:tc>
          <w:tcPr>
            <w:tcW w:w="371"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5EF606F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112.9</w:t>
            </w:r>
          </w:p>
          <w:p w14:paraId="1F773663"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(74.6 - 164.5) </w:t>
            </w:r>
          </w:p>
        </w:tc>
        <w:tc>
          <w:tcPr>
            <w:tcW w:w="391"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3B6E2DF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38.6%</w:t>
            </w:r>
          </w:p>
          <w:p w14:paraId="0CE6007A"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(35.8% - 41.3%)</w:t>
            </w:r>
          </w:p>
        </w:tc>
        <w:tc>
          <w:tcPr>
            <w:tcW w:w="473"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6EACEE1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12,000</w:t>
            </w:r>
          </w:p>
          <w:p w14:paraId="7B368A7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(7,460 - 18,300) </w:t>
            </w:r>
          </w:p>
        </w:tc>
        <w:tc>
          <w:tcPr>
            <w:tcW w:w="324"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766A2A20"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43.8</w:t>
            </w:r>
          </w:p>
          <w:p w14:paraId="61DF116C"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(27.5 - 66.4)</w:t>
            </w:r>
          </w:p>
        </w:tc>
        <w:tc>
          <w:tcPr>
            <w:tcW w:w="401"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45AC498E"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 9.8%</w:t>
            </w:r>
          </w:p>
          <w:p w14:paraId="7D8EA6F2"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 xml:space="preserve">(8.5% - 11.2%) </w:t>
            </w:r>
          </w:p>
        </w:tc>
        <w:tc>
          <w:tcPr>
            <w:tcW w:w="391"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64A7945D"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3,050</w:t>
            </w:r>
          </w:p>
          <w:p w14:paraId="0BF396C5"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(1,870 - 4,700)</w:t>
            </w:r>
          </w:p>
        </w:tc>
        <w:tc>
          <w:tcPr>
            <w:tcW w:w="321" w:type="pct"/>
            <w:tcBorders>
              <w:top w:val="nil"/>
              <w:left w:val="single" w:sz="8" w:space="0" w:color="auto"/>
              <w:bottom w:val="single" w:sz="8" w:space="0" w:color="auto"/>
              <w:right w:val="single" w:sz="8" w:space="0" w:color="auto"/>
            </w:tcBorders>
            <w:tcMar>
              <w:top w:w="15" w:type="dxa"/>
              <w:left w:w="15" w:type="dxa"/>
              <w:right w:w="15" w:type="dxa"/>
            </w:tcMar>
            <w:vAlign w:val="center"/>
          </w:tcPr>
          <w:p w14:paraId="1AEBB506"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11.1</w:t>
            </w:r>
          </w:p>
          <w:p w14:paraId="5F8C5628" w14:textId="77777777" w:rsidR="00B43DD5" w:rsidRDefault="00B43DD5" w:rsidP="00D862F0">
            <w:pPr>
              <w:jc w:val="right"/>
              <w:rPr>
                <w:rFonts w:eastAsia="Times New Roman" w:cs="Times New Roman"/>
                <w:color w:val="000000" w:themeColor="text1"/>
                <w:sz w:val="14"/>
                <w:szCs w:val="14"/>
              </w:rPr>
            </w:pPr>
            <w:r w:rsidRPr="4BFB1015">
              <w:rPr>
                <w:rFonts w:eastAsia="Times New Roman" w:cs="Times New Roman"/>
                <w:color w:val="000000" w:themeColor="text1"/>
                <w:sz w:val="14"/>
                <w:szCs w:val="14"/>
              </w:rPr>
              <w:t>(6.9 - 17.1)</w:t>
            </w:r>
          </w:p>
        </w:tc>
      </w:tr>
    </w:tbl>
    <w:p w14:paraId="0CCCF158" w14:textId="77777777" w:rsidR="00B43DD5" w:rsidRDefault="00B43DD5" w:rsidP="00B43DD5">
      <w:pPr>
        <w:ind w:left="-630"/>
      </w:pPr>
    </w:p>
    <w:p w14:paraId="6898BC72" w14:textId="716EBCFE" w:rsidR="005C6575" w:rsidRDefault="00CF128B">
      <w:pPr>
        <w:sectPr w:rsidR="005C6575" w:rsidSect="005C6575">
          <w:pgSz w:w="15840" w:h="12240" w:orient="landscape" w:code="1"/>
          <w:pgMar w:top="1440" w:right="1440" w:bottom="1440" w:left="1440" w:header="720" w:footer="720" w:gutter="0"/>
          <w:lnNumType w:countBy="1" w:restart="continuous"/>
          <w:cols w:space="720"/>
          <w:docGrid w:linePitch="360"/>
        </w:sectPr>
      </w:pPr>
      <w:r>
        <w:br w:type="page"/>
      </w:r>
    </w:p>
    <w:p w14:paraId="35383B26" w14:textId="0D8177FE" w:rsidR="008D6DD1" w:rsidRDefault="008D6DD1" w:rsidP="008D6DD1">
      <w:pPr>
        <w:spacing w:line="240" w:lineRule="auto"/>
      </w:pPr>
      <w:r w:rsidRPr="00E34934">
        <w:rPr>
          <w:b/>
          <w:bCs/>
        </w:rPr>
        <w:lastRenderedPageBreak/>
        <w:t>Supplementary Table</w:t>
      </w:r>
      <w:r w:rsidR="001660BD" w:rsidRPr="001660BD">
        <w:rPr>
          <w:b/>
          <w:bCs/>
        </w:rPr>
        <w:t xml:space="preserve"> 8. </w:t>
      </w:r>
      <w:r w:rsidR="001660BD" w:rsidRPr="001660BD">
        <w:t>Summary of deaths and DALYs by infectious syndrome for countries in the WHO Region of the Americas, 2019</w:t>
      </w:r>
      <w:r w:rsidR="001660BD">
        <w:t>.</w:t>
      </w:r>
    </w:p>
    <w:tbl>
      <w:tblPr>
        <w:tblW w:w="5000" w:type="pct"/>
        <w:tblLook w:val="04A0" w:firstRow="1" w:lastRow="0" w:firstColumn="1" w:lastColumn="0" w:noHBand="0" w:noVBand="1"/>
      </w:tblPr>
      <w:tblGrid>
        <w:gridCol w:w="2679"/>
        <w:gridCol w:w="2831"/>
        <w:gridCol w:w="2563"/>
        <w:gridCol w:w="3165"/>
        <w:gridCol w:w="3162"/>
      </w:tblGrid>
      <w:tr w:rsidR="00E01907" w:rsidRPr="00E01907" w14:paraId="412B66A6" w14:textId="77777777" w:rsidTr="00E01907">
        <w:trPr>
          <w:trHeight w:val="290"/>
        </w:trPr>
        <w:tc>
          <w:tcPr>
            <w:tcW w:w="5000" w:type="pct"/>
            <w:gridSpan w:val="5"/>
            <w:tcBorders>
              <w:top w:val="nil"/>
              <w:left w:val="nil"/>
              <w:bottom w:val="nil"/>
              <w:right w:val="nil"/>
            </w:tcBorders>
            <w:shd w:val="clear" w:color="000000" w:fill="000000"/>
            <w:noWrap/>
            <w:vAlign w:val="center"/>
            <w:hideMark/>
          </w:tcPr>
          <w:p w14:paraId="50254741" w14:textId="0B46699E" w:rsidR="00E01907" w:rsidRPr="00E01907" w:rsidRDefault="00E01907" w:rsidP="00E01907">
            <w:pPr>
              <w:spacing w:after="0" w:line="240" w:lineRule="auto"/>
              <w:rPr>
                <w:rFonts w:eastAsia="Times New Roman" w:cs="Times New Roman"/>
                <w:b/>
                <w:bCs/>
                <w:color w:val="FFFFFF"/>
                <w:sz w:val="18"/>
                <w:szCs w:val="18"/>
              </w:rPr>
            </w:pPr>
          </w:p>
        </w:tc>
      </w:tr>
      <w:tr w:rsidR="00E01907" w:rsidRPr="00E01907" w14:paraId="250B7811" w14:textId="77777777" w:rsidTr="00E01907">
        <w:trPr>
          <w:trHeight w:val="510"/>
        </w:trPr>
        <w:tc>
          <w:tcPr>
            <w:tcW w:w="930" w:type="pct"/>
            <w:vMerge w:val="restart"/>
            <w:tcBorders>
              <w:top w:val="single" w:sz="8" w:space="0" w:color="auto"/>
              <w:left w:val="single" w:sz="8" w:space="0" w:color="auto"/>
              <w:bottom w:val="single" w:sz="8" w:space="0" w:color="000000"/>
              <w:right w:val="single" w:sz="8" w:space="0" w:color="auto"/>
            </w:tcBorders>
            <w:shd w:val="clear" w:color="000000" w:fill="F2DCDB"/>
            <w:vAlign w:val="center"/>
            <w:hideMark/>
          </w:tcPr>
          <w:p w14:paraId="390DC692"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Infectious syndrome</w:t>
            </w:r>
          </w:p>
        </w:tc>
        <w:tc>
          <w:tcPr>
            <w:tcW w:w="1872" w:type="pct"/>
            <w:gridSpan w:val="2"/>
            <w:tcBorders>
              <w:top w:val="single" w:sz="8" w:space="0" w:color="auto"/>
              <w:left w:val="nil"/>
              <w:bottom w:val="single" w:sz="8" w:space="0" w:color="auto"/>
              <w:right w:val="nil"/>
            </w:tcBorders>
            <w:shd w:val="clear" w:color="000000" w:fill="F2DCDB"/>
            <w:vAlign w:val="center"/>
            <w:hideMark/>
          </w:tcPr>
          <w:p w14:paraId="6087A7D4"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Deaths [counts (95%UI)]</w:t>
            </w:r>
          </w:p>
        </w:tc>
        <w:tc>
          <w:tcPr>
            <w:tcW w:w="2198" w:type="pct"/>
            <w:gridSpan w:val="2"/>
            <w:tcBorders>
              <w:top w:val="single" w:sz="8" w:space="0" w:color="auto"/>
              <w:left w:val="single" w:sz="8" w:space="0" w:color="auto"/>
              <w:bottom w:val="single" w:sz="8" w:space="0" w:color="auto"/>
              <w:right w:val="nil"/>
            </w:tcBorders>
            <w:shd w:val="clear" w:color="000000" w:fill="F2DCDB"/>
            <w:vAlign w:val="center"/>
            <w:hideMark/>
          </w:tcPr>
          <w:p w14:paraId="4F3E5338"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Disability Adjusted Life Years (DALYs) [counts (95%UI)]</w:t>
            </w:r>
          </w:p>
        </w:tc>
      </w:tr>
      <w:tr w:rsidR="00E01907" w:rsidRPr="00E01907" w14:paraId="39FE40C2" w14:textId="77777777" w:rsidTr="00E01907">
        <w:trPr>
          <w:trHeight w:val="290"/>
        </w:trPr>
        <w:tc>
          <w:tcPr>
            <w:tcW w:w="930" w:type="pct"/>
            <w:vMerge/>
            <w:tcBorders>
              <w:top w:val="single" w:sz="8" w:space="0" w:color="auto"/>
              <w:left w:val="single" w:sz="8" w:space="0" w:color="auto"/>
              <w:bottom w:val="single" w:sz="8" w:space="0" w:color="000000"/>
              <w:right w:val="single" w:sz="8" w:space="0" w:color="auto"/>
            </w:tcBorders>
            <w:vAlign w:val="center"/>
            <w:hideMark/>
          </w:tcPr>
          <w:p w14:paraId="4409ED28" w14:textId="77777777" w:rsidR="00E01907" w:rsidRPr="00E01907" w:rsidRDefault="00E01907" w:rsidP="00E01907">
            <w:pPr>
              <w:spacing w:after="0" w:line="240" w:lineRule="auto"/>
              <w:rPr>
                <w:rFonts w:eastAsia="Times New Roman" w:cs="Times New Roman"/>
                <w:b/>
                <w:bCs/>
                <w:color w:val="000000"/>
                <w:sz w:val="18"/>
                <w:szCs w:val="18"/>
              </w:rPr>
            </w:pPr>
          </w:p>
        </w:tc>
        <w:tc>
          <w:tcPr>
            <w:tcW w:w="983" w:type="pct"/>
            <w:tcBorders>
              <w:top w:val="nil"/>
              <w:left w:val="nil"/>
              <w:bottom w:val="single" w:sz="8" w:space="0" w:color="auto"/>
              <w:right w:val="single" w:sz="8" w:space="0" w:color="auto"/>
            </w:tcBorders>
            <w:shd w:val="clear" w:color="000000" w:fill="F2DCDB"/>
            <w:vAlign w:val="center"/>
            <w:hideMark/>
          </w:tcPr>
          <w:p w14:paraId="4BDBEE39"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Deaths which involved infection</w:t>
            </w:r>
          </w:p>
        </w:tc>
        <w:tc>
          <w:tcPr>
            <w:tcW w:w="890" w:type="pct"/>
            <w:tcBorders>
              <w:top w:val="nil"/>
              <w:left w:val="nil"/>
              <w:bottom w:val="single" w:sz="8" w:space="0" w:color="auto"/>
              <w:right w:val="single" w:sz="8" w:space="0" w:color="auto"/>
            </w:tcBorders>
            <w:shd w:val="clear" w:color="000000" w:fill="F2DCDB"/>
            <w:vAlign w:val="center"/>
            <w:hideMark/>
          </w:tcPr>
          <w:p w14:paraId="4F4EE09D"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Caused by bacteria</w:t>
            </w:r>
          </w:p>
        </w:tc>
        <w:tc>
          <w:tcPr>
            <w:tcW w:w="1099" w:type="pct"/>
            <w:tcBorders>
              <w:top w:val="nil"/>
              <w:left w:val="nil"/>
              <w:bottom w:val="single" w:sz="8" w:space="0" w:color="auto"/>
              <w:right w:val="single" w:sz="8" w:space="0" w:color="auto"/>
            </w:tcBorders>
            <w:shd w:val="clear" w:color="000000" w:fill="F2DCDB"/>
            <w:vAlign w:val="center"/>
            <w:hideMark/>
          </w:tcPr>
          <w:p w14:paraId="200BD40F"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DALYs which involved infection</w:t>
            </w:r>
          </w:p>
        </w:tc>
        <w:tc>
          <w:tcPr>
            <w:tcW w:w="1099" w:type="pct"/>
            <w:tcBorders>
              <w:top w:val="nil"/>
              <w:left w:val="nil"/>
              <w:bottom w:val="single" w:sz="8" w:space="0" w:color="auto"/>
              <w:right w:val="single" w:sz="8" w:space="0" w:color="auto"/>
            </w:tcBorders>
            <w:shd w:val="clear" w:color="000000" w:fill="F2DCDB"/>
            <w:vAlign w:val="center"/>
            <w:hideMark/>
          </w:tcPr>
          <w:p w14:paraId="00D301F2" w14:textId="77777777" w:rsidR="00E01907" w:rsidRPr="00E01907" w:rsidRDefault="00E01907" w:rsidP="00E01907">
            <w:pPr>
              <w:spacing w:after="0" w:line="240" w:lineRule="auto"/>
              <w:jc w:val="center"/>
              <w:rPr>
                <w:rFonts w:eastAsia="Times New Roman" w:cs="Times New Roman"/>
                <w:b/>
                <w:bCs/>
                <w:color w:val="000000"/>
                <w:sz w:val="18"/>
                <w:szCs w:val="18"/>
              </w:rPr>
            </w:pPr>
            <w:r w:rsidRPr="00E01907">
              <w:rPr>
                <w:rFonts w:eastAsia="Times New Roman" w:cs="Times New Roman"/>
                <w:b/>
                <w:bCs/>
                <w:color w:val="000000"/>
                <w:sz w:val="18"/>
                <w:szCs w:val="18"/>
              </w:rPr>
              <w:t>Caused by bacteria</w:t>
            </w:r>
          </w:p>
        </w:tc>
      </w:tr>
      <w:tr w:rsidR="00E01907" w:rsidRPr="00E01907" w14:paraId="01129501"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6A0733E2"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All</w:t>
            </w:r>
          </w:p>
        </w:tc>
        <w:tc>
          <w:tcPr>
            <w:tcW w:w="983" w:type="pct"/>
            <w:tcBorders>
              <w:top w:val="nil"/>
              <w:left w:val="nil"/>
              <w:bottom w:val="nil"/>
              <w:right w:val="single" w:sz="8" w:space="0" w:color="auto"/>
            </w:tcBorders>
            <w:shd w:val="clear" w:color="auto" w:fill="auto"/>
            <w:noWrap/>
            <w:vAlign w:val="bottom"/>
            <w:hideMark/>
          </w:tcPr>
          <w:p w14:paraId="315E4F8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1,327,000 (993,000 - 1,751,000) </w:t>
            </w:r>
          </w:p>
        </w:tc>
        <w:tc>
          <w:tcPr>
            <w:tcW w:w="890" w:type="pct"/>
            <w:tcBorders>
              <w:top w:val="nil"/>
              <w:left w:val="nil"/>
              <w:bottom w:val="nil"/>
              <w:right w:val="single" w:sz="8" w:space="0" w:color="auto"/>
            </w:tcBorders>
            <w:shd w:val="clear" w:color="auto" w:fill="auto"/>
            <w:noWrap/>
            <w:vAlign w:val="bottom"/>
            <w:hideMark/>
          </w:tcPr>
          <w:p w14:paraId="0A1CB8A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920,000 (664,000 - 1,242,000)</w:t>
            </w:r>
          </w:p>
        </w:tc>
        <w:tc>
          <w:tcPr>
            <w:tcW w:w="1099" w:type="pct"/>
            <w:tcBorders>
              <w:top w:val="nil"/>
              <w:left w:val="nil"/>
              <w:bottom w:val="nil"/>
              <w:right w:val="single" w:sz="8" w:space="0" w:color="auto"/>
            </w:tcBorders>
            <w:shd w:val="clear" w:color="auto" w:fill="auto"/>
            <w:noWrap/>
            <w:vAlign w:val="bottom"/>
            <w:hideMark/>
          </w:tcPr>
          <w:p w14:paraId="0AE44EF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38,595,000 (28,843,000 - 50,344,000) </w:t>
            </w:r>
          </w:p>
        </w:tc>
        <w:tc>
          <w:tcPr>
            <w:tcW w:w="1099" w:type="pct"/>
            <w:tcBorders>
              <w:top w:val="nil"/>
              <w:left w:val="nil"/>
              <w:bottom w:val="nil"/>
              <w:right w:val="single" w:sz="8" w:space="0" w:color="auto"/>
            </w:tcBorders>
            <w:shd w:val="clear" w:color="auto" w:fill="auto"/>
            <w:noWrap/>
            <w:vAlign w:val="bottom"/>
            <w:hideMark/>
          </w:tcPr>
          <w:p w14:paraId="73B4FB1E"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23,347,000 (16,810,000 - 31,528,000) </w:t>
            </w:r>
          </w:p>
        </w:tc>
      </w:tr>
      <w:tr w:rsidR="00E01907" w:rsidRPr="00E01907" w14:paraId="0811A412"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40EAF871"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LRI and thorax infections</w:t>
            </w:r>
          </w:p>
        </w:tc>
        <w:tc>
          <w:tcPr>
            <w:tcW w:w="983" w:type="pct"/>
            <w:tcBorders>
              <w:top w:val="nil"/>
              <w:left w:val="nil"/>
              <w:bottom w:val="nil"/>
              <w:right w:val="single" w:sz="8" w:space="0" w:color="auto"/>
            </w:tcBorders>
            <w:shd w:val="clear" w:color="000000" w:fill="F2DCDB"/>
            <w:noWrap/>
            <w:vAlign w:val="bottom"/>
            <w:hideMark/>
          </w:tcPr>
          <w:p w14:paraId="1149DFEC"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472,000 (386,000 - 584,000) </w:t>
            </w:r>
          </w:p>
        </w:tc>
        <w:tc>
          <w:tcPr>
            <w:tcW w:w="890" w:type="pct"/>
            <w:tcBorders>
              <w:top w:val="nil"/>
              <w:left w:val="nil"/>
              <w:bottom w:val="nil"/>
              <w:right w:val="single" w:sz="8" w:space="0" w:color="auto"/>
            </w:tcBorders>
            <w:shd w:val="clear" w:color="000000" w:fill="F2DCDB"/>
            <w:noWrap/>
            <w:vAlign w:val="bottom"/>
            <w:hideMark/>
          </w:tcPr>
          <w:p w14:paraId="5A2009A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293,000 (233,000 - 375,000)</w:t>
            </w:r>
          </w:p>
        </w:tc>
        <w:tc>
          <w:tcPr>
            <w:tcW w:w="1099" w:type="pct"/>
            <w:tcBorders>
              <w:top w:val="nil"/>
              <w:left w:val="nil"/>
              <w:bottom w:val="nil"/>
              <w:right w:val="single" w:sz="8" w:space="0" w:color="auto"/>
            </w:tcBorders>
            <w:shd w:val="clear" w:color="000000" w:fill="F2DCDB"/>
            <w:noWrap/>
            <w:vAlign w:val="bottom"/>
            <w:hideMark/>
          </w:tcPr>
          <w:p w14:paraId="1A1EDF8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11,160,000 (8,877,000 - 14,012,000) </w:t>
            </w:r>
          </w:p>
        </w:tc>
        <w:tc>
          <w:tcPr>
            <w:tcW w:w="1099" w:type="pct"/>
            <w:tcBorders>
              <w:top w:val="nil"/>
              <w:left w:val="nil"/>
              <w:bottom w:val="nil"/>
              <w:right w:val="single" w:sz="8" w:space="0" w:color="auto"/>
            </w:tcBorders>
            <w:shd w:val="clear" w:color="000000" w:fill="F2DCDB"/>
            <w:noWrap/>
            <w:vAlign w:val="bottom"/>
            <w:hideMark/>
          </w:tcPr>
          <w:p w14:paraId="2D71F6B1"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7,125,000 (5,538,000 - 9,103,000) </w:t>
            </w:r>
          </w:p>
        </w:tc>
      </w:tr>
      <w:tr w:rsidR="00E01907" w:rsidRPr="00E01907" w14:paraId="088AA404"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27CFE9C2"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BSI</w:t>
            </w:r>
          </w:p>
        </w:tc>
        <w:tc>
          <w:tcPr>
            <w:tcW w:w="983" w:type="pct"/>
            <w:tcBorders>
              <w:top w:val="nil"/>
              <w:left w:val="nil"/>
              <w:bottom w:val="nil"/>
              <w:right w:val="single" w:sz="8" w:space="0" w:color="auto"/>
            </w:tcBorders>
            <w:shd w:val="clear" w:color="auto" w:fill="auto"/>
            <w:noWrap/>
            <w:vAlign w:val="bottom"/>
            <w:hideMark/>
          </w:tcPr>
          <w:p w14:paraId="6E47793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336,000 (190,000 - 551,000) </w:t>
            </w:r>
          </w:p>
        </w:tc>
        <w:tc>
          <w:tcPr>
            <w:tcW w:w="890" w:type="pct"/>
            <w:tcBorders>
              <w:top w:val="nil"/>
              <w:left w:val="nil"/>
              <w:bottom w:val="nil"/>
              <w:right w:val="single" w:sz="8" w:space="0" w:color="auto"/>
            </w:tcBorders>
            <w:shd w:val="clear" w:color="auto" w:fill="auto"/>
            <w:noWrap/>
            <w:vAlign w:val="bottom"/>
            <w:hideMark/>
          </w:tcPr>
          <w:p w14:paraId="47010BBE"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266,000 (149,000 - 439,000)</w:t>
            </w:r>
          </w:p>
        </w:tc>
        <w:tc>
          <w:tcPr>
            <w:tcW w:w="1099" w:type="pct"/>
            <w:tcBorders>
              <w:top w:val="nil"/>
              <w:left w:val="nil"/>
              <w:bottom w:val="nil"/>
              <w:right w:val="single" w:sz="8" w:space="0" w:color="auto"/>
            </w:tcBorders>
            <w:shd w:val="clear" w:color="auto" w:fill="auto"/>
            <w:noWrap/>
            <w:vAlign w:val="bottom"/>
            <w:hideMark/>
          </w:tcPr>
          <w:p w14:paraId="0E2C41AE"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10,051,000 (6,140,000 - 15,335,000) </w:t>
            </w:r>
          </w:p>
        </w:tc>
        <w:tc>
          <w:tcPr>
            <w:tcW w:w="1099" w:type="pct"/>
            <w:tcBorders>
              <w:top w:val="nil"/>
              <w:left w:val="nil"/>
              <w:bottom w:val="nil"/>
              <w:right w:val="single" w:sz="8" w:space="0" w:color="auto"/>
            </w:tcBorders>
            <w:shd w:val="clear" w:color="auto" w:fill="auto"/>
            <w:noWrap/>
            <w:vAlign w:val="bottom"/>
            <w:hideMark/>
          </w:tcPr>
          <w:p w14:paraId="52E078E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7,541,000 (4,500,000 - 11,611,000) </w:t>
            </w:r>
          </w:p>
        </w:tc>
      </w:tr>
      <w:tr w:rsidR="00E01907" w:rsidRPr="00E01907" w14:paraId="676FD414"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49C2D11E"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Intra-abdominal infections</w:t>
            </w:r>
          </w:p>
        </w:tc>
        <w:tc>
          <w:tcPr>
            <w:tcW w:w="983" w:type="pct"/>
            <w:tcBorders>
              <w:top w:val="nil"/>
              <w:left w:val="nil"/>
              <w:bottom w:val="nil"/>
              <w:right w:val="single" w:sz="8" w:space="0" w:color="auto"/>
            </w:tcBorders>
            <w:shd w:val="clear" w:color="000000" w:fill="F2DCDB"/>
            <w:noWrap/>
            <w:vAlign w:val="bottom"/>
            <w:hideMark/>
          </w:tcPr>
          <w:p w14:paraId="51DD576B"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208,000 (138,000 - 296,000)</w:t>
            </w:r>
          </w:p>
        </w:tc>
        <w:tc>
          <w:tcPr>
            <w:tcW w:w="890" w:type="pct"/>
            <w:tcBorders>
              <w:top w:val="nil"/>
              <w:left w:val="nil"/>
              <w:bottom w:val="nil"/>
              <w:right w:val="single" w:sz="8" w:space="0" w:color="auto"/>
            </w:tcBorders>
            <w:shd w:val="clear" w:color="000000" w:fill="F2DCDB"/>
            <w:noWrap/>
            <w:vAlign w:val="bottom"/>
            <w:hideMark/>
          </w:tcPr>
          <w:p w14:paraId="336F96D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181,000 (120,000 - 259,000)</w:t>
            </w:r>
          </w:p>
        </w:tc>
        <w:tc>
          <w:tcPr>
            <w:tcW w:w="1099" w:type="pct"/>
            <w:tcBorders>
              <w:top w:val="nil"/>
              <w:left w:val="nil"/>
              <w:bottom w:val="nil"/>
              <w:right w:val="single" w:sz="8" w:space="0" w:color="auto"/>
            </w:tcBorders>
            <w:shd w:val="clear" w:color="000000" w:fill="F2DCDB"/>
            <w:noWrap/>
            <w:vAlign w:val="bottom"/>
            <w:hideMark/>
          </w:tcPr>
          <w:p w14:paraId="5AF9757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4,998,000 (3,219,000 - 7,268,000)</w:t>
            </w:r>
          </w:p>
        </w:tc>
        <w:tc>
          <w:tcPr>
            <w:tcW w:w="1099" w:type="pct"/>
            <w:tcBorders>
              <w:top w:val="nil"/>
              <w:left w:val="nil"/>
              <w:bottom w:val="nil"/>
              <w:right w:val="single" w:sz="8" w:space="0" w:color="auto"/>
            </w:tcBorders>
            <w:shd w:val="clear" w:color="000000" w:fill="F2DCDB"/>
            <w:noWrap/>
            <w:vAlign w:val="bottom"/>
            <w:hideMark/>
          </w:tcPr>
          <w:p w14:paraId="2F1C302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4,333,000 (2,778,000 - 6,326,000)</w:t>
            </w:r>
          </w:p>
        </w:tc>
      </w:tr>
      <w:tr w:rsidR="00E01907" w:rsidRPr="00E01907" w14:paraId="202559CF"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4827FEE6"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UTI</w:t>
            </w:r>
          </w:p>
        </w:tc>
        <w:tc>
          <w:tcPr>
            <w:tcW w:w="983" w:type="pct"/>
            <w:tcBorders>
              <w:top w:val="nil"/>
              <w:left w:val="nil"/>
              <w:bottom w:val="nil"/>
              <w:right w:val="single" w:sz="8" w:space="0" w:color="auto"/>
            </w:tcBorders>
            <w:shd w:val="clear" w:color="auto" w:fill="auto"/>
            <w:noWrap/>
            <w:vAlign w:val="bottom"/>
            <w:hideMark/>
          </w:tcPr>
          <w:p w14:paraId="416A8C28"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85,000 (67,000 - 110,000) </w:t>
            </w:r>
          </w:p>
        </w:tc>
        <w:tc>
          <w:tcPr>
            <w:tcW w:w="890" w:type="pct"/>
            <w:tcBorders>
              <w:top w:val="nil"/>
              <w:left w:val="nil"/>
              <w:bottom w:val="nil"/>
              <w:right w:val="single" w:sz="8" w:space="0" w:color="auto"/>
            </w:tcBorders>
            <w:shd w:val="clear" w:color="auto" w:fill="auto"/>
            <w:noWrap/>
            <w:vAlign w:val="bottom"/>
            <w:hideMark/>
          </w:tcPr>
          <w:p w14:paraId="2F8FA2C3"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80,000 (63,000 - 103,000)</w:t>
            </w:r>
          </w:p>
        </w:tc>
        <w:tc>
          <w:tcPr>
            <w:tcW w:w="1099" w:type="pct"/>
            <w:tcBorders>
              <w:top w:val="nil"/>
              <w:left w:val="nil"/>
              <w:bottom w:val="nil"/>
              <w:right w:val="single" w:sz="8" w:space="0" w:color="auto"/>
            </w:tcBorders>
            <w:shd w:val="clear" w:color="auto" w:fill="auto"/>
            <w:noWrap/>
            <w:vAlign w:val="bottom"/>
            <w:hideMark/>
          </w:tcPr>
          <w:p w14:paraId="3463F093"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1,487,000 (1,155,000 - 1,980,000) </w:t>
            </w:r>
          </w:p>
        </w:tc>
        <w:tc>
          <w:tcPr>
            <w:tcW w:w="1099" w:type="pct"/>
            <w:tcBorders>
              <w:top w:val="nil"/>
              <w:left w:val="nil"/>
              <w:bottom w:val="nil"/>
              <w:right w:val="single" w:sz="8" w:space="0" w:color="auto"/>
            </w:tcBorders>
            <w:shd w:val="clear" w:color="auto" w:fill="auto"/>
            <w:noWrap/>
            <w:vAlign w:val="bottom"/>
            <w:hideMark/>
          </w:tcPr>
          <w:p w14:paraId="79111A28"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1,404,000 (1,090,000 - 1,875,000) </w:t>
            </w:r>
          </w:p>
        </w:tc>
      </w:tr>
      <w:tr w:rsidR="00E01907" w:rsidRPr="00E01907" w14:paraId="465E1DFD"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53F3159E"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Other infections</w:t>
            </w:r>
          </w:p>
        </w:tc>
        <w:tc>
          <w:tcPr>
            <w:tcW w:w="983" w:type="pct"/>
            <w:tcBorders>
              <w:top w:val="nil"/>
              <w:left w:val="nil"/>
              <w:bottom w:val="nil"/>
              <w:right w:val="single" w:sz="8" w:space="0" w:color="auto"/>
            </w:tcBorders>
            <w:shd w:val="clear" w:color="000000" w:fill="F2DCDB"/>
            <w:noWrap/>
            <w:vAlign w:val="bottom"/>
            <w:hideMark/>
          </w:tcPr>
          <w:p w14:paraId="2F9129D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67,000 (52,000 - 85,000) </w:t>
            </w:r>
          </w:p>
        </w:tc>
        <w:tc>
          <w:tcPr>
            <w:tcW w:w="890" w:type="pct"/>
            <w:tcBorders>
              <w:top w:val="nil"/>
              <w:left w:val="nil"/>
              <w:bottom w:val="nil"/>
              <w:right w:val="single" w:sz="8" w:space="0" w:color="auto"/>
            </w:tcBorders>
            <w:shd w:val="clear" w:color="000000" w:fill="F2DCDB"/>
            <w:noWrap/>
            <w:vAlign w:val="bottom"/>
            <w:hideMark/>
          </w:tcPr>
          <w:p w14:paraId="6EFDDB1D"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w:t>
            </w:r>
          </w:p>
        </w:tc>
        <w:tc>
          <w:tcPr>
            <w:tcW w:w="1099" w:type="pct"/>
            <w:tcBorders>
              <w:top w:val="nil"/>
              <w:left w:val="nil"/>
              <w:bottom w:val="nil"/>
              <w:right w:val="single" w:sz="8" w:space="0" w:color="auto"/>
            </w:tcBorders>
            <w:shd w:val="clear" w:color="000000" w:fill="F2DCDB"/>
            <w:noWrap/>
            <w:vAlign w:val="bottom"/>
            <w:hideMark/>
          </w:tcPr>
          <w:p w14:paraId="1BCBDD7A"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5,079,000 (3,688,000 - 6,798,000) </w:t>
            </w:r>
          </w:p>
        </w:tc>
        <w:tc>
          <w:tcPr>
            <w:tcW w:w="1099" w:type="pct"/>
            <w:tcBorders>
              <w:top w:val="nil"/>
              <w:left w:val="nil"/>
              <w:bottom w:val="nil"/>
              <w:right w:val="single" w:sz="8" w:space="0" w:color="auto"/>
            </w:tcBorders>
            <w:shd w:val="clear" w:color="000000" w:fill="F2DCDB"/>
            <w:noWrap/>
            <w:vAlign w:val="bottom"/>
            <w:hideMark/>
          </w:tcPr>
          <w:p w14:paraId="76FC4132"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w:t>
            </w:r>
          </w:p>
        </w:tc>
      </w:tr>
      <w:tr w:rsidR="00E01907" w:rsidRPr="00E01907" w14:paraId="05B8F6A7"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23B15272"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Bacterial skin infections</w:t>
            </w:r>
          </w:p>
        </w:tc>
        <w:tc>
          <w:tcPr>
            <w:tcW w:w="983" w:type="pct"/>
            <w:tcBorders>
              <w:top w:val="nil"/>
              <w:left w:val="nil"/>
              <w:bottom w:val="nil"/>
              <w:right w:val="single" w:sz="8" w:space="0" w:color="auto"/>
            </w:tcBorders>
            <w:shd w:val="clear" w:color="auto" w:fill="auto"/>
            <w:noWrap/>
            <w:vAlign w:val="bottom"/>
            <w:hideMark/>
          </w:tcPr>
          <w:p w14:paraId="64B4A99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57,000 (32,000 - 104,000) </w:t>
            </w:r>
          </w:p>
        </w:tc>
        <w:tc>
          <w:tcPr>
            <w:tcW w:w="890" w:type="pct"/>
            <w:tcBorders>
              <w:top w:val="nil"/>
              <w:left w:val="nil"/>
              <w:bottom w:val="nil"/>
              <w:right w:val="single" w:sz="8" w:space="0" w:color="auto"/>
            </w:tcBorders>
            <w:shd w:val="clear" w:color="auto" w:fill="auto"/>
            <w:noWrap/>
            <w:vAlign w:val="bottom"/>
            <w:hideMark/>
          </w:tcPr>
          <w:p w14:paraId="01DAFF51"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47,000 (24,000 - 89,000)</w:t>
            </w:r>
          </w:p>
        </w:tc>
        <w:tc>
          <w:tcPr>
            <w:tcW w:w="1099" w:type="pct"/>
            <w:tcBorders>
              <w:top w:val="nil"/>
              <w:left w:val="nil"/>
              <w:bottom w:val="nil"/>
              <w:right w:val="single" w:sz="8" w:space="0" w:color="auto"/>
            </w:tcBorders>
            <w:shd w:val="clear" w:color="auto" w:fill="auto"/>
            <w:noWrap/>
            <w:vAlign w:val="bottom"/>
            <w:hideMark/>
          </w:tcPr>
          <w:p w14:paraId="49818AC3"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1,176,000 (650,000 - 2,137,000) </w:t>
            </w:r>
          </w:p>
        </w:tc>
        <w:tc>
          <w:tcPr>
            <w:tcW w:w="1099" w:type="pct"/>
            <w:tcBorders>
              <w:top w:val="nil"/>
              <w:left w:val="nil"/>
              <w:bottom w:val="nil"/>
              <w:right w:val="single" w:sz="8" w:space="0" w:color="auto"/>
            </w:tcBorders>
            <w:shd w:val="clear" w:color="auto" w:fill="auto"/>
            <w:noWrap/>
            <w:vAlign w:val="bottom"/>
            <w:hideMark/>
          </w:tcPr>
          <w:p w14:paraId="09B5277F"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970,000 (511,000 - 1,814,000) </w:t>
            </w:r>
          </w:p>
        </w:tc>
      </w:tr>
      <w:tr w:rsidR="00E01907" w:rsidRPr="00E01907" w14:paraId="452ABEA2"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23DB0B09" w14:textId="77777777" w:rsidR="00E01907" w:rsidRPr="00E01907" w:rsidRDefault="00E01907" w:rsidP="00E01907">
            <w:pPr>
              <w:spacing w:after="0" w:line="240" w:lineRule="auto"/>
              <w:rPr>
                <w:rFonts w:eastAsia="Times New Roman" w:cs="Times New Roman"/>
                <w:color w:val="000000"/>
                <w:sz w:val="18"/>
                <w:szCs w:val="18"/>
              </w:rPr>
            </w:pPr>
            <w:proofErr w:type="spellStart"/>
            <w:r w:rsidRPr="00E01907">
              <w:rPr>
                <w:rFonts w:eastAsia="Times New Roman" w:cs="Times New Roman"/>
                <w:color w:val="000000"/>
                <w:sz w:val="18"/>
                <w:szCs w:val="18"/>
              </w:rPr>
              <w:t>Diarrhoea</w:t>
            </w:r>
            <w:proofErr w:type="spellEnd"/>
          </w:p>
        </w:tc>
        <w:tc>
          <w:tcPr>
            <w:tcW w:w="983" w:type="pct"/>
            <w:tcBorders>
              <w:top w:val="nil"/>
              <w:left w:val="nil"/>
              <w:bottom w:val="nil"/>
              <w:right w:val="single" w:sz="8" w:space="0" w:color="auto"/>
            </w:tcBorders>
            <w:shd w:val="clear" w:color="000000" w:fill="F2DCDB"/>
            <w:noWrap/>
            <w:vAlign w:val="bottom"/>
            <w:hideMark/>
          </w:tcPr>
          <w:p w14:paraId="25430BBF"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45,000 (39,000 - 53,000)</w:t>
            </w:r>
          </w:p>
        </w:tc>
        <w:tc>
          <w:tcPr>
            <w:tcW w:w="890" w:type="pct"/>
            <w:tcBorders>
              <w:top w:val="nil"/>
              <w:left w:val="nil"/>
              <w:bottom w:val="nil"/>
              <w:right w:val="single" w:sz="8" w:space="0" w:color="auto"/>
            </w:tcBorders>
            <w:shd w:val="clear" w:color="000000" w:fill="F2DCDB"/>
            <w:noWrap/>
            <w:vAlign w:val="bottom"/>
            <w:hideMark/>
          </w:tcPr>
          <w:p w14:paraId="1826701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4,420 (1,940 - 8,180)</w:t>
            </w:r>
          </w:p>
        </w:tc>
        <w:tc>
          <w:tcPr>
            <w:tcW w:w="1099" w:type="pct"/>
            <w:tcBorders>
              <w:top w:val="nil"/>
              <w:left w:val="nil"/>
              <w:bottom w:val="nil"/>
              <w:right w:val="single" w:sz="8" w:space="0" w:color="auto"/>
            </w:tcBorders>
            <w:shd w:val="clear" w:color="000000" w:fill="F2DCDB"/>
            <w:noWrap/>
            <w:vAlign w:val="bottom"/>
            <w:hideMark/>
          </w:tcPr>
          <w:p w14:paraId="15A5C8D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2,750,000 (2,208,000 - 3,521,000)</w:t>
            </w:r>
          </w:p>
        </w:tc>
        <w:tc>
          <w:tcPr>
            <w:tcW w:w="1099" w:type="pct"/>
            <w:tcBorders>
              <w:top w:val="nil"/>
              <w:left w:val="nil"/>
              <w:bottom w:val="nil"/>
              <w:right w:val="single" w:sz="8" w:space="0" w:color="auto"/>
            </w:tcBorders>
            <w:shd w:val="clear" w:color="000000" w:fill="F2DCDB"/>
            <w:noWrap/>
            <w:vAlign w:val="bottom"/>
            <w:hideMark/>
          </w:tcPr>
          <w:p w14:paraId="1416AE5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390,000 (141,000 - 794,000)</w:t>
            </w:r>
          </w:p>
        </w:tc>
      </w:tr>
      <w:tr w:rsidR="00E01907" w:rsidRPr="00E01907" w14:paraId="4BB1692D"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13E018D5"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Cardiac infections</w:t>
            </w:r>
          </w:p>
        </w:tc>
        <w:tc>
          <w:tcPr>
            <w:tcW w:w="983" w:type="pct"/>
            <w:tcBorders>
              <w:top w:val="nil"/>
              <w:left w:val="nil"/>
              <w:bottom w:val="nil"/>
              <w:right w:val="single" w:sz="8" w:space="0" w:color="auto"/>
            </w:tcBorders>
            <w:shd w:val="clear" w:color="auto" w:fill="auto"/>
            <w:noWrap/>
            <w:vAlign w:val="bottom"/>
            <w:hideMark/>
          </w:tcPr>
          <w:p w14:paraId="17255DE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22,000 (15,000 - 28,000) </w:t>
            </w:r>
          </w:p>
        </w:tc>
        <w:tc>
          <w:tcPr>
            <w:tcW w:w="890" w:type="pct"/>
            <w:tcBorders>
              <w:top w:val="nil"/>
              <w:left w:val="nil"/>
              <w:bottom w:val="nil"/>
              <w:right w:val="single" w:sz="8" w:space="0" w:color="auto"/>
            </w:tcBorders>
            <w:shd w:val="clear" w:color="auto" w:fill="auto"/>
            <w:noWrap/>
            <w:vAlign w:val="bottom"/>
            <w:hideMark/>
          </w:tcPr>
          <w:p w14:paraId="0F90151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19,000 (13,000 - 25,000)</w:t>
            </w:r>
          </w:p>
        </w:tc>
        <w:tc>
          <w:tcPr>
            <w:tcW w:w="1099" w:type="pct"/>
            <w:tcBorders>
              <w:top w:val="nil"/>
              <w:left w:val="nil"/>
              <w:bottom w:val="nil"/>
              <w:right w:val="single" w:sz="8" w:space="0" w:color="auto"/>
            </w:tcBorders>
            <w:shd w:val="clear" w:color="auto" w:fill="auto"/>
            <w:noWrap/>
            <w:vAlign w:val="bottom"/>
            <w:hideMark/>
          </w:tcPr>
          <w:p w14:paraId="25854F8C"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474,000 (345,000 - 617,000) </w:t>
            </w:r>
          </w:p>
        </w:tc>
        <w:tc>
          <w:tcPr>
            <w:tcW w:w="1099" w:type="pct"/>
            <w:tcBorders>
              <w:top w:val="nil"/>
              <w:left w:val="nil"/>
              <w:bottom w:val="nil"/>
              <w:right w:val="single" w:sz="8" w:space="0" w:color="auto"/>
            </w:tcBorders>
            <w:shd w:val="clear" w:color="auto" w:fill="auto"/>
            <w:noWrap/>
            <w:vAlign w:val="bottom"/>
            <w:hideMark/>
          </w:tcPr>
          <w:p w14:paraId="064978F1"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423,000 (307,000 - 551,000) </w:t>
            </w:r>
          </w:p>
        </w:tc>
      </w:tr>
      <w:tr w:rsidR="00E01907" w:rsidRPr="00E01907" w14:paraId="5394CA71"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701CC2F4"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Tuberculosis</w:t>
            </w:r>
          </w:p>
        </w:tc>
        <w:tc>
          <w:tcPr>
            <w:tcW w:w="983" w:type="pct"/>
            <w:tcBorders>
              <w:top w:val="nil"/>
              <w:left w:val="nil"/>
              <w:bottom w:val="nil"/>
              <w:right w:val="single" w:sz="8" w:space="0" w:color="auto"/>
            </w:tcBorders>
            <w:shd w:val="clear" w:color="000000" w:fill="F2DCDB"/>
            <w:noWrap/>
            <w:vAlign w:val="bottom"/>
            <w:hideMark/>
          </w:tcPr>
          <w:p w14:paraId="1A70022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20,000 (18,000 - 23,000) </w:t>
            </w:r>
          </w:p>
        </w:tc>
        <w:tc>
          <w:tcPr>
            <w:tcW w:w="890" w:type="pct"/>
            <w:tcBorders>
              <w:top w:val="nil"/>
              <w:left w:val="nil"/>
              <w:bottom w:val="nil"/>
              <w:right w:val="single" w:sz="8" w:space="0" w:color="auto"/>
            </w:tcBorders>
            <w:shd w:val="clear" w:color="000000" w:fill="F2DCDB"/>
            <w:noWrap/>
            <w:vAlign w:val="bottom"/>
            <w:hideMark/>
          </w:tcPr>
          <w:p w14:paraId="560F6137"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20,000 (18,000 - 23,000)</w:t>
            </w:r>
          </w:p>
        </w:tc>
        <w:tc>
          <w:tcPr>
            <w:tcW w:w="1099" w:type="pct"/>
            <w:tcBorders>
              <w:top w:val="nil"/>
              <w:left w:val="nil"/>
              <w:bottom w:val="nil"/>
              <w:right w:val="single" w:sz="8" w:space="0" w:color="auto"/>
            </w:tcBorders>
            <w:shd w:val="clear" w:color="000000" w:fill="F2DCDB"/>
            <w:noWrap/>
            <w:vAlign w:val="bottom"/>
            <w:hideMark/>
          </w:tcPr>
          <w:p w14:paraId="27116D06"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777,000 (688,000 - 890,000) </w:t>
            </w:r>
          </w:p>
        </w:tc>
        <w:tc>
          <w:tcPr>
            <w:tcW w:w="1099" w:type="pct"/>
            <w:tcBorders>
              <w:top w:val="nil"/>
              <w:left w:val="nil"/>
              <w:bottom w:val="nil"/>
              <w:right w:val="single" w:sz="8" w:space="0" w:color="auto"/>
            </w:tcBorders>
            <w:shd w:val="clear" w:color="000000" w:fill="F2DCDB"/>
            <w:noWrap/>
            <w:vAlign w:val="bottom"/>
            <w:hideMark/>
          </w:tcPr>
          <w:p w14:paraId="62904430"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777,000 (688,000 - 890,000) </w:t>
            </w:r>
          </w:p>
        </w:tc>
      </w:tr>
      <w:tr w:rsidR="00E01907" w:rsidRPr="00E01907" w14:paraId="47BA3D31"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0E272533"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CNS infections</w:t>
            </w:r>
          </w:p>
        </w:tc>
        <w:tc>
          <w:tcPr>
            <w:tcW w:w="983" w:type="pct"/>
            <w:tcBorders>
              <w:top w:val="nil"/>
              <w:left w:val="nil"/>
              <w:bottom w:val="nil"/>
              <w:right w:val="single" w:sz="8" w:space="0" w:color="auto"/>
            </w:tcBorders>
            <w:shd w:val="clear" w:color="auto" w:fill="auto"/>
            <w:noWrap/>
            <w:vAlign w:val="bottom"/>
            <w:hideMark/>
          </w:tcPr>
          <w:p w14:paraId="0ECAC85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9,250 (6,450 - 14,000) </w:t>
            </w:r>
          </w:p>
        </w:tc>
        <w:tc>
          <w:tcPr>
            <w:tcW w:w="890" w:type="pct"/>
            <w:tcBorders>
              <w:top w:val="nil"/>
              <w:left w:val="nil"/>
              <w:bottom w:val="nil"/>
              <w:right w:val="single" w:sz="8" w:space="0" w:color="auto"/>
            </w:tcBorders>
            <w:shd w:val="clear" w:color="auto" w:fill="auto"/>
            <w:noWrap/>
            <w:vAlign w:val="bottom"/>
            <w:hideMark/>
          </w:tcPr>
          <w:p w14:paraId="14741E3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5,300 (3,640 - 8,290)</w:t>
            </w:r>
          </w:p>
        </w:tc>
        <w:tc>
          <w:tcPr>
            <w:tcW w:w="1099" w:type="pct"/>
            <w:tcBorders>
              <w:top w:val="nil"/>
              <w:left w:val="nil"/>
              <w:bottom w:val="nil"/>
              <w:right w:val="single" w:sz="8" w:space="0" w:color="auto"/>
            </w:tcBorders>
            <w:shd w:val="clear" w:color="auto" w:fill="auto"/>
            <w:noWrap/>
            <w:vAlign w:val="bottom"/>
            <w:hideMark/>
          </w:tcPr>
          <w:p w14:paraId="45B762A5"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499,000 (350,000 - 740,000) </w:t>
            </w:r>
          </w:p>
        </w:tc>
        <w:tc>
          <w:tcPr>
            <w:tcW w:w="1099" w:type="pct"/>
            <w:tcBorders>
              <w:top w:val="nil"/>
              <w:left w:val="nil"/>
              <w:bottom w:val="nil"/>
              <w:right w:val="single" w:sz="8" w:space="0" w:color="auto"/>
            </w:tcBorders>
            <w:shd w:val="clear" w:color="auto" w:fill="auto"/>
            <w:noWrap/>
            <w:vAlign w:val="bottom"/>
            <w:hideMark/>
          </w:tcPr>
          <w:p w14:paraId="27501ECC"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281,000 (193,000 - 419,000) </w:t>
            </w:r>
          </w:p>
        </w:tc>
      </w:tr>
      <w:tr w:rsidR="00E01907" w:rsidRPr="00E01907" w14:paraId="19658E45"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4ECA6CC6"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Bone and joint infections</w:t>
            </w:r>
          </w:p>
        </w:tc>
        <w:tc>
          <w:tcPr>
            <w:tcW w:w="983" w:type="pct"/>
            <w:tcBorders>
              <w:top w:val="nil"/>
              <w:left w:val="nil"/>
              <w:bottom w:val="nil"/>
              <w:right w:val="single" w:sz="8" w:space="0" w:color="auto"/>
            </w:tcBorders>
            <w:shd w:val="clear" w:color="000000" w:fill="F2DCDB"/>
            <w:noWrap/>
            <w:vAlign w:val="bottom"/>
            <w:hideMark/>
          </w:tcPr>
          <w:p w14:paraId="46BBB7F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4,310 (1,290 - 10,000)</w:t>
            </w:r>
          </w:p>
        </w:tc>
        <w:tc>
          <w:tcPr>
            <w:tcW w:w="890" w:type="pct"/>
            <w:tcBorders>
              <w:top w:val="nil"/>
              <w:left w:val="nil"/>
              <w:bottom w:val="nil"/>
              <w:right w:val="single" w:sz="8" w:space="0" w:color="auto"/>
            </w:tcBorders>
            <w:shd w:val="clear" w:color="000000" w:fill="F2DCDB"/>
            <w:noWrap/>
            <w:vAlign w:val="bottom"/>
            <w:hideMark/>
          </w:tcPr>
          <w:p w14:paraId="2A8CE52E"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3,720 (1,120 - 8,700)</w:t>
            </w:r>
          </w:p>
        </w:tc>
        <w:tc>
          <w:tcPr>
            <w:tcW w:w="1099" w:type="pct"/>
            <w:tcBorders>
              <w:top w:val="nil"/>
              <w:left w:val="nil"/>
              <w:bottom w:val="nil"/>
              <w:right w:val="single" w:sz="8" w:space="0" w:color="auto"/>
            </w:tcBorders>
            <w:shd w:val="clear" w:color="000000" w:fill="F2DCDB"/>
            <w:noWrap/>
            <w:vAlign w:val="bottom"/>
            <w:hideMark/>
          </w:tcPr>
          <w:p w14:paraId="7A40F1DF"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96,000 (28,000 - 228,000)</w:t>
            </w:r>
          </w:p>
        </w:tc>
        <w:tc>
          <w:tcPr>
            <w:tcW w:w="1099" w:type="pct"/>
            <w:tcBorders>
              <w:top w:val="nil"/>
              <w:left w:val="nil"/>
              <w:bottom w:val="nil"/>
              <w:right w:val="single" w:sz="8" w:space="0" w:color="auto"/>
            </w:tcBorders>
            <w:shd w:val="clear" w:color="000000" w:fill="F2DCDB"/>
            <w:noWrap/>
            <w:vAlign w:val="bottom"/>
            <w:hideMark/>
          </w:tcPr>
          <w:p w14:paraId="288BE1E3"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84,000 (25,000 - 199,000)</w:t>
            </w:r>
          </w:p>
        </w:tc>
      </w:tr>
      <w:tr w:rsidR="00E01907" w:rsidRPr="00E01907" w14:paraId="6459F7FC" w14:textId="77777777" w:rsidTr="00E01907">
        <w:trPr>
          <w:trHeight w:val="290"/>
        </w:trPr>
        <w:tc>
          <w:tcPr>
            <w:tcW w:w="930" w:type="pct"/>
            <w:tcBorders>
              <w:top w:val="nil"/>
              <w:left w:val="single" w:sz="8" w:space="0" w:color="auto"/>
              <w:bottom w:val="nil"/>
              <w:right w:val="single" w:sz="8" w:space="0" w:color="auto"/>
            </w:tcBorders>
            <w:shd w:val="clear" w:color="auto" w:fill="auto"/>
            <w:noWrap/>
            <w:vAlign w:val="bottom"/>
            <w:hideMark/>
          </w:tcPr>
          <w:p w14:paraId="680FA782" w14:textId="77777777" w:rsidR="00E01907" w:rsidRPr="00E01907" w:rsidRDefault="00E01907" w:rsidP="00E01907">
            <w:pPr>
              <w:spacing w:after="0" w:line="240" w:lineRule="auto"/>
              <w:rPr>
                <w:rFonts w:eastAsia="Times New Roman" w:cs="Times New Roman"/>
                <w:color w:val="000000"/>
                <w:sz w:val="18"/>
                <w:szCs w:val="18"/>
              </w:rPr>
            </w:pPr>
            <w:proofErr w:type="spellStart"/>
            <w:r w:rsidRPr="00E01907">
              <w:rPr>
                <w:rFonts w:eastAsia="Times New Roman" w:cs="Times New Roman"/>
                <w:color w:val="000000"/>
                <w:sz w:val="18"/>
                <w:szCs w:val="18"/>
              </w:rPr>
              <w:t>Gonorrhoea</w:t>
            </w:r>
            <w:proofErr w:type="spellEnd"/>
            <w:r w:rsidRPr="00E01907">
              <w:rPr>
                <w:rFonts w:eastAsia="Times New Roman" w:cs="Times New Roman"/>
                <w:color w:val="000000"/>
                <w:sz w:val="18"/>
                <w:szCs w:val="18"/>
              </w:rPr>
              <w:t xml:space="preserve"> and chlamydia</w:t>
            </w:r>
          </w:p>
        </w:tc>
        <w:tc>
          <w:tcPr>
            <w:tcW w:w="983" w:type="pct"/>
            <w:tcBorders>
              <w:top w:val="nil"/>
              <w:left w:val="nil"/>
              <w:bottom w:val="nil"/>
              <w:right w:val="single" w:sz="8" w:space="0" w:color="auto"/>
            </w:tcBorders>
            <w:shd w:val="clear" w:color="auto" w:fill="auto"/>
            <w:noWrap/>
            <w:vAlign w:val="bottom"/>
            <w:hideMark/>
          </w:tcPr>
          <w:p w14:paraId="3B9A1A2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451 (415 - 486) </w:t>
            </w:r>
          </w:p>
        </w:tc>
        <w:tc>
          <w:tcPr>
            <w:tcW w:w="890" w:type="pct"/>
            <w:tcBorders>
              <w:top w:val="nil"/>
              <w:left w:val="nil"/>
              <w:bottom w:val="nil"/>
              <w:right w:val="single" w:sz="8" w:space="0" w:color="auto"/>
            </w:tcBorders>
            <w:shd w:val="clear" w:color="auto" w:fill="auto"/>
            <w:noWrap/>
            <w:vAlign w:val="bottom"/>
            <w:hideMark/>
          </w:tcPr>
          <w:p w14:paraId="21E9B0D8"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451 (415 - 486)</w:t>
            </w:r>
          </w:p>
        </w:tc>
        <w:tc>
          <w:tcPr>
            <w:tcW w:w="1099" w:type="pct"/>
            <w:tcBorders>
              <w:top w:val="nil"/>
              <w:left w:val="nil"/>
              <w:bottom w:val="nil"/>
              <w:right w:val="single" w:sz="8" w:space="0" w:color="auto"/>
            </w:tcBorders>
            <w:shd w:val="clear" w:color="auto" w:fill="auto"/>
            <w:noWrap/>
            <w:vAlign w:val="bottom"/>
            <w:hideMark/>
          </w:tcPr>
          <w:p w14:paraId="1D32192D"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32,000 (26,000 - 42,000) </w:t>
            </w:r>
          </w:p>
        </w:tc>
        <w:tc>
          <w:tcPr>
            <w:tcW w:w="1099" w:type="pct"/>
            <w:tcBorders>
              <w:top w:val="nil"/>
              <w:left w:val="nil"/>
              <w:bottom w:val="nil"/>
              <w:right w:val="single" w:sz="8" w:space="0" w:color="auto"/>
            </w:tcBorders>
            <w:shd w:val="clear" w:color="auto" w:fill="auto"/>
            <w:noWrap/>
            <w:vAlign w:val="bottom"/>
            <w:hideMark/>
          </w:tcPr>
          <w:p w14:paraId="25FC8A7F"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 xml:space="preserve"> 32,000 (26,000 - 42,000) </w:t>
            </w:r>
          </w:p>
        </w:tc>
      </w:tr>
      <w:tr w:rsidR="00E01907" w:rsidRPr="00E01907" w14:paraId="7B34EB3D" w14:textId="77777777" w:rsidTr="00E01907">
        <w:trPr>
          <w:trHeight w:val="290"/>
        </w:trPr>
        <w:tc>
          <w:tcPr>
            <w:tcW w:w="930" w:type="pct"/>
            <w:tcBorders>
              <w:top w:val="nil"/>
              <w:left w:val="single" w:sz="8" w:space="0" w:color="auto"/>
              <w:bottom w:val="nil"/>
              <w:right w:val="single" w:sz="8" w:space="0" w:color="auto"/>
            </w:tcBorders>
            <w:shd w:val="clear" w:color="000000" w:fill="F2DCDB"/>
            <w:noWrap/>
            <w:vAlign w:val="bottom"/>
            <w:hideMark/>
          </w:tcPr>
          <w:p w14:paraId="6A8B742F"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 xml:space="preserve">Typhoid, paratyphoid, and </w:t>
            </w:r>
            <w:proofErr w:type="spellStart"/>
            <w:r w:rsidRPr="00E01907">
              <w:rPr>
                <w:rFonts w:eastAsia="Times New Roman" w:cs="Times New Roman"/>
                <w:color w:val="000000"/>
                <w:sz w:val="18"/>
                <w:szCs w:val="18"/>
              </w:rPr>
              <w:t>iNTS</w:t>
            </w:r>
            <w:proofErr w:type="spellEnd"/>
          </w:p>
        </w:tc>
        <w:tc>
          <w:tcPr>
            <w:tcW w:w="983" w:type="pct"/>
            <w:tcBorders>
              <w:top w:val="nil"/>
              <w:left w:val="nil"/>
              <w:bottom w:val="nil"/>
              <w:right w:val="single" w:sz="8" w:space="0" w:color="auto"/>
            </w:tcBorders>
            <w:shd w:val="clear" w:color="000000" w:fill="F2DCDB"/>
            <w:noWrap/>
            <w:vAlign w:val="bottom"/>
            <w:hideMark/>
          </w:tcPr>
          <w:p w14:paraId="02F50FA9"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316 (220 - 636)</w:t>
            </w:r>
          </w:p>
        </w:tc>
        <w:tc>
          <w:tcPr>
            <w:tcW w:w="890" w:type="pct"/>
            <w:tcBorders>
              <w:top w:val="nil"/>
              <w:left w:val="nil"/>
              <w:bottom w:val="nil"/>
              <w:right w:val="single" w:sz="8" w:space="0" w:color="auto"/>
            </w:tcBorders>
            <w:shd w:val="clear" w:color="000000" w:fill="F2DCDB"/>
            <w:noWrap/>
            <w:vAlign w:val="bottom"/>
            <w:hideMark/>
          </w:tcPr>
          <w:p w14:paraId="0E667F0B"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316 (220 - 636)</w:t>
            </w:r>
          </w:p>
        </w:tc>
        <w:tc>
          <w:tcPr>
            <w:tcW w:w="1099" w:type="pct"/>
            <w:tcBorders>
              <w:top w:val="nil"/>
              <w:left w:val="nil"/>
              <w:bottom w:val="nil"/>
              <w:right w:val="single" w:sz="8" w:space="0" w:color="auto"/>
            </w:tcBorders>
            <w:shd w:val="clear" w:color="000000" w:fill="F2DCDB"/>
            <w:noWrap/>
            <w:vAlign w:val="bottom"/>
            <w:hideMark/>
          </w:tcPr>
          <w:p w14:paraId="0D2488C4"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15,000 (9,700 - 26,000)</w:t>
            </w:r>
          </w:p>
        </w:tc>
        <w:tc>
          <w:tcPr>
            <w:tcW w:w="1099" w:type="pct"/>
            <w:tcBorders>
              <w:top w:val="nil"/>
              <w:left w:val="nil"/>
              <w:bottom w:val="nil"/>
              <w:right w:val="single" w:sz="8" w:space="0" w:color="auto"/>
            </w:tcBorders>
            <w:shd w:val="clear" w:color="000000" w:fill="F2DCDB"/>
            <w:noWrap/>
            <w:vAlign w:val="bottom"/>
            <w:hideMark/>
          </w:tcPr>
          <w:p w14:paraId="4D9F816C" w14:textId="77777777" w:rsidR="00E01907" w:rsidRPr="00E01907" w:rsidRDefault="00E01907" w:rsidP="00E01907">
            <w:pPr>
              <w:spacing w:after="0" w:line="240" w:lineRule="auto"/>
              <w:jc w:val="right"/>
              <w:rPr>
                <w:rFonts w:eastAsia="Times New Roman" w:cs="Times New Roman"/>
                <w:color w:val="000000"/>
                <w:sz w:val="18"/>
                <w:szCs w:val="18"/>
              </w:rPr>
            </w:pPr>
            <w:r w:rsidRPr="00E01907">
              <w:rPr>
                <w:rFonts w:eastAsia="Times New Roman" w:cs="Times New Roman"/>
                <w:color w:val="000000"/>
                <w:sz w:val="18"/>
                <w:szCs w:val="18"/>
              </w:rPr>
              <w:t>15,000 (9,700 - 26,000)</w:t>
            </w:r>
          </w:p>
        </w:tc>
      </w:tr>
      <w:tr w:rsidR="00E01907" w:rsidRPr="00E01907" w14:paraId="6060C352" w14:textId="77777777" w:rsidTr="00E01907">
        <w:trPr>
          <w:trHeight w:val="615"/>
        </w:trPr>
        <w:tc>
          <w:tcPr>
            <w:tcW w:w="5000" w:type="pct"/>
            <w:gridSpan w:val="5"/>
            <w:tcBorders>
              <w:top w:val="single" w:sz="8" w:space="0" w:color="auto"/>
              <w:left w:val="nil"/>
              <w:bottom w:val="nil"/>
              <w:right w:val="nil"/>
            </w:tcBorders>
            <w:shd w:val="clear" w:color="auto" w:fill="auto"/>
            <w:vAlign w:val="center"/>
            <w:hideMark/>
          </w:tcPr>
          <w:p w14:paraId="38318FA7" w14:textId="77777777" w:rsidR="00E01907" w:rsidRPr="00E01907" w:rsidRDefault="00E01907" w:rsidP="00E01907">
            <w:pPr>
              <w:spacing w:after="0" w:line="240" w:lineRule="auto"/>
              <w:rPr>
                <w:rFonts w:eastAsia="Times New Roman" w:cs="Times New Roman"/>
                <w:color w:val="000000"/>
                <w:sz w:val="18"/>
                <w:szCs w:val="18"/>
              </w:rPr>
            </w:pPr>
            <w:r w:rsidRPr="00E01907">
              <w:rPr>
                <w:rFonts w:eastAsia="Times New Roman" w:cs="Times New Roman"/>
                <w:color w:val="000000"/>
                <w:sz w:val="18"/>
                <w:szCs w:val="18"/>
              </w:rPr>
              <w:t xml:space="preserve">Abbreviations: BSI = Bloodstream Infection, CNS = Central Nervous System, DALYs = Disability Adjusted Life Years, </w:t>
            </w:r>
            <w:proofErr w:type="spellStart"/>
            <w:r w:rsidRPr="00E01907">
              <w:rPr>
                <w:rFonts w:eastAsia="Times New Roman" w:cs="Times New Roman"/>
                <w:color w:val="000000"/>
                <w:sz w:val="18"/>
                <w:szCs w:val="18"/>
              </w:rPr>
              <w:t>iNTS</w:t>
            </w:r>
            <w:proofErr w:type="spellEnd"/>
            <w:r w:rsidRPr="00E01907">
              <w:rPr>
                <w:rFonts w:eastAsia="Times New Roman" w:cs="Times New Roman"/>
                <w:color w:val="000000"/>
                <w:sz w:val="18"/>
                <w:szCs w:val="18"/>
              </w:rPr>
              <w:t xml:space="preserve"> = invasive Non-typhoidal Salmonella, LRI = Lower Respiratory Infection, UI = Uncertainty Intervals, UTI = Urinary Tract Infection, WHO = World Health Organization</w:t>
            </w:r>
          </w:p>
        </w:tc>
      </w:tr>
    </w:tbl>
    <w:p w14:paraId="23DF1BE0" w14:textId="37566677" w:rsidR="00B43DD5" w:rsidRPr="00B43DD5" w:rsidRDefault="00B43DD5" w:rsidP="00B43DD5">
      <w:pPr>
        <w:tabs>
          <w:tab w:val="left" w:pos="1866"/>
        </w:tabs>
        <w:sectPr w:rsidR="00B43DD5" w:rsidRPr="00B43DD5" w:rsidSect="00D86E44">
          <w:pgSz w:w="15840" w:h="12240" w:orient="landscape"/>
          <w:pgMar w:top="720" w:right="720" w:bottom="720" w:left="720" w:header="720" w:footer="720" w:gutter="0"/>
          <w:lnNumType w:countBy="1" w:restart="continuous"/>
          <w:cols w:space="720"/>
          <w:docGrid w:linePitch="360"/>
        </w:sectPr>
      </w:pPr>
      <w:r>
        <w:tab/>
      </w:r>
    </w:p>
    <w:p w14:paraId="1890A40C" w14:textId="6041A0AC" w:rsidR="0065534D" w:rsidRPr="0081609C" w:rsidRDefault="546BD179" w:rsidP="0081609C">
      <w:pPr>
        <w:pStyle w:val="Heading1"/>
      </w:pPr>
      <w:bookmarkStart w:id="216" w:name="_Toc135992052"/>
      <w:r>
        <w:lastRenderedPageBreak/>
        <w:t xml:space="preserve">Section 5. </w:t>
      </w:r>
      <w:r w:rsidR="0065534D" w:rsidRPr="0081609C">
        <w:t>GATHER Compliance: Guidelines for Accurate and Transparent Health Estimates Reporting</w:t>
      </w:r>
      <w:bookmarkEnd w:id="216"/>
    </w:p>
    <w:p w14:paraId="7FF21209" w14:textId="77777777" w:rsidR="0065534D" w:rsidRDefault="0065534D" w:rsidP="0065534D">
      <w:r>
        <w:t>This study complies with GATHER recommendations. We have documented the steps in our analytical procedures and detailed the data sources used. The GATHER recommendations can be found on the GATHER website.</w:t>
      </w:r>
    </w:p>
    <w:p w14:paraId="04AACD86" w14:textId="77777777" w:rsidR="0065534D" w:rsidRPr="00BB3FAB" w:rsidRDefault="0065534D" w:rsidP="0065534D">
      <w:pPr>
        <w:rPr>
          <w:b/>
          <w:lang w:val="en-GB"/>
        </w:rPr>
      </w:pPr>
      <w:r w:rsidRPr="00BB3FAB">
        <w:rPr>
          <w:b/>
          <w:noProof/>
          <w:color w:val="2B579A"/>
          <w:shd w:val="clear" w:color="auto" w:fill="E6E6E6"/>
          <w:lang w:val="en-GB" w:eastAsia="en-GB"/>
        </w:rPr>
        <w:drawing>
          <wp:anchor distT="0" distB="0" distL="114300" distR="114300" simplePos="0" relativeHeight="251658240" behindDoc="0" locked="0" layoutInCell="1" allowOverlap="1" wp14:anchorId="5A17B30D" wp14:editId="5A3CD489">
            <wp:simplePos x="0" y="0"/>
            <wp:positionH relativeFrom="column">
              <wp:posOffset>7620</wp:posOffset>
            </wp:positionH>
            <wp:positionV relativeFrom="paragraph">
              <wp:posOffset>-65405</wp:posOffset>
            </wp:positionV>
            <wp:extent cx="1285875" cy="965200"/>
            <wp:effectExtent l="0" t="0" r="9525" b="6350"/>
            <wp:wrapSquare wrapText="bothSides"/>
            <wp:docPr id="1" name="Picture 1" descr="J:\DivData\RGHS\GATHER\logo\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ivData\RGHS\GATHER\logo\logo-colo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FAB">
        <w:rPr>
          <w:b/>
          <w:lang w:val="en-GB"/>
        </w:rPr>
        <w:t xml:space="preserve">Checklist of information that should be included in new reports of global health </w:t>
      </w:r>
      <w:proofErr w:type="gramStart"/>
      <w:r w:rsidRPr="00BB3FAB">
        <w:rPr>
          <w:b/>
          <w:lang w:val="en-GB"/>
        </w:rPr>
        <w:t>estimates</w:t>
      </w:r>
      <w:proofErr w:type="gramEnd"/>
    </w:p>
    <w:tbl>
      <w:tblPr>
        <w:tblStyle w:val="LightGrid"/>
        <w:tblW w:w="10456" w:type="dxa"/>
        <w:tblLayout w:type="fixed"/>
        <w:tblLook w:val="04A0" w:firstRow="1" w:lastRow="0" w:firstColumn="1" w:lastColumn="0" w:noHBand="0" w:noVBand="1"/>
      </w:tblPr>
      <w:tblGrid>
        <w:gridCol w:w="817"/>
        <w:gridCol w:w="8222"/>
        <w:gridCol w:w="1417"/>
      </w:tblGrid>
      <w:tr w:rsidR="0065534D" w:rsidRPr="00BB3FAB" w14:paraId="257FD4C6" w14:textId="77777777" w:rsidTr="00020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79B30AC" w14:textId="77777777" w:rsidR="0065534D" w:rsidRPr="00BB3FAB" w:rsidRDefault="0065534D" w:rsidP="003B2FB7">
            <w:pPr>
              <w:spacing w:after="160" w:line="259" w:lineRule="auto"/>
              <w:rPr>
                <w:lang w:val="en-GB"/>
              </w:rPr>
            </w:pPr>
            <w:r w:rsidRPr="00BB3FAB">
              <w:rPr>
                <w:lang w:val="en-GB"/>
              </w:rPr>
              <w:t>Item #</w:t>
            </w:r>
          </w:p>
        </w:tc>
        <w:tc>
          <w:tcPr>
            <w:tcW w:w="8222" w:type="dxa"/>
          </w:tcPr>
          <w:p w14:paraId="07A709A9" w14:textId="77777777" w:rsidR="0065534D" w:rsidRPr="00BB3FAB" w:rsidRDefault="0065534D" w:rsidP="003B2FB7">
            <w:pPr>
              <w:spacing w:after="160" w:line="259" w:lineRule="auto"/>
              <w:cnfStyle w:val="100000000000" w:firstRow="1" w:lastRow="0" w:firstColumn="0" w:lastColumn="0" w:oddVBand="0" w:evenVBand="0" w:oddHBand="0" w:evenHBand="0" w:firstRowFirstColumn="0" w:firstRowLastColumn="0" w:lastRowFirstColumn="0" w:lastRowLastColumn="0"/>
              <w:rPr>
                <w:lang w:val="en-GB"/>
              </w:rPr>
            </w:pPr>
            <w:r w:rsidRPr="00BB3FAB">
              <w:rPr>
                <w:lang w:val="en-GB"/>
              </w:rPr>
              <w:br w:type="page"/>
              <w:t>Checklist item</w:t>
            </w:r>
          </w:p>
        </w:tc>
        <w:tc>
          <w:tcPr>
            <w:tcW w:w="1417" w:type="dxa"/>
          </w:tcPr>
          <w:p w14:paraId="2E2A3D56" w14:textId="77777777" w:rsidR="0065534D" w:rsidRPr="00BB3FAB" w:rsidRDefault="0065534D" w:rsidP="003B2FB7">
            <w:pPr>
              <w:spacing w:after="160" w:line="259" w:lineRule="auto"/>
              <w:cnfStyle w:val="100000000000" w:firstRow="1" w:lastRow="0" w:firstColumn="0" w:lastColumn="0" w:oddVBand="0" w:evenVBand="0" w:oddHBand="0" w:evenHBand="0" w:firstRowFirstColumn="0" w:firstRowLastColumn="0" w:lastRowFirstColumn="0" w:lastRowLastColumn="0"/>
              <w:rPr>
                <w:lang w:val="en-GB"/>
              </w:rPr>
            </w:pPr>
            <w:r w:rsidRPr="00BB3FAB">
              <w:rPr>
                <w:lang w:val="en-GB"/>
              </w:rPr>
              <w:t>Reported on page #</w:t>
            </w:r>
          </w:p>
        </w:tc>
      </w:tr>
      <w:tr w:rsidR="0065534D" w:rsidRPr="00BB3FAB" w14:paraId="453F279E"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3412832D" w14:textId="77777777" w:rsidR="0065534D" w:rsidRPr="00BB3FAB" w:rsidRDefault="0065534D" w:rsidP="003B2FB7">
            <w:pPr>
              <w:spacing w:after="160" w:line="259" w:lineRule="auto"/>
              <w:rPr>
                <w:lang w:val="en-GB"/>
              </w:rPr>
            </w:pPr>
            <w:r w:rsidRPr="00BB3FAB">
              <w:rPr>
                <w:lang w:val="en-GB"/>
              </w:rPr>
              <w:t>Objectives and funding</w:t>
            </w:r>
          </w:p>
        </w:tc>
      </w:tr>
      <w:tr w:rsidR="0065534D" w:rsidRPr="00BB3FAB" w14:paraId="75712CB0"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2DFC32C" w14:textId="77777777" w:rsidR="0065534D" w:rsidRPr="00BB3FAB" w:rsidRDefault="0065534D" w:rsidP="003B2FB7">
            <w:pPr>
              <w:spacing w:after="160" w:line="259" w:lineRule="auto"/>
              <w:rPr>
                <w:lang w:val="en-GB"/>
              </w:rPr>
            </w:pPr>
            <w:r w:rsidRPr="00BB3FAB">
              <w:rPr>
                <w:lang w:val="en-GB"/>
              </w:rPr>
              <w:t>1</w:t>
            </w:r>
          </w:p>
        </w:tc>
        <w:tc>
          <w:tcPr>
            <w:tcW w:w="8222" w:type="dxa"/>
          </w:tcPr>
          <w:p w14:paraId="7D4F429A" w14:textId="77777777" w:rsidR="0065534D" w:rsidRPr="00BB3FAB" w:rsidRDefault="0065534D" w:rsidP="003B2FB7">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BB3FAB">
              <w:rPr>
                <w:lang w:val="en-GB"/>
              </w:rPr>
              <w:t xml:space="preserve">Define the indicator(s), populations (including age, sex, and geographic entities), and </w:t>
            </w:r>
            <w:proofErr w:type="gramStart"/>
            <w:r w:rsidRPr="00BB3FAB">
              <w:rPr>
                <w:lang w:val="en-GB"/>
              </w:rPr>
              <w:t>time period</w:t>
            </w:r>
            <w:proofErr w:type="gramEnd"/>
            <w:r w:rsidRPr="00BB3FAB">
              <w:rPr>
                <w:lang w:val="en-GB"/>
              </w:rPr>
              <w:t>(s) for which estimates were made.</w:t>
            </w:r>
          </w:p>
        </w:tc>
        <w:tc>
          <w:tcPr>
            <w:tcW w:w="1417" w:type="dxa"/>
          </w:tcPr>
          <w:p w14:paraId="64BB030E" w14:textId="6FE72EA6" w:rsidR="0065534D" w:rsidRPr="0065534D" w:rsidRDefault="00417D3C" w:rsidP="003B2FB7">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highlight w:val="yellow"/>
                <w:lang w:val="en-GB"/>
              </w:rPr>
            </w:pPr>
            <w:r w:rsidRPr="00417D3C">
              <w:rPr>
                <w:sz w:val="18"/>
                <w:szCs w:val="18"/>
                <w:lang w:val="en-GB"/>
              </w:rPr>
              <w:t>Main text methods section</w:t>
            </w:r>
            <w:r>
              <w:rPr>
                <w:sz w:val="18"/>
                <w:szCs w:val="18"/>
                <w:lang w:val="en-GB"/>
              </w:rPr>
              <w:t xml:space="preserve"> (deaths which involved an infection and their infectious syndrome)</w:t>
            </w:r>
          </w:p>
        </w:tc>
      </w:tr>
      <w:tr w:rsidR="0065534D" w:rsidRPr="00BB3FAB" w14:paraId="48CEF32E"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1CC5EC4" w14:textId="77777777" w:rsidR="0065534D" w:rsidRPr="00BB3FAB" w:rsidRDefault="0065534D" w:rsidP="003B2FB7">
            <w:pPr>
              <w:spacing w:after="160" w:line="259" w:lineRule="auto"/>
              <w:rPr>
                <w:lang w:val="en-GB"/>
              </w:rPr>
            </w:pPr>
            <w:r w:rsidRPr="00BB3FAB">
              <w:rPr>
                <w:lang w:val="en-GB"/>
              </w:rPr>
              <w:t>2</w:t>
            </w:r>
          </w:p>
        </w:tc>
        <w:tc>
          <w:tcPr>
            <w:tcW w:w="8222" w:type="dxa"/>
            <w:shd w:val="clear" w:color="auto" w:fill="auto"/>
          </w:tcPr>
          <w:p w14:paraId="685C3E5F" w14:textId="77777777" w:rsidR="0065534D" w:rsidRPr="00BB3FAB" w:rsidRDefault="0065534D" w:rsidP="003B2FB7">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BB3FAB">
              <w:rPr>
                <w:lang w:val="en-GB"/>
              </w:rPr>
              <w:t>List the funding sources for the work.</w:t>
            </w:r>
          </w:p>
        </w:tc>
        <w:tc>
          <w:tcPr>
            <w:tcW w:w="1417" w:type="dxa"/>
            <w:shd w:val="clear" w:color="auto" w:fill="auto"/>
          </w:tcPr>
          <w:p w14:paraId="35D1B30E" w14:textId="46FFC5EF" w:rsidR="0065534D" w:rsidRPr="0065534D" w:rsidRDefault="00417D3C" w:rsidP="0065534D">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highlight w:val="yellow"/>
                <w:lang w:val="en-GB"/>
              </w:rPr>
            </w:pPr>
            <w:r w:rsidRPr="00417D3C">
              <w:rPr>
                <w:sz w:val="18"/>
                <w:szCs w:val="18"/>
                <w:lang w:val="en-GB"/>
              </w:rPr>
              <w:t>Main text abstract section (funding statement) and acknowledgements section</w:t>
            </w:r>
          </w:p>
        </w:tc>
      </w:tr>
      <w:tr w:rsidR="0065534D" w:rsidRPr="00417D3C" w14:paraId="22EC86CC"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BFBFBF" w:themeFill="background1" w:themeFillShade="BF"/>
          </w:tcPr>
          <w:p w14:paraId="46541669" w14:textId="77777777" w:rsidR="0065534D" w:rsidRPr="00417D3C" w:rsidRDefault="0065534D" w:rsidP="003B2FB7">
            <w:pPr>
              <w:spacing w:after="160" w:line="259" w:lineRule="auto"/>
              <w:rPr>
                <w:lang w:val="en-GB"/>
              </w:rPr>
            </w:pPr>
            <w:r w:rsidRPr="00417D3C">
              <w:rPr>
                <w:lang w:val="en-GB"/>
              </w:rPr>
              <w:t>Data Inputs</w:t>
            </w:r>
          </w:p>
        </w:tc>
      </w:tr>
      <w:tr w:rsidR="0065534D" w:rsidRPr="00417D3C" w14:paraId="6F70FCF9"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D9D9D9" w:themeFill="background1" w:themeFillShade="D9"/>
          </w:tcPr>
          <w:p w14:paraId="66FC12FA" w14:textId="77777777" w:rsidR="0065534D" w:rsidRPr="00417D3C" w:rsidRDefault="0065534D" w:rsidP="003B2FB7">
            <w:pPr>
              <w:spacing w:after="160" w:line="259" w:lineRule="auto"/>
              <w:rPr>
                <w:i/>
                <w:iCs/>
                <w:lang w:val="en-GB"/>
              </w:rPr>
            </w:pPr>
            <w:r w:rsidRPr="00417D3C">
              <w:rPr>
                <w:i/>
                <w:iCs/>
                <w:lang w:val="en-GB"/>
              </w:rPr>
              <w:t xml:space="preserve">   For all data inputs from multiple sources that are synthesized as part of the study:</w:t>
            </w:r>
          </w:p>
        </w:tc>
      </w:tr>
      <w:tr w:rsidR="0065534D" w:rsidRPr="00417D3C" w14:paraId="60D220AB" w14:textId="77777777" w:rsidTr="00BC18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CA5DBD5" w14:textId="77777777" w:rsidR="0065534D" w:rsidRPr="00417D3C" w:rsidRDefault="0065534D" w:rsidP="003B2FB7">
            <w:pPr>
              <w:spacing w:after="160" w:line="259" w:lineRule="auto"/>
              <w:rPr>
                <w:lang w:val="en-GB"/>
              </w:rPr>
            </w:pPr>
            <w:r w:rsidRPr="00417D3C">
              <w:rPr>
                <w:lang w:val="en-GB"/>
              </w:rPr>
              <w:t>3</w:t>
            </w:r>
          </w:p>
        </w:tc>
        <w:tc>
          <w:tcPr>
            <w:tcW w:w="8222" w:type="dxa"/>
            <w:shd w:val="clear" w:color="auto" w:fill="auto"/>
          </w:tcPr>
          <w:p w14:paraId="61EF727D" w14:textId="77777777" w:rsidR="0065534D" w:rsidRPr="00BC181D" w:rsidRDefault="0065534D" w:rsidP="003B2FB7">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BC181D">
              <w:rPr>
                <w:lang w:val="en-GB"/>
              </w:rPr>
              <w:t xml:space="preserve">Describe how the data were identified and how the data were accessed. </w:t>
            </w:r>
          </w:p>
        </w:tc>
        <w:tc>
          <w:tcPr>
            <w:tcW w:w="1417" w:type="dxa"/>
            <w:shd w:val="clear" w:color="auto" w:fill="auto"/>
          </w:tcPr>
          <w:p w14:paraId="3A0805C5" w14:textId="01A59A1F" w:rsidR="0065534D" w:rsidRPr="00BC181D" w:rsidRDefault="00417D3C" w:rsidP="00417D3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sidRPr="00BC181D">
              <w:rPr>
                <w:sz w:val="18"/>
                <w:szCs w:val="18"/>
                <w:lang w:val="en-GB"/>
              </w:rPr>
              <w:t xml:space="preserve">Main text methods section (data inputs) and supplementary appendix sections </w:t>
            </w:r>
            <w:r w:rsidR="2ADD9485" w:rsidRPr="00BC181D">
              <w:rPr>
                <w:rFonts w:eastAsia="Times New Roman" w:cs="Times New Roman"/>
                <w:sz w:val="18"/>
                <w:szCs w:val="18"/>
                <w:lang w:val="en-GB"/>
              </w:rPr>
              <w:t xml:space="preserve">2, 3.2.1, 3.3.1, 3.4.1, 3.5.1, and 3.6.1 </w:t>
            </w:r>
          </w:p>
        </w:tc>
      </w:tr>
      <w:tr w:rsidR="0065534D" w:rsidRPr="00417D3C" w14:paraId="4E79DFFC"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83C329C" w14:textId="77777777" w:rsidR="0065534D" w:rsidRPr="00417D3C" w:rsidRDefault="0065534D" w:rsidP="003B2FB7">
            <w:pPr>
              <w:spacing w:after="160" w:line="259" w:lineRule="auto"/>
              <w:rPr>
                <w:lang w:val="en-GB"/>
              </w:rPr>
            </w:pPr>
            <w:r w:rsidRPr="00417D3C">
              <w:rPr>
                <w:lang w:val="en-GB"/>
              </w:rPr>
              <w:t>4</w:t>
            </w:r>
          </w:p>
        </w:tc>
        <w:tc>
          <w:tcPr>
            <w:tcW w:w="8222" w:type="dxa"/>
            <w:shd w:val="clear" w:color="auto" w:fill="auto"/>
          </w:tcPr>
          <w:p w14:paraId="386E797E" w14:textId="77777777" w:rsidR="0065534D" w:rsidRPr="00417D3C" w:rsidRDefault="0065534D" w:rsidP="003B2FB7">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417D3C">
              <w:rPr>
                <w:lang w:val="en-GB"/>
              </w:rPr>
              <w:t>Specify the inclusion and exclusion criteria. Identify all ad-hoc exclusions.</w:t>
            </w:r>
          </w:p>
        </w:tc>
        <w:tc>
          <w:tcPr>
            <w:tcW w:w="1417" w:type="dxa"/>
            <w:shd w:val="clear" w:color="auto" w:fill="auto"/>
          </w:tcPr>
          <w:p w14:paraId="0137A321" w14:textId="31B5D91A" w:rsidR="0065534D" w:rsidRPr="00417D3C" w:rsidRDefault="00020ADC" w:rsidP="00BC181D">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highlight w:val="yellow"/>
                <w:lang w:val="en-GB"/>
              </w:rPr>
            </w:pPr>
            <w:r w:rsidRPr="00BC181D">
              <w:rPr>
                <w:sz w:val="18"/>
                <w:szCs w:val="18"/>
                <w:lang w:val="en-GB"/>
              </w:rPr>
              <w:t xml:space="preserve">Supplementary appendix section </w:t>
            </w:r>
            <w:r w:rsidR="77B3A385" w:rsidRPr="00BC181D">
              <w:rPr>
                <w:sz w:val="18"/>
                <w:szCs w:val="18"/>
                <w:lang w:val="en-GB"/>
              </w:rPr>
              <w:t>2</w:t>
            </w:r>
          </w:p>
        </w:tc>
      </w:tr>
      <w:tr w:rsidR="00020ADC" w:rsidRPr="00417D3C" w14:paraId="4B820077"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492ACD4" w14:textId="77777777" w:rsidR="00020ADC" w:rsidRPr="00417D3C" w:rsidRDefault="00020ADC" w:rsidP="00020ADC">
            <w:pPr>
              <w:spacing w:after="160" w:line="259" w:lineRule="auto"/>
              <w:rPr>
                <w:lang w:val="en-GB"/>
              </w:rPr>
            </w:pPr>
            <w:r w:rsidRPr="00417D3C">
              <w:rPr>
                <w:lang w:val="en-GB"/>
              </w:rPr>
              <w:t>5</w:t>
            </w:r>
          </w:p>
        </w:tc>
        <w:tc>
          <w:tcPr>
            <w:tcW w:w="8222" w:type="dxa"/>
            <w:shd w:val="clear" w:color="auto" w:fill="auto"/>
          </w:tcPr>
          <w:p w14:paraId="79FCFDA1" w14:textId="77777777" w:rsidR="00020ADC" w:rsidRPr="00BC181D"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BC181D">
              <w:rPr>
                <w:lang w:val="en-GB"/>
              </w:rPr>
              <w:t xml:space="preserve">Provide information on all included data sources and their main characteristics. For each data source used, report reference information or contact name/institution, population represented, data collection method, year(s) of data collection, sex and age range, diagnostic criteria or measurement method, and sample size, as relevant. </w:t>
            </w:r>
          </w:p>
        </w:tc>
        <w:tc>
          <w:tcPr>
            <w:tcW w:w="1417" w:type="dxa"/>
            <w:shd w:val="clear" w:color="auto" w:fill="auto"/>
          </w:tcPr>
          <w:p w14:paraId="799B07AA" w14:textId="69DBCF42" w:rsidR="00020ADC" w:rsidRPr="00BC181D" w:rsidRDefault="71357ACD"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sidRPr="00BC181D">
              <w:rPr>
                <w:sz w:val="18"/>
                <w:szCs w:val="18"/>
                <w:lang w:val="en-GB"/>
              </w:rPr>
              <w:t xml:space="preserve">Supplementary appendix (section </w:t>
            </w:r>
            <w:r w:rsidR="1EFDD067" w:rsidRPr="00BC181D">
              <w:rPr>
                <w:sz w:val="18"/>
                <w:szCs w:val="18"/>
                <w:lang w:val="en-GB"/>
              </w:rPr>
              <w:t>2</w:t>
            </w:r>
            <w:r w:rsidRPr="00BC181D">
              <w:rPr>
                <w:sz w:val="18"/>
                <w:szCs w:val="18"/>
                <w:lang w:val="en-GB"/>
              </w:rPr>
              <w:t xml:space="preserve">) and </w:t>
            </w:r>
            <w:hyperlink r:id="rId35">
              <w:r w:rsidRPr="00BC181D">
                <w:rPr>
                  <w:rStyle w:val="Hyperlink"/>
                  <w:sz w:val="18"/>
                  <w:szCs w:val="18"/>
                  <w:lang w:val="en-GB"/>
                </w:rPr>
                <w:t>https://ghdx.healthdata.org/gbd-</w:t>
              </w:r>
              <w:r w:rsidRPr="00BC181D">
                <w:rPr>
                  <w:rStyle w:val="Hyperlink"/>
                  <w:sz w:val="18"/>
                  <w:szCs w:val="18"/>
                  <w:lang w:val="en-GB"/>
                </w:rPr>
                <w:lastRenderedPageBreak/>
                <w:t>2019/data-input-sources</w:t>
              </w:r>
            </w:hyperlink>
          </w:p>
        </w:tc>
      </w:tr>
      <w:tr w:rsidR="00020ADC" w:rsidRPr="00417D3C" w14:paraId="34D32B99"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558AADF" w14:textId="77777777" w:rsidR="00020ADC" w:rsidRPr="00417D3C" w:rsidRDefault="00020ADC" w:rsidP="00020ADC">
            <w:pPr>
              <w:spacing w:after="160" w:line="259" w:lineRule="auto"/>
              <w:rPr>
                <w:lang w:val="en-GB"/>
              </w:rPr>
            </w:pPr>
            <w:r w:rsidRPr="00417D3C">
              <w:rPr>
                <w:lang w:val="en-GB"/>
              </w:rPr>
              <w:lastRenderedPageBreak/>
              <w:t>6</w:t>
            </w:r>
          </w:p>
        </w:tc>
        <w:tc>
          <w:tcPr>
            <w:tcW w:w="8222" w:type="dxa"/>
            <w:shd w:val="clear" w:color="auto" w:fill="auto"/>
          </w:tcPr>
          <w:p w14:paraId="45A01E74" w14:textId="77777777"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BC181D">
              <w:rPr>
                <w:lang w:val="en-GB"/>
              </w:rPr>
              <w:t>Identify and describe any categories of input data that have potentially important biases (e.g., based on characteristics listed in item 5).</w:t>
            </w:r>
          </w:p>
        </w:tc>
        <w:tc>
          <w:tcPr>
            <w:tcW w:w="1417" w:type="dxa"/>
            <w:shd w:val="clear" w:color="auto" w:fill="auto"/>
          </w:tcPr>
          <w:p w14:paraId="2ABD2222" w14:textId="2856769D"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BC181D">
              <w:rPr>
                <w:sz w:val="18"/>
                <w:szCs w:val="18"/>
                <w:lang w:val="en-GB"/>
              </w:rPr>
              <w:t xml:space="preserve">Main text limitations section and supplementary appendix section </w:t>
            </w:r>
            <w:r w:rsidR="6128A911" w:rsidRPr="00BC181D">
              <w:rPr>
                <w:sz w:val="18"/>
                <w:szCs w:val="18"/>
                <w:lang w:val="en-GB"/>
              </w:rPr>
              <w:t>3</w:t>
            </w:r>
          </w:p>
        </w:tc>
      </w:tr>
      <w:tr w:rsidR="00020ADC" w:rsidRPr="00417D3C" w14:paraId="3AE49DE9"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D9D9D9" w:themeFill="background1" w:themeFillShade="D9"/>
          </w:tcPr>
          <w:p w14:paraId="243C5DBB" w14:textId="77777777" w:rsidR="00020ADC" w:rsidRPr="00417D3C" w:rsidRDefault="00020ADC" w:rsidP="00020ADC">
            <w:pPr>
              <w:spacing w:after="160" w:line="259" w:lineRule="auto"/>
              <w:rPr>
                <w:i/>
                <w:iCs/>
                <w:lang w:val="en-GB"/>
              </w:rPr>
            </w:pPr>
            <w:r w:rsidRPr="00417D3C">
              <w:rPr>
                <w:i/>
                <w:iCs/>
                <w:lang w:val="en-GB"/>
              </w:rPr>
              <w:t xml:space="preserve">   For data inputs that contribute to the analysis but were not synthesized as part of the study:</w:t>
            </w:r>
          </w:p>
        </w:tc>
      </w:tr>
      <w:tr w:rsidR="00020ADC" w:rsidRPr="00417D3C" w14:paraId="7F8FC5D7"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F8AB85A" w14:textId="77777777" w:rsidR="00020ADC" w:rsidRPr="00417D3C" w:rsidRDefault="00020ADC" w:rsidP="00020ADC">
            <w:pPr>
              <w:spacing w:after="160" w:line="259" w:lineRule="auto"/>
              <w:rPr>
                <w:lang w:val="en-GB"/>
              </w:rPr>
            </w:pPr>
            <w:r w:rsidRPr="00417D3C">
              <w:rPr>
                <w:lang w:val="en-GB"/>
              </w:rPr>
              <w:t>7</w:t>
            </w:r>
          </w:p>
        </w:tc>
        <w:tc>
          <w:tcPr>
            <w:tcW w:w="8222" w:type="dxa"/>
            <w:shd w:val="clear" w:color="auto" w:fill="auto"/>
          </w:tcPr>
          <w:p w14:paraId="37CF4430" w14:textId="77777777"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417D3C">
              <w:rPr>
                <w:lang w:val="en-GB"/>
              </w:rPr>
              <w:t xml:space="preserve">Describe and give sources for any other data inputs. </w:t>
            </w:r>
          </w:p>
        </w:tc>
        <w:tc>
          <w:tcPr>
            <w:tcW w:w="1417" w:type="dxa"/>
            <w:shd w:val="clear" w:color="auto" w:fill="auto"/>
          </w:tcPr>
          <w:p w14:paraId="2577CA11" w14:textId="1CC94B50"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GBD 2019 estimates: </w:t>
            </w:r>
            <w:hyperlink r:id="rId36" w:history="1">
              <w:r w:rsidRPr="0085205D">
                <w:rPr>
                  <w:rStyle w:val="Hyperlink"/>
                  <w:sz w:val="18"/>
                  <w:szCs w:val="18"/>
                  <w:lang w:val="en-GB"/>
                </w:rPr>
                <w:t>https://ghdx.healthdata.org/gbd-results-tool</w:t>
              </w:r>
            </w:hyperlink>
          </w:p>
        </w:tc>
      </w:tr>
      <w:tr w:rsidR="00020ADC" w:rsidRPr="00417D3C" w14:paraId="75658D42"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D9D9D9" w:themeFill="background1" w:themeFillShade="D9"/>
          </w:tcPr>
          <w:p w14:paraId="49A5B6E0" w14:textId="77777777" w:rsidR="00020ADC" w:rsidRPr="00417D3C" w:rsidRDefault="00020ADC" w:rsidP="00020ADC">
            <w:pPr>
              <w:spacing w:after="160" w:line="259" w:lineRule="auto"/>
              <w:rPr>
                <w:i/>
                <w:iCs/>
                <w:lang w:val="en-GB"/>
              </w:rPr>
            </w:pPr>
            <w:r w:rsidRPr="00417D3C">
              <w:rPr>
                <w:i/>
                <w:iCs/>
                <w:lang w:val="en-GB"/>
              </w:rPr>
              <w:t xml:space="preserve">   For all data inputs:</w:t>
            </w:r>
          </w:p>
        </w:tc>
      </w:tr>
      <w:tr w:rsidR="00020ADC" w:rsidRPr="00417D3C" w14:paraId="1D147DDF"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3E90DAB" w14:textId="77777777" w:rsidR="00020ADC" w:rsidRPr="00417D3C" w:rsidRDefault="00020ADC" w:rsidP="00020ADC">
            <w:pPr>
              <w:spacing w:after="160" w:line="259" w:lineRule="auto"/>
              <w:rPr>
                <w:lang w:val="en-GB"/>
              </w:rPr>
            </w:pPr>
            <w:r w:rsidRPr="00417D3C">
              <w:rPr>
                <w:lang w:val="en-GB"/>
              </w:rPr>
              <w:t>8</w:t>
            </w:r>
          </w:p>
        </w:tc>
        <w:tc>
          <w:tcPr>
            <w:tcW w:w="8222" w:type="dxa"/>
            <w:shd w:val="clear" w:color="auto" w:fill="auto"/>
          </w:tcPr>
          <w:p w14:paraId="2EBE3A28" w14:textId="77777777"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417D3C">
              <w:rPr>
                <w:lang w:val="en-GB"/>
              </w:rPr>
              <w:t>Provide all data inputs in a file format from which data can be efficiently extracted (e.g., a spreadsheet rather than a PDF), including all relevant meta-data listed in item 5. For any data inputs that cannot be shared because of ethical or legal reasons, such as third-party ownership, provide a contact name or the name of the institution that retains the right to the data.</w:t>
            </w:r>
          </w:p>
        </w:tc>
        <w:tc>
          <w:tcPr>
            <w:tcW w:w="1417" w:type="dxa"/>
            <w:shd w:val="clear" w:color="auto" w:fill="auto"/>
          </w:tcPr>
          <w:p w14:paraId="4FAFB678" w14:textId="77777777" w:rsidR="00020AD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Data inputs and/or contact information available at:</w:t>
            </w:r>
          </w:p>
          <w:p w14:paraId="22BBE387" w14:textId="438B46C0" w:rsidR="00020ADC" w:rsidRPr="00417D3C" w:rsidRDefault="00000000"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hyperlink r:id="rId37" w:history="1">
              <w:r w:rsidR="00020ADC" w:rsidRPr="0085205D">
                <w:rPr>
                  <w:rStyle w:val="Hyperlink"/>
                  <w:sz w:val="18"/>
                  <w:szCs w:val="18"/>
                  <w:lang w:val="en-GB"/>
                </w:rPr>
                <w:t>https://ghdx.healthdata.org/gbd-2019/data-input-sources</w:t>
              </w:r>
            </w:hyperlink>
          </w:p>
        </w:tc>
      </w:tr>
      <w:tr w:rsidR="00020ADC" w:rsidRPr="00417D3C" w14:paraId="106AE1C5"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shd w:val="clear" w:color="auto" w:fill="BFBFBF" w:themeFill="background1" w:themeFillShade="BF"/>
          </w:tcPr>
          <w:p w14:paraId="362DA6F5" w14:textId="77777777" w:rsidR="00020ADC" w:rsidRPr="00417D3C" w:rsidRDefault="00020ADC" w:rsidP="00020ADC">
            <w:pPr>
              <w:spacing w:after="160" w:line="259" w:lineRule="auto"/>
              <w:rPr>
                <w:lang w:val="en-GB"/>
              </w:rPr>
            </w:pPr>
            <w:r w:rsidRPr="00417D3C">
              <w:rPr>
                <w:lang w:val="en-GB"/>
              </w:rPr>
              <w:t>Data analysis</w:t>
            </w:r>
          </w:p>
        </w:tc>
      </w:tr>
      <w:tr w:rsidR="00020ADC" w:rsidRPr="00417D3C" w14:paraId="10BDF470"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F63F118" w14:textId="77777777" w:rsidR="00020ADC" w:rsidRPr="00417D3C" w:rsidRDefault="00020ADC" w:rsidP="00020ADC">
            <w:pPr>
              <w:spacing w:after="160" w:line="259" w:lineRule="auto"/>
              <w:rPr>
                <w:lang w:val="en-GB"/>
              </w:rPr>
            </w:pPr>
            <w:r w:rsidRPr="00417D3C">
              <w:rPr>
                <w:lang w:val="en-GB"/>
              </w:rPr>
              <w:t>9</w:t>
            </w:r>
          </w:p>
        </w:tc>
        <w:tc>
          <w:tcPr>
            <w:tcW w:w="8222" w:type="dxa"/>
            <w:shd w:val="clear" w:color="auto" w:fill="auto"/>
          </w:tcPr>
          <w:p w14:paraId="68251E34" w14:textId="77777777"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BC181D">
              <w:rPr>
                <w:lang w:val="en-GB"/>
              </w:rPr>
              <w:t xml:space="preserve">Provide a conceptual overview of the data analysis method. A diagram may be helpful. </w:t>
            </w:r>
          </w:p>
        </w:tc>
        <w:tc>
          <w:tcPr>
            <w:tcW w:w="1417" w:type="dxa"/>
            <w:shd w:val="clear" w:color="auto" w:fill="auto"/>
          </w:tcPr>
          <w:p w14:paraId="73048DB9" w14:textId="126CD188"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BC181D">
              <w:rPr>
                <w:sz w:val="18"/>
                <w:szCs w:val="18"/>
                <w:lang w:val="en-GB"/>
              </w:rPr>
              <w:t>Main text methods section</w:t>
            </w:r>
          </w:p>
        </w:tc>
      </w:tr>
      <w:tr w:rsidR="00020ADC" w:rsidRPr="00417D3C" w14:paraId="4B1ECCCA"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2571479" w14:textId="77777777" w:rsidR="00020ADC" w:rsidRPr="00417D3C" w:rsidRDefault="00020ADC" w:rsidP="00020ADC">
            <w:pPr>
              <w:spacing w:after="160" w:line="259" w:lineRule="auto"/>
              <w:rPr>
                <w:lang w:val="en-GB"/>
              </w:rPr>
            </w:pPr>
            <w:r w:rsidRPr="00417D3C">
              <w:rPr>
                <w:lang w:val="en-GB"/>
              </w:rPr>
              <w:t>10</w:t>
            </w:r>
          </w:p>
        </w:tc>
        <w:tc>
          <w:tcPr>
            <w:tcW w:w="8222" w:type="dxa"/>
            <w:shd w:val="clear" w:color="auto" w:fill="auto"/>
          </w:tcPr>
          <w:p w14:paraId="41B9511B" w14:textId="77777777" w:rsidR="00020ADC" w:rsidRPr="00BC181D"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BC181D">
              <w:rPr>
                <w:lang w:val="en-GB"/>
              </w:rPr>
              <w:t xml:space="preserve">Provide a detailed description of all steps of the analysis, including mathematical formulae. This description should cover, as relevant, data cleaning, data pre-processing, data adjustments and weighting of data sources, and mathematical or statistical model(s). </w:t>
            </w:r>
          </w:p>
        </w:tc>
        <w:tc>
          <w:tcPr>
            <w:tcW w:w="1417" w:type="dxa"/>
            <w:shd w:val="clear" w:color="auto" w:fill="auto"/>
          </w:tcPr>
          <w:p w14:paraId="7D6948E7" w14:textId="18113968" w:rsidR="00020ADC" w:rsidRPr="00BC181D"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sidRPr="00BC181D">
              <w:rPr>
                <w:sz w:val="18"/>
                <w:szCs w:val="18"/>
                <w:lang w:val="en-GB"/>
              </w:rPr>
              <w:t xml:space="preserve">Supplementary appendix section </w:t>
            </w:r>
            <w:r w:rsidR="06A596D9" w:rsidRPr="00BC181D">
              <w:rPr>
                <w:sz w:val="18"/>
                <w:szCs w:val="18"/>
                <w:lang w:val="en-GB"/>
              </w:rPr>
              <w:t>3</w:t>
            </w:r>
          </w:p>
        </w:tc>
      </w:tr>
      <w:tr w:rsidR="00020ADC" w:rsidRPr="00417D3C" w14:paraId="5F7B2696"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7A3396C" w14:textId="77777777" w:rsidR="00020ADC" w:rsidRPr="00417D3C" w:rsidRDefault="00020ADC" w:rsidP="00020ADC">
            <w:pPr>
              <w:spacing w:after="160" w:line="259" w:lineRule="auto"/>
              <w:rPr>
                <w:lang w:val="en-GB"/>
              </w:rPr>
            </w:pPr>
            <w:r w:rsidRPr="00417D3C">
              <w:rPr>
                <w:lang w:val="en-GB"/>
              </w:rPr>
              <w:t>11</w:t>
            </w:r>
          </w:p>
        </w:tc>
        <w:tc>
          <w:tcPr>
            <w:tcW w:w="8222" w:type="dxa"/>
            <w:shd w:val="clear" w:color="auto" w:fill="auto"/>
          </w:tcPr>
          <w:p w14:paraId="4BDECE7B" w14:textId="77777777"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BC181D">
              <w:rPr>
                <w:lang w:val="en-GB"/>
              </w:rPr>
              <w:t>Describe how candidate models were evaluated and how the final model(s) were selected.</w:t>
            </w:r>
          </w:p>
        </w:tc>
        <w:tc>
          <w:tcPr>
            <w:tcW w:w="1417" w:type="dxa"/>
            <w:shd w:val="clear" w:color="auto" w:fill="auto"/>
          </w:tcPr>
          <w:p w14:paraId="3DA43467" w14:textId="67D4127C"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BC181D">
              <w:rPr>
                <w:sz w:val="18"/>
                <w:szCs w:val="18"/>
                <w:lang w:val="en-GB"/>
              </w:rPr>
              <w:t xml:space="preserve">Supplementary appendix section </w:t>
            </w:r>
            <w:r w:rsidR="40CA2273" w:rsidRPr="00BC181D">
              <w:rPr>
                <w:sz w:val="18"/>
                <w:szCs w:val="18"/>
                <w:lang w:val="en-GB"/>
              </w:rPr>
              <w:t>3</w:t>
            </w:r>
          </w:p>
        </w:tc>
      </w:tr>
      <w:tr w:rsidR="00020ADC" w:rsidRPr="00417D3C" w14:paraId="4E6EEFD0"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2843A29" w14:textId="77777777" w:rsidR="00020ADC" w:rsidRPr="00417D3C" w:rsidRDefault="00020ADC" w:rsidP="00020ADC">
            <w:pPr>
              <w:spacing w:after="160" w:line="259" w:lineRule="auto"/>
              <w:rPr>
                <w:lang w:val="en-GB"/>
              </w:rPr>
            </w:pPr>
            <w:r w:rsidRPr="00417D3C">
              <w:rPr>
                <w:lang w:val="en-GB"/>
              </w:rPr>
              <w:t>12</w:t>
            </w:r>
          </w:p>
        </w:tc>
        <w:tc>
          <w:tcPr>
            <w:tcW w:w="8222" w:type="dxa"/>
            <w:shd w:val="clear" w:color="auto" w:fill="auto"/>
          </w:tcPr>
          <w:p w14:paraId="75B7FF6C" w14:textId="77777777" w:rsidR="00020ADC" w:rsidRPr="00BC181D"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BC181D">
              <w:rPr>
                <w:lang w:val="en-GB"/>
              </w:rPr>
              <w:t>Provide the results of an evaluation of model performance, if done, as well as the results of any relevant sensitivity analysis.</w:t>
            </w:r>
          </w:p>
        </w:tc>
        <w:tc>
          <w:tcPr>
            <w:tcW w:w="1417" w:type="dxa"/>
            <w:shd w:val="clear" w:color="auto" w:fill="auto"/>
          </w:tcPr>
          <w:p w14:paraId="2ECECBD8" w14:textId="4DD618BB" w:rsidR="00020ADC" w:rsidRPr="00BC181D"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sidRPr="00BC181D">
              <w:rPr>
                <w:sz w:val="18"/>
                <w:szCs w:val="18"/>
                <w:lang w:val="en-GB"/>
              </w:rPr>
              <w:t xml:space="preserve">Supplementary appendix section </w:t>
            </w:r>
            <w:r w:rsidR="7A15F940" w:rsidRPr="00BC181D">
              <w:rPr>
                <w:sz w:val="18"/>
                <w:szCs w:val="18"/>
                <w:lang w:val="en-GB"/>
              </w:rPr>
              <w:t>3</w:t>
            </w:r>
          </w:p>
        </w:tc>
      </w:tr>
      <w:tr w:rsidR="00020ADC" w:rsidRPr="00417D3C" w14:paraId="30F8DE4C"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0F2F04F" w14:textId="77777777" w:rsidR="00020ADC" w:rsidRPr="00417D3C" w:rsidRDefault="00020ADC" w:rsidP="00020ADC">
            <w:pPr>
              <w:spacing w:after="160" w:line="259" w:lineRule="auto"/>
              <w:rPr>
                <w:lang w:val="en-GB"/>
              </w:rPr>
            </w:pPr>
            <w:r w:rsidRPr="00417D3C">
              <w:rPr>
                <w:lang w:val="en-GB"/>
              </w:rPr>
              <w:t>13</w:t>
            </w:r>
          </w:p>
        </w:tc>
        <w:tc>
          <w:tcPr>
            <w:tcW w:w="8222" w:type="dxa"/>
            <w:shd w:val="clear" w:color="auto" w:fill="auto"/>
          </w:tcPr>
          <w:p w14:paraId="52F9AFD6" w14:textId="77777777"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417D3C">
              <w:rPr>
                <w:lang w:val="en-GB"/>
              </w:rPr>
              <w:t>Describe methods for calculating uncertainty of the estimates. State which sources of uncertainty were, and were not, accounted for in the uncertainty analysis.</w:t>
            </w:r>
          </w:p>
        </w:tc>
        <w:tc>
          <w:tcPr>
            <w:tcW w:w="1417" w:type="dxa"/>
            <w:shd w:val="clear" w:color="auto" w:fill="auto"/>
          </w:tcPr>
          <w:p w14:paraId="4FDB73DE" w14:textId="297F972D"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BC181D">
              <w:rPr>
                <w:sz w:val="18"/>
                <w:szCs w:val="18"/>
                <w:lang w:val="en-GB"/>
              </w:rPr>
              <w:t>Main text methods section</w:t>
            </w:r>
            <w:r w:rsidR="00783D16" w:rsidRPr="00BC181D">
              <w:rPr>
                <w:sz w:val="18"/>
                <w:szCs w:val="18"/>
                <w:lang w:val="en-GB"/>
              </w:rPr>
              <w:t xml:space="preserve"> and supplementary appendix section </w:t>
            </w:r>
            <w:r w:rsidR="56124A08" w:rsidRPr="00BC181D">
              <w:rPr>
                <w:sz w:val="18"/>
                <w:szCs w:val="18"/>
                <w:lang w:val="en-GB"/>
              </w:rPr>
              <w:t>3</w:t>
            </w:r>
          </w:p>
        </w:tc>
      </w:tr>
      <w:tr w:rsidR="00020ADC" w:rsidRPr="00417D3C" w14:paraId="69AC3153"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674CA7F" w14:textId="77777777" w:rsidR="00020ADC" w:rsidRPr="00417D3C" w:rsidRDefault="00020ADC" w:rsidP="00020ADC">
            <w:pPr>
              <w:spacing w:after="160" w:line="259" w:lineRule="auto"/>
              <w:rPr>
                <w:lang w:val="en-GB"/>
              </w:rPr>
            </w:pPr>
            <w:r w:rsidRPr="00417D3C">
              <w:rPr>
                <w:lang w:val="en-GB"/>
              </w:rPr>
              <w:t>14</w:t>
            </w:r>
          </w:p>
        </w:tc>
        <w:tc>
          <w:tcPr>
            <w:tcW w:w="8222" w:type="dxa"/>
          </w:tcPr>
          <w:p w14:paraId="59894F83" w14:textId="77777777" w:rsidR="00020ADC" w:rsidRPr="00417D3C"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417D3C">
              <w:rPr>
                <w:lang w:val="en-GB"/>
              </w:rPr>
              <w:t>State how analytic or statistical source code used to generate estimates can be accessed.</w:t>
            </w:r>
          </w:p>
        </w:tc>
        <w:tc>
          <w:tcPr>
            <w:tcW w:w="1417" w:type="dxa"/>
          </w:tcPr>
          <w:p w14:paraId="03BC4B94" w14:textId="6078FF7D" w:rsidR="00020ADC" w:rsidRPr="00417D3C" w:rsidRDefault="00783D16"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Pr>
                <w:sz w:val="18"/>
                <w:szCs w:val="18"/>
                <w:lang w:val="en-GB"/>
              </w:rPr>
              <w:t xml:space="preserve">Main text methods section (link to GitHub code will be available at the </w:t>
            </w:r>
            <w:r>
              <w:rPr>
                <w:sz w:val="18"/>
                <w:szCs w:val="18"/>
                <w:lang w:val="en-GB"/>
              </w:rPr>
              <w:lastRenderedPageBreak/>
              <w:t>time of publication)</w:t>
            </w:r>
          </w:p>
        </w:tc>
      </w:tr>
      <w:tr w:rsidR="00020ADC" w:rsidRPr="00417D3C" w14:paraId="5CBFF2A0"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3"/>
          </w:tcPr>
          <w:p w14:paraId="0DED1EB6" w14:textId="77777777" w:rsidR="00020ADC" w:rsidRPr="00417D3C" w:rsidRDefault="00020ADC" w:rsidP="00020ADC">
            <w:pPr>
              <w:spacing w:after="160" w:line="259" w:lineRule="auto"/>
              <w:rPr>
                <w:lang w:val="en-GB"/>
              </w:rPr>
            </w:pPr>
            <w:r w:rsidRPr="00417D3C">
              <w:rPr>
                <w:lang w:val="en-GB"/>
              </w:rPr>
              <w:lastRenderedPageBreak/>
              <w:t>Results and Discussion</w:t>
            </w:r>
          </w:p>
        </w:tc>
      </w:tr>
      <w:tr w:rsidR="00020ADC" w:rsidRPr="00417D3C" w14:paraId="1E85B185"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ACBBB0B" w14:textId="77777777" w:rsidR="00020ADC" w:rsidRPr="00417D3C" w:rsidRDefault="00020ADC" w:rsidP="00020ADC">
            <w:pPr>
              <w:spacing w:after="160" w:line="259" w:lineRule="auto"/>
              <w:rPr>
                <w:lang w:val="en-GB"/>
              </w:rPr>
            </w:pPr>
            <w:r w:rsidRPr="00417D3C">
              <w:rPr>
                <w:lang w:val="en-GB"/>
              </w:rPr>
              <w:t>15</w:t>
            </w:r>
          </w:p>
        </w:tc>
        <w:tc>
          <w:tcPr>
            <w:tcW w:w="8222" w:type="dxa"/>
          </w:tcPr>
          <w:p w14:paraId="04D36373" w14:textId="77777777" w:rsidR="00020ADC" w:rsidRPr="00417D3C"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417D3C">
              <w:rPr>
                <w:lang w:val="en-GB"/>
              </w:rPr>
              <w:t>Provide published estimates in a file format from which data can be efficiently extracted.</w:t>
            </w:r>
          </w:p>
        </w:tc>
        <w:tc>
          <w:tcPr>
            <w:tcW w:w="1417" w:type="dxa"/>
          </w:tcPr>
          <w:p w14:paraId="3C9AED12" w14:textId="11351790" w:rsidR="00020ADC" w:rsidRPr="00417D3C" w:rsidRDefault="00783D16"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Pr>
                <w:sz w:val="18"/>
                <w:szCs w:val="18"/>
                <w:lang w:val="en-GB"/>
              </w:rPr>
              <w:t>CSV files are available upon request to the corresponding author</w:t>
            </w:r>
          </w:p>
        </w:tc>
      </w:tr>
      <w:tr w:rsidR="00020ADC" w:rsidRPr="00417D3C" w14:paraId="7762A3AA"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9F7F6F7" w14:textId="77777777" w:rsidR="00020ADC" w:rsidRPr="00417D3C" w:rsidRDefault="00020ADC" w:rsidP="00020ADC">
            <w:pPr>
              <w:spacing w:after="160" w:line="259" w:lineRule="auto"/>
              <w:rPr>
                <w:lang w:val="en-GB"/>
              </w:rPr>
            </w:pPr>
            <w:r w:rsidRPr="00417D3C">
              <w:rPr>
                <w:lang w:val="en-GB"/>
              </w:rPr>
              <w:t>16</w:t>
            </w:r>
          </w:p>
        </w:tc>
        <w:tc>
          <w:tcPr>
            <w:tcW w:w="8222" w:type="dxa"/>
            <w:shd w:val="clear" w:color="auto" w:fill="auto"/>
          </w:tcPr>
          <w:p w14:paraId="08CA0553" w14:textId="77777777" w:rsidR="00020ADC" w:rsidRPr="00417D3C"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417D3C">
              <w:rPr>
                <w:lang w:val="en-GB"/>
              </w:rPr>
              <w:t>Report a quantitative measure of the uncertainty of the estimates (</w:t>
            </w:r>
            <w:proofErr w:type="gramStart"/>
            <w:r w:rsidRPr="00417D3C">
              <w:rPr>
                <w:lang w:val="en-GB"/>
              </w:rPr>
              <w:t>e.g.</w:t>
            </w:r>
            <w:proofErr w:type="gramEnd"/>
            <w:r w:rsidRPr="00417D3C">
              <w:rPr>
                <w:lang w:val="en-GB"/>
              </w:rPr>
              <w:t xml:space="preserve"> uncertainty intervals).</w:t>
            </w:r>
          </w:p>
        </w:tc>
        <w:tc>
          <w:tcPr>
            <w:tcW w:w="1417" w:type="dxa"/>
            <w:shd w:val="clear" w:color="auto" w:fill="auto"/>
          </w:tcPr>
          <w:p w14:paraId="493AFF58" w14:textId="373F9C27" w:rsidR="00020ADC" w:rsidRPr="00417D3C" w:rsidRDefault="00783D16"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85205D">
              <w:rPr>
                <w:sz w:val="18"/>
                <w:szCs w:val="18"/>
                <w:lang w:val="en-GB"/>
              </w:rPr>
              <w:t>Uncertainty intervals are provided for all estimates throughout the main text (summary, results, and discussion sections)</w:t>
            </w:r>
          </w:p>
        </w:tc>
      </w:tr>
      <w:tr w:rsidR="00020ADC" w:rsidRPr="00417D3C" w14:paraId="0C2409AE" w14:textId="77777777" w:rsidTr="00020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E2DA2A7" w14:textId="77777777" w:rsidR="00020ADC" w:rsidRPr="00417D3C" w:rsidRDefault="00020ADC" w:rsidP="00020ADC">
            <w:pPr>
              <w:spacing w:after="160" w:line="259" w:lineRule="auto"/>
              <w:rPr>
                <w:lang w:val="en-GB"/>
              </w:rPr>
            </w:pPr>
            <w:r w:rsidRPr="00417D3C">
              <w:rPr>
                <w:lang w:val="en-GB"/>
              </w:rPr>
              <w:t>17</w:t>
            </w:r>
          </w:p>
        </w:tc>
        <w:tc>
          <w:tcPr>
            <w:tcW w:w="8222" w:type="dxa"/>
            <w:shd w:val="clear" w:color="auto" w:fill="auto"/>
          </w:tcPr>
          <w:p w14:paraId="57C597BD" w14:textId="77777777" w:rsidR="00020ADC" w:rsidRPr="00417D3C" w:rsidRDefault="00020ADC" w:rsidP="00020ADC">
            <w:pPr>
              <w:spacing w:after="160" w:line="259" w:lineRule="auto"/>
              <w:cnfStyle w:val="000000010000" w:firstRow="0" w:lastRow="0" w:firstColumn="0" w:lastColumn="0" w:oddVBand="0" w:evenVBand="0" w:oddHBand="0" w:evenHBand="1" w:firstRowFirstColumn="0" w:firstRowLastColumn="0" w:lastRowFirstColumn="0" w:lastRowLastColumn="0"/>
              <w:rPr>
                <w:lang w:val="en-GB"/>
              </w:rPr>
            </w:pPr>
            <w:r w:rsidRPr="00417D3C">
              <w:rPr>
                <w:lang w:val="en-GB"/>
              </w:rPr>
              <w:t xml:space="preserve">Interpret results </w:t>
            </w:r>
            <w:proofErr w:type="gramStart"/>
            <w:r w:rsidRPr="00417D3C">
              <w:rPr>
                <w:lang w:val="en-GB"/>
              </w:rPr>
              <w:t>in light of</w:t>
            </w:r>
            <w:proofErr w:type="gramEnd"/>
            <w:r w:rsidRPr="00417D3C">
              <w:rPr>
                <w:lang w:val="en-GB"/>
              </w:rPr>
              <w:t xml:space="preserve"> existing evidence. If updating a previous set of estimates, describe the reasons for changes in estimates.</w:t>
            </w:r>
          </w:p>
        </w:tc>
        <w:tc>
          <w:tcPr>
            <w:tcW w:w="1417" w:type="dxa"/>
            <w:shd w:val="clear" w:color="auto" w:fill="auto"/>
          </w:tcPr>
          <w:p w14:paraId="525B1AE8" w14:textId="484A4F74" w:rsidR="00020ADC" w:rsidRPr="00417D3C" w:rsidRDefault="00783D16" w:rsidP="00020ADC">
            <w:pPr>
              <w:spacing w:after="160" w:line="259" w:lineRule="auto"/>
              <w:cnfStyle w:val="000000010000" w:firstRow="0" w:lastRow="0" w:firstColumn="0" w:lastColumn="0" w:oddVBand="0" w:evenVBand="0" w:oddHBand="0" w:evenHBand="1" w:firstRowFirstColumn="0" w:firstRowLastColumn="0" w:lastRowFirstColumn="0" w:lastRowLastColumn="0"/>
              <w:rPr>
                <w:sz w:val="18"/>
                <w:szCs w:val="18"/>
                <w:lang w:val="en-GB"/>
              </w:rPr>
            </w:pPr>
            <w:r w:rsidRPr="0085205D">
              <w:rPr>
                <w:sz w:val="18"/>
                <w:szCs w:val="18"/>
                <w:lang w:val="en-GB"/>
              </w:rPr>
              <w:t>Main text (research in context, introduction, and discussion sections)</w:t>
            </w:r>
          </w:p>
        </w:tc>
      </w:tr>
      <w:tr w:rsidR="00020ADC" w:rsidRPr="00417D3C" w14:paraId="4D999746" w14:textId="77777777" w:rsidTr="0002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D94120E" w14:textId="77777777" w:rsidR="00020ADC" w:rsidRPr="00417D3C" w:rsidRDefault="00020ADC" w:rsidP="00020ADC">
            <w:pPr>
              <w:spacing w:after="160" w:line="259" w:lineRule="auto"/>
              <w:rPr>
                <w:lang w:val="en-GB"/>
              </w:rPr>
            </w:pPr>
            <w:r w:rsidRPr="00417D3C">
              <w:rPr>
                <w:lang w:val="en-GB"/>
              </w:rPr>
              <w:t>18</w:t>
            </w:r>
          </w:p>
        </w:tc>
        <w:tc>
          <w:tcPr>
            <w:tcW w:w="8222" w:type="dxa"/>
            <w:shd w:val="clear" w:color="auto" w:fill="auto"/>
          </w:tcPr>
          <w:p w14:paraId="1485859F" w14:textId="77777777" w:rsidR="00020ADC" w:rsidRPr="00BC181D" w:rsidRDefault="00020ADC" w:rsidP="00020ADC">
            <w:pPr>
              <w:spacing w:after="160" w:line="259" w:lineRule="auto"/>
              <w:cnfStyle w:val="000000100000" w:firstRow="0" w:lastRow="0" w:firstColumn="0" w:lastColumn="0" w:oddVBand="0" w:evenVBand="0" w:oddHBand="1" w:evenHBand="0" w:firstRowFirstColumn="0" w:firstRowLastColumn="0" w:lastRowFirstColumn="0" w:lastRowLastColumn="0"/>
              <w:rPr>
                <w:lang w:val="en-GB"/>
              </w:rPr>
            </w:pPr>
            <w:r w:rsidRPr="00BC181D">
              <w:rPr>
                <w:lang w:val="en-GB"/>
              </w:rPr>
              <w:t>Discuss limitations of the estimates. Include a discussion of any modelling assumptions or data limitations that affect interpretation of the estimates.</w:t>
            </w:r>
          </w:p>
        </w:tc>
        <w:tc>
          <w:tcPr>
            <w:tcW w:w="1417" w:type="dxa"/>
            <w:shd w:val="clear" w:color="auto" w:fill="auto"/>
          </w:tcPr>
          <w:p w14:paraId="6163D2C4" w14:textId="1ED759A3" w:rsidR="00020ADC" w:rsidRPr="00BC181D" w:rsidRDefault="00783D16" w:rsidP="00020ADC">
            <w:p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BC181D">
              <w:rPr>
                <w:sz w:val="18"/>
                <w:szCs w:val="18"/>
                <w:lang w:val="en-GB"/>
              </w:rPr>
              <w:t xml:space="preserve">Main text limitations section and supplementary appendix (section </w:t>
            </w:r>
            <w:r w:rsidR="6DE17BCE" w:rsidRPr="00BC181D">
              <w:rPr>
                <w:sz w:val="18"/>
                <w:szCs w:val="18"/>
                <w:lang w:val="en-GB"/>
              </w:rPr>
              <w:t>3</w:t>
            </w:r>
            <w:r w:rsidRPr="00BC181D">
              <w:rPr>
                <w:sz w:val="18"/>
                <w:szCs w:val="18"/>
                <w:lang w:val="en-GB"/>
              </w:rPr>
              <w:t>)</w:t>
            </w:r>
          </w:p>
        </w:tc>
      </w:tr>
    </w:tbl>
    <w:p w14:paraId="184D2BC1" w14:textId="77777777" w:rsidR="0065534D" w:rsidRDefault="0065534D" w:rsidP="0065534D">
      <w:pPr>
        <w:rPr>
          <w:i/>
          <w:iCs/>
          <w:lang w:val="en-GB"/>
        </w:rPr>
      </w:pPr>
      <w:r w:rsidRPr="00417D3C">
        <w:rPr>
          <w:i/>
          <w:iCs/>
          <w:lang w:val="en-GB"/>
        </w:rPr>
        <w:t xml:space="preserve">This checklist should be used in conjunction with the GATHER statement and Explanation and Elaboration document, found on </w:t>
      </w:r>
      <w:proofErr w:type="gramStart"/>
      <w:r w:rsidRPr="00417D3C">
        <w:rPr>
          <w:i/>
          <w:iCs/>
          <w:lang w:val="en-GB"/>
        </w:rPr>
        <w:t>gather-statement.org</w:t>
      </w:r>
      <w:proofErr w:type="gramEnd"/>
    </w:p>
    <w:p w14:paraId="63943DFD" w14:textId="77777777" w:rsidR="003B2FB7" w:rsidRDefault="003B2FB7" w:rsidP="0065534D">
      <w:pPr>
        <w:tabs>
          <w:tab w:val="left" w:pos="2750"/>
        </w:tabs>
      </w:pPr>
    </w:p>
    <w:p w14:paraId="1647BA3F" w14:textId="77777777" w:rsidR="00446B00" w:rsidRDefault="00446B00">
      <w:r>
        <w:br w:type="page"/>
      </w:r>
    </w:p>
    <w:p w14:paraId="4D480B58" w14:textId="307D5AAE" w:rsidR="003B2FB7" w:rsidRPr="00446B00" w:rsidRDefault="003B2FB7" w:rsidP="00446B00">
      <w:pPr>
        <w:pStyle w:val="Heading1"/>
        <w:rPr>
          <w:rFonts w:asciiTheme="majorHAnsi" w:hAnsiTheme="majorHAnsi"/>
          <w:color w:val="2E74B5" w:themeColor="accent1" w:themeShade="BF"/>
          <w:sz w:val="32"/>
        </w:rPr>
      </w:pPr>
      <w:bookmarkStart w:id="217" w:name="_Toc135992053"/>
      <w:r w:rsidRPr="0081609C">
        <w:lastRenderedPageBreak/>
        <w:t>References</w:t>
      </w:r>
      <w:bookmarkEnd w:id="217"/>
    </w:p>
    <w:p w14:paraId="78B2ED4F" w14:textId="77777777" w:rsidR="00BE32E5" w:rsidRPr="00BE32E5" w:rsidRDefault="00E60A0D" w:rsidP="00BE32E5">
      <w:pPr>
        <w:pStyle w:val="Bibliography"/>
        <w:rPr>
          <w:rFonts w:cs="Times New Roman"/>
        </w:rPr>
      </w:pPr>
      <w:r>
        <w:rPr>
          <w:color w:val="2B579A"/>
          <w:shd w:val="clear" w:color="auto" w:fill="E6E6E6"/>
        </w:rPr>
        <w:fldChar w:fldCharType="begin"/>
      </w:r>
      <w:r w:rsidR="0005667B">
        <w:instrText xml:space="preserve"> ADDIN ZOTERO_BIBL {"uncited":[],"omitted":[],"custom":[]} CSL_BIBLIOGRAPHY </w:instrText>
      </w:r>
      <w:r>
        <w:rPr>
          <w:color w:val="2B579A"/>
          <w:shd w:val="clear" w:color="auto" w:fill="E6E6E6"/>
        </w:rPr>
        <w:fldChar w:fldCharType="separate"/>
      </w:r>
      <w:r w:rsidR="00BE32E5" w:rsidRPr="00BE32E5">
        <w:rPr>
          <w:rFonts w:cs="Times New Roman"/>
        </w:rPr>
        <w:t>1</w:t>
      </w:r>
      <w:r w:rsidR="00BE32E5" w:rsidRPr="00BE32E5">
        <w:rPr>
          <w:rFonts w:cs="Times New Roman"/>
        </w:rPr>
        <w:tab/>
        <w:t xml:space="preserve">Antimicrobial Resistance Collaborators. Global burden of bacterial antimicrobial resistance in 2019: a systematic analysis. </w:t>
      </w:r>
      <w:r w:rsidR="00BE32E5" w:rsidRPr="00BE32E5">
        <w:rPr>
          <w:rFonts w:cs="Times New Roman"/>
          <w:i/>
          <w:iCs/>
        </w:rPr>
        <w:t>The Lancet</w:t>
      </w:r>
      <w:r w:rsidR="00BE32E5" w:rsidRPr="00BE32E5">
        <w:rPr>
          <w:rFonts w:cs="Times New Roman"/>
        </w:rPr>
        <w:t xml:space="preserve"> 2022; </w:t>
      </w:r>
      <w:r w:rsidR="00BE32E5" w:rsidRPr="00BE32E5">
        <w:rPr>
          <w:rFonts w:cs="Times New Roman"/>
          <w:b/>
          <w:bCs/>
        </w:rPr>
        <w:t>399</w:t>
      </w:r>
      <w:r w:rsidR="00BE32E5" w:rsidRPr="00BE32E5">
        <w:rPr>
          <w:rFonts w:cs="Times New Roman"/>
        </w:rPr>
        <w:t>: 629–55.</w:t>
      </w:r>
    </w:p>
    <w:p w14:paraId="0346D5E8" w14:textId="77777777" w:rsidR="00BE32E5" w:rsidRPr="00BE32E5" w:rsidRDefault="00BE32E5" w:rsidP="00BE32E5">
      <w:pPr>
        <w:pStyle w:val="Bibliography"/>
        <w:rPr>
          <w:rFonts w:cs="Times New Roman"/>
        </w:rPr>
      </w:pPr>
      <w:r w:rsidRPr="00BE32E5">
        <w:rPr>
          <w:rFonts w:cs="Times New Roman"/>
        </w:rPr>
        <w:t>2</w:t>
      </w:r>
      <w:r w:rsidRPr="00BE32E5">
        <w:rPr>
          <w:rFonts w:cs="Times New Roman"/>
        </w:rPr>
        <w:tab/>
        <w:t xml:space="preserve">European Antimicrobial Resistance Collaborators. The burden of bacterial antimicrobial resistance in the WHO European region in 2019: a cross-country systematic analysis. </w:t>
      </w:r>
      <w:r w:rsidRPr="00BE32E5">
        <w:rPr>
          <w:rFonts w:cs="Times New Roman"/>
          <w:i/>
          <w:iCs/>
        </w:rPr>
        <w:t>Lancet Public Health</w:t>
      </w:r>
      <w:r w:rsidRPr="00BE32E5">
        <w:rPr>
          <w:rFonts w:cs="Times New Roman"/>
        </w:rPr>
        <w:t xml:space="preserve"> 2022; </w:t>
      </w:r>
      <w:r w:rsidRPr="00BE32E5">
        <w:rPr>
          <w:rFonts w:cs="Times New Roman"/>
          <w:b/>
          <w:bCs/>
        </w:rPr>
        <w:t>7</w:t>
      </w:r>
      <w:r w:rsidRPr="00BE32E5">
        <w:rPr>
          <w:rFonts w:cs="Times New Roman"/>
        </w:rPr>
        <w:t>: e897–913.</w:t>
      </w:r>
    </w:p>
    <w:p w14:paraId="4F88CF77" w14:textId="77777777" w:rsidR="00BE32E5" w:rsidRPr="00BE32E5" w:rsidRDefault="00BE32E5" w:rsidP="00BE32E5">
      <w:pPr>
        <w:pStyle w:val="Bibliography"/>
        <w:rPr>
          <w:rFonts w:cs="Times New Roman"/>
        </w:rPr>
      </w:pPr>
      <w:r w:rsidRPr="00BE32E5">
        <w:rPr>
          <w:rFonts w:cs="Times New Roman"/>
        </w:rPr>
        <w:t>3</w:t>
      </w:r>
      <w:r w:rsidRPr="00BE32E5">
        <w:rPr>
          <w:rFonts w:cs="Times New Roman"/>
        </w:rPr>
        <w:tab/>
        <w:t xml:space="preserve">GBD 2019 Diseases and Injuries Collaborators. Global burden of 369 diseases and injuries in 204 countries and territories, 1990–2019: a systematic analysis for the Global Burden of Disease Study 2019. </w:t>
      </w:r>
      <w:r w:rsidRPr="00BE32E5">
        <w:rPr>
          <w:rFonts w:cs="Times New Roman"/>
          <w:i/>
          <w:iCs/>
        </w:rPr>
        <w:t>The Lancet</w:t>
      </w:r>
      <w:r w:rsidRPr="00BE32E5">
        <w:rPr>
          <w:rFonts w:cs="Times New Roman"/>
        </w:rPr>
        <w:t xml:space="preserve"> 2020; </w:t>
      </w:r>
      <w:r w:rsidRPr="00BE32E5">
        <w:rPr>
          <w:rFonts w:cs="Times New Roman"/>
          <w:b/>
          <w:bCs/>
        </w:rPr>
        <w:t>396</w:t>
      </w:r>
      <w:r w:rsidRPr="00BE32E5">
        <w:rPr>
          <w:rFonts w:cs="Times New Roman"/>
        </w:rPr>
        <w:t>: 1204–22.</w:t>
      </w:r>
    </w:p>
    <w:p w14:paraId="4E8BEC30" w14:textId="77777777" w:rsidR="00BE32E5" w:rsidRPr="00BE32E5" w:rsidRDefault="00BE32E5" w:rsidP="00BE32E5">
      <w:pPr>
        <w:pStyle w:val="Bibliography"/>
        <w:rPr>
          <w:rFonts w:cs="Times New Roman"/>
        </w:rPr>
      </w:pPr>
      <w:r w:rsidRPr="00BE32E5">
        <w:rPr>
          <w:rFonts w:cs="Times New Roman"/>
        </w:rPr>
        <w:t>4</w:t>
      </w:r>
      <w:r w:rsidRPr="00BE32E5">
        <w:rPr>
          <w:rFonts w:cs="Times New Roman"/>
        </w:rPr>
        <w:tab/>
        <w:t xml:space="preserve">GBD 2019 Demographics Collaborators. Global age-sex-specific fertility, mortality, healthy life expectancy (HALE), and population estimates in 204 countries and territories, 1950–2019: a comprehensive demographic analysis for the Global Burden of Disease Study 2019. </w:t>
      </w:r>
      <w:r w:rsidRPr="00BE32E5">
        <w:rPr>
          <w:rFonts w:cs="Times New Roman"/>
          <w:i/>
          <w:iCs/>
        </w:rPr>
        <w:t>The Lancet</w:t>
      </w:r>
      <w:r w:rsidRPr="00BE32E5">
        <w:rPr>
          <w:rFonts w:cs="Times New Roman"/>
        </w:rPr>
        <w:t xml:space="preserve"> 2020; </w:t>
      </w:r>
      <w:r w:rsidRPr="00BE32E5">
        <w:rPr>
          <w:rFonts w:cs="Times New Roman"/>
          <w:b/>
          <w:bCs/>
        </w:rPr>
        <w:t>396</w:t>
      </w:r>
      <w:r w:rsidRPr="00BE32E5">
        <w:rPr>
          <w:rFonts w:cs="Times New Roman"/>
        </w:rPr>
        <w:t>: 1160–203.</w:t>
      </w:r>
    </w:p>
    <w:p w14:paraId="68F0C3C1" w14:textId="77777777" w:rsidR="00BE32E5" w:rsidRPr="00BE32E5" w:rsidRDefault="00BE32E5" w:rsidP="00BE32E5">
      <w:pPr>
        <w:pStyle w:val="Bibliography"/>
        <w:rPr>
          <w:rFonts w:cs="Times New Roman"/>
        </w:rPr>
      </w:pPr>
      <w:r w:rsidRPr="00BE32E5">
        <w:rPr>
          <w:rFonts w:cs="Times New Roman"/>
        </w:rPr>
        <w:t>5</w:t>
      </w:r>
      <w:r w:rsidRPr="00BE32E5">
        <w:rPr>
          <w:rFonts w:cs="Times New Roman"/>
        </w:rPr>
        <w:tab/>
        <w:t xml:space="preserve">Rudd KE, Johnson SC, </w:t>
      </w:r>
      <w:proofErr w:type="spellStart"/>
      <w:r w:rsidRPr="00BE32E5">
        <w:rPr>
          <w:rFonts w:cs="Times New Roman"/>
        </w:rPr>
        <w:t>Agesa</w:t>
      </w:r>
      <w:proofErr w:type="spellEnd"/>
      <w:r w:rsidRPr="00BE32E5">
        <w:rPr>
          <w:rFonts w:cs="Times New Roman"/>
        </w:rPr>
        <w:t xml:space="preserve"> KM, </w:t>
      </w:r>
      <w:r w:rsidRPr="00BE32E5">
        <w:rPr>
          <w:rFonts w:cs="Times New Roman"/>
          <w:i/>
          <w:iCs/>
        </w:rPr>
        <w:t>et al.</w:t>
      </w:r>
      <w:r w:rsidRPr="00BE32E5">
        <w:rPr>
          <w:rFonts w:cs="Times New Roman"/>
        </w:rPr>
        <w:t xml:space="preserve"> Global, regional, and national sepsis </w:t>
      </w:r>
      <w:proofErr w:type="gramStart"/>
      <w:r w:rsidRPr="00BE32E5">
        <w:rPr>
          <w:rFonts w:cs="Times New Roman"/>
        </w:rPr>
        <w:t>incidence</w:t>
      </w:r>
      <w:proofErr w:type="gramEnd"/>
      <w:r w:rsidRPr="00BE32E5">
        <w:rPr>
          <w:rFonts w:cs="Times New Roman"/>
        </w:rPr>
        <w:t xml:space="preserve"> and mortality, 1990–2017: analysis for the Global Burden of Disease Study. </w:t>
      </w:r>
      <w:r w:rsidRPr="00BE32E5">
        <w:rPr>
          <w:rFonts w:cs="Times New Roman"/>
          <w:i/>
          <w:iCs/>
        </w:rPr>
        <w:t>The Lancet</w:t>
      </w:r>
      <w:r w:rsidRPr="00BE32E5">
        <w:rPr>
          <w:rFonts w:cs="Times New Roman"/>
        </w:rPr>
        <w:t xml:space="preserve"> 2020; </w:t>
      </w:r>
      <w:r w:rsidRPr="00BE32E5">
        <w:rPr>
          <w:rFonts w:cs="Times New Roman"/>
          <w:b/>
          <w:bCs/>
        </w:rPr>
        <w:t>395</w:t>
      </w:r>
      <w:r w:rsidRPr="00BE32E5">
        <w:rPr>
          <w:rFonts w:cs="Times New Roman"/>
        </w:rPr>
        <w:t>: 200–11.</w:t>
      </w:r>
    </w:p>
    <w:p w14:paraId="7792A68A" w14:textId="77777777" w:rsidR="00BE32E5" w:rsidRPr="00BE32E5" w:rsidRDefault="00BE32E5" w:rsidP="00BE32E5">
      <w:pPr>
        <w:pStyle w:val="Bibliography"/>
        <w:rPr>
          <w:rFonts w:cs="Times New Roman"/>
        </w:rPr>
      </w:pPr>
      <w:r w:rsidRPr="00BE32E5">
        <w:rPr>
          <w:rFonts w:cs="Times New Roman"/>
        </w:rPr>
        <w:t>6</w:t>
      </w:r>
      <w:r w:rsidRPr="00BE32E5">
        <w:rPr>
          <w:rFonts w:cs="Times New Roman"/>
        </w:rPr>
        <w:tab/>
      </w:r>
      <w:proofErr w:type="spellStart"/>
      <w:r w:rsidRPr="00BE32E5">
        <w:rPr>
          <w:rFonts w:cs="Times New Roman"/>
        </w:rPr>
        <w:t>Mandrekar</w:t>
      </w:r>
      <w:proofErr w:type="spellEnd"/>
      <w:r w:rsidRPr="00BE32E5">
        <w:rPr>
          <w:rFonts w:cs="Times New Roman"/>
        </w:rPr>
        <w:t xml:space="preserve"> JN. Receiver operating characteristic curve in diagnostic test assessment. </w:t>
      </w:r>
      <w:r w:rsidRPr="00BE32E5">
        <w:rPr>
          <w:rFonts w:cs="Times New Roman"/>
          <w:i/>
          <w:iCs/>
        </w:rPr>
        <w:t xml:space="preserve">J </w:t>
      </w:r>
      <w:proofErr w:type="spellStart"/>
      <w:r w:rsidRPr="00BE32E5">
        <w:rPr>
          <w:rFonts w:cs="Times New Roman"/>
          <w:i/>
          <w:iCs/>
        </w:rPr>
        <w:t>Thorac</w:t>
      </w:r>
      <w:proofErr w:type="spellEnd"/>
      <w:r w:rsidRPr="00BE32E5">
        <w:rPr>
          <w:rFonts w:cs="Times New Roman"/>
          <w:i/>
          <w:iCs/>
        </w:rPr>
        <w:t xml:space="preserve"> Oncol Off </w:t>
      </w:r>
      <w:proofErr w:type="spellStart"/>
      <w:r w:rsidRPr="00BE32E5">
        <w:rPr>
          <w:rFonts w:cs="Times New Roman"/>
          <w:i/>
          <w:iCs/>
        </w:rPr>
        <w:t>Publ</w:t>
      </w:r>
      <w:proofErr w:type="spellEnd"/>
      <w:r w:rsidRPr="00BE32E5">
        <w:rPr>
          <w:rFonts w:cs="Times New Roman"/>
          <w:i/>
          <w:iCs/>
        </w:rPr>
        <w:t xml:space="preserve"> Int Assoc Study Lung Cancer</w:t>
      </w:r>
      <w:r w:rsidRPr="00BE32E5">
        <w:rPr>
          <w:rFonts w:cs="Times New Roman"/>
        </w:rPr>
        <w:t xml:space="preserve"> 2010; </w:t>
      </w:r>
      <w:r w:rsidRPr="00BE32E5">
        <w:rPr>
          <w:rFonts w:cs="Times New Roman"/>
          <w:b/>
          <w:bCs/>
        </w:rPr>
        <w:t>5</w:t>
      </w:r>
      <w:r w:rsidRPr="00BE32E5">
        <w:rPr>
          <w:rFonts w:cs="Times New Roman"/>
        </w:rPr>
        <w:t>: 1315–6.</w:t>
      </w:r>
    </w:p>
    <w:p w14:paraId="500BFDC2" w14:textId="77777777" w:rsidR="00BE32E5" w:rsidRPr="00BE32E5" w:rsidRDefault="00BE32E5" w:rsidP="00BE32E5">
      <w:pPr>
        <w:pStyle w:val="Bibliography"/>
        <w:rPr>
          <w:rFonts w:cs="Times New Roman"/>
        </w:rPr>
      </w:pPr>
      <w:r w:rsidRPr="00BE32E5">
        <w:rPr>
          <w:rFonts w:cs="Times New Roman"/>
        </w:rPr>
        <w:t>7</w:t>
      </w:r>
      <w:r w:rsidRPr="00BE32E5">
        <w:rPr>
          <w:rFonts w:cs="Times New Roman"/>
        </w:rPr>
        <w:tab/>
        <w:t xml:space="preserve">Zheng P, Barber R, Sorensen RJD, Murray CJL, </w:t>
      </w:r>
      <w:proofErr w:type="spellStart"/>
      <w:r w:rsidRPr="00BE32E5">
        <w:rPr>
          <w:rFonts w:cs="Times New Roman"/>
        </w:rPr>
        <w:t>Aravkin</w:t>
      </w:r>
      <w:proofErr w:type="spellEnd"/>
      <w:r w:rsidRPr="00BE32E5">
        <w:rPr>
          <w:rFonts w:cs="Times New Roman"/>
        </w:rPr>
        <w:t xml:space="preserve"> AY. Trimmed constrained mixed effects models: formulations and algorithms. </w:t>
      </w:r>
      <w:r w:rsidRPr="00BE32E5">
        <w:rPr>
          <w:rFonts w:cs="Times New Roman"/>
          <w:i/>
          <w:iCs/>
        </w:rPr>
        <w:t xml:space="preserve">J </w:t>
      </w:r>
      <w:proofErr w:type="spellStart"/>
      <w:r w:rsidRPr="00BE32E5">
        <w:rPr>
          <w:rFonts w:cs="Times New Roman"/>
          <w:i/>
          <w:iCs/>
        </w:rPr>
        <w:t>Comput</w:t>
      </w:r>
      <w:proofErr w:type="spellEnd"/>
      <w:r w:rsidRPr="00BE32E5">
        <w:rPr>
          <w:rFonts w:cs="Times New Roman"/>
          <w:i/>
          <w:iCs/>
        </w:rPr>
        <w:t xml:space="preserve"> Graph Stat</w:t>
      </w:r>
      <w:r w:rsidRPr="00BE32E5">
        <w:rPr>
          <w:rFonts w:cs="Times New Roman"/>
        </w:rPr>
        <w:t xml:space="preserve"> 2021; </w:t>
      </w:r>
      <w:r w:rsidRPr="00BE32E5">
        <w:rPr>
          <w:rFonts w:cs="Times New Roman"/>
          <w:b/>
          <w:bCs/>
        </w:rPr>
        <w:t>30</w:t>
      </w:r>
      <w:r w:rsidRPr="00BE32E5">
        <w:rPr>
          <w:rFonts w:cs="Times New Roman"/>
        </w:rPr>
        <w:t>: 544–56.</w:t>
      </w:r>
    </w:p>
    <w:p w14:paraId="7712DE9B" w14:textId="77777777" w:rsidR="00BE32E5" w:rsidRPr="00BE32E5" w:rsidRDefault="00BE32E5" w:rsidP="00BE32E5">
      <w:pPr>
        <w:pStyle w:val="Bibliography"/>
        <w:rPr>
          <w:rFonts w:cs="Times New Roman"/>
        </w:rPr>
      </w:pPr>
      <w:r w:rsidRPr="00BE32E5">
        <w:rPr>
          <w:rFonts w:cs="Times New Roman"/>
        </w:rPr>
        <w:t>8</w:t>
      </w:r>
      <w:r w:rsidRPr="00BE32E5">
        <w:rPr>
          <w:rFonts w:cs="Times New Roman"/>
        </w:rPr>
        <w:tab/>
      </w:r>
      <w:proofErr w:type="spellStart"/>
      <w:r w:rsidRPr="00BE32E5">
        <w:rPr>
          <w:rFonts w:cs="Times New Roman"/>
        </w:rPr>
        <w:t>Ewig</w:t>
      </w:r>
      <w:proofErr w:type="spellEnd"/>
      <w:r w:rsidRPr="00BE32E5">
        <w:rPr>
          <w:rFonts w:cs="Times New Roman"/>
        </w:rPr>
        <w:t xml:space="preserve"> S, </w:t>
      </w:r>
      <w:proofErr w:type="spellStart"/>
      <w:r w:rsidRPr="00BE32E5">
        <w:rPr>
          <w:rFonts w:cs="Times New Roman"/>
        </w:rPr>
        <w:t>Schlochtermeier</w:t>
      </w:r>
      <w:proofErr w:type="spellEnd"/>
      <w:r w:rsidRPr="00BE32E5">
        <w:rPr>
          <w:rFonts w:cs="Times New Roman"/>
        </w:rPr>
        <w:t xml:space="preserve"> M, </w:t>
      </w:r>
      <w:proofErr w:type="spellStart"/>
      <w:r w:rsidRPr="00BE32E5">
        <w:rPr>
          <w:rFonts w:cs="Times New Roman"/>
        </w:rPr>
        <w:t>Göke</w:t>
      </w:r>
      <w:proofErr w:type="spellEnd"/>
      <w:r w:rsidRPr="00BE32E5">
        <w:rPr>
          <w:rFonts w:cs="Times New Roman"/>
        </w:rPr>
        <w:t xml:space="preserve"> N, Niederman MS. Applying sputum as a diagnostic tool in pneumonia: limited yield, minimal impact on treatment decisions. </w:t>
      </w:r>
      <w:r w:rsidRPr="00BE32E5">
        <w:rPr>
          <w:rFonts w:cs="Times New Roman"/>
          <w:i/>
          <w:iCs/>
        </w:rPr>
        <w:t>Chest</w:t>
      </w:r>
      <w:r w:rsidRPr="00BE32E5">
        <w:rPr>
          <w:rFonts w:cs="Times New Roman"/>
        </w:rPr>
        <w:t xml:space="preserve"> 2002; </w:t>
      </w:r>
      <w:r w:rsidRPr="00BE32E5">
        <w:rPr>
          <w:rFonts w:cs="Times New Roman"/>
          <w:b/>
          <w:bCs/>
        </w:rPr>
        <w:t>121</w:t>
      </w:r>
      <w:r w:rsidRPr="00BE32E5">
        <w:rPr>
          <w:rFonts w:cs="Times New Roman"/>
        </w:rPr>
        <w:t>: 1486–92.</w:t>
      </w:r>
    </w:p>
    <w:p w14:paraId="29F2C610" w14:textId="77777777" w:rsidR="00BE32E5" w:rsidRPr="00BE32E5" w:rsidRDefault="00BE32E5" w:rsidP="00BE32E5">
      <w:pPr>
        <w:pStyle w:val="Bibliography"/>
        <w:rPr>
          <w:rFonts w:cs="Times New Roman"/>
        </w:rPr>
      </w:pPr>
      <w:r w:rsidRPr="00BE32E5">
        <w:rPr>
          <w:rFonts w:cs="Times New Roman"/>
        </w:rPr>
        <w:t>9</w:t>
      </w:r>
      <w:r w:rsidRPr="00BE32E5">
        <w:rPr>
          <w:rFonts w:cs="Times New Roman"/>
        </w:rPr>
        <w:tab/>
        <w:t xml:space="preserve">Ogawa H, </w:t>
      </w:r>
      <w:proofErr w:type="spellStart"/>
      <w:r w:rsidRPr="00BE32E5">
        <w:rPr>
          <w:rFonts w:cs="Times New Roman"/>
        </w:rPr>
        <w:t>Kitsios</w:t>
      </w:r>
      <w:proofErr w:type="spellEnd"/>
      <w:r w:rsidRPr="00BE32E5">
        <w:rPr>
          <w:rFonts w:cs="Times New Roman"/>
        </w:rPr>
        <w:t xml:space="preserve"> GD, Iwata M, </w:t>
      </w:r>
      <w:proofErr w:type="spellStart"/>
      <w:r w:rsidRPr="00BE32E5">
        <w:rPr>
          <w:rFonts w:cs="Times New Roman"/>
        </w:rPr>
        <w:t>Terasawa</w:t>
      </w:r>
      <w:proofErr w:type="spellEnd"/>
      <w:r w:rsidRPr="00BE32E5">
        <w:rPr>
          <w:rFonts w:cs="Times New Roman"/>
        </w:rPr>
        <w:t xml:space="preserve"> T. Sputum gram stain for bacterial pathogen diagnosis in community-acquired pneumonia: a systematic review and </w:t>
      </w:r>
      <w:proofErr w:type="spellStart"/>
      <w:r w:rsidRPr="00BE32E5">
        <w:rPr>
          <w:rFonts w:cs="Times New Roman"/>
        </w:rPr>
        <w:t>bayesian</w:t>
      </w:r>
      <w:proofErr w:type="spellEnd"/>
      <w:r w:rsidRPr="00BE32E5">
        <w:rPr>
          <w:rFonts w:cs="Times New Roman"/>
        </w:rPr>
        <w:t xml:space="preserve"> meta-analysis of diagnostic accuracy and yield. </w:t>
      </w:r>
      <w:r w:rsidRPr="00BE32E5">
        <w:rPr>
          <w:rFonts w:cs="Times New Roman"/>
          <w:i/>
          <w:iCs/>
        </w:rPr>
        <w:t xml:space="preserve">Clin Infect Dis Off </w:t>
      </w:r>
      <w:proofErr w:type="spellStart"/>
      <w:r w:rsidRPr="00BE32E5">
        <w:rPr>
          <w:rFonts w:cs="Times New Roman"/>
          <w:i/>
          <w:iCs/>
        </w:rPr>
        <w:t>Publ</w:t>
      </w:r>
      <w:proofErr w:type="spellEnd"/>
      <w:r w:rsidRPr="00BE32E5">
        <w:rPr>
          <w:rFonts w:cs="Times New Roman"/>
          <w:i/>
          <w:iCs/>
        </w:rPr>
        <w:t xml:space="preserve"> Infect Dis Soc Am</w:t>
      </w:r>
      <w:r w:rsidRPr="00BE32E5">
        <w:rPr>
          <w:rFonts w:cs="Times New Roman"/>
        </w:rPr>
        <w:t xml:space="preserve"> 2020; </w:t>
      </w:r>
      <w:r w:rsidRPr="00BE32E5">
        <w:rPr>
          <w:rFonts w:cs="Times New Roman"/>
          <w:b/>
          <w:bCs/>
        </w:rPr>
        <w:t>71</w:t>
      </w:r>
      <w:r w:rsidRPr="00BE32E5">
        <w:rPr>
          <w:rFonts w:cs="Times New Roman"/>
        </w:rPr>
        <w:t>: 499–513.</w:t>
      </w:r>
    </w:p>
    <w:p w14:paraId="61A52110" w14:textId="658943E6" w:rsidR="00BE32E5" w:rsidRPr="00BE32E5" w:rsidRDefault="00BE32E5" w:rsidP="00BE32E5">
      <w:pPr>
        <w:pStyle w:val="Bibliography"/>
        <w:rPr>
          <w:rFonts w:cs="Times New Roman"/>
        </w:rPr>
      </w:pPr>
      <w:r w:rsidRPr="00BE32E5">
        <w:rPr>
          <w:rFonts w:cs="Times New Roman"/>
        </w:rPr>
        <w:t>10</w:t>
      </w:r>
      <w:r w:rsidR="007D4204">
        <w:rPr>
          <w:rFonts w:cs="Times New Roman"/>
        </w:rPr>
        <w:t xml:space="preserve"> </w:t>
      </w:r>
      <w:proofErr w:type="spellStart"/>
      <w:r w:rsidRPr="00BE32E5">
        <w:rPr>
          <w:rFonts w:cs="Times New Roman"/>
        </w:rPr>
        <w:t>Feikin</w:t>
      </w:r>
      <w:proofErr w:type="spellEnd"/>
      <w:r w:rsidRPr="00BE32E5">
        <w:rPr>
          <w:rFonts w:cs="Times New Roman"/>
        </w:rPr>
        <w:t xml:space="preserve"> DR, Scott JAG, Gessner BD. Use of vaccines as probes to define disease burden. </w:t>
      </w:r>
      <w:r w:rsidRPr="00BE32E5">
        <w:rPr>
          <w:rFonts w:cs="Times New Roman"/>
          <w:i/>
          <w:iCs/>
        </w:rPr>
        <w:t xml:space="preserve">Lancet </w:t>
      </w:r>
      <w:proofErr w:type="spellStart"/>
      <w:r w:rsidRPr="00BE32E5">
        <w:rPr>
          <w:rFonts w:cs="Times New Roman"/>
          <w:i/>
          <w:iCs/>
        </w:rPr>
        <w:t>Lond</w:t>
      </w:r>
      <w:proofErr w:type="spellEnd"/>
      <w:r w:rsidRPr="00BE32E5">
        <w:rPr>
          <w:rFonts w:cs="Times New Roman"/>
          <w:i/>
          <w:iCs/>
        </w:rPr>
        <w:t xml:space="preserve"> </w:t>
      </w:r>
      <w:proofErr w:type="spellStart"/>
      <w:r w:rsidRPr="00BE32E5">
        <w:rPr>
          <w:rFonts w:cs="Times New Roman"/>
          <w:i/>
          <w:iCs/>
        </w:rPr>
        <w:t>Engl</w:t>
      </w:r>
      <w:proofErr w:type="spellEnd"/>
      <w:r w:rsidRPr="00BE32E5">
        <w:rPr>
          <w:rFonts w:cs="Times New Roman"/>
        </w:rPr>
        <w:t xml:space="preserve"> 2014; </w:t>
      </w:r>
      <w:r w:rsidRPr="00BE32E5">
        <w:rPr>
          <w:rFonts w:cs="Times New Roman"/>
          <w:b/>
          <w:bCs/>
        </w:rPr>
        <w:t>383</w:t>
      </w:r>
      <w:r w:rsidRPr="00BE32E5">
        <w:rPr>
          <w:rFonts w:cs="Times New Roman"/>
        </w:rPr>
        <w:t>: 1762–70.</w:t>
      </w:r>
    </w:p>
    <w:p w14:paraId="16F24712" w14:textId="6BF76BAE" w:rsidR="00BE32E5" w:rsidRPr="00BE32E5" w:rsidRDefault="00BE32E5" w:rsidP="00BE32E5">
      <w:pPr>
        <w:pStyle w:val="Bibliography"/>
        <w:rPr>
          <w:rFonts w:cs="Times New Roman"/>
        </w:rPr>
      </w:pPr>
      <w:r w:rsidRPr="00BE32E5">
        <w:rPr>
          <w:rFonts w:cs="Times New Roman"/>
        </w:rPr>
        <w:t>11</w:t>
      </w:r>
      <w:r w:rsidR="007D4204">
        <w:rPr>
          <w:rFonts w:cs="Times New Roman"/>
        </w:rPr>
        <w:t xml:space="preserve"> </w:t>
      </w:r>
      <w:r w:rsidRPr="00BE32E5">
        <w:rPr>
          <w:rFonts w:cs="Times New Roman"/>
        </w:rPr>
        <w:t xml:space="preserve">GBD 2016 Lower Respiratory Infections Collaborators. Estimates of the global, regional, and national morbidity, mortality, and </w:t>
      </w:r>
      <w:proofErr w:type="spellStart"/>
      <w:r w:rsidRPr="00BE32E5">
        <w:rPr>
          <w:rFonts w:cs="Times New Roman"/>
        </w:rPr>
        <w:t>aetiologies</w:t>
      </w:r>
      <w:proofErr w:type="spellEnd"/>
      <w:r w:rsidRPr="00BE32E5">
        <w:rPr>
          <w:rFonts w:cs="Times New Roman"/>
        </w:rPr>
        <w:t xml:space="preserve"> of lower respiratory infections in 195 countries, 1990-2016: a systematic analysis for the Global Burden of Disease Study 2016. </w:t>
      </w:r>
      <w:r w:rsidRPr="00BE32E5">
        <w:rPr>
          <w:rFonts w:cs="Times New Roman"/>
          <w:i/>
          <w:iCs/>
        </w:rPr>
        <w:t>Lancet Infect Dis</w:t>
      </w:r>
      <w:r w:rsidRPr="00BE32E5">
        <w:rPr>
          <w:rFonts w:cs="Times New Roman"/>
        </w:rPr>
        <w:t xml:space="preserve"> 2018; </w:t>
      </w:r>
      <w:r w:rsidRPr="00BE32E5">
        <w:rPr>
          <w:rFonts w:cs="Times New Roman"/>
          <w:b/>
          <w:bCs/>
        </w:rPr>
        <w:t>18</w:t>
      </w:r>
      <w:r w:rsidRPr="00BE32E5">
        <w:rPr>
          <w:rFonts w:cs="Times New Roman"/>
        </w:rPr>
        <w:t>: 1191–210.</w:t>
      </w:r>
    </w:p>
    <w:p w14:paraId="679D325D" w14:textId="3533B640" w:rsidR="00BE32E5" w:rsidRPr="00BE32E5" w:rsidRDefault="00BE32E5" w:rsidP="00BE32E5">
      <w:pPr>
        <w:pStyle w:val="Bibliography"/>
        <w:rPr>
          <w:rFonts w:cs="Times New Roman"/>
        </w:rPr>
      </w:pPr>
      <w:r w:rsidRPr="00BE32E5">
        <w:rPr>
          <w:rFonts w:cs="Times New Roman"/>
        </w:rPr>
        <w:t>12</w:t>
      </w:r>
      <w:r w:rsidR="007D4204">
        <w:rPr>
          <w:rFonts w:cs="Times New Roman"/>
        </w:rPr>
        <w:t xml:space="preserve"> </w:t>
      </w:r>
      <w:r w:rsidRPr="00BE32E5">
        <w:rPr>
          <w:rFonts w:cs="Times New Roman"/>
        </w:rPr>
        <w:t xml:space="preserve">Johnson HL, Deloria-Knoll M, Levine OS, </w:t>
      </w:r>
      <w:r w:rsidRPr="00BE32E5">
        <w:rPr>
          <w:rFonts w:cs="Times New Roman"/>
          <w:i/>
          <w:iCs/>
        </w:rPr>
        <w:t>et al.</w:t>
      </w:r>
      <w:r w:rsidRPr="00BE32E5">
        <w:rPr>
          <w:rFonts w:cs="Times New Roman"/>
        </w:rPr>
        <w:t xml:space="preserve"> Systematic evaluation of serotypes causing invasive pneumococcal disease among children under five: The Pneumococcal Global Serotype Project. </w:t>
      </w:r>
      <w:r w:rsidRPr="00BE32E5">
        <w:rPr>
          <w:rFonts w:cs="Times New Roman"/>
          <w:i/>
          <w:iCs/>
        </w:rPr>
        <w:t>PLOS Med</w:t>
      </w:r>
      <w:r w:rsidRPr="00BE32E5">
        <w:rPr>
          <w:rFonts w:cs="Times New Roman"/>
        </w:rPr>
        <w:t xml:space="preserve"> 2010; </w:t>
      </w:r>
      <w:r w:rsidRPr="00BE32E5">
        <w:rPr>
          <w:rFonts w:cs="Times New Roman"/>
          <w:b/>
          <w:bCs/>
        </w:rPr>
        <w:t>7</w:t>
      </w:r>
      <w:r w:rsidRPr="00BE32E5">
        <w:rPr>
          <w:rFonts w:cs="Times New Roman"/>
        </w:rPr>
        <w:t>: e1000348.</w:t>
      </w:r>
    </w:p>
    <w:p w14:paraId="14A1F5CD" w14:textId="635997C6" w:rsidR="00BE32E5" w:rsidRPr="00BE32E5" w:rsidRDefault="00BE32E5" w:rsidP="00BE32E5">
      <w:pPr>
        <w:pStyle w:val="Bibliography"/>
        <w:rPr>
          <w:rFonts w:cs="Times New Roman"/>
        </w:rPr>
      </w:pPr>
      <w:r w:rsidRPr="00BE32E5">
        <w:rPr>
          <w:rFonts w:cs="Times New Roman"/>
        </w:rPr>
        <w:t>13</w:t>
      </w:r>
      <w:r w:rsidR="007D4204">
        <w:rPr>
          <w:rFonts w:cs="Times New Roman"/>
        </w:rPr>
        <w:t xml:space="preserve"> </w:t>
      </w:r>
      <w:r w:rsidRPr="00BE32E5">
        <w:rPr>
          <w:rFonts w:cs="Times New Roman"/>
        </w:rPr>
        <w:t xml:space="preserve">Grijalva CG, </w:t>
      </w:r>
      <w:proofErr w:type="spellStart"/>
      <w:r w:rsidRPr="00BE32E5">
        <w:rPr>
          <w:rFonts w:cs="Times New Roman"/>
        </w:rPr>
        <w:t>Nuorti</w:t>
      </w:r>
      <w:proofErr w:type="spellEnd"/>
      <w:r w:rsidRPr="00BE32E5">
        <w:rPr>
          <w:rFonts w:cs="Times New Roman"/>
        </w:rPr>
        <w:t xml:space="preserve"> JP, Arbogast PG, Martin SW, Edwards KM, Griffin MR. Decline in pneumonia admissions after routine childhood </w:t>
      </w:r>
      <w:proofErr w:type="spellStart"/>
      <w:r w:rsidRPr="00BE32E5">
        <w:rPr>
          <w:rFonts w:cs="Times New Roman"/>
        </w:rPr>
        <w:t>immunisation</w:t>
      </w:r>
      <w:proofErr w:type="spellEnd"/>
      <w:r w:rsidRPr="00BE32E5">
        <w:rPr>
          <w:rFonts w:cs="Times New Roman"/>
        </w:rPr>
        <w:t xml:space="preserve"> with pneumococcal conjugate vaccine in the USA: a time-series analysis. </w:t>
      </w:r>
      <w:r w:rsidRPr="00BE32E5">
        <w:rPr>
          <w:rFonts w:cs="Times New Roman"/>
          <w:i/>
          <w:iCs/>
        </w:rPr>
        <w:t xml:space="preserve">Lancet </w:t>
      </w:r>
      <w:proofErr w:type="spellStart"/>
      <w:r w:rsidRPr="00BE32E5">
        <w:rPr>
          <w:rFonts w:cs="Times New Roman"/>
          <w:i/>
          <w:iCs/>
        </w:rPr>
        <w:t>Lond</w:t>
      </w:r>
      <w:proofErr w:type="spellEnd"/>
      <w:r w:rsidRPr="00BE32E5">
        <w:rPr>
          <w:rFonts w:cs="Times New Roman"/>
          <w:i/>
          <w:iCs/>
        </w:rPr>
        <w:t xml:space="preserve"> </w:t>
      </w:r>
      <w:proofErr w:type="spellStart"/>
      <w:r w:rsidRPr="00BE32E5">
        <w:rPr>
          <w:rFonts w:cs="Times New Roman"/>
          <w:i/>
          <w:iCs/>
        </w:rPr>
        <w:t>Engl</w:t>
      </w:r>
      <w:proofErr w:type="spellEnd"/>
      <w:r w:rsidRPr="00BE32E5">
        <w:rPr>
          <w:rFonts w:cs="Times New Roman"/>
        </w:rPr>
        <w:t xml:space="preserve"> 2007; </w:t>
      </w:r>
      <w:r w:rsidRPr="00BE32E5">
        <w:rPr>
          <w:rFonts w:cs="Times New Roman"/>
          <w:b/>
          <w:bCs/>
        </w:rPr>
        <w:t>369</w:t>
      </w:r>
      <w:r w:rsidRPr="00BE32E5">
        <w:rPr>
          <w:rFonts w:cs="Times New Roman"/>
        </w:rPr>
        <w:t>: 1179–86.</w:t>
      </w:r>
    </w:p>
    <w:p w14:paraId="245F6F0C" w14:textId="1D6AF7AF" w:rsidR="00BE32E5" w:rsidRPr="00BE32E5" w:rsidRDefault="00BE32E5" w:rsidP="00BE32E5">
      <w:pPr>
        <w:pStyle w:val="Bibliography"/>
        <w:rPr>
          <w:rFonts w:cs="Times New Roman"/>
        </w:rPr>
      </w:pPr>
      <w:r w:rsidRPr="00BE32E5">
        <w:rPr>
          <w:rFonts w:cs="Times New Roman"/>
        </w:rPr>
        <w:t>14</w:t>
      </w:r>
      <w:r w:rsidR="007D4204">
        <w:rPr>
          <w:rFonts w:cs="Times New Roman"/>
        </w:rPr>
        <w:t xml:space="preserve"> </w:t>
      </w:r>
      <w:proofErr w:type="spellStart"/>
      <w:r w:rsidRPr="00BE32E5">
        <w:rPr>
          <w:rFonts w:cs="Times New Roman"/>
        </w:rPr>
        <w:t>Nocedal</w:t>
      </w:r>
      <w:proofErr w:type="spellEnd"/>
      <w:r w:rsidRPr="00BE32E5">
        <w:rPr>
          <w:rFonts w:cs="Times New Roman"/>
        </w:rPr>
        <w:t xml:space="preserve"> J, Wright S. Numerical Optimization, 2nd </w:t>
      </w:r>
      <w:proofErr w:type="spellStart"/>
      <w:r w:rsidRPr="00BE32E5">
        <w:rPr>
          <w:rFonts w:cs="Times New Roman"/>
        </w:rPr>
        <w:t>edn</w:t>
      </w:r>
      <w:proofErr w:type="spellEnd"/>
      <w:r w:rsidRPr="00BE32E5">
        <w:rPr>
          <w:rFonts w:cs="Times New Roman"/>
        </w:rPr>
        <w:t>. New York: Springer-Verlag, 2006 https://link.springer.com/book/10.1007/978-0-387-40065-5 (accessed Aug 8, 2022).</w:t>
      </w:r>
    </w:p>
    <w:p w14:paraId="7C33F453" w14:textId="2EED8C74" w:rsidR="00BE32E5" w:rsidRPr="00BE32E5" w:rsidRDefault="00BE32E5" w:rsidP="00BE32E5">
      <w:pPr>
        <w:pStyle w:val="Bibliography"/>
        <w:rPr>
          <w:rFonts w:cs="Times New Roman"/>
        </w:rPr>
      </w:pPr>
      <w:r w:rsidRPr="00BE32E5">
        <w:rPr>
          <w:rFonts w:cs="Times New Roman"/>
        </w:rPr>
        <w:t>15</w:t>
      </w:r>
      <w:r w:rsidR="007D4204">
        <w:rPr>
          <w:rFonts w:cs="Times New Roman"/>
        </w:rPr>
        <w:t xml:space="preserve"> </w:t>
      </w:r>
      <w:r w:rsidRPr="00BE32E5">
        <w:rPr>
          <w:rFonts w:cs="Times New Roman"/>
        </w:rPr>
        <w:t xml:space="preserve">Moher D, </w:t>
      </w:r>
      <w:proofErr w:type="spellStart"/>
      <w:r w:rsidRPr="00BE32E5">
        <w:rPr>
          <w:rFonts w:cs="Times New Roman"/>
        </w:rPr>
        <w:t>Liberati</w:t>
      </w:r>
      <w:proofErr w:type="spellEnd"/>
      <w:r w:rsidRPr="00BE32E5">
        <w:rPr>
          <w:rFonts w:cs="Times New Roman"/>
        </w:rPr>
        <w:t xml:space="preserve"> A, </w:t>
      </w:r>
      <w:proofErr w:type="spellStart"/>
      <w:r w:rsidRPr="00BE32E5">
        <w:rPr>
          <w:rFonts w:cs="Times New Roman"/>
        </w:rPr>
        <w:t>Tetzlaff</w:t>
      </w:r>
      <w:proofErr w:type="spellEnd"/>
      <w:r w:rsidRPr="00BE32E5">
        <w:rPr>
          <w:rFonts w:cs="Times New Roman"/>
        </w:rPr>
        <w:t xml:space="preserve"> J, Altman DG, PRISMA Group. Preferred reporting items for systematic reviews and meta-analyses: the PRISMA statement. </w:t>
      </w:r>
      <w:proofErr w:type="spellStart"/>
      <w:r w:rsidRPr="00BE32E5">
        <w:rPr>
          <w:rFonts w:cs="Times New Roman"/>
          <w:i/>
          <w:iCs/>
        </w:rPr>
        <w:t>PLoS</w:t>
      </w:r>
      <w:proofErr w:type="spellEnd"/>
      <w:r w:rsidRPr="00BE32E5">
        <w:rPr>
          <w:rFonts w:cs="Times New Roman"/>
          <w:i/>
          <w:iCs/>
        </w:rPr>
        <w:t xml:space="preserve"> Med</w:t>
      </w:r>
      <w:r w:rsidRPr="00BE32E5">
        <w:rPr>
          <w:rFonts w:cs="Times New Roman"/>
        </w:rPr>
        <w:t xml:space="preserve"> 2009; </w:t>
      </w:r>
      <w:r w:rsidRPr="00BE32E5">
        <w:rPr>
          <w:rFonts w:cs="Times New Roman"/>
          <w:b/>
          <w:bCs/>
        </w:rPr>
        <w:t>6</w:t>
      </w:r>
      <w:r w:rsidRPr="00BE32E5">
        <w:rPr>
          <w:rFonts w:cs="Times New Roman"/>
        </w:rPr>
        <w:t>: e1000097.</w:t>
      </w:r>
    </w:p>
    <w:p w14:paraId="7031139A" w14:textId="02E3BEF5" w:rsidR="00BE32E5" w:rsidRPr="00BE32E5" w:rsidRDefault="00BE32E5" w:rsidP="00BE32E5">
      <w:pPr>
        <w:pStyle w:val="Bibliography"/>
        <w:rPr>
          <w:rFonts w:cs="Times New Roman"/>
        </w:rPr>
      </w:pPr>
      <w:r w:rsidRPr="00BE32E5">
        <w:rPr>
          <w:rFonts w:cs="Times New Roman"/>
        </w:rPr>
        <w:t>16</w:t>
      </w:r>
      <w:r w:rsidR="007D4204">
        <w:rPr>
          <w:rFonts w:cs="Times New Roman"/>
        </w:rPr>
        <w:t xml:space="preserve"> </w:t>
      </w:r>
      <w:r w:rsidRPr="00BE32E5">
        <w:rPr>
          <w:rFonts w:cs="Times New Roman"/>
        </w:rPr>
        <w:t xml:space="preserve">Browne AJ, </w:t>
      </w:r>
      <w:proofErr w:type="spellStart"/>
      <w:r w:rsidRPr="00BE32E5">
        <w:rPr>
          <w:rFonts w:cs="Times New Roman"/>
        </w:rPr>
        <w:t>Kashef</w:t>
      </w:r>
      <w:proofErr w:type="spellEnd"/>
      <w:r w:rsidRPr="00BE32E5">
        <w:rPr>
          <w:rFonts w:cs="Times New Roman"/>
        </w:rPr>
        <w:t xml:space="preserve"> </w:t>
      </w:r>
      <w:proofErr w:type="spellStart"/>
      <w:r w:rsidRPr="00BE32E5">
        <w:rPr>
          <w:rFonts w:cs="Times New Roman"/>
        </w:rPr>
        <w:t>Hamadani</w:t>
      </w:r>
      <w:proofErr w:type="spellEnd"/>
      <w:r w:rsidRPr="00BE32E5">
        <w:rPr>
          <w:rFonts w:cs="Times New Roman"/>
        </w:rPr>
        <w:t xml:space="preserve"> BH, Kumaran EAP, et al. Drug-resistant enteric fever worldwide, 1990 to 2018: a systematic review and meta-analysis. </w:t>
      </w:r>
      <w:r w:rsidRPr="00BE32E5">
        <w:rPr>
          <w:rFonts w:cs="Times New Roman"/>
          <w:i/>
          <w:iCs/>
        </w:rPr>
        <w:t>BMC Med</w:t>
      </w:r>
      <w:r w:rsidRPr="00BE32E5">
        <w:rPr>
          <w:rFonts w:cs="Times New Roman"/>
        </w:rPr>
        <w:t xml:space="preserve"> 2020; </w:t>
      </w:r>
      <w:r w:rsidRPr="00BE32E5">
        <w:rPr>
          <w:rFonts w:cs="Times New Roman"/>
          <w:b/>
          <w:bCs/>
        </w:rPr>
        <w:t>18</w:t>
      </w:r>
      <w:r w:rsidRPr="00BE32E5">
        <w:rPr>
          <w:rFonts w:cs="Times New Roman"/>
        </w:rPr>
        <w:t>.</w:t>
      </w:r>
    </w:p>
    <w:p w14:paraId="25C9FA1A" w14:textId="1128CC63" w:rsidR="00BE32E5" w:rsidRPr="00BE32E5" w:rsidRDefault="00BE32E5" w:rsidP="00BE32E5">
      <w:pPr>
        <w:pStyle w:val="Bibliography"/>
        <w:rPr>
          <w:rFonts w:cs="Times New Roman"/>
        </w:rPr>
      </w:pPr>
      <w:r w:rsidRPr="00BE32E5">
        <w:rPr>
          <w:rFonts w:cs="Times New Roman"/>
        </w:rPr>
        <w:lastRenderedPageBreak/>
        <w:t>17</w:t>
      </w:r>
      <w:r w:rsidR="007D4204">
        <w:rPr>
          <w:rFonts w:cs="Times New Roman"/>
        </w:rPr>
        <w:t xml:space="preserve"> </w:t>
      </w:r>
      <w:r w:rsidRPr="00BE32E5">
        <w:rPr>
          <w:rFonts w:cs="Times New Roman"/>
        </w:rPr>
        <w:t xml:space="preserve">Browne A, Chipeta M, Haines-Woodhouse G, et al. Global antibiotic consumption and usage in humans, 2000–18: a spatial modelling study. </w:t>
      </w:r>
      <w:r w:rsidRPr="00BE32E5">
        <w:rPr>
          <w:rFonts w:cs="Times New Roman"/>
          <w:i/>
          <w:iCs/>
        </w:rPr>
        <w:t>Lancet Planet Health</w:t>
      </w:r>
      <w:r w:rsidRPr="00BE32E5">
        <w:rPr>
          <w:rFonts w:cs="Times New Roman"/>
        </w:rPr>
        <w:t xml:space="preserve"> 2021; </w:t>
      </w:r>
      <w:r w:rsidRPr="00BE32E5">
        <w:rPr>
          <w:rFonts w:cs="Times New Roman"/>
          <w:b/>
          <w:bCs/>
        </w:rPr>
        <w:t>5</w:t>
      </w:r>
      <w:r w:rsidRPr="00BE32E5">
        <w:rPr>
          <w:rFonts w:cs="Times New Roman"/>
        </w:rPr>
        <w:t>: E893–904.</w:t>
      </w:r>
    </w:p>
    <w:p w14:paraId="508C745D" w14:textId="6C146198" w:rsidR="00BE32E5" w:rsidRPr="00BE32E5" w:rsidRDefault="00BE32E5" w:rsidP="00BE32E5">
      <w:pPr>
        <w:pStyle w:val="Bibliography"/>
        <w:rPr>
          <w:rFonts w:cs="Times New Roman"/>
        </w:rPr>
      </w:pPr>
      <w:r w:rsidRPr="00BE32E5">
        <w:rPr>
          <w:rFonts w:cs="Times New Roman"/>
        </w:rPr>
        <w:t>18</w:t>
      </w:r>
      <w:r w:rsidR="007D4204">
        <w:rPr>
          <w:rFonts w:cs="Times New Roman"/>
        </w:rPr>
        <w:t xml:space="preserve"> </w:t>
      </w:r>
      <w:r w:rsidRPr="00BE32E5">
        <w:rPr>
          <w:rFonts w:cs="Times New Roman"/>
        </w:rPr>
        <w:t xml:space="preserve">Cassini A, </w:t>
      </w:r>
      <w:proofErr w:type="spellStart"/>
      <w:r w:rsidRPr="00BE32E5">
        <w:rPr>
          <w:rFonts w:cs="Times New Roman"/>
        </w:rPr>
        <w:t>Högberg</w:t>
      </w:r>
      <w:proofErr w:type="spellEnd"/>
      <w:r w:rsidRPr="00BE32E5">
        <w:rPr>
          <w:rFonts w:cs="Times New Roman"/>
        </w:rPr>
        <w:t xml:space="preserve"> LD, </w:t>
      </w:r>
      <w:proofErr w:type="spellStart"/>
      <w:r w:rsidRPr="00BE32E5">
        <w:rPr>
          <w:rFonts w:cs="Times New Roman"/>
        </w:rPr>
        <w:t>Plachouras</w:t>
      </w:r>
      <w:proofErr w:type="spellEnd"/>
      <w:r w:rsidRPr="00BE32E5">
        <w:rPr>
          <w:rFonts w:cs="Times New Roman"/>
        </w:rPr>
        <w:t xml:space="preserve"> D, </w:t>
      </w:r>
      <w:r w:rsidRPr="00BE32E5">
        <w:rPr>
          <w:rFonts w:cs="Times New Roman"/>
          <w:i/>
          <w:iCs/>
        </w:rPr>
        <w:t>et al.</w:t>
      </w:r>
      <w:r w:rsidRPr="00BE32E5">
        <w:rPr>
          <w:rFonts w:cs="Times New Roman"/>
        </w:rPr>
        <w:t xml:space="preserve"> Attributable </w:t>
      </w:r>
      <w:proofErr w:type="gramStart"/>
      <w:r w:rsidRPr="00BE32E5">
        <w:rPr>
          <w:rFonts w:cs="Times New Roman"/>
        </w:rPr>
        <w:t>deaths</w:t>
      </w:r>
      <w:proofErr w:type="gramEnd"/>
      <w:r w:rsidRPr="00BE32E5">
        <w:rPr>
          <w:rFonts w:cs="Times New Roman"/>
        </w:rPr>
        <w:t xml:space="preserve"> and disability-adjusted life-years caused by infections with antibiotic-resistant bacteria in the EU and the European Economic Area in 2015: a population-level modelling analysis. </w:t>
      </w:r>
      <w:r w:rsidRPr="00BE32E5">
        <w:rPr>
          <w:rFonts w:cs="Times New Roman"/>
          <w:i/>
          <w:iCs/>
        </w:rPr>
        <w:t>Lancet Infect Dis</w:t>
      </w:r>
      <w:r w:rsidRPr="00BE32E5">
        <w:rPr>
          <w:rFonts w:cs="Times New Roman"/>
        </w:rPr>
        <w:t xml:space="preserve"> 2019; </w:t>
      </w:r>
      <w:r w:rsidRPr="00BE32E5">
        <w:rPr>
          <w:rFonts w:cs="Times New Roman"/>
          <w:b/>
          <w:bCs/>
        </w:rPr>
        <w:t>19</w:t>
      </w:r>
      <w:r w:rsidRPr="00BE32E5">
        <w:rPr>
          <w:rFonts w:cs="Times New Roman"/>
        </w:rPr>
        <w:t>: 56–66.</w:t>
      </w:r>
    </w:p>
    <w:p w14:paraId="3758E11D" w14:textId="62F63393" w:rsidR="00BE32E5" w:rsidRPr="00BE32E5" w:rsidRDefault="00BE32E5" w:rsidP="00BE32E5">
      <w:pPr>
        <w:pStyle w:val="Bibliography"/>
        <w:rPr>
          <w:rFonts w:cs="Times New Roman"/>
        </w:rPr>
      </w:pPr>
      <w:r w:rsidRPr="00BE32E5">
        <w:rPr>
          <w:rFonts w:cs="Times New Roman"/>
        </w:rPr>
        <w:t>19</w:t>
      </w:r>
      <w:r w:rsidR="007D4204">
        <w:rPr>
          <w:rFonts w:cs="Times New Roman"/>
        </w:rPr>
        <w:t xml:space="preserve"> </w:t>
      </w:r>
      <w:r w:rsidRPr="00BE32E5">
        <w:rPr>
          <w:rFonts w:cs="Times New Roman"/>
        </w:rPr>
        <w:t xml:space="preserve">Rajendran NB, Mutters NT, Marasca G, et al. Mandatory </w:t>
      </w:r>
      <w:proofErr w:type="gramStart"/>
      <w:r w:rsidRPr="00BE32E5">
        <w:rPr>
          <w:rFonts w:cs="Times New Roman"/>
        </w:rPr>
        <w:t>surveillance</w:t>
      </w:r>
      <w:proofErr w:type="gramEnd"/>
      <w:r w:rsidRPr="00BE32E5">
        <w:rPr>
          <w:rFonts w:cs="Times New Roman"/>
        </w:rPr>
        <w:t xml:space="preserve"> and outbreaks reporting of the WHO priority pathogens for research &amp; discovery of new antibiotics in European countries. </w:t>
      </w:r>
      <w:r w:rsidRPr="00BE32E5">
        <w:rPr>
          <w:rFonts w:cs="Times New Roman"/>
          <w:i/>
          <w:iCs/>
        </w:rPr>
        <w:t xml:space="preserve">Clin </w:t>
      </w:r>
      <w:proofErr w:type="spellStart"/>
      <w:r w:rsidRPr="00BE32E5">
        <w:rPr>
          <w:rFonts w:cs="Times New Roman"/>
          <w:i/>
          <w:iCs/>
        </w:rPr>
        <w:t>Microbiol</w:t>
      </w:r>
      <w:proofErr w:type="spellEnd"/>
      <w:r w:rsidRPr="00BE32E5">
        <w:rPr>
          <w:rFonts w:cs="Times New Roman"/>
          <w:i/>
          <w:iCs/>
        </w:rPr>
        <w:t xml:space="preserve"> Infect Off </w:t>
      </w:r>
      <w:proofErr w:type="spellStart"/>
      <w:r w:rsidRPr="00BE32E5">
        <w:rPr>
          <w:rFonts w:cs="Times New Roman"/>
          <w:i/>
          <w:iCs/>
        </w:rPr>
        <w:t>Publ</w:t>
      </w:r>
      <w:proofErr w:type="spellEnd"/>
      <w:r w:rsidRPr="00BE32E5">
        <w:rPr>
          <w:rFonts w:cs="Times New Roman"/>
          <w:i/>
          <w:iCs/>
        </w:rPr>
        <w:t xml:space="preserve"> </w:t>
      </w:r>
      <w:proofErr w:type="spellStart"/>
      <w:r w:rsidRPr="00BE32E5">
        <w:rPr>
          <w:rFonts w:cs="Times New Roman"/>
          <w:i/>
          <w:iCs/>
        </w:rPr>
        <w:t>Eur</w:t>
      </w:r>
      <w:proofErr w:type="spellEnd"/>
      <w:r w:rsidRPr="00BE32E5">
        <w:rPr>
          <w:rFonts w:cs="Times New Roman"/>
          <w:i/>
          <w:iCs/>
        </w:rPr>
        <w:t xml:space="preserve"> Soc Clin </w:t>
      </w:r>
      <w:proofErr w:type="spellStart"/>
      <w:r w:rsidRPr="00BE32E5">
        <w:rPr>
          <w:rFonts w:cs="Times New Roman"/>
          <w:i/>
          <w:iCs/>
        </w:rPr>
        <w:t>Microbiol</w:t>
      </w:r>
      <w:proofErr w:type="spellEnd"/>
      <w:r w:rsidRPr="00BE32E5">
        <w:rPr>
          <w:rFonts w:cs="Times New Roman"/>
          <w:i/>
          <w:iCs/>
        </w:rPr>
        <w:t xml:space="preserve"> Infect Dis</w:t>
      </w:r>
      <w:r w:rsidRPr="00BE32E5">
        <w:rPr>
          <w:rFonts w:cs="Times New Roman"/>
        </w:rPr>
        <w:t xml:space="preserve"> 2020; </w:t>
      </w:r>
      <w:r w:rsidRPr="00BE32E5">
        <w:rPr>
          <w:rFonts w:cs="Times New Roman"/>
          <w:b/>
          <w:bCs/>
        </w:rPr>
        <w:t>26</w:t>
      </w:r>
      <w:r w:rsidRPr="00BE32E5">
        <w:rPr>
          <w:rFonts w:cs="Times New Roman"/>
        </w:rPr>
        <w:t>: 943.e1-943.e6.</w:t>
      </w:r>
    </w:p>
    <w:p w14:paraId="67C0DA64" w14:textId="3C7C274E" w:rsidR="00BE32E5" w:rsidRPr="00BE32E5" w:rsidRDefault="00BE32E5" w:rsidP="00BE32E5">
      <w:pPr>
        <w:pStyle w:val="Bibliography"/>
        <w:rPr>
          <w:rFonts w:cs="Times New Roman"/>
        </w:rPr>
      </w:pPr>
      <w:r w:rsidRPr="00BE32E5">
        <w:rPr>
          <w:rFonts w:cs="Times New Roman"/>
        </w:rPr>
        <w:t>20</w:t>
      </w:r>
      <w:r w:rsidR="007D4204">
        <w:rPr>
          <w:rFonts w:cs="Times New Roman"/>
        </w:rPr>
        <w:t xml:space="preserve"> </w:t>
      </w:r>
      <w:proofErr w:type="spellStart"/>
      <w:r w:rsidRPr="00BE32E5">
        <w:rPr>
          <w:rFonts w:cs="Times New Roman"/>
        </w:rPr>
        <w:t>Versporten</w:t>
      </w:r>
      <w:proofErr w:type="spellEnd"/>
      <w:r w:rsidRPr="00BE32E5">
        <w:rPr>
          <w:rFonts w:cs="Times New Roman"/>
        </w:rPr>
        <w:t xml:space="preserve"> A, </w:t>
      </w:r>
      <w:proofErr w:type="spellStart"/>
      <w:r w:rsidRPr="00BE32E5">
        <w:rPr>
          <w:rFonts w:cs="Times New Roman"/>
        </w:rPr>
        <w:t>Gyssens</w:t>
      </w:r>
      <w:proofErr w:type="spellEnd"/>
      <w:r w:rsidRPr="00BE32E5">
        <w:rPr>
          <w:rFonts w:cs="Times New Roman"/>
        </w:rPr>
        <w:t xml:space="preserve"> IC, </w:t>
      </w:r>
      <w:proofErr w:type="spellStart"/>
      <w:r w:rsidRPr="00BE32E5">
        <w:rPr>
          <w:rFonts w:cs="Times New Roman"/>
        </w:rPr>
        <w:t>Pulcini</w:t>
      </w:r>
      <w:proofErr w:type="spellEnd"/>
      <w:r w:rsidRPr="00BE32E5">
        <w:rPr>
          <w:rFonts w:cs="Times New Roman"/>
        </w:rPr>
        <w:t xml:space="preserve"> C, </w:t>
      </w:r>
      <w:r w:rsidRPr="00BE32E5">
        <w:rPr>
          <w:rFonts w:cs="Times New Roman"/>
          <w:i/>
          <w:iCs/>
        </w:rPr>
        <w:t>et al.</w:t>
      </w:r>
      <w:r w:rsidRPr="00BE32E5">
        <w:rPr>
          <w:rFonts w:cs="Times New Roman"/>
        </w:rPr>
        <w:t xml:space="preserve"> Metrics to assess the quantity of antibiotic use in the outpatient setting: a systematic review followed by an international multidisciplinary consensus procedure. </w:t>
      </w:r>
      <w:r w:rsidRPr="00BE32E5">
        <w:rPr>
          <w:rFonts w:cs="Times New Roman"/>
          <w:i/>
          <w:iCs/>
        </w:rPr>
        <w:t xml:space="preserve">J </w:t>
      </w:r>
      <w:proofErr w:type="spellStart"/>
      <w:r w:rsidRPr="00BE32E5">
        <w:rPr>
          <w:rFonts w:cs="Times New Roman"/>
          <w:i/>
          <w:iCs/>
        </w:rPr>
        <w:t>Antimicrob</w:t>
      </w:r>
      <w:proofErr w:type="spellEnd"/>
      <w:r w:rsidRPr="00BE32E5">
        <w:rPr>
          <w:rFonts w:cs="Times New Roman"/>
          <w:i/>
          <w:iCs/>
        </w:rPr>
        <w:t xml:space="preserve"> </w:t>
      </w:r>
      <w:proofErr w:type="spellStart"/>
      <w:r w:rsidRPr="00BE32E5">
        <w:rPr>
          <w:rFonts w:cs="Times New Roman"/>
          <w:i/>
          <w:iCs/>
        </w:rPr>
        <w:t>Chemother</w:t>
      </w:r>
      <w:proofErr w:type="spellEnd"/>
      <w:r w:rsidRPr="00BE32E5">
        <w:rPr>
          <w:rFonts w:cs="Times New Roman"/>
        </w:rPr>
        <w:t xml:space="preserve"> 2018; </w:t>
      </w:r>
      <w:r w:rsidRPr="00BE32E5">
        <w:rPr>
          <w:rFonts w:cs="Times New Roman"/>
          <w:b/>
          <w:bCs/>
        </w:rPr>
        <w:t>73</w:t>
      </w:r>
      <w:r w:rsidRPr="00BE32E5">
        <w:rPr>
          <w:rFonts w:cs="Times New Roman"/>
        </w:rPr>
        <w:t>: vi59–66.</w:t>
      </w:r>
    </w:p>
    <w:p w14:paraId="6C872BC1" w14:textId="46D80CE2" w:rsidR="00BE32E5" w:rsidRPr="00BE32E5" w:rsidRDefault="00BE32E5" w:rsidP="00BE32E5">
      <w:pPr>
        <w:pStyle w:val="Bibliography"/>
        <w:rPr>
          <w:rFonts w:cs="Times New Roman"/>
        </w:rPr>
      </w:pPr>
      <w:r w:rsidRPr="00BE32E5">
        <w:rPr>
          <w:rFonts w:cs="Times New Roman"/>
        </w:rPr>
        <w:t>21</w:t>
      </w:r>
      <w:r w:rsidR="007D4204">
        <w:rPr>
          <w:rFonts w:cs="Times New Roman"/>
        </w:rPr>
        <w:t xml:space="preserve"> </w:t>
      </w:r>
      <w:r w:rsidRPr="00BE32E5">
        <w:rPr>
          <w:rFonts w:cs="Times New Roman"/>
        </w:rPr>
        <w:t xml:space="preserve">Ahmed S, </w:t>
      </w:r>
      <w:proofErr w:type="spellStart"/>
      <w:r w:rsidRPr="00BE32E5">
        <w:rPr>
          <w:rFonts w:cs="Times New Roman"/>
        </w:rPr>
        <w:t>Jhaj</w:t>
      </w:r>
      <w:proofErr w:type="spellEnd"/>
      <w:r w:rsidRPr="00BE32E5">
        <w:rPr>
          <w:rFonts w:cs="Times New Roman"/>
        </w:rPr>
        <w:t xml:space="preserve"> R, Patidar R, </w:t>
      </w:r>
      <w:r w:rsidRPr="00BE32E5">
        <w:rPr>
          <w:rFonts w:cs="Times New Roman"/>
          <w:i/>
          <w:iCs/>
        </w:rPr>
        <w:t>et al.</w:t>
      </w:r>
      <w:r w:rsidRPr="00BE32E5">
        <w:rPr>
          <w:rFonts w:cs="Times New Roman"/>
        </w:rPr>
        <w:t xml:space="preserve"> A novel metric system to quantify antibiotic consumption in </w:t>
      </w:r>
      <w:proofErr w:type="spellStart"/>
      <w:r w:rsidRPr="00BE32E5">
        <w:rPr>
          <w:rFonts w:cs="Times New Roman"/>
        </w:rPr>
        <w:t>paediatric</w:t>
      </w:r>
      <w:proofErr w:type="spellEnd"/>
      <w:r w:rsidRPr="00BE32E5">
        <w:rPr>
          <w:rFonts w:cs="Times New Roman"/>
        </w:rPr>
        <w:t xml:space="preserve"> population: a hospital based, biphasic pilot study. </w:t>
      </w:r>
      <w:r w:rsidRPr="00BE32E5">
        <w:rPr>
          <w:rFonts w:cs="Times New Roman"/>
          <w:i/>
          <w:iCs/>
        </w:rPr>
        <w:t>Discoveries</w:t>
      </w:r>
      <w:r w:rsidRPr="00BE32E5">
        <w:rPr>
          <w:rFonts w:cs="Times New Roman"/>
        </w:rPr>
        <w:t xml:space="preserve"> 2020; </w:t>
      </w:r>
      <w:r w:rsidRPr="00BE32E5">
        <w:rPr>
          <w:rFonts w:cs="Times New Roman"/>
          <w:b/>
          <w:bCs/>
        </w:rPr>
        <w:t>8</w:t>
      </w:r>
      <w:r w:rsidRPr="00BE32E5">
        <w:rPr>
          <w:rFonts w:cs="Times New Roman"/>
        </w:rPr>
        <w:t>: e119.</w:t>
      </w:r>
    </w:p>
    <w:p w14:paraId="18A68DDE" w14:textId="00E8EE55" w:rsidR="00BE32E5" w:rsidRPr="00BE32E5" w:rsidRDefault="00BE32E5" w:rsidP="00BE32E5">
      <w:pPr>
        <w:pStyle w:val="Bibliography"/>
        <w:rPr>
          <w:rFonts w:cs="Times New Roman"/>
        </w:rPr>
      </w:pPr>
      <w:r w:rsidRPr="00BE32E5">
        <w:rPr>
          <w:rFonts w:cs="Times New Roman"/>
        </w:rPr>
        <w:t>22</w:t>
      </w:r>
      <w:r w:rsidR="007D4204">
        <w:rPr>
          <w:rFonts w:cs="Times New Roman"/>
        </w:rPr>
        <w:t xml:space="preserve"> </w:t>
      </w:r>
      <w:proofErr w:type="spellStart"/>
      <w:r w:rsidRPr="00BE32E5">
        <w:rPr>
          <w:rFonts w:cs="Times New Roman"/>
        </w:rPr>
        <w:t>Pulcini</w:t>
      </w:r>
      <w:proofErr w:type="spellEnd"/>
      <w:r w:rsidRPr="00BE32E5">
        <w:rPr>
          <w:rFonts w:cs="Times New Roman"/>
        </w:rPr>
        <w:t xml:space="preserve"> C, ESGAP AMOXDOSE working group. Amoxicillin dosing recommendations are very different in European countries: a cross-sectional survey. </w:t>
      </w:r>
      <w:r w:rsidRPr="00BE32E5">
        <w:rPr>
          <w:rFonts w:cs="Times New Roman"/>
          <w:i/>
          <w:iCs/>
        </w:rPr>
        <w:t xml:space="preserve">Clin </w:t>
      </w:r>
      <w:proofErr w:type="spellStart"/>
      <w:r w:rsidRPr="00BE32E5">
        <w:rPr>
          <w:rFonts w:cs="Times New Roman"/>
          <w:i/>
          <w:iCs/>
        </w:rPr>
        <w:t>Microbiol</w:t>
      </w:r>
      <w:proofErr w:type="spellEnd"/>
      <w:r w:rsidRPr="00BE32E5">
        <w:rPr>
          <w:rFonts w:cs="Times New Roman"/>
          <w:i/>
          <w:iCs/>
        </w:rPr>
        <w:t xml:space="preserve"> Infect</w:t>
      </w:r>
      <w:r w:rsidRPr="00BE32E5">
        <w:rPr>
          <w:rFonts w:cs="Times New Roman"/>
        </w:rPr>
        <w:t xml:space="preserve"> 2017; </w:t>
      </w:r>
      <w:r w:rsidRPr="00BE32E5">
        <w:rPr>
          <w:rFonts w:cs="Times New Roman"/>
          <w:b/>
          <w:bCs/>
        </w:rPr>
        <w:t>23</w:t>
      </w:r>
      <w:r w:rsidRPr="00BE32E5">
        <w:rPr>
          <w:rFonts w:cs="Times New Roman"/>
        </w:rPr>
        <w:t>: 414–5.</w:t>
      </w:r>
    </w:p>
    <w:p w14:paraId="489D2FC6" w14:textId="052A8206" w:rsidR="00BE32E5" w:rsidRPr="00BE32E5" w:rsidRDefault="00BE32E5" w:rsidP="00BE32E5">
      <w:pPr>
        <w:pStyle w:val="Bibliography"/>
        <w:rPr>
          <w:rFonts w:cs="Times New Roman"/>
        </w:rPr>
      </w:pPr>
      <w:r w:rsidRPr="00BE32E5">
        <w:rPr>
          <w:rFonts w:cs="Times New Roman"/>
        </w:rPr>
        <w:t>23</w:t>
      </w:r>
      <w:r w:rsidR="007D4204">
        <w:rPr>
          <w:rFonts w:cs="Times New Roman"/>
        </w:rPr>
        <w:t xml:space="preserve"> </w:t>
      </w:r>
      <w:proofErr w:type="spellStart"/>
      <w:r w:rsidRPr="00BE32E5">
        <w:rPr>
          <w:rFonts w:cs="Times New Roman"/>
        </w:rPr>
        <w:t>Bruyndonckx</w:t>
      </w:r>
      <w:proofErr w:type="spellEnd"/>
      <w:r w:rsidRPr="00BE32E5">
        <w:rPr>
          <w:rFonts w:cs="Times New Roman"/>
        </w:rPr>
        <w:t xml:space="preserve"> R, Hens N, </w:t>
      </w:r>
      <w:proofErr w:type="spellStart"/>
      <w:r w:rsidRPr="00BE32E5">
        <w:rPr>
          <w:rFonts w:cs="Times New Roman"/>
        </w:rPr>
        <w:t>Aerts</w:t>
      </w:r>
      <w:proofErr w:type="spellEnd"/>
      <w:r w:rsidRPr="00BE32E5">
        <w:rPr>
          <w:rFonts w:cs="Times New Roman"/>
        </w:rPr>
        <w:t xml:space="preserve"> M, </w:t>
      </w:r>
      <w:proofErr w:type="spellStart"/>
      <w:r w:rsidRPr="00BE32E5">
        <w:rPr>
          <w:rFonts w:cs="Times New Roman"/>
        </w:rPr>
        <w:t>Goossens</w:t>
      </w:r>
      <w:proofErr w:type="spellEnd"/>
      <w:r w:rsidRPr="00BE32E5">
        <w:rPr>
          <w:rFonts w:cs="Times New Roman"/>
        </w:rPr>
        <w:t xml:space="preserve"> H, </w:t>
      </w:r>
      <w:proofErr w:type="spellStart"/>
      <w:r w:rsidRPr="00BE32E5">
        <w:rPr>
          <w:rFonts w:cs="Times New Roman"/>
        </w:rPr>
        <w:t>Molenberghs</w:t>
      </w:r>
      <w:proofErr w:type="spellEnd"/>
      <w:r w:rsidRPr="00BE32E5">
        <w:rPr>
          <w:rFonts w:cs="Times New Roman"/>
        </w:rPr>
        <w:t xml:space="preserve"> G, </w:t>
      </w:r>
      <w:proofErr w:type="spellStart"/>
      <w:r w:rsidRPr="00BE32E5">
        <w:rPr>
          <w:rFonts w:cs="Times New Roman"/>
        </w:rPr>
        <w:t>Coenen</w:t>
      </w:r>
      <w:proofErr w:type="spellEnd"/>
      <w:r w:rsidRPr="00BE32E5">
        <w:rPr>
          <w:rFonts w:cs="Times New Roman"/>
        </w:rPr>
        <w:t xml:space="preserve"> S. Measuring trends of outpatient antibiotic use in Europe: jointly modelling longitudinal data in defined daily doses and packages. </w:t>
      </w:r>
      <w:r w:rsidRPr="00BE32E5">
        <w:rPr>
          <w:rFonts w:cs="Times New Roman"/>
          <w:i/>
          <w:iCs/>
        </w:rPr>
        <w:t xml:space="preserve">J </w:t>
      </w:r>
      <w:proofErr w:type="spellStart"/>
      <w:r w:rsidRPr="00BE32E5">
        <w:rPr>
          <w:rFonts w:cs="Times New Roman"/>
          <w:i/>
          <w:iCs/>
        </w:rPr>
        <w:t>Antimicrob</w:t>
      </w:r>
      <w:proofErr w:type="spellEnd"/>
      <w:r w:rsidRPr="00BE32E5">
        <w:rPr>
          <w:rFonts w:cs="Times New Roman"/>
          <w:i/>
          <w:iCs/>
        </w:rPr>
        <w:t xml:space="preserve"> </w:t>
      </w:r>
      <w:proofErr w:type="spellStart"/>
      <w:r w:rsidRPr="00BE32E5">
        <w:rPr>
          <w:rFonts w:cs="Times New Roman"/>
          <w:i/>
          <w:iCs/>
        </w:rPr>
        <w:t>Chemother</w:t>
      </w:r>
      <w:proofErr w:type="spellEnd"/>
      <w:r w:rsidRPr="00BE32E5">
        <w:rPr>
          <w:rFonts w:cs="Times New Roman"/>
        </w:rPr>
        <w:t xml:space="preserve"> 2014; </w:t>
      </w:r>
      <w:r w:rsidRPr="00BE32E5">
        <w:rPr>
          <w:rFonts w:cs="Times New Roman"/>
          <w:b/>
          <w:bCs/>
        </w:rPr>
        <w:t>69</w:t>
      </w:r>
      <w:r w:rsidRPr="00BE32E5">
        <w:rPr>
          <w:rFonts w:cs="Times New Roman"/>
        </w:rPr>
        <w:t>: 1981–6.</w:t>
      </w:r>
    </w:p>
    <w:p w14:paraId="513EACA0" w14:textId="3C8A389B" w:rsidR="00BE32E5" w:rsidRPr="00BE32E5" w:rsidRDefault="00BE32E5" w:rsidP="00BE32E5">
      <w:pPr>
        <w:pStyle w:val="Bibliography"/>
        <w:rPr>
          <w:rFonts w:cs="Times New Roman"/>
        </w:rPr>
      </w:pPr>
      <w:r w:rsidRPr="00BE32E5">
        <w:rPr>
          <w:rFonts w:cs="Times New Roman"/>
        </w:rPr>
        <w:t>24</w:t>
      </w:r>
      <w:r w:rsidR="007D4204">
        <w:rPr>
          <w:rFonts w:cs="Times New Roman"/>
        </w:rPr>
        <w:t xml:space="preserve"> </w:t>
      </w:r>
      <w:proofErr w:type="spellStart"/>
      <w:r w:rsidRPr="00BE32E5">
        <w:rPr>
          <w:rFonts w:cs="Times New Roman"/>
        </w:rPr>
        <w:t>Bruyndonckx</w:t>
      </w:r>
      <w:proofErr w:type="spellEnd"/>
      <w:r w:rsidRPr="00BE32E5">
        <w:rPr>
          <w:rFonts w:cs="Times New Roman"/>
        </w:rPr>
        <w:t xml:space="preserve"> R, Hens N, </w:t>
      </w:r>
      <w:proofErr w:type="spellStart"/>
      <w:r w:rsidRPr="00BE32E5">
        <w:rPr>
          <w:rFonts w:cs="Times New Roman"/>
        </w:rPr>
        <w:t>Aerts</w:t>
      </w:r>
      <w:proofErr w:type="spellEnd"/>
      <w:r w:rsidRPr="00BE32E5">
        <w:rPr>
          <w:rFonts w:cs="Times New Roman"/>
        </w:rPr>
        <w:t xml:space="preserve"> M, </w:t>
      </w:r>
      <w:proofErr w:type="spellStart"/>
      <w:r w:rsidRPr="00BE32E5">
        <w:rPr>
          <w:rFonts w:cs="Times New Roman"/>
        </w:rPr>
        <w:t>Goossens</w:t>
      </w:r>
      <w:proofErr w:type="spellEnd"/>
      <w:r w:rsidRPr="00BE32E5">
        <w:rPr>
          <w:rFonts w:cs="Times New Roman"/>
        </w:rPr>
        <w:t xml:space="preserve"> H, </w:t>
      </w:r>
      <w:proofErr w:type="spellStart"/>
      <w:r w:rsidRPr="00BE32E5">
        <w:rPr>
          <w:rFonts w:cs="Times New Roman"/>
        </w:rPr>
        <w:t>Cortiñas</w:t>
      </w:r>
      <w:proofErr w:type="spellEnd"/>
      <w:r w:rsidRPr="00BE32E5">
        <w:rPr>
          <w:rFonts w:cs="Times New Roman"/>
        </w:rPr>
        <w:t xml:space="preserve"> </w:t>
      </w:r>
      <w:proofErr w:type="spellStart"/>
      <w:r w:rsidRPr="00BE32E5">
        <w:rPr>
          <w:rFonts w:cs="Times New Roman"/>
        </w:rPr>
        <w:t>Abrahantes</w:t>
      </w:r>
      <w:proofErr w:type="spellEnd"/>
      <w:r w:rsidRPr="00BE32E5">
        <w:rPr>
          <w:rFonts w:cs="Times New Roman"/>
        </w:rPr>
        <w:t xml:space="preserve"> J, </w:t>
      </w:r>
      <w:proofErr w:type="spellStart"/>
      <w:r w:rsidRPr="00BE32E5">
        <w:rPr>
          <w:rFonts w:cs="Times New Roman"/>
        </w:rPr>
        <w:t>Coenen</w:t>
      </w:r>
      <w:proofErr w:type="spellEnd"/>
      <w:r w:rsidRPr="00BE32E5">
        <w:rPr>
          <w:rFonts w:cs="Times New Roman"/>
        </w:rPr>
        <w:t xml:space="preserve"> S. Exploring the association between resistance and outpatient antibiotic use expressed as DDDs or packages. </w:t>
      </w:r>
      <w:r w:rsidRPr="00BE32E5">
        <w:rPr>
          <w:rFonts w:cs="Times New Roman"/>
          <w:i/>
          <w:iCs/>
        </w:rPr>
        <w:t xml:space="preserve">J </w:t>
      </w:r>
      <w:proofErr w:type="spellStart"/>
      <w:r w:rsidRPr="00BE32E5">
        <w:rPr>
          <w:rFonts w:cs="Times New Roman"/>
          <w:i/>
          <w:iCs/>
        </w:rPr>
        <w:t>Antimicrob</w:t>
      </w:r>
      <w:proofErr w:type="spellEnd"/>
      <w:r w:rsidRPr="00BE32E5">
        <w:rPr>
          <w:rFonts w:cs="Times New Roman"/>
          <w:i/>
          <w:iCs/>
        </w:rPr>
        <w:t xml:space="preserve"> </w:t>
      </w:r>
      <w:proofErr w:type="spellStart"/>
      <w:r w:rsidRPr="00BE32E5">
        <w:rPr>
          <w:rFonts w:cs="Times New Roman"/>
          <w:i/>
          <w:iCs/>
        </w:rPr>
        <w:t>Chemother</w:t>
      </w:r>
      <w:proofErr w:type="spellEnd"/>
      <w:r w:rsidRPr="00BE32E5">
        <w:rPr>
          <w:rFonts w:cs="Times New Roman"/>
        </w:rPr>
        <w:t xml:space="preserve"> 2015; </w:t>
      </w:r>
      <w:r w:rsidRPr="00BE32E5">
        <w:rPr>
          <w:rFonts w:cs="Times New Roman"/>
          <w:b/>
          <w:bCs/>
        </w:rPr>
        <w:t>70</w:t>
      </w:r>
      <w:r w:rsidRPr="00BE32E5">
        <w:rPr>
          <w:rFonts w:cs="Times New Roman"/>
        </w:rPr>
        <w:t>: 1241–4.</w:t>
      </w:r>
    </w:p>
    <w:p w14:paraId="6C714CF7" w14:textId="46AEB706" w:rsidR="00BE32E5" w:rsidRPr="00BE32E5" w:rsidRDefault="00BE32E5" w:rsidP="00BE32E5">
      <w:pPr>
        <w:pStyle w:val="Bibliography"/>
        <w:rPr>
          <w:rFonts w:cs="Times New Roman"/>
        </w:rPr>
      </w:pPr>
      <w:r w:rsidRPr="00BE32E5">
        <w:rPr>
          <w:rFonts w:cs="Times New Roman"/>
        </w:rPr>
        <w:t>25</w:t>
      </w:r>
      <w:r w:rsidR="007D4204">
        <w:rPr>
          <w:rFonts w:cs="Times New Roman"/>
        </w:rPr>
        <w:t xml:space="preserve"> </w:t>
      </w:r>
      <w:r w:rsidRPr="00BE32E5">
        <w:rPr>
          <w:rFonts w:cs="Times New Roman"/>
        </w:rPr>
        <w:t xml:space="preserve">López-Lozano J-M, Lawes T, </w:t>
      </w:r>
      <w:proofErr w:type="spellStart"/>
      <w:r w:rsidRPr="00BE32E5">
        <w:rPr>
          <w:rFonts w:cs="Times New Roman"/>
        </w:rPr>
        <w:t>Nebot</w:t>
      </w:r>
      <w:proofErr w:type="spellEnd"/>
      <w:r w:rsidRPr="00BE32E5">
        <w:rPr>
          <w:rFonts w:cs="Times New Roman"/>
        </w:rPr>
        <w:t xml:space="preserve"> C, </w:t>
      </w:r>
      <w:r w:rsidRPr="00BE32E5">
        <w:rPr>
          <w:rFonts w:cs="Times New Roman"/>
          <w:i/>
          <w:iCs/>
        </w:rPr>
        <w:t>et al.</w:t>
      </w:r>
      <w:r w:rsidRPr="00BE32E5">
        <w:rPr>
          <w:rFonts w:cs="Times New Roman"/>
        </w:rPr>
        <w:t xml:space="preserve"> A nonlinear time-series analysis approach to identify thresholds in associations between population antibiotic use and rates of resistance. </w:t>
      </w:r>
      <w:r w:rsidRPr="00BE32E5">
        <w:rPr>
          <w:rFonts w:cs="Times New Roman"/>
          <w:i/>
          <w:iCs/>
        </w:rPr>
        <w:t xml:space="preserve">Nat </w:t>
      </w:r>
      <w:proofErr w:type="spellStart"/>
      <w:r w:rsidRPr="00BE32E5">
        <w:rPr>
          <w:rFonts w:cs="Times New Roman"/>
          <w:i/>
          <w:iCs/>
        </w:rPr>
        <w:t>Microbiol</w:t>
      </w:r>
      <w:proofErr w:type="spellEnd"/>
      <w:r w:rsidRPr="00BE32E5">
        <w:rPr>
          <w:rFonts w:cs="Times New Roman"/>
        </w:rPr>
        <w:t xml:space="preserve"> 2019; </w:t>
      </w:r>
      <w:r w:rsidRPr="00BE32E5">
        <w:rPr>
          <w:rFonts w:cs="Times New Roman"/>
          <w:b/>
          <w:bCs/>
        </w:rPr>
        <w:t>4</w:t>
      </w:r>
      <w:r w:rsidRPr="00BE32E5">
        <w:rPr>
          <w:rFonts w:cs="Times New Roman"/>
        </w:rPr>
        <w:t>: 1160–72.</w:t>
      </w:r>
    </w:p>
    <w:p w14:paraId="51A28D93" w14:textId="734206CF" w:rsidR="00BE32E5" w:rsidRPr="00BE32E5" w:rsidRDefault="00BE32E5" w:rsidP="00BE32E5">
      <w:pPr>
        <w:pStyle w:val="Bibliography"/>
        <w:rPr>
          <w:rFonts w:cs="Times New Roman"/>
        </w:rPr>
      </w:pPr>
      <w:r w:rsidRPr="00BE32E5">
        <w:rPr>
          <w:rFonts w:cs="Times New Roman"/>
        </w:rPr>
        <w:t>26</w:t>
      </w:r>
      <w:r w:rsidR="007D4204">
        <w:rPr>
          <w:rFonts w:cs="Times New Roman"/>
        </w:rPr>
        <w:t xml:space="preserve"> </w:t>
      </w:r>
      <w:proofErr w:type="spellStart"/>
      <w:r w:rsidRPr="00BE32E5">
        <w:rPr>
          <w:rFonts w:cs="Times New Roman"/>
        </w:rPr>
        <w:t>Zanichelli</w:t>
      </w:r>
      <w:proofErr w:type="spellEnd"/>
      <w:r w:rsidRPr="00BE32E5">
        <w:rPr>
          <w:rFonts w:cs="Times New Roman"/>
        </w:rPr>
        <w:t xml:space="preserve"> V, </w:t>
      </w:r>
      <w:proofErr w:type="spellStart"/>
      <w:r w:rsidRPr="00BE32E5">
        <w:rPr>
          <w:rFonts w:cs="Times New Roman"/>
        </w:rPr>
        <w:t>Tebano</w:t>
      </w:r>
      <w:proofErr w:type="spellEnd"/>
      <w:r w:rsidRPr="00BE32E5">
        <w:rPr>
          <w:rFonts w:cs="Times New Roman"/>
        </w:rPr>
        <w:t xml:space="preserve"> G, </w:t>
      </w:r>
      <w:proofErr w:type="spellStart"/>
      <w:r w:rsidRPr="00BE32E5">
        <w:rPr>
          <w:rFonts w:cs="Times New Roman"/>
        </w:rPr>
        <w:t>Gyssens</w:t>
      </w:r>
      <w:proofErr w:type="spellEnd"/>
      <w:r w:rsidRPr="00BE32E5">
        <w:rPr>
          <w:rFonts w:cs="Times New Roman"/>
        </w:rPr>
        <w:t xml:space="preserve"> IC, </w:t>
      </w:r>
      <w:r w:rsidRPr="00BE32E5">
        <w:rPr>
          <w:rFonts w:cs="Times New Roman"/>
          <w:i/>
          <w:iCs/>
        </w:rPr>
        <w:t>et al.</w:t>
      </w:r>
      <w:r w:rsidRPr="00BE32E5">
        <w:rPr>
          <w:rFonts w:cs="Times New Roman"/>
        </w:rPr>
        <w:t xml:space="preserve"> Patient-related determinants of antibiotic use: a systematic review. </w:t>
      </w:r>
      <w:r w:rsidRPr="00BE32E5">
        <w:rPr>
          <w:rFonts w:cs="Times New Roman"/>
          <w:i/>
          <w:iCs/>
        </w:rPr>
        <w:t xml:space="preserve">Clin </w:t>
      </w:r>
      <w:proofErr w:type="spellStart"/>
      <w:r w:rsidRPr="00BE32E5">
        <w:rPr>
          <w:rFonts w:cs="Times New Roman"/>
          <w:i/>
          <w:iCs/>
        </w:rPr>
        <w:t>Microbiol</w:t>
      </w:r>
      <w:proofErr w:type="spellEnd"/>
      <w:r w:rsidRPr="00BE32E5">
        <w:rPr>
          <w:rFonts w:cs="Times New Roman"/>
          <w:i/>
          <w:iCs/>
        </w:rPr>
        <w:t xml:space="preserve"> Infect Off </w:t>
      </w:r>
      <w:proofErr w:type="spellStart"/>
      <w:r w:rsidRPr="00BE32E5">
        <w:rPr>
          <w:rFonts w:cs="Times New Roman"/>
          <w:i/>
          <w:iCs/>
        </w:rPr>
        <w:t>Publ</w:t>
      </w:r>
      <w:proofErr w:type="spellEnd"/>
      <w:r w:rsidRPr="00BE32E5">
        <w:rPr>
          <w:rFonts w:cs="Times New Roman"/>
          <w:i/>
          <w:iCs/>
        </w:rPr>
        <w:t xml:space="preserve"> </w:t>
      </w:r>
      <w:proofErr w:type="spellStart"/>
      <w:r w:rsidRPr="00BE32E5">
        <w:rPr>
          <w:rFonts w:cs="Times New Roman"/>
          <w:i/>
          <w:iCs/>
        </w:rPr>
        <w:t>Eur</w:t>
      </w:r>
      <w:proofErr w:type="spellEnd"/>
      <w:r w:rsidRPr="00BE32E5">
        <w:rPr>
          <w:rFonts w:cs="Times New Roman"/>
          <w:i/>
          <w:iCs/>
        </w:rPr>
        <w:t xml:space="preserve"> Soc Clin </w:t>
      </w:r>
      <w:proofErr w:type="spellStart"/>
      <w:r w:rsidRPr="00BE32E5">
        <w:rPr>
          <w:rFonts w:cs="Times New Roman"/>
          <w:i/>
          <w:iCs/>
        </w:rPr>
        <w:t>Microbiol</w:t>
      </w:r>
      <w:proofErr w:type="spellEnd"/>
      <w:r w:rsidRPr="00BE32E5">
        <w:rPr>
          <w:rFonts w:cs="Times New Roman"/>
          <w:i/>
          <w:iCs/>
        </w:rPr>
        <w:t xml:space="preserve"> Infect Dis</w:t>
      </w:r>
      <w:r w:rsidRPr="00BE32E5">
        <w:rPr>
          <w:rFonts w:cs="Times New Roman"/>
        </w:rPr>
        <w:t xml:space="preserve"> 2019; </w:t>
      </w:r>
      <w:r w:rsidRPr="00BE32E5">
        <w:rPr>
          <w:rFonts w:cs="Times New Roman"/>
          <w:b/>
          <w:bCs/>
        </w:rPr>
        <w:t>25</w:t>
      </w:r>
      <w:r w:rsidRPr="00BE32E5">
        <w:rPr>
          <w:rFonts w:cs="Times New Roman"/>
        </w:rPr>
        <w:t>: 48–53.</w:t>
      </w:r>
    </w:p>
    <w:p w14:paraId="641E2554" w14:textId="08A6EF2B" w:rsidR="00BE32E5" w:rsidRPr="00BE32E5" w:rsidRDefault="00BE32E5" w:rsidP="00BE32E5">
      <w:pPr>
        <w:pStyle w:val="Bibliography"/>
        <w:rPr>
          <w:rFonts w:cs="Times New Roman"/>
        </w:rPr>
      </w:pPr>
      <w:r w:rsidRPr="00BE32E5">
        <w:rPr>
          <w:rFonts w:cs="Times New Roman"/>
        </w:rPr>
        <w:t>27</w:t>
      </w:r>
      <w:r w:rsidR="007D4204">
        <w:rPr>
          <w:rFonts w:cs="Times New Roman"/>
        </w:rPr>
        <w:t xml:space="preserve"> </w:t>
      </w:r>
      <w:r w:rsidRPr="00BE32E5">
        <w:rPr>
          <w:rFonts w:cs="Times New Roman"/>
        </w:rPr>
        <w:t xml:space="preserve">European Centre for Disease Prevention and Control (ECDC), Authority (EFSA) EFS, Agency (EMA) EM. Third joint inter-agency report on integrated analysis of consumption of antimicrobial agents and occurrence of antimicrobial resistance in bacteria from humans and food-producing animals in the EU/EEA. </w:t>
      </w:r>
      <w:r w:rsidRPr="00BE32E5">
        <w:rPr>
          <w:rFonts w:cs="Times New Roman"/>
          <w:i/>
          <w:iCs/>
        </w:rPr>
        <w:t>EFSA J</w:t>
      </w:r>
      <w:r w:rsidRPr="00BE32E5">
        <w:rPr>
          <w:rFonts w:cs="Times New Roman"/>
        </w:rPr>
        <w:t xml:space="preserve"> 2021; </w:t>
      </w:r>
      <w:r w:rsidRPr="00BE32E5">
        <w:rPr>
          <w:rFonts w:cs="Times New Roman"/>
          <w:b/>
          <w:bCs/>
        </w:rPr>
        <w:t>19</w:t>
      </w:r>
      <w:r w:rsidRPr="00BE32E5">
        <w:rPr>
          <w:rFonts w:cs="Times New Roman"/>
        </w:rPr>
        <w:t>: e06712.</w:t>
      </w:r>
    </w:p>
    <w:p w14:paraId="738AFB0D" w14:textId="338D8EE2" w:rsidR="00BE32E5" w:rsidRPr="00BE32E5" w:rsidRDefault="00BE32E5" w:rsidP="00BE32E5">
      <w:pPr>
        <w:pStyle w:val="Bibliography"/>
        <w:rPr>
          <w:rFonts w:cs="Times New Roman"/>
        </w:rPr>
      </w:pPr>
      <w:r w:rsidRPr="00BE32E5">
        <w:rPr>
          <w:rFonts w:cs="Times New Roman"/>
        </w:rPr>
        <w:t>28</w:t>
      </w:r>
      <w:r w:rsidR="007D4204">
        <w:rPr>
          <w:rFonts w:cs="Times New Roman"/>
        </w:rPr>
        <w:t xml:space="preserve"> </w:t>
      </w:r>
      <w:r w:rsidRPr="00BE32E5">
        <w:rPr>
          <w:rFonts w:cs="Times New Roman"/>
        </w:rPr>
        <w:t>The European Committee on Antimicrobial Susceptibility Testing. Breakpoint tables for interpretation of MICs and zone diameters, Version 12.0, 2022. https://www.eucast.org/clinical_breakpoints (accessed Jan 3, 2021).</w:t>
      </w:r>
    </w:p>
    <w:p w14:paraId="35CE255F" w14:textId="0A036CC6" w:rsidR="00BE32E5" w:rsidRPr="00BE32E5" w:rsidRDefault="00BE32E5" w:rsidP="00BE32E5">
      <w:pPr>
        <w:pStyle w:val="Bibliography"/>
        <w:rPr>
          <w:rFonts w:cs="Times New Roman"/>
        </w:rPr>
      </w:pPr>
      <w:r w:rsidRPr="00BE32E5">
        <w:rPr>
          <w:rFonts w:cs="Times New Roman"/>
        </w:rPr>
        <w:t>29</w:t>
      </w:r>
      <w:r w:rsidR="007D4204">
        <w:rPr>
          <w:rFonts w:cs="Times New Roman"/>
        </w:rPr>
        <w:t xml:space="preserve"> </w:t>
      </w:r>
      <w:r w:rsidRPr="00BE32E5">
        <w:rPr>
          <w:rFonts w:cs="Times New Roman"/>
        </w:rPr>
        <w:t>Clinical and Laboratory Standards Institute. Performance standards for antimicrobial susceptibility testing. 31st ed. CLSI supplement M100. Wayne, PA. 2021. https://clsi.org/media/z2uhcbmv/m100ed31_sample.pdf (accessed Sept 1, 2022).</w:t>
      </w:r>
    </w:p>
    <w:p w14:paraId="407C8CE5" w14:textId="32A4B710" w:rsidR="00BE32E5" w:rsidRPr="00BE32E5" w:rsidRDefault="00BE32E5" w:rsidP="00BE32E5">
      <w:pPr>
        <w:pStyle w:val="Bibliography"/>
        <w:rPr>
          <w:rFonts w:cs="Times New Roman"/>
        </w:rPr>
      </w:pPr>
      <w:r w:rsidRPr="00BE32E5">
        <w:rPr>
          <w:rFonts w:cs="Times New Roman"/>
        </w:rPr>
        <w:t>30</w:t>
      </w:r>
      <w:r w:rsidR="007D4204">
        <w:rPr>
          <w:rFonts w:cs="Times New Roman"/>
        </w:rPr>
        <w:t xml:space="preserve"> </w:t>
      </w:r>
      <w:r w:rsidRPr="00BE32E5">
        <w:rPr>
          <w:rFonts w:cs="Times New Roman"/>
        </w:rPr>
        <w:t xml:space="preserve">GBD 2019 Antimicrobial Resistance Collaborators. Global mortality associated with 33 bacterial pathogens in 2019: a systematic analysis for the Global Burden of Disease Study 2019. </w:t>
      </w:r>
      <w:r w:rsidRPr="00BE32E5">
        <w:rPr>
          <w:rFonts w:cs="Times New Roman"/>
          <w:i/>
          <w:iCs/>
        </w:rPr>
        <w:t>The Lancet</w:t>
      </w:r>
      <w:r w:rsidRPr="00BE32E5">
        <w:rPr>
          <w:rFonts w:cs="Times New Roman"/>
        </w:rPr>
        <w:t xml:space="preserve"> 2022; </w:t>
      </w:r>
      <w:r w:rsidRPr="00BE32E5">
        <w:rPr>
          <w:rFonts w:cs="Times New Roman"/>
          <w:b/>
          <w:bCs/>
        </w:rPr>
        <w:t>400</w:t>
      </w:r>
      <w:r w:rsidRPr="00BE32E5">
        <w:rPr>
          <w:rFonts w:cs="Times New Roman"/>
        </w:rPr>
        <w:t>: 2221–48.</w:t>
      </w:r>
    </w:p>
    <w:p w14:paraId="77003708" w14:textId="3EB3FFDB" w:rsidR="00097666" w:rsidRDefault="00E60A0D" w:rsidP="0052103A">
      <w:pPr>
        <w:rPr>
          <w:color w:val="2B579A"/>
          <w:shd w:val="clear" w:color="auto" w:fill="E6E6E6"/>
        </w:rPr>
      </w:pPr>
      <w:r>
        <w:rPr>
          <w:color w:val="2B579A"/>
          <w:shd w:val="clear" w:color="auto" w:fill="E6E6E6"/>
        </w:rPr>
        <w:fldChar w:fldCharType="end"/>
      </w:r>
    </w:p>
    <w:p w14:paraId="1A6B4290" w14:textId="77777777" w:rsidR="00097666" w:rsidRDefault="00097666">
      <w:pPr>
        <w:rPr>
          <w:color w:val="2B579A"/>
          <w:shd w:val="clear" w:color="auto" w:fill="E6E6E6"/>
        </w:rPr>
      </w:pPr>
      <w:r>
        <w:rPr>
          <w:color w:val="2B579A"/>
          <w:shd w:val="clear" w:color="auto" w:fill="E6E6E6"/>
        </w:rPr>
        <w:br w:type="page"/>
      </w:r>
    </w:p>
    <w:p w14:paraId="6E194197" w14:textId="4D918132" w:rsidR="0072501F" w:rsidRPr="0072501F" w:rsidRDefault="002965C9" w:rsidP="00A63CAF">
      <w:pPr>
        <w:pStyle w:val="Heading1"/>
        <w:spacing w:before="0"/>
      </w:pPr>
      <w:bookmarkStart w:id="218" w:name="_Toc135992054"/>
      <w:bookmarkStart w:id="219" w:name="_Hlk134099291"/>
      <w:r>
        <w:lastRenderedPageBreak/>
        <w:t>Authors’ Contributions</w:t>
      </w:r>
      <w:bookmarkEnd w:id="218"/>
    </w:p>
    <w:bookmarkEnd w:id="219"/>
    <w:p w14:paraId="1DB27C6A" w14:textId="77777777" w:rsidR="00A63CAF" w:rsidRDefault="00A63CAF" w:rsidP="00A63CAF">
      <w:pPr>
        <w:pStyle w:val="Heading3"/>
      </w:pPr>
      <w:r w:rsidRPr="00705FF5">
        <w:t xml:space="preserve">Managing the </w:t>
      </w:r>
      <w:r>
        <w:t>overall research enterprise</w:t>
      </w:r>
    </w:p>
    <w:p w14:paraId="635BA162" w14:textId="77777777" w:rsidR="00A63CAF" w:rsidRPr="00B62B35" w:rsidRDefault="00A63CAF" w:rsidP="00A63CAF">
      <w:r w:rsidRPr="00CA5ADB">
        <w:t>Christiane Dolecek</w:t>
      </w:r>
      <w:r>
        <w:t>,</w:t>
      </w:r>
      <w:r w:rsidRPr="00CA5ADB">
        <w:t xml:space="preserve"> Simon Hay, Chris Murray, Mohsen Naghavi,</w:t>
      </w:r>
      <w:r>
        <w:t xml:space="preserve"> </w:t>
      </w:r>
      <w:r w:rsidRPr="00CA5ADB">
        <w:t>Benn Sartorius,</w:t>
      </w:r>
      <w:r>
        <w:t xml:space="preserve"> and </w:t>
      </w:r>
      <w:r w:rsidRPr="00CA5ADB">
        <w:t>Eve Wool</w:t>
      </w:r>
      <w:r>
        <w:t>.</w:t>
      </w:r>
    </w:p>
    <w:p w14:paraId="4D4B1341" w14:textId="77777777" w:rsidR="00A63CAF" w:rsidRDefault="00A63CAF" w:rsidP="00A63CAF">
      <w:pPr>
        <w:pStyle w:val="Heading3"/>
      </w:pPr>
      <w:r w:rsidRPr="00705FF5">
        <w:t>Writing the first draft of the manuscript</w:t>
      </w:r>
    </w:p>
    <w:p w14:paraId="542E789B" w14:textId="77777777" w:rsidR="00A63CAF" w:rsidRDefault="00A63CAF" w:rsidP="00A63CAF">
      <w:r w:rsidRPr="00CA5ADB">
        <w:t>Gisela Robles-Aguilar, Lucien Swetschinski, Nicole Davis Weaver</w:t>
      </w:r>
    </w:p>
    <w:p w14:paraId="15D5C3E7" w14:textId="77777777" w:rsidR="00A63CAF" w:rsidRDefault="00A63CAF" w:rsidP="00A63CAF">
      <w:pPr>
        <w:pStyle w:val="Heading3"/>
      </w:pPr>
      <w:r w:rsidRPr="00B62B35">
        <w:t xml:space="preserve">Primary responsibility for applying analytical methods to produce </w:t>
      </w:r>
      <w:proofErr w:type="gramStart"/>
      <w:r w:rsidRPr="00B62B35">
        <w:t>estimates</w:t>
      </w:r>
      <w:proofErr w:type="gramEnd"/>
    </w:p>
    <w:p w14:paraId="44C9367B" w14:textId="77777777" w:rsidR="00A63CAF" w:rsidRDefault="00A63CAF" w:rsidP="00A63CAF">
      <w:r w:rsidRPr="00CA5ADB">
        <w:t>Daniel Araki</w:t>
      </w:r>
      <w:r>
        <w:t>,</w:t>
      </w:r>
      <w:r w:rsidRPr="00CA5ADB">
        <w:t xml:space="preserve"> Erin Chung</w:t>
      </w:r>
      <w:r>
        <w:t>,</w:t>
      </w:r>
      <w:r w:rsidRPr="00CA5ADB">
        <w:t xml:space="preserve"> Authia Gray, </w:t>
      </w:r>
      <w:proofErr w:type="spellStart"/>
      <w:r w:rsidRPr="00CA5ADB">
        <w:t>Chieh</w:t>
      </w:r>
      <w:proofErr w:type="spellEnd"/>
      <w:r w:rsidRPr="00CA5ADB">
        <w:t xml:space="preserve"> Han, Kevin Ikuta, Tomislav Mestrovic, Gisela Robles-Aguilar, </w:t>
      </w:r>
      <w:r>
        <w:t xml:space="preserve">and </w:t>
      </w:r>
      <w:r w:rsidRPr="00CA5ADB">
        <w:t>Lucien Swetschinski</w:t>
      </w:r>
      <w:r>
        <w:t>.</w:t>
      </w:r>
    </w:p>
    <w:p w14:paraId="763BE40C" w14:textId="77777777" w:rsidR="00A63CAF" w:rsidRDefault="00A63CAF" w:rsidP="00A63CAF">
      <w:pPr>
        <w:pStyle w:val="Heading3"/>
      </w:pPr>
      <w:r w:rsidRPr="00B62B35">
        <w:t xml:space="preserve">Primary responsibility for seeking, cataloguing, extracting, or cleaning data; designing or coding figures and </w:t>
      </w:r>
      <w:proofErr w:type="gramStart"/>
      <w:r w:rsidRPr="00B62B35">
        <w:t>tables</w:t>
      </w:r>
      <w:proofErr w:type="gramEnd"/>
    </w:p>
    <w:p w14:paraId="72A8989E" w14:textId="77777777" w:rsidR="00A63CAF" w:rsidRPr="00CA5ADB" w:rsidRDefault="00A63CAF" w:rsidP="00A63CAF">
      <w:r w:rsidRPr="00CA5ADB">
        <w:t>Anna Gershberg Hayoon, Authia Gray</w:t>
      </w:r>
      <w:r>
        <w:t>,</w:t>
      </w:r>
      <w:r w:rsidRPr="00CA5ADB">
        <w:t xml:space="preserve"> </w:t>
      </w:r>
      <w:proofErr w:type="spellStart"/>
      <w:r w:rsidRPr="00CA5ADB">
        <w:t>Chieh</w:t>
      </w:r>
      <w:proofErr w:type="spellEnd"/>
      <w:r w:rsidRPr="00CA5ADB">
        <w:t xml:space="preserve"> Han, Gisela Robles-Aguilar, </w:t>
      </w:r>
      <w:r>
        <w:t xml:space="preserve">and </w:t>
      </w:r>
      <w:r w:rsidRPr="00CA5ADB">
        <w:t>Lucien Swetschinski</w:t>
      </w:r>
      <w:r>
        <w:t>.</w:t>
      </w:r>
      <w:r w:rsidRPr="00CA5ADB">
        <w:t xml:space="preserve"> </w:t>
      </w:r>
    </w:p>
    <w:p w14:paraId="48F3D3C5" w14:textId="77777777" w:rsidR="00A63CAF" w:rsidRPr="00705FF5" w:rsidRDefault="00A63CAF" w:rsidP="00A63CAF">
      <w:pPr>
        <w:pStyle w:val="Heading3"/>
      </w:pPr>
      <w:r w:rsidRPr="00705FF5">
        <w:t>Providing data or critical feedback on data sources</w:t>
      </w:r>
    </w:p>
    <w:p w14:paraId="7848F2AD" w14:textId="0D0A876D" w:rsidR="00A63CAF" w:rsidRPr="00705FF5" w:rsidRDefault="00A63CAF" w:rsidP="00A63CAF">
      <w:r>
        <w:t xml:space="preserve">Ashkan </w:t>
      </w:r>
      <w:proofErr w:type="spellStart"/>
      <w:r>
        <w:t>Abdollahi</w:t>
      </w:r>
      <w:proofErr w:type="spellEnd"/>
      <w:r>
        <w:t xml:space="preserve">, Ramesh Agarwal, Ahmed Y Azzam, Eitan N </w:t>
      </w:r>
      <w:proofErr w:type="spellStart"/>
      <w:r>
        <w:t>Berezin</w:t>
      </w:r>
      <w:proofErr w:type="spellEnd"/>
      <w:r>
        <w:t xml:space="preserve">, Akshaya Srikanth </w:t>
      </w:r>
      <w:proofErr w:type="spellStart"/>
      <w:r>
        <w:t>Bhagavathula</w:t>
      </w:r>
      <w:proofErr w:type="spellEnd"/>
      <w:r>
        <w:t xml:space="preserve">, Annie J Browne, Carlos A </w:t>
      </w:r>
      <w:proofErr w:type="spellStart"/>
      <w:r>
        <w:t>Castañeda-Orjuela</w:t>
      </w:r>
      <w:proofErr w:type="spellEnd"/>
      <w:r>
        <w:t xml:space="preserve">, </w:t>
      </w:r>
      <w:proofErr w:type="spellStart"/>
      <w:r>
        <w:t>Eeshwar</w:t>
      </w:r>
      <w:proofErr w:type="spellEnd"/>
      <w:r>
        <w:t xml:space="preserve"> K Chandrasekar, </w:t>
      </w:r>
      <w:proofErr w:type="spellStart"/>
      <w:r>
        <w:t>Xiaochen</w:t>
      </w:r>
      <w:proofErr w:type="spellEnd"/>
      <w:r>
        <w:t xml:space="preserve"> Dai, Fernando Pio De la </w:t>
      </w:r>
      <w:proofErr w:type="spellStart"/>
      <w:r>
        <w:t>Hoz</w:t>
      </w:r>
      <w:proofErr w:type="spellEnd"/>
      <w:r>
        <w:t xml:space="preserve">, Christiane Dolecek, Wendel </w:t>
      </w:r>
      <w:proofErr w:type="spellStart"/>
      <w:r>
        <w:t>Mombaque</w:t>
      </w:r>
      <w:proofErr w:type="spellEnd"/>
      <w:r>
        <w:t xml:space="preserve"> dos Santos, David Eyre, </w:t>
      </w:r>
      <w:proofErr w:type="spellStart"/>
      <w:r>
        <w:t>Coralith</w:t>
      </w:r>
      <w:proofErr w:type="spellEnd"/>
      <w:r>
        <w:t xml:space="preserve"> Garcia, Authia P Gray, Georgina Haines-Woodhouse, </w:t>
      </w:r>
      <w:proofErr w:type="spellStart"/>
      <w:r>
        <w:t>Chieh</w:t>
      </w:r>
      <w:proofErr w:type="spellEnd"/>
      <w:r>
        <w:t xml:space="preserve"> Han, Nathaniel J Henry, Susan Hopkins, Md Mahbub Hossain, Kevin S Ikuta, Jan </w:t>
      </w:r>
      <w:proofErr w:type="spellStart"/>
      <w:r>
        <w:t>Adriaan</w:t>
      </w:r>
      <w:proofErr w:type="spellEnd"/>
      <w:r>
        <w:t xml:space="preserve"> Jacob</w:t>
      </w:r>
      <w:r w:rsidRPr="00A63CAF">
        <w:t xml:space="preserve">s, Ronald Jones, </w:t>
      </w:r>
      <w:proofErr w:type="spellStart"/>
      <w:r w:rsidRPr="00A63CAF">
        <w:t>I</w:t>
      </w:r>
      <w:r>
        <w:t>mteyaz</w:t>
      </w:r>
      <w:proofErr w:type="spellEnd"/>
      <w:r>
        <w:t xml:space="preserve"> A Khan, Jagdish Khubchandani, Adnan </w:t>
      </w:r>
      <w:proofErr w:type="spellStart"/>
      <w:r>
        <w:t>Kisa</w:t>
      </w:r>
      <w:proofErr w:type="spellEnd"/>
      <w:r>
        <w:t xml:space="preserve">, Giscard Wilfried </w:t>
      </w:r>
      <w:proofErr w:type="spellStart"/>
      <w:r>
        <w:t>Koyaweda</w:t>
      </w:r>
      <w:proofErr w:type="spellEnd"/>
      <w:r>
        <w:t xml:space="preserve">, Fiorella </w:t>
      </w:r>
      <w:proofErr w:type="spellStart"/>
      <w:r>
        <w:t>Krapp</w:t>
      </w:r>
      <w:proofErr w:type="spellEnd"/>
      <w:r>
        <w:t xml:space="preserve">, Emmanuelle A P Kumaran, Hmwe </w:t>
      </w:r>
      <w:proofErr w:type="spellStart"/>
      <w:r>
        <w:t>Hmwe</w:t>
      </w:r>
      <w:proofErr w:type="spellEnd"/>
      <w:r>
        <w:t xml:space="preserve"> Kyu, Stephen S Lim, </w:t>
      </w:r>
      <w:proofErr w:type="spellStart"/>
      <w:r>
        <w:t>Xuefeng</w:t>
      </w:r>
      <w:proofErr w:type="spellEnd"/>
      <w:r>
        <w:t xml:space="preserve"> Liu, Stephen </w:t>
      </w:r>
      <w:proofErr w:type="spellStart"/>
      <w:r>
        <w:t>Luby</w:t>
      </w:r>
      <w:proofErr w:type="spellEnd"/>
      <w:r>
        <w:t xml:space="preserve">, Christopher </w:t>
      </w:r>
      <w:proofErr w:type="spellStart"/>
      <w:r>
        <w:t>Maronga</w:t>
      </w:r>
      <w:proofErr w:type="spellEnd"/>
      <w:r>
        <w:t xml:space="preserve">, Barney </w:t>
      </w:r>
      <w:proofErr w:type="spellStart"/>
      <w:r>
        <w:t>McManigal</w:t>
      </w:r>
      <w:proofErr w:type="spellEnd"/>
      <w:r>
        <w:t xml:space="preserve">, Tomislav Mestrovic, Ali H </w:t>
      </w:r>
      <w:proofErr w:type="spellStart"/>
      <w:r>
        <w:t>Mokdad</w:t>
      </w:r>
      <w:proofErr w:type="spellEnd"/>
      <w:r>
        <w:t xml:space="preserve">, Catrin E Moore, Ebrahim </w:t>
      </w:r>
      <w:proofErr w:type="spellStart"/>
      <w:r>
        <w:t>Mostafavi</w:t>
      </w:r>
      <w:proofErr w:type="spellEnd"/>
      <w:r>
        <w:t xml:space="preserve">, </w:t>
      </w:r>
      <w:proofErr w:type="spellStart"/>
      <w:r>
        <w:t>Efrén</w:t>
      </w:r>
      <w:proofErr w:type="spellEnd"/>
      <w:r>
        <w:t xml:space="preserve"> Murillo-Zamora, Christopher J L Murray, Marisa Marcia </w:t>
      </w:r>
      <w:proofErr w:type="spellStart"/>
      <w:r>
        <w:t>Mussi-Pinhata</w:t>
      </w:r>
      <w:proofErr w:type="spellEnd"/>
      <w:r>
        <w:t xml:space="preserve">, Mohsen Naghavi, Ruchi Nanavati, Zuhair S Natto, Farah Naz Qamar, Theresa J Ochoa, </w:t>
      </w:r>
      <w:proofErr w:type="spellStart"/>
      <w:r>
        <w:t>Tolulope</w:t>
      </w:r>
      <w:proofErr w:type="spellEnd"/>
      <w:r>
        <w:t xml:space="preserve"> R Ojo-</w:t>
      </w:r>
      <w:proofErr w:type="spellStart"/>
      <w:r>
        <w:t>Akosile</w:t>
      </w:r>
      <w:proofErr w:type="spellEnd"/>
      <w:r>
        <w:t xml:space="preserve">, Andrew T </w:t>
      </w:r>
      <w:proofErr w:type="spellStart"/>
      <w:r>
        <w:t>Olagunju</w:t>
      </w:r>
      <w:proofErr w:type="spellEnd"/>
      <w:r>
        <w:t>, Antonio Olivas-Martinez, Edgar Ortiz-</w:t>
      </w:r>
      <w:proofErr w:type="spellStart"/>
      <w:r>
        <w:t>Brizuela</w:t>
      </w:r>
      <w:proofErr w:type="spellEnd"/>
      <w:r>
        <w:t xml:space="preserve">, </w:t>
      </w:r>
      <w:proofErr w:type="spellStart"/>
      <w:r>
        <w:t>Pradthana</w:t>
      </w:r>
      <w:proofErr w:type="spellEnd"/>
      <w:r>
        <w:t xml:space="preserve"> </w:t>
      </w:r>
      <w:proofErr w:type="spellStart"/>
      <w:r>
        <w:t>Ounchanum</w:t>
      </w:r>
      <w:proofErr w:type="spellEnd"/>
      <w:r>
        <w:t xml:space="preserve">, Jose L Paredes, Venkata Suresh </w:t>
      </w:r>
      <w:proofErr w:type="spellStart"/>
      <w:r>
        <w:t>Patthipati</w:t>
      </w:r>
      <w:proofErr w:type="spellEnd"/>
      <w:r>
        <w:t xml:space="preserve">, Shrikant Pawar, Andrew Pollard, Alfredo Ponce-De-Leon, Elton Junio </w:t>
      </w:r>
      <w:proofErr w:type="spellStart"/>
      <w:r>
        <w:t>Sady</w:t>
      </w:r>
      <w:proofErr w:type="spellEnd"/>
      <w:r>
        <w:t xml:space="preserve"> Prates, Luis Felipe Reyes, Gisela Robles Aguilar, Emmanuel </w:t>
      </w:r>
      <w:proofErr w:type="spellStart"/>
      <w:r>
        <w:t>Roilides</w:t>
      </w:r>
      <w:proofErr w:type="spellEnd"/>
      <w:r>
        <w:t xml:space="preserve">, Victor Daniel Rosenthal, Kristina E Rudd, </w:t>
      </w:r>
      <w:proofErr w:type="spellStart"/>
      <w:r>
        <w:t>Weerawut</w:t>
      </w:r>
      <w:proofErr w:type="spellEnd"/>
      <w:r>
        <w:t xml:space="preserve"> </w:t>
      </w:r>
      <w:proofErr w:type="spellStart"/>
      <w:r>
        <w:t>Sangchan</w:t>
      </w:r>
      <w:proofErr w:type="spellEnd"/>
      <w:r>
        <w:t xml:space="preserve">, </w:t>
      </w:r>
      <w:proofErr w:type="spellStart"/>
      <w:r>
        <w:t>Samroeng</w:t>
      </w:r>
      <w:proofErr w:type="spellEnd"/>
      <w:r>
        <w:t xml:space="preserve"> </w:t>
      </w:r>
      <w:proofErr w:type="spellStart"/>
      <w:r>
        <w:t>Seekaew</w:t>
      </w:r>
      <w:proofErr w:type="spellEnd"/>
      <w:r>
        <w:t xml:space="preserve">, Allen </w:t>
      </w:r>
      <w:proofErr w:type="spellStart"/>
      <w:r>
        <w:t>Seylani</w:t>
      </w:r>
      <w:proofErr w:type="spellEnd"/>
      <w:r>
        <w:t xml:space="preserve">, Sunder Sham, Jose </w:t>
      </w:r>
      <w:proofErr w:type="spellStart"/>
      <w:r>
        <w:t>Sifuentes-Osornio</w:t>
      </w:r>
      <w:proofErr w:type="spellEnd"/>
      <w:r>
        <w:t xml:space="preserve">, Andy </w:t>
      </w:r>
      <w:proofErr w:type="spellStart"/>
      <w:r>
        <w:t>Stergachis</w:t>
      </w:r>
      <w:proofErr w:type="spellEnd"/>
      <w:r>
        <w:t xml:space="preserve">, </w:t>
      </w:r>
      <w:proofErr w:type="spellStart"/>
      <w:r>
        <w:t>Nidanuch</w:t>
      </w:r>
      <w:proofErr w:type="spellEnd"/>
      <w:r>
        <w:t xml:space="preserve"> </w:t>
      </w:r>
      <w:proofErr w:type="spellStart"/>
      <w:r>
        <w:t>Tasak</w:t>
      </w:r>
      <w:proofErr w:type="spellEnd"/>
      <w:r>
        <w:t xml:space="preserve">, </w:t>
      </w:r>
      <w:proofErr w:type="spellStart"/>
      <w:r>
        <w:t>Areerat</w:t>
      </w:r>
      <w:proofErr w:type="spellEnd"/>
      <w:r>
        <w:t xml:space="preserve"> </w:t>
      </w:r>
      <w:proofErr w:type="spellStart"/>
      <w:r>
        <w:t>Thaiprakong</w:t>
      </w:r>
      <w:proofErr w:type="spellEnd"/>
      <w:r>
        <w:t xml:space="preserve">, Pascual R Valdez, Ismaeel </w:t>
      </w:r>
      <w:proofErr w:type="spellStart"/>
      <w:r>
        <w:t>Yunusa</w:t>
      </w:r>
      <w:proofErr w:type="spellEnd"/>
      <w:r>
        <w:t xml:space="preserve">, and Mikhail </w:t>
      </w:r>
      <w:proofErr w:type="spellStart"/>
      <w:r>
        <w:t>Sergeevich</w:t>
      </w:r>
      <w:proofErr w:type="spellEnd"/>
      <w:r>
        <w:t xml:space="preserve"> </w:t>
      </w:r>
      <w:proofErr w:type="spellStart"/>
      <w:r>
        <w:t>Zastrozhin</w:t>
      </w:r>
      <w:proofErr w:type="spellEnd"/>
      <w:r>
        <w:t>.</w:t>
      </w:r>
    </w:p>
    <w:p w14:paraId="2192E13E" w14:textId="77777777" w:rsidR="00A63CAF" w:rsidRPr="00705FF5" w:rsidRDefault="00A63CAF" w:rsidP="00A63CAF">
      <w:pPr>
        <w:pStyle w:val="Heading3"/>
      </w:pPr>
      <w:r w:rsidRPr="00705FF5">
        <w:t>Developing methods or computational machinery</w:t>
      </w:r>
    </w:p>
    <w:p w14:paraId="64022014" w14:textId="03C223D7" w:rsidR="00A63CAF" w:rsidRPr="00705FF5" w:rsidRDefault="00A63CAF" w:rsidP="00A63CAF">
      <w:r>
        <w:t xml:space="preserve">Ashkan </w:t>
      </w:r>
      <w:proofErr w:type="spellStart"/>
      <w:r>
        <w:t>Abdollahi</w:t>
      </w:r>
      <w:proofErr w:type="spellEnd"/>
      <w:r>
        <w:t xml:space="preserve">, Aleksandr Y </w:t>
      </w:r>
      <w:proofErr w:type="spellStart"/>
      <w:r>
        <w:t>Aravkin</w:t>
      </w:r>
      <w:proofErr w:type="spellEnd"/>
      <w:r>
        <w:t xml:space="preserve">, Ahmed Y Azzam, Annie J Browne, </w:t>
      </w:r>
      <w:proofErr w:type="spellStart"/>
      <w:r>
        <w:t>Xiaochen</w:t>
      </w:r>
      <w:proofErr w:type="spellEnd"/>
      <w:r>
        <w:t xml:space="preserve"> Dai, Authia P Gray, Georgina Haines-Woodhouse, </w:t>
      </w:r>
      <w:proofErr w:type="spellStart"/>
      <w:r>
        <w:t>Chieh</w:t>
      </w:r>
      <w:proofErr w:type="spellEnd"/>
      <w:r>
        <w:t xml:space="preserve"> Han, Kevin S Ikuta, Emmanuelle A P Kumaran, Christopher </w:t>
      </w:r>
      <w:proofErr w:type="spellStart"/>
      <w:r>
        <w:t>Maronga</w:t>
      </w:r>
      <w:proofErr w:type="spellEnd"/>
      <w:r>
        <w:t xml:space="preserve">, Ali H </w:t>
      </w:r>
      <w:proofErr w:type="spellStart"/>
      <w:r>
        <w:t>Mokdad</w:t>
      </w:r>
      <w:proofErr w:type="spellEnd"/>
      <w:r>
        <w:t>, Catrin E Moore, Christopher J L Murray, Mohsen Naghavi, Gisela Robles Aguilar, Kristina E Rudd, and Lucien R Swetschinski.</w:t>
      </w:r>
    </w:p>
    <w:p w14:paraId="40959C52" w14:textId="77777777" w:rsidR="00A63CAF" w:rsidRPr="00705FF5" w:rsidRDefault="00A63CAF" w:rsidP="00A63CAF">
      <w:pPr>
        <w:pStyle w:val="Heading3"/>
      </w:pPr>
      <w:r w:rsidRPr="00705FF5">
        <w:t>Providing critical feedback on methods or results</w:t>
      </w:r>
    </w:p>
    <w:p w14:paraId="469AD5B2" w14:textId="77777777" w:rsidR="00A63CAF" w:rsidRDefault="00A63CAF" w:rsidP="00A63CAF">
      <w:r>
        <w:t xml:space="preserve">Ashkan </w:t>
      </w:r>
      <w:proofErr w:type="spellStart"/>
      <w:r>
        <w:t>Abdollahi</w:t>
      </w:r>
      <w:proofErr w:type="spellEnd"/>
      <w:r>
        <w:t xml:space="preserve">, Ahmed Abu-Zaid, Mohammad Adnan, Ramesh Agarwal, Javad </w:t>
      </w:r>
      <w:proofErr w:type="spellStart"/>
      <w:r>
        <w:t>Aminian</w:t>
      </w:r>
      <w:proofErr w:type="spellEnd"/>
      <w:r>
        <w:t xml:space="preserve"> </w:t>
      </w:r>
      <w:proofErr w:type="spellStart"/>
      <w:r>
        <w:t>Dehkordi</w:t>
      </w:r>
      <w:proofErr w:type="spellEnd"/>
      <w:r>
        <w:t xml:space="preserve">, </w:t>
      </w:r>
      <w:proofErr w:type="spellStart"/>
      <w:r>
        <w:t>Demelash</w:t>
      </w:r>
      <w:proofErr w:type="spellEnd"/>
      <w:r>
        <w:t xml:space="preserve"> </w:t>
      </w:r>
      <w:proofErr w:type="spellStart"/>
      <w:r>
        <w:t>Areda</w:t>
      </w:r>
      <w:proofErr w:type="spellEnd"/>
      <w:r>
        <w:t xml:space="preserve">, Ahmed Y Azzam, Akshaya Srikanth </w:t>
      </w:r>
      <w:proofErr w:type="spellStart"/>
      <w:r>
        <w:t>Bhagavathula</w:t>
      </w:r>
      <w:proofErr w:type="spellEnd"/>
      <w:r>
        <w:t xml:space="preserve">, Zulfiqar A </w:t>
      </w:r>
      <w:proofErr w:type="spellStart"/>
      <w:r>
        <w:t>Bhutta</w:t>
      </w:r>
      <w:proofErr w:type="spellEnd"/>
      <w:r>
        <w:t xml:space="preserve">, </w:t>
      </w:r>
      <w:proofErr w:type="spellStart"/>
      <w:r>
        <w:t>Soumitra</w:t>
      </w:r>
      <w:proofErr w:type="spellEnd"/>
      <w:r>
        <w:t xml:space="preserve"> S </w:t>
      </w:r>
      <w:proofErr w:type="spellStart"/>
      <w:r>
        <w:t>Bhuyan</w:t>
      </w:r>
      <w:proofErr w:type="spellEnd"/>
      <w:r>
        <w:t xml:space="preserve">, Annie J Browne, Carlos A </w:t>
      </w:r>
      <w:proofErr w:type="spellStart"/>
      <w:r>
        <w:t>Castañeda-Orjuela</w:t>
      </w:r>
      <w:proofErr w:type="spellEnd"/>
      <w:r>
        <w:t xml:space="preserve">, </w:t>
      </w:r>
      <w:proofErr w:type="spellStart"/>
      <w:r>
        <w:t>Eeshwar</w:t>
      </w:r>
      <w:proofErr w:type="spellEnd"/>
      <w:r>
        <w:t xml:space="preserve"> K Chandrasekar, Erin Chung, </w:t>
      </w:r>
      <w:proofErr w:type="spellStart"/>
      <w:r>
        <w:t>Xiaochen</w:t>
      </w:r>
      <w:proofErr w:type="spellEnd"/>
      <w:r>
        <w:t xml:space="preserve"> Dai, Gary L Darmstadt, Nicole Davis Weaver, Fernando Pio De la </w:t>
      </w:r>
      <w:proofErr w:type="spellStart"/>
      <w:r>
        <w:t>Hoz</w:t>
      </w:r>
      <w:proofErr w:type="spellEnd"/>
      <w:r>
        <w:t xml:space="preserve">, Nancy </w:t>
      </w:r>
      <w:proofErr w:type="spellStart"/>
      <w:r>
        <w:t>Diao</w:t>
      </w:r>
      <w:proofErr w:type="spellEnd"/>
      <w:r>
        <w:t xml:space="preserve">, Daniel Diaz, Christiane Dolecek, Wendel </w:t>
      </w:r>
      <w:proofErr w:type="spellStart"/>
      <w:r>
        <w:t>Mombaque</w:t>
      </w:r>
      <w:proofErr w:type="spellEnd"/>
      <w:r>
        <w:t xml:space="preserve"> dos Santos, Authia P Gray, Mohammed </w:t>
      </w:r>
      <w:proofErr w:type="spellStart"/>
      <w:r>
        <w:t>Bheser</w:t>
      </w:r>
      <w:proofErr w:type="spellEnd"/>
      <w:r>
        <w:t xml:space="preserve"> Hassen, Simon I Hay, Nathaniel J Henry, Md Mahbub Hossain, Kevin S Ikuta, Kenneth Chukwuemeka </w:t>
      </w:r>
      <w:proofErr w:type="spellStart"/>
      <w:r>
        <w:t>Iregbu</w:t>
      </w:r>
      <w:proofErr w:type="spellEnd"/>
      <w:r>
        <w:t xml:space="preserve">, </w:t>
      </w:r>
      <w:proofErr w:type="spellStart"/>
      <w:r>
        <w:t>Chidozie</w:t>
      </w:r>
      <w:proofErr w:type="spellEnd"/>
      <w:r>
        <w:t xml:space="preserve"> C D </w:t>
      </w:r>
      <w:proofErr w:type="spellStart"/>
      <w:r>
        <w:t>Iwu</w:t>
      </w:r>
      <w:proofErr w:type="spellEnd"/>
      <w:r>
        <w:t xml:space="preserve">, Mark M Janko, </w:t>
      </w:r>
      <w:proofErr w:type="spellStart"/>
      <w:r>
        <w:t>Ibraheem</w:t>
      </w:r>
      <w:proofErr w:type="spellEnd"/>
      <w:r>
        <w:t xml:space="preserve"> M </w:t>
      </w:r>
      <w:proofErr w:type="spellStart"/>
      <w:r>
        <w:t>Karaye</w:t>
      </w:r>
      <w:proofErr w:type="spellEnd"/>
      <w:r>
        <w:t xml:space="preserve">, Ibrahim A Khalil, </w:t>
      </w:r>
      <w:proofErr w:type="spellStart"/>
      <w:r>
        <w:t>Imteyaz</w:t>
      </w:r>
      <w:proofErr w:type="spellEnd"/>
      <w:r>
        <w:t xml:space="preserve"> A Khan, Taimoor Khan, Jagdish Khubchandani, Adnan </w:t>
      </w:r>
      <w:proofErr w:type="spellStart"/>
      <w:r>
        <w:t>Kisa</w:t>
      </w:r>
      <w:proofErr w:type="spellEnd"/>
      <w:r>
        <w:t xml:space="preserve">, Emmanuelle A P Kumaran, Hmwe </w:t>
      </w:r>
      <w:proofErr w:type="spellStart"/>
      <w:r>
        <w:t>Hmwe</w:t>
      </w:r>
      <w:proofErr w:type="spellEnd"/>
      <w:r>
        <w:t xml:space="preserve"> Kyu, Stephen S Lim, </w:t>
      </w:r>
      <w:proofErr w:type="spellStart"/>
      <w:r>
        <w:t>Xu</w:t>
      </w:r>
      <w:r w:rsidRPr="00A63CAF">
        <w:t>efeng</w:t>
      </w:r>
      <w:proofErr w:type="spellEnd"/>
      <w:r w:rsidRPr="00A63CAF">
        <w:t xml:space="preserve"> Liu, Sandeep B Maharaj, Miqu</w:t>
      </w:r>
      <w:r>
        <w:t xml:space="preserve">el Martorell, Jürgen May, Tomislav Mestrovic, Ali H </w:t>
      </w:r>
      <w:proofErr w:type="spellStart"/>
      <w:r>
        <w:t>Mokdad</w:t>
      </w:r>
      <w:proofErr w:type="spellEnd"/>
      <w:r>
        <w:t xml:space="preserve">, Catrin E Moore, Ebrahim </w:t>
      </w:r>
      <w:proofErr w:type="spellStart"/>
      <w:r>
        <w:t>Mostafavi</w:t>
      </w:r>
      <w:proofErr w:type="spellEnd"/>
      <w:r>
        <w:t xml:space="preserve">, </w:t>
      </w:r>
      <w:proofErr w:type="spellStart"/>
      <w:r>
        <w:t>Efrén</w:t>
      </w:r>
      <w:proofErr w:type="spellEnd"/>
      <w:r>
        <w:t xml:space="preserve"> Murillo-Zamora, Christopher J L Murray, Mohsen Naghavi, Ruchi Nanavati, Hasan </w:t>
      </w:r>
      <w:proofErr w:type="spellStart"/>
      <w:r>
        <w:t>Nassereldine</w:t>
      </w:r>
      <w:proofErr w:type="spellEnd"/>
      <w:r>
        <w:t xml:space="preserve">, Zuhair S Natto, </w:t>
      </w:r>
      <w:proofErr w:type="spellStart"/>
      <w:r>
        <w:t>Tolulope</w:t>
      </w:r>
      <w:proofErr w:type="spellEnd"/>
      <w:r>
        <w:t xml:space="preserve"> R Ojo-</w:t>
      </w:r>
      <w:proofErr w:type="spellStart"/>
      <w:r>
        <w:t>Akosile</w:t>
      </w:r>
      <w:proofErr w:type="spellEnd"/>
      <w:r>
        <w:t xml:space="preserve">, Andrew T </w:t>
      </w:r>
      <w:proofErr w:type="spellStart"/>
      <w:r>
        <w:t>Olagunju</w:t>
      </w:r>
      <w:proofErr w:type="spellEnd"/>
      <w:r>
        <w:t>, Antonio Olivas-Martinez, Edgar Ortiz-</w:t>
      </w:r>
      <w:proofErr w:type="spellStart"/>
      <w:r>
        <w:t>Brizuela</w:t>
      </w:r>
      <w:proofErr w:type="spellEnd"/>
      <w:r>
        <w:t xml:space="preserve">, Venkata Suresh </w:t>
      </w:r>
      <w:proofErr w:type="spellStart"/>
      <w:r>
        <w:t>Patthipati</w:t>
      </w:r>
      <w:proofErr w:type="spellEnd"/>
      <w:r>
        <w:t xml:space="preserve">, Shrikant Pawar, Marcos Pereira, Alfredo Ponce-De-Leon, Elton Junio </w:t>
      </w:r>
      <w:proofErr w:type="spellStart"/>
      <w:r>
        <w:t>Sady</w:t>
      </w:r>
      <w:proofErr w:type="spellEnd"/>
      <w:r>
        <w:t xml:space="preserve"> Prates, Ibrahim </w:t>
      </w:r>
      <w:proofErr w:type="spellStart"/>
      <w:r>
        <w:t>Qattea</w:t>
      </w:r>
      <w:proofErr w:type="spellEnd"/>
      <w:r>
        <w:t xml:space="preserve">, Luis Felipe Reyes, Gisela Robles Aguilar, Victor Daniel Rosenthal, Kristina E Rudd, </w:t>
      </w:r>
      <w:proofErr w:type="spellStart"/>
      <w:r>
        <w:t>Niloufar</w:t>
      </w:r>
      <w:proofErr w:type="spellEnd"/>
      <w:r>
        <w:t xml:space="preserve"> </w:t>
      </w:r>
      <w:proofErr w:type="spellStart"/>
      <w:r>
        <w:t>Shababi</w:t>
      </w:r>
      <w:proofErr w:type="spellEnd"/>
      <w:r>
        <w:t xml:space="preserve">, Jose </w:t>
      </w:r>
      <w:proofErr w:type="spellStart"/>
      <w:r>
        <w:t>Sifuentes-Osornio</w:t>
      </w:r>
      <w:proofErr w:type="spellEnd"/>
      <w:r>
        <w:t xml:space="preserve">, Andy </w:t>
      </w:r>
      <w:proofErr w:type="spellStart"/>
      <w:r>
        <w:t>Stergachis</w:t>
      </w:r>
      <w:proofErr w:type="spellEnd"/>
      <w:r>
        <w:t xml:space="preserve">, Lucien R Swetschinski, Pascual R Valdez, Dereje Y Yada, Ismaeel </w:t>
      </w:r>
      <w:proofErr w:type="spellStart"/>
      <w:r>
        <w:t>Yunusa</w:t>
      </w:r>
      <w:proofErr w:type="spellEnd"/>
      <w:r>
        <w:t xml:space="preserve">, and Mikhail </w:t>
      </w:r>
      <w:proofErr w:type="spellStart"/>
      <w:r>
        <w:t>Sergeevich</w:t>
      </w:r>
      <w:proofErr w:type="spellEnd"/>
      <w:r>
        <w:t xml:space="preserve"> </w:t>
      </w:r>
      <w:proofErr w:type="spellStart"/>
      <w:r>
        <w:t>Zastrozhin</w:t>
      </w:r>
      <w:proofErr w:type="spellEnd"/>
      <w:r>
        <w:t>.</w:t>
      </w:r>
    </w:p>
    <w:p w14:paraId="3D04FAAF" w14:textId="77777777" w:rsidR="00A63CAF" w:rsidRPr="00705FF5" w:rsidRDefault="00A63CAF" w:rsidP="00A63CAF"/>
    <w:p w14:paraId="0311F06F" w14:textId="77777777" w:rsidR="00A63CAF" w:rsidRPr="00705FF5" w:rsidRDefault="00A63CAF" w:rsidP="00A63CAF">
      <w:pPr>
        <w:pStyle w:val="Heading3"/>
      </w:pPr>
      <w:r w:rsidRPr="00705FF5">
        <w:lastRenderedPageBreak/>
        <w:t>Drafting the work or revising i</w:t>
      </w:r>
      <w:r>
        <w:t>t</w:t>
      </w:r>
      <w:r w:rsidRPr="00705FF5">
        <w:t xml:space="preserve"> critically for important intellectual content</w:t>
      </w:r>
    </w:p>
    <w:p w14:paraId="03C5BD09" w14:textId="01EB62EB" w:rsidR="00A63CAF" w:rsidRPr="00705FF5" w:rsidRDefault="00A63CAF" w:rsidP="00A63CAF">
      <w:r>
        <w:t xml:space="preserve">Ashkan </w:t>
      </w:r>
      <w:proofErr w:type="spellStart"/>
      <w:r>
        <w:t>Abdollahi</w:t>
      </w:r>
      <w:proofErr w:type="spellEnd"/>
      <w:r>
        <w:t xml:space="preserve">, Ahmed Abu-Zaid, Mohammad Adnan, Ramesh Agarwal, Ahmed Y Azzam, Eitan N </w:t>
      </w:r>
      <w:proofErr w:type="spellStart"/>
      <w:r>
        <w:t>Berezin</w:t>
      </w:r>
      <w:proofErr w:type="spellEnd"/>
      <w:r>
        <w:t xml:space="preserve">, Akshaya Srikanth </w:t>
      </w:r>
      <w:proofErr w:type="spellStart"/>
      <w:r>
        <w:t>Bhagavathula</w:t>
      </w:r>
      <w:proofErr w:type="spellEnd"/>
      <w:r>
        <w:t xml:space="preserve">, </w:t>
      </w:r>
      <w:proofErr w:type="spellStart"/>
      <w:r>
        <w:t>Soumitra</w:t>
      </w:r>
      <w:proofErr w:type="spellEnd"/>
      <w:r>
        <w:t xml:space="preserve"> S </w:t>
      </w:r>
      <w:proofErr w:type="spellStart"/>
      <w:r>
        <w:t>Bhuyan</w:t>
      </w:r>
      <w:proofErr w:type="spellEnd"/>
      <w:r>
        <w:t xml:space="preserve">, </w:t>
      </w:r>
      <w:proofErr w:type="spellStart"/>
      <w:r>
        <w:t>Eesh</w:t>
      </w:r>
      <w:r w:rsidRPr="00A63CAF">
        <w:t>war</w:t>
      </w:r>
      <w:proofErr w:type="spellEnd"/>
      <w:r w:rsidRPr="00A63CAF">
        <w:t xml:space="preserve"> K Chandrasekar, Patrick R Ching, Gary L Darmstadt, Nicole Davis Weaver, Nancy </w:t>
      </w:r>
      <w:proofErr w:type="spellStart"/>
      <w:r w:rsidRPr="00A63CAF">
        <w:t>Diao</w:t>
      </w:r>
      <w:proofErr w:type="spellEnd"/>
      <w:r w:rsidRPr="00A63CAF">
        <w:t xml:space="preserve">, Daniel Diaz, Wendel </w:t>
      </w:r>
      <w:proofErr w:type="spellStart"/>
      <w:r w:rsidRPr="00A63CAF">
        <w:t>Mombaque</w:t>
      </w:r>
      <w:proofErr w:type="spellEnd"/>
      <w:r w:rsidRPr="00A63CAF">
        <w:t xml:space="preserve"> dos Santos, Anna Gershberg Hayoon, </w:t>
      </w:r>
      <w:proofErr w:type="spellStart"/>
      <w:r w:rsidRPr="00A63CAF">
        <w:t>Chieh</w:t>
      </w:r>
      <w:proofErr w:type="spellEnd"/>
      <w:r w:rsidRPr="00A63CAF">
        <w:t xml:space="preserve"> Han, Simon I Hay, Md Mahbub Hossain, Kevin S Ikuta, Kenneth Chukwuemeka </w:t>
      </w:r>
      <w:proofErr w:type="spellStart"/>
      <w:r w:rsidRPr="00A63CAF">
        <w:t>Iregbu</w:t>
      </w:r>
      <w:proofErr w:type="spellEnd"/>
      <w:r w:rsidRPr="00A63CAF">
        <w:t xml:space="preserve">, </w:t>
      </w:r>
      <w:proofErr w:type="spellStart"/>
      <w:r w:rsidRPr="00A63CAF">
        <w:t>Chidozie</w:t>
      </w:r>
      <w:proofErr w:type="spellEnd"/>
      <w:r w:rsidRPr="00A63CAF">
        <w:t xml:space="preserve"> C D </w:t>
      </w:r>
      <w:proofErr w:type="spellStart"/>
      <w:r w:rsidRPr="00A63CAF">
        <w:t>Iwu</w:t>
      </w:r>
      <w:proofErr w:type="spellEnd"/>
      <w:r w:rsidRPr="00A63CAF">
        <w:t xml:space="preserve">, Taimoor Khan, Jagdish Khubchandani, Adnan </w:t>
      </w:r>
      <w:proofErr w:type="spellStart"/>
      <w:r w:rsidRPr="00A63CAF">
        <w:t>Kisa</w:t>
      </w:r>
      <w:proofErr w:type="spellEnd"/>
      <w:r w:rsidRPr="00A63CAF">
        <w:t xml:space="preserve">, Fiorella </w:t>
      </w:r>
      <w:proofErr w:type="spellStart"/>
      <w:r w:rsidRPr="00A63CAF">
        <w:t>Krapp</w:t>
      </w:r>
      <w:proofErr w:type="spellEnd"/>
      <w:r w:rsidRPr="00A63CAF">
        <w:t xml:space="preserve">, </w:t>
      </w:r>
      <w:proofErr w:type="spellStart"/>
      <w:r w:rsidRPr="00A63CAF">
        <w:t>Xuefeng</w:t>
      </w:r>
      <w:proofErr w:type="spellEnd"/>
      <w:r w:rsidRPr="00A63CAF">
        <w:t xml:space="preserve"> Liu, Miquel Martorell, Tomislav Mestrovic, Ali H </w:t>
      </w:r>
      <w:proofErr w:type="spellStart"/>
      <w:r w:rsidRPr="00A63CAF">
        <w:t>Mokdad</w:t>
      </w:r>
      <w:proofErr w:type="spellEnd"/>
      <w:r w:rsidRPr="00A63CAF">
        <w:t xml:space="preserve">, Catrin E Moore, Ebrahim </w:t>
      </w:r>
      <w:proofErr w:type="spellStart"/>
      <w:r w:rsidRPr="00A63CAF">
        <w:t>Mostafavi</w:t>
      </w:r>
      <w:proofErr w:type="spellEnd"/>
      <w:r w:rsidRPr="00A63CAF">
        <w:t xml:space="preserve">, Christopher J L Murray, Mohsen Naghavi, Hasan </w:t>
      </w:r>
      <w:proofErr w:type="spellStart"/>
      <w:r w:rsidRPr="00A63CAF">
        <w:t>Nassereldine</w:t>
      </w:r>
      <w:proofErr w:type="spellEnd"/>
      <w:r w:rsidRPr="00A63CAF">
        <w:t xml:space="preserve">, Zuhair S Natto, Farah Naz Qamar, Virginia </w:t>
      </w:r>
      <w:proofErr w:type="spellStart"/>
      <w:r w:rsidRPr="00A63CAF">
        <w:t>Nuñez-Samudio</w:t>
      </w:r>
      <w:proofErr w:type="spellEnd"/>
      <w:r w:rsidRPr="00A63CAF">
        <w:t xml:space="preserve">, Theresa J Ochoa, Andrew T </w:t>
      </w:r>
      <w:proofErr w:type="spellStart"/>
      <w:r w:rsidRPr="00A63CAF">
        <w:t>Olagunju</w:t>
      </w:r>
      <w:proofErr w:type="spellEnd"/>
      <w:r w:rsidRPr="00A63CAF">
        <w:t>, Antonio Olivas-Martinez, Edgar Ortiz-</w:t>
      </w:r>
      <w:proofErr w:type="spellStart"/>
      <w:r w:rsidRPr="00A63CAF">
        <w:t>Brizuela</w:t>
      </w:r>
      <w:proofErr w:type="spellEnd"/>
      <w:r w:rsidRPr="00A63CAF">
        <w:t xml:space="preserve">, Jose L Paredes, Venkata Suresh </w:t>
      </w:r>
      <w:proofErr w:type="spellStart"/>
      <w:r w:rsidRPr="00A63CAF">
        <w:t>Patthipati</w:t>
      </w:r>
      <w:proofErr w:type="spellEnd"/>
      <w:r w:rsidRPr="00A63CAF">
        <w:t xml:space="preserve">, Shrikant Pawar, Marcos Pereira, Alfredo Ponce-De-Leon, Elton Junio </w:t>
      </w:r>
      <w:proofErr w:type="spellStart"/>
      <w:r w:rsidRPr="00A63CAF">
        <w:t>Sady</w:t>
      </w:r>
      <w:proofErr w:type="spellEnd"/>
      <w:r w:rsidRPr="00A63CAF">
        <w:t xml:space="preserve"> Prates, Luis Felipe Reyes, Gisela Robles Aguilar, Emmanuel </w:t>
      </w:r>
      <w:proofErr w:type="spellStart"/>
      <w:r w:rsidRPr="00A63CAF">
        <w:t>Roilides</w:t>
      </w:r>
      <w:proofErr w:type="spellEnd"/>
      <w:r w:rsidRPr="00A63CAF">
        <w:t xml:space="preserve">, Victor Daniel Rosenthal, Kristina E Rudd, Allen </w:t>
      </w:r>
      <w:proofErr w:type="spellStart"/>
      <w:r w:rsidRPr="00A63CAF">
        <w:t>Seylani</w:t>
      </w:r>
      <w:proofErr w:type="spellEnd"/>
      <w:r w:rsidRPr="00A63CAF">
        <w:t xml:space="preserve">, </w:t>
      </w:r>
      <w:proofErr w:type="spellStart"/>
      <w:r w:rsidRPr="00A63CAF">
        <w:t>Niloufar</w:t>
      </w:r>
      <w:proofErr w:type="spellEnd"/>
      <w:r w:rsidRPr="00A63CAF">
        <w:t xml:space="preserve"> </w:t>
      </w:r>
      <w:proofErr w:type="spellStart"/>
      <w:r w:rsidRPr="00A63CAF">
        <w:t>Shababi</w:t>
      </w:r>
      <w:proofErr w:type="spellEnd"/>
      <w:r w:rsidRPr="00A63CAF">
        <w:t>, Harpreet Singh, Lucien R Swetschinski, Nathan Y Tat, and M</w:t>
      </w:r>
      <w:r>
        <w:t xml:space="preserve">ikhail </w:t>
      </w:r>
      <w:proofErr w:type="spellStart"/>
      <w:r>
        <w:t>Sergeevich</w:t>
      </w:r>
      <w:proofErr w:type="spellEnd"/>
      <w:r>
        <w:t xml:space="preserve"> </w:t>
      </w:r>
      <w:proofErr w:type="spellStart"/>
      <w:r>
        <w:t>Zastrozhin</w:t>
      </w:r>
      <w:proofErr w:type="spellEnd"/>
      <w:r>
        <w:t>.</w:t>
      </w:r>
    </w:p>
    <w:p w14:paraId="53F1AB7B" w14:textId="77777777" w:rsidR="00A63CAF" w:rsidRPr="00705FF5" w:rsidRDefault="00A63CAF" w:rsidP="00A63CAF">
      <w:pPr>
        <w:pStyle w:val="Heading3"/>
      </w:pPr>
      <w:r w:rsidRPr="00705FF5">
        <w:t xml:space="preserve">Managing the </w:t>
      </w:r>
      <w:r>
        <w:t>estimation or publications process</w:t>
      </w:r>
    </w:p>
    <w:p w14:paraId="6545B816" w14:textId="63370F1F" w:rsidR="0052103A" w:rsidRPr="0052103A" w:rsidRDefault="00A63CAF" w:rsidP="0052103A">
      <w:r>
        <w:t xml:space="preserve">Ahmed Y Azzam, Nicole Davis Weaver, Simon I Hay, Ali H </w:t>
      </w:r>
      <w:proofErr w:type="spellStart"/>
      <w:r>
        <w:t>Mokdad</w:t>
      </w:r>
      <w:proofErr w:type="spellEnd"/>
      <w:r>
        <w:t xml:space="preserve">, Christopher J L Murray, Mohsen Naghavi, Lucien R Swetschinski, Eve E Wool, and Mikhail </w:t>
      </w:r>
      <w:proofErr w:type="spellStart"/>
      <w:r>
        <w:t>Sergeevich</w:t>
      </w:r>
      <w:proofErr w:type="spellEnd"/>
      <w:r>
        <w:t xml:space="preserve"> </w:t>
      </w:r>
      <w:proofErr w:type="spellStart"/>
      <w:r>
        <w:t>Zastrozhin</w:t>
      </w:r>
      <w:proofErr w:type="spellEnd"/>
      <w:r>
        <w:t>.</w:t>
      </w:r>
    </w:p>
    <w:sectPr w:rsidR="0052103A" w:rsidRPr="0052103A" w:rsidSect="00620C5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462E1" w14:textId="77777777" w:rsidR="00EE387F" w:rsidRDefault="00EE387F" w:rsidP="00543305">
      <w:pPr>
        <w:spacing w:after="0" w:line="240" w:lineRule="auto"/>
      </w:pPr>
      <w:r>
        <w:separator/>
      </w:r>
    </w:p>
  </w:endnote>
  <w:endnote w:type="continuationSeparator" w:id="0">
    <w:p w14:paraId="2B8D8053" w14:textId="77777777" w:rsidR="00EE387F" w:rsidRDefault="00EE387F" w:rsidP="00543305">
      <w:pPr>
        <w:spacing w:after="0" w:line="240" w:lineRule="auto"/>
      </w:pPr>
      <w:r>
        <w:continuationSeparator/>
      </w:r>
    </w:p>
  </w:endnote>
  <w:endnote w:type="continuationNotice" w:id="1">
    <w:p w14:paraId="58D5A05D" w14:textId="77777777" w:rsidR="00EE387F" w:rsidRDefault="00EE38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343583"/>
      <w:docPartObj>
        <w:docPartGallery w:val="Page Numbers (Bottom of Page)"/>
        <w:docPartUnique/>
      </w:docPartObj>
    </w:sdtPr>
    <w:sdtEndPr>
      <w:rPr>
        <w:noProof/>
      </w:rPr>
    </w:sdtEndPr>
    <w:sdtContent>
      <w:p w14:paraId="1FA34B3C" w14:textId="50792B4C" w:rsidR="0053630B" w:rsidRDefault="0053630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5017AB3C" w14:textId="77777777" w:rsidR="0053630B" w:rsidRDefault="00536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256826"/>
      <w:docPartObj>
        <w:docPartGallery w:val="Page Numbers (Bottom of Page)"/>
        <w:docPartUnique/>
      </w:docPartObj>
    </w:sdtPr>
    <w:sdtEndPr>
      <w:rPr>
        <w:noProof/>
      </w:rPr>
    </w:sdtEndPr>
    <w:sdtContent>
      <w:p w14:paraId="2DF92DC3" w14:textId="6CE21C16" w:rsidR="006103B4" w:rsidRDefault="006103B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502B8E">
          <w:rPr>
            <w:noProof/>
          </w:rPr>
          <w:t>69</w:t>
        </w:r>
        <w:r>
          <w:rPr>
            <w:color w:val="2B579A"/>
            <w:shd w:val="clear" w:color="auto" w:fill="E6E6E6"/>
          </w:rPr>
          <w:fldChar w:fldCharType="end"/>
        </w:r>
      </w:p>
    </w:sdtContent>
  </w:sdt>
  <w:p w14:paraId="2D651E8C" w14:textId="77777777" w:rsidR="006103B4" w:rsidRDefault="00610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8DB81" w14:textId="77777777" w:rsidR="00EE387F" w:rsidRDefault="00EE387F" w:rsidP="00543305">
      <w:pPr>
        <w:spacing w:after="0" w:line="240" w:lineRule="auto"/>
      </w:pPr>
      <w:r>
        <w:separator/>
      </w:r>
    </w:p>
  </w:footnote>
  <w:footnote w:type="continuationSeparator" w:id="0">
    <w:p w14:paraId="5ACB6BAC" w14:textId="77777777" w:rsidR="00EE387F" w:rsidRDefault="00EE387F" w:rsidP="00543305">
      <w:pPr>
        <w:spacing w:after="0" w:line="240" w:lineRule="auto"/>
      </w:pPr>
      <w:r>
        <w:continuationSeparator/>
      </w:r>
    </w:p>
  </w:footnote>
  <w:footnote w:type="continuationNotice" w:id="1">
    <w:p w14:paraId="019FD8EE" w14:textId="77777777" w:rsidR="00EE387F" w:rsidRDefault="00EE38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4DE6" w14:textId="77777777" w:rsidR="006103B4" w:rsidRDefault="006103B4" w:rsidP="00901368">
    <w:pPr>
      <w:pStyle w:val="Header"/>
      <w:jc w:val="right"/>
    </w:pPr>
    <w:r w:rsidRPr="00A71DC1">
      <w:rPr>
        <w:rFonts w:cs="Times New Roman"/>
        <w:i/>
        <w:iCs/>
        <w:sz w:val="24"/>
        <w:szCs w:val="24"/>
      </w:rPr>
      <w:t xml:space="preserve">CONFIDENTIAL DRAFT – please do not cite or </w:t>
    </w:r>
    <w:proofErr w:type="gramStart"/>
    <w:r w:rsidRPr="00A71DC1">
      <w:rPr>
        <w:rFonts w:cs="Times New Roman"/>
        <w:i/>
        <w:iCs/>
        <w:sz w:val="24"/>
        <w:szCs w:val="24"/>
      </w:rPr>
      <w:t>circulate</w:t>
    </w:r>
    <w:proofErr w:type="gramEnd"/>
  </w:p>
  <w:p w14:paraId="3D641710" w14:textId="77777777" w:rsidR="006103B4" w:rsidRDefault="006103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4FA4"/>
    <w:multiLevelType w:val="hybridMultilevel"/>
    <w:tmpl w:val="DE9CC526"/>
    <w:lvl w:ilvl="0" w:tplc="CAAA6262">
      <w:start w:val="1"/>
      <w:numFmt w:val="bullet"/>
      <w:lvlText w:val=""/>
      <w:lvlJc w:val="left"/>
      <w:pPr>
        <w:ind w:left="720" w:hanging="360"/>
      </w:pPr>
      <w:rPr>
        <w:rFonts w:ascii="Symbol" w:hAnsi="Symbol" w:hint="default"/>
      </w:rPr>
    </w:lvl>
    <w:lvl w:ilvl="1" w:tplc="CD3632EC">
      <w:start w:val="1"/>
      <w:numFmt w:val="bullet"/>
      <w:lvlText w:val="o"/>
      <w:lvlJc w:val="left"/>
      <w:pPr>
        <w:ind w:left="1440" w:hanging="360"/>
      </w:pPr>
      <w:rPr>
        <w:rFonts w:ascii="Courier New" w:hAnsi="Courier New" w:hint="default"/>
      </w:rPr>
    </w:lvl>
    <w:lvl w:ilvl="2" w:tplc="10A040B0">
      <w:start w:val="1"/>
      <w:numFmt w:val="bullet"/>
      <w:lvlText w:val=""/>
      <w:lvlJc w:val="left"/>
      <w:pPr>
        <w:ind w:left="2160" w:hanging="360"/>
      </w:pPr>
      <w:rPr>
        <w:rFonts w:ascii="Wingdings" w:hAnsi="Wingdings" w:hint="default"/>
      </w:rPr>
    </w:lvl>
    <w:lvl w:ilvl="3" w:tplc="25DA790A">
      <w:start w:val="1"/>
      <w:numFmt w:val="bullet"/>
      <w:lvlText w:val=""/>
      <w:lvlJc w:val="left"/>
      <w:pPr>
        <w:ind w:left="2880" w:hanging="360"/>
      </w:pPr>
      <w:rPr>
        <w:rFonts w:ascii="Symbol" w:hAnsi="Symbol" w:hint="default"/>
      </w:rPr>
    </w:lvl>
    <w:lvl w:ilvl="4" w:tplc="F5624E18">
      <w:start w:val="1"/>
      <w:numFmt w:val="bullet"/>
      <w:lvlText w:val="o"/>
      <w:lvlJc w:val="left"/>
      <w:pPr>
        <w:ind w:left="3600" w:hanging="360"/>
      </w:pPr>
      <w:rPr>
        <w:rFonts w:ascii="Courier New" w:hAnsi="Courier New" w:hint="default"/>
      </w:rPr>
    </w:lvl>
    <w:lvl w:ilvl="5" w:tplc="7D2C917A">
      <w:start w:val="1"/>
      <w:numFmt w:val="bullet"/>
      <w:lvlText w:val=""/>
      <w:lvlJc w:val="left"/>
      <w:pPr>
        <w:ind w:left="4320" w:hanging="360"/>
      </w:pPr>
      <w:rPr>
        <w:rFonts w:ascii="Wingdings" w:hAnsi="Wingdings" w:hint="default"/>
      </w:rPr>
    </w:lvl>
    <w:lvl w:ilvl="6" w:tplc="68ACF22A">
      <w:start w:val="1"/>
      <w:numFmt w:val="bullet"/>
      <w:lvlText w:val=""/>
      <w:lvlJc w:val="left"/>
      <w:pPr>
        <w:ind w:left="5040" w:hanging="360"/>
      </w:pPr>
      <w:rPr>
        <w:rFonts w:ascii="Symbol" w:hAnsi="Symbol" w:hint="default"/>
      </w:rPr>
    </w:lvl>
    <w:lvl w:ilvl="7" w:tplc="BAB2D462">
      <w:start w:val="1"/>
      <w:numFmt w:val="bullet"/>
      <w:lvlText w:val="o"/>
      <w:lvlJc w:val="left"/>
      <w:pPr>
        <w:ind w:left="5760" w:hanging="360"/>
      </w:pPr>
      <w:rPr>
        <w:rFonts w:ascii="Courier New" w:hAnsi="Courier New" w:hint="default"/>
      </w:rPr>
    </w:lvl>
    <w:lvl w:ilvl="8" w:tplc="34DC5C16">
      <w:start w:val="1"/>
      <w:numFmt w:val="bullet"/>
      <w:lvlText w:val=""/>
      <w:lvlJc w:val="left"/>
      <w:pPr>
        <w:ind w:left="6480" w:hanging="360"/>
      </w:pPr>
      <w:rPr>
        <w:rFonts w:ascii="Wingdings" w:hAnsi="Wingdings" w:hint="default"/>
      </w:rPr>
    </w:lvl>
  </w:abstractNum>
  <w:abstractNum w:abstractNumId="1" w15:restartNumberingAfterBreak="0">
    <w:nsid w:val="0B3702AE"/>
    <w:multiLevelType w:val="hybridMultilevel"/>
    <w:tmpl w:val="27182418"/>
    <w:lvl w:ilvl="0" w:tplc="2722B056">
      <w:start w:val="1"/>
      <w:numFmt w:val="decimal"/>
      <w:lvlText w:val="%1."/>
      <w:lvlJc w:val="left"/>
      <w:pPr>
        <w:ind w:left="720" w:hanging="360"/>
      </w:pPr>
    </w:lvl>
    <w:lvl w:ilvl="1" w:tplc="4E660A44">
      <w:start w:val="1"/>
      <w:numFmt w:val="lowerLetter"/>
      <w:lvlText w:val="%2."/>
      <w:lvlJc w:val="left"/>
      <w:pPr>
        <w:ind w:left="1440" w:hanging="360"/>
      </w:pPr>
    </w:lvl>
    <w:lvl w:ilvl="2" w:tplc="40149FCE">
      <w:start w:val="1"/>
      <w:numFmt w:val="lowerRoman"/>
      <w:lvlText w:val="%3."/>
      <w:lvlJc w:val="right"/>
      <w:pPr>
        <w:ind w:left="2160" w:hanging="180"/>
      </w:pPr>
    </w:lvl>
    <w:lvl w:ilvl="3" w:tplc="40C080C6">
      <w:start w:val="1"/>
      <w:numFmt w:val="decimal"/>
      <w:lvlText w:val="%4."/>
      <w:lvlJc w:val="left"/>
      <w:pPr>
        <w:ind w:left="2880" w:hanging="360"/>
      </w:pPr>
    </w:lvl>
    <w:lvl w:ilvl="4" w:tplc="AD88CB50">
      <w:start w:val="1"/>
      <w:numFmt w:val="lowerLetter"/>
      <w:lvlText w:val="%5."/>
      <w:lvlJc w:val="left"/>
      <w:pPr>
        <w:ind w:left="3600" w:hanging="360"/>
      </w:pPr>
    </w:lvl>
    <w:lvl w:ilvl="5" w:tplc="4C68BB70">
      <w:start w:val="1"/>
      <w:numFmt w:val="lowerRoman"/>
      <w:lvlText w:val="%6."/>
      <w:lvlJc w:val="right"/>
      <w:pPr>
        <w:ind w:left="4320" w:hanging="180"/>
      </w:pPr>
    </w:lvl>
    <w:lvl w:ilvl="6" w:tplc="44F6F7F2">
      <w:start w:val="1"/>
      <w:numFmt w:val="decimal"/>
      <w:lvlText w:val="%7."/>
      <w:lvlJc w:val="left"/>
      <w:pPr>
        <w:ind w:left="5040" w:hanging="360"/>
      </w:pPr>
    </w:lvl>
    <w:lvl w:ilvl="7" w:tplc="811479FE">
      <w:start w:val="1"/>
      <w:numFmt w:val="lowerLetter"/>
      <w:lvlText w:val="%8."/>
      <w:lvlJc w:val="left"/>
      <w:pPr>
        <w:ind w:left="5760" w:hanging="360"/>
      </w:pPr>
    </w:lvl>
    <w:lvl w:ilvl="8" w:tplc="7DD6D86A">
      <w:start w:val="1"/>
      <w:numFmt w:val="lowerRoman"/>
      <w:lvlText w:val="%9."/>
      <w:lvlJc w:val="right"/>
      <w:pPr>
        <w:ind w:left="6480" w:hanging="180"/>
      </w:pPr>
    </w:lvl>
  </w:abstractNum>
  <w:abstractNum w:abstractNumId="2" w15:restartNumberingAfterBreak="0">
    <w:nsid w:val="0E82E064"/>
    <w:multiLevelType w:val="hybridMultilevel"/>
    <w:tmpl w:val="A31A87CC"/>
    <w:lvl w:ilvl="0" w:tplc="0E0404B2">
      <w:start w:val="1"/>
      <w:numFmt w:val="bullet"/>
      <w:lvlText w:val="·"/>
      <w:lvlJc w:val="left"/>
      <w:pPr>
        <w:ind w:left="720" w:hanging="360"/>
      </w:pPr>
      <w:rPr>
        <w:rFonts w:ascii="Symbol" w:hAnsi="Symbol" w:hint="default"/>
      </w:rPr>
    </w:lvl>
    <w:lvl w:ilvl="1" w:tplc="7ADCDEA6">
      <w:start w:val="1"/>
      <w:numFmt w:val="bullet"/>
      <w:lvlText w:val="o"/>
      <w:lvlJc w:val="left"/>
      <w:pPr>
        <w:ind w:left="1440" w:hanging="360"/>
      </w:pPr>
      <w:rPr>
        <w:rFonts w:ascii="Courier New" w:hAnsi="Courier New" w:hint="default"/>
      </w:rPr>
    </w:lvl>
    <w:lvl w:ilvl="2" w:tplc="1D22EC46">
      <w:start w:val="1"/>
      <w:numFmt w:val="bullet"/>
      <w:lvlText w:val=""/>
      <w:lvlJc w:val="left"/>
      <w:pPr>
        <w:ind w:left="2160" w:hanging="360"/>
      </w:pPr>
      <w:rPr>
        <w:rFonts w:ascii="Wingdings" w:hAnsi="Wingdings" w:hint="default"/>
      </w:rPr>
    </w:lvl>
    <w:lvl w:ilvl="3" w:tplc="FD32088E">
      <w:start w:val="1"/>
      <w:numFmt w:val="bullet"/>
      <w:lvlText w:val=""/>
      <w:lvlJc w:val="left"/>
      <w:pPr>
        <w:ind w:left="2880" w:hanging="360"/>
      </w:pPr>
      <w:rPr>
        <w:rFonts w:ascii="Symbol" w:hAnsi="Symbol" w:hint="default"/>
      </w:rPr>
    </w:lvl>
    <w:lvl w:ilvl="4" w:tplc="6D74720C">
      <w:start w:val="1"/>
      <w:numFmt w:val="bullet"/>
      <w:lvlText w:val="o"/>
      <w:lvlJc w:val="left"/>
      <w:pPr>
        <w:ind w:left="3600" w:hanging="360"/>
      </w:pPr>
      <w:rPr>
        <w:rFonts w:ascii="Courier New" w:hAnsi="Courier New" w:hint="default"/>
      </w:rPr>
    </w:lvl>
    <w:lvl w:ilvl="5" w:tplc="9404F0E6">
      <w:start w:val="1"/>
      <w:numFmt w:val="bullet"/>
      <w:lvlText w:val=""/>
      <w:lvlJc w:val="left"/>
      <w:pPr>
        <w:ind w:left="4320" w:hanging="360"/>
      </w:pPr>
      <w:rPr>
        <w:rFonts w:ascii="Wingdings" w:hAnsi="Wingdings" w:hint="default"/>
      </w:rPr>
    </w:lvl>
    <w:lvl w:ilvl="6" w:tplc="5476BF22">
      <w:start w:val="1"/>
      <w:numFmt w:val="bullet"/>
      <w:lvlText w:val=""/>
      <w:lvlJc w:val="left"/>
      <w:pPr>
        <w:ind w:left="5040" w:hanging="360"/>
      </w:pPr>
      <w:rPr>
        <w:rFonts w:ascii="Symbol" w:hAnsi="Symbol" w:hint="default"/>
      </w:rPr>
    </w:lvl>
    <w:lvl w:ilvl="7" w:tplc="FB664386">
      <w:start w:val="1"/>
      <w:numFmt w:val="bullet"/>
      <w:lvlText w:val="o"/>
      <w:lvlJc w:val="left"/>
      <w:pPr>
        <w:ind w:left="5760" w:hanging="360"/>
      </w:pPr>
      <w:rPr>
        <w:rFonts w:ascii="Courier New" w:hAnsi="Courier New" w:hint="default"/>
      </w:rPr>
    </w:lvl>
    <w:lvl w:ilvl="8" w:tplc="BB402E54">
      <w:start w:val="1"/>
      <w:numFmt w:val="bullet"/>
      <w:lvlText w:val=""/>
      <w:lvlJc w:val="left"/>
      <w:pPr>
        <w:ind w:left="6480" w:hanging="360"/>
      </w:pPr>
      <w:rPr>
        <w:rFonts w:ascii="Wingdings" w:hAnsi="Wingdings" w:hint="default"/>
      </w:rPr>
    </w:lvl>
  </w:abstractNum>
  <w:abstractNum w:abstractNumId="3" w15:restartNumberingAfterBreak="0">
    <w:nsid w:val="1A576A5C"/>
    <w:multiLevelType w:val="hybridMultilevel"/>
    <w:tmpl w:val="A6FEC73E"/>
    <w:lvl w:ilvl="0" w:tplc="5380D674">
      <w:start w:val="1"/>
      <w:numFmt w:val="bullet"/>
      <w:lvlText w:val=""/>
      <w:lvlJc w:val="left"/>
      <w:pPr>
        <w:ind w:left="770" w:hanging="360"/>
      </w:pPr>
      <w:rPr>
        <w:rFonts w:ascii="Symbol" w:hAnsi="Symbol" w:hint="default"/>
      </w:rPr>
    </w:lvl>
    <w:lvl w:ilvl="1" w:tplc="9CB2F988">
      <w:start w:val="1"/>
      <w:numFmt w:val="bullet"/>
      <w:lvlText w:val="o"/>
      <w:lvlJc w:val="left"/>
      <w:pPr>
        <w:ind w:left="1440" w:hanging="360"/>
      </w:pPr>
      <w:rPr>
        <w:rFonts w:ascii="Courier New" w:hAnsi="Courier New" w:hint="default"/>
      </w:rPr>
    </w:lvl>
    <w:lvl w:ilvl="2" w:tplc="7AA23CEC">
      <w:start w:val="1"/>
      <w:numFmt w:val="bullet"/>
      <w:lvlText w:val=""/>
      <w:lvlJc w:val="left"/>
      <w:pPr>
        <w:ind w:left="2160" w:hanging="360"/>
      </w:pPr>
      <w:rPr>
        <w:rFonts w:ascii="Wingdings" w:hAnsi="Wingdings" w:hint="default"/>
      </w:rPr>
    </w:lvl>
    <w:lvl w:ilvl="3" w:tplc="A3A6BEBA">
      <w:start w:val="1"/>
      <w:numFmt w:val="bullet"/>
      <w:lvlText w:val=""/>
      <w:lvlJc w:val="left"/>
      <w:pPr>
        <w:ind w:left="2880" w:hanging="360"/>
      </w:pPr>
      <w:rPr>
        <w:rFonts w:ascii="Symbol" w:hAnsi="Symbol" w:hint="default"/>
      </w:rPr>
    </w:lvl>
    <w:lvl w:ilvl="4" w:tplc="928684E4">
      <w:start w:val="1"/>
      <w:numFmt w:val="bullet"/>
      <w:lvlText w:val="o"/>
      <w:lvlJc w:val="left"/>
      <w:pPr>
        <w:ind w:left="3600" w:hanging="360"/>
      </w:pPr>
      <w:rPr>
        <w:rFonts w:ascii="Courier New" w:hAnsi="Courier New" w:hint="default"/>
      </w:rPr>
    </w:lvl>
    <w:lvl w:ilvl="5" w:tplc="9546468C">
      <w:start w:val="1"/>
      <w:numFmt w:val="bullet"/>
      <w:lvlText w:val=""/>
      <w:lvlJc w:val="left"/>
      <w:pPr>
        <w:ind w:left="4320" w:hanging="360"/>
      </w:pPr>
      <w:rPr>
        <w:rFonts w:ascii="Wingdings" w:hAnsi="Wingdings" w:hint="default"/>
      </w:rPr>
    </w:lvl>
    <w:lvl w:ilvl="6" w:tplc="BBC4FA60">
      <w:start w:val="1"/>
      <w:numFmt w:val="bullet"/>
      <w:lvlText w:val=""/>
      <w:lvlJc w:val="left"/>
      <w:pPr>
        <w:ind w:left="5040" w:hanging="360"/>
      </w:pPr>
      <w:rPr>
        <w:rFonts w:ascii="Symbol" w:hAnsi="Symbol" w:hint="default"/>
      </w:rPr>
    </w:lvl>
    <w:lvl w:ilvl="7" w:tplc="E4B808E2">
      <w:start w:val="1"/>
      <w:numFmt w:val="bullet"/>
      <w:lvlText w:val="o"/>
      <w:lvlJc w:val="left"/>
      <w:pPr>
        <w:ind w:left="5760" w:hanging="360"/>
      </w:pPr>
      <w:rPr>
        <w:rFonts w:ascii="Courier New" w:hAnsi="Courier New" w:hint="default"/>
      </w:rPr>
    </w:lvl>
    <w:lvl w:ilvl="8" w:tplc="05D282E0">
      <w:start w:val="1"/>
      <w:numFmt w:val="bullet"/>
      <w:lvlText w:val=""/>
      <w:lvlJc w:val="left"/>
      <w:pPr>
        <w:ind w:left="6480" w:hanging="360"/>
      </w:pPr>
      <w:rPr>
        <w:rFonts w:ascii="Wingdings" w:hAnsi="Wingdings" w:hint="default"/>
      </w:rPr>
    </w:lvl>
  </w:abstractNum>
  <w:abstractNum w:abstractNumId="4" w15:restartNumberingAfterBreak="0">
    <w:nsid w:val="1F5B29B7"/>
    <w:multiLevelType w:val="hybridMultilevel"/>
    <w:tmpl w:val="15BC5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044F9"/>
    <w:multiLevelType w:val="hybridMultilevel"/>
    <w:tmpl w:val="3D74D90E"/>
    <w:lvl w:ilvl="0" w:tplc="AB240FF8">
      <w:start w:val="1"/>
      <w:numFmt w:val="bullet"/>
      <w:lvlText w:val="·"/>
      <w:lvlJc w:val="left"/>
      <w:pPr>
        <w:ind w:left="720" w:hanging="360"/>
      </w:pPr>
      <w:rPr>
        <w:rFonts w:ascii="Symbol" w:hAnsi="Symbol" w:hint="default"/>
      </w:rPr>
    </w:lvl>
    <w:lvl w:ilvl="1" w:tplc="ED48A8D2">
      <w:start w:val="1"/>
      <w:numFmt w:val="bullet"/>
      <w:lvlText w:val="o"/>
      <w:lvlJc w:val="left"/>
      <w:pPr>
        <w:ind w:left="1440" w:hanging="360"/>
      </w:pPr>
      <w:rPr>
        <w:rFonts w:ascii="Courier New" w:hAnsi="Courier New" w:hint="default"/>
      </w:rPr>
    </w:lvl>
    <w:lvl w:ilvl="2" w:tplc="FC308588">
      <w:start w:val="1"/>
      <w:numFmt w:val="bullet"/>
      <w:lvlText w:val=""/>
      <w:lvlJc w:val="left"/>
      <w:pPr>
        <w:ind w:left="2160" w:hanging="360"/>
      </w:pPr>
      <w:rPr>
        <w:rFonts w:ascii="Wingdings" w:hAnsi="Wingdings" w:hint="default"/>
      </w:rPr>
    </w:lvl>
    <w:lvl w:ilvl="3" w:tplc="11AA20F2">
      <w:start w:val="1"/>
      <w:numFmt w:val="bullet"/>
      <w:lvlText w:val=""/>
      <w:lvlJc w:val="left"/>
      <w:pPr>
        <w:ind w:left="2880" w:hanging="360"/>
      </w:pPr>
      <w:rPr>
        <w:rFonts w:ascii="Symbol" w:hAnsi="Symbol" w:hint="default"/>
      </w:rPr>
    </w:lvl>
    <w:lvl w:ilvl="4" w:tplc="43466B3A">
      <w:start w:val="1"/>
      <w:numFmt w:val="bullet"/>
      <w:lvlText w:val="o"/>
      <w:lvlJc w:val="left"/>
      <w:pPr>
        <w:ind w:left="3600" w:hanging="360"/>
      </w:pPr>
      <w:rPr>
        <w:rFonts w:ascii="Courier New" w:hAnsi="Courier New" w:hint="default"/>
      </w:rPr>
    </w:lvl>
    <w:lvl w:ilvl="5" w:tplc="22B8370A">
      <w:start w:val="1"/>
      <w:numFmt w:val="bullet"/>
      <w:lvlText w:val=""/>
      <w:lvlJc w:val="left"/>
      <w:pPr>
        <w:ind w:left="4320" w:hanging="360"/>
      </w:pPr>
      <w:rPr>
        <w:rFonts w:ascii="Wingdings" w:hAnsi="Wingdings" w:hint="default"/>
      </w:rPr>
    </w:lvl>
    <w:lvl w:ilvl="6" w:tplc="D8A4BAE6">
      <w:start w:val="1"/>
      <w:numFmt w:val="bullet"/>
      <w:lvlText w:val=""/>
      <w:lvlJc w:val="left"/>
      <w:pPr>
        <w:ind w:left="5040" w:hanging="360"/>
      </w:pPr>
      <w:rPr>
        <w:rFonts w:ascii="Symbol" w:hAnsi="Symbol" w:hint="default"/>
      </w:rPr>
    </w:lvl>
    <w:lvl w:ilvl="7" w:tplc="79563FFA">
      <w:start w:val="1"/>
      <w:numFmt w:val="bullet"/>
      <w:lvlText w:val="o"/>
      <w:lvlJc w:val="left"/>
      <w:pPr>
        <w:ind w:left="5760" w:hanging="360"/>
      </w:pPr>
      <w:rPr>
        <w:rFonts w:ascii="Courier New" w:hAnsi="Courier New" w:hint="default"/>
      </w:rPr>
    </w:lvl>
    <w:lvl w:ilvl="8" w:tplc="B432724C">
      <w:start w:val="1"/>
      <w:numFmt w:val="bullet"/>
      <w:lvlText w:val=""/>
      <w:lvlJc w:val="left"/>
      <w:pPr>
        <w:ind w:left="6480" w:hanging="360"/>
      </w:pPr>
      <w:rPr>
        <w:rFonts w:ascii="Wingdings" w:hAnsi="Wingdings" w:hint="default"/>
      </w:rPr>
    </w:lvl>
  </w:abstractNum>
  <w:abstractNum w:abstractNumId="6" w15:restartNumberingAfterBreak="0">
    <w:nsid w:val="2801772B"/>
    <w:multiLevelType w:val="hybridMultilevel"/>
    <w:tmpl w:val="0B643A3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B4ECB70"/>
    <w:multiLevelType w:val="hybridMultilevel"/>
    <w:tmpl w:val="2D3CC158"/>
    <w:lvl w:ilvl="0" w:tplc="E45635B4">
      <w:start w:val="1"/>
      <w:numFmt w:val="bullet"/>
      <w:lvlText w:val=""/>
      <w:lvlJc w:val="left"/>
      <w:pPr>
        <w:ind w:left="720" w:hanging="360"/>
      </w:pPr>
      <w:rPr>
        <w:rFonts w:ascii="Symbol" w:hAnsi="Symbol" w:hint="default"/>
      </w:rPr>
    </w:lvl>
    <w:lvl w:ilvl="1" w:tplc="9E024C32">
      <w:start w:val="1"/>
      <w:numFmt w:val="bullet"/>
      <w:lvlText w:val="o"/>
      <w:lvlJc w:val="left"/>
      <w:pPr>
        <w:ind w:left="1440" w:hanging="360"/>
      </w:pPr>
      <w:rPr>
        <w:rFonts w:ascii="Courier New" w:hAnsi="Courier New" w:hint="default"/>
      </w:rPr>
    </w:lvl>
    <w:lvl w:ilvl="2" w:tplc="882C864E">
      <w:start w:val="1"/>
      <w:numFmt w:val="bullet"/>
      <w:lvlText w:val=""/>
      <w:lvlJc w:val="left"/>
      <w:pPr>
        <w:ind w:left="2160" w:hanging="360"/>
      </w:pPr>
      <w:rPr>
        <w:rFonts w:ascii="Wingdings" w:hAnsi="Wingdings" w:hint="default"/>
      </w:rPr>
    </w:lvl>
    <w:lvl w:ilvl="3" w:tplc="FAE82596">
      <w:start w:val="1"/>
      <w:numFmt w:val="bullet"/>
      <w:lvlText w:val=""/>
      <w:lvlJc w:val="left"/>
      <w:pPr>
        <w:ind w:left="2880" w:hanging="360"/>
      </w:pPr>
      <w:rPr>
        <w:rFonts w:ascii="Symbol" w:hAnsi="Symbol" w:hint="default"/>
      </w:rPr>
    </w:lvl>
    <w:lvl w:ilvl="4" w:tplc="6A98B39E">
      <w:start w:val="1"/>
      <w:numFmt w:val="bullet"/>
      <w:lvlText w:val="o"/>
      <w:lvlJc w:val="left"/>
      <w:pPr>
        <w:ind w:left="3600" w:hanging="360"/>
      </w:pPr>
      <w:rPr>
        <w:rFonts w:ascii="Courier New" w:hAnsi="Courier New" w:hint="default"/>
      </w:rPr>
    </w:lvl>
    <w:lvl w:ilvl="5" w:tplc="22FA12CA">
      <w:start w:val="1"/>
      <w:numFmt w:val="bullet"/>
      <w:lvlText w:val=""/>
      <w:lvlJc w:val="left"/>
      <w:pPr>
        <w:ind w:left="4320" w:hanging="360"/>
      </w:pPr>
      <w:rPr>
        <w:rFonts w:ascii="Wingdings" w:hAnsi="Wingdings" w:hint="default"/>
      </w:rPr>
    </w:lvl>
    <w:lvl w:ilvl="6" w:tplc="48AA0CC6">
      <w:start w:val="1"/>
      <w:numFmt w:val="bullet"/>
      <w:lvlText w:val=""/>
      <w:lvlJc w:val="left"/>
      <w:pPr>
        <w:ind w:left="5040" w:hanging="360"/>
      </w:pPr>
      <w:rPr>
        <w:rFonts w:ascii="Symbol" w:hAnsi="Symbol" w:hint="default"/>
      </w:rPr>
    </w:lvl>
    <w:lvl w:ilvl="7" w:tplc="44D868A8">
      <w:start w:val="1"/>
      <w:numFmt w:val="bullet"/>
      <w:lvlText w:val="o"/>
      <w:lvlJc w:val="left"/>
      <w:pPr>
        <w:ind w:left="5760" w:hanging="360"/>
      </w:pPr>
      <w:rPr>
        <w:rFonts w:ascii="Courier New" w:hAnsi="Courier New" w:hint="default"/>
      </w:rPr>
    </w:lvl>
    <w:lvl w:ilvl="8" w:tplc="7D744BE6">
      <w:start w:val="1"/>
      <w:numFmt w:val="bullet"/>
      <w:lvlText w:val=""/>
      <w:lvlJc w:val="left"/>
      <w:pPr>
        <w:ind w:left="6480" w:hanging="360"/>
      </w:pPr>
      <w:rPr>
        <w:rFonts w:ascii="Wingdings" w:hAnsi="Wingdings" w:hint="default"/>
      </w:rPr>
    </w:lvl>
  </w:abstractNum>
  <w:abstractNum w:abstractNumId="8" w15:restartNumberingAfterBreak="0">
    <w:nsid w:val="3AE03A1E"/>
    <w:multiLevelType w:val="hybridMultilevel"/>
    <w:tmpl w:val="8E70037C"/>
    <w:lvl w:ilvl="0" w:tplc="F462DF9A">
      <w:start w:val="1"/>
      <w:numFmt w:val="bullet"/>
      <w:lvlText w:val="·"/>
      <w:lvlJc w:val="left"/>
      <w:pPr>
        <w:ind w:left="720" w:hanging="360"/>
      </w:pPr>
      <w:rPr>
        <w:rFonts w:ascii="Symbol" w:hAnsi="Symbol" w:hint="default"/>
      </w:rPr>
    </w:lvl>
    <w:lvl w:ilvl="1" w:tplc="A9ACA89C">
      <w:start w:val="1"/>
      <w:numFmt w:val="bullet"/>
      <w:lvlText w:val="o"/>
      <w:lvlJc w:val="left"/>
      <w:pPr>
        <w:ind w:left="1440" w:hanging="360"/>
      </w:pPr>
      <w:rPr>
        <w:rFonts w:ascii="Courier New" w:hAnsi="Courier New" w:hint="default"/>
      </w:rPr>
    </w:lvl>
    <w:lvl w:ilvl="2" w:tplc="E11EFFAE">
      <w:start w:val="1"/>
      <w:numFmt w:val="bullet"/>
      <w:lvlText w:val=""/>
      <w:lvlJc w:val="left"/>
      <w:pPr>
        <w:ind w:left="2160" w:hanging="360"/>
      </w:pPr>
      <w:rPr>
        <w:rFonts w:ascii="Wingdings" w:hAnsi="Wingdings" w:hint="default"/>
      </w:rPr>
    </w:lvl>
    <w:lvl w:ilvl="3" w:tplc="6AC47E5C">
      <w:start w:val="1"/>
      <w:numFmt w:val="bullet"/>
      <w:lvlText w:val=""/>
      <w:lvlJc w:val="left"/>
      <w:pPr>
        <w:ind w:left="2880" w:hanging="360"/>
      </w:pPr>
      <w:rPr>
        <w:rFonts w:ascii="Symbol" w:hAnsi="Symbol" w:hint="default"/>
      </w:rPr>
    </w:lvl>
    <w:lvl w:ilvl="4" w:tplc="2BEAF5DA">
      <w:start w:val="1"/>
      <w:numFmt w:val="bullet"/>
      <w:lvlText w:val="o"/>
      <w:lvlJc w:val="left"/>
      <w:pPr>
        <w:ind w:left="3600" w:hanging="360"/>
      </w:pPr>
      <w:rPr>
        <w:rFonts w:ascii="Courier New" w:hAnsi="Courier New" w:hint="default"/>
      </w:rPr>
    </w:lvl>
    <w:lvl w:ilvl="5" w:tplc="54883B28">
      <w:start w:val="1"/>
      <w:numFmt w:val="bullet"/>
      <w:lvlText w:val=""/>
      <w:lvlJc w:val="left"/>
      <w:pPr>
        <w:ind w:left="4320" w:hanging="360"/>
      </w:pPr>
      <w:rPr>
        <w:rFonts w:ascii="Wingdings" w:hAnsi="Wingdings" w:hint="default"/>
      </w:rPr>
    </w:lvl>
    <w:lvl w:ilvl="6" w:tplc="B88679EA">
      <w:start w:val="1"/>
      <w:numFmt w:val="bullet"/>
      <w:lvlText w:val=""/>
      <w:lvlJc w:val="left"/>
      <w:pPr>
        <w:ind w:left="5040" w:hanging="360"/>
      </w:pPr>
      <w:rPr>
        <w:rFonts w:ascii="Symbol" w:hAnsi="Symbol" w:hint="default"/>
      </w:rPr>
    </w:lvl>
    <w:lvl w:ilvl="7" w:tplc="863C1544">
      <w:start w:val="1"/>
      <w:numFmt w:val="bullet"/>
      <w:lvlText w:val="o"/>
      <w:lvlJc w:val="left"/>
      <w:pPr>
        <w:ind w:left="5760" w:hanging="360"/>
      </w:pPr>
      <w:rPr>
        <w:rFonts w:ascii="Courier New" w:hAnsi="Courier New" w:hint="default"/>
      </w:rPr>
    </w:lvl>
    <w:lvl w:ilvl="8" w:tplc="34F8782E">
      <w:start w:val="1"/>
      <w:numFmt w:val="bullet"/>
      <w:lvlText w:val=""/>
      <w:lvlJc w:val="left"/>
      <w:pPr>
        <w:ind w:left="6480" w:hanging="360"/>
      </w:pPr>
      <w:rPr>
        <w:rFonts w:ascii="Wingdings" w:hAnsi="Wingdings" w:hint="default"/>
      </w:rPr>
    </w:lvl>
  </w:abstractNum>
  <w:abstractNum w:abstractNumId="9" w15:restartNumberingAfterBreak="0">
    <w:nsid w:val="3CD76199"/>
    <w:multiLevelType w:val="hybridMultilevel"/>
    <w:tmpl w:val="AD20265C"/>
    <w:lvl w:ilvl="0" w:tplc="08AAC1CC">
      <w:start w:val="1"/>
      <w:numFmt w:val="bullet"/>
      <w:lvlText w:val="·"/>
      <w:lvlJc w:val="left"/>
      <w:pPr>
        <w:ind w:left="720" w:hanging="360"/>
      </w:pPr>
      <w:rPr>
        <w:rFonts w:ascii="Symbol" w:hAnsi="Symbol" w:hint="default"/>
      </w:rPr>
    </w:lvl>
    <w:lvl w:ilvl="1" w:tplc="62A018C2">
      <w:start w:val="1"/>
      <w:numFmt w:val="bullet"/>
      <w:lvlText w:val="o"/>
      <w:lvlJc w:val="left"/>
      <w:pPr>
        <w:ind w:left="1440" w:hanging="360"/>
      </w:pPr>
      <w:rPr>
        <w:rFonts w:ascii="Courier New" w:hAnsi="Courier New" w:hint="default"/>
      </w:rPr>
    </w:lvl>
    <w:lvl w:ilvl="2" w:tplc="48F40DCC">
      <w:start w:val="1"/>
      <w:numFmt w:val="bullet"/>
      <w:lvlText w:val=""/>
      <w:lvlJc w:val="left"/>
      <w:pPr>
        <w:ind w:left="2160" w:hanging="360"/>
      </w:pPr>
      <w:rPr>
        <w:rFonts w:ascii="Wingdings" w:hAnsi="Wingdings" w:hint="default"/>
      </w:rPr>
    </w:lvl>
    <w:lvl w:ilvl="3" w:tplc="AAEA4036">
      <w:start w:val="1"/>
      <w:numFmt w:val="bullet"/>
      <w:lvlText w:val=""/>
      <w:lvlJc w:val="left"/>
      <w:pPr>
        <w:ind w:left="2880" w:hanging="360"/>
      </w:pPr>
      <w:rPr>
        <w:rFonts w:ascii="Symbol" w:hAnsi="Symbol" w:hint="default"/>
      </w:rPr>
    </w:lvl>
    <w:lvl w:ilvl="4" w:tplc="DB3879F4">
      <w:start w:val="1"/>
      <w:numFmt w:val="bullet"/>
      <w:lvlText w:val="o"/>
      <w:lvlJc w:val="left"/>
      <w:pPr>
        <w:ind w:left="3600" w:hanging="360"/>
      </w:pPr>
      <w:rPr>
        <w:rFonts w:ascii="Courier New" w:hAnsi="Courier New" w:hint="default"/>
      </w:rPr>
    </w:lvl>
    <w:lvl w:ilvl="5" w:tplc="EFC4D672">
      <w:start w:val="1"/>
      <w:numFmt w:val="bullet"/>
      <w:lvlText w:val=""/>
      <w:lvlJc w:val="left"/>
      <w:pPr>
        <w:ind w:left="4320" w:hanging="360"/>
      </w:pPr>
      <w:rPr>
        <w:rFonts w:ascii="Wingdings" w:hAnsi="Wingdings" w:hint="default"/>
      </w:rPr>
    </w:lvl>
    <w:lvl w:ilvl="6" w:tplc="680E3FD4">
      <w:start w:val="1"/>
      <w:numFmt w:val="bullet"/>
      <w:lvlText w:val=""/>
      <w:lvlJc w:val="left"/>
      <w:pPr>
        <w:ind w:left="5040" w:hanging="360"/>
      </w:pPr>
      <w:rPr>
        <w:rFonts w:ascii="Symbol" w:hAnsi="Symbol" w:hint="default"/>
      </w:rPr>
    </w:lvl>
    <w:lvl w:ilvl="7" w:tplc="FF10C4B4">
      <w:start w:val="1"/>
      <w:numFmt w:val="bullet"/>
      <w:lvlText w:val="o"/>
      <w:lvlJc w:val="left"/>
      <w:pPr>
        <w:ind w:left="5760" w:hanging="360"/>
      </w:pPr>
      <w:rPr>
        <w:rFonts w:ascii="Courier New" w:hAnsi="Courier New" w:hint="default"/>
      </w:rPr>
    </w:lvl>
    <w:lvl w:ilvl="8" w:tplc="C0004B6E">
      <w:start w:val="1"/>
      <w:numFmt w:val="bullet"/>
      <w:lvlText w:val=""/>
      <w:lvlJc w:val="left"/>
      <w:pPr>
        <w:ind w:left="6480" w:hanging="360"/>
      </w:pPr>
      <w:rPr>
        <w:rFonts w:ascii="Wingdings" w:hAnsi="Wingdings" w:hint="default"/>
      </w:rPr>
    </w:lvl>
  </w:abstractNum>
  <w:abstractNum w:abstractNumId="10" w15:restartNumberingAfterBreak="0">
    <w:nsid w:val="4094A341"/>
    <w:multiLevelType w:val="hybridMultilevel"/>
    <w:tmpl w:val="156E5E92"/>
    <w:lvl w:ilvl="0" w:tplc="8050E016">
      <w:start w:val="1"/>
      <w:numFmt w:val="bullet"/>
      <w:lvlText w:val=""/>
      <w:lvlJc w:val="left"/>
      <w:pPr>
        <w:ind w:left="720" w:hanging="360"/>
      </w:pPr>
      <w:rPr>
        <w:rFonts w:ascii="Symbol" w:hAnsi="Symbol" w:hint="default"/>
      </w:rPr>
    </w:lvl>
    <w:lvl w:ilvl="1" w:tplc="54BE8E14">
      <w:start w:val="1"/>
      <w:numFmt w:val="bullet"/>
      <w:lvlText w:val="o"/>
      <w:lvlJc w:val="left"/>
      <w:pPr>
        <w:ind w:left="1440" w:hanging="360"/>
      </w:pPr>
      <w:rPr>
        <w:rFonts w:ascii="Courier New" w:hAnsi="Courier New" w:hint="default"/>
      </w:rPr>
    </w:lvl>
    <w:lvl w:ilvl="2" w:tplc="31D88978">
      <w:start w:val="1"/>
      <w:numFmt w:val="bullet"/>
      <w:lvlText w:val=""/>
      <w:lvlJc w:val="left"/>
      <w:pPr>
        <w:ind w:left="2160" w:hanging="360"/>
      </w:pPr>
      <w:rPr>
        <w:rFonts w:ascii="Wingdings" w:hAnsi="Wingdings" w:hint="default"/>
      </w:rPr>
    </w:lvl>
    <w:lvl w:ilvl="3" w:tplc="2D242C2E">
      <w:start w:val="1"/>
      <w:numFmt w:val="bullet"/>
      <w:lvlText w:val=""/>
      <w:lvlJc w:val="left"/>
      <w:pPr>
        <w:ind w:left="2880" w:hanging="360"/>
      </w:pPr>
      <w:rPr>
        <w:rFonts w:ascii="Symbol" w:hAnsi="Symbol" w:hint="default"/>
      </w:rPr>
    </w:lvl>
    <w:lvl w:ilvl="4" w:tplc="3E74476A">
      <w:start w:val="1"/>
      <w:numFmt w:val="bullet"/>
      <w:lvlText w:val="o"/>
      <w:lvlJc w:val="left"/>
      <w:pPr>
        <w:ind w:left="3600" w:hanging="360"/>
      </w:pPr>
      <w:rPr>
        <w:rFonts w:ascii="Courier New" w:hAnsi="Courier New" w:hint="default"/>
      </w:rPr>
    </w:lvl>
    <w:lvl w:ilvl="5" w:tplc="FF54E238">
      <w:start w:val="1"/>
      <w:numFmt w:val="bullet"/>
      <w:lvlText w:val=""/>
      <w:lvlJc w:val="left"/>
      <w:pPr>
        <w:ind w:left="4320" w:hanging="360"/>
      </w:pPr>
      <w:rPr>
        <w:rFonts w:ascii="Wingdings" w:hAnsi="Wingdings" w:hint="default"/>
      </w:rPr>
    </w:lvl>
    <w:lvl w:ilvl="6" w:tplc="1A5A6D52">
      <w:start w:val="1"/>
      <w:numFmt w:val="bullet"/>
      <w:lvlText w:val=""/>
      <w:lvlJc w:val="left"/>
      <w:pPr>
        <w:ind w:left="5040" w:hanging="360"/>
      </w:pPr>
      <w:rPr>
        <w:rFonts w:ascii="Symbol" w:hAnsi="Symbol" w:hint="default"/>
      </w:rPr>
    </w:lvl>
    <w:lvl w:ilvl="7" w:tplc="5A003390">
      <w:start w:val="1"/>
      <w:numFmt w:val="bullet"/>
      <w:lvlText w:val="o"/>
      <w:lvlJc w:val="left"/>
      <w:pPr>
        <w:ind w:left="5760" w:hanging="360"/>
      </w:pPr>
      <w:rPr>
        <w:rFonts w:ascii="Courier New" w:hAnsi="Courier New" w:hint="default"/>
      </w:rPr>
    </w:lvl>
    <w:lvl w:ilvl="8" w:tplc="6BE80992">
      <w:start w:val="1"/>
      <w:numFmt w:val="bullet"/>
      <w:lvlText w:val=""/>
      <w:lvlJc w:val="left"/>
      <w:pPr>
        <w:ind w:left="6480" w:hanging="360"/>
      </w:pPr>
      <w:rPr>
        <w:rFonts w:ascii="Wingdings" w:hAnsi="Wingdings" w:hint="default"/>
      </w:rPr>
    </w:lvl>
  </w:abstractNum>
  <w:abstractNum w:abstractNumId="11" w15:restartNumberingAfterBreak="0">
    <w:nsid w:val="44E954BC"/>
    <w:multiLevelType w:val="hybridMultilevel"/>
    <w:tmpl w:val="F4C034F8"/>
    <w:lvl w:ilvl="0" w:tplc="8384C450">
      <w:start w:val="1"/>
      <w:numFmt w:val="bullet"/>
      <w:lvlText w:val="·"/>
      <w:lvlJc w:val="left"/>
      <w:pPr>
        <w:ind w:left="720" w:hanging="360"/>
      </w:pPr>
      <w:rPr>
        <w:rFonts w:ascii="Symbol" w:hAnsi="Symbol" w:hint="default"/>
      </w:rPr>
    </w:lvl>
    <w:lvl w:ilvl="1" w:tplc="CF50CDAA">
      <w:start w:val="1"/>
      <w:numFmt w:val="bullet"/>
      <w:lvlText w:val="o"/>
      <w:lvlJc w:val="left"/>
      <w:pPr>
        <w:ind w:left="1440" w:hanging="360"/>
      </w:pPr>
      <w:rPr>
        <w:rFonts w:ascii="Courier New" w:hAnsi="Courier New" w:hint="default"/>
      </w:rPr>
    </w:lvl>
    <w:lvl w:ilvl="2" w:tplc="B240BD40">
      <w:start w:val="1"/>
      <w:numFmt w:val="bullet"/>
      <w:lvlText w:val=""/>
      <w:lvlJc w:val="left"/>
      <w:pPr>
        <w:ind w:left="2160" w:hanging="360"/>
      </w:pPr>
      <w:rPr>
        <w:rFonts w:ascii="Wingdings" w:hAnsi="Wingdings" w:hint="default"/>
      </w:rPr>
    </w:lvl>
    <w:lvl w:ilvl="3" w:tplc="D1647C3C">
      <w:start w:val="1"/>
      <w:numFmt w:val="bullet"/>
      <w:lvlText w:val=""/>
      <w:lvlJc w:val="left"/>
      <w:pPr>
        <w:ind w:left="2880" w:hanging="360"/>
      </w:pPr>
      <w:rPr>
        <w:rFonts w:ascii="Symbol" w:hAnsi="Symbol" w:hint="default"/>
      </w:rPr>
    </w:lvl>
    <w:lvl w:ilvl="4" w:tplc="79901336">
      <w:start w:val="1"/>
      <w:numFmt w:val="bullet"/>
      <w:lvlText w:val="o"/>
      <w:lvlJc w:val="left"/>
      <w:pPr>
        <w:ind w:left="3600" w:hanging="360"/>
      </w:pPr>
      <w:rPr>
        <w:rFonts w:ascii="Courier New" w:hAnsi="Courier New" w:hint="default"/>
      </w:rPr>
    </w:lvl>
    <w:lvl w:ilvl="5" w:tplc="40B60482">
      <w:start w:val="1"/>
      <w:numFmt w:val="bullet"/>
      <w:lvlText w:val=""/>
      <w:lvlJc w:val="left"/>
      <w:pPr>
        <w:ind w:left="4320" w:hanging="360"/>
      </w:pPr>
      <w:rPr>
        <w:rFonts w:ascii="Wingdings" w:hAnsi="Wingdings" w:hint="default"/>
      </w:rPr>
    </w:lvl>
    <w:lvl w:ilvl="6" w:tplc="3EF0EEE6">
      <w:start w:val="1"/>
      <w:numFmt w:val="bullet"/>
      <w:lvlText w:val=""/>
      <w:lvlJc w:val="left"/>
      <w:pPr>
        <w:ind w:left="5040" w:hanging="360"/>
      </w:pPr>
      <w:rPr>
        <w:rFonts w:ascii="Symbol" w:hAnsi="Symbol" w:hint="default"/>
      </w:rPr>
    </w:lvl>
    <w:lvl w:ilvl="7" w:tplc="6D3E5926">
      <w:start w:val="1"/>
      <w:numFmt w:val="bullet"/>
      <w:lvlText w:val="o"/>
      <w:lvlJc w:val="left"/>
      <w:pPr>
        <w:ind w:left="5760" w:hanging="360"/>
      </w:pPr>
      <w:rPr>
        <w:rFonts w:ascii="Courier New" w:hAnsi="Courier New" w:hint="default"/>
      </w:rPr>
    </w:lvl>
    <w:lvl w:ilvl="8" w:tplc="82A201DC">
      <w:start w:val="1"/>
      <w:numFmt w:val="bullet"/>
      <w:lvlText w:val=""/>
      <w:lvlJc w:val="left"/>
      <w:pPr>
        <w:ind w:left="6480" w:hanging="360"/>
      </w:pPr>
      <w:rPr>
        <w:rFonts w:ascii="Wingdings" w:hAnsi="Wingdings" w:hint="default"/>
      </w:rPr>
    </w:lvl>
  </w:abstractNum>
  <w:abstractNum w:abstractNumId="12" w15:restartNumberingAfterBreak="0">
    <w:nsid w:val="458D3A50"/>
    <w:multiLevelType w:val="hybridMultilevel"/>
    <w:tmpl w:val="79763B68"/>
    <w:lvl w:ilvl="0" w:tplc="909E8F38">
      <w:start w:val="1"/>
      <w:numFmt w:val="bullet"/>
      <w:lvlText w:val="·"/>
      <w:lvlJc w:val="left"/>
      <w:pPr>
        <w:ind w:left="720" w:hanging="360"/>
      </w:pPr>
      <w:rPr>
        <w:rFonts w:ascii="Symbol" w:hAnsi="Symbol" w:hint="default"/>
      </w:rPr>
    </w:lvl>
    <w:lvl w:ilvl="1" w:tplc="C5362F24">
      <w:start w:val="1"/>
      <w:numFmt w:val="bullet"/>
      <w:lvlText w:val="o"/>
      <w:lvlJc w:val="left"/>
      <w:pPr>
        <w:ind w:left="1440" w:hanging="360"/>
      </w:pPr>
      <w:rPr>
        <w:rFonts w:ascii="&quot;Courier New&quot;" w:hAnsi="&quot;Courier New&quot;" w:hint="default"/>
      </w:rPr>
    </w:lvl>
    <w:lvl w:ilvl="2" w:tplc="DFF8E74A">
      <w:start w:val="1"/>
      <w:numFmt w:val="bullet"/>
      <w:lvlText w:val="§"/>
      <w:lvlJc w:val="left"/>
      <w:pPr>
        <w:ind w:left="2160" w:hanging="360"/>
      </w:pPr>
      <w:rPr>
        <w:rFonts w:ascii="Wingdings" w:hAnsi="Wingdings" w:hint="default"/>
      </w:rPr>
    </w:lvl>
    <w:lvl w:ilvl="3" w:tplc="B48019C4">
      <w:start w:val="1"/>
      <w:numFmt w:val="bullet"/>
      <w:lvlText w:val=""/>
      <w:lvlJc w:val="left"/>
      <w:pPr>
        <w:ind w:left="2880" w:hanging="360"/>
      </w:pPr>
      <w:rPr>
        <w:rFonts w:ascii="Symbol" w:hAnsi="Symbol" w:hint="default"/>
      </w:rPr>
    </w:lvl>
    <w:lvl w:ilvl="4" w:tplc="C6FC6290">
      <w:start w:val="1"/>
      <w:numFmt w:val="bullet"/>
      <w:lvlText w:val="o"/>
      <w:lvlJc w:val="left"/>
      <w:pPr>
        <w:ind w:left="3600" w:hanging="360"/>
      </w:pPr>
      <w:rPr>
        <w:rFonts w:ascii="Courier New" w:hAnsi="Courier New" w:hint="default"/>
      </w:rPr>
    </w:lvl>
    <w:lvl w:ilvl="5" w:tplc="CB8406A4">
      <w:start w:val="1"/>
      <w:numFmt w:val="bullet"/>
      <w:lvlText w:val=""/>
      <w:lvlJc w:val="left"/>
      <w:pPr>
        <w:ind w:left="4320" w:hanging="360"/>
      </w:pPr>
      <w:rPr>
        <w:rFonts w:ascii="Wingdings" w:hAnsi="Wingdings" w:hint="default"/>
      </w:rPr>
    </w:lvl>
    <w:lvl w:ilvl="6" w:tplc="143EDD34">
      <w:start w:val="1"/>
      <w:numFmt w:val="bullet"/>
      <w:lvlText w:val=""/>
      <w:lvlJc w:val="left"/>
      <w:pPr>
        <w:ind w:left="5040" w:hanging="360"/>
      </w:pPr>
      <w:rPr>
        <w:rFonts w:ascii="Symbol" w:hAnsi="Symbol" w:hint="default"/>
      </w:rPr>
    </w:lvl>
    <w:lvl w:ilvl="7" w:tplc="92903B20">
      <w:start w:val="1"/>
      <w:numFmt w:val="bullet"/>
      <w:lvlText w:val="o"/>
      <w:lvlJc w:val="left"/>
      <w:pPr>
        <w:ind w:left="5760" w:hanging="360"/>
      </w:pPr>
      <w:rPr>
        <w:rFonts w:ascii="Courier New" w:hAnsi="Courier New" w:hint="default"/>
      </w:rPr>
    </w:lvl>
    <w:lvl w:ilvl="8" w:tplc="A45276FC">
      <w:start w:val="1"/>
      <w:numFmt w:val="bullet"/>
      <w:lvlText w:val=""/>
      <w:lvlJc w:val="left"/>
      <w:pPr>
        <w:ind w:left="6480" w:hanging="360"/>
      </w:pPr>
      <w:rPr>
        <w:rFonts w:ascii="Wingdings" w:hAnsi="Wingdings" w:hint="default"/>
      </w:rPr>
    </w:lvl>
  </w:abstractNum>
  <w:abstractNum w:abstractNumId="13" w15:restartNumberingAfterBreak="0">
    <w:nsid w:val="47BB7B49"/>
    <w:multiLevelType w:val="hybridMultilevel"/>
    <w:tmpl w:val="43A0DBC6"/>
    <w:lvl w:ilvl="0" w:tplc="EC0E7E2E">
      <w:start w:val="1"/>
      <w:numFmt w:val="bullet"/>
      <w:lvlText w:val=""/>
      <w:lvlJc w:val="left"/>
      <w:pPr>
        <w:ind w:left="770" w:hanging="360"/>
      </w:pPr>
      <w:rPr>
        <w:rFonts w:ascii="Symbol" w:hAnsi="Symbol" w:hint="default"/>
      </w:rPr>
    </w:lvl>
    <w:lvl w:ilvl="1" w:tplc="42DC4D08">
      <w:start w:val="1"/>
      <w:numFmt w:val="bullet"/>
      <w:lvlText w:val="o"/>
      <w:lvlJc w:val="left"/>
      <w:pPr>
        <w:ind w:left="1440" w:hanging="360"/>
      </w:pPr>
      <w:rPr>
        <w:rFonts w:ascii="Courier New" w:hAnsi="Courier New" w:hint="default"/>
      </w:rPr>
    </w:lvl>
    <w:lvl w:ilvl="2" w:tplc="B1B85B5C">
      <w:start w:val="1"/>
      <w:numFmt w:val="bullet"/>
      <w:lvlText w:val=""/>
      <w:lvlJc w:val="left"/>
      <w:pPr>
        <w:ind w:left="2160" w:hanging="360"/>
      </w:pPr>
      <w:rPr>
        <w:rFonts w:ascii="Wingdings" w:hAnsi="Wingdings" w:hint="default"/>
      </w:rPr>
    </w:lvl>
    <w:lvl w:ilvl="3" w:tplc="59048BA2">
      <w:start w:val="1"/>
      <w:numFmt w:val="bullet"/>
      <w:lvlText w:val=""/>
      <w:lvlJc w:val="left"/>
      <w:pPr>
        <w:ind w:left="2880" w:hanging="360"/>
      </w:pPr>
      <w:rPr>
        <w:rFonts w:ascii="Symbol" w:hAnsi="Symbol" w:hint="default"/>
      </w:rPr>
    </w:lvl>
    <w:lvl w:ilvl="4" w:tplc="43324CB4">
      <w:start w:val="1"/>
      <w:numFmt w:val="bullet"/>
      <w:lvlText w:val="o"/>
      <w:lvlJc w:val="left"/>
      <w:pPr>
        <w:ind w:left="3600" w:hanging="360"/>
      </w:pPr>
      <w:rPr>
        <w:rFonts w:ascii="Courier New" w:hAnsi="Courier New" w:hint="default"/>
      </w:rPr>
    </w:lvl>
    <w:lvl w:ilvl="5" w:tplc="F4E0C166">
      <w:start w:val="1"/>
      <w:numFmt w:val="bullet"/>
      <w:lvlText w:val=""/>
      <w:lvlJc w:val="left"/>
      <w:pPr>
        <w:ind w:left="4320" w:hanging="360"/>
      </w:pPr>
      <w:rPr>
        <w:rFonts w:ascii="Wingdings" w:hAnsi="Wingdings" w:hint="default"/>
      </w:rPr>
    </w:lvl>
    <w:lvl w:ilvl="6" w:tplc="15942C08">
      <w:start w:val="1"/>
      <w:numFmt w:val="bullet"/>
      <w:lvlText w:val=""/>
      <w:lvlJc w:val="left"/>
      <w:pPr>
        <w:ind w:left="5040" w:hanging="360"/>
      </w:pPr>
      <w:rPr>
        <w:rFonts w:ascii="Symbol" w:hAnsi="Symbol" w:hint="default"/>
      </w:rPr>
    </w:lvl>
    <w:lvl w:ilvl="7" w:tplc="7CFC6824">
      <w:start w:val="1"/>
      <w:numFmt w:val="bullet"/>
      <w:lvlText w:val="o"/>
      <w:lvlJc w:val="left"/>
      <w:pPr>
        <w:ind w:left="5760" w:hanging="360"/>
      </w:pPr>
      <w:rPr>
        <w:rFonts w:ascii="Courier New" w:hAnsi="Courier New" w:hint="default"/>
      </w:rPr>
    </w:lvl>
    <w:lvl w:ilvl="8" w:tplc="B5121E74">
      <w:start w:val="1"/>
      <w:numFmt w:val="bullet"/>
      <w:lvlText w:val=""/>
      <w:lvlJc w:val="left"/>
      <w:pPr>
        <w:ind w:left="6480" w:hanging="360"/>
      </w:pPr>
      <w:rPr>
        <w:rFonts w:ascii="Wingdings" w:hAnsi="Wingdings" w:hint="default"/>
      </w:rPr>
    </w:lvl>
  </w:abstractNum>
  <w:abstractNum w:abstractNumId="14" w15:restartNumberingAfterBreak="0">
    <w:nsid w:val="503CB2E9"/>
    <w:multiLevelType w:val="hybridMultilevel"/>
    <w:tmpl w:val="DCA4F93A"/>
    <w:lvl w:ilvl="0" w:tplc="C09225BA">
      <w:start w:val="1"/>
      <w:numFmt w:val="bullet"/>
      <w:lvlText w:val=""/>
      <w:lvlJc w:val="left"/>
      <w:pPr>
        <w:ind w:left="770" w:hanging="360"/>
      </w:pPr>
      <w:rPr>
        <w:rFonts w:ascii="Symbol" w:hAnsi="Symbol" w:hint="default"/>
      </w:rPr>
    </w:lvl>
    <w:lvl w:ilvl="1" w:tplc="B3204816">
      <w:start w:val="1"/>
      <w:numFmt w:val="bullet"/>
      <w:lvlText w:val="o"/>
      <w:lvlJc w:val="left"/>
      <w:pPr>
        <w:ind w:left="1440" w:hanging="360"/>
      </w:pPr>
      <w:rPr>
        <w:rFonts w:ascii="Courier New" w:hAnsi="Courier New" w:hint="default"/>
      </w:rPr>
    </w:lvl>
    <w:lvl w:ilvl="2" w:tplc="EF120786">
      <w:start w:val="1"/>
      <w:numFmt w:val="bullet"/>
      <w:lvlText w:val=""/>
      <w:lvlJc w:val="left"/>
      <w:pPr>
        <w:ind w:left="2160" w:hanging="360"/>
      </w:pPr>
      <w:rPr>
        <w:rFonts w:ascii="Wingdings" w:hAnsi="Wingdings" w:hint="default"/>
      </w:rPr>
    </w:lvl>
    <w:lvl w:ilvl="3" w:tplc="F9B08E70">
      <w:start w:val="1"/>
      <w:numFmt w:val="bullet"/>
      <w:lvlText w:val=""/>
      <w:lvlJc w:val="left"/>
      <w:pPr>
        <w:ind w:left="2880" w:hanging="360"/>
      </w:pPr>
      <w:rPr>
        <w:rFonts w:ascii="Symbol" w:hAnsi="Symbol" w:hint="default"/>
      </w:rPr>
    </w:lvl>
    <w:lvl w:ilvl="4" w:tplc="E028E378">
      <w:start w:val="1"/>
      <w:numFmt w:val="bullet"/>
      <w:lvlText w:val="o"/>
      <w:lvlJc w:val="left"/>
      <w:pPr>
        <w:ind w:left="3600" w:hanging="360"/>
      </w:pPr>
      <w:rPr>
        <w:rFonts w:ascii="Courier New" w:hAnsi="Courier New" w:hint="default"/>
      </w:rPr>
    </w:lvl>
    <w:lvl w:ilvl="5" w:tplc="283CFD26">
      <w:start w:val="1"/>
      <w:numFmt w:val="bullet"/>
      <w:lvlText w:val=""/>
      <w:lvlJc w:val="left"/>
      <w:pPr>
        <w:ind w:left="4320" w:hanging="360"/>
      </w:pPr>
      <w:rPr>
        <w:rFonts w:ascii="Wingdings" w:hAnsi="Wingdings" w:hint="default"/>
      </w:rPr>
    </w:lvl>
    <w:lvl w:ilvl="6" w:tplc="32787AC8">
      <w:start w:val="1"/>
      <w:numFmt w:val="bullet"/>
      <w:lvlText w:val=""/>
      <w:lvlJc w:val="left"/>
      <w:pPr>
        <w:ind w:left="5040" w:hanging="360"/>
      </w:pPr>
      <w:rPr>
        <w:rFonts w:ascii="Symbol" w:hAnsi="Symbol" w:hint="default"/>
      </w:rPr>
    </w:lvl>
    <w:lvl w:ilvl="7" w:tplc="BEDCA598">
      <w:start w:val="1"/>
      <w:numFmt w:val="bullet"/>
      <w:lvlText w:val="o"/>
      <w:lvlJc w:val="left"/>
      <w:pPr>
        <w:ind w:left="5760" w:hanging="360"/>
      </w:pPr>
      <w:rPr>
        <w:rFonts w:ascii="Courier New" w:hAnsi="Courier New" w:hint="default"/>
      </w:rPr>
    </w:lvl>
    <w:lvl w:ilvl="8" w:tplc="279257B4">
      <w:start w:val="1"/>
      <w:numFmt w:val="bullet"/>
      <w:lvlText w:val=""/>
      <w:lvlJc w:val="left"/>
      <w:pPr>
        <w:ind w:left="6480" w:hanging="360"/>
      </w:pPr>
      <w:rPr>
        <w:rFonts w:ascii="Wingdings" w:hAnsi="Wingdings" w:hint="default"/>
      </w:rPr>
    </w:lvl>
  </w:abstractNum>
  <w:abstractNum w:abstractNumId="15" w15:restartNumberingAfterBreak="0">
    <w:nsid w:val="59448D83"/>
    <w:multiLevelType w:val="hybridMultilevel"/>
    <w:tmpl w:val="FE6C2906"/>
    <w:lvl w:ilvl="0" w:tplc="3D5451A6">
      <w:start w:val="1"/>
      <w:numFmt w:val="bullet"/>
      <w:lvlText w:val=""/>
      <w:lvlJc w:val="left"/>
      <w:pPr>
        <w:ind w:left="720" w:hanging="360"/>
      </w:pPr>
      <w:rPr>
        <w:rFonts w:ascii="Symbol" w:hAnsi="Symbol" w:hint="default"/>
      </w:rPr>
    </w:lvl>
    <w:lvl w:ilvl="1" w:tplc="C03405AE">
      <w:start w:val="1"/>
      <w:numFmt w:val="bullet"/>
      <w:lvlText w:val="o"/>
      <w:lvlJc w:val="left"/>
      <w:pPr>
        <w:ind w:left="1440" w:hanging="360"/>
      </w:pPr>
      <w:rPr>
        <w:rFonts w:ascii="Courier New" w:hAnsi="Courier New" w:hint="default"/>
      </w:rPr>
    </w:lvl>
    <w:lvl w:ilvl="2" w:tplc="36DCFD7C">
      <w:start w:val="1"/>
      <w:numFmt w:val="bullet"/>
      <w:lvlText w:val=""/>
      <w:lvlJc w:val="left"/>
      <w:pPr>
        <w:ind w:left="2160" w:hanging="360"/>
      </w:pPr>
      <w:rPr>
        <w:rFonts w:ascii="Wingdings" w:hAnsi="Wingdings" w:hint="default"/>
      </w:rPr>
    </w:lvl>
    <w:lvl w:ilvl="3" w:tplc="2468F50E">
      <w:start w:val="1"/>
      <w:numFmt w:val="bullet"/>
      <w:lvlText w:val=""/>
      <w:lvlJc w:val="left"/>
      <w:pPr>
        <w:ind w:left="2880" w:hanging="360"/>
      </w:pPr>
      <w:rPr>
        <w:rFonts w:ascii="Symbol" w:hAnsi="Symbol" w:hint="default"/>
      </w:rPr>
    </w:lvl>
    <w:lvl w:ilvl="4" w:tplc="BE4C2140">
      <w:start w:val="1"/>
      <w:numFmt w:val="bullet"/>
      <w:lvlText w:val="o"/>
      <w:lvlJc w:val="left"/>
      <w:pPr>
        <w:ind w:left="3600" w:hanging="360"/>
      </w:pPr>
      <w:rPr>
        <w:rFonts w:ascii="Courier New" w:hAnsi="Courier New" w:hint="default"/>
      </w:rPr>
    </w:lvl>
    <w:lvl w:ilvl="5" w:tplc="D5941BB4">
      <w:start w:val="1"/>
      <w:numFmt w:val="bullet"/>
      <w:lvlText w:val=""/>
      <w:lvlJc w:val="left"/>
      <w:pPr>
        <w:ind w:left="4320" w:hanging="360"/>
      </w:pPr>
      <w:rPr>
        <w:rFonts w:ascii="Wingdings" w:hAnsi="Wingdings" w:hint="default"/>
      </w:rPr>
    </w:lvl>
    <w:lvl w:ilvl="6" w:tplc="2716D45E">
      <w:start w:val="1"/>
      <w:numFmt w:val="bullet"/>
      <w:lvlText w:val=""/>
      <w:lvlJc w:val="left"/>
      <w:pPr>
        <w:ind w:left="5040" w:hanging="360"/>
      </w:pPr>
      <w:rPr>
        <w:rFonts w:ascii="Symbol" w:hAnsi="Symbol" w:hint="default"/>
      </w:rPr>
    </w:lvl>
    <w:lvl w:ilvl="7" w:tplc="ACE4429A">
      <w:start w:val="1"/>
      <w:numFmt w:val="bullet"/>
      <w:lvlText w:val="o"/>
      <w:lvlJc w:val="left"/>
      <w:pPr>
        <w:ind w:left="5760" w:hanging="360"/>
      </w:pPr>
      <w:rPr>
        <w:rFonts w:ascii="Courier New" w:hAnsi="Courier New" w:hint="default"/>
      </w:rPr>
    </w:lvl>
    <w:lvl w:ilvl="8" w:tplc="8EB40EC8">
      <w:start w:val="1"/>
      <w:numFmt w:val="bullet"/>
      <w:lvlText w:val=""/>
      <w:lvlJc w:val="left"/>
      <w:pPr>
        <w:ind w:left="6480" w:hanging="360"/>
      </w:pPr>
      <w:rPr>
        <w:rFonts w:ascii="Wingdings" w:hAnsi="Wingdings" w:hint="default"/>
      </w:rPr>
    </w:lvl>
  </w:abstractNum>
  <w:abstractNum w:abstractNumId="16" w15:restartNumberingAfterBreak="0">
    <w:nsid w:val="671F0F60"/>
    <w:multiLevelType w:val="hybridMultilevel"/>
    <w:tmpl w:val="CC0C9D36"/>
    <w:lvl w:ilvl="0" w:tplc="C55E4C8A">
      <w:start w:val="1"/>
      <w:numFmt w:val="bullet"/>
      <w:lvlText w:val="·"/>
      <w:lvlJc w:val="left"/>
      <w:pPr>
        <w:ind w:left="720" w:hanging="360"/>
      </w:pPr>
      <w:rPr>
        <w:rFonts w:ascii="Symbol" w:hAnsi="Symbol" w:hint="default"/>
      </w:rPr>
    </w:lvl>
    <w:lvl w:ilvl="1" w:tplc="C07E23C0">
      <w:start w:val="1"/>
      <w:numFmt w:val="bullet"/>
      <w:lvlText w:val="o"/>
      <w:lvlJc w:val="left"/>
      <w:pPr>
        <w:ind w:left="1440" w:hanging="360"/>
      </w:pPr>
      <w:rPr>
        <w:rFonts w:ascii="Courier New" w:hAnsi="Courier New" w:hint="default"/>
      </w:rPr>
    </w:lvl>
    <w:lvl w:ilvl="2" w:tplc="CD46A1AA">
      <w:start w:val="1"/>
      <w:numFmt w:val="bullet"/>
      <w:lvlText w:val=""/>
      <w:lvlJc w:val="left"/>
      <w:pPr>
        <w:ind w:left="2160" w:hanging="360"/>
      </w:pPr>
      <w:rPr>
        <w:rFonts w:ascii="Wingdings" w:hAnsi="Wingdings" w:hint="default"/>
      </w:rPr>
    </w:lvl>
    <w:lvl w:ilvl="3" w:tplc="85FA41D6">
      <w:start w:val="1"/>
      <w:numFmt w:val="bullet"/>
      <w:lvlText w:val=""/>
      <w:lvlJc w:val="left"/>
      <w:pPr>
        <w:ind w:left="2880" w:hanging="360"/>
      </w:pPr>
      <w:rPr>
        <w:rFonts w:ascii="Symbol" w:hAnsi="Symbol" w:hint="default"/>
      </w:rPr>
    </w:lvl>
    <w:lvl w:ilvl="4" w:tplc="2A62689E">
      <w:start w:val="1"/>
      <w:numFmt w:val="bullet"/>
      <w:lvlText w:val="o"/>
      <w:lvlJc w:val="left"/>
      <w:pPr>
        <w:ind w:left="3600" w:hanging="360"/>
      </w:pPr>
      <w:rPr>
        <w:rFonts w:ascii="Courier New" w:hAnsi="Courier New" w:hint="default"/>
      </w:rPr>
    </w:lvl>
    <w:lvl w:ilvl="5" w:tplc="FD7288D8">
      <w:start w:val="1"/>
      <w:numFmt w:val="bullet"/>
      <w:lvlText w:val=""/>
      <w:lvlJc w:val="left"/>
      <w:pPr>
        <w:ind w:left="4320" w:hanging="360"/>
      </w:pPr>
      <w:rPr>
        <w:rFonts w:ascii="Wingdings" w:hAnsi="Wingdings" w:hint="default"/>
      </w:rPr>
    </w:lvl>
    <w:lvl w:ilvl="6" w:tplc="6FB61C42">
      <w:start w:val="1"/>
      <w:numFmt w:val="bullet"/>
      <w:lvlText w:val=""/>
      <w:lvlJc w:val="left"/>
      <w:pPr>
        <w:ind w:left="5040" w:hanging="360"/>
      </w:pPr>
      <w:rPr>
        <w:rFonts w:ascii="Symbol" w:hAnsi="Symbol" w:hint="default"/>
      </w:rPr>
    </w:lvl>
    <w:lvl w:ilvl="7" w:tplc="78C6A4CE">
      <w:start w:val="1"/>
      <w:numFmt w:val="bullet"/>
      <w:lvlText w:val="o"/>
      <w:lvlJc w:val="left"/>
      <w:pPr>
        <w:ind w:left="5760" w:hanging="360"/>
      </w:pPr>
      <w:rPr>
        <w:rFonts w:ascii="Courier New" w:hAnsi="Courier New" w:hint="default"/>
      </w:rPr>
    </w:lvl>
    <w:lvl w:ilvl="8" w:tplc="EF482630">
      <w:start w:val="1"/>
      <w:numFmt w:val="bullet"/>
      <w:lvlText w:val=""/>
      <w:lvlJc w:val="left"/>
      <w:pPr>
        <w:ind w:left="6480" w:hanging="360"/>
      </w:pPr>
      <w:rPr>
        <w:rFonts w:ascii="Wingdings" w:hAnsi="Wingdings" w:hint="default"/>
      </w:rPr>
    </w:lvl>
  </w:abstractNum>
  <w:abstractNum w:abstractNumId="17" w15:restartNumberingAfterBreak="0">
    <w:nsid w:val="69A027B1"/>
    <w:multiLevelType w:val="hybridMultilevel"/>
    <w:tmpl w:val="E0081B4E"/>
    <w:lvl w:ilvl="0" w:tplc="E19805E6">
      <w:start w:val="1"/>
      <w:numFmt w:val="bullet"/>
      <w:lvlText w:val="·"/>
      <w:lvlJc w:val="left"/>
      <w:pPr>
        <w:ind w:left="720" w:hanging="360"/>
      </w:pPr>
      <w:rPr>
        <w:rFonts w:ascii="Symbol" w:hAnsi="Symbol" w:hint="default"/>
      </w:rPr>
    </w:lvl>
    <w:lvl w:ilvl="1" w:tplc="8556CECA">
      <w:start w:val="1"/>
      <w:numFmt w:val="bullet"/>
      <w:lvlText w:val="o"/>
      <w:lvlJc w:val="left"/>
      <w:pPr>
        <w:ind w:left="1440" w:hanging="360"/>
      </w:pPr>
      <w:rPr>
        <w:rFonts w:ascii="Courier New" w:hAnsi="Courier New" w:hint="default"/>
      </w:rPr>
    </w:lvl>
    <w:lvl w:ilvl="2" w:tplc="CE507466">
      <w:start w:val="1"/>
      <w:numFmt w:val="bullet"/>
      <w:lvlText w:val=""/>
      <w:lvlJc w:val="left"/>
      <w:pPr>
        <w:ind w:left="2160" w:hanging="360"/>
      </w:pPr>
      <w:rPr>
        <w:rFonts w:ascii="Wingdings" w:hAnsi="Wingdings" w:hint="default"/>
      </w:rPr>
    </w:lvl>
    <w:lvl w:ilvl="3" w:tplc="D2E64674">
      <w:start w:val="1"/>
      <w:numFmt w:val="bullet"/>
      <w:lvlText w:val=""/>
      <w:lvlJc w:val="left"/>
      <w:pPr>
        <w:ind w:left="2880" w:hanging="360"/>
      </w:pPr>
      <w:rPr>
        <w:rFonts w:ascii="Symbol" w:hAnsi="Symbol" w:hint="default"/>
      </w:rPr>
    </w:lvl>
    <w:lvl w:ilvl="4" w:tplc="25884398">
      <w:start w:val="1"/>
      <w:numFmt w:val="bullet"/>
      <w:lvlText w:val="o"/>
      <w:lvlJc w:val="left"/>
      <w:pPr>
        <w:ind w:left="3600" w:hanging="360"/>
      </w:pPr>
      <w:rPr>
        <w:rFonts w:ascii="Courier New" w:hAnsi="Courier New" w:hint="default"/>
      </w:rPr>
    </w:lvl>
    <w:lvl w:ilvl="5" w:tplc="7E50433E">
      <w:start w:val="1"/>
      <w:numFmt w:val="bullet"/>
      <w:lvlText w:val=""/>
      <w:lvlJc w:val="left"/>
      <w:pPr>
        <w:ind w:left="4320" w:hanging="360"/>
      </w:pPr>
      <w:rPr>
        <w:rFonts w:ascii="Wingdings" w:hAnsi="Wingdings" w:hint="default"/>
      </w:rPr>
    </w:lvl>
    <w:lvl w:ilvl="6" w:tplc="F2347B02">
      <w:start w:val="1"/>
      <w:numFmt w:val="bullet"/>
      <w:lvlText w:val=""/>
      <w:lvlJc w:val="left"/>
      <w:pPr>
        <w:ind w:left="5040" w:hanging="360"/>
      </w:pPr>
      <w:rPr>
        <w:rFonts w:ascii="Symbol" w:hAnsi="Symbol" w:hint="default"/>
      </w:rPr>
    </w:lvl>
    <w:lvl w:ilvl="7" w:tplc="77CC2CC0">
      <w:start w:val="1"/>
      <w:numFmt w:val="bullet"/>
      <w:lvlText w:val="o"/>
      <w:lvlJc w:val="left"/>
      <w:pPr>
        <w:ind w:left="5760" w:hanging="360"/>
      </w:pPr>
      <w:rPr>
        <w:rFonts w:ascii="Courier New" w:hAnsi="Courier New" w:hint="default"/>
      </w:rPr>
    </w:lvl>
    <w:lvl w:ilvl="8" w:tplc="2AD0EE68">
      <w:start w:val="1"/>
      <w:numFmt w:val="bullet"/>
      <w:lvlText w:val=""/>
      <w:lvlJc w:val="left"/>
      <w:pPr>
        <w:ind w:left="6480" w:hanging="360"/>
      </w:pPr>
      <w:rPr>
        <w:rFonts w:ascii="Wingdings" w:hAnsi="Wingdings" w:hint="default"/>
      </w:rPr>
    </w:lvl>
  </w:abstractNum>
  <w:abstractNum w:abstractNumId="18" w15:restartNumberingAfterBreak="0">
    <w:nsid w:val="7035472C"/>
    <w:multiLevelType w:val="hybridMultilevel"/>
    <w:tmpl w:val="A9BC1102"/>
    <w:lvl w:ilvl="0" w:tplc="E6AA8E84">
      <w:start w:val="1"/>
      <w:numFmt w:val="bullet"/>
      <w:lvlText w:val="·"/>
      <w:lvlJc w:val="left"/>
      <w:pPr>
        <w:ind w:left="720" w:hanging="360"/>
      </w:pPr>
      <w:rPr>
        <w:rFonts w:ascii="Symbol" w:hAnsi="Symbol" w:hint="default"/>
      </w:rPr>
    </w:lvl>
    <w:lvl w:ilvl="1" w:tplc="C6DC6C28">
      <w:start w:val="1"/>
      <w:numFmt w:val="bullet"/>
      <w:lvlText w:val="o"/>
      <w:lvlJc w:val="left"/>
      <w:pPr>
        <w:ind w:left="1440" w:hanging="360"/>
      </w:pPr>
      <w:rPr>
        <w:rFonts w:ascii="Courier New" w:hAnsi="Courier New" w:hint="default"/>
      </w:rPr>
    </w:lvl>
    <w:lvl w:ilvl="2" w:tplc="B6A45178">
      <w:start w:val="1"/>
      <w:numFmt w:val="bullet"/>
      <w:lvlText w:val=""/>
      <w:lvlJc w:val="left"/>
      <w:pPr>
        <w:ind w:left="2160" w:hanging="360"/>
      </w:pPr>
      <w:rPr>
        <w:rFonts w:ascii="Wingdings" w:hAnsi="Wingdings" w:hint="default"/>
      </w:rPr>
    </w:lvl>
    <w:lvl w:ilvl="3" w:tplc="CBE0FAFE">
      <w:start w:val="1"/>
      <w:numFmt w:val="bullet"/>
      <w:lvlText w:val=""/>
      <w:lvlJc w:val="left"/>
      <w:pPr>
        <w:ind w:left="2880" w:hanging="360"/>
      </w:pPr>
      <w:rPr>
        <w:rFonts w:ascii="Symbol" w:hAnsi="Symbol" w:hint="default"/>
      </w:rPr>
    </w:lvl>
    <w:lvl w:ilvl="4" w:tplc="7CEE4B0C">
      <w:start w:val="1"/>
      <w:numFmt w:val="bullet"/>
      <w:lvlText w:val="o"/>
      <w:lvlJc w:val="left"/>
      <w:pPr>
        <w:ind w:left="3600" w:hanging="360"/>
      </w:pPr>
      <w:rPr>
        <w:rFonts w:ascii="Courier New" w:hAnsi="Courier New" w:hint="default"/>
      </w:rPr>
    </w:lvl>
    <w:lvl w:ilvl="5" w:tplc="774E7E96">
      <w:start w:val="1"/>
      <w:numFmt w:val="bullet"/>
      <w:lvlText w:val=""/>
      <w:lvlJc w:val="left"/>
      <w:pPr>
        <w:ind w:left="4320" w:hanging="360"/>
      </w:pPr>
      <w:rPr>
        <w:rFonts w:ascii="Wingdings" w:hAnsi="Wingdings" w:hint="default"/>
      </w:rPr>
    </w:lvl>
    <w:lvl w:ilvl="6" w:tplc="A34AE8E0">
      <w:start w:val="1"/>
      <w:numFmt w:val="bullet"/>
      <w:lvlText w:val=""/>
      <w:lvlJc w:val="left"/>
      <w:pPr>
        <w:ind w:left="5040" w:hanging="360"/>
      </w:pPr>
      <w:rPr>
        <w:rFonts w:ascii="Symbol" w:hAnsi="Symbol" w:hint="default"/>
      </w:rPr>
    </w:lvl>
    <w:lvl w:ilvl="7" w:tplc="732031A6">
      <w:start w:val="1"/>
      <w:numFmt w:val="bullet"/>
      <w:lvlText w:val="o"/>
      <w:lvlJc w:val="left"/>
      <w:pPr>
        <w:ind w:left="5760" w:hanging="360"/>
      </w:pPr>
      <w:rPr>
        <w:rFonts w:ascii="Courier New" w:hAnsi="Courier New" w:hint="default"/>
      </w:rPr>
    </w:lvl>
    <w:lvl w:ilvl="8" w:tplc="FB049544">
      <w:start w:val="1"/>
      <w:numFmt w:val="bullet"/>
      <w:lvlText w:val=""/>
      <w:lvlJc w:val="left"/>
      <w:pPr>
        <w:ind w:left="6480" w:hanging="360"/>
      </w:pPr>
      <w:rPr>
        <w:rFonts w:ascii="Wingdings" w:hAnsi="Wingdings" w:hint="default"/>
      </w:rPr>
    </w:lvl>
  </w:abstractNum>
  <w:abstractNum w:abstractNumId="19" w15:restartNumberingAfterBreak="0">
    <w:nsid w:val="77E624EA"/>
    <w:multiLevelType w:val="hybridMultilevel"/>
    <w:tmpl w:val="8FAC20BE"/>
    <w:lvl w:ilvl="0" w:tplc="63FC4B40">
      <w:start w:val="1"/>
      <w:numFmt w:val="bullet"/>
      <w:lvlText w:val="·"/>
      <w:lvlJc w:val="left"/>
      <w:pPr>
        <w:ind w:left="720" w:hanging="360"/>
      </w:pPr>
      <w:rPr>
        <w:rFonts w:ascii="Symbol" w:hAnsi="Symbol" w:hint="default"/>
      </w:rPr>
    </w:lvl>
    <w:lvl w:ilvl="1" w:tplc="4920B6E6">
      <w:start w:val="1"/>
      <w:numFmt w:val="bullet"/>
      <w:lvlText w:val="o"/>
      <w:lvlJc w:val="left"/>
      <w:pPr>
        <w:ind w:left="1440" w:hanging="360"/>
      </w:pPr>
      <w:rPr>
        <w:rFonts w:ascii="Courier New" w:hAnsi="Courier New" w:hint="default"/>
      </w:rPr>
    </w:lvl>
    <w:lvl w:ilvl="2" w:tplc="360818DE">
      <w:start w:val="1"/>
      <w:numFmt w:val="bullet"/>
      <w:lvlText w:val=""/>
      <w:lvlJc w:val="left"/>
      <w:pPr>
        <w:ind w:left="2160" w:hanging="360"/>
      </w:pPr>
      <w:rPr>
        <w:rFonts w:ascii="Wingdings" w:hAnsi="Wingdings" w:hint="default"/>
      </w:rPr>
    </w:lvl>
    <w:lvl w:ilvl="3" w:tplc="40DA67E6">
      <w:start w:val="1"/>
      <w:numFmt w:val="bullet"/>
      <w:lvlText w:val=""/>
      <w:lvlJc w:val="left"/>
      <w:pPr>
        <w:ind w:left="2880" w:hanging="360"/>
      </w:pPr>
      <w:rPr>
        <w:rFonts w:ascii="Symbol" w:hAnsi="Symbol" w:hint="default"/>
      </w:rPr>
    </w:lvl>
    <w:lvl w:ilvl="4" w:tplc="3D543FE4">
      <w:start w:val="1"/>
      <w:numFmt w:val="bullet"/>
      <w:lvlText w:val="o"/>
      <w:lvlJc w:val="left"/>
      <w:pPr>
        <w:ind w:left="3600" w:hanging="360"/>
      </w:pPr>
      <w:rPr>
        <w:rFonts w:ascii="Courier New" w:hAnsi="Courier New" w:hint="default"/>
      </w:rPr>
    </w:lvl>
    <w:lvl w:ilvl="5" w:tplc="7D14EE20">
      <w:start w:val="1"/>
      <w:numFmt w:val="bullet"/>
      <w:lvlText w:val=""/>
      <w:lvlJc w:val="left"/>
      <w:pPr>
        <w:ind w:left="4320" w:hanging="360"/>
      </w:pPr>
      <w:rPr>
        <w:rFonts w:ascii="Wingdings" w:hAnsi="Wingdings" w:hint="default"/>
      </w:rPr>
    </w:lvl>
    <w:lvl w:ilvl="6" w:tplc="EDB283C4">
      <w:start w:val="1"/>
      <w:numFmt w:val="bullet"/>
      <w:lvlText w:val=""/>
      <w:lvlJc w:val="left"/>
      <w:pPr>
        <w:ind w:left="5040" w:hanging="360"/>
      </w:pPr>
      <w:rPr>
        <w:rFonts w:ascii="Symbol" w:hAnsi="Symbol" w:hint="default"/>
      </w:rPr>
    </w:lvl>
    <w:lvl w:ilvl="7" w:tplc="8480CBDE">
      <w:start w:val="1"/>
      <w:numFmt w:val="bullet"/>
      <w:lvlText w:val="o"/>
      <w:lvlJc w:val="left"/>
      <w:pPr>
        <w:ind w:left="5760" w:hanging="360"/>
      </w:pPr>
      <w:rPr>
        <w:rFonts w:ascii="Courier New" w:hAnsi="Courier New" w:hint="default"/>
      </w:rPr>
    </w:lvl>
    <w:lvl w:ilvl="8" w:tplc="C0AAD8CC">
      <w:start w:val="1"/>
      <w:numFmt w:val="bullet"/>
      <w:lvlText w:val=""/>
      <w:lvlJc w:val="left"/>
      <w:pPr>
        <w:ind w:left="6480" w:hanging="360"/>
      </w:pPr>
      <w:rPr>
        <w:rFonts w:ascii="Wingdings" w:hAnsi="Wingdings" w:hint="default"/>
      </w:rPr>
    </w:lvl>
  </w:abstractNum>
  <w:num w:numId="1" w16cid:durableId="618683051">
    <w:abstractNumId w:val="5"/>
  </w:num>
  <w:num w:numId="2" w16cid:durableId="1052463696">
    <w:abstractNumId w:val="7"/>
  </w:num>
  <w:num w:numId="3" w16cid:durableId="525749371">
    <w:abstractNumId w:val="18"/>
  </w:num>
  <w:num w:numId="4" w16cid:durableId="876352599">
    <w:abstractNumId w:val="16"/>
  </w:num>
  <w:num w:numId="5" w16cid:durableId="832987417">
    <w:abstractNumId w:val="12"/>
  </w:num>
  <w:num w:numId="6" w16cid:durableId="1378965308">
    <w:abstractNumId w:val="1"/>
  </w:num>
  <w:num w:numId="7" w16cid:durableId="1376545126">
    <w:abstractNumId w:val="11"/>
  </w:num>
  <w:num w:numId="8" w16cid:durableId="1959725863">
    <w:abstractNumId w:val="8"/>
  </w:num>
  <w:num w:numId="9" w16cid:durableId="1205101416">
    <w:abstractNumId w:val="17"/>
  </w:num>
  <w:num w:numId="10" w16cid:durableId="1925911764">
    <w:abstractNumId w:val="19"/>
  </w:num>
  <w:num w:numId="11" w16cid:durableId="1423641956">
    <w:abstractNumId w:val="2"/>
  </w:num>
  <w:num w:numId="12" w16cid:durableId="1560094648">
    <w:abstractNumId w:val="9"/>
  </w:num>
  <w:num w:numId="13" w16cid:durableId="441611868">
    <w:abstractNumId w:val="4"/>
  </w:num>
  <w:num w:numId="14" w16cid:durableId="1613125172">
    <w:abstractNumId w:val="6"/>
  </w:num>
  <w:num w:numId="15" w16cid:durableId="1682587404">
    <w:abstractNumId w:val="10"/>
  </w:num>
  <w:num w:numId="16" w16cid:durableId="1964730291">
    <w:abstractNumId w:val="0"/>
  </w:num>
  <w:num w:numId="17" w16cid:durableId="2129468797">
    <w:abstractNumId w:val="15"/>
  </w:num>
  <w:num w:numId="18" w16cid:durableId="39329155">
    <w:abstractNumId w:val="13"/>
  </w:num>
  <w:num w:numId="19" w16cid:durableId="1729957426">
    <w:abstractNumId w:val="14"/>
  </w:num>
  <w:num w:numId="20" w16cid:durableId="12791455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0"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4D"/>
    <w:rsid w:val="00002980"/>
    <w:rsid w:val="00006AAC"/>
    <w:rsid w:val="00012214"/>
    <w:rsid w:val="000153A3"/>
    <w:rsid w:val="0001595F"/>
    <w:rsid w:val="00020474"/>
    <w:rsid w:val="0002061F"/>
    <w:rsid w:val="00020ADC"/>
    <w:rsid w:val="00037CE2"/>
    <w:rsid w:val="000404CF"/>
    <w:rsid w:val="000424F1"/>
    <w:rsid w:val="00043609"/>
    <w:rsid w:val="000446DE"/>
    <w:rsid w:val="00052CF6"/>
    <w:rsid w:val="000556FD"/>
    <w:rsid w:val="000557FF"/>
    <w:rsid w:val="0005667B"/>
    <w:rsid w:val="0006280C"/>
    <w:rsid w:val="00080FB8"/>
    <w:rsid w:val="0008162E"/>
    <w:rsid w:val="000832A2"/>
    <w:rsid w:val="000845FA"/>
    <w:rsid w:val="00093991"/>
    <w:rsid w:val="00097666"/>
    <w:rsid w:val="00097C2A"/>
    <w:rsid w:val="000A24FA"/>
    <w:rsid w:val="000A4A7B"/>
    <w:rsid w:val="000A69E2"/>
    <w:rsid w:val="000B0D38"/>
    <w:rsid w:val="000B40C3"/>
    <w:rsid w:val="000B4AFF"/>
    <w:rsid w:val="000B798A"/>
    <w:rsid w:val="000C5706"/>
    <w:rsid w:val="000C69ED"/>
    <w:rsid w:val="000C6A15"/>
    <w:rsid w:val="000D739A"/>
    <w:rsid w:val="000E0745"/>
    <w:rsid w:val="000E0BA0"/>
    <w:rsid w:val="000E0DE8"/>
    <w:rsid w:val="000E66E6"/>
    <w:rsid w:val="000F4642"/>
    <w:rsid w:val="000F5D08"/>
    <w:rsid w:val="0010013C"/>
    <w:rsid w:val="00100163"/>
    <w:rsid w:val="001014EE"/>
    <w:rsid w:val="00107711"/>
    <w:rsid w:val="0010FCAE"/>
    <w:rsid w:val="00111A0C"/>
    <w:rsid w:val="00111F0E"/>
    <w:rsid w:val="00113C3F"/>
    <w:rsid w:val="00113F63"/>
    <w:rsid w:val="00115311"/>
    <w:rsid w:val="0012103A"/>
    <w:rsid w:val="00122729"/>
    <w:rsid w:val="001325D7"/>
    <w:rsid w:val="00134E64"/>
    <w:rsid w:val="001466F6"/>
    <w:rsid w:val="00157575"/>
    <w:rsid w:val="00163B88"/>
    <w:rsid w:val="001660BD"/>
    <w:rsid w:val="00166263"/>
    <w:rsid w:val="00166D6B"/>
    <w:rsid w:val="001738B8"/>
    <w:rsid w:val="001768C6"/>
    <w:rsid w:val="0018176B"/>
    <w:rsid w:val="00185A3D"/>
    <w:rsid w:val="00193E66"/>
    <w:rsid w:val="00195A37"/>
    <w:rsid w:val="0019789E"/>
    <w:rsid w:val="001A48CB"/>
    <w:rsid w:val="001A5851"/>
    <w:rsid w:val="001B0734"/>
    <w:rsid w:val="001B33AF"/>
    <w:rsid w:val="001B7036"/>
    <w:rsid w:val="001B7B1E"/>
    <w:rsid w:val="001C1EE5"/>
    <w:rsid w:val="001C2288"/>
    <w:rsid w:val="001C5512"/>
    <w:rsid w:val="001C573B"/>
    <w:rsid w:val="001D227B"/>
    <w:rsid w:val="001D608E"/>
    <w:rsid w:val="001E1C69"/>
    <w:rsid w:val="001E5320"/>
    <w:rsid w:val="001E54FC"/>
    <w:rsid w:val="001E63AF"/>
    <w:rsid w:val="001E8B42"/>
    <w:rsid w:val="001F1AFB"/>
    <w:rsid w:val="00201679"/>
    <w:rsid w:val="0020733B"/>
    <w:rsid w:val="00210CA8"/>
    <w:rsid w:val="00217EF7"/>
    <w:rsid w:val="00222564"/>
    <w:rsid w:val="002239B2"/>
    <w:rsid w:val="00224425"/>
    <w:rsid w:val="00226736"/>
    <w:rsid w:val="002306D6"/>
    <w:rsid w:val="002317C2"/>
    <w:rsid w:val="0023221A"/>
    <w:rsid w:val="002327FD"/>
    <w:rsid w:val="002357AA"/>
    <w:rsid w:val="00241D95"/>
    <w:rsid w:val="00246D57"/>
    <w:rsid w:val="00254F8D"/>
    <w:rsid w:val="002661FB"/>
    <w:rsid w:val="00271BC1"/>
    <w:rsid w:val="00277132"/>
    <w:rsid w:val="00282EB9"/>
    <w:rsid w:val="00283316"/>
    <w:rsid w:val="002965C9"/>
    <w:rsid w:val="00296FDA"/>
    <w:rsid w:val="002A4E70"/>
    <w:rsid w:val="002B683D"/>
    <w:rsid w:val="002B6BCA"/>
    <w:rsid w:val="002C00D3"/>
    <w:rsid w:val="002C76FC"/>
    <w:rsid w:val="002D090B"/>
    <w:rsid w:val="002D1BA6"/>
    <w:rsid w:val="002D428F"/>
    <w:rsid w:val="002D5F52"/>
    <w:rsid w:val="002D7329"/>
    <w:rsid w:val="002D7BDB"/>
    <w:rsid w:val="002E32AC"/>
    <w:rsid w:val="002F7751"/>
    <w:rsid w:val="003014F4"/>
    <w:rsid w:val="00301F0C"/>
    <w:rsid w:val="00303426"/>
    <w:rsid w:val="00307650"/>
    <w:rsid w:val="00315509"/>
    <w:rsid w:val="00317424"/>
    <w:rsid w:val="003178E4"/>
    <w:rsid w:val="00321288"/>
    <w:rsid w:val="00324D38"/>
    <w:rsid w:val="00327A8E"/>
    <w:rsid w:val="00330D91"/>
    <w:rsid w:val="00334FCA"/>
    <w:rsid w:val="00336CE1"/>
    <w:rsid w:val="00336D92"/>
    <w:rsid w:val="00337783"/>
    <w:rsid w:val="003400BE"/>
    <w:rsid w:val="00347207"/>
    <w:rsid w:val="003517D2"/>
    <w:rsid w:val="003565A1"/>
    <w:rsid w:val="003620E3"/>
    <w:rsid w:val="003621DA"/>
    <w:rsid w:val="003625AF"/>
    <w:rsid w:val="00363604"/>
    <w:rsid w:val="00366A05"/>
    <w:rsid w:val="003711BD"/>
    <w:rsid w:val="00372A6F"/>
    <w:rsid w:val="00376D2D"/>
    <w:rsid w:val="00377216"/>
    <w:rsid w:val="00377D76"/>
    <w:rsid w:val="003800FB"/>
    <w:rsid w:val="00382950"/>
    <w:rsid w:val="003934C9"/>
    <w:rsid w:val="00394F0A"/>
    <w:rsid w:val="00394FC2"/>
    <w:rsid w:val="003963E2"/>
    <w:rsid w:val="00396F8C"/>
    <w:rsid w:val="003A04EE"/>
    <w:rsid w:val="003A1DEB"/>
    <w:rsid w:val="003A1FC0"/>
    <w:rsid w:val="003A64EA"/>
    <w:rsid w:val="003B0C0B"/>
    <w:rsid w:val="003B1470"/>
    <w:rsid w:val="003B2FB7"/>
    <w:rsid w:val="003B77E1"/>
    <w:rsid w:val="003C1484"/>
    <w:rsid w:val="003C202D"/>
    <w:rsid w:val="003CCAA0"/>
    <w:rsid w:val="003D58F3"/>
    <w:rsid w:val="003F23C1"/>
    <w:rsid w:val="003F7A9D"/>
    <w:rsid w:val="00414627"/>
    <w:rsid w:val="004156D4"/>
    <w:rsid w:val="00415CAC"/>
    <w:rsid w:val="00417D3C"/>
    <w:rsid w:val="004266DD"/>
    <w:rsid w:val="004337C8"/>
    <w:rsid w:val="004342AE"/>
    <w:rsid w:val="004362C1"/>
    <w:rsid w:val="00446B00"/>
    <w:rsid w:val="0045648C"/>
    <w:rsid w:val="004665EC"/>
    <w:rsid w:val="0047128D"/>
    <w:rsid w:val="004741C6"/>
    <w:rsid w:val="0047561A"/>
    <w:rsid w:val="00477772"/>
    <w:rsid w:val="00477D88"/>
    <w:rsid w:val="00480115"/>
    <w:rsid w:val="004930ED"/>
    <w:rsid w:val="00493C02"/>
    <w:rsid w:val="004954D7"/>
    <w:rsid w:val="004964BA"/>
    <w:rsid w:val="00497884"/>
    <w:rsid w:val="004A7DCC"/>
    <w:rsid w:val="004A7E7B"/>
    <w:rsid w:val="004B5A58"/>
    <w:rsid w:val="004B5EBD"/>
    <w:rsid w:val="004B7A56"/>
    <w:rsid w:val="004C273B"/>
    <w:rsid w:val="004C542D"/>
    <w:rsid w:val="004C58E2"/>
    <w:rsid w:val="004D3A37"/>
    <w:rsid w:val="004E15A0"/>
    <w:rsid w:val="004E3048"/>
    <w:rsid w:val="004F5186"/>
    <w:rsid w:val="004F607B"/>
    <w:rsid w:val="004F6E9D"/>
    <w:rsid w:val="00502B8E"/>
    <w:rsid w:val="0050655C"/>
    <w:rsid w:val="00507707"/>
    <w:rsid w:val="00512D47"/>
    <w:rsid w:val="00515414"/>
    <w:rsid w:val="00515609"/>
    <w:rsid w:val="00515834"/>
    <w:rsid w:val="0052103A"/>
    <w:rsid w:val="0052664D"/>
    <w:rsid w:val="0053630B"/>
    <w:rsid w:val="0053681E"/>
    <w:rsid w:val="00536BDE"/>
    <w:rsid w:val="005406CD"/>
    <w:rsid w:val="00543305"/>
    <w:rsid w:val="0054423A"/>
    <w:rsid w:val="0054430C"/>
    <w:rsid w:val="00546589"/>
    <w:rsid w:val="00547F5A"/>
    <w:rsid w:val="0055555A"/>
    <w:rsid w:val="00565344"/>
    <w:rsid w:val="00571ABD"/>
    <w:rsid w:val="0057676D"/>
    <w:rsid w:val="005849D3"/>
    <w:rsid w:val="00585133"/>
    <w:rsid w:val="00586658"/>
    <w:rsid w:val="00595B12"/>
    <w:rsid w:val="00596323"/>
    <w:rsid w:val="00597C82"/>
    <w:rsid w:val="00597D4A"/>
    <w:rsid w:val="005A7C4D"/>
    <w:rsid w:val="005B2DD1"/>
    <w:rsid w:val="005B488C"/>
    <w:rsid w:val="005C6575"/>
    <w:rsid w:val="005D2363"/>
    <w:rsid w:val="005E0396"/>
    <w:rsid w:val="005F51A8"/>
    <w:rsid w:val="00600D1A"/>
    <w:rsid w:val="006063C7"/>
    <w:rsid w:val="006103B4"/>
    <w:rsid w:val="006131C2"/>
    <w:rsid w:val="006134A4"/>
    <w:rsid w:val="00620C59"/>
    <w:rsid w:val="006362C6"/>
    <w:rsid w:val="00636513"/>
    <w:rsid w:val="00641F49"/>
    <w:rsid w:val="00645E7C"/>
    <w:rsid w:val="00646B09"/>
    <w:rsid w:val="00646CCB"/>
    <w:rsid w:val="00647230"/>
    <w:rsid w:val="0065534D"/>
    <w:rsid w:val="00660F8A"/>
    <w:rsid w:val="0066241F"/>
    <w:rsid w:val="00662573"/>
    <w:rsid w:val="00663D97"/>
    <w:rsid w:val="006723D0"/>
    <w:rsid w:val="006810AA"/>
    <w:rsid w:val="006858B1"/>
    <w:rsid w:val="00693F1B"/>
    <w:rsid w:val="006A0FA9"/>
    <w:rsid w:val="006A0FB5"/>
    <w:rsid w:val="006A2C32"/>
    <w:rsid w:val="006A36EE"/>
    <w:rsid w:val="006A5403"/>
    <w:rsid w:val="006B1CFA"/>
    <w:rsid w:val="006C6D10"/>
    <w:rsid w:val="006C7260"/>
    <w:rsid w:val="006C79CF"/>
    <w:rsid w:val="006D0BA2"/>
    <w:rsid w:val="006E115F"/>
    <w:rsid w:val="006E2D6B"/>
    <w:rsid w:val="006E2EF0"/>
    <w:rsid w:val="006F15A4"/>
    <w:rsid w:val="007014A5"/>
    <w:rsid w:val="007044F1"/>
    <w:rsid w:val="0071257C"/>
    <w:rsid w:val="007221B4"/>
    <w:rsid w:val="007243AC"/>
    <w:rsid w:val="0072501F"/>
    <w:rsid w:val="00733A59"/>
    <w:rsid w:val="00743A3F"/>
    <w:rsid w:val="007515C5"/>
    <w:rsid w:val="0075311D"/>
    <w:rsid w:val="0075480A"/>
    <w:rsid w:val="00772212"/>
    <w:rsid w:val="00776152"/>
    <w:rsid w:val="007762A2"/>
    <w:rsid w:val="00783D16"/>
    <w:rsid w:val="007906AB"/>
    <w:rsid w:val="00791E2D"/>
    <w:rsid w:val="00792DEC"/>
    <w:rsid w:val="00793F5F"/>
    <w:rsid w:val="00795012"/>
    <w:rsid w:val="007957B1"/>
    <w:rsid w:val="007A0C1A"/>
    <w:rsid w:val="007A5979"/>
    <w:rsid w:val="007B3D8F"/>
    <w:rsid w:val="007B50CC"/>
    <w:rsid w:val="007C4F19"/>
    <w:rsid w:val="007D00D9"/>
    <w:rsid w:val="007D13DD"/>
    <w:rsid w:val="007D4204"/>
    <w:rsid w:val="007D4D6C"/>
    <w:rsid w:val="007E6906"/>
    <w:rsid w:val="007E7F55"/>
    <w:rsid w:val="007F3542"/>
    <w:rsid w:val="007F3578"/>
    <w:rsid w:val="007F5F09"/>
    <w:rsid w:val="00800A49"/>
    <w:rsid w:val="00804ED6"/>
    <w:rsid w:val="008100BE"/>
    <w:rsid w:val="00810235"/>
    <w:rsid w:val="00812950"/>
    <w:rsid w:val="00812A0E"/>
    <w:rsid w:val="0081609C"/>
    <w:rsid w:val="0082213F"/>
    <w:rsid w:val="00827970"/>
    <w:rsid w:val="00832BAC"/>
    <w:rsid w:val="00832CEC"/>
    <w:rsid w:val="00833B0F"/>
    <w:rsid w:val="008352E3"/>
    <w:rsid w:val="0084092A"/>
    <w:rsid w:val="008479B4"/>
    <w:rsid w:val="00850918"/>
    <w:rsid w:val="008615B9"/>
    <w:rsid w:val="008670DF"/>
    <w:rsid w:val="00871667"/>
    <w:rsid w:val="008728B1"/>
    <w:rsid w:val="00892395"/>
    <w:rsid w:val="00895C49"/>
    <w:rsid w:val="008A26A2"/>
    <w:rsid w:val="008A3A73"/>
    <w:rsid w:val="008A60A5"/>
    <w:rsid w:val="008A7FAC"/>
    <w:rsid w:val="008B074E"/>
    <w:rsid w:val="008B1EE7"/>
    <w:rsid w:val="008B6660"/>
    <w:rsid w:val="008D0790"/>
    <w:rsid w:val="008D3148"/>
    <w:rsid w:val="008D6DD1"/>
    <w:rsid w:val="008E0817"/>
    <w:rsid w:val="008E1CB8"/>
    <w:rsid w:val="008E4FF3"/>
    <w:rsid w:val="008E5C78"/>
    <w:rsid w:val="00901368"/>
    <w:rsid w:val="00901ED9"/>
    <w:rsid w:val="00905D1D"/>
    <w:rsid w:val="009157DF"/>
    <w:rsid w:val="009163BA"/>
    <w:rsid w:val="00921B2F"/>
    <w:rsid w:val="009354AC"/>
    <w:rsid w:val="009520E1"/>
    <w:rsid w:val="00952A1B"/>
    <w:rsid w:val="00953F37"/>
    <w:rsid w:val="00957C9C"/>
    <w:rsid w:val="00961A6B"/>
    <w:rsid w:val="00962F06"/>
    <w:rsid w:val="00967DEE"/>
    <w:rsid w:val="0097580D"/>
    <w:rsid w:val="00980331"/>
    <w:rsid w:val="00995973"/>
    <w:rsid w:val="00995CFA"/>
    <w:rsid w:val="009A3F05"/>
    <w:rsid w:val="009A4399"/>
    <w:rsid w:val="009A5F0E"/>
    <w:rsid w:val="009B10B5"/>
    <w:rsid w:val="009B199C"/>
    <w:rsid w:val="009B7BB8"/>
    <w:rsid w:val="009C3A1B"/>
    <w:rsid w:val="009C45FD"/>
    <w:rsid w:val="009C7A10"/>
    <w:rsid w:val="009D138C"/>
    <w:rsid w:val="009D15BD"/>
    <w:rsid w:val="009E45A6"/>
    <w:rsid w:val="009E50C5"/>
    <w:rsid w:val="009F0C65"/>
    <w:rsid w:val="009F0D3B"/>
    <w:rsid w:val="009F1AFB"/>
    <w:rsid w:val="009F37CB"/>
    <w:rsid w:val="009F3EA3"/>
    <w:rsid w:val="009F44C7"/>
    <w:rsid w:val="009F7F8E"/>
    <w:rsid w:val="00A04C0B"/>
    <w:rsid w:val="00A1022F"/>
    <w:rsid w:val="00A102A6"/>
    <w:rsid w:val="00A146AE"/>
    <w:rsid w:val="00A155AF"/>
    <w:rsid w:val="00A16519"/>
    <w:rsid w:val="00A16EBE"/>
    <w:rsid w:val="00A228AC"/>
    <w:rsid w:val="00A40698"/>
    <w:rsid w:val="00A44EDE"/>
    <w:rsid w:val="00A535A5"/>
    <w:rsid w:val="00A53A6A"/>
    <w:rsid w:val="00A5472F"/>
    <w:rsid w:val="00A57C61"/>
    <w:rsid w:val="00A602F2"/>
    <w:rsid w:val="00A627F2"/>
    <w:rsid w:val="00A63CAF"/>
    <w:rsid w:val="00A6736E"/>
    <w:rsid w:val="00A67924"/>
    <w:rsid w:val="00A72FB5"/>
    <w:rsid w:val="00A77DA1"/>
    <w:rsid w:val="00A817A3"/>
    <w:rsid w:val="00A842C6"/>
    <w:rsid w:val="00A84C58"/>
    <w:rsid w:val="00A85996"/>
    <w:rsid w:val="00A91DC6"/>
    <w:rsid w:val="00A932E6"/>
    <w:rsid w:val="00A93999"/>
    <w:rsid w:val="00A94341"/>
    <w:rsid w:val="00A94BD8"/>
    <w:rsid w:val="00AB39A9"/>
    <w:rsid w:val="00AB55CD"/>
    <w:rsid w:val="00AC1315"/>
    <w:rsid w:val="00AC1C52"/>
    <w:rsid w:val="00AC287F"/>
    <w:rsid w:val="00AC7C1F"/>
    <w:rsid w:val="00AD1D51"/>
    <w:rsid w:val="00AD5E0E"/>
    <w:rsid w:val="00AD5EAD"/>
    <w:rsid w:val="00AD750F"/>
    <w:rsid w:val="00AD7DCF"/>
    <w:rsid w:val="00AE4066"/>
    <w:rsid w:val="00AF3650"/>
    <w:rsid w:val="00B01361"/>
    <w:rsid w:val="00B01C9E"/>
    <w:rsid w:val="00B12671"/>
    <w:rsid w:val="00B141B3"/>
    <w:rsid w:val="00B14ADA"/>
    <w:rsid w:val="00B166C3"/>
    <w:rsid w:val="00B2021E"/>
    <w:rsid w:val="00B21637"/>
    <w:rsid w:val="00B22F62"/>
    <w:rsid w:val="00B23DA2"/>
    <w:rsid w:val="00B30C78"/>
    <w:rsid w:val="00B314F9"/>
    <w:rsid w:val="00B316DC"/>
    <w:rsid w:val="00B33559"/>
    <w:rsid w:val="00B3393C"/>
    <w:rsid w:val="00B3622B"/>
    <w:rsid w:val="00B36FB8"/>
    <w:rsid w:val="00B43B74"/>
    <w:rsid w:val="00B43DD5"/>
    <w:rsid w:val="00B57146"/>
    <w:rsid w:val="00B62C92"/>
    <w:rsid w:val="00B6403B"/>
    <w:rsid w:val="00B66763"/>
    <w:rsid w:val="00B82FD3"/>
    <w:rsid w:val="00B84C39"/>
    <w:rsid w:val="00B86219"/>
    <w:rsid w:val="00B87B12"/>
    <w:rsid w:val="00B947A0"/>
    <w:rsid w:val="00B94C6F"/>
    <w:rsid w:val="00BB5E0A"/>
    <w:rsid w:val="00BB63AF"/>
    <w:rsid w:val="00BC181D"/>
    <w:rsid w:val="00BC3995"/>
    <w:rsid w:val="00BC7287"/>
    <w:rsid w:val="00BD01B9"/>
    <w:rsid w:val="00BD2A44"/>
    <w:rsid w:val="00BE31F8"/>
    <w:rsid w:val="00BE32E5"/>
    <w:rsid w:val="00BE7CC6"/>
    <w:rsid w:val="00BF46F6"/>
    <w:rsid w:val="00BF7285"/>
    <w:rsid w:val="00C070C7"/>
    <w:rsid w:val="00C105BC"/>
    <w:rsid w:val="00C1D297"/>
    <w:rsid w:val="00C22C5A"/>
    <w:rsid w:val="00C23D91"/>
    <w:rsid w:val="00C24E67"/>
    <w:rsid w:val="00C257A4"/>
    <w:rsid w:val="00C25A86"/>
    <w:rsid w:val="00C26743"/>
    <w:rsid w:val="00C30513"/>
    <w:rsid w:val="00C31469"/>
    <w:rsid w:val="00C36426"/>
    <w:rsid w:val="00C54299"/>
    <w:rsid w:val="00C550D0"/>
    <w:rsid w:val="00C64757"/>
    <w:rsid w:val="00C64E28"/>
    <w:rsid w:val="00C67613"/>
    <w:rsid w:val="00C708F9"/>
    <w:rsid w:val="00C715B1"/>
    <w:rsid w:val="00C834CA"/>
    <w:rsid w:val="00C85F40"/>
    <w:rsid w:val="00C92D2F"/>
    <w:rsid w:val="00C9693E"/>
    <w:rsid w:val="00CA3E76"/>
    <w:rsid w:val="00CA61D2"/>
    <w:rsid w:val="00CA72B0"/>
    <w:rsid w:val="00CB3659"/>
    <w:rsid w:val="00CB5066"/>
    <w:rsid w:val="00CB6C3B"/>
    <w:rsid w:val="00CB7558"/>
    <w:rsid w:val="00CB7ADC"/>
    <w:rsid w:val="00CC169D"/>
    <w:rsid w:val="00CC3E8E"/>
    <w:rsid w:val="00CC4EC1"/>
    <w:rsid w:val="00CC7A10"/>
    <w:rsid w:val="00CD0676"/>
    <w:rsid w:val="00CD19F0"/>
    <w:rsid w:val="00CD1CBC"/>
    <w:rsid w:val="00CD31F6"/>
    <w:rsid w:val="00CD563D"/>
    <w:rsid w:val="00CD62AA"/>
    <w:rsid w:val="00CD683D"/>
    <w:rsid w:val="00CD73B7"/>
    <w:rsid w:val="00CE5DCF"/>
    <w:rsid w:val="00CF01AF"/>
    <w:rsid w:val="00CF128B"/>
    <w:rsid w:val="00CF2CAE"/>
    <w:rsid w:val="00CF3579"/>
    <w:rsid w:val="00CF7AB5"/>
    <w:rsid w:val="00CF7C1A"/>
    <w:rsid w:val="00D01EF0"/>
    <w:rsid w:val="00D12746"/>
    <w:rsid w:val="00D15703"/>
    <w:rsid w:val="00D15728"/>
    <w:rsid w:val="00D160E4"/>
    <w:rsid w:val="00D17820"/>
    <w:rsid w:val="00D205A6"/>
    <w:rsid w:val="00D26B36"/>
    <w:rsid w:val="00D27F05"/>
    <w:rsid w:val="00D30A5A"/>
    <w:rsid w:val="00D32B0B"/>
    <w:rsid w:val="00D33080"/>
    <w:rsid w:val="00D34306"/>
    <w:rsid w:val="00D476EE"/>
    <w:rsid w:val="00D52899"/>
    <w:rsid w:val="00D5326D"/>
    <w:rsid w:val="00D54B14"/>
    <w:rsid w:val="00D65685"/>
    <w:rsid w:val="00D665F5"/>
    <w:rsid w:val="00D70285"/>
    <w:rsid w:val="00D704F2"/>
    <w:rsid w:val="00D7422A"/>
    <w:rsid w:val="00D7626E"/>
    <w:rsid w:val="00D83287"/>
    <w:rsid w:val="00D862F0"/>
    <w:rsid w:val="00D86E44"/>
    <w:rsid w:val="00DA2415"/>
    <w:rsid w:val="00DA5DDE"/>
    <w:rsid w:val="00DB3E65"/>
    <w:rsid w:val="00DC0BBD"/>
    <w:rsid w:val="00DC123D"/>
    <w:rsid w:val="00DC18E2"/>
    <w:rsid w:val="00DC21AC"/>
    <w:rsid w:val="00DC3767"/>
    <w:rsid w:val="00DC6940"/>
    <w:rsid w:val="00DC7C52"/>
    <w:rsid w:val="00DC7D17"/>
    <w:rsid w:val="00DD1C2E"/>
    <w:rsid w:val="00DD3656"/>
    <w:rsid w:val="00DE2B90"/>
    <w:rsid w:val="00DE3CDD"/>
    <w:rsid w:val="00DE3E40"/>
    <w:rsid w:val="00DE4605"/>
    <w:rsid w:val="00DE75A8"/>
    <w:rsid w:val="00DF2309"/>
    <w:rsid w:val="00DF37BC"/>
    <w:rsid w:val="00DF4AED"/>
    <w:rsid w:val="00E003AC"/>
    <w:rsid w:val="00E01907"/>
    <w:rsid w:val="00E020B3"/>
    <w:rsid w:val="00E16088"/>
    <w:rsid w:val="00E2094E"/>
    <w:rsid w:val="00E20CF4"/>
    <w:rsid w:val="00E23A48"/>
    <w:rsid w:val="00E27B6C"/>
    <w:rsid w:val="00E3034F"/>
    <w:rsid w:val="00E304C1"/>
    <w:rsid w:val="00E31215"/>
    <w:rsid w:val="00E312C4"/>
    <w:rsid w:val="00E34934"/>
    <w:rsid w:val="00E41AD2"/>
    <w:rsid w:val="00E42F99"/>
    <w:rsid w:val="00E46B9B"/>
    <w:rsid w:val="00E5644F"/>
    <w:rsid w:val="00E56E0A"/>
    <w:rsid w:val="00E60A0D"/>
    <w:rsid w:val="00E62391"/>
    <w:rsid w:val="00E636FE"/>
    <w:rsid w:val="00E64871"/>
    <w:rsid w:val="00E70055"/>
    <w:rsid w:val="00E722F0"/>
    <w:rsid w:val="00E72CFD"/>
    <w:rsid w:val="00E8014E"/>
    <w:rsid w:val="00E8130A"/>
    <w:rsid w:val="00E84EBC"/>
    <w:rsid w:val="00E86E2B"/>
    <w:rsid w:val="00E93194"/>
    <w:rsid w:val="00E96AB9"/>
    <w:rsid w:val="00EA648D"/>
    <w:rsid w:val="00EB06FF"/>
    <w:rsid w:val="00EB3A94"/>
    <w:rsid w:val="00EB4A15"/>
    <w:rsid w:val="00EB4B9D"/>
    <w:rsid w:val="00EB5788"/>
    <w:rsid w:val="00EB7079"/>
    <w:rsid w:val="00EC00D2"/>
    <w:rsid w:val="00EC351D"/>
    <w:rsid w:val="00EC3E72"/>
    <w:rsid w:val="00ED4087"/>
    <w:rsid w:val="00ED49DB"/>
    <w:rsid w:val="00EE387F"/>
    <w:rsid w:val="00EE7BB6"/>
    <w:rsid w:val="00EF16D2"/>
    <w:rsid w:val="00EF499B"/>
    <w:rsid w:val="00EF5798"/>
    <w:rsid w:val="00F07825"/>
    <w:rsid w:val="00F2047B"/>
    <w:rsid w:val="00F2164F"/>
    <w:rsid w:val="00F2187F"/>
    <w:rsid w:val="00F346BF"/>
    <w:rsid w:val="00F350F6"/>
    <w:rsid w:val="00F401E6"/>
    <w:rsid w:val="00F43FBC"/>
    <w:rsid w:val="00F441A6"/>
    <w:rsid w:val="00F50B97"/>
    <w:rsid w:val="00F61E1B"/>
    <w:rsid w:val="00F624DB"/>
    <w:rsid w:val="00F65EF7"/>
    <w:rsid w:val="00F6661A"/>
    <w:rsid w:val="00F73E2D"/>
    <w:rsid w:val="00F7561A"/>
    <w:rsid w:val="00F82484"/>
    <w:rsid w:val="00F84E22"/>
    <w:rsid w:val="00F84E46"/>
    <w:rsid w:val="00F87909"/>
    <w:rsid w:val="00F9381E"/>
    <w:rsid w:val="00FB1E87"/>
    <w:rsid w:val="00FC1253"/>
    <w:rsid w:val="00FC28D5"/>
    <w:rsid w:val="00FC2EEF"/>
    <w:rsid w:val="00FC3384"/>
    <w:rsid w:val="00FC586F"/>
    <w:rsid w:val="00FD0B70"/>
    <w:rsid w:val="00FD4906"/>
    <w:rsid w:val="00FD56EF"/>
    <w:rsid w:val="00FE383B"/>
    <w:rsid w:val="00FE3F57"/>
    <w:rsid w:val="00FE479D"/>
    <w:rsid w:val="00FEFBE7"/>
    <w:rsid w:val="00FF67C1"/>
    <w:rsid w:val="014F6A02"/>
    <w:rsid w:val="016101CF"/>
    <w:rsid w:val="018C1DE0"/>
    <w:rsid w:val="01AADC13"/>
    <w:rsid w:val="020394AE"/>
    <w:rsid w:val="022F7B3F"/>
    <w:rsid w:val="02340323"/>
    <w:rsid w:val="0244316E"/>
    <w:rsid w:val="025E1EE6"/>
    <w:rsid w:val="02788C0F"/>
    <w:rsid w:val="02CBFD46"/>
    <w:rsid w:val="02CFE67D"/>
    <w:rsid w:val="02F6C77F"/>
    <w:rsid w:val="032E7B07"/>
    <w:rsid w:val="0334294A"/>
    <w:rsid w:val="034292AF"/>
    <w:rsid w:val="03497865"/>
    <w:rsid w:val="037D5B86"/>
    <w:rsid w:val="038632C0"/>
    <w:rsid w:val="039B4BEE"/>
    <w:rsid w:val="03B300BD"/>
    <w:rsid w:val="040C76AB"/>
    <w:rsid w:val="04127AEC"/>
    <w:rsid w:val="0426ED8D"/>
    <w:rsid w:val="043949E1"/>
    <w:rsid w:val="044BCCBB"/>
    <w:rsid w:val="04697161"/>
    <w:rsid w:val="0563B59F"/>
    <w:rsid w:val="05CDF0F9"/>
    <w:rsid w:val="05E80E9B"/>
    <w:rsid w:val="06195862"/>
    <w:rsid w:val="06611A6E"/>
    <w:rsid w:val="06A596D9"/>
    <w:rsid w:val="06D08D52"/>
    <w:rsid w:val="06D0F7A1"/>
    <w:rsid w:val="06DF5B23"/>
    <w:rsid w:val="06F54173"/>
    <w:rsid w:val="07606B22"/>
    <w:rsid w:val="0762A524"/>
    <w:rsid w:val="077909CF"/>
    <w:rsid w:val="07F90C0E"/>
    <w:rsid w:val="080BD8AC"/>
    <w:rsid w:val="081CE988"/>
    <w:rsid w:val="082F9667"/>
    <w:rsid w:val="083AA610"/>
    <w:rsid w:val="0862E859"/>
    <w:rsid w:val="08A04DA0"/>
    <w:rsid w:val="08A6FD9E"/>
    <w:rsid w:val="093421B6"/>
    <w:rsid w:val="095C2E62"/>
    <w:rsid w:val="096143E6"/>
    <w:rsid w:val="0961867F"/>
    <w:rsid w:val="09674C69"/>
    <w:rsid w:val="0982D9CD"/>
    <w:rsid w:val="0A012850"/>
    <w:rsid w:val="0A5983A5"/>
    <w:rsid w:val="0A7394EB"/>
    <w:rsid w:val="0A974BEE"/>
    <w:rsid w:val="0AA0F4C2"/>
    <w:rsid w:val="0AA66151"/>
    <w:rsid w:val="0ABDED1B"/>
    <w:rsid w:val="0B416AF0"/>
    <w:rsid w:val="0B6042E3"/>
    <w:rsid w:val="0B6AE7F9"/>
    <w:rsid w:val="0B77F540"/>
    <w:rsid w:val="0B8ABEFB"/>
    <w:rsid w:val="0B9147F1"/>
    <w:rsid w:val="0BD783A5"/>
    <w:rsid w:val="0BE407CE"/>
    <w:rsid w:val="0C155571"/>
    <w:rsid w:val="0C1BBA0C"/>
    <w:rsid w:val="0C2F24E0"/>
    <w:rsid w:val="0C3CB33F"/>
    <w:rsid w:val="0C3DB326"/>
    <w:rsid w:val="0C9F9131"/>
    <w:rsid w:val="0CAA84F2"/>
    <w:rsid w:val="0CB1C511"/>
    <w:rsid w:val="0CEC990B"/>
    <w:rsid w:val="0D6B38C1"/>
    <w:rsid w:val="0D73E384"/>
    <w:rsid w:val="0D74F64C"/>
    <w:rsid w:val="0D7C290F"/>
    <w:rsid w:val="0D8DADAE"/>
    <w:rsid w:val="0D992094"/>
    <w:rsid w:val="0DA0559F"/>
    <w:rsid w:val="0DB3E372"/>
    <w:rsid w:val="0E2A3D00"/>
    <w:rsid w:val="0E85DB1B"/>
    <w:rsid w:val="0E918FDA"/>
    <w:rsid w:val="0ECF1A69"/>
    <w:rsid w:val="0EE57C5A"/>
    <w:rsid w:val="0FF0F0C5"/>
    <w:rsid w:val="0FF9F1F8"/>
    <w:rsid w:val="104EA37D"/>
    <w:rsid w:val="108DEAF2"/>
    <w:rsid w:val="109E238B"/>
    <w:rsid w:val="10AC970E"/>
    <w:rsid w:val="10AF812F"/>
    <w:rsid w:val="10CF942A"/>
    <w:rsid w:val="10E41D43"/>
    <w:rsid w:val="10F89C0E"/>
    <w:rsid w:val="112F4D6F"/>
    <w:rsid w:val="11CFBEC8"/>
    <w:rsid w:val="11D0D7E7"/>
    <w:rsid w:val="11DD0672"/>
    <w:rsid w:val="12221CFD"/>
    <w:rsid w:val="1233E25D"/>
    <w:rsid w:val="12721DAF"/>
    <w:rsid w:val="12732E07"/>
    <w:rsid w:val="12961070"/>
    <w:rsid w:val="12C3035E"/>
    <w:rsid w:val="1318A854"/>
    <w:rsid w:val="132AB5B3"/>
    <w:rsid w:val="132F1D70"/>
    <w:rsid w:val="1362F021"/>
    <w:rsid w:val="13869A57"/>
    <w:rsid w:val="13CFD231"/>
    <w:rsid w:val="140EEEBA"/>
    <w:rsid w:val="141BBE05"/>
    <w:rsid w:val="1428A8F6"/>
    <w:rsid w:val="145CC29E"/>
    <w:rsid w:val="14A81BA4"/>
    <w:rsid w:val="14F9CE1B"/>
    <w:rsid w:val="151FF0A7"/>
    <w:rsid w:val="1535B66C"/>
    <w:rsid w:val="15791B17"/>
    <w:rsid w:val="16612860"/>
    <w:rsid w:val="168145C0"/>
    <w:rsid w:val="16BA922F"/>
    <w:rsid w:val="16C08744"/>
    <w:rsid w:val="16F80C87"/>
    <w:rsid w:val="1707768D"/>
    <w:rsid w:val="17096E19"/>
    <w:rsid w:val="170CD775"/>
    <w:rsid w:val="17509B61"/>
    <w:rsid w:val="17579059"/>
    <w:rsid w:val="1758D621"/>
    <w:rsid w:val="175F72D8"/>
    <w:rsid w:val="1789AA95"/>
    <w:rsid w:val="1809DFB8"/>
    <w:rsid w:val="18178DD8"/>
    <w:rsid w:val="1824DF94"/>
    <w:rsid w:val="1836C2A5"/>
    <w:rsid w:val="18579169"/>
    <w:rsid w:val="185BF48A"/>
    <w:rsid w:val="186925F0"/>
    <w:rsid w:val="186D47BA"/>
    <w:rsid w:val="187D7703"/>
    <w:rsid w:val="18B440C0"/>
    <w:rsid w:val="18BEF415"/>
    <w:rsid w:val="18C04C7B"/>
    <w:rsid w:val="18E6728C"/>
    <w:rsid w:val="19079E5B"/>
    <w:rsid w:val="190DA7E8"/>
    <w:rsid w:val="1920B4BA"/>
    <w:rsid w:val="1976BDC6"/>
    <w:rsid w:val="1987B712"/>
    <w:rsid w:val="198C87BC"/>
    <w:rsid w:val="19A137FF"/>
    <w:rsid w:val="19A314CD"/>
    <w:rsid w:val="19BDB830"/>
    <w:rsid w:val="19EC19E7"/>
    <w:rsid w:val="1A0F383C"/>
    <w:rsid w:val="1A1417BA"/>
    <w:rsid w:val="1A363AFC"/>
    <w:rsid w:val="1A3DDA22"/>
    <w:rsid w:val="1A3E67BF"/>
    <w:rsid w:val="1A43F582"/>
    <w:rsid w:val="1A5A0819"/>
    <w:rsid w:val="1A6937D7"/>
    <w:rsid w:val="1A72A3FD"/>
    <w:rsid w:val="1A87691D"/>
    <w:rsid w:val="1AAB2A4F"/>
    <w:rsid w:val="1AC2A0A6"/>
    <w:rsid w:val="1B0B7183"/>
    <w:rsid w:val="1B1349F0"/>
    <w:rsid w:val="1B695F25"/>
    <w:rsid w:val="1B6F3845"/>
    <w:rsid w:val="1B7A846E"/>
    <w:rsid w:val="1BC1435E"/>
    <w:rsid w:val="1C10A023"/>
    <w:rsid w:val="1C35C156"/>
    <w:rsid w:val="1C598347"/>
    <w:rsid w:val="1C782FC1"/>
    <w:rsid w:val="1C85D535"/>
    <w:rsid w:val="1C8FE76E"/>
    <w:rsid w:val="1CA78875"/>
    <w:rsid w:val="1CF5439E"/>
    <w:rsid w:val="1D1E2580"/>
    <w:rsid w:val="1D26AD4D"/>
    <w:rsid w:val="1D2B8B08"/>
    <w:rsid w:val="1D40CC1A"/>
    <w:rsid w:val="1D431070"/>
    <w:rsid w:val="1D43D037"/>
    <w:rsid w:val="1D4416D6"/>
    <w:rsid w:val="1D761742"/>
    <w:rsid w:val="1DB5889C"/>
    <w:rsid w:val="1DBA5DDE"/>
    <w:rsid w:val="1DE695A6"/>
    <w:rsid w:val="1E162BF9"/>
    <w:rsid w:val="1E70F531"/>
    <w:rsid w:val="1EAB117D"/>
    <w:rsid w:val="1EC3590B"/>
    <w:rsid w:val="1ECBC1A1"/>
    <w:rsid w:val="1ECEAFC3"/>
    <w:rsid w:val="1EDECAEB"/>
    <w:rsid w:val="1EFDD067"/>
    <w:rsid w:val="1F0BA703"/>
    <w:rsid w:val="1F181AC7"/>
    <w:rsid w:val="1F1A906D"/>
    <w:rsid w:val="1F395213"/>
    <w:rsid w:val="1F4171F2"/>
    <w:rsid w:val="1F4BC17D"/>
    <w:rsid w:val="1F91924F"/>
    <w:rsid w:val="1FAB0AE1"/>
    <w:rsid w:val="1FBA7764"/>
    <w:rsid w:val="1FD558FC"/>
    <w:rsid w:val="1FF19F52"/>
    <w:rsid w:val="200DA078"/>
    <w:rsid w:val="2021E129"/>
    <w:rsid w:val="202FC0A3"/>
    <w:rsid w:val="206AA94E"/>
    <w:rsid w:val="206C8079"/>
    <w:rsid w:val="207967B3"/>
    <w:rsid w:val="207FEEF8"/>
    <w:rsid w:val="20DBB429"/>
    <w:rsid w:val="20F2D8FA"/>
    <w:rsid w:val="2108DB6C"/>
    <w:rsid w:val="2109F854"/>
    <w:rsid w:val="21177DE0"/>
    <w:rsid w:val="2119BB41"/>
    <w:rsid w:val="213EC635"/>
    <w:rsid w:val="21434707"/>
    <w:rsid w:val="217ECAAA"/>
    <w:rsid w:val="2188FAE3"/>
    <w:rsid w:val="21AF9C0B"/>
    <w:rsid w:val="21B67DCB"/>
    <w:rsid w:val="21BE2855"/>
    <w:rsid w:val="21C8B4C1"/>
    <w:rsid w:val="2222C710"/>
    <w:rsid w:val="222A1586"/>
    <w:rsid w:val="2274C53C"/>
    <w:rsid w:val="22767291"/>
    <w:rsid w:val="2278AFB5"/>
    <w:rsid w:val="22B16C4E"/>
    <w:rsid w:val="22EF180B"/>
    <w:rsid w:val="230446BE"/>
    <w:rsid w:val="231BBF50"/>
    <w:rsid w:val="232C98C5"/>
    <w:rsid w:val="232F9542"/>
    <w:rsid w:val="23DB7770"/>
    <w:rsid w:val="23E7E93A"/>
    <w:rsid w:val="23F7418A"/>
    <w:rsid w:val="23F8F9FF"/>
    <w:rsid w:val="242E75B3"/>
    <w:rsid w:val="243F686B"/>
    <w:rsid w:val="24505A8F"/>
    <w:rsid w:val="2452A6AE"/>
    <w:rsid w:val="246F7C78"/>
    <w:rsid w:val="24912E31"/>
    <w:rsid w:val="24922A50"/>
    <w:rsid w:val="2495E1CC"/>
    <w:rsid w:val="24AC020F"/>
    <w:rsid w:val="24C597FE"/>
    <w:rsid w:val="24D3CBE8"/>
    <w:rsid w:val="24EF8492"/>
    <w:rsid w:val="24F5AC9E"/>
    <w:rsid w:val="24FD67B7"/>
    <w:rsid w:val="251B0C3C"/>
    <w:rsid w:val="2547067C"/>
    <w:rsid w:val="2577DB99"/>
    <w:rsid w:val="25A10852"/>
    <w:rsid w:val="25B2B747"/>
    <w:rsid w:val="25C2FD56"/>
    <w:rsid w:val="25CE6F79"/>
    <w:rsid w:val="25E1E180"/>
    <w:rsid w:val="25F5E32D"/>
    <w:rsid w:val="2626DC8C"/>
    <w:rsid w:val="26335D4E"/>
    <w:rsid w:val="2634BF02"/>
    <w:rsid w:val="266806E5"/>
    <w:rsid w:val="267A3C8A"/>
    <w:rsid w:val="26806C3E"/>
    <w:rsid w:val="26886ADE"/>
    <w:rsid w:val="26903F49"/>
    <w:rsid w:val="26DDF5A5"/>
    <w:rsid w:val="26E7A2EA"/>
    <w:rsid w:val="273A8510"/>
    <w:rsid w:val="27432C53"/>
    <w:rsid w:val="27577C92"/>
    <w:rsid w:val="2787FB51"/>
    <w:rsid w:val="278DA7A7"/>
    <w:rsid w:val="27A858D0"/>
    <w:rsid w:val="27AA46F7"/>
    <w:rsid w:val="27B6A55B"/>
    <w:rsid w:val="27C42788"/>
    <w:rsid w:val="27F0769E"/>
    <w:rsid w:val="27FDF69D"/>
    <w:rsid w:val="281D2617"/>
    <w:rsid w:val="28591595"/>
    <w:rsid w:val="28701D63"/>
    <w:rsid w:val="28B1F596"/>
    <w:rsid w:val="28B3E96F"/>
    <w:rsid w:val="28B7727A"/>
    <w:rsid w:val="28C4C066"/>
    <w:rsid w:val="28E69771"/>
    <w:rsid w:val="28F563A5"/>
    <w:rsid w:val="291BA163"/>
    <w:rsid w:val="29562F40"/>
    <w:rsid w:val="29576146"/>
    <w:rsid w:val="297B9693"/>
    <w:rsid w:val="29CD4A37"/>
    <w:rsid w:val="29D2D281"/>
    <w:rsid w:val="29DD80B9"/>
    <w:rsid w:val="2A06D3C4"/>
    <w:rsid w:val="2A350AF0"/>
    <w:rsid w:val="2A369533"/>
    <w:rsid w:val="2A526FC3"/>
    <w:rsid w:val="2A6A993D"/>
    <w:rsid w:val="2A74B2BC"/>
    <w:rsid w:val="2A8E143C"/>
    <w:rsid w:val="2AAB03F8"/>
    <w:rsid w:val="2ADD9485"/>
    <w:rsid w:val="2AEAD0FD"/>
    <w:rsid w:val="2B1FD975"/>
    <w:rsid w:val="2B2FD215"/>
    <w:rsid w:val="2B465A35"/>
    <w:rsid w:val="2B5840A5"/>
    <w:rsid w:val="2B8243E6"/>
    <w:rsid w:val="2B90BC1C"/>
    <w:rsid w:val="2BAF50EA"/>
    <w:rsid w:val="2BCB5688"/>
    <w:rsid w:val="2BDD861D"/>
    <w:rsid w:val="2BF48845"/>
    <w:rsid w:val="2C441612"/>
    <w:rsid w:val="2C670E6B"/>
    <w:rsid w:val="2C73B05D"/>
    <w:rsid w:val="2D0AC531"/>
    <w:rsid w:val="2D0D3A40"/>
    <w:rsid w:val="2D3A1F57"/>
    <w:rsid w:val="2D589C78"/>
    <w:rsid w:val="2D75F70A"/>
    <w:rsid w:val="2DA6AEF0"/>
    <w:rsid w:val="2DB45034"/>
    <w:rsid w:val="2DBBD88A"/>
    <w:rsid w:val="2E363DAE"/>
    <w:rsid w:val="2E5B055C"/>
    <w:rsid w:val="2E7937EE"/>
    <w:rsid w:val="2E869BC1"/>
    <w:rsid w:val="2E870514"/>
    <w:rsid w:val="2EA35274"/>
    <w:rsid w:val="2EAE7B5E"/>
    <w:rsid w:val="2EE29D91"/>
    <w:rsid w:val="2EE7CF6C"/>
    <w:rsid w:val="2F037B9D"/>
    <w:rsid w:val="2F687E85"/>
    <w:rsid w:val="2F748FE1"/>
    <w:rsid w:val="2F7C6526"/>
    <w:rsid w:val="2FA36499"/>
    <w:rsid w:val="2FA54925"/>
    <w:rsid w:val="2FC21099"/>
    <w:rsid w:val="2FEFDF92"/>
    <w:rsid w:val="30006B65"/>
    <w:rsid w:val="300FB72D"/>
    <w:rsid w:val="301F965D"/>
    <w:rsid w:val="302BB1C8"/>
    <w:rsid w:val="30A19541"/>
    <w:rsid w:val="30AB5440"/>
    <w:rsid w:val="30D5EAC5"/>
    <w:rsid w:val="30E15D56"/>
    <w:rsid w:val="30FE5ED8"/>
    <w:rsid w:val="316CECAC"/>
    <w:rsid w:val="318EA92D"/>
    <w:rsid w:val="31A1C112"/>
    <w:rsid w:val="31C0B78C"/>
    <w:rsid w:val="31DA429E"/>
    <w:rsid w:val="31E8B647"/>
    <w:rsid w:val="3233A527"/>
    <w:rsid w:val="32A322C1"/>
    <w:rsid w:val="32CC2000"/>
    <w:rsid w:val="33015387"/>
    <w:rsid w:val="331FCBDE"/>
    <w:rsid w:val="3336FC50"/>
    <w:rsid w:val="33390B5D"/>
    <w:rsid w:val="3357A2C4"/>
    <w:rsid w:val="3368A406"/>
    <w:rsid w:val="337C2A9B"/>
    <w:rsid w:val="33C7CFF9"/>
    <w:rsid w:val="34016048"/>
    <w:rsid w:val="340B6415"/>
    <w:rsid w:val="342EA6ED"/>
    <w:rsid w:val="3440DF22"/>
    <w:rsid w:val="3490F7B8"/>
    <w:rsid w:val="34A0CBFE"/>
    <w:rsid w:val="34EAE11D"/>
    <w:rsid w:val="353380EF"/>
    <w:rsid w:val="35579D56"/>
    <w:rsid w:val="3573D04F"/>
    <w:rsid w:val="359CB3FC"/>
    <w:rsid w:val="35AD4FF5"/>
    <w:rsid w:val="36189127"/>
    <w:rsid w:val="362C5501"/>
    <w:rsid w:val="3658F7AA"/>
    <w:rsid w:val="366B5272"/>
    <w:rsid w:val="3678EE9C"/>
    <w:rsid w:val="368ED7E1"/>
    <w:rsid w:val="36A10ED7"/>
    <w:rsid w:val="36A93372"/>
    <w:rsid w:val="36B8281F"/>
    <w:rsid w:val="36D84C93"/>
    <w:rsid w:val="36F3765A"/>
    <w:rsid w:val="36F9AF94"/>
    <w:rsid w:val="370F8EE1"/>
    <w:rsid w:val="37265547"/>
    <w:rsid w:val="3761C234"/>
    <w:rsid w:val="379FF458"/>
    <w:rsid w:val="3847EE1A"/>
    <w:rsid w:val="385BD44B"/>
    <w:rsid w:val="3867C538"/>
    <w:rsid w:val="3881DE6D"/>
    <w:rsid w:val="38C0FAEA"/>
    <w:rsid w:val="38D50785"/>
    <w:rsid w:val="3917E3B4"/>
    <w:rsid w:val="39232AE1"/>
    <w:rsid w:val="392F77CF"/>
    <w:rsid w:val="3958E03C"/>
    <w:rsid w:val="399E7143"/>
    <w:rsid w:val="39EF0063"/>
    <w:rsid w:val="3A023B1C"/>
    <w:rsid w:val="3A4CE6FF"/>
    <w:rsid w:val="3A9ED1F2"/>
    <w:rsid w:val="3AD03132"/>
    <w:rsid w:val="3AD0954D"/>
    <w:rsid w:val="3AD30E33"/>
    <w:rsid w:val="3AE8D28B"/>
    <w:rsid w:val="3B2A3C7D"/>
    <w:rsid w:val="3B62B8DA"/>
    <w:rsid w:val="3B690DCE"/>
    <w:rsid w:val="3B6D6F0C"/>
    <w:rsid w:val="3B722202"/>
    <w:rsid w:val="3BA898D7"/>
    <w:rsid w:val="3BBDFADF"/>
    <w:rsid w:val="3BD0E4A5"/>
    <w:rsid w:val="3C1432EB"/>
    <w:rsid w:val="3C3727CD"/>
    <w:rsid w:val="3C38FE8A"/>
    <w:rsid w:val="3C3BAF51"/>
    <w:rsid w:val="3C6417E2"/>
    <w:rsid w:val="3C711DE9"/>
    <w:rsid w:val="3CB38077"/>
    <w:rsid w:val="3CBD6994"/>
    <w:rsid w:val="3CC1E133"/>
    <w:rsid w:val="3D19E95C"/>
    <w:rsid w:val="3D4AF84D"/>
    <w:rsid w:val="3D652AE2"/>
    <w:rsid w:val="3D94F822"/>
    <w:rsid w:val="3E3F8379"/>
    <w:rsid w:val="3E571DE6"/>
    <w:rsid w:val="3E5811F6"/>
    <w:rsid w:val="3E595DAA"/>
    <w:rsid w:val="3E72A527"/>
    <w:rsid w:val="3F0EE34B"/>
    <w:rsid w:val="3F26DC35"/>
    <w:rsid w:val="3F42F353"/>
    <w:rsid w:val="3F55A032"/>
    <w:rsid w:val="3F5AEF57"/>
    <w:rsid w:val="3F6001A8"/>
    <w:rsid w:val="3FBB248D"/>
    <w:rsid w:val="3FE0E819"/>
    <w:rsid w:val="3FE6DF7A"/>
    <w:rsid w:val="3FFEF477"/>
    <w:rsid w:val="4011F375"/>
    <w:rsid w:val="40431E33"/>
    <w:rsid w:val="405CD882"/>
    <w:rsid w:val="408089AD"/>
    <w:rsid w:val="40833615"/>
    <w:rsid w:val="4096D144"/>
    <w:rsid w:val="40C94C27"/>
    <w:rsid w:val="40CA2273"/>
    <w:rsid w:val="40CD1DA2"/>
    <w:rsid w:val="40EAE403"/>
    <w:rsid w:val="40F6CB85"/>
    <w:rsid w:val="41342F68"/>
    <w:rsid w:val="413AFBE7"/>
    <w:rsid w:val="4142E602"/>
    <w:rsid w:val="4180A6BC"/>
    <w:rsid w:val="4194B2F5"/>
    <w:rsid w:val="41D007F3"/>
    <w:rsid w:val="41DDD634"/>
    <w:rsid w:val="420097FC"/>
    <w:rsid w:val="4204B496"/>
    <w:rsid w:val="4207A7D4"/>
    <w:rsid w:val="42271C0F"/>
    <w:rsid w:val="4245834B"/>
    <w:rsid w:val="4250E043"/>
    <w:rsid w:val="427DD118"/>
    <w:rsid w:val="428DFE9F"/>
    <w:rsid w:val="42BB1139"/>
    <w:rsid w:val="42C94188"/>
    <w:rsid w:val="42CF96EB"/>
    <w:rsid w:val="4369BB69"/>
    <w:rsid w:val="43776F4C"/>
    <w:rsid w:val="43974041"/>
    <w:rsid w:val="439CBD49"/>
    <w:rsid w:val="43E3F6D0"/>
    <w:rsid w:val="441E2B22"/>
    <w:rsid w:val="443AE88D"/>
    <w:rsid w:val="444239B2"/>
    <w:rsid w:val="4445CD6F"/>
    <w:rsid w:val="44567F50"/>
    <w:rsid w:val="4469102F"/>
    <w:rsid w:val="4499BF55"/>
    <w:rsid w:val="44A46EB1"/>
    <w:rsid w:val="44BCC7F7"/>
    <w:rsid w:val="44FFA0CB"/>
    <w:rsid w:val="450D2453"/>
    <w:rsid w:val="450E9FC5"/>
    <w:rsid w:val="45187F92"/>
    <w:rsid w:val="4524DEE0"/>
    <w:rsid w:val="45348056"/>
    <w:rsid w:val="45357E6A"/>
    <w:rsid w:val="455E28B4"/>
    <w:rsid w:val="45762B16"/>
    <w:rsid w:val="458B20F9"/>
    <w:rsid w:val="45940E1F"/>
    <w:rsid w:val="45947AD0"/>
    <w:rsid w:val="45AFD619"/>
    <w:rsid w:val="45BB577E"/>
    <w:rsid w:val="45DBA8BC"/>
    <w:rsid w:val="4633A94A"/>
    <w:rsid w:val="46660972"/>
    <w:rsid w:val="46A201AE"/>
    <w:rsid w:val="46EF3E5D"/>
    <w:rsid w:val="47007FA6"/>
    <w:rsid w:val="472DB200"/>
    <w:rsid w:val="4730B98E"/>
    <w:rsid w:val="473A5DC5"/>
    <w:rsid w:val="473BCE42"/>
    <w:rsid w:val="478E2041"/>
    <w:rsid w:val="48228443"/>
    <w:rsid w:val="4885FA10"/>
    <w:rsid w:val="4890AF76"/>
    <w:rsid w:val="489E3916"/>
    <w:rsid w:val="48CAEAE8"/>
    <w:rsid w:val="48CC89EF"/>
    <w:rsid w:val="48E3FF63"/>
    <w:rsid w:val="48F5F479"/>
    <w:rsid w:val="49484997"/>
    <w:rsid w:val="499BF763"/>
    <w:rsid w:val="49B04961"/>
    <w:rsid w:val="49BEE226"/>
    <w:rsid w:val="49CA790C"/>
    <w:rsid w:val="4A2F3BFA"/>
    <w:rsid w:val="4A2FE1A4"/>
    <w:rsid w:val="4A34A8F0"/>
    <w:rsid w:val="4A3B5579"/>
    <w:rsid w:val="4A5E709E"/>
    <w:rsid w:val="4A701DEB"/>
    <w:rsid w:val="4AC05FA8"/>
    <w:rsid w:val="4AD15B7F"/>
    <w:rsid w:val="4ADC7D99"/>
    <w:rsid w:val="4B2D2B3F"/>
    <w:rsid w:val="4B367368"/>
    <w:rsid w:val="4B7044C8"/>
    <w:rsid w:val="4BAD2F9D"/>
    <w:rsid w:val="4BD9501B"/>
    <w:rsid w:val="4BFB1015"/>
    <w:rsid w:val="4C249A68"/>
    <w:rsid w:val="4C3815EF"/>
    <w:rsid w:val="4C45474B"/>
    <w:rsid w:val="4C5715AB"/>
    <w:rsid w:val="4C5F2522"/>
    <w:rsid w:val="4C892610"/>
    <w:rsid w:val="4CCA5EBA"/>
    <w:rsid w:val="4CCBE109"/>
    <w:rsid w:val="4CE1D9A5"/>
    <w:rsid w:val="4CE25A8C"/>
    <w:rsid w:val="4D030258"/>
    <w:rsid w:val="4D1BCC30"/>
    <w:rsid w:val="4D4A7440"/>
    <w:rsid w:val="4DD34D76"/>
    <w:rsid w:val="4E4A8798"/>
    <w:rsid w:val="4E789D6A"/>
    <w:rsid w:val="4E8D5E0A"/>
    <w:rsid w:val="4EA48E9D"/>
    <w:rsid w:val="4ED07012"/>
    <w:rsid w:val="4EFAEBCA"/>
    <w:rsid w:val="4EFD8E4A"/>
    <w:rsid w:val="4F040BEA"/>
    <w:rsid w:val="4F1F9AD6"/>
    <w:rsid w:val="4F20E750"/>
    <w:rsid w:val="4F2C0495"/>
    <w:rsid w:val="4F314935"/>
    <w:rsid w:val="4F38853E"/>
    <w:rsid w:val="4F764621"/>
    <w:rsid w:val="4FB2A3C2"/>
    <w:rsid w:val="4FB38A39"/>
    <w:rsid w:val="4FB64FC2"/>
    <w:rsid w:val="4FCA6C4E"/>
    <w:rsid w:val="4FDF06A8"/>
    <w:rsid w:val="4FF0DF50"/>
    <w:rsid w:val="50377C7D"/>
    <w:rsid w:val="504CDA10"/>
    <w:rsid w:val="50661683"/>
    <w:rsid w:val="508298FE"/>
    <w:rsid w:val="50958A1A"/>
    <w:rsid w:val="50D46A0E"/>
    <w:rsid w:val="50F65895"/>
    <w:rsid w:val="510946D1"/>
    <w:rsid w:val="5130DC87"/>
    <w:rsid w:val="5187C7B0"/>
    <w:rsid w:val="51A9BE4B"/>
    <w:rsid w:val="51E8AA71"/>
    <w:rsid w:val="51FC7EFC"/>
    <w:rsid w:val="52001C11"/>
    <w:rsid w:val="52026137"/>
    <w:rsid w:val="5206EEED"/>
    <w:rsid w:val="52120BFB"/>
    <w:rsid w:val="521365FC"/>
    <w:rsid w:val="525D2C95"/>
    <w:rsid w:val="5288376A"/>
    <w:rsid w:val="52938094"/>
    <w:rsid w:val="5294F383"/>
    <w:rsid w:val="529576E3"/>
    <w:rsid w:val="52CDA0E9"/>
    <w:rsid w:val="52CFA9CE"/>
    <w:rsid w:val="52D90F65"/>
    <w:rsid w:val="53193B87"/>
    <w:rsid w:val="5320FDA4"/>
    <w:rsid w:val="53249619"/>
    <w:rsid w:val="532F77FC"/>
    <w:rsid w:val="536F4557"/>
    <w:rsid w:val="53CF7D34"/>
    <w:rsid w:val="54230D3D"/>
    <w:rsid w:val="542801E3"/>
    <w:rsid w:val="54366E04"/>
    <w:rsid w:val="546BD179"/>
    <w:rsid w:val="5482FD1E"/>
    <w:rsid w:val="5488C65C"/>
    <w:rsid w:val="55231661"/>
    <w:rsid w:val="55465177"/>
    <w:rsid w:val="554C572A"/>
    <w:rsid w:val="5577881D"/>
    <w:rsid w:val="5586B20B"/>
    <w:rsid w:val="558786A9"/>
    <w:rsid w:val="55A8CD6A"/>
    <w:rsid w:val="55B43E6D"/>
    <w:rsid w:val="55BDE2A8"/>
    <w:rsid w:val="5601F061"/>
    <w:rsid w:val="56124A08"/>
    <w:rsid w:val="56140E26"/>
    <w:rsid w:val="5618F119"/>
    <w:rsid w:val="56376709"/>
    <w:rsid w:val="5669E1CD"/>
    <w:rsid w:val="56A2F337"/>
    <w:rsid w:val="56A5F466"/>
    <w:rsid w:val="5725B0C3"/>
    <w:rsid w:val="574CD2A0"/>
    <w:rsid w:val="576E0EC6"/>
    <w:rsid w:val="57909A9F"/>
    <w:rsid w:val="57AF60A4"/>
    <w:rsid w:val="581501E2"/>
    <w:rsid w:val="585A1EA4"/>
    <w:rsid w:val="5888E1D5"/>
    <w:rsid w:val="58897CFE"/>
    <w:rsid w:val="58CB864E"/>
    <w:rsid w:val="59012CF3"/>
    <w:rsid w:val="597C5486"/>
    <w:rsid w:val="59B65DB8"/>
    <w:rsid w:val="59BF0EB7"/>
    <w:rsid w:val="59C85D03"/>
    <w:rsid w:val="59E1C89A"/>
    <w:rsid w:val="5A254D5F"/>
    <w:rsid w:val="5A48BF2C"/>
    <w:rsid w:val="5A8A82CF"/>
    <w:rsid w:val="5AA6C895"/>
    <w:rsid w:val="5AA851C6"/>
    <w:rsid w:val="5AFA7641"/>
    <w:rsid w:val="5B09302D"/>
    <w:rsid w:val="5B5966FC"/>
    <w:rsid w:val="5B5CFDDD"/>
    <w:rsid w:val="5B7F02ED"/>
    <w:rsid w:val="5B839A4F"/>
    <w:rsid w:val="5BF7847D"/>
    <w:rsid w:val="5C0F16FD"/>
    <w:rsid w:val="5C2CF416"/>
    <w:rsid w:val="5C3EA79C"/>
    <w:rsid w:val="5C4DD62B"/>
    <w:rsid w:val="5C5AC51D"/>
    <w:rsid w:val="5C6CE476"/>
    <w:rsid w:val="5C754370"/>
    <w:rsid w:val="5C7EDEA5"/>
    <w:rsid w:val="5C9E7864"/>
    <w:rsid w:val="5CAD9C54"/>
    <w:rsid w:val="5CAF888F"/>
    <w:rsid w:val="5D05E5B0"/>
    <w:rsid w:val="5D08274B"/>
    <w:rsid w:val="5D5839B5"/>
    <w:rsid w:val="5D5A5945"/>
    <w:rsid w:val="5D6A63AC"/>
    <w:rsid w:val="5DAFF8B9"/>
    <w:rsid w:val="5DB6D4AF"/>
    <w:rsid w:val="5DC41160"/>
    <w:rsid w:val="5DD4DC8E"/>
    <w:rsid w:val="5DDA1817"/>
    <w:rsid w:val="5E18A48D"/>
    <w:rsid w:val="5E670699"/>
    <w:rsid w:val="5E805D66"/>
    <w:rsid w:val="5EB36630"/>
    <w:rsid w:val="5EB5D393"/>
    <w:rsid w:val="5EF199A3"/>
    <w:rsid w:val="5F1B37A2"/>
    <w:rsid w:val="5F1EE63D"/>
    <w:rsid w:val="5F3CD907"/>
    <w:rsid w:val="5F457AA2"/>
    <w:rsid w:val="5F484D28"/>
    <w:rsid w:val="5F4E33D4"/>
    <w:rsid w:val="5F50CDA9"/>
    <w:rsid w:val="5F679B15"/>
    <w:rsid w:val="5F82B6DC"/>
    <w:rsid w:val="5F871DA9"/>
    <w:rsid w:val="5FBFA115"/>
    <w:rsid w:val="5FDA161C"/>
    <w:rsid w:val="5FF0AF5A"/>
    <w:rsid w:val="60212C98"/>
    <w:rsid w:val="6023B8D5"/>
    <w:rsid w:val="603ADBE2"/>
    <w:rsid w:val="604E2EDB"/>
    <w:rsid w:val="605D5D79"/>
    <w:rsid w:val="60CD422E"/>
    <w:rsid w:val="612373F4"/>
    <w:rsid w:val="6128A911"/>
    <w:rsid w:val="612D4B3D"/>
    <w:rsid w:val="612D6658"/>
    <w:rsid w:val="6148B7BC"/>
    <w:rsid w:val="61617666"/>
    <w:rsid w:val="61DBEA06"/>
    <w:rsid w:val="61FD525A"/>
    <w:rsid w:val="62142762"/>
    <w:rsid w:val="62215A14"/>
    <w:rsid w:val="62785528"/>
    <w:rsid w:val="62EC15B0"/>
    <w:rsid w:val="62EFC67E"/>
    <w:rsid w:val="630D2F81"/>
    <w:rsid w:val="630F1934"/>
    <w:rsid w:val="632173C0"/>
    <w:rsid w:val="632D1658"/>
    <w:rsid w:val="6336407E"/>
    <w:rsid w:val="6353B676"/>
    <w:rsid w:val="639FE560"/>
    <w:rsid w:val="63A355D0"/>
    <w:rsid w:val="63BF22B3"/>
    <w:rsid w:val="63CED4A0"/>
    <w:rsid w:val="641224B2"/>
    <w:rsid w:val="64186564"/>
    <w:rsid w:val="64406928"/>
    <w:rsid w:val="6457ED88"/>
    <w:rsid w:val="6469A535"/>
    <w:rsid w:val="6470D594"/>
    <w:rsid w:val="64ADB849"/>
    <w:rsid w:val="64D2291D"/>
    <w:rsid w:val="64DCE8E7"/>
    <w:rsid w:val="6511EB3D"/>
    <w:rsid w:val="652EE186"/>
    <w:rsid w:val="657FC3EB"/>
    <w:rsid w:val="65A569B8"/>
    <w:rsid w:val="66215234"/>
    <w:rsid w:val="663731C3"/>
    <w:rsid w:val="664BB7EC"/>
    <w:rsid w:val="66573517"/>
    <w:rsid w:val="665EA376"/>
    <w:rsid w:val="668A777F"/>
    <w:rsid w:val="66A49297"/>
    <w:rsid w:val="66B0E29F"/>
    <w:rsid w:val="66D3B166"/>
    <w:rsid w:val="66D6A83D"/>
    <w:rsid w:val="67339691"/>
    <w:rsid w:val="675AD794"/>
    <w:rsid w:val="675ECD52"/>
    <w:rsid w:val="677ABDC8"/>
    <w:rsid w:val="67ACD9F4"/>
    <w:rsid w:val="67CE7BFB"/>
    <w:rsid w:val="67E88E2A"/>
    <w:rsid w:val="68141DBE"/>
    <w:rsid w:val="681A6674"/>
    <w:rsid w:val="681ED96A"/>
    <w:rsid w:val="68281EF5"/>
    <w:rsid w:val="68909B98"/>
    <w:rsid w:val="68A09CE7"/>
    <w:rsid w:val="68B3A120"/>
    <w:rsid w:val="68C7F0D7"/>
    <w:rsid w:val="68CA4DB0"/>
    <w:rsid w:val="68CA831D"/>
    <w:rsid w:val="68E48F1E"/>
    <w:rsid w:val="68E92C8E"/>
    <w:rsid w:val="68F8861A"/>
    <w:rsid w:val="693861E3"/>
    <w:rsid w:val="6953CDF5"/>
    <w:rsid w:val="696802CB"/>
    <w:rsid w:val="69B29D52"/>
    <w:rsid w:val="69E4042D"/>
    <w:rsid w:val="69FE182F"/>
    <w:rsid w:val="6A0A1E6F"/>
    <w:rsid w:val="6A0AF5FB"/>
    <w:rsid w:val="6A108DB1"/>
    <w:rsid w:val="6A1FAD13"/>
    <w:rsid w:val="6A20B777"/>
    <w:rsid w:val="6A3B7129"/>
    <w:rsid w:val="6A5C9966"/>
    <w:rsid w:val="6A604EA1"/>
    <w:rsid w:val="6A65D7EE"/>
    <w:rsid w:val="6A8AD535"/>
    <w:rsid w:val="6ABE8635"/>
    <w:rsid w:val="6AC2BA4C"/>
    <w:rsid w:val="6AE60FB4"/>
    <w:rsid w:val="6AECD222"/>
    <w:rsid w:val="6B542578"/>
    <w:rsid w:val="6B64A64D"/>
    <w:rsid w:val="6B7D3B4F"/>
    <w:rsid w:val="6B8E06E4"/>
    <w:rsid w:val="6B90396E"/>
    <w:rsid w:val="6B99E739"/>
    <w:rsid w:val="6BADA8E2"/>
    <w:rsid w:val="6BEE263F"/>
    <w:rsid w:val="6BF0FF87"/>
    <w:rsid w:val="6C68226B"/>
    <w:rsid w:val="6C6CDC98"/>
    <w:rsid w:val="6CC9147D"/>
    <w:rsid w:val="6CDD6787"/>
    <w:rsid w:val="6CEF99B7"/>
    <w:rsid w:val="6D138247"/>
    <w:rsid w:val="6D20DC34"/>
    <w:rsid w:val="6D3E4869"/>
    <w:rsid w:val="6D5AC25C"/>
    <w:rsid w:val="6D6C8F6F"/>
    <w:rsid w:val="6DA523D5"/>
    <w:rsid w:val="6DE17BCE"/>
    <w:rsid w:val="6DFD1C7F"/>
    <w:rsid w:val="6E058388"/>
    <w:rsid w:val="6E14995C"/>
    <w:rsid w:val="6E3BE1BB"/>
    <w:rsid w:val="6E46AD47"/>
    <w:rsid w:val="6E92E9FB"/>
    <w:rsid w:val="6E935B93"/>
    <w:rsid w:val="6EC3EF4B"/>
    <w:rsid w:val="6ECD463C"/>
    <w:rsid w:val="6EF0CD38"/>
    <w:rsid w:val="700CEEAF"/>
    <w:rsid w:val="7021AC6B"/>
    <w:rsid w:val="706515DD"/>
    <w:rsid w:val="70676187"/>
    <w:rsid w:val="7070DC79"/>
    <w:rsid w:val="707D79E4"/>
    <w:rsid w:val="708BB71D"/>
    <w:rsid w:val="7091482B"/>
    <w:rsid w:val="7092F055"/>
    <w:rsid w:val="70B1D656"/>
    <w:rsid w:val="70BC8894"/>
    <w:rsid w:val="70C5A4F0"/>
    <w:rsid w:val="70E3CCE2"/>
    <w:rsid w:val="71357ACD"/>
    <w:rsid w:val="71426978"/>
    <w:rsid w:val="7148C123"/>
    <w:rsid w:val="718F7070"/>
    <w:rsid w:val="71920C88"/>
    <w:rsid w:val="71A57A06"/>
    <w:rsid w:val="71C2A895"/>
    <w:rsid w:val="71D85387"/>
    <w:rsid w:val="71DA173C"/>
    <w:rsid w:val="71DB0A17"/>
    <w:rsid w:val="722FC16E"/>
    <w:rsid w:val="723336E4"/>
    <w:rsid w:val="72A25DCD"/>
    <w:rsid w:val="72D098EC"/>
    <w:rsid w:val="72D212A3"/>
    <w:rsid w:val="7337F3D0"/>
    <w:rsid w:val="734C7CF7"/>
    <w:rsid w:val="735A43E3"/>
    <w:rsid w:val="735B7B80"/>
    <w:rsid w:val="736C0CFD"/>
    <w:rsid w:val="736DA5B5"/>
    <w:rsid w:val="73C40BA6"/>
    <w:rsid w:val="73F068CC"/>
    <w:rsid w:val="73FD3EDF"/>
    <w:rsid w:val="741A5EE1"/>
    <w:rsid w:val="7420AD94"/>
    <w:rsid w:val="745B8CA9"/>
    <w:rsid w:val="747A1EBA"/>
    <w:rsid w:val="751312CC"/>
    <w:rsid w:val="751AAF09"/>
    <w:rsid w:val="7522EAC7"/>
    <w:rsid w:val="7562A181"/>
    <w:rsid w:val="75851494"/>
    <w:rsid w:val="75CCF01A"/>
    <w:rsid w:val="7607DFC0"/>
    <w:rsid w:val="761BFDBB"/>
    <w:rsid w:val="763889CC"/>
    <w:rsid w:val="7664A630"/>
    <w:rsid w:val="769BCB40"/>
    <w:rsid w:val="76F744AB"/>
    <w:rsid w:val="76FCD184"/>
    <w:rsid w:val="775CC42E"/>
    <w:rsid w:val="77A9DB91"/>
    <w:rsid w:val="77B1C2E7"/>
    <w:rsid w:val="77B3A385"/>
    <w:rsid w:val="77E2D434"/>
    <w:rsid w:val="77E58997"/>
    <w:rsid w:val="77E6F2A3"/>
    <w:rsid w:val="780F1D29"/>
    <w:rsid w:val="781AC615"/>
    <w:rsid w:val="784F196C"/>
    <w:rsid w:val="787DB80B"/>
    <w:rsid w:val="7886C4D8"/>
    <w:rsid w:val="7893150C"/>
    <w:rsid w:val="78A1628D"/>
    <w:rsid w:val="78B38DC8"/>
    <w:rsid w:val="78C8E140"/>
    <w:rsid w:val="7930479E"/>
    <w:rsid w:val="7949E882"/>
    <w:rsid w:val="794A1EA7"/>
    <w:rsid w:val="795359BD"/>
    <w:rsid w:val="798159F8"/>
    <w:rsid w:val="79835236"/>
    <w:rsid w:val="798B3BB0"/>
    <w:rsid w:val="798B3FBC"/>
    <w:rsid w:val="79C26916"/>
    <w:rsid w:val="79F1A823"/>
    <w:rsid w:val="79FE438C"/>
    <w:rsid w:val="7A15F940"/>
    <w:rsid w:val="7A42D10C"/>
    <w:rsid w:val="7A5E69DB"/>
    <w:rsid w:val="7A69C575"/>
    <w:rsid w:val="7A7D8BF0"/>
    <w:rsid w:val="7AA69B5A"/>
    <w:rsid w:val="7AC61456"/>
    <w:rsid w:val="7B384AF4"/>
    <w:rsid w:val="7B947ACA"/>
    <w:rsid w:val="7B9FA121"/>
    <w:rsid w:val="7BD9A206"/>
    <w:rsid w:val="7C074885"/>
    <w:rsid w:val="7C1C2C3A"/>
    <w:rsid w:val="7C270B14"/>
    <w:rsid w:val="7C3F26B1"/>
    <w:rsid w:val="7C5E0FEE"/>
    <w:rsid w:val="7C6FD24C"/>
    <w:rsid w:val="7CA92F55"/>
    <w:rsid w:val="7CB9E4C1"/>
    <w:rsid w:val="7CE3A9E8"/>
    <w:rsid w:val="7D1B4804"/>
    <w:rsid w:val="7D1D268C"/>
    <w:rsid w:val="7D208E7D"/>
    <w:rsid w:val="7D597750"/>
    <w:rsid w:val="7D6D2DF2"/>
    <w:rsid w:val="7D759B69"/>
    <w:rsid w:val="7D799ADA"/>
    <w:rsid w:val="7D8E6B30"/>
    <w:rsid w:val="7DD99B5C"/>
    <w:rsid w:val="7E0ABA37"/>
    <w:rsid w:val="7E5DEFD6"/>
    <w:rsid w:val="7EA5D916"/>
    <w:rsid w:val="7F207B57"/>
    <w:rsid w:val="7F79A8F4"/>
    <w:rsid w:val="7F7BAFD3"/>
    <w:rsid w:val="7FB6B49A"/>
    <w:rsid w:val="7FBCD4CC"/>
    <w:rsid w:val="7FFF5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0929F"/>
  <w15:chartTrackingRefBased/>
  <w15:docId w15:val="{EE677701-3892-4E0A-9D0E-32787A065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34D"/>
    <w:rPr>
      <w:rFonts w:ascii="Times New Roman" w:hAnsi="Times New Roman"/>
      <w:sz w:val="20"/>
    </w:rPr>
  </w:style>
  <w:style w:type="paragraph" w:styleId="Heading1">
    <w:name w:val="heading 1"/>
    <w:basedOn w:val="Normal"/>
    <w:next w:val="Normal"/>
    <w:link w:val="Heading1Char"/>
    <w:uiPriority w:val="9"/>
    <w:qFormat/>
    <w:rsid w:val="008A26A2"/>
    <w:pPr>
      <w:keepNext/>
      <w:keepLines/>
      <w:spacing w:before="240" w:after="0"/>
      <w:outlineLvl w:val="0"/>
    </w:pPr>
    <w:rPr>
      <w:rFonts w:eastAsiaTheme="majorEastAsia" w:cstheme="majorBidi"/>
      <w:b/>
      <w:color w:val="1F4E79" w:themeColor="accent1" w:themeShade="80"/>
      <w:sz w:val="24"/>
      <w:szCs w:val="32"/>
    </w:rPr>
  </w:style>
  <w:style w:type="paragraph" w:styleId="Heading2">
    <w:name w:val="heading 2"/>
    <w:basedOn w:val="Normal"/>
    <w:next w:val="Normal"/>
    <w:link w:val="Heading2Char"/>
    <w:uiPriority w:val="9"/>
    <w:unhideWhenUsed/>
    <w:qFormat/>
    <w:rsid w:val="008A26A2"/>
    <w:pPr>
      <w:keepNext/>
      <w:keepLines/>
      <w:spacing w:before="40" w:after="0"/>
      <w:outlineLvl w:val="1"/>
    </w:pPr>
    <w:rPr>
      <w:rFonts w:eastAsiaTheme="majorEastAsia" w:cstheme="majorBidi"/>
      <w:b/>
      <w:color w:val="1F4E79" w:themeColor="accent1" w:themeShade="80"/>
      <w:szCs w:val="26"/>
    </w:rPr>
  </w:style>
  <w:style w:type="paragraph" w:styleId="Heading3">
    <w:name w:val="heading 3"/>
    <w:basedOn w:val="Normal"/>
    <w:next w:val="Normal"/>
    <w:link w:val="Heading3Char"/>
    <w:uiPriority w:val="9"/>
    <w:unhideWhenUsed/>
    <w:qFormat/>
    <w:rsid w:val="008A26A2"/>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65534D"/>
  </w:style>
  <w:style w:type="character" w:customStyle="1" w:styleId="eop">
    <w:name w:val="eop"/>
    <w:basedOn w:val="DefaultParagraphFont"/>
    <w:rsid w:val="0065534D"/>
  </w:style>
  <w:style w:type="character" w:styleId="Hyperlink">
    <w:name w:val="Hyperlink"/>
    <w:basedOn w:val="DefaultParagraphFont"/>
    <w:uiPriority w:val="99"/>
    <w:unhideWhenUsed/>
    <w:rsid w:val="0065534D"/>
    <w:rPr>
      <w:color w:val="0563C1" w:themeColor="hyperlink"/>
      <w:u w:val="single"/>
    </w:rPr>
  </w:style>
  <w:style w:type="table" w:styleId="LightGrid">
    <w:name w:val="Light Grid"/>
    <w:basedOn w:val="TableNormal"/>
    <w:uiPriority w:val="62"/>
    <w:semiHidden/>
    <w:unhideWhenUsed/>
    <w:rsid w:val="006553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65534D"/>
    <w:rPr>
      <w:sz w:val="16"/>
      <w:szCs w:val="16"/>
    </w:rPr>
  </w:style>
  <w:style w:type="paragraph" w:styleId="CommentText">
    <w:name w:val="annotation text"/>
    <w:basedOn w:val="Normal"/>
    <w:link w:val="CommentTextChar"/>
    <w:uiPriority w:val="99"/>
    <w:unhideWhenUsed/>
    <w:rsid w:val="0065534D"/>
    <w:pPr>
      <w:spacing w:line="240" w:lineRule="auto"/>
    </w:pPr>
    <w:rPr>
      <w:szCs w:val="20"/>
    </w:rPr>
  </w:style>
  <w:style w:type="character" w:customStyle="1" w:styleId="CommentTextChar">
    <w:name w:val="Comment Text Char"/>
    <w:basedOn w:val="DefaultParagraphFont"/>
    <w:link w:val="CommentText"/>
    <w:uiPriority w:val="99"/>
    <w:rsid w:val="0065534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5534D"/>
    <w:rPr>
      <w:b/>
      <w:bCs/>
    </w:rPr>
  </w:style>
  <w:style w:type="character" w:customStyle="1" w:styleId="CommentSubjectChar">
    <w:name w:val="Comment Subject Char"/>
    <w:basedOn w:val="CommentTextChar"/>
    <w:link w:val="CommentSubject"/>
    <w:uiPriority w:val="99"/>
    <w:semiHidden/>
    <w:rsid w:val="0065534D"/>
    <w:rPr>
      <w:rFonts w:ascii="Times New Roman" w:hAnsi="Times New Roman"/>
      <w:b/>
      <w:bCs/>
      <w:sz w:val="20"/>
      <w:szCs w:val="20"/>
    </w:rPr>
  </w:style>
  <w:style w:type="paragraph" w:styleId="BalloonText">
    <w:name w:val="Balloon Text"/>
    <w:basedOn w:val="Normal"/>
    <w:link w:val="BalloonTextChar"/>
    <w:uiPriority w:val="99"/>
    <w:semiHidden/>
    <w:unhideWhenUsed/>
    <w:rsid w:val="00655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34D"/>
    <w:rPr>
      <w:rFonts w:ascii="Segoe UI" w:hAnsi="Segoe UI" w:cs="Segoe UI"/>
      <w:sz w:val="18"/>
      <w:szCs w:val="18"/>
    </w:rPr>
  </w:style>
  <w:style w:type="character" w:customStyle="1" w:styleId="Heading1Char">
    <w:name w:val="Heading 1 Char"/>
    <w:basedOn w:val="DefaultParagraphFont"/>
    <w:link w:val="Heading1"/>
    <w:rsid w:val="008A26A2"/>
    <w:rPr>
      <w:rFonts w:ascii="Times New Roman" w:eastAsiaTheme="majorEastAsia" w:hAnsi="Times New Roman" w:cstheme="majorBidi"/>
      <w:b/>
      <w:color w:val="1F4E79" w:themeColor="accent1" w:themeShade="80"/>
      <w:sz w:val="24"/>
      <w:szCs w:val="32"/>
    </w:rPr>
  </w:style>
  <w:style w:type="character" w:customStyle="1" w:styleId="Heading2Char">
    <w:name w:val="Heading 2 Char"/>
    <w:basedOn w:val="DefaultParagraphFont"/>
    <w:link w:val="Heading2"/>
    <w:uiPriority w:val="9"/>
    <w:rsid w:val="008A26A2"/>
    <w:rPr>
      <w:rFonts w:ascii="Times New Roman" w:eastAsiaTheme="majorEastAsia" w:hAnsi="Times New Roman" w:cstheme="majorBidi"/>
      <w:b/>
      <w:color w:val="1F4E79" w:themeColor="accent1" w:themeShade="80"/>
      <w:sz w:val="20"/>
      <w:szCs w:val="26"/>
    </w:rPr>
  </w:style>
  <w:style w:type="paragraph" w:customStyle="1" w:styleId="Default">
    <w:name w:val="Default"/>
    <w:rsid w:val="0065534D"/>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543305"/>
    <w:rPr>
      <w:rFonts w:cs="Times New Roman"/>
      <w:color w:val="auto"/>
    </w:rPr>
  </w:style>
  <w:style w:type="character" w:customStyle="1" w:styleId="Heading3Char">
    <w:name w:val="Heading 3 Char"/>
    <w:basedOn w:val="DefaultParagraphFont"/>
    <w:link w:val="Heading3"/>
    <w:uiPriority w:val="9"/>
    <w:rsid w:val="008A26A2"/>
    <w:rPr>
      <w:rFonts w:ascii="Times New Roman" w:eastAsiaTheme="majorEastAsia" w:hAnsi="Times New Roman" w:cstheme="majorBidi"/>
      <w:i/>
      <w:color w:val="1F4D78" w:themeColor="accent1" w:themeShade="7F"/>
      <w:sz w:val="20"/>
      <w:szCs w:val="24"/>
    </w:rPr>
  </w:style>
  <w:style w:type="paragraph" w:styleId="TOCHeading">
    <w:name w:val="TOC Heading"/>
    <w:basedOn w:val="Heading1"/>
    <w:next w:val="Normal"/>
    <w:uiPriority w:val="39"/>
    <w:unhideWhenUsed/>
    <w:qFormat/>
    <w:rsid w:val="00901368"/>
    <w:pPr>
      <w:outlineLvl w:val="9"/>
    </w:pPr>
  </w:style>
  <w:style w:type="paragraph" w:styleId="TOC1">
    <w:name w:val="toc 1"/>
    <w:basedOn w:val="Normal"/>
    <w:next w:val="Normal"/>
    <w:autoRedefine/>
    <w:uiPriority w:val="39"/>
    <w:unhideWhenUsed/>
    <w:rsid w:val="00901368"/>
    <w:pPr>
      <w:spacing w:after="100"/>
    </w:pPr>
  </w:style>
  <w:style w:type="paragraph" w:styleId="TOC2">
    <w:name w:val="toc 2"/>
    <w:basedOn w:val="Normal"/>
    <w:next w:val="Normal"/>
    <w:autoRedefine/>
    <w:uiPriority w:val="39"/>
    <w:unhideWhenUsed/>
    <w:rsid w:val="00901368"/>
    <w:pPr>
      <w:spacing w:after="100"/>
      <w:ind w:left="200"/>
    </w:pPr>
  </w:style>
  <w:style w:type="paragraph" w:styleId="Header">
    <w:name w:val="header"/>
    <w:basedOn w:val="Normal"/>
    <w:link w:val="HeaderChar"/>
    <w:uiPriority w:val="99"/>
    <w:unhideWhenUsed/>
    <w:rsid w:val="00901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368"/>
    <w:rPr>
      <w:rFonts w:ascii="Times New Roman" w:hAnsi="Times New Roman"/>
      <w:sz w:val="20"/>
    </w:rPr>
  </w:style>
  <w:style w:type="paragraph" w:styleId="Footer">
    <w:name w:val="footer"/>
    <w:basedOn w:val="Normal"/>
    <w:link w:val="FooterChar"/>
    <w:uiPriority w:val="99"/>
    <w:unhideWhenUsed/>
    <w:rsid w:val="00901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368"/>
    <w:rPr>
      <w:rFonts w:ascii="Times New Roman" w:hAnsi="Times New Roman"/>
      <w:sz w:val="20"/>
    </w:rPr>
  </w:style>
  <w:style w:type="character" w:styleId="LineNumber">
    <w:name w:val="line number"/>
    <w:basedOn w:val="DefaultParagraphFont"/>
    <w:uiPriority w:val="99"/>
    <w:semiHidden/>
    <w:unhideWhenUsed/>
    <w:rsid w:val="00C30513"/>
  </w:style>
  <w:style w:type="paragraph" w:styleId="NormalWeb">
    <w:name w:val="Normal (Web)"/>
    <w:basedOn w:val="Normal"/>
    <w:uiPriority w:val="99"/>
    <w:semiHidden/>
    <w:unhideWhenUsed/>
    <w:rsid w:val="00414627"/>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020ADC"/>
    <w:rPr>
      <w:color w:val="954F72" w:themeColor="followedHyperlink"/>
      <w:u w:val="single"/>
    </w:rPr>
  </w:style>
  <w:style w:type="paragraph" w:styleId="Bibliography">
    <w:name w:val="Bibliography"/>
    <w:basedOn w:val="Normal"/>
    <w:next w:val="Normal"/>
    <w:uiPriority w:val="37"/>
    <w:unhideWhenUsed/>
    <w:rsid w:val="0052103A"/>
    <w:pPr>
      <w:tabs>
        <w:tab w:val="left" w:pos="144"/>
      </w:tabs>
      <w:spacing w:after="240" w:line="240" w:lineRule="auto"/>
      <w:ind w:left="144" w:hanging="144"/>
    </w:p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0556FD"/>
    <w:pPr>
      <w:spacing w:after="100"/>
      <w:ind w:left="400"/>
    </w:pPr>
  </w:style>
  <w:style w:type="paragraph" w:styleId="Revision">
    <w:name w:val="Revision"/>
    <w:hidden/>
    <w:uiPriority w:val="99"/>
    <w:semiHidden/>
    <w:rsid w:val="004C58E2"/>
    <w:pPr>
      <w:spacing w:after="0" w:line="240" w:lineRule="auto"/>
    </w:pPr>
    <w:rPr>
      <w:rFonts w:ascii="Times New Roman" w:hAnsi="Times New Roman"/>
      <w:sz w:val="20"/>
    </w:rPr>
  </w:style>
  <w:style w:type="paragraph" w:styleId="NoSpacing">
    <w:name w:val="No Spacing"/>
    <w:uiPriority w:val="1"/>
    <w:qFormat/>
    <w:rsid w:val="00222564"/>
    <w:pPr>
      <w:spacing w:after="0" w:line="240" w:lineRule="auto"/>
    </w:pPr>
    <w:rPr>
      <w:rFonts w:ascii="Times New Roman" w:hAnsi="Times New Roman"/>
      <w:sz w:val="20"/>
    </w:rPr>
  </w:style>
  <w:style w:type="character" w:styleId="Mention">
    <w:name w:val="Mention"/>
    <w:basedOn w:val="DefaultParagraphFont"/>
    <w:uiPriority w:val="99"/>
    <w:unhideWhenUsed/>
    <w:rsid w:val="00AD1D51"/>
    <w:rPr>
      <w:color w:val="2B579A"/>
      <w:shd w:val="clear" w:color="auto" w:fill="E6E6E6"/>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CB7ADC"/>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B7ADC"/>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B7ADC"/>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B7ADC"/>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B7ADC"/>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B7ADC"/>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CB7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198292">
      <w:bodyDiv w:val="1"/>
      <w:marLeft w:val="0"/>
      <w:marRight w:val="0"/>
      <w:marTop w:val="0"/>
      <w:marBottom w:val="0"/>
      <w:divBdr>
        <w:top w:val="none" w:sz="0" w:space="0" w:color="auto"/>
        <w:left w:val="none" w:sz="0" w:space="0" w:color="auto"/>
        <w:bottom w:val="none" w:sz="0" w:space="0" w:color="auto"/>
        <w:right w:val="none" w:sz="0" w:space="0" w:color="auto"/>
      </w:divBdr>
    </w:div>
    <w:div w:id="98960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hyperlink" Target="https://ghdx.healthdata.org/gbd-2019/data-input-sources"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hyperlink" Target="https://ghdx.healthdata.org/gbd-results-tool" TargetMode="Externa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hyperlink" Target="https://ghdx.healthdata.org/gbd-2019/data-input-sources" TargetMode="External"/><Relationship Id="rId8" Type="http://schemas.openxmlformats.org/officeDocument/2006/relationships/hyperlink" Target="http://ghdx.healthdata.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03FA6-D9FA-4149-9FD4-8C28A9F85847}">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7</TotalTime>
  <Pages>73</Pages>
  <Words>48510</Words>
  <Characters>276507</Characters>
  <Application>Microsoft Office Word</Application>
  <DocSecurity>0</DocSecurity>
  <Lines>2304</Lines>
  <Paragraphs>648</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Weaver</dc:creator>
  <cp:keywords/>
  <dc:description/>
  <cp:lastModifiedBy>Nicole Weaver</cp:lastModifiedBy>
  <cp:revision>3</cp:revision>
  <dcterms:created xsi:type="dcterms:W3CDTF">2023-06-22T22:02:00Z</dcterms:created>
  <dcterms:modified xsi:type="dcterms:W3CDTF">2023-06-22T22:15:00Z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id="ePYiuJOV"/&gt;&lt;style id="http://www.zotero.org/styles/the-lancet" hasBibliography="1" bibliographyStyleHasBeenSet="1"/&gt;&lt;prefs&gt;&lt;pref name="fieldType" value="Field"/&gt;&lt;pref name="automaticJournalAbbrev</vt:lpwstr>
  </property>
  <property fmtid="{D5CDD505-2E9C-101B-9397-08002B2CF9AE}" pid="3" name="ZOTERO_PREF_2">
    <vt:lpwstr>iations" value="true"/&gt;&lt;pref name="dontAskDelayCitationUpdates" value="true"/&gt;&lt;/prefs&gt;&lt;/data&gt;</vt:lpwstr>
  </property>
</Properties>
</file>